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5571" w14:textId="6DDA224F" w:rsidR="005711C6" w:rsidRDefault="001759F1" w:rsidP="002B21B8">
      <w:pPr>
        <w:jc w:val="center"/>
        <w:rPr>
          <w:szCs w:val="24"/>
        </w:rPr>
      </w:pPr>
      <w:r w:rsidRPr="00084FCD">
        <w:rPr>
          <w:b/>
          <w:bCs/>
          <w:sz w:val="28"/>
          <w:szCs w:val="24"/>
        </w:rPr>
        <w:t xml:space="preserve">Risk Factors, Preventive Measures, and Management of </w:t>
      </w:r>
      <w:r w:rsidR="0057313E">
        <w:rPr>
          <w:b/>
          <w:bCs/>
          <w:sz w:val="28"/>
          <w:szCs w:val="24"/>
        </w:rPr>
        <w:t>monkeypox</w:t>
      </w:r>
      <w:r w:rsidRPr="00084FCD">
        <w:rPr>
          <w:b/>
          <w:bCs/>
          <w:sz w:val="28"/>
          <w:szCs w:val="24"/>
        </w:rPr>
        <w:t>: A Systematic Review</w:t>
      </w:r>
      <w:r w:rsidR="005711C6" w:rsidRPr="00084FCD">
        <w:rPr>
          <w:b/>
          <w:bCs/>
          <w:sz w:val="28"/>
          <w:szCs w:val="24"/>
        </w:rPr>
        <w:br/>
      </w:r>
    </w:p>
    <w:p w14:paraId="070E32D7" w14:textId="77777777" w:rsidR="00D876D1" w:rsidRPr="003F1B09" w:rsidRDefault="00D876D1" w:rsidP="003F1B09">
      <w:pPr>
        <w:rPr>
          <w:b/>
          <w:bCs/>
          <w:szCs w:val="24"/>
        </w:rPr>
      </w:pPr>
    </w:p>
    <w:p w14:paraId="13F0430A" w14:textId="6C2603FC" w:rsidR="007A22A1" w:rsidRPr="005311F5" w:rsidRDefault="007A22A1" w:rsidP="007A22A1">
      <w:pPr>
        <w:rPr>
          <w:b/>
          <w:bCs/>
        </w:rPr>
      </w:pPr>
      <w:r w:rsidRPr="005311F5">
        <w:rPr>
          <w:b/>
          <w:bCs/>
        </w:rPr>
        <w:t>Abstract</w:t>
      </w:r>
    </w:p>
    <w:p w14:paraId="248E98F6" w14:textId="03586158" w:rsidR="009C3888" w:rsidRDefault="007A22A1" w:rsidP="007A22A1">
      <w:pPr>
        <w:jc w:val="both"/>
      </w:pPr>
      <w:r w:rsidRPr="007A22A1">
        <w:rPr>
          <w:b/>
          <w:bCs/>
        </w:rPr>
        <w:t>Background</w:t>
      </w:r>
      <w:r w:rsidRPr="007A22A1">
        <w:t xml:space="preserve">: Mpox, formerly known as </w:t>
      </w:r>
      <w:r w:rsidR="0057313E" w:rsidRPr="0057313E">
        <w:t>monkeypox</w:t>
      </w:r>
      <w:r w:rsidRPr="007A22A1">
        <w:t xml:space="preserve">, is an emerging viral disease caused by the </w:t>
      </w:r>
      <w:proofErr w:type="spellStart"/>
      <w:r w:rsidR="0057313E">
        <w:t>mpox</w:t>
      </w:r>
      <w:proofErr w:type="spellEnd"/>
      <w:r w:rsidRPr="007A22A1">
        <w:t xml:space="preserve"> virus, related to the </w:t>
      </w:r>
      <w:proofErr w:type="spellStart"/>
      <w:r w:rsidRPr="007A22A1">
        <w:t>Orthopoxvirus</w:t>
      </w:r>
      <w:proofErr w:type="spellEnd"/>
      <w:r w:rsidRPr="007A22A1">
        <w:t xml:space="preserve"> genus. The 2022–2023 outbreak, driven by clade IIb, alongside ongoing outbreaks of clades </w:t>
      </w:r>
      <w:proofErr w:type="spellStart"/>
      <w:r w:rsidRPr="007A22A1">
        <w:t>Ia</w:t>
      </w:r>
      <w:proofErr w:type="spellEnd"/>
      <w:r w:rsidRPr="007A22A1">
        <w:t xml:space="preserve"> and </w:t>
      </w:r>
      <w:proofErr w:type="spellStart"/>
      <w:r w:rsidRPr="007A22A1">
        <w:t>Ib</w:t>
      </w:r>
      <w:proofErr w:type="spellEnd"/>
      <w:r w:rsidRPr="007A22A1">
        <w:t xml:space="preserve"> in Africa, highlighted mpox as a significant public health concern. Mpox spreads through close contact with infected individuals or contaminated surfaces, often causing a characteristic rash, fever, and swollen lymph nodes. Vaccination and supportive care are essential in managing mpox, but no specific antiviral treatments have been universally validated. </w:t>
      </w:r>
    </w:p>
    <w:p w14:paraId="40B76261" w14:textId="009D40FA" w:rsidR="007A22A1" w:rsidRPr="007A22A1" w:rsidRDefault="009C3888" w:rsidP="007A22A1">
      <w:pPr>
        <w:jc w:val="both"/>
      </w:pPr>
      <w:r w:rsidRPr="009C3888">
        <w:rPr>
          <w:b/>
        </w:rPr>
        <w:t>Aim:</w:t>
      </w:r>
      <w:r>
        <w:t xml:space="preserve"> </w:t>
      </w:r>
      <w:r w:rsidR="007A22A1" w:rsidRPr="007A22A1">
        <w:t>This systematic review aims to evaluate risk factors, preventive measures, and management strategies to improve understanding and patient outcomes for mpox.</w:t>
      </w:r>
      <w:bookmarkStart w:id="0" w:name="_GoBack"/>
      <w:bookmarkEnd w:id="0"/>
    </w:p>
    <w:p w14:paraId="5645F6C8" w14:textId="77777777" w:rsidR="007A22A1" w:rsidRPr="007A22A1" w:rsidRDefault="007A22A1" w:rsidP="007A22A1">
      <w:pPr>
        <w:jc w:val="both"/>
      </w:pPr>
      <w:r w:rsidRPr="007A22A1">
        <w:rPr>
          <w:b/>
          <w:bCs/>
        </w:rPr>
        <w:t>Methods</w:t>
      </w:r>
      <w:r w:rsidRPr="007A22A1">
        <w:t>: Conducted according to PRISMA 2020 guidelines, this review included a comprehensive search across PubMed, Scopus, and Web of Science for studies published until October 1, 2024. Eligible studies provided data on clinical features, risk factors, preventive strategies, and treatment outcomes related to mpox. Two independent reviewers conducted the study selection, and data extraction focused on key aspects such as population characteristics, preventive measures, and clinical outcomes.</w:t>
      </w:r>
    </w:p>
    <w:p w14:paraId="551944CD" w14:textId="0ECBE816" w:rsidR="007A22A1" w:rsidRPr="007A22A1" w:rsidRDefault="007A22A1" w:rsidP="007A22A1">
      <w:pPr>
        <w:jc w:val="both"/>
      </w:pPr>
      <w:r w:rsidRPr="007A22A1">
        <w:rPr>
          <w:b/>
          <w:bCs/>
        </w:rPr>
        <w:t>Results</w:t>
      </w:r>
      <w:r w:rsidRPr="007A22A1">
        <w:t xml:space="preserve">: Ten studies encompassing 2666 participants were included. Findings highlighted a diverse range of mpox clinical presentations, from mild skin lesions to severe symptoms requiring hospitalization, particularly in patients with HIV. Vaccines like JYNNEOS and MVA-BN were found to be effective in reducing symptomatic mpox among high-risk groups, though efficacy varied with timing and analytical approach. Early administration of tecovirimat showed promise in reducing viral shedding, particularly in non-immunocompromised patients. The presence of co-infections, especially among MSM, </w:t>
      </w:r>
      <w:proofErr w:type="spellStart"/>
      <w:r w:rsidR="00923F3A" w:rsidRPr="005F50BC">
        <w:rPr>
          <w:highlight w:val="yellow"/>
        </w:rPr>
        <w:t>emphasi</w:t>
      </w:r>
      <w:r w:rsidR="00923F3A" w:rsidRPr="005F50BC">
        <w:rPr>
          <w:highlight w:val="yellow"/>
        </w:rPr>
        <w:t>s</w:t>
      </w:r>
      <w:r w:rsidR="00923F3A" w:rsidRPr="005F50BC">
        <w:rPr>
          <w:highlight w:val="yellow"/>
        </w:rPr>
        <w:t>ed</w:t>
      </w:r>
      <w:proofErr w:type="spellEnd"/>
      <w:r w:rsidR="00923F3A" w:rsidRPr="005F50BC">
        <w:rPr>
          <w:highlight w:val="yellow"/>
        </w:rPr>
        <w:t xml:space="preserve"> </w:t>
      </w:r>
      <w:r w:rsidRPr="005F50BC">
        <w:rPr>
          <w:highlight w:val="yellow"/>
        </w:rPr>
        <w:t xml:space="preserve">the need </w:t>
      </w:r>
      <w:r w:rsidRPr="007A22A1">
        <w:t xml:space="preserve">for integrated healthcare approaches. Public health messaging that was culturally sensitive was crucial to avoid </w:t>
      </w:r>
      <w:proofErr w:type="spellStart"/>
      <w:r w:rsidR="00923F3A" w:rsidRPr="005F50BC">
        <w:rPr>
          <w:highlight w:val="yellow"/>
        </w:rPr>
        <w:t>stigmati</w:t>
      </w:r>
      <w:r w:rsidR="00923F3A" w:rsidRPr="005F50BC">
        <w:rPr>
          <w:highlight w:val="yellow"/>
        </w:rPr>
        <w:t>s</w:t>
      </w:r>
      <w:r w:rsidR="00923F3A" w:rsidRPr="005F50BC">
        <w:rPr>
          <w:highlight w:val="yellow"/>
        </w:rPr>
        <w:t>ation</w:t>
      </w:r>
      <w:proofErr w:type="spellEnd"/>
      <w:r w:rsidR="00923F3A" w:rsidRPr="005F50BC">
        <w:rPr>
          <w:highlight w:val="yellow"/>
        </w:rPr>
        <w:t xml:space="preserve"> </w:t>
      </w:r>
      <w:r w:rsidRPr="005F50BC">
        <w:rPr>
          <w:highlight w:val="yellow"/>
        </w:rPr>
        <w:t xml:space="preserve">while effectively </w:t>
      </w:r>
      <w:r w:rsidRPr="007A22A1">
        <w:t>targeting at-risk groups.</w:t>
      </w:r>
    </w:p>
    <w:p w14:paraId="457146C3" w14:textId="0FD63C05" w:rsidR="007A22A1" w:rsidRPr="007A22A1" w:rsidRDefault="007A22A1" w:rsidP="007A22A1">
      <w:pPr>
        <w:jc w:val="both"/>
      </w:pPr>
      <w:r w:rsidRPr="007A22A1">
        <w:rPr>
          <w:b/>
          <w:bCs/>
        </w:rPr>
        <w:t>Conclusion</w:t>
      </w:r>
      <w:r w:rsidRPr="007A22A1">
        <w:t xml:space="preserve">: Mpox management benefits from vaccination, early antiviral treatment, and supportive care. Targeted public health interventions, including culturally appropriate communication, are essential to </w:t>
      </w:r>
      <w:r w:rsidRPr="005F50BC">
        <w:rPr>
          <w:highlight w:val="yellow"/>
        </w:rPr>
        <w:t xml:space="preserve">control </w:t>
      </w:r>
      <w:r w:rsidR="00923F3A" w:rsidRPr="005F50BC">
        <w:rPr>
          <w:highlight w:val="yellow"/>
        </w:rPr>
        <w:t xml:space="preserve">the </w:t>
      </w:r>
      <w:r w:rsidRPr="005F50BC">
        <w:rPr>
          <w:highlight w:val="yellow"/>
        </w:rPr>
        <w:t xml:space="preserve">spread and </w:t>
      </w:r>
      <w:r w:rsidRPr="007A22A1">
        <w:t xml:space="preserve">improve outcomes. Future research should focus on </w:t>
      </w:r>
      <w:proofErr w:type="spellStart"/>
      <w:r w:rsidR="00923F3A" w:rsidRPr="005F50BC">
        <w:rPr>
          <w:highlight w:val="yellow"/>
        </w:rPr>
        <w:t>optimi</w:t>
      </w:r>
      <w:r w:rsidR="00923F3A" w:rsidRPr="005F50BC">
        <w:rPr>
          <w:highlight w:val="yellow"/>
        </w:rPr>
        <w:t>s</w:t>
      </w:r>
      <w:r w:rsidR="00923F3A" w:rsidRPr="005F50BC">
        <w:rPr>
          <w:highlight w:val="yellow"/>
        </w:rPr>
        <w:t>ing</w:t>
      </w:r>
      <w:proofErr w:type="spellEnd"/>
      <w:r w:rsidR="00923F3A" w:rsidRPr="005F50BC">
        <w:rPr>
          <w:highlight w:val="yellow"/>
        </w:rPr>
        <w:t xml:space="preserve"> </w:t>
      </w:r>
      <w:r w:rsidRPr="005F50BC">
        <w:rPr>
          <w:highlight w:val="yellow"/>
        </w:rPr>
        <w:t>vaccination</w:t>
      </w:r>
      <w:r w:rsidRPr="007A22A1">
        <w:t xml:space="preserve"> strategies, treatment protocols for immunocompromised patients, and understanding long-term sequelae of mpox.</w:t>
      </w:r>
    </w:p>
    <w:p w14:paraId="25B47BF6" w14:textId="429A9E3C" w:rsidR="007A22A1" w:rsidRPr="007A22A1" w:rsidRDefault="007A22A1" w:rsidP="007A22A1">
      <w:pPr>
        <w:jc w:val="both"/>
      </w:pPr>
      <w:r w:rsidRPr="00B65E84">
        <w:rPr>
          <w:b/>
          <w:bCs/>
          <w:highlight w:val="yellow"/>
        </w:rPr>
        <w:t>Keywords</w:t>
      </w:r>
      <w:r w:rsidRPr="00B65E84">
        <w:rPr>
          <w:highlight w:val="yellow"/>
        </w:rPr>
        <w:t xml:space="preserve">: </w:t>
      </w:r>
      <w:proofErr w:type="spellStart"/>
      <w:r w:rsidRPr="00B65E84">
        <w:rPr>
          <w:highlight w:val="yellow"/>
        </w:rPr>
        <w:t>Mpox</w:t>
      </w:r>
      <w:proofErr w:type="spellEnd"/>
      <w:r w:rsidRPr="00B65E84">
        <w:rPr>
          <w:highlight w:val="yellow"/>
        </w:rPr>
        <w:t>, Vaccination, Tecovirimat, Public Health, Prevention, Management Strategies, HIV</w:t>
      </w:r>
    </w:p>
    <w:p w14:paraId="3C680BD3" w14:textId="77777777" w:rsidR="007A22A1" w:rsidRDefault="007A22A1" w:rsidP="007A22A1"/>
    <w:p w14:paraId="079241F7" w14:textId="77777777" w:rsidR="007A22A1" w:rsidRDefault="007A22A1" w:rsidP="007A22A1"/>
    <w:p w14:paraId="3DD171EA" w14:textId="4BAF0218" w:rsidR="007A22A1" w:rsidRPr="007A22A1" w:rsidRDefault="001759F1" w:rsidP="007A22A1">
      <w:pPr>
        <w:rPr>
          <w:b/>
          <w:bCs/>
        </w:rPr>
      </w:pPr>
      <w:r w:rsidRPr="007A22A1">
        <w:rPr>
          <w:b/>
          <w:bCs/>
        </w:rPr>
        <w:t>Introduction</w:t>
      </w:r>
    </w:p>
    <w:p w14:paraId="129A4136" w14:textId="733BBF23" w:rsidR="007A22A1" w:rsidRDefault="007A22A1" w:rsidP="007A22A1">
      <w:pPr>
        <w:jc w:val="both"/>
      </w:pPr>
      <w:r>
        <w:t xml:space="preserve">Mpox, formerly known as </w:t>
      </w:r>
      <w:r w:rsidR="00F40B45">
        <w:t>monkeypox</w:t>
      </w:r>
      <w:r>
        <w:t xml:space="preserve">, is an emerging viral illness caused by the </w:t>
      </w:r>
      <w:proofErr w:type="spellStart"/>
      <w:r w:rsidR="0057313E">
        <w:t>mpox</w:t>
      </w:r>
      <w:proofErr w:type="spellEnd"/>
      <w:r>
        <w:t xml:space="preserve"> virus, a member of the </w:t>
      </w:r>
      <w:proofErr w:type="spellStart"/>
      <w:r>
        <w:t>Orthopoxvirus</w:t>
      </w:r>
      <w:proofErr w:type="spellEnd"/>
      <w:r>
        <w:t xml:space="preserve"> genus (1).</w:t>
      </w:r>
      <w:r w:rsidR="00F40B45">
        <w:t xml:space="preserve"> </w:t>
      </w:r>
      <w:r w:rsidR="00F40B45" w:rsidRPr="005F50BC">
        <w:rPr>
          <w:highlight w:val="yellow"/>
        </w:rPr>
        <w:t xml:space="preserve">In recent years, the rapid globalization, population movement, and deepening trade networks have contributed to the international dissemination of </w:t>
      </w:r>
      <w:proofErr w:type="spellStart"/>
      <w:r w:rsidR="00F40B45" w:rsidRPr="005F50BC">
        <w:rPr>
          <w:highlight w:val="yellow"/>
        </w:rPr>
        <w:t>Mpox</w:t>
      </w:r>
      <w:proofErr w:type="spellEnd"/>
      <w:r w:rsidR="00F40B45" w:rsidRPr="005F50BC">
        <w:rPr>
          <w:highlight w:val="yellow"/>
        </w:rPr>
        <w:t>, resulting in outbreaks in various countries worldwide</w:t>
      </w:r>
      <w:r w:rsidR="00794CC0">
        <w:rPr>
          <w:highlight w:val="yellow"/>
        </w:rPr>
        <w:t xml:space="preserve"> (31)</w:t>
      </w:r>
      <w:r w:rsidR="00F40B45" w:rsidRPr="005F50BC">
        <w:rPr>
          <w:highlight w:val="yellow"/>
        </w:rPr>
        <w:t>.</w:t>
      </w:r>
      <w:r w:rsidR="00F40B45">
        <w:t xml:space="preserve"> </w:t>
      </w:r>
      <w:r>
        <w:t xml:space="preserve"> This virus is closely related to smallpox, and although less severe, its spread and potential complications are a significant public health concern</w:t>
      </w:r>
      <w:r w:rsidR="004C58BB">
        <w:t xml:space="preserve"> (2)</w:t>
      </w:r>
      <w:r>
        <w:t xml:space="preserve">. There are two major clades of mpox virus: clade I, which includes subclades </w:t>
      </w:r>
      <w:proofErr w:type="spellStart"/>
      <w:r>
        <w:t>Ia</w:t>
      </w:r>
      <w:proofErr w:type="spellEnd"/>
      <w:r>
        <w:t xml:space="preserve"> and </w:t>
      </w:r>
      <w:proofErr w:type="spellStart"/>
      <w:r>
        <w:t>Ib</w:t>
      </w:r>
      <w:proofErr w:type="spellEnd"/>
      <w:r>
        <w:t xml:space="preserve">, and clade II, which contains subclades </w:t>
      </w:r>
      <w:proofErr w:type="spellStart"/>
      <w:r>
        <w:t>IIa</w:t>
      </w:r>
      <w:proofErr w:type="spellEnd"/>
      <w:r>
        <w:t xml:space="preserve"> and IIb</w:t>
      </w:r>
      <w:r w:rsidR="009F0497">
        <w:t xml:space="preserve"> (3)</w:t>
      </w:r>
      <w:r>
        <w:t xml:space="preserve">. A notable global outbreak driven by the clade IIb strain emerged in 2022–2023, continuing to persist globally, alongside rising outbreaks of clades </w:t>
      </w:r>
      <w:proofErr w:type="spellStart"/>
      <w:r>
        <w:t>Ia</w:t>
      </w:r>
      <w:proofErr w:type="spellEnd"/>
      <w:r>
        <w:t xml:space="preserve"> and </w:t>
      </w:r>
      <w:proofErr w:type="spellStart"/>
      <w:r>
        <w:t>Ib</w:t>
      </w:r>
      <w:proofErr w:type="spellEnd"/>
      <w:r>
        <w:t>, particularly in the Democratic Republic of the Congo and other parts of Africa</w:t>
      </w:r>
      <w:r w:rsidR="00664E65">
        <w:t xml:space="preserve"> (4)</w:t>
      </w:r>
      <w:r>
        <w:t>.</w:t>
      </w:r>
      <w:r w:rsidR="00F40B45">
        <w:t xml:space="preserve"> </w:t>
      </w:r>
      <w:r w:rsidR="00F40B45" w:rsidRPr="005F50BC">
        <w:rPr>
          <w:highlight w:val="yellow"/>
        </w:rPr>
        <w:t xml:space="preserve">To effectively combat the disease, a renewed comprehension of </w:t>
      </w:r>
      <w:proofErr w:type="spellStart"/>
      <w:r w:rsidR="00F40B45" w:rsidRPr="005F50BC">
        <w:rPr>
          <w:highlight w:val="yellow"/>
        </w:rPr>
        <w:t>Mpox</w:t>
      </w:r>
      <w:proofErr w:type="spellEnd"/>
      <w:r w:rsidR="00F40B45" w:rsidRPr="005F50BC">
        <w:rPr>
          <w:highlight w:val="yellow"/>
        </w:rPr>
        <w:t xml:space="preserve"> is necessary. This review presents a comprehensive overview of </w:t>
      </w:r>
      <w:proofErr w:type="spellStart"/>
      <w:r w:rsidR="00F40B45" w:rsidRPr="005F50BC">
        <w:rPr>
          <w:highlight w:val="yellow"/>
        </w:rPr>
        <w:t>Mpox</w:t>
      </w:r>
      <w:proofErr w:type="spellEnd"/>
      <w:r w:rsidR="00F40B45" w:rsidRPr="005F50BC">
        <w:rPr>
          <w:highlight w:val="yellow"/>
        </w:rPr>
        <w:t xml:space="preserve">, including its transmission patterns, pathogenesis, genome organization, and antiviral drugs that have been studied for their activity against </w:t>
      </w:r>
      <w:proofErr w:type="spellStart"/>
      <w:r w:rsidR="00F40B45" w:rsidRPr="005F50BC">
        <w:rPr>
          <w:highlight w:val="yellow"/>
        </w:rPr>
        <w:t>Mpox</w:t>
      </w:r>
      <w:proofErr w:type="spellEnd"/>
      <w:r w:rsidR="00F40B45" w:rsidRPr="005F50BC">
        <w:rPr>
          <w:highlight w:val="yellow"/>
        </w:rPr>
        <w:t xml:space="preserve"> over the past few decades, both in vivo and in vitro. Additionally, it provides helpful insights for the prevention and control of worldwide </w:t>
      </w:r>
      <w:proofErr w:type="spellStart"/>
      <w:r w:rsidR="00F40B45" w:rsidRPr="005F50BC">
        <w:rPr>
          <w:highlight w:val="yellow"/>
        </w:rPr>
        <w:t>Mpox</w:t>
      </w:r>
      <w:proofErr w:type="spellEnd"/>
      <w:r w:rsidR="00F40B45" w:rsidRPr="005F50BC">
        <w:rPr>
          <w:highlight w:val="yellow"/>
        </w:rPr>
        <w:t xml:space="preserve"> outbreaks by summarizing the valuable experiences gained from the development of anti-</w:t>
      </w:r>
      <w:proofErr w:type="spellStart"/>
      <w:r w:rsidR="00F40B45" w:rsidRPr="005F50BC">
        <w:rPr>
          <w:highlight w:val="yellow"/>
        </w:rPr>
        <w:t>Mpox</w:t>
      </w:r>
      <w:proofErr w:type="spellEnd"/>
      <w:r w:rsidR="00F40B45" w:rsidRPr="005F50BC">
        <w:rPr>
          <w:highlight w:val="yellow"/>
        </w:rPr>
        <w:t xml:space="preserve"> strategies, such as drug repurposing, drug target discovery, and the identification of potential drug targets</w:t>
      </w:r>
      <w:r w:rsidR="00637CE4">
        <w:rPr>
          <w:highlight w:val="yellow"/>
        </w:rPr>
        <w:t xml:space="preserve"> (32)</w:t>
      </w:r>
      <w:r w:rsidR="00F40B45" w:rsidRPr="005F50BC">
        <w:rPr>
          <w:highlight w:val="yellow"/>
        </w:rPr>
        <w:t>.</w:t>
      </w:r>
    </w:p>
    <w:p w14:paraId="06751464" w14:textId="40163CB2" w:rsidR="007A22A1" w:rsidRDefault="007A22A1" w:rsidP="007A22A1">
      <w:pPr>
        <w:jc w:val="both"/>
      </w:pPr>
      <w:proofErr w:type="spellStart"/>
      <w:r>
        <w:t>Mpox</w:t>
      </w:r>
      <w:proofErr w:type="spellEnd"/>
      <w:r>
        <w:t xml:space="preserve"> transmission occurs primarily through close person-to-person contact, direct exposure to bodily fluids, or contaminated surfaces, as well as contact with infected animals</w:t>
      </w:r>
      <w:r w:rsidR="00724FA1">
        <w:t xml:space="preserve"> (5)</w:t>
      </w:r>
      <w:r>
        <w:t>. During pregnancy, the virus may also be passed to the fetus, presenting a risk of serious complications. The illness typically manifests as a skin rash, often accompanied by fever, muscle aches, headache, and swollen lymph nodes, with symptoms lasting between two and four weeks</w:t>
      </w:r>
      <w:r w:rsidR="002E56B7">
        <w:t xml:space="preserve"> (6)</w:t>
      </w:r>
      <w:r>
        <w:t>. Treatment is largely supportive, focusing on managing symptoms, preventing secondary infections, and ensuring appropriate hydration and nutrition</w:t>
      </w:r>
      <w:r w:rsidR="002E56B7">
        <w:t xml:space="preserve"> (7)</w:t>
      </w:r>
      <w:r>
        <w:t>.</w:t>
      </w:r>
      <w:r w:rsidR="00E32275">
        <w:t xml:space="preserve"> </w:t>
      </w:r>
      <w:r w:rsidR="00E32275" w:rsidRPr="005F50BC">
        <w:rPr>
          <w:highlight w:val="yellow"/>
        </w:rPr>
        <w:t xml:space="preserve">The disease is usually self-limiting but </w:t>
      </w:r>
      <w:proofErr w:type="gramStart"/>
      <w:r w:rsidR="00E32275" w:rsidRPr="005F50BC">
        <w:rPr>
          <w:highlight w:val="yellow"/>
        </w:rPr>
        <w:t>may  be</w:t>
      </w:r>
      <w:proofErr w:type="gramEnd"/>
      <w:r w:rsidR="00E32275" w:rsidRPr="005F50BC">
        <w:rPr>
          <w:highlight w:val="yellow"/>
        </w:rPr>
        <w:t xml:space="preserve">  severe  in  immunocompromised,  elderly and  children.  </w:t>
      </w:r>
      <w:proofErr w:type="gramStart"/>
      <w:r w:rsidR="00E32275" w:rsidRPr="005F50BC">
        <w:rPr>
          <w:highlight w:val="yellow"/>
        </w:rPr>
        <w:t>Diagnosis  of</w:t>
      </w:r>
      <w:proofErr w:type="gramEnd"/>
      <w:r w:rsidR="00E32275" w:rsidRPr="005F50BC">
        <w:rPr>
          <w:highlight w:val="yellow"/>
        </w:rPr>
        <w:t xml:space="preserve">  monkeypox  infection is  achieved  using  advanced  technical  skills  and well-advanced  laboratory  methods  including  cell culture,  electron  microscopy,  polymerase  chain reaction  (PCR),  enzyme  linked  immunosorbent assay  (ELISA)  or  Western  blotting  with  PCR being used for definitive diagnosis</w:t>
      </w:r>
      <w:r w:rsidR="00DC7460">
        <w:rPr>
          <w:highlight w:val="yellow"/>
        </w:rPr>
        <w:t xml:space="preserve"> (33)</w:t>
      </w:r>
      <w:r w:rsidR="00E32275" w:rsidRPr="005F50BC">
        <w:rPr>
          <w:highlight w:val="yellow"/>
        </w:rPr>
        <w:t>.</w:t>
      </w:r>
    </w:p>
    <w:p w14:paraId="7E46B31B" w14:textId="7F02730B" w:rsidR="007A22A1" w:rsidRDefault="007A22A1" w:rsidP="007A22A1">
      <w:pPr>
        <w:jc w:val="both"/>
      </w:pPr>
      <w:r>
        <w:t>Vaccination against mpox plays an important role in preventing the spread of the virus, particularly for high-risk groups such as healthcare workers, individuals in close contact with infected persons, and those with multiple sexual partners</w:t>
      </w:r>
      <w:r w:rsidR="002E56B7">
        <w:t xml:space="preserve"> (8)</w:t>
      </w:r>
      <w:r>
        <w:t>. However, no proven antiviral treatment is available, and ongoing research is essential for identifying effective therapeutic strategies</w:t>
      </w:r>
      <w:r w:rsidR="002E56B7">
        <w:t xml:space="preserve"> (9)</w:t>
      </w:r>
      <w:r>
        <w:t>.</w:t>
      </w:r>
    </w:p>
    <w:p w14:paraId="52FF6F60" w14:textId="28C94344" w:rsidR="001759F1" w:rsidRDefault="007A22A1" w:rsidP="007A22A1">
      <w:pPr>
        <w:jc w:val="both"/>
      </w:pPr>
      <w:r>
        <w:t xml:space="preserve">This systematic review aims to evaluate the risk factors, preventive measures, and management strategies for </w:t>
      </w:r>
      <w:proofErr w:type="spellStart"/>
      <w:r>
        <w:t>mpox</w:t>
      </w:r>
      <w:proofErr w:type="spellEnd"/>
      <w:r>
        <w:t xml:space="preserve">, </w:t>
      </w:r>
      <w:proofErr w:type="spellStart"/>
      <w:r w:rsidR="00923F3A">
        <w:t>synthesi</w:t>
      </w:r>
      <w:r w:rsidR="00923F3A">
        <w:t>s</w:t>
      </w:r>
      <w:r w:rsidR="00923F3A">
        <w:t>ing</w:t>
      </w:r>
      <w:proofErr w:type="spellEnd"/>
      <w:r w:rsidR="00923F3A">
        <w:t xml:space="preserve"> </w:t>
      </w:r>
      <w:r>
        <w:t>current evidence to provide a comprehensive understanding of this infectious disease, with a focus on improving public health interventions and patient outcomes.</w:t>
      </w:r>
    </w:p>
    <w:p w14:paraId="709C4CC6" w14:textId="15C342B3" w:rsidR="001759F1" w:rsidRPr="001759F1" w:rsidRDefault="001759F1" w:rsidP="001759F1">
      <w:pPr>
        <w:rPr>
          <w:b/>
          <w:bCs/>
        </w:rPr>
      </w:pPr>
      <w:r w:rsidRPr="001759F1">
        <w:rPr>
          <w:b/>
          <w:bCs/>
        </w:rPr>
        <w:t>Methods</w:t>
      </w:r>
    </w:p>
    <w:p w14:paraId="514D1957" w14:textId="444BD8C4" w:rsidR="001759F1" w:rsidRDefault="001759F1" w:rsidP="001759F1">
      <w:r>
        <w:lastRenderedPageBreak/>
        <w:t>This systematic review was conducted in accordance with the Preferred Reporting Items for Systematic Reviews and Meta-Analyses (PRISMA)</w:t>
      </w:r>
      <w:r w:rsidR="00DE73DD">
        <w:t xml:space="preserve"> Statement</w:t>
      </w:r>
      <w:r>
        <w:t xml:space="preserve"> 2020 guidelines</w:t>
      </w:r>
      <w:r w:rsidR="00FC1A7D">
        <w:t xml:space="preserve"> (10)</w:t>
      </w:r>
      <w:r>
        <w:t>. The objective was to evaluate the clinical features, transmission dynamics, management strategies, and outcomes of patients with mpox across different geographic settings. We aimed to consolidate findings from various studies to better understand the epidemiology, treatment responses, prevention measures, and overall disease burden of mpox.</w:t>
      </w:r>
    </w:p>
    <w:p w14:paraId="344612CD" w14:textId="5D1BBFC5" w:rsidR="001759F1" w:rsidRPr="001759F1" w:rsidRDefault="001759F1" w:rsidP="001759F1">
      <w:pPr>
        <w:rPr>
          <w:b/>
          <w:bCs/>
        </w:rPr>
      </w:pPr>
      <w:r w:rsidRPr="001759F1">
        <w:rPr>
          <w:b/>
          <w:bCs/>
        </w:rPr>
        <w:t>Search Strategy</w:t>
      </w:r>
    </w:p>
    <w:p w14:paraId="24A7E917" w14:textId="5DD366ED" w:rsidR="001759F1" w:rsidRDefault="001759F1" w:rsidP="001759F1">
      <w:pPr>
        <w:jc w:val="both"/>
      </w:pPr>
      <w:r>
        <w:t>A comprehensive literature search was performed in databases including PubMed, Scopus, and Web of Science for studies published until October 1, 2024. The search terms used were "</w:t>
      </w:r>
      <w:proofErr w:type="spellStart"/>
      <w:r>
        <w:t>mpox</w:t>
      </w:r>
      <w:proofErr w:type="spellEnd"/>
      <w:r>
        <w:t>," "</w:t>
      </w:r>
      <w:proofErr w:type="spellStart"/>
      <w:r w:rsidR="0057313E">
        <w:t>mpox</w:t>
      </w:r>
      <w:proofErr w:type="spellEnd"/>
      <w:r>
        <w:t>," "clinical features," "transmission," "management," "treatment outcomes," and "vaccine efficacy." The search was not restricted by language or publication status, allowing for a broad inclusion of international studies, with an emphasis on peer-reviewed articles to ensure data quality and reliability.</w:t>
      </w:r>
    </w:p>
    <w:p w14:paraId="6F709080" w14:textId="77777777" w:rsidR="007A22A1" w:rsidRDefault="007A22A1" w:rsidP="001759F1">
      <w:pPr>
        <w:jc w:val="both"/>
      </w:pPr>
    </w:p>
    <w:p w14:paraId="443B69B6" w14:textId="77777777" w:rsidR="007A22A1" w:rsidRDefault="007A22A1" w:rsidP="001759F1">
      <w:pPr>
        <w:jc w:val="both"/>
      </w:pPr>
    </w:p>
    <w:p w14:paraId="70A46286" w14:textId="54A8719F" w:rsidR="001759F1" w:rsidRPr="001759F1" w:rsidRDefault="001759F1" w:rsidP="001759F1">
      <w:pPr>
        <w:rPr>
          <w:b/>
          <w:bCs/>
        </w:rPr>
      </w:pPr>
      <w:r w:rsidRPr="001759F1">
        <w:rPr>
          <w:b/>
          <w:bCs/>
        </w:rPr>
        <w:t>Study Selection</w:t>
      </w:r>
    </w:p>
    <w:p w14:paraId="6D64A3F1" w14:textId="77777777" w:rsidR="001759F1" w:rsidRDefault="001759F1" w:rsidP="001759F1">
      <w:pPr>
        <w:jc w:val="both"/>
      </w:pPr>
      <w:r>
        <w:t xml:space="preserve">The initial screening was based on titles and abstracts to assess the relevance of each study to the clinical, epidemiological, and therapeutic aspects of mpox. Two independent reviewers conducted this screening, and any discrepancies were resolved through consensus. The inclusion criteria required studies to provide quantitative or qualitative data on clinical features, risk factors, preventive strategies, management approaches, or outcomes related to mpox infection. Studies involving human subjects and providing clear outcome measures regarding disease presentation, prevention, or treatment were selected. The study selection process is depicted in the PRISMA flowchart provided in </w:t>
      </w:r>
      <w:r w:rsidRPr="001759F1">
        <w:rPr>
          <w:i/>
          <w:iCs/>
        </w:rPr>
        <w:t>Figure 1</w:t>
      </w:r>
      <w:r>
        <w:t>.</w:t>
      </w:r>
    </w:p>
    <w:p w14:paraId="48F238BB" w14:textId="77B39904" w:rsidR="001759F1" w:rsidRDefault="001759F1" w:rsidP="007A22A1">
      <w:pPr>
        <w:jc w:val="center"/>
      </w:pPr>
      <w:r w:rsidRPr="001759F1">
        <w:rPr>
          <w:noProof/>
        </w:rPr>
        <w:lastRenderedPageBreak/>
        <w:drawing>
          <wp:inline distT="0" distB="0" distL="0" distR="0" wp14:anchorId="400236AC" wp14:editId="668DF3AB">
            <wp:extent cx="5184015" cy="5864694"/>
            <wp:effectExtent l="19050" t="19050" r="17145" b="22225"/>
            <wp:docPr id="254977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77722" name=""/>
                    <pic:cNvPicPr/>
                  </pic:nvPicPr>
                  <pic:blipFill>
                    <a:blip r:embed="rId7"/>
                    <a:stretch>
                      <a:fillRect/>
                    </a:stretch>
                  </pic:blipFill>
                  <pic:spPr>
                    <a:xfrm>
                      <a:off x="0" y="0"/>
                      <a:ext cx="5198998" cy="5881645"/>
                    </a:xfrm>
                    <a:prstGeom prst="rect">
                      <a:avLst/>
                    </a:prstGeom>
                    <a:ln>
                      <a:solidFill>
                        <a:schemeClr val="bg1">
                          <a:lumMod val="95000"/>
                        </a:schemeClr>
                      </a:solidFill>
                    </a:ln>
                  </pic:spPr>
                </pic:pic>
              </a:graphicData>
            </a:graphic>
          </wp:inline>
        </w:drawing>
      </w:r>
    </w:p>
    <w:p w14:paraId="6ACEC22B" w14:textId="25E17093" w:rsidR="001759F1" w:rsidRDefault="001759F1" w:rsidP="001759F1">
      <w:r w:rsidRPr="001759F1">
        <w:rPr>
          <w:b/>
          <w:bCs/>
        </w:rPr>
        <w:t>Figure 1.</w:t>
      </w:r>
      <w:r>
        <w:t xml:space="preserve"> PRISMA Flowchart Depicting the Study Selection Process.</w:t>
      </w:r>
    </w:p>
    <w:p w14:paraId="1336D38A" w14:textId="5488F9BB" w:rsidR="001759F1" w:rsidRPr="001759F1" w:rsidRDefault="001759F1" w:rsidP="001759F1">
      <w:pPr>
        <w:rPr>
          <w:b/>
          <w:bCs/>
        </w:rPr>
      </w:pPr>
      <w:r w:rsidRPr="001759F1">
        <w:rPr>
          <w:b/>
          <w:bCs/>
        </w:rPr>
        <w:t>Data Extraction and Synthesis</w:t>
      </w:r>
    </w:p>
    <w:p w14:paraId="6AFB121F" w14:textId="4C264B10" w:rsidR="001759F1" w:rsidRDefault="001759F1" w:rsidP="001759F1">
      <w:pPr>
        <w:jc w:val="both"/>
      </w:pPr>
      <w:r>
        <w:t xml:space="preserve">Data extraction included details such as author(s), publication year, country or region of study, study design, population characteristics, sample size, risk factors identified, preventive measures taken, management strategies employed, outcomes assessed, and key findings. The extracted data were </w:t>
      </w:r>
      <w:proofErr w:type="spellStart"/>
      <w:r w:rsidR="00923F3A" w:rsidRPr="005F50BC">
        <w:rPr>
          <w:highlight w:val="yellow"/>
        </w:rPr>
        <w:t>organi</w:t>
      </w:r>
      <w:r w:rsidR="00923F3A" w:rsidRPr="005F50BC">
        <w:rPr>
          <w:highlight w:val="yellow"/>
        </w:rPr>
        <w:t>s</w:t>
      </w:r>
      <w:r w:rsidR="00923F3A" w:rsidRPr="005F50BC">
        <w:rPr>
          <w:highlight w:val="yellow"/>
        </w:rPr>
        <w:t>ed</w:t>
      </w:r>
      <w:proofErr w:type="spellEnd"/>
      <w:r w:rsidR="00923F3A" w:rsidRPr="005F50BC">
        <w:rPr>
          <w:highlight w:val="yellow"/>
        </w:rPr>
        <w:t xml:space="preserve"> </w:t>
      </w:r>
      <w:r w:rsidRPr="005F50BC">
        <w:rPr>
          <w:highlight w:val="yellow"/>
        </w:rPr>
        <w:t>into stru</w:t>
      </w:r>
      <w:r>
        <w:t>ctured tables and qualitatively synthesized to provide an overview of the clinical spectrum, preventive approaches, and therapeutic strategies for mpox.</w:t>
      </w:r>
    </w:p>
    <w:p w14:paraId="5606B5B5" w14:textId="7C420F83" w:rsidR="001759F1" w:rsidRDefault="001759F1" w:rsidP="001759F1">
      <w:pPr>
        <w:jc w:val="both"/>
      </w:pPr>
      <w:r>
        <w:t xml:space="preserve">The synthesis aimed to compare risk factors, preventive measures, treatment strategies, and clinical outcomes across diverse study populations and geographic settings. Special focus was placed on the variability in disease presentation and management among different subgroups, including </w:t>
      </w:r>
      <w:r>
        <w:lastRenderedPageBreak/>
        <w:t>patients with underlying conditions such as HIV, individuals from different age groups, and those at higher risk of transmission (e.g., MSM populations).</w:t>
      </w:r>
    </w:p>
    <w:p w14:paraId="037C9D55" w14:textId="71FFC554" w:rsidR="001759F1" w:rsidRDefault="001759F1" w:rsidP="001759F1">
      <w:pPr>
        <w:jc w:val="both"/>
      </w:pPr>
      <w:r>
        <w:t>The overall synthesis was focused on identifying trends in clinical presentation, evaluating the effectiveness of preventive and treatment measures, and highlighting regional differences in disease burden. The insights gathered are expected to contribute to public health strategies and clinical management of mpox, as well as inform future research directions.</w:t>
      </w:r>
    </w:p>
    <w:p w14:paraId="37BE9271" w14:textId="35F33CF9" w:rsidR="006D5EFF" w:rsidRPr="001759F1" w:rsidRDefault="006D5EFF" w:rsidP="006D5EFF">
      <w:pPr>
        <w:rPr>
          <w:b/>
          <w:bCs/>
        </w:rPr>
      </w:pPr>
      <w:r w:rsidRPr="001759F1">
        <w:rPr>
          <w:b/>
          <w:bCs/>
        </w:rPr>
        <w:t>Results</w:t>
      </w:r>
    </w:p>
    <w:p w14:paraId="1609EF3D" w14:textId="00B7296A" w:rsidR="006D5EFF" w:rsidRDefault="006D5EFF" w:rsidP="006D5EFF">
      <w:pPr>
        <w:jc w:val="both"/>
      </w:pPr>
      <w:r w:rsidRPr="006D5EFF">
        <w:t xml:space="preserve">The systematic review encompassed ten studies involving a total of 2666 participants, investigating various aspects of the clinical presentation, management, and prevention of </w:t>
      </w:r>
      <w:proofErr w:type="spellStart"/>
      <w:r w:rsidR="0057313E">
        <w:t>mpox</w:t>
      </w:r>
      <w:proofErr w:type="spellEnd"/>
      <w:r w:rsidRPr="006D5EFF">
        <w:t xml:space="preserve"> (</w:t>
      </w:r>
      <w:proofErr w:type="spellStart"/>
      <w:r w:rsidRPr="006D5EFF">
        <w:t>mpox</w:t>
      </w:r>
      <w:proofErr w:type="spellEnd"/>
      <w:r w:rsidRPr="006D5EFF">
        <w:t>) across diverse populations and geographical locations</w:t>
      </w:r>
      <w:r>
        <w:t xml:space="preserve"> (Table 1)</w:t>
      </w:r>
      <w:r w:rsidRPr="006D5EFF">
        <w:t>.</w:t>
      </w:r>
    </w:p>
    <w:p w14:paraId="1CA68FC5" w14:textId="6DFC6913" w:rsidR="00060926" w:rsidRDefault="00060926" w:rsidP="006D5EFF">
      <w:pPr>
        <w:jc w:val="both"/>
      </w:pPr>
      <w:r w:rsidRPr="00060926">
        <w:t>Table 1</w:t>
      </w:r>
      <w:r>
        <w:t>.</w:t>
      </w:r>
      <w:r w:rsidR="004A0B7A">
        <w:t xml:space="preserve"> </w:t>
      </w:r>
      <w:r w:rsidR="004A0B7A" w:rsidRPr="00664268">
        <w:rPr>
          <w:b/>
          <w:bCs/>
        </w:rPr>
        <w:t>Summary of Recent Studies on Mpox (2022–2024): Study Designs, Populations, Risk Factors, Interventions, and Key Findings</w:t>
      </w:r>
    </w:p>
    <w:tbl>
      <w:tblPr>
        <w:tblStyle w:val="TableGrid"/>
        <w:tblW w:w="11880" w:type="dxa"/>
        <w:tblInd w:w="-1265" w:type="dxa"/>
        <w:tblLayout w:type="fixed"/>
        <w:tblLook w:val="04A0" w:firstRow="1" w:lastRow="0" w:firstColumn="1" w:lastColumn="0" w:noHBand="0" w:noVBand="1"/>
      </w:tblPr>
      <w:tblGrid>
        <w:gridCol w:w="877"/>
        <w:gridCol w:w="1217"/>
        <w:gridCol w:w="1031"/>
        <w:gridCol w:w="1160"/>
        <w:gridCol w:w="677"/>
        <w:gridCol w:w="998"/>
        <w:gridCol w:w="902"/>
        <w:gridCol w:w="1119"/>
        <w:gridCol w:w="1829"/>
        <w:gridCol w:w="2070"/>
      </w:tblGrid>
      <w:tr w:rsidR="006D5EFF" w:rsidRPr="006D5EFF" w14:paraId="7CE3ED4A" w14:textId="77777777" w:rsidTr="006D5EFF">
        <w:trPr>
          <w:trHeight w:val="315"/>
        </w:trPr>
        <w:tc>
          <w:tcPr>
            <w:tcW w:w="877" w:type="dxa"/>
            <w:hideMark/>
          </w:tcPr>
          <w:p w14:paraId="771F1A7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Author, Year</w:t>
            </w:r>
          </w:p>
        </w:tc>
        <w:tc>
          <w:tcPr>
            <w:tcW w:w="1217" w:type="dxa"/>
            <w:hideMark/>
          </w:tcPr>
          <w:p w14:paraId="7F462B27"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Country/Region</w:t>
            </w:r>
          </w:p>
        </w:tc>
        <w:tc>
          <w:tcPr>
            <w:tcW w:w="1031" w:type="dxa"/>
            <w:hideMark/>
          </w:tcPr>
          <w:p w14:paraId="41F269BC"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Study Design</w:t>
            </w:r>
          </w:p>
        </w:tc>
        <w:tc>
          <w:tcPr>
            <w:tcW w:w="1160" w:type="dxa"/>
            <w:hideMark/>
          </w:tcPr>
          <w:p w14:paraId="0BCF20CD"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Population Characteristics</w:t>
            </w:r>
          </w:p>
        </w:tc>
        <w:tc>
          <w:tcPr>
            <w:tcW w:w="677" w:type="dxa"/>
            <w:hideMark/>
          </w:tcPr>
          <w:p w14:paraId="242A013C"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Sample Size</w:t>
            </w:r>
          </w:p>
        </w:tc>
        <w:tc>
          <w:tcPr>
            <w:tcW w:w="998" w:type="dxa"/>
            <w:hideMark/>
          </w:tcPr>
          <w:p w14:paraId="7A7E2D71"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Risk Factors Identified</w:t>
            </w:r>
          </w:p>
        </w:tc>
        <w:tc>
          <w:tcPr>
            <w:tcW w:w="902" w:type="dxa"/>
            <w:hideMark/>
          </w:tcPr>
          <w:p w14:paraId="55A22F4D"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Preventive Measures</w:t>
            </w:r>
          </w:p>
        </w:tc>
        <w:tc>
          <w:tcPr>
            <w:tcW w:w="1119" w:type="dxa"/>
            <w:hideMark/>
          </w:tcPr>
          <w:p w14:paraId="49FD828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Management Strategies</w:t>
            </w:r>
          </w:p>
        </w:tc>
        <w:tc>
          <w:tcPr>
            <w:tcW w:w="1829" w:type="dxa"/>
            <w:hideMark/>
          </w:tcPr>
          <w:p w14:paraId="1D84471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Outcomes Assessed</w:t>
            </w:r>
          </w:p>
        </w:tc>
        <w:tc>
          <w:tcPr>
            <w:tcW w:w="2070" w:type="dxa"/>
            <w:hideMark/>
          </w:tcPr>
          <w:p w14:paraId="76A6ED20" w14:textId="77777777" w:rsidR="006D5EFF" w:rsidRPr="006D5EFF" w:rsidRDefault="006D5EFF" w:rsidP="006D5EFF">
            <w:pPr>
              <w:spacing w:after="160" w:line="259" w:lineRule="auto"/>
              <w:jc w:val="both"/>
              <w:rPr>
                <w:rFonts w:cs="Times New Roman"/>
                <w:b/>
                <w:bCs/>
                <w:sz w:val="18"/>
                <w:szCs w:val="18"/>
              </w:rPr>
            </w:pPr>
            <w:r w:rsidRPr="006D5EFF">
              <w:rPr>
                <w:rFonts w:cs="Times New Roman"/>
                <w:b/>
                <w:bCs/>
                <w:sz w:val="18"/>
                <w:szCs w:val="18"/>
              </w:rPr>
              <w:t>Key Findings</w:t>
            </w:r>
          </w:p>
        </w:tc>
      </w:tr>
      <w:tr w:rsidR="006D5EFF" w:rsidRPr="006D5EFF" w14:paraId="6D2A5351" w14:textId="77777777" w:rsidTr="006D5EFF">
        <w:trPr>
          <w:trHeight w:val="315"/>
        </w:trPr>
        <w:tc>
          <w:tcPr>
            <w:tcW w:w="877" w:type="dxa"/>
            <w:hideMark/>
          </w:tcPr>
          <w:p w14:paraId="4F133C1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Akiyama et al., 2024</w:t>
            </w:r>
          </w:p>
        </w:tc>
        <w:tc>
          <w:tcPr>
            <w:tcW w:w="1217" w:type="dxa"/>
            <w:hideMark/>
          </w:tcPr>
          <w:p w14:paraId="2FF4790C"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Japan</w:t>
            </w:r>
          </w:p>
        </w:tc>
        <w:tc>
          <w:tcPr>
            <w:tcW w:w="1031" w:type="dxa"/>
            <w:hideMark/>
          </w:tcPr>
          <w:p w14:paraId="50D49A8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Prospective observational study</w:t>
            </w:r>
          </w:p>
        </w:tc>
        <w:tc>
          <w:tcPr>
            <w:tcW w:w="1160" w:type="dxa"/>
            <w:hideMark/>
          </w:tcPr>
          <w:p w14:paraId="0738E65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Male patients with mpox, median age 38.5 years, 52.6% with HIV</w:t>
            </w:r>
          </w:p>
        </w:tc>
        <w:tc>
          <w:tcPr>
            <w:tcW w:w="677" w:type="dxa"/>
            <w:hideMark/>
          </w:tcPr>
          <w:p w14:paraId="2CEA55E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19</w:t>
            </w:r>
          </w:p>
        </w:tc>
        <w:tc>
          <w:tcPr>
            <w:tcW w:w="998" w:type="dxa"/>
            <w:hideMark/>
          </w:tcPr>
          <w:p w14:paraId="34EE49C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HIV infection, late initiation of treatment</w:t>
            </w:r>
          </w:p>
        </w:tc>
        <w:tc>
          <w:tcPr>
            <w:tcW w:w="902" w:type="dxa"/>
            <w:hideMark/>
          </w:tcPr>
          <w:p w14:paraId="3490F60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119" w:type="dxa"/>
            <w:hideMark/>
          </w:tcPr>
          <w:p w14:paraId="383ABD1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Oral tecovirimat administration</w:t>
            </w:r>
          </w:p>
        </w:tc>
        <w:tc>
          <w:tcPr>
            <w:tcW w:w="1829" w:type="dxa"/>
            <w:hideMark/>
          </w:tcPr>
          <w:p w14:paraId="4073DED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Viral shedding duration, PCR negativity, adverse events, mortality rate</w:t>
            </w:r>
          </w:p>
        </w:tc>
        <w:tc>
          <w:tcPr>
            <w:tcW w:w="2070" w:type="dxa"/>
            <w:hideMark/>
          </w:tcPr>
          <w:p w14:paraId="3838914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Early administration of tecovirimat reduced viral shedding; patients with HIV had prolonged viral shedding</w:t>
            </w:r>
          </w:p>
        </w:tc>
      </w:tr>
      <w:tr w:rsidR="006D5EFF" w:rsidRPr="006D5EFF" w14:paraId="1389EA85" w14:textId="77777777" w:rsidTr="006D5EFF">
        <w:trPr>
          <w:trHeight w:val="315"/>
        </w:trPr>
        <w:tc>
          <w:tcPr>
            <w:tcW w:w="877" w:type="dxa"/>
            <w:hideMark/>
          </w:tcPr>
          <w:p w14:paraId="0BCB344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Rosen et al., 2024</w:t>
            </w:r>
          </w:p>
        </w:tc>
        <w:tc>
          <w:tcPr>
            <w:tcW w:w="1217" w:type="dxa"/>
            <w:hideMark/>
          </w:tcPr>
          <w:p w14:paraId="0DA23AC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USA (New York City)</w:t>
            </w:r>
          </w:p>
        </w:tc>
        <w:tc>
          <w:tcPr>
            <w:tcW w:w="1031" w:type="dxa"/>
            <w:hideMark/>
          </w:tcPr>
          <w:p w14:paraId="23B59EB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Prospective observational study</w:t>
            </w:r>
          </w:p>
        </w:tc>
        <w:tc>
          <w:tcPr>
            <w:tcW w:w="1160" w:type="dxa"/>
            <w:hideMark/>
          </w:tcPr>
          <w:p w14:paraId="0997863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Individuals (≥18 years) with high or intermediate-risk exposure to mpox</w:t>
            </w:r>
          </w:p>
        </w:tc>
        <w:tc>
          <w:tcPr>
            <w:tcW w:w="677" w:type="dxa"/>
            <w:hideMark/>
          </w:tcPr>
          <w:p w14:paraId="15049F6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594</w:t>
            </w:r>
          </w:p>
        </w:tc>
        <w:tc>
          <w:tcPr>
            <w:tcW w:w="998" w:type="dxa"/>
            <w:hideMark/>
          </w:tcPr>
          <w:p w14:paraId="6D633D4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High or intermediate-risk exposure to mpox</w:t>
            </w:r>
          </w:p>
        </w:tc>
        <w:tc>
          <w:tcPr>
            <w:tcW w:w="902" w:type="dxa"/>
            <w:hideMark/>
          </w:tcPr>
          <w:p w14:paraId="1333B6D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JYNNEOS vaccine as post-exposure prophylaxis (PEP)</w:t>
            </w:r>
          </w:p>
        </w:tc>
        <w:tc>
          <w:tcPr>
            <w:tcW w:w="1119" w:type="dxa"/>
            <w:hideMark/>
          </w:tcPr>
          <w:p w14:paraId="41FA70A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Monitoring and vaccination follow-up</w:t>
            </w:r>
          </w:p>
        </w:tc>
        <w:tc>
          <w:tcPr>
            <w:tcW w:w="1829" w:type="dxa"/>
            <w:hideMark/>
          </w:tcPr>
          <w:p w14:paraId="3FC1B8D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Effectiveness of JYNNEOS as PEP, incidence of mpox within 21 days of exposure</w:t>
            </w:r>
          </w:p>
        </w:tc>
        <w:tc>
          <w:tcPr>
            <w:tcW w:w="2070" w:type="dxa"/>
            <w:hideMark/>
          </w:tcPr>
          <w:p w14:paraId="05DD3D6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PEPL effectiveness was 78% (conventional method) and 19% (target trial); PEPF effectiveness was 73% and -7%, respectively; effectiveness varied with method of analysis, highlighting potential biases</w:t>
            </w:r>
          </w:p>
        </w:tc>
      </w:tr>
      <w:tr w:rsidR="006D5EFF" w:rsidRPr="006D5EFF" w14:paraId="65B32F41" w14:textId="77777777" w:rsidTr="006D5EFF">
        <w:trPr>
          <w:trHeight w:val="315"/>
        </w:trPr>
        <w:tc>
          <w:tcPr>
            <w:tcW w:w="877" w:type="dxa"/>
            <w:hideMark/>
          </w:tcPr>
          <w:p w14:paraId="2CF6B015" w14:textId="77777777" w:rsidR="006D5EFF" w:rsidRPr="006D5EFF" w:rsidRDefault="006D5EFF" w:rsidP="006D5EFF">
            <w:pPr>
              <w:spacing w:after="160" w:line="259" w:lineRule="auto"/>
              <w:jc w:val="both"/>
              <w:rPr>
                <w:rFonts w:cs="Times New Roman"/>
                <w:sz w:val="18"/>
                <w:szCs w:val="18"/>
              </w:rPr>
            </w:pPr>
            <w:proofErr w:type="spellStart"/>
            <w:r w:rsidRPr="006D5EFF">
              <w:rPr>
                <w:rFonts w:cs="Times New Roman"/>
                <w:sz w:val="18"/>
                <w:szCs w:val="18"/>
              </w:rPr>
              <w:t>Tempestilli</w:t>
            </w:r>
            <w:proofErr w:type="spellEnd"/>
            <w:r w:rsidRPr="006D5EFF">
              <w:rPr>
                <w:rFonts w:cs="Times New Roman"/>
                <w:sz w:val="18"/>
                <w:szCs w:val="18"/>
              </w:rPr>
              <w:t xml:space="preserve"> et al., 2024</w:t>
            </w:r>
          </w:p>
        </w:tc>
        <w:tc>
          <w:tcPr>
            <w:tcW w:w="1217" w:type="dxa"/>
            <w:hideMark/>
          </w:tcPr>
          <w:p w14:paraId="0ECDDF3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Italy</w:t>
            </w:r>
          </w:p>
        </w:tc>
        <w:tc>
          <w:tcPr>
            <w:tcW w:w="1031" w:type="dxa"/>
            <w:hideMark/>
          </w:tcPr>
          <w:p w14:paraId="0AF8DC5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Monocentric, prospective, observational study</w:t>
            </w:r>
          </w:p>
        </w:tc>
        <w:tc>
          <w:tcPr>
            <w:tcW w:w="1160" w:type="dxa"/>
            <w:hideMark/>
          </w:tcPr>
          <w:p w14:paraId="082967D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14 male patients with severe Mpox, including 6 with HIV on ART and virologically suppressed</w:t>
            </w:r>
          </w:p>
        </w:tc>
        <w:tc>
          <w:tcPr>
            <w:tcW w:w="677" w:type="dxa"/>
            <w:hideMark/>
          </w:tcPr>
          <w:p w14:paraId="3780ACF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14</w:t>
            </w:r>
          </w:p>
        </w:tc>
        <w:tc>
          <w:tcPr>
            <w:tcW w:w="998" w:type="dxa"/>
            <w:hideMark/>
          </w:tcPr>
          <w:p w14:paraId="5E77889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HIV status, use of antiretroviral therapy</w:t>
            </w:r>
          </w:p>
        </w:tc>
        <w:tc>
          <w:tcPr>
            <w:tcW w:w="902" w:type="dxa"/>
            <w:hideMark/>
          </w:tcPr>
          <w:p w14:paraId="2AC0106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119" w:type="dxa"/>
            <w:hideMark/>
          </w:tcPr>
          <w:p w14:paraId="2542097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Oral tecovirimat treatment</w:t>
            </w:r>
          </w:p>
        </w:tc>
        <w:tc>
          <w:tcPr>
            <w:tcW w:w="1829" w:type="dxa"/>
            <w:hideMark/>
          </w:tcPr>
          <w:p w14:paraId="717145E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Pharmacokinetics of tecovirimat, recovery time, differences in PK based on HIV status</w:t>
            </w:r>
          </w:p>
        </w:tc>
        <w:tc>
          <w:tcPr>
            <w:tcW w:w="2070" w:type="dxa"/>
            <w:hideMark/>
          </w:tcPr>
          <w:p w14:paraId="2194D4C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Tecovirimat plasma concentrations were significantly lower in patients with HIV, but all levels remained above the inhibitory concentration; no differences in clinical outcomes; all patients recovered within 6-36 days</w:t>
            </w:r>
          </w:p>
        </w:tc>
      </w:tr>
      <w:tr w:rsidR="006D5EFF" w:rsidRPr="006D5EFF" w14:paraId="7A61C3FA" w14:textId="77777777" w:rsidTr="006D5EFF">
        <w:trPr>
          <w:trHeight w:val="315"/>
        </w:trPr>
        <w:tc>
          <w:tcPr>
            <w:tcW w:w="877" w:type="dxa"/>
            <w:hideMark/>
          </w:tcPr>
          <w:p w14:paraId="2628B877" w14:textId="77777777" w:rsidR="006D5EFF" w:rsidRPr="006D5EFF" w:rsidRDefault="006D5EFF" w:rsidP="006D5EFF">
            <w:pPr>
              <w:spacing w:after="160" w:line="259" w:lineRule="auto"/>
              <w:jc w:val="both"/>
              <w:rPr>
                <w:rFonts w:cs="Times New Roman"/>
                <w:sz w:val="18"/>
                <w:szCs w:val="18"/>
              </w:rPr>
            </w:pPr>
            <w:proofErr w:type="spellStart"/>
            <w:r w:rsidRPr="006D5EFF">
              <w:rPr>
                <w:rFonts w:cs="Times New Roman"/>
                <w:sz w:val="18"/>
                <w:szCs w:val="18"/>
              </w:rPr>
              <w:t>Assiri</w:t>
            </w:r>
            <w:proofErr w:type="spellEnd"/>
            <w:r w:rsidRPr="006D5EFF">
              <w:rPr>
                <w:rFonts w:cs="Times New Roman"/>
                <w:sz w:val="18"/>
                <w:szCs w:val="18"/>
              </w:rPr>
              <w:t xml:space="preserve"> et al., 2023</w:t>
            </w:r>
          </w:p>
        </w:tc>
        <w:tc>
          <w:tcPr>
            <w:tcW w:w="1217" w:type="dxa"/>
            <w:hideMark/>
          </w:tcPr>
          <w:p w14:paraId="03397DA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Saudi Arabia</w:t>
            </w:r>
          </w:p>
        </w:tc>
        <w:tc>
          <w:tcPr>
            <w:tcW w:w="1031" w:type="dxa"/>
            <w:hideMark/>
          </w:tcPr>
          <w:p w14:paraId="4F955F81"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Retrospective </w:t>
            </w:r>
            <w:r w:rsidRPr="006D5EFF">
              <w:rPr>
                <w:rFonts w:cs="Times New Roman"/>
                <w:sz w:val="18"/>
                <w:szCs w:val="18"/>
              </w:rPr>
              <w:lastRenderedPageBreak/>
              <w:t>observational study</w:t>
            </w:r>
          </w:p>
        </w:tc>
        <w:tc>
          <w:tcPr>
            <w:tcW w:w="1160" w:type="dxa"/>
            <w:hideMark/>
          </w:tcPr>
          <w:p w14:paraId="307DC5C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 xml:space="preserve">Male patients aged 24-41 years (mean age: </w:t>
            </w:r>
            <w:r w:rsidRPr="006D5EFF">
              <w:rPr>
                <w:rFonts w:cs="Times New Roman"/>
                <w:sz w:val="18"/>
                <w:szCs w:val="18"/>
              </w:rPr>
              <w:lastRenderedPageBreak/>
              <w:t>30.14 ± 6.69 years); travel-related cases</w:t>
            </w:r>
          </w:p>
        </w:tc>
        <w:tc>
          <w:tcPr>
            <w:tcW w:w="677" w:type="dxa"/>
            <w:hideMark/>
          </w:tcPr>
          <w:p w14:paraId="64198C6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7</w:t>
            </w:r>
          </w:p>
        </w:tc>
        <w:tc>
          <w:tcPr>
            <w:tcW w:w="998" w:type="dxa"/>
            <w:hideMark/>
          </w:tcPr>
          <w:p w14:paraId="432C4A3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Heterosexual contact or other intimate </w:t>
            </w:r>
            <w:r w:rsidRPr="006D5EFF">
              <w:rPr>
                <w:rFonts w:cs="Times New Roman"/>
                <w:sz w:val="18"/>
                <w:szCs w:val="18"/>
              </w:rPr>
              <w:lastRenderedPageBreak/>
              <w:t>encounters during travel</w:t>
            </w:r>
          </w:p>
        </w:tc>
        <w:tc>
          <w:tcPr>
            <w:tcW w:w="902" w:type="dxa"/>
            <w:hideMark/>
          </w:tcPr>
          <w:p w14:paraId="152746E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Contact tracing; no secondar</w:t>
            </w:r>
            <w:r w:rsidRPr="006D5EFF">
              <w:rPr>
                <w:rFonts w:cs="Times New Roman"/>
                <w:sz w:val="18"/>
                <w:szCs w:val="18"/>
              </w:rPr>
              <w:lastRenderedPageBreak/>
              <w:t>y cases detected</w:t>
            </w:r>
          </w:p>
        </w:tc>
        <w:tc>
          <w:tcPr>
            <w:tcW w:w="1119" w:type="dxa"/>
            <w:hideMark/>
          </w:tcPr>
          <w:p w14:paraId="1ED773C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 xml:space="preserve">Supportive care, no </w:t>
            </w:r>
            <w:r w:rsidRPr="006D5EFF">
              <w:rPr>
                <w:rFonts w:cs="Times New Roman"/>
                <w:sz w:val="18"/>
                <w:szCs w:val="18"/>
              </w:rPr>
              <w:lastRenderedPageBreak/>
              <w:t>antiviral treatment</w:t>
            </w:r>
          </w:p>
        </w:tc>
        <w:tc>
          <w:tcPr>
            <w:tcW w:w="1829" w:type="dxa"/>
            <w:hideMark/>
          </w:tcPr>
          <w:p w14:paraId="4A81F9D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 xml:space="preserve">Clinical features (skin lesions, fever, </w:t>
            </w:r>
            <w:r w:rsidRPr="006D5EFF">
              <w:rPr>
                <w:rFonts w:cs="Times New Roman"/>
                <w:sz w:val="18"/>
                <w:szCs w:val="18"/>
              </w:rPr>
              <w:lastRenderedPageBreak/>
              <w:t>lymphadenopathy), illness duration</w:t>
            </w:r>
          </w:p>
        </w:tc>
        <w:tc>
          <w:tcPr>
            <w:tcW w:w="2070" w:type="dxa"/>
            <w:hideMark/>
          </w:tcPr>
          <w:p w14:paraId="775B087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 xml:space="preserve">Mpox cases were mild to moderate, with no complications; heterosexual transmission </w:t>
            </w:r>
            <w:r w:rsidRPr="006D5EFF">
              <w:rPr>
                <w:rFonts w:cs="Times New Roman"/>
                <w:sz w:val="18"/>
                <w:szCs w:val="18"/>
              </w:rPr>
              <w:lastRenderedPageBreak/>
              <w:t>observed; skin rash lasted 10 ± 2.68 days</w:t>
            </w:r>
          </w:p>
        </w:tc>
      </w:tr>
      <w:tr w:rsidR="006D5EFF" w:rsidRPr="006D5EFF" w14:paraId="26A0AE96" w14:textId="77777777" w:rsidTr="006D5EFF">
        <w:trPr>
          <w:trHeight w:val="315"/>
        </w:trPr>
        <w:tc>
          <w:tcPr>
            <w:tcW w:w="877" w:type="dxa"/>
            <w:hideMark/>
          </w:tcPr>
          <w:p w14:paraId="13A857E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Bertran et al., 2023</w:t>
            </w:r>
          </w:p>
        </w:tc>
        <w:tc>
          <w:tcPr>
            <w:tcW w:w="1217" w:type="dxa"/>
            <w:hideMark/>
          </w:tcPr>
          <w:p w14:paraId="3C417CD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UK</w:t>
            </w:r>
          </w:p>
        </w:tc>
        <w:tc>
          <w:tcPr>
            <w:tcW w:w="1031" w:type="dxa"/>
            <w:hideMark/>
          </w:tcPr>
          <w:p w14:paraId="375FB70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Case-coverage study</w:t>
            </w:r>
          </w:p>
        </w:tc>
        <w:tc>
          <w:tcPr>
            <w:tcW w:w="1160" w:type="dxa"/>
            <w:hideMark/>
          </w:tcPr>
          <w:p w14:paraId="6DFD365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At-risk GBMSM population in England</w:t>
            </w:r>
          </w:p>
        </w:tc>
        <w:tc>
          <w:tcPr>
            <w:tcW w:w="677" w:type="dxa"/>
            <w:hideMark/>
          </w:tcPr>
          <w:p w14:paraId="261BC88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363</w:t>
            </w:r>
          </w:p>
        </w:tc>
        <w:tc>
          <w:tcPr>
            <w:tcW w:w="998" w:type="dxa"/>
            <w:hideMark/>
          </w:tcPr>
          <w:p w14:paraId="12E7EF9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GBMSM, exposure to mpox cases</w:t>
            </w:r>
          </w:p>
        </w:tc>
        <w:tc>
          <w:tcPr>
            <w:tcW w:w="902" w:type="dxa"/>
            <w:hideMark/>
          </w:tcPr>
          <w:p w14:paraId="66DEDE2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MVA-BN single-dose vaccination</w:t>
            </w:r>
          </w:p>
        </w:tc>
        <w:tc>
          <w:tcPr>
            <w:tcW w:w="1119" w:type="dxa"/>
            <w:hideMark/>
          </w:tcPr>
          <w:p w14:paraId="0EFC57E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829" w:type="dxa"/>
            <w:hideMark/>
          </w:tcPr>
          <w:p w14:paraId="01C5107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Vaccine effectiveness, symptoms</w:t>
            </w:r>
          </w:p>
        </w:tc>
        <w:tc>
          <w:tcPr>
            <w:tcW w:w="2070" w:type="dxa"/>
            <w:hideMark/>
          </w:tcPr>
          <w:p w14:paraId="0014522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Vaccine effectiveness was 78% (95% CI 54-89) against symptomatic mpox at least 14 days post-vaccination; effectiveness within 0-13 days was -4%.</w:t>
            </w:r>
          </w:p>
        </w:tc>
      </w:tr>
      <w:tr w:rsidR="006D5EFF" w:rsidRPr="006D5EFF" w14:paraId="10F4433D" w14:textId="77777777" w:rsidTr="006D5EFF">
        <w:trPr>
          <w:trHeight w:val="315"/>
        </w:trPr>
        <w:tc>
          <w:tcPr>
            <w:tcW w:w="877" w:type="dxa"/>
            <w:hideMark/>
          </w:tcPr>
          <w:p w14:paraId="7D568A19" w14:textId="77777777" w:rsidR="006D5EFF" w:rsidRPr="006D5EFF" w:rsidRDefault="006D5EFF" w:rsidP="006D5EFF">
            <w:pPr>
              <w:spacing w:after="160" w:line="259" w:lineRule="auto"/>
              <w:jc w:val="both"/>
              <w:rPr>
                <w:rFonts w:cs="Times New Roman"/>
                <w:sz w:val="18"/>
                <w:szCs w:val="18"/>
              </w:rPr>
            </w:pPr>
            <w:proofErr w:type="spellStart"/>
            <w:r w:rsidRPr="006D5EFF">
              <w:rPr>
                <w:rFonts w:cs="Times New Roman"/>
                <w:sz w:val="18"/>
                <w:szCs w:val="18"/>
              </w:rPr>
              <w:t>Ciccarese</w:t>
            </w:r>
            <w:proofErr w:type="spellEnd"/>
            <w:r w:rsidRPr="006D5EFF">
              <w:rPr>
                <w:rFonts w:cs="Times New Roman"/>
                <w:sz w:val="18"/>
                <w:szCs w:val="18"/>
              </w:rPr>
              <w:t xml:space="preserve"> et al., 2023</w:t>
            </w:r>
          </w:p>
        </w:tc>
        <w:tc>
          <w:tcPr>
            <w:tcW w:w="1217" w:type="dxa"/>
            <w:hideMark/>
          </w:tcPr>
          <w:p w14:paraId="7BFCD99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Italy</w:t>
            </w:r>
          </w:p>
        </w:tc>
        <w:tc>
          <w:tcPr>
            <w:tcW w:w="1031" w:type="dxa"/>
            <w:hideMark/>
          </w:tcPr>
          <w:p w14:paraId="2E34DC9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Observational study</w:t>
            </w:r>
          </w:p>
        </w:tc>
        <w:tc>
          <w:tcPr>
            <w:tcW w:w="1160" w:type="dxa"/>
            <w:hideMark/>
          </w:tcPr>
          <w:p w14:paraId="3CFE3E4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Men aged 21-67 years, most identifying as MSM or bisexual, with MPX diagnosed by PCR</w:t>
            </w:r>
          </w:p>
        </w:tc>
        <w:tc>
          <w:tcPr>
            <w:tcW w:w="677" w:type="dxa"/>
            <w:hideMark/>
          </w:tcPr>
          <w:p w14:paraId="00A80BF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16</w:t>
            </w:r>
          </w:p>
        </w:tc>
        <w:tc>
          <w:tcPr>
            <w:tcW w:w="998" w:type="dxa"/>
            <w:hideMark/>
          </w:tcPr>
          <w:p w14:paraId="49DF412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Unprotected sexual practices, multiple sexual partners, recent travel</w:t>
            </w:r>
          </w:p>
        </w:tc>
        <w:tc>
          <w:tcPr>
            <w:tcW w:w="902" w:type="dxa"/>
            <w:hideMark/>
          </w:tcPr>
          <w:p w14:paraId="14D3EAF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Screening for STIs, monitoring patients for symptoms</w:t>
            </w:r>
          </w:p>
        </w:tc>
        <w:tc>
          <w:tcPr>
            <w:tcW w:w="1119" w:type="dxa"/>
            <w:hideMark/>
          </w:tcPr>
          <w:p w14:paraId="20E8AFB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Supportive care, management of anorectal pain, MPX-specific antiviral therapy (cidofovir) in one patient</w:t>
            </w:r>
          </w:p>
        </w:tc>
        <w:tc>
          <w:tcPr>
            <w:tcW w:w="1829" w:type="dxa"/>
            <w:hideMark/>
          </w:tcPr>
          <w:p w14:paraId="19AAA221"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Clinical features (skin/mucosal lesions, systemic symptoms, concomitant STIs), hospitalization, antiviral therapy, clinical outcome</w:t>
            </w:r>
          </w:p>
        </w:tc>
        <w:tc>
          <w:tcPr>
            <w:tcW w:w="2070" w:type="dxa"/>
            <w:hideMark/>
          </w:tcPr>
          <w:p w14:paraId="421A95D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Cutaneous and mucosal lesions were observed in 14/16 patients; most lesions were localized in the anogenital region; 4 patients required hospitalization for severe anorectal pain or superinfection; overall outcome was favorable</w:t>
            </w:r>
          </w:p>
        </w:tc>
      </w:tr>
      <w:tr w:rsidR="006D5EFF" w:rsidRPr="006D5EFF" w14:paraId="6C57B0A6" w14:textId="77777777" w:rsidTr="006D5EFF">
        <w:trPr>
          <w:trHeight w:val="315"/>
        </w:trPr>
        <w:tc>
          <w:tcPr>
            <w:tcW w:w="877" w:type="dxa"/>
            <w:hideMark/>
          </w:tcPr>
          <w:p w14:paraId="05C4299F"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Candela et al., 2023</w:t>
            </w:r>
          </w:p>
        </w:tc>
        <w:tc>
          <w:tcPr>
            <w:tcW w:w="1217" w:type="dxa"/>
            <w:hideMark/>
          </w:tcPr>
          <w:p w14:paraId="517D5D8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Italy (Milan)</w:t>
            </w:r>
          </w:p>
        </w:tc>
        <w:tc>
          <w:tcPr>
            <w:tcW w:w="1031" w:type="dxa"/>
            <w:hideMark/>
          </w:tcPr>
          <w:p w14:paraId="517ACB2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Observational study</w:t>
            </w:r>
          </w:p>
        </w:tc>
        <w:tc>
          <w:tcPr>
            <w:tcW w:w="1160" w:type="dxa"/>
            <w:hideMark/>
          </w:tcPr>
          <w:p w14:paraId="6ED17F3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Individuals with suspected mpox from Sexual Health Clinic</w:t>
            </w:r>
          </w:p>
        </w:tc>
        <w:tc>
          <w:tcPr>
            <w:tcW w:w="677" w:type="dxa"/>
            <w:hideMark/>
          </w:tcPr>
          <w:p w14:paraId="7609990C"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140</w:t>
            </w:r>
          </w:p>
        </w:tc>
        <w:tc>
          <w:tcPr>
            <w:tcW w:w="998" w:type="dxa"/>
            <w:hideMark/>
          </w:tcPr>
          <w:p w14:paraId="6941532C"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MSM (96%), HIV infection (47%), travel abroad (25%), close contact with mpox (35%)</w:t>
            </w:r>
          </w:p>
        </w:tc>
        <w:tc>
          <w:tcPr>
            <w:tcW w:w="902" w:type="dxa"/>
            <w:hideMark/>
          </w:tcPr>
          <w:p w14:paraId="0A20BBE5"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119" w:type="dxa"/>
            <w:hideMark/>
          </w:tcPr>
          <w:p w14:paraId="24D4EBC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NSAIDs, antibiotics, antiviral drugs</w:t>
            </w:r>
          </w:p>
        </w:tc>
        <w:tc>
          <w:tcPr>
            <w:tcW w:w="1829" w:type="dxa"/>
            <w:hideMark/>
          </w:tcPr>
          <w:p w14:paraId="1766E66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Symptoms, complications, hospitalization</w:t>
            </w:r>
          </w:p>
        </w:tc>
        <w:tc>
          <w:tcPr>
            <w:tcW w:w="2070" w:type="dxa"/>
            <w:hideMark/>
          </w:tcPr>
          <w:p w14:paraId="61A0AE9D"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Predominant MSM population, common STI co-infection, most symptoms self-resolving; 6% hospitalization</w:t>
            </w:r>
          </w:p>
        </w:tc>
      </w:tr>
      <w:tr w:rsidR="006D5EFF" w:rsidRPr="006D5EFF" w14:paraId="0078059E" w14:textId="77777777" w:rsidTr="006D5EFF">
        <w:trPr>
          <w:trHeight w:val="315"/>
        </w:trPr>
        <w:tc>
          <w:tcPr>
            <w:tcW w:w="877" w:type="dxa"/>
            <w:hideMark/>
          </w:tcPr>
          <w:p w14:paraId="7B20B48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Choi et al., 2023</w:t>
            </w:r>
          </w:p>
        </w:tc>
        <w:tc>
          <w:tcPr>
            <w:tcW w:w="1217" w:type="dxa"/>
            <w:hideMark/>
          </w:tcPr>
          <w:p w14:paraId="30BBAD4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South Korea</w:t>
            </w:r>
          </w:p>
        </w:tc>
        <w:tc>
          <w:tcPr>
            <w:tcW w:w="1031" w:type="dxa"/>
            <w:hideMark/>
          </w:tcPr>
          <w:p w14:paraId="2AF3B38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Survey experiment</w:t>
            </w:r>
          </w:p>
        </w:tc>
        <w:tc>
          <w:tcPr>
            <w:tcW w:w="1160" w:type="dxa"/>
            <w:hideMark/>
          </w:tcPr>
          <w:p w14:paraId="623BB62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General South Korean public, randomized sample</w:t>
            </w:r>
          </w:p>
        </w:tc>
        <w:tc>
          <w:tcPr>
            <w:tcW w:w="677" w:type="dxa"/>
            <w:hideMark/>
          </w:tcPr>
          <w:p w14:paraId="27C8147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1500</w:t>
            </w:r>
          </w:p>
        </w:tc>
        <w:tc>
          <w:tcPr>
            <w:tcW w:w="998" w:type="dxa"/>
            <w:hideMark/>
          </w:tcPr>
          <w:p w14:paraId="41C6F83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Messaging on mpox targeting MSM as a risk group</w:t>
            </w:r>
          </w:p>
        </w:tc>
        <w:tc>
          <w:tcPr>
            <w:tcW w:w="902" w:type="dxa"/>
            <w:hideMark/>
          </w:tcPr>
          <w:p w14:paraId="092C6884"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None specified</w:t>
            </w:r>
          </w:p>
        </w:tc>
        <w:tc>
          <w:tcPr>
            <w:tcW w:w="1119" w:type="dxa"/>
            <w:hideMark/>
          </w:tcPr>
          <w:p w14:paraId="07B234F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Public health communication strategies</w:t>
            </w:r>
          </w:p>
        </w:tc>
        <w:tc>
          <w:tcPr>
            <w:tcW w:w="1829" w:type="dxa"/>
            <w:hideMark/>
          </w:tcPr>
          <w:p w14:paraId="5AA6DD9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Support for LGBTQ+ event restrictions, perceptions of mpox risk, willingness to vaccinate</w:t>
            </w:r>
          </w:p>
        </w:tc>
        <w:tc>
          <w:tcPr>
            <w:tcW w:w="2070" w:type="dxa"/>
            <w:hideMark/>
          </w:tcPr>
          <w:p w14:paraId="4E8FDF5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Emphasizing MSM as a risk group increased support for restricting LGBTQ+ events by 7 percentage points compared to control; no effect on support for restricting travel from Africa; no change in risk perception or vaccination willingness</w:t>
            </w:r>
          </w:p>
        </w:tc>
      </w:tr>
      <w:tr w:rsidR="006D5EFF" w:rsidRPr="006D5EFF" w14:paraId="029F9488" w14:textId="77777777" w:rsidTr="006D5EFF">
        <w:trPr>
          <w:trHeight w:val="315"/>
        </w:trPr>
        <w:tc>
          <w:tcPr>
            <w:tcW w:w="877" w:type="dxa"/>
            <w:hideMark/>
          </w:tcPr>
          <w:p w14:paraId="177C3F4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Tomita et al., 2023</w:t>
            </w:r>
          </w:p>
        </w:tc>
        <w:tc>
          <w:tcPr>
            <w:tcW w:w="1217" w:type="dxa"/>
            <w:hideMark/>
          </w:tcPr>
          <w:p w14:paraId="1494B8E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Japan</w:t>
            </w:r>
          </w:p>
        </w:tc>
        <w:tc>
          <w:tcPr>
            <w:tcW w:w="1031" w:type="dxa"/>
            <w:hideMark/>
          </w:tcPr>
          <w:p w14:paraId="28862BA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Open-label, non-randomized study</w:t>
            </w:r>
          </w:p>
        </w:tc>
        <w:tc>
          <w:tcPr>
            <w:tcW w:w="1160" w:type="dxa"/>
            <w:hideMark/>
          </w:tcPr>
          <w:p w14:paraId="3E46856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Individuals in close contact with mpox patients (all male, median age 42 years); </w:t>
            </w:r>
            <w:r w:rsidRPr="006D5EFF">
              <w:rPr>
                <w:rFonts w:cs="Times New Roman"/>
                <w:sz w:val="18"/>
                <w:szCs w:val="18"/>
              </w:rPr>
              <w:lastRenderedPageBreak/>
              <w:t>some participants had comorbidities (e.g., HIV, diabetes, dyslipidemia)</w:t>
            </w:r>
          </w:p>
        </w:tc>
        <w:tc>
          <w:tcPr>
            <w:tcW w:w="677" w:type="dxa"/>
            <w:hideMark/>
          </w:tcPr>
          <w:p w14:paraId="32793BD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6</w:t>
            </w:r>
          </w:p>
        </w:tc>
        <w:tc>
          <w:tcPr>
            <w:tcW w:w="998" w:type="dxa"/>
            <w:hideMark/>
          </w:tcPr>
          <w:p w14:paraId="6FF980B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Close contact with mpox patients, including mucous membrane contact </w:t>
            </w:r>
            <w:r w:rsidRPr="006D5EFF">
              <w:rPr>
                <w:rFonts w:cs="Times New Roman"/>
                <w:sz w:val="18"/>
                <w:szCs w:val="18"/>
              </w:rPr>
              <w:lastRenderedPageBreak/>
              <w:t>and family cohabitation</w:t>
            </w:r>
          </w:p>
        </w:tc>
        <w:tc>
          <w:tcPr>
            <w:tcW w:w="902" w:type="dxa"/>
            <w:hideMark/>
          </w:tcPr>
          <w:p w14:paraId="51CBF5F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Post-exposure inoculation with "Freeze-dried cell culture Smallpo</w:t>
            </w:r>
            <w:r w:rsidRPr="006D5EFF">
              <w:rPr>
                <w:rFonts w:cs="Times New Roman"/>
                <w:sz w:val="18"/>
                <w:szCs w:val="18"/>
              </w:rPr>
              <w:lastRenderedPageBreak/>
              <w:t>x Vaccine LC16" within 14 days of contact</w:t>
            </w:r>
          </w:p>
        </w:tc>
        <w:tc>
          <w:tcPr>
            <w:tcW w:w="1119" w:type="dxa"/>
            <w:hideMark/>
          </w:tcPr>
          <w:p w14:paraId="18A8374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 xml:space="preserve">Follow-up for 28 days, assessing mpox onset and adverse events; supportive </w:t>
            </w:r>
            <w:r w:rsidRPr="006D5EFF">
              <w:rPr>
                <w:rFonts w:cs="Times New Roman"/>
                <w:sz w:val="18"/>
                <w:szCs w:val="18"/>
              </w:rPr>
              <w:lastRenderedPageBreak/>
              <w:t>care for side effects</w:t>
            </w:r>
          </w:p>
        </w:tc>
        <w:tc>
          <w:tcPr>
            <w:tcW w:w="1829" w:type="dxa"/>
            <w:hideMark/>
          </w:tcPr>
          <w:p w14:paraId="085DBF98"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lastRenderedPageBreak/>
              <w:t>Incidence of mpox, severity, side effects, local skin reactions</w:t>
            </w:r>
          </w:p>
        </w:tc>
        <w:tc>
          <w:tcPr>
            <w:tcW w:w="2070" w:type="dxa"/>
            <w:hideMark/>
          </w:tcPr>
          <w:p w14:paraId="0F8BD60E"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No mpox cases observed; all adverse events (rash, fever, lymphadenopathy, etc.) were non-severe; no ICU admissions, death, or severe complications</w:t>
            </w:r>
          </w:p>
        </w:tc>
      </w:tr>
      <w:tr w:rsidR="006D5EFF" w:rsidRPr="006D5EFF" w14:paraId="6DCD9D4A" w14:textId="77777777" w:rsidTr="006D5EFF">
        <w:trPr>
          <w:trHeight w:val="315"/>
        </w:trPr>
        <w:tc>
          <w:tcPr>
            <w:tcW w:w="877" w:type="dxa"/>
            <w:hideMark/>
          </w:tcPr>
          <w:p w14:paraId="3F11D6C9"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Adler et al., 2022</w:t>
            </w:r>
          </w:p>
        </w:tc>
        <w:tc>
          <w:tcPr>
            <w:tcW w:w="1217" w:type="dxa"/>
            <w:hideMark/>
          </w:tcPr>
          <w:p w14:paraId="2A69AB66"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UK</w:t>
            </w:r>
          </w:p>
        </w:tc>
        <w:tc>
          <w:tcPr>
            <w:tcW w:w="1031" w:type="dxa"/>
            <w:hideMark/>
          </w:tcPr>
          <w:p w14:paraId="32E13262"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Retrospective observational</w:t>
            </w:r>
          </w:p>
        </w:tc>
        <w:tc>
          <w:tcPr>
            <w:tcW w:w="1160" w:type="dxa"/>
            <w:hideMark/>
          </w:tcPr>
          <w:p w14:paraId="0456BAA3" w14:textId="145F14DC"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Patients with confirmed </w:t>
            </w:r>
            <w:proofErr w:type="spellStart"/>
            <w:r w:rsidR="0057313E">
              <w:rPr>
                <w:rFonts w:cs="Times New Roman"/>
                <w:sz w:val="18"/>
                <w:szCs w:val="18"/>
              </w:rPr>
              <w:t>mpox</w:t>
            </w:r>
            <w:proofErr w:type="spellEnd"/>
            <w:r w:rsidRPr="006D5EFF">
              <w:rPr>
                <w:rFonts w:cs="Times New Roman"/>
                <w:sz w:val="18"/>
                <w:szCs w:val="18"/>
              </w:rPr>
              <w:t xml:space="preserve"> admitted to HCID centers between Aug 15, 2018, and Sept 10, 2021; includes a range of adults and one pediatric patient</w:t>
            </w:r>
          </w:p>
        </w:tc>
        <w:tc>
          <w:tcPr>
            <w:tcW w:w="677" w:type="dxa"/>
            <w:hideMark/>
          </w:tcPr>
          <w:p w14:paraId="0E42BB5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7</w:t>
            </w:r>
          </w:p>
        </w:tc>
        <w:tc>
          <w:tcPr>
            <w:tcW w:w="998" w:type="dxa"/>
            <w:hideMark/>
          </w:tcPr>
          <w:p w14:paraId="3118931A"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Contact with infected individuals (e.g., travel history to endemic areas, nosocomial transmission)</w:t>
            </w:r>
          </w:p>
        </w:tc>
        <w:tc>
          <w:tcPr>
            <w:tcW w:w="902" w:type="dxa"/>
            <w:hideMark/>
          </w:tcPr>
          <w:p w14:paraId="16D01847"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Personal protective equipment (PPE) for healthcare workers; smallpox vaccination</w:t>
            </w:r>
          </w:p>
        </w:tc>
        <w:tc>
          <w:tcPr>
            <w:tcW w:w="1119" w:type="dxa"/>
            <w:hideMark/>
          </w:tcPr>
          <w:p w14:paraId="48400860"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Supportive care; antivirals (</w:t>
            </w:r>
            <w:proofErr w:type="spellStart"/>
            <w:r w:rsidRPr="006D5EFF">
              <w:rPr>
                <w:rFonts w:cs="Times New Roman"/>
                <w:sz w:val="18"/>
                <w:szCs w:val="18"/>
              </w:rPr>
              <w:t>Brincidofovir</w:t>
            </w:r>
            <w:proofErr w:type="spellEnd"/>
            <w:r w:rsidRPr="006D5EFF">
              <w:rPr>
                <w:rFonts w:cs="Times New Roman"/>
                <w:sz w:val="18"/>
                <w:szCs w:val="18"/>
              </w:rPr>
              <w:t>, Tecovirimat); broad-spectrum antibiotics for complications</w:t>
            </w:r>
          </w:p>
        </w:tc>
        <w:tc>
          <w:tcPr>
            <w:tcW w:w="1829" w:type="dxa"/>
            <w:hideMark/>
          </w:tcPr>
          <w:p w14:paraId="5B8E27A3"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Full recovery of all patients; hospitalization duration, complications</w:t>
            </w:r>
          </w:p>
        </w:tc>
        <w:tc>
          <w:tcPr>
            <w:tcW w:w="2070" w:type="dxa"/>
            <w:hideMark/>
          </w:tcPr>
          <w:p w14:paraId="77936D1B" w14:textId="77777777" w:rsidR="006D5EFF" w:rsidRPr="006D5EFF" w:rsidRDefault="006D5EFF" w:rsidP="006D5EFF">
            <w:pPr>
              <w:spacing w:after="160" w:line="259" w:lineRule="auto"/>
              <w:jc w:val="both"/>
              <w:rPr>
                <w:rFonts w:cs="Times New Roman"/>
                <w:sz w:val="18"/>
                <w:szCs w:val="18"/>
              </w:rPr>
            </w:pPr>
            <w:r w:rsidRPr="006D5EFF">
              <w:rPr>
                <w:rFonts w:cs="Times New Roman"/>
                <w:sz w:val="18"/>
                <w:szCs w:val="18"/>
              </w:rPr>
              <w:t xml:space="preserve">Most patients experienced a mild course of illness with full recovery; </w:t>
            </w:r>
            <w:proofErr w:type="spellStart"/>
            <w:r w:rsidRPr="006D5EFF">
              <w:rPr>
                <w:rFonts w:cs="Times New Roman"/>
                <w:sz w:val="18"/>
                <w:szCs w:val="18"/>
              </w:rPr>
              <w:t>brincidofovir</w:t>
            </w:r>
            <w:proofErr w:type="spellEnd"/>
            <w:r w:rsidRPr="006D5EFF">
              <w:rPr>
                <w:rFonts w:cs="Times New Roman"/>
                <w:sz w:val="18"/>
                <w:szCs w:val="18"/>
              </w:rPr>
              <w:t xml:space="preserve"> caused elevated liver enzymes; tecovirimat showed promise in shortening hospital stay</w:t>
            </w:r>
          </w:p>
        </w:tc>
      </w:tr>
      <w:tr w:rsidR="006D5EFF" w:rsidRPr="006D5EFF" w14:paraId="503CFDD5" w14:textId="77777777" w:rsidTr="00621231">
        <w:trPr>
          <w:trHeight w:val="315"/>
        </w:trPr>
        <w:tc>
          <w:tcPr>
            <w:tcW w:w="11880" w:type="dxa"/>
            <w:gridSpan w:val="10"/>
          </w:tcPr>
          <w:p w14:paraId="7AE221F0" w14:textId="5EB23B76" w:rsidR="006D5EFF" w:rsidRPr="006D5EFF" w:rsidRDefault="006D5EFF" w:rsidP="006D5EFF">
            <w:pPr>
              <w:jc w:val="both"/>
              <w:rPr>
                <w:rFonts w:cs="Times New Roman"/>
                <w:sz w:val="18"/>
                <w:szCs w:val="18"/>
              </w:rPr>
            </w:pPr>
            <w:r w:rsidRPr="006D5EFF">
              <w:rPr>
                <w:rFonts w:cs="Times New Roman"/>
                <w:b/>
                <w:bCs/>
                <w:sz w:val="18"/>
                <w:szCs w:val="18"/>
              </w:rPr>
              <w:t>List of Abbreviations:</w:t>
            </w:r>
            <w:r w:rsidRPr="006D5EFF">
              <w:rPr>
                <w:rFonts w:cs="Times New Roman"/>
                <w:sz w:val="18"/>
                <w:szCs w:val="18"/>
              </w:rPr>
              <w:t xml:space="preserve"> ART: Antiretroviral Therapy; CI: Confidence Interval; GBMSM: Gay, Bisexual, and other Men who have Sex with Men; HCID: High Consequence Infectious Disease; HIV: Human Immunodeficiency Virus; ICU: Intensive Care Unit; LGBTQ+: Lesbian, Gay, Bisexual, Transgender/-sexual, Queer or Questioning; MPX: </w:t>
            </w:r>
            <w:proofErr w:type="spellStart"/>
            <w:r w:rsidR="0057313E">
              <w:rPr>
                <w:rFonts w:cs="Times New Roman"/>
                <w:sz w:val="18"/>
                <w:szCs w:val="18"/>
              </w:rPr>
              <w:t>Mpox</w:t>
            </w:r>
            <w:proofErr w:type="spellEnd"/>
            <w:r w:rsidRPr="006D5EFF">
              <w:rPr>
                <w:rFonts w:cs="Times New Roman"/>
                <w:sz w:val="18"/>
                <w:szCs w:val="18"/>
              </w:rPr>
              <w:t>; MSM: Men who have Sex with Men; MVA-BN: Modified Vaccinia Ankara-Bavaria Nordic; NSAIDs: Non-Steroidal Anti-Inflammatory Drugs; PCR: Polymerase Chain Reaction; PEP: Post-Exposure Prophylaxis; PEPF: Post-Exposure Prophylaxis following first exposure; PEPL: Post-Exposure Prophylaxis within 14 days of last exposure; PK: Pharmacokinetics; PPE: Personal Protective Equipment; STIs: Sexually Transmitted Infections</w:t>
            </w:r>
          </w:p>
        </w:tc>
      </w:tr>
    </w:tbl>
    <w:p w14:paraId="671E2AAB" w14:textId="77777777" w:rsidR="006D5EFF" w:rsidRPr="006D5EFF" w:rsidRDefault="006D5EFF" w:rsidP="006D5EFF">
      <w:pPr>
        <w:jc w:val="both"/>
      </w:pPr>
    </w:p>
    <w:p w14:paraId="162BB13C" w14:textId="775DEBB2" w:rsidR="006D5EFF" w:rsidRPr="006D5EFF" w:rsidRDefault="006D5EFF" w:rsidP="006D5EFF">
      <w:pPr>
        <w:jc w:val="both"/>
      </w:pPr>
      <w:r w:rsidRPr="006D5EFF">
        <w:t>In Japan, Akiyama et al. (2024) conducted a prospective observational study involving 19 male patients with mpox, 52.6% of whom were co-infected with HIV</w:t>
      </w:r>
      <w:r w:rsidR="009E08CA">
        <w:t xml:space="preserve"> (11)</w:t>
      </w:r>
      <w:r w:rsidRPr="006D5EFF">
        <w:t xml:space="preserve">. The study found that early administration of tecovirimat significantly reduced viral shedding duration, although patients with HIV exhibited prolonged viral shedding. All patients ultimately recovered, and no adverse events were reported. </w:t>
      </w:r>
      <w:proofErr w:type="spellStart"/>
      <w:r w:rsidRPr="006D5EFF">
        <w:t>Tempestilli</w:t>
      </w:r>
      <w:proofErr w:type="spellEnd"/>
      <w:r w:rsidRPr="006D5EFF">
        <w:t xml:space="preserve"> et al. (2024), in a similar setting in Italy, observed 14 male patients with severe mpox, including six with HIV</w:t>
      </w:r>
      <w:r w:rsidR="00F96A8F">
        <w:t xml:space="preserve"> (12)</w:t>
      </w:r>
      <w:r w:rsidRPr="006D5EFF">
        <w:t>. They noted significantly lower plasma tecovirimat concentrations among HIV-positive individuals, but all patients recovered without differences in clinical outcomes.</w:t>
      </w:r>
    </w:p>
    <w:p w14:paraId="253AF582" w14:textId="621C8300" w:rsidR="006D5EFF" w:rsidRPr="006D5EFF" w:rsidRDefault="006D5EFF" w:rsidP="006D5EFF">
      <w:pPr>
        <w:jc w:val="both"/>
      </w:pPr>
      <w:r w:rsidRPr="006D5EFF">
        <w:t>In the USA, Rosen et al. (2024) evaluated the effectiveness of the JYNNEOS vaccine as post-exposure prophylaxis (PEP) for individuals exposed to mpox</w:t>
      </w:r>
      <w:r w:rsidR="009E08CA">
        <w:t xml:space="preserve"> (1</w:t>
      </w:r>
      <w:r w:rsidR="00D06825">
        <w:t>3</w:t>
      </w:r>
      <w:r w:rsidR="009E08CA">
        <w:t>)</w:t>
      </w:r>
      <w:r w:rsidRPr="006D5EFF">
        <w:t>. Among the 594 participants, PEPL effectiveness was found to be 78% using a conventional method but only 19% when a target trial emulation method was used, highlighting the influence of analytical methods on effectiveness estimates. Additionally, PEPL and PEPF effectiveness varied significantly, with PEPF effectiveness estimated at 73% (conventional method) and -7% (target trial method)</w:t>
      </w:r>
      <w:r w:rsidR="00612E71">
        <w:t xml:space="preserve"> (1</w:t>
      </w:r>
      <w:r w:rsidR="00D06825">
        <w:t>3</w:t>
      </w:r>
      <w:r w:rsidR="00612E71">
        <w:t>)</w:t>
      </w:r>
      <w:r w:rsidRPr="006D5EFF">
        <w:t>.</w:t>
      </w:r>
    </w:p>
    <w:p w14:paraId="61E9443B" w14:textId="3B29BC67" w:rsidR="006D5EFF" w:rsidRPr="006D5EFF" w:rsidRDefault="006D5EFF" w:rsidP="006D5EFF">
      <w:pPr>
        <w:jc w:val="both"/>
      </w:pPr>
      <w:r w:rsidRPr="006D5EFF">
        <w:t xml:space="preserve">In Saudi Arabia, </w:t>
      </w:r>
      <w:proofErr w:type="spellStart"/>
      <w:r w:rsidRPr="006D5EFF">
        <w:t>Assiri</w:t>
      </w:r>
      <w:proofErr w:type="spellEnd"/>
      <w:r w:rsidRPr="006D5EFF">
        <w:t xml:space="preserve"> et al. (2023) performed a retrospective observational study of seven travel-related mpox cases among males aged 24 to 41 years</w:t>
      </w:r>
      <w:r w:rsidR="00755AE6">
        <w:t xml:space="preserve"> (1</w:t>
      </w:r>
      <w:r w:rsidR="00D06825">
        <w:t>4</w:t>
      </w:r>
      <w:r w:rsidR="00755AE6">
        <w:t>)</w:t>
      </w:r>
      <w:r w:rsidRPr="006D5EFF">
        <w:t xml:space="preserve">. Transmission occurred through heterosexual contact and other intimate encounters while </w:t>
      </w:r>
      <w:r w:rsidRPr="005F50BC">
        <w:rPr>
          <w:highlight w:val="yellow"/>
        </w:rPr>
        <w:t>trave</w:t>
      </w:r>
      <w:r w:rsidR="00923F3A" w:rsidRPr="005F50BC">
        <w:rPr>
          <w:highlight w:val="yellow"/>
        </w:rPr>
        <w:t>l</w:t>
      </w:r>
      <w:r w:rsidRPr="005F50BC">
        <w:rPr>
          <w:highlight w:val="yellow"/>
        </w:rPr>
        <w:t>ling.</w:t>
      </w:r>
      <w:r w:rsidRPr="006D5EFF">
        <w:t xml:space="preserve"> The illness presented as mild to moderate, with symptoms including skin lesions, fever, and lymphadenopathy, resolving </w:t>
      </w:r>
      <w:r w:rsidRPr="006D5EFF">
        <w:lastRenderedPageBreak/>
        <w:t>without antiviral treatment. Importantly, no secondary cases were identified through contact tracing</w:t>
      </w:r>
      <w:r w:rsidR="00C61B11">
        <w:t xml:space="preserve"> (1</w:t>
      </w:r>
      <w:r w:rsidR="00D06825">
        <w:t>4</w:t>
      </w:r>
      <w:r w:rsidR="00C61B11">
        <w:t>)</w:t>
      </w:r>
      <w:r w:rsidRPr="006D5EFF">
        <w:t>.</w:t>
      </w:r>
    </w:p>
    <w:p w14:paraId="4CEB7AA0" w14:textId="1EF4BED8" w:rsidR="006D5EFF" w:rsidRPr="006D5EFF" w:rsidRDefault="006D5EFF" w:rsidP="006D5EFF">
      <w:pPr>
        <w:jc w:val="both"/>
      </w:pPr>
      <w:r w:rsidRPr="006D5EFF">
        <w:t xml:space="preserve">In the UK, Bertran et al. (2023) assessed the effectiveness of a single dose of MVA-BN vaccine in at-risk gay, bisexual, and other men who have sex with men (GBMSM) </w:t>
      </w:r>
      <w:r w:rsidRPr="005F50BC">
        <w:rPr>
          <w:highlight w:val="yellow"/>
        </w:rPr>
        <w:t>during a</w:t>
      </w:r>
      <w:r w:rsidR="00923F3A" w:rsidRPr="005F50BC">
        <w:rPr>
          <w:highlight w:val="yellow"/>
        </w:rPr>
        <w:t>n</w:t>
      </w:r>
      <w:r w:rsidRPr="005F50BC">
        <w:rPr>
          <w:highlight w:val="yellow"/>
        </w:rPr>
        <w:t xml:space="preserve"> </w:t>
      </w:r>
      <w:proofErr w:type="spellStart"/>
      <w:r w:rsidRPr="005F50BC">
        <w:rPr>
          <w:highlight w:val="yellow"/>
        </w:rPr>
        <w:t>mpox</w:t>
      </w:r>
      <w:proofErr w:type="spellEnd"/>
      <w:r w:rsidRPr="005F50BC">
        <w:rPr>
          <w:highlight w:val="yellow"/>
        </w:rPr>
        <w:t xml:space="preserve"> outbreak</w:t>
      </w:r>
      <w:r w:rsidR="001B743A">
        <w:t xml:space="preserve"> (1</w:t>
      </w:r>
      <w:r w:rsidR="00D06825">
        <w:t>5</w:t>
      </w:r>
      <w:r w:rsidR="001B743A">
        <w:t>)</w:t>
      </w:r>
      <w:r w:rsidRPr="006D5EFF">
        <w:t>. In their case-coverage study of 363 individuals, they found that the estimated vaccine effectiveness was 78% against symptomatic mpox at least 14 days post-vaccination, with effectiveness dropping to -4% within the first 0-13 days</w:t>
      </w:r>
      <w:r w:rsidR="001B743A">
        <w:t xml:space="preserve"> (1</w:t>
      </w:r>
      <w:r w:rsidR="00D06825">
        <w:t>5</w:t>
      </w:r>
      <w:r w:rsidR="001B743A">
        <w:t>)</w:t>
      </w:r>
      <w:r w:rsidRPr="006D5EFF">
        <w:t>.</w:t>
      </w:r>
    </w:p>
    <w:p w14:paraId="00CC3B3F" w14:textId="4B2D8E10" w:rsidR="006D5EFF" w:rsidRPr="006D5EFF" w:rsidRDefault="006D5EFF" w:rsidP="006D5EFF">
      <w:pPr>
        <w:jc w:val="both"/>
      </w:pPr>
      <w:proofErr w:type="spellStart"/>
      <w:r w:rsidRPr="006D5EFF">
        <w:t>Ciccarese</w:t>
      </w:r>
      <w:proofErr w:type="spellEnd"/>
      <w:r w:rsidRPr="006D5EFF">
        <w:t xml:space="preserve"> et al. (2023) performed an observational study on 16 men with mpox in Italy, most of whom were MSM or bisexual</w:t>
      </w:r>
      <w:r w:rsidR="002459BD">
        <w:t xml:space="preserve"> (1</w:t>
      </w:r>
      <w:r w:rsidR="00D06825">
        <w:t>6</w:t>
      </w:r>
      <w:r w:rsidR="002459BD">
        <w:t>)</w:t>
      </w:r>
      <w:r w:rsidRPr="006D5EFF">
        <w:t xml:space="preserve">. They found a range of mucosal and cutaneous lesions, mainly in the anogenital region, with four patients requiring hospitalization for severe anorectal pain or soft tissue superinfection. Despite the complications, outcomes were </w:t>
      </w:r>
      <w:proofErr w:type="spellStart"/>
      <w:r w:rsidRPr="005F50BC">
        <w:rPr>
          <w:highlight w:val="yellow"/>
        </w:rPr>
        <w:t>favo</w:t>
      </w:r>
      <w:r w:rsidR="00923F3A" w:rsidRPr="005F50BC">
        <w:rPr>
          <w:highlight w:val="yellow"/>
        </w:rPr>
        <w:t>u</w:t>
      </w:r>
      <w:r w:rsidRPr="005F50BC">
        <w:rPr>
          <w:highlight w:val="yellow"/>
        </w:rPr>
        <w:t>rable</w:t>
      </w:r>
      <w:proofErr w:type="spellEnd"/>
      <w:r w:rsidRPr="006D5EFF">
        <w:t xml:space="preserve"> overall. Similarly, in Milan, Candela et al. (2023) studied 140 individuals from a sexual health clinic, finding that sexual transmission was predominant, and co-infection with other STIs was common. The majority of symptoms were self-resolving, though some patients required hospitalization</w:t>
      </w:r>
      <w:r w:rsidR="002459BD">
        <w:t xml:space="preserve"> (1</w:t>
      </w:r>
      <w:r w:rsidR="00D06825">
        <w:t>7</w:t>
      </w:r>
      <w:r w:rsidR="002459BD">
        <w:t>)</w:t>
      </w:r>
      <w:r w:rsidRPr="006D5EFF">
        <w:t>.</w:t>
      </w:r>
    </w:p>
    <w:p w14:paraId="3609A1AD" w14:textId="7F478E82" w:rsidR="006D5EFF" w:rsidRPr="006D5EFF" w:rsidRDefault="006D5EFF" w:rsidP="006D5EFF">
      <w:pPr>
        <w:jc w:val="both"/>
      </w:pPr>
      <w:r w:rsidRPr="006D5EFF">
        <w:t>Choi et al. (2023) conducted a survey experiment in South Korea, which highlighted the potential for stigma associated with public health communication</w:t>
      </w:r>
      <w:r w:rsidR="002459BD">
        <w:t xml:space="preserve"> (1</w:t>
      </w:r>
      <w:r w:rsidR="00D06825">
        <w:t>8</w:t>
      </w:r>
      <w:r w:rsidR="002459BD">
        <w:t>)</w:t>
      </w:r>
      <w:r w:rsidRPr="006D5EFF">
        <w:t>. Emphasizing that MSM were at higher risk increased public support for restricting LGBTQ+ events, while no effect was observed for restricting travel from Africa. Interestingly, neither risk perception nor vaccination willingness were altered by the messaging</w:t>
      </w:r>
      <w:r w:rsidR="002459BD">
        <w:t xml:space="preserve"> (1</w:t>
      </w:r>
      <w:r w:rsidR="00D06825">
        <w:t>8</w:t>
      </w:r>
      <w:r w:rsidR="002459BD">
        <w:t>)</w:t>
      </w:r>
      <w:r w:rsidRPr="006D5EFF">
        <w:t>.</w:t>
      </w:r>
    </w:p>
    <w:p w14:paraId="2A8C2FC2" w14:textId="656EC2DA" w:rsidR="006D5EFF" w:rsidRPr="006D5EFF" w:rsidRDefault="006D5EFF" w:rsidP="006D5EFF">
      <w:pPr>
        <w:jc w:val="both"/>
      </w:pPr>
      <w:r w:rsidRPr="006D5EFF">
        <w:t>Tomita et al. (2023) investigated the effects of a post-exposure inoculation with the LC16 smallpox vaccine in six male individuals in Japan who had been in close contact with mpox patients</w:t>
      </w:r>
      <w:r w:rsidR="004825C8">
        <w:t xml:space="preserve"> (1</w:t>
      </w:r>
      <w:r w:rsidR="00D06825">
        <w:t>9</w:t>
      </w:r>
      <w:r w:rsidR="004825C8">
        <w:t>)</w:t>
      </w:r>
      <w:r w:rsidRPr="006D5EFF">
        <w:t>. No cases of mpox were observed, and while adverse events such as rash, fever, and lymphadenopathy were noted, they were all mild. No severe complications or ICU admissions occurred</w:t>
      </w:r>
      <w:r w:rsidR="0009553C">
        <w:t xml:space="preserve"> (1</w:t>
      </w:r>
      <w:r w:rsidR="00D06825">
        <w:t>9</w:t>
      </w:r>
      <w:r w:rsidR="0009553C">
        <w:t>)</w:t>
      </w:r>
      <w:r w:rsidRPr="006D5EFF">
        <w:t>.</w:t>
      </w:r>
    </w:p>
    <w:p w14:paraId="5F10F679" w14:textId="741A89F6" w:rsidR="006D5EFF" w:rsidRPr="006D5EFF" w:rsidRDefault="006D5EFF" w:rsidP="006D5EFF">
      <w:pPr>
        <w:jc w:val="both"/>
      </w:pPr>
      <w:r w:rsidRPr="006D5EFF">
        <w:t xml:space="preserve">Finally, Adler et al. (2022) analyzed the clinical outcomes of seven patients admitted to </w:t>
      </w:r>
      <w:r w:rsidR="00923F3A" w:rsidRPr="005F50BC">
        <w:rPr>
          <w:highlight w:val="yellow"/>
        </w:rPr>
        <w:t>high</w:t>
      </w:r>
      <w:r w:rsidR="00923F3A" w:rsidRPr="005F50BC">
        <w:rPr>
          <w:highlight w:val="yellow"/>
        </w:rPr>
        <w:t>-</w:t>
      </w:r>
      <w:r w:rsidRPr="005F50BC">
        <w:rPr>
          <w:highlight w:val="yellow"/>
        </w:rPr>
        <w:t>consequence infectious disease (HCID) centers in the UK for confirmed mpox between 2018 and</w:t>
      </w:r>
      <w:r w:rsidRPr="006D5EFF">
        <w:t xml:space="preserve"> 2021</w:t>
      </w:r>
      <w:r w:rsidR="00D06825">
        <w:t xml:space="preserve"> (20)</w:t>
      </w:r>
      <w:r w:rsidRPr="006D5EFF">
        <w:t xml:space="preserve">. Full recovery was observed in all patients, although some experienced complications such as elevated liver enzymes from </w:t>
      </w:r>
      <w:proofErr w:type="spellStart"/>
      <w:r w:rsidRPr="006D5EFF">
        <w:t>brincidofovir</w:t>
      </w:r>
      <w:proofErr w:type="spellEnd"/>
      <w:r w:rsidRPr="006D5EFF">
        <w:t xml:space="preserve"> treatment. Tecovirimat, on the other hand, was found to potentially shorten hospital stays.</w:t>
      </w:r>
    </w:p>
    <w:p w14:paraId="28CC675C" w14:textId="77777777" w:rsidR="006D5EFF" w:rsidRPr="006D5EFF" w:rsidRDefault="006D5EFF" w:rsidP="006D5EFF">
      <w:pPr>
        <w:jc w:val="both"/>
      </w:pPr>
      <w:r w:rsidRPr="006D5EFF">
        <w:t xml:space="preserve">Overall, the studies included in this systematic review revealed that mpox infection presented with a variety of clinical symptoms ranging from mild to moderate, often involving skin and mucosal lesions, and was frequently self-resolving. The use of vaccines (JYNNEOS and MVA-BN) showed promising protective effects, particularly for individuals at high risk, such as GBMSM. Early administration of tecovirimat was effective in reducing viral shedding and potentially limiting transmission, though prolonged viral shedding was noted in individuals with HIV. Co-infection with other STIs was common, particularly among MSM, necessitating integrated approaches to care in these populations. Furthermore, findings from Choi et al. highlighted the importance of culturally sensitive public health messaging to avoid stigma while targeting at-risk groups. Overall, these studies underscored the heterogeneity in clinical presentations, preventive measures, and management strategies, with effective treatments and preventive measures available, but also </w:t>
      </w:r>
      <w:r w:rsidRPr="006D5EFF">
        <w:lastRenderedPageBreak/>
        <w:t>highlighted areas requiring further research, particularly in understanding transmission dynamics and optimizing public health responses.</w:t>
      </w:r>
    </w:p>
    <w:p w14:paraId="368FDB2D" w14:textId="77777777" w:rsidR="007A22A1" w:rsidRPr="007A22A1" w:rsidRDefault="007A22A1" w:rsidP="007A22A1">
      <w:pPr>
        <w:rPr>
          <w:b/>
          <w:bCs/>
        </w:rPr>
      </w:pPr>
      <w:r w:rsidRPr="007A22A1">
        <w:rPr>
          <w:b/>
          <w:bCs/>
        </w:rPr>
        <w:t>Discussion</w:t>
      </w:r>
    </w:p>
    <w:p w14:paraId="47D830D9" w14:textId="77777777" w:rsidR="007A22A1" w:rsidRPr="007A22A1" w:rsidRDefault="007A22A1" w:rsidP="007A22A1">
      <w:pPr>
        <w:jc w:val="both"/>
      </w:pPr>
      <w:r w:rsidRPr="007A22A1">
        <w:t>The findings of this systematic review highlight the significant variability in the clinical presentation, risk factors, preventive measures, and management strategies for mpox across different populations and settings. Mpox, while generally less severe than smallpox, still poses a considerable public health threat, especially in populations with high-risk factors such as immunocompromised individuals and those with increased exposure risk, like MSM populations and healthcare workers.</w:t>
      </w:r>
    </w:p>
    <w:p w14:paraId="092860A7" w14:textId="7C337711" w:rsidR="007A22A1" w:rsidRPr="007A22A1" w:rsidRDefault="007A22A1" w:rsidP="007A22A1">
      <w:pPr>
        <w:jc w:val="both"/>
      </w:pPr>
      <w:r w:rsidRPr="007A22A1">
        <w:t>The reviewed studies indicate that mpox presents with a wide range of symptoms, from mild skin and mucosal lesions to severe anorectal pain requiring hospitalization</w:t>
      </w:r>
      <w:r w:rsidR="00326C91">
        <w:t xml:space="preserve"> (21)</w:t>
      </w:r>
      <w:r w:rsidRPr="007A22A1">
        <w:t>. Notably, individuals with underlying conditions, such as HIV, tend to exhibit prolonged viral shedding and may experience more severe symptoms, highlighting the need for specialized management in these populations</w:t>
      </w:r>
      <w:r w:rsidR="005E68C3">
        <w:t xml:space="preserve"> (22)</w:t>
      </w:r>
      <w:r w:rsidRPr="007A22A1">
        <w:t>. Additionally, heterosexual transmission was documented in travel-related cases, which emphasizes that mpox is not limited to specific sexual networks but can affect a broader demographic.</w:t>
      </w:r>
    </w:p>
    <w:p w14:paraId="32F8D7F7" w14:textId="4D35C4AA" w:rsidR="007A22A1" w:rsidRPr="007A22A1" w:rsidRDefault="007A22A1" w:rsidP="007A22A1">
      <w:pPr>
        <w:jc w:val="both"/>
      </w:pPr>
      <w:r w:rsidRPr="007A22A1">
        <w:t>The role of vaccines in preventing mpox is crucial, particularly in high-risk groups</w:t>
      </w:r>
      <w:r w:rsidR="001E1C58">
        <w:t xml:space="preserve"> (23)</w:t>
      </w:r>
      <w:r w:rsidRPr="007A22A1">
        <w:t>. The JYNNEOS and MVA-BN vaccines demonstrated substantial efficacy in reducing symptomatic mpox among exposed individuals. However, the effectiveness varied based on timing and method of analysis, indicating the importance of timely administration and robust evaluation of vaccine impact. The variability in vaccine effectiveness, particularly in different exposure contexts, underscores the need for further research to optimize vaccination strategies during outbreaks</w:t>
      </w:r>
      <w:r w:rsidR="00FF137D">
        <w:t xml:space="preserve"> (24)</w:t>
      </w:r>
      <w:r w:rsidRPr="007A22A1">
        <w:t>.</w:t>
      </w:r>
    </w:p>
    <w:p w14:paraId="06CB1A7E" w14:textId="02F41C0F" w:rsidR="007A22A1" w:rsidRPr="007A22A1" w:rsidRDefault="007A22A1" w:rsidP="007A22A1">
      <w:pPr>
        <w:jc w:val="both"/>
      </w:pPr>
      <w:r w:rsidRPr="007A22A1">
        <w:t>Tecovirimat, an antiviral used for mpox, showed promise in reducing viral shedding duration and potentially shortening hospital stays, particularly when administered early</w:t>
      </w:r>
      <w:r w:rsidR="00FF137D">
        <w:t xml:space="preserve"> (25)</w:t>
      </w:r>
      <w:r w:rsidRPr="007A22A1">
        <w:t>. Nevertheless, patients with HIV showed lower plasma concentrations of tecovirimat, raising questions about dose optimization in this subgroup. The absence of significant differences in clinical outcomes between HIV-positive and HIV-negative individuals treated with tecovirimat suggests that it remains an effective treatment, though additional research on pharmacokinetics in immunocompromised patients is warranted.</w:t>
      </w:r>
    </w:p>
    <w:p w14:paraId="38C40AD9" w14:textId="2C40AB7F" w:rsidR="007A22A1" w:rsidRPr="007A22A1" w:rsidRDefault="007A22A1" w:rsidP="007A22A1">
      <w:pPr>
        <w:jc w:val="both"/>
      </w:pPr>
      <w:r w:rsidRPr="007A22A1">
        <w:t>Supportive care remains a cornerstone of mpox treatment, with symptomatic relief through NSAIDs, antibiotics, and hydration being commonly employed</w:t>
      </w:r>
      <w:r w:rsidR="00FF137D">
        <w:t xml:space="preserve"> (26)</w:t>
      </w:r>
      <w:r w:rsidRPr="007A22A1">
        <w:t>. However, the presence of co-infections, particularly among MSM, highlights the need for integrated healthcare approaches that address both mpox and concurrent STIs</w:t>
      </w:r>
      <w:r w:rsidR="005B533B">
        <w:t xml:space="preserve"> (27)</w:t>
      </w:r>
      <w:r w:rsidRPr="007A22A1">
        <w:t>. This is critical for ensuring comprehensive care and preventing further complications.</w:t>
      </w:r>
    </w:p>
    <w:p w14:paraId="770C58DF" w14:textId="77777777" w:rsidR="007A22A1" w:rsidRPr="007A22A1" w:rsidRDefault="007A22A1" w:rsidP="007A22A1">
      <w:pPr>
        <w:jc w:val="both"/>
      </w:pPr>
      <w:r w:rsidRPr="007A22A1">
        <w:t xml:space="preserve">The review underscores the need for culturally sensitive public health communication strategies. Messaging that explicitly targets at-risk groups, such as MSM, must be handled carefully to avoid stigmatization, as demonstrated by the survey experiment in South Korea, which showed increased support for restricting LGBTQ+ events without enhancing risk awareness or vaccine uptake. To </w:t>
      </w:r>
      <w:r w:rsidRPr="007A22A1">
        <w:lastRenderedPageBreak/>
        <w:t>improve public health outcomes, communication should focus on education and inclusivity, ensuring that at-risk communities feel supported rather than marginalized.</w:t>
      </w:r>
    </w:p>
    <w:p w14:paraId="2FBA6996" w14:textId="27AA14A4" w:rsidR="007A22A1" w:rsidRPr="007A22A1" w:rsidRDefault="007A22A1" w:rsidP="007A22A1">
      <w:pPr>
        <w:jc w:val="both"/>
      </w:pPr>
      <w:r w:rsidRPr="007A22A1">
        <w:t xml:space="preserve">The continued outbreaks of clades </w:t>
      </w:r>
      <w:proofErr w:type="spellStart"/>
      <w:r w:rsidRPr="007A22A1">
        <w:t>Ia</w:t>
      </w:r>
      <w:proofErr w:type="spellEnd"/>
      <w:r w:rsidRPr="007A22A1">
        <w:t xml:space="preserve"> and </w:t>
      </w:r>
      <w:proofErr w:type="spellStart"/>
      <w:r w:rsidRPr="007A22A1">
        <w:t>Ib</w:t>
      </w:r>
      <w:proofErr w:type="spellEnd"/>
      <w:r w:rsidRPr="007A22A1">
        <w:t xml:space="preserve"> in Africa, as well as the global spread of clade IIb, highlight the importance of international collaboration in addressing mpox</w:t>
      </w:r>
      <w:r w:rsidR="00C66F44">
        <w:t xml:space="preserve"> (28)</w:t>
      </w:r>
      <w:r w:rsidRPr="007A22A1">
        <w:t>. Effective outbreak management requires timely vaccination, robust surveillance, and targeted public health interventions to mitigate further spread. Additionally, the detection of mpox beyond Africa, particularly in non-endemic regions, points to the increasing need for vigilance in monitoring cross-border transmission</w:t>
      </w:r>
      <w:r w:rsidR="008A437D">
        <w:t xml:space="preserve"> (29)</w:t>
      </w:r>
      <w:r w:rsidRPr="007A22A1">
        <w:t>.</w:t>
      </w:r>
    </w:p>
    <w:p w14:paraId="1D715BA9" w14:textId="77777777" w:rsidR="007A22A1" w:rsidRPr="007A22A1" w:rsidRDefault="007A22A1" w:rsidP="007A22A1">
      <w:pPr>
        <w:jc w:val="both"/>
        <w:rPr>
          <w:b/>
          <w:bCs/>
          <w:i/>
          <w:iCs/>
        </w:rPr>
      </w:pPr>
      <w:r w:rsidRPr="007A22A1">
        <w:rPr>
          <w:b/>
          <w:bCs/>
          <w:i/>
          <w:iCs/>
        </w:rPr>
        <w:t>Limitations and Future Directions</w:t>
      </w:r>
    </w:p>
    <w:p w14:paraId="20D636C4" w14:textId="5F2B1E0A" w:rsidR="007A22A1" w:rsidRPr="007A22A1" w:rsidRDefault="007A22A1" w:rsidP="007A22A1">
      <w:pPr>
        <w:jc w:val="both"/>
      </w:pPr>
      <w:r w:rsidRPr="007A22A1">
        <w:t>This review has several limitations that should be acknowledged. The variability in study design, population characteristics, and outcome measures across the reviewed studies limits the generalizability of the findings</w:t>
      </w:r>
      <w:r w:rsidR="00C97DE1">
        <w:t xml:space="preserve"> (30)</w:t>
      </w:r>
      <w:r w:rsidRPr="007A22A1">
        <w:t>. Additionally, data on long-term outcomes and complications, particularly in vulnerable populations, remain scarce.</w:t>
      </w:r>
    </w:p>
    <w:p w14:paraId="54FFC4E9" w14:textId="77777777" w:rsidR="007A22A1" w:rsidRPr="007A22A1" w:rsidRDefault="007A22A1" w:rsidP="007A22A1">
      <w:pPr>
        <w:jc w:val="both"/>
      </w:pPr>
      <w:r w:rsidRPr="007A22A1">
        <w:t>Future research should focus on understanding the long-term sequelae of mpox, optimizing vaccination strategies for different population subgroups, and improving the effectiveness of antiviral treatments in immunocompromised patients. There is also a need to expand surveillance and reporting in endemic areas to ensure that emerging trends in transmission and disease burden are identified promptly.</w:t>
      </w:r>
    </w:p>
    <w:p w14:paraId="2ADE5D37" w14:textId="461BD17A" w:rsidR="00CB1CCC" w:rsidRPr="007A22A1" w:rsidRDefault="007A22A1">
      <w:pPr>
        <w:rPr>
          <w:b/>
          <w:bCs/>
        </w:rPr>
      </w:pPr>
      <w:r w:rsidRPr="007A22A1">
        <w:rPr>
          <w:b/>
          <w:bCs/>
        </w:rPr>
        <w:t>Conclusion</w:t>
      </w:r>
    </w:p>
    <w:p w14:paraId="7DFFC6DF" w14:textId="77777777" w:rsidR="007A22A1" w:rsidRPr="007A22A1" w:rsidRDefault="007A22A1" w:rsidP="007A22A1">
      <w:pPr>
        <w:jc w:val="both"/>
      </w:pPr>
      <w:r w:rsidRPr="007A22A1">
        <w:t>This systematic review highlights the key aspects of mpox, including its risk factors, preventive measures, and management strategies. Mpox presents with varying severity, from mild symptoms to severe complications, particularly in individuals with underlying conditions like HIV. High-risk populations, such as MSM and healthcare workers, benefit significantly from vaccination, with JYNNEOS and MVA-BN showing promise in reducing disease severity and spread. Early antiviral treatment, especially with tecovirimat, also helps in reducing viral shedding and disease duration, though challenges remain in optimizing its use for immunocompromised patients. Supportive care, integrated with targeted treatment, remains vital for managing both mpox and co-infections in these populations.</w:t>
      </w:r>
    </w:p>
    <w:p w14:paraId="587D5790" w14:textId="77777777" w:rsidR="007A22A1" w:rsidRDefault="007A22A1" w:rsidP="007A22A1">
      <w:pPr>
        <w:jc w:val="both"/>
      </w:pPr>
      <w:r w:rsidRPr="007A22A1">
        <w:t>The findings emphasize the need for culturally sensitive public health strategies to avoid stigmatization while effectively targeting at-risk groups. Vaccination, timely treatment, enhanced surveillance, and international collaboration are crucial in managing current and future outbreaks. However, further research is needed to optimize therapeutic and preventive measures, particularly for vulnerable populations, and to address the variability in clinical outcomes. By combining inclusive public health messaging, effective medical interventions, and robust global cooperation, mpox can be better controlled and its impact minimized.</w:t>
      </w:r>
    </w:p>
    <w:p w14:paraId="1A5E1042" w14:textId="77777777" w:rsidR="007C6F92" w:rsidRDefault="007C6F92" w:rsidP="007C6F92">
      <w:pPr>
        <w:rPr>
          <w:rFonts w:ascii="Calibri" w:eastAsia="Calibri" w:hAnsi="Calibri" w:cs="Times New Roman"/>
          <w:kern w:val="2"/>
        </w:rPr>
      </w:pPr>
      <w:bookmarkStart w:id="1" w:name="_Hlk192511329"/>
      <w:bookmarkStart w:id="2" w:name="_Hlk187485061"/>
      <w:bookmarkStart w:id="3" w:name="_Hlk194655630"/>
      <w:bookmarkStart w:id="4" w:name="_Hlk209008097"/>
    </w:p>
    <w:p w14:paraId="25A26129" w14:textId="77777777" w:rsidR="007C6F92" w:rsidRDefault="007C6F92" w:rsidP="007C6F92">
      <w:pPr>
        <w:rPr>
          <w:rFonts w:ascii="Calibri" w:eastAsia="Calibri" w:hAnsi="Calibri" w:cs="Times New Roman"/>
          <w:kern w:val="2"/>
          <w:highlight w:val="yellow"/>
        </w:rPr>
      </w:pPr>
      <w:bookmarkStart w:id="5" w:name="_Hlk204003461"/>
      <w:bookmarkStart w:id="6" w:name="_Hlk209007716"/>
      <w:bookmarkEnd w:id="1"/>
      <w:bookmarkEnd w:id="2"/>
      <w:bookmarkEnd w:id="3"/>
      <w:r>
        <w:rPr>
          <w:rFonts w:ascii="Calibri" w:eastAsia="Calibri" w:hAnsi="Calibri" w:cs="Times New Roman"/>
          <w:kern w:val="2"/>
          <w:highlight w:val="yellow"/>
        </w:rPr>
        <w:t>Disclaimer (Artificial intelligence)</w:t>
      </w:r>
    </w:p>
    <w:p w14:paraId="617629AD"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0D29AC24"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lastRenderedPageBreak/>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12BD8FD6"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0D43C569"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F8F740"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1932559A"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t>1.</w:t>
      </w:r>
    </w:p>
    <w:p w14:paraId="3B0AB875"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t>2.</w:t>
      </w:r>
    </w:p>
    <w:p w14:paraId="25532D3C" w14:textId="77777777" w:rsidR="007C6F92" w:rsidRDefault="007C6F92" w:rsidP="007C6F92">
      <w:pPr>
        <w:rPr>
          <w:rFonts w:ascii="Calibri" w:eastAsia="Calibri" w:hAnsi="Calibri" w:cs="Times New Roman"/>
          <w:kern w:val="2"/>
          <w:highlight w:val="yellow"/>
        </w:rPr>
      </w:pPr>
      <w:r>
        <w:rPr>
          <w:rFonts w:ascii="Calibri" w:eastAsia="Calibri" w:hAnsi="Calibri" w:cs="Times New Roman"/>
          <w:kern w:val="2"/>
          <w:highlight w:val="yellow"/>
        </w:rPr>
        <w:t>3.</w:t>
      </w:r>
      <w:bookmarkEnd w:id="5"/>
    </w:p>
    <w:bookmarkEnd w:id="4"/>
    <w:bookmarkEnd w:id="6"/>
    <w:p w14:paraId="1854AEB9" w14:textId="77777777" w:rsidR="00276682" w:rsidRPr="007A22A1" w:rsidRDefault="00276682" w:rsidP="00276682">
      <w:pPr>
        <w:jc w:val="both"/>
      </w:pPr>
    </w:p>
    <w:p w14:paraId="1CF50DA0" w14:textId="1782BBDC" w:rsidR="007A22A1" w:rsidRPr="005D4253" w:rsidRDefault="007A22A1">
      <w:pPr>
        <w:rPr>
          <w:b/>
          <w:bCs/>
        </w:rPr>
      </w:pPr>
      <w:r w:rsidRPr="005D4253">
        <w:rPr>
          <w:b/>
          <w:bCs/>
        </w:rPr>
        <w:t>References</w:t>
      </w:r>
    </w:p>
    <w:p w14:paraId="3AF746EF" w14:textId="41804651" w:rsidR="005D4253" w:rsidRPr="005D4253" w:rsidRDefault="005D4253" w:rsidP="005D4253">
      <w:pPr>
        <w:numPr>
          <w:ilvl w:val="0"/>
          <w:numId w:val="1"/>
        </w:numPr>
        <w:jc w:val="both"/>
      </w:pPr>
      <w:proofErr w:type="spellStart"/>
      <w:r w:rsidRPr="005D4253">
        <w:t>Ulaeto</w:t>
      </w:r>
      <w:proofErr w:type="spellEnd"/>
      <w:r w:rsidRPr="005D4253">
        <w:t xml:space="preserve"> D, </w:t>
      </w:r>
      <w:proofErr w:type="spellStart"/>
      <w:r w:rsidRPr="005D4253">
        <w:t>Agafonov</w:t>
      </w:r>
      <w:proofErr w:type="spellEnd"/>
      <w:r w:rsidRPr="005D4253">
        <w:t xml:space="preserve"> A, Burchfield J, Carter L, Happi C, Jakob R, </w:t>
      </w:r>
      <w:proofErr w:type="spellStart"/>
      <w:r w:rsidRPr="005D4253">
        <w:t>Krpelanova</w:t>
      </w:r>
      <w:proofErr w:type="spellEnd"/>
      <w:r w:rsidRPr="005D4253">
        <w:t xml:space="preserve"> E, </w:t>
      </w:r>
      <w:proofErr w:type="spellStart"/>
      <w:r w:rsidRPr="005D4253">
        <w:t>Kuppalli</w:t>
      </w:r>
      <w:proofErr w:type="spellEnd"/>
      <w:r w:rsidRPr="005D4253">
        <w:t xml:space="preserve"> K, Lefkowitz EJ, Mauldin MR, de Oliveira T. New nomenclature for </w:t>
      </w:r>
      <w:proofErr w:type="spellStart"/>
      <w:r w:rsidRPr="005D4253">
        <w:t>mpox</w:t>
      </w:r>
      <w:proofErr w:type="spellEnd"/>
      <w:r w:rsidRPr="005D4253">
        <w:t xml:space="preserve"> (</w:t>
      </w:r>
      <w:proofErr w:type="spellStart"/>
      <w:r w:rsidR="0057313E">
        <w:t>mpox</w:t>
      </w:r>
      <w:proofErr w:type="spellEnd"/>
      <w:r w:rsidRPr="005D4253">
        <w:t xml:space="preserve">) and </w:t>
      </w:r>
      <w:proofErr w:type="spellStart"/>
      <w:r w:rsidR="0057313E">
        <w:t>mpox</w:t>
      </w:r>
      <w:proofErr w:type="spellEnd"/>
      <w:r w:rsidRPr="005D4253">
        <w:t xml:space="preserve"> virus clades. The Lancet Infectious Diseases. 2023 Mar 1;23(3):273-5.</w:t>
      </w:r>
    </w:p>
    <w:p w14:paraId="3B69022F" w14:textId="77777777" w:rsidR="005D4253" w:rsidRPr="005D4253" w:rsidRDefault="005D4253" w:rsidP="005D4253">
      <w:pPr>
        <w:numPr>
          <w:ilvl w:val="0"/>
          <w:numId w:val="1"/>
        </w:numPr>
        <w:jc w:val="both"/>
      </w:pPr>
      <w:r w:rsidRPr="005D4253">
        <w:t>Henderson DA, Inglesby TV, Bartlett JG, Ascher MS, Eitzen E, Jahrling PB, Hauer J, Layton M, McDade J, Osterholm MT, O'Toole T. Smallpox as a biological weapon: medical and public health management. Jama. 1999 Jun 9;281(22):2127-37.</w:t>
      </w:r>
    </w:p>
    <w:p w14:paraId="4685AA3A" w14:textId="77777777" w:rsidR="005D4253" w:rsidRPr="005D4253" w:rsidRDefault="005D4253" w:rsidP="005D4253">
      <w:pPr>
        <w:numPr>
          <w:ilvl w:val="0"/>
          <w:numId w:val="1"/>
        </w:numPr>
        <w:jc w:val="both"/>
      </w:pPr>
      <w:proofErr w:type="spellStart"/>
      <w:r w:rsidRPr="005D4253">
        <w:t>Vakaniaki</w:t>
      </w:r>
      <w:proofErr w:type="spellEnd"/>
      <w:r w:rsidRPr="005D4253">
        <w:t xml:space="preserve"> EH, </w:t>
      </w:r>
      <w:proofErr w:type="spellStart"/>
      <w:r w:rsidRPr="005D4253">
        <w:t>Kacita</w:t>
      </w:r>
      <w:proofErr w:type="spellEnd"/>
      <w:r w:rsidRPr="005D4253">
        <w:t xml:space="preserve"> C, </w:t>
      </w:r>
      <w:proofErr w:type="spellStart"/>
      <w:r w:rsidRPr="005D4253">
        <w:t>Kinganda-Lusamaki</w:t>
      </w:r>
      <w:proofErr w:type="spellEnd"/>
      <w:r w:rsidRPr="005D4253">
        <w:t xml:space="preserve"> E, O’Toole Á, </w:t>
      </w:r>
      <w:proofErr w:type="spellStart"/>
      <w:r w:rsidRPr="005D4253">
        <w:t>Wawina-Bokalanga</w:t>
      </w:r>
      <w:proofErr w:type="spellEnd"/>
      <w:r w:rsidRPr="005D4253">
        <w:t xml:space="preserve"> T, </w:t>
      </w:r>
      <w:proofErr w:type="spellStart"/>
      <w:r w:rsidRPr="005D4253">
        <w:t>Mukadi-Bamuleka</w:t>
      </w:r>
      <w:proofErr w:type="spellEnd"/>
      <w:r w:rsidRPr="005D4253">
        <w:t xml:space="preserve"> D, </w:t>
      </w:r>
      <w:proofErr w:type="spellStart"/>
      <w:r w:rsidRPr="005D4253">
        <w:t>Amuri</w:t>
      </w:r>
      <w:proofErr w:type="spellEnd"/>
      <w:r w:rsidRPr="005D4253">
        <w:t xml:space="preserve">-Aziza A, </w:t>
      </w:r>
      <w:proofErr w:type="spellStart"/>
      <w:r w:rsidRPr="005D4253">
        <w:t>Malyamungu-Bubala</w:t>
      </w:r>
      <w:proofErr w:type="spellEnd"/>
      <w:r w:rsidRPr="005D4253">
        <w:t xml:space="preserve"> N, </w:t>
      </w:r>
      <w:proofErr w:type="spellStart"/>
      <w:r w:rsidRPr="005D4253">
        <w:t>Mweshi-Kumbana</w:t>
      </w:r>
      <w:proofErr w:type="spellEnd"/>
      <w:r w:rsidRPr="005D4253">
        <w:t xml:space="preserve"> F, </w:t>
      </w:r>
      <w:proofErr w:type="spellStart"/>
      <w:r w:rsidRPr="005D4253">
        <w:t>Mutimbwa</w:t>
      </w:r>
      <w:proofErr w:type="spellEnd"/>
      <w:r w:rsidRPr="005D4253">
        <w:t xml:space="preserve">-Mambo L, </w:t>
      </w:r>
      <w:proofErr w:type="spellStart"/>
      <w:r w:rsidRPr="005D4253">
        <w:t>Belesi-Siangoli</w:t>
      </w:r>
      <w:proofErr w:type="spellEnd"/>
      <w:r w:rsidRPr="005D4253">
        <w:t xml:space="preserve"> F. Sustained Human Outbreak of a New MPXV Clade I Lineage in the Eastern Democratic Republic of the Congo. Nature Medicine. 2024 Jun 13:1-.</w:t>
      </w:r>
    </w:p>
    <w:p w14:paraId="10E05528" w14:textId="77777777" w:rsidR="005D4253" w:rsidRPr="005D4253" w:rsidRDefault="005D4253" w:rsidP="005D4253">
      <w:pPr>
        <w:numPr>
          <w:ilvl w:val="0"/>
          <w:numId w:val="1"/>
        </w:numPr>
        <w:jc w:val="both"/>
      </w:pPr>
      <w:r w:rsidRPr="005D4253">
        <w:t xml:space="preserve">Quek ZR, Ng SH. Hybrid-Capture Target Enrichment in Human Pathogens: Identification, Evolution, </w:t>
      </w:r>
      <w:proofErr w:type="spellStart"/>
      <w:r w:rsidRPr="005D4253">
        <w:t>Biosurveillance</w:t>
      </w:r>
      <w:proofErr w:type="spellEnd"/>
      <w:r w:rsidRPr="005D4253">
        <w:t>, and Genomic Epidemiology. Pathogens. 2024 Mar 23;13(4):275.</w:t>
      </w:r>
    </w:p>
    <w:p w14:paraId="092F8A18" w14:textId="77777777" w:rsidR="005D4253" w:rsidRPr="005D4253" w:rsidRDefault="005D4253" w:rsidP="005D4253">
      <w:pPr>
        <w:numPr>
          <w:ilvl w:val="0"/>
          <w:numId w:val="1"/>
        </w:numPr>
        <w:jc w:val="both"/>
      </w:pPr>
      <w:r w:rsidRPr="005D4253">
        <w:t>Pinto P, Costa MA, Gonçalves MF, Rodrigues AG, Lisboa C. Mpox person-to-person transmission—where have we got so far? a systematic review. Viruses. 2023 Apr 28;15(5):1074.</w:t>
      </w:r>
    </w:p>
    <w:p w14:paraId="7FD174C9" w14:textId="05687282" w:rsidR="005D4253" w:rsidRPr="005D4253" w:rsidRDefault="005D4253" w:rsidP="005D4253">
      <w:pPr>
        <w:numPr>
          <w:ilvl w:val="0"/>
          <w:numId w:val="1"/>
        </w:numPr>
        <w:jc w:val="both"/>
      </w:pPr>
      <w:r w:rsidRPr="005D4253">
        <w:t xml:space="preserve">Khalil A, Samara A, O'Brien P, Morris E, </w:t>
      </w:r>
      <w:proofErr w:type="spellStart"/>
      <w:r w:rsidRPr="005D4253">
        <w:t>Draycott</w:t>
      </w:r>
      <w:proofErr w:type="spellEnd"/>
      <w:r w:rsidRPr="005D4253">
        <w:t xml:space="preserve"> T, Lees C, Ladhani S. </w:t>
      </w:r>
      <w:proofErr w:type="spellStart"/>
      <w:r w:rsidR="0057313E">
        <w:t>Mpox</w:t>
      </w:r>
      <w:proofErr w:type="spellEnd"/>
      <w:r w:rsidRPr="005D4253">
        <w:t xml:space="preserve"> vaccines in pregnancy: lessons must be learned from COVID-19. The Lancet Global Health. 2022 Sep 1;10(9</w:t>
      </w:r>
      <w:proofErr w:type="gramStart"/>
      <w:r w:rsidRPr="005D4253">
        <w:t>):e</w:t>
      </w:r>
      <w:proofErr w:type="gramEnd"/>
      <w:r w:rsidRPr="005D4253">
        <w:t>1230-1.</w:t>
      </w:r>
    </w:p>
    <w:p w14:paraId="217A3A75" w14:textId="23C15B1E" w:rsidR="005D4253" w:rsidRPr="005D4253" w:rsidRDefault="005D4253" w:rsidP="005D4253">
      <w:pPr>
        <w:numPr>
          <w:ilvl w:val="0"/>
          <w:numId w:val="1"/>
        </w:numPr>
        <w:jc w:val="both"/>
      </w:pPr>
      <w:r w:rsidRPr="005D4253">
        <w:lastRenderedPageBreak/>
        <w:t xml:space="preserve">Rizk JG, Lippi G, Henry BM, </w:t>
      </w:r>
      <w:proofErr w:type="spellStart"/>
      <w:r w:rsidRPr="005D4253">
        <w:t>Forthal</w:t>
      </w:r>
      <w:proofErr w:type="spellEnd"/>
      <w:r w:rsidRPr="005D4253">
        <w:t xml:space="preserve"> DN, </w:t>
      </w:r>
      <w:proofErr w:type="spellStart"/>
      <w:r w:rsidRPr="005D4253">
        <w:t>Rizk</w:t>
      </w:r>
      <w:proofErr w:type="spellEnd"/>
      <w:r w:rsidRPr="005D4253">
        <w:t xml:space="preserve"> Y. Prevention and treatment of </w:t>
      </w:r>
      <w:proofErr w:type="spellStart"/>
      <w:r w:rsidR="0057313E">
        <w:t>mpox</w:t>
      </w:r>
      <w:proofErr w:type="spellEnd"/>
      <w:r w:rsidRPr="005D4253">
        <w:t>. Drugs. 2022 Jun;82(9):957-63.</w:t>
      </w:r>
    </w:p>
    <w:p w14:paraId="692162A8" w14:textId="3B579167" w:rsidR="005D4253" w:rsidRPr="005D4253" w:rsidRDefault="005D4253" w:rsidP="005D4253">
      <w:pPr>
        <w:numPr>
          <w:ilvl w:val="0"/>
          <w:numId w:val="1"/>
        </w:numPr>
        <w:jc w:val="both"/>
      </w:pPr>
      <w:r w:rsidRPr="005D4253">
        <w:t xml:space="preserve">Nadar S, Khan T, Omri A. Reemergence of </w:t>
      </w:r>
      <w:proofErr w:type="spellStart"/>
      <w:r w:rsidR="0057313E">
        <w:t>mpox</w:t>
      </w:r>
      <w:proofErr w:type="spellEnd"/>
      <w:r w:rsidRPr="005D4253">
        <w:t>: prevention and management. Expert Review of Anti-infective Therapy. 2022 Nov 2;20(11):1425-33.</w:t>
      </w:r>
    </w:p>
    <w:p w14:paraId="40D2C429" w14:textId="1251E70D" w:rsidR="005D4253" w:rsidRPr="005D4253" w:rsidRDefault="005D4253" w:rsidP="005D4253">
      <w:pPr>
        <w:numPr>
          <w:ilvl w:val="0"/>
          <w:numId w:val="1"/>
        </w:numPr>
        <w:jc w:val="both"/>
      </w:pPr>
      <w:r w:rsidRPr="005D4253">
        <w:t xml:space="preserve">Chakraborty S, Chandran D, Mohapatra RK, </w:t>
      </w:r>
      <w:proofErr w:type="spellStart"/>
      <w:r w:rsidRPr="005D4253">
        <w:t>Alagawany</w:t>
      </w:r>
      <w:proofErr w:type="spellEnd"/>
      <w:r w:rsidRPr="005D4253">
        <w:t xml:space="preserve"> M, </w:t>
      </w:r>
      <w:proofErr w:type="spellStart"/>
      <w:r w:rsidRPr="005D4253">
        <w:t>Nahed</w:t>
      </w:r>
      <w:proofErr w:type="spellEnd"/>
      <w:r w:rsidRPr="005D4253">
        <w:t xml:space="preserve"> A, Sharma AK, Chakraborty C, </w:t>
      </w:r>
      <w:proofErr w:type="spellStart"/>
      <w:r w:rsidRPr="005D4253">
        <w:t>Dhama</w:t>
      </w:r>
      <w:proofErr w:type="spellEnd"/>
      <w:r w:rsidRPr="005D4253">
        <w:t xml:space="preserve"> K. Clinical management, antiviral drugs and </w:t>
      </w:r>
      <w:proofErr w:type="spellStart"/>
      <w:r w:rsidRPr="005D4253">
        <w:t>immunotherapeutics</w:t>
      </w:r>
      <w:proofErr w:type="spellEnd"/>
      <w:r w:rsidRPr="005D4253">
        <w:t xml:space="preserve"> for treating </w:t>
      </w:r>
      <w:proofErr w:type="spellStart"/>
      <w:r w:rsidR="0057313E">
        <w:t>mpox</w:t>
      </w:r>
      <w:proofErr w:type="spellEnd"/>
      <w:r w:rsidRPr="005D4253">
        <w:t xml:space="preserve">. An update on current knowledge and futuristic prospects. International Journal of Surgery. 2022 Sep </w:t>
      </w:r>
      <w:proofErr w:type="gramStart"/>
      <w:r w:rsidRPr="005D4253">
        <w:t>1;105:106847</w:t>
      </w:r>
      <w:proofErr w:type="gramEnd"/>
      <w:r w:rsidRPr="005D4253">
        <w:t>.</w:t>
      </w:r>
    </w:p>
    <w:p w14:paraId="70BC3FC5" w14:textId="77777777" w:rsidR="005D4253" w:rsidRPr="005D4253" w:rsidRDefault="005D4253" w:rsidP="005D4253">
      <w:pPr>
        <w:numPr>
          <w:ilvl w:val="0"/>
          <w:numId w:val="1"/>
        </w:numPr>
        <w:jc w:val="both"/>
      </w:pPr>
      <w:r w:rsidRPr="005D4253">
        <w:t xml:space="preserve">Page MJ, McKenzie JE, </w:t>
      </w:r>
      <w:proofErr w:type="spellStart"/>
      <w:r w:rsidRPr="005D4253">
        <w:t>Bossuyt</w:t>
      </w:r>
      <w:proofErr w:type="spellEnd"/>
      <w:r w:rsidRPr="005D4253">
        <w:t xml:space="preserve"> PM, </w:t>
      </w:r>
      <w:proofErr w:type="spellStart"/>
      <w:r w:rsidRPr="005D4253">
        <w:t>Boutron</w:t>
      </w:r>
      <w:proofErr w:type="spellEnd"/>
      <w:r w:rsidRPr="005D4253">
        <w:t xml:space="preserve"> I, Hoffmann TC, Mulrow CD, </w:t>
      </w:r>
      <w:proofErr w:type="spellStart"/>
      <w:r w:rsidRPr="005D4253">
        <w:t>Shamseer</w:t>
      </w:r>
      <w:proofErr w:type="spellEnd"/>
      <w:r w:rsidRPr="005D4253">
        <w:t xml:space="preserve"> L, </w:t>
      </w:r>
      <w:proofErr w:type="spellStart"/>
      <w:r w:rsidRPr="005D4253">
        <w:t>Tetzlaff</w:t>
      </w:r>
      <w:proofErr w:type="spellEnd"/>
      <w:r w:rsidRPr="005D4253">
        <w:t xml:space="preserve"> JM, Akl EA, Brennan SE, Chou R. The PRISMA 2020 statement: an updated guideline for reporting systematic reviews. </w:t>
      </w:r>
      <w:proofErr w:type="spellStart"/>
      <w:r w:rsidRPr="005D4253">
        <w:t>bmj</w:t>
      </w:r>
      <w:proofErr w:type="spellEnd"/>
      <w:r w:rsidRPr="005D4253">
        <w:t>. 2021 Mar 29;372.</w:t>
      </w:r>
    </w:p>
    <w:p w14:paraId="00E75178" w14:textId="77777777" w:rsidR="005D4253" w:rsidRPr="005D4253" w:rsidRDefault="005D4253" w:rsidP="005D4253">
      <w:pPr>
        <w:numPr>
          <w:ilvl w:val="0"/>
          <w:numId w:val="1"/>
        </w:numPr>
        <w:jc w:val="both"/>
      </w:pPr>
      <w:r w:rsidRPr="005D4253">
        <w:t xml:space="preserve">Akiyama Y, Morioka S, Tsuzuki S, Yoshikawa T, Yamato M, Nakamura H, </w:t>
      </w:r>
      <w:proofErr w:type="spellStart"/>
      <w:r w:rsidRPr="005D4253">
        <w:t>Shimojima</w:t>
      </w:r>
      <w:proofErr w:type="spellEnd"/>
      <w:r w:rsidRPr="005D4253">
        <w:t xml:space="preserve"> M, </w:t>
      </w:r>
      <w:proofErr w:type="spellStart"/>
      <w:r w:rsidRPr="005D4253">
        <w:t>Takakusaki</w:t>
      </w:r>
      <w:proofErr w:type="spellEnd"/>
      <w:r w:rsidRPr="005D4253">
        <w:t xml:space="preserve"> M, Saito S, Takahashi K, Sanada M. Efficacy and viral dynamics of tecovirimat in patients with MPOX: A multicenter open-label, double-arm trial in Japan. Journal of Infection and Chemotherapy. 2024 Jun 1;30(6):488-93.</w:t>
      </w:r>
    </w:p>
    <w:p w14:paraId="452D2775" w14:textId="77777777" w:rsidR="005D4253" w:rsidRPr="005D4253" w:rsidRDefault="005D4253" w:rsidP="005D4253">
      <w:pPr>
        <w:numPr>
          <w:ilvl w:val="0"/>
          <w:numId w:val="1"/>
        </w:numPr>
        <w:jc w:val="both"/>
      </w:pPr>
      <w:r w:rsidRPr="005D4253">
        <w:t xml:space="preserve">Rosen JB, </w:t>
      </w:r>
      <w:proofErr w:type="spellStart"/>
      <w:r w:rsidRPr="005D4253">
        <w:t>Arciuolo</w:t>
      </w:r>
      <w:proofErr w:type="spellEnd"/>
      <w:r w:rsidRPr="005D4253">
        <w:t xml:space="preserve"> RJ, </w:t>
      </w:r>
      <w:proofErr w:type="spellStart"/>
      <w:r w:rsidRPr="005D4253">
        <w:t>Pathela</w:t>
      </w:r>
      <w:proofErr w:type="spellEnd"/>
      <w:r w:rsidRPr="005D4253">
        <w:t xml:space="preserve"> P, Boyer CB, Baumgartner J, Latash J, Malec L, Lee EH, Reddy V, King R, Real JE. JYNNEOS™ effectiveness as post-exposure prophylaxis against mpox: Challenges using real-world outbreak data. Vaccine. 2024 Jan 25;42(3):548-55.</w:t>
      </w:r>
    </w:p>
    <w:p w14:paraId="704F9C8D" w14:textId="77777777" w:rsidR="005D4253" w:rsidRPr="005D4253" w:rsidRDefault="005D4253" w:rsidP="005D4253">
      <w:pPr>
        <w:numPr>
          <w:ilvl w:val="0"/>
          <w:numId w:val="1"/>
        </w:numPr>
        <w:jc w:val="both"/>
      </w:pPr>
      <w:proofErr w:type="spellStart"/>
      <w:r w:rsidRPr="005D4253">
        <w:t>Tempestilli</w:t>
      </w:r>
      <w:proofErr w:type="spellEnd"/>
      <w:r w:rsidRPr="005D4253">
        <w:t xml:space="preserve"> M, Mondi A, </w:t>
      </w:r>
      <w:proofErr w:type="spellStart"/>
      <w:r w:rsidRPr="005D4253">
        <w:t>D'Avolio</w:t>
      </w:r>
      <w:proofErr w:type="spellEnd"/>
      <w:r w:rsidRPr="005D4253">
        <w:t xml:space="preserve"> A, </w:t>
      </w:r>
      <w:proofErr w:type="spellStart"/>
      <w:r w:rsidRPr="005D4253">
        <w:t>Forini</w:t>
      </w:r>
      <w:proofErr w:type="spellEnd"/>
      <w:r w:rsidRPr="005D4253">
        <w:t xml:space="preserve"> O, </w:t>
      </w:r>
      <w:proofErr w:type="spellStart"/>
      <w:r w:rsidRPr="005D4253">
        <w:t>Pinnetti</w:t>
      </w:r>
      <w:proofErr w:type="spellEnd"/>
      <w:r w:rsidRPr="005D4253">
        <w:t xml:space="preserve"> C, </w:t>
      </w:r>
      <w:proofErr w:type="spellStart"/>
      <w:r w:rsidRPr="005D4253">
        <w:t>Mazzotta</w:t>
      </w:r>
      <w:proofErr w:type="spellEnd"/>
      <w:r w:rsidRPr="005D4253">
        <w:t xml:space="preserve"> V, </w:t>
      </w:r>
      <w:proofErr w:type="spellStart"/>
      <w:r w:rsidRPr="005D4253">
        <w:t>Gagliardini</w:t>
      </w:r>
      <w:proofErr w:type="spellEnd"/>
      <w:r w:rsidRPr="005D4253">
        <w:t xml:space="preserve"> R, </w:t>
      </w:r>
      <w:proofErr w:type="spellStart"/>
      <w:r w:rsidRPr="005D4253">
        <w:t>Beccacece</w:t>
      </w:r>
      <w:proofErr w:type="spellEnd"/>
      <w:r w:rsidRPr="005D4253">
        <w:t xml:space="preserve"> A, De </w:t>
      </w:r>
      <w:proofErr w:type="spellStart"/>
      <w:r w:rsidRPr="005D4253">
        <w:t>Nicolò</w:t>
      </w:r>
      <w:proofErr w:type="spellEnd"/>
      <w:r w:rsidRPr="005D4253">
        <w:t xml:space="preserve"> A, </w:t>
      </w:r>
      <w:proofErr w:type="spellStart"/>
      <w:r w:rsidRPr="005D4253">
        <w:t>Faccendini</w:t>
      </w:r>
      <w:proofErr w:type="spellEnd"/>
      <w:r w:rsidRPr="005D4253">
        <w:t xml:space="preserve"> P, Cimini E. Pharmacokinetics of tecovirimat in subjects with Mpox. International Journal of Antimicrobial Agents. 2024 Feb 1;63(2):107068.</w:t>
      </w:r>
    </w:p>
    <w:p w14:paraId="3935CBDA" w14:textId="4F799C79" w:rsidR="005D4253" w:rsidRPr="005D4253" w:rsidRDefault="005D4253" w:rsidP="005D4253">
      <w:pPr>
        <w:numPr>
          <w:ilvl w:val="0"/>
          <w:numId w:val="1"/>
        </w:numPr>
        <w:jc w:val="both"/>
      </w:pPr>
      <w:proofErr w:type="spellStart"/>
      <w:r w:rsidRPr="005D4253">
        <w:t>Assiri</w:t>
      </w:r>
      <w:proofErr w:type="spellEnd"/>
      <w:r w:rsidRPr="005D4253">
        <w:t xml:space="preserve"> AM, Al-</w:t>
      </w:r>
      <w:proofErr w:type="spellStart"/>
      <w:r w:rsidRPr="005D4253">
        <w:t>Tawfiq</w:t>
      </w:r>
      <w:proofErr w:type="spellEnd"/>
      <w:r w:rsidRPr="005D4253">
        <w:t xml:space="preserve"> JA, </w:t>
      </w:r>
      <w:proofErr w:type="spellStart"/>
      <w:r w:rsidRPr="005D4253">
        <w:t>Jokhdar</w:t>
      </w:r>
      <w:proofErr w:type="spellEnd"/>
      <w:r w:rsidRPr="005D4253">
        <w:t xml:space="preserve"> HA, </w:t>
      </w:r>
      <w:proofErr w:type="spellStart"/>
      <w:r w:rsidRPr="005D4253">
        <w:t>Algwizani</w:t>
      </w:r>
      <w:proofErr w:type="spellEnd"/>
      <w:r w:rsidRPr="005D4253">
        <w:t xml:space="preserve"> AR, </w:t>
      </w:r>
      <w:proofErr w:type="spellStart"/>
      <w:r w:rsidRPr="005D4253">
        <w:t>Albarraq</w:t>
      </w:r>
      <w:proofErr w:type="spellEnd"/>
      <w:r w:rsidRPr="005D4253">
        <w:t xml:space="preserve"> AM, </w:t>
      </w:r>
      <w:proofErr w:type="spellStart"/>
      <w:r w:rsidRPr="005D4253">
        <w:t>Alanazi</w:t>
      </w:r>
      <w:proofErr w:type="spellEnd"/>
      <w:r w:rsidRPr="005D4253">
        <w:t xml:space="preserve"> KH, </w:t>
      </w:r>
      <w:proofErr w:type="spellStart"/>
      <w:r w:rsidRPr="005D4253">
        <w:t>Alamri</w:t>
      </w:r>
      <w:proofErr w:type="spellEnd"/>
      <w:r w:rsidRPr="005D4253">
        <w:t xml:space="preserve"> AH, </w:t>
      </w:r>
      <w:proofErr w:type="spellStart"/>
      <w:r w:rsidRPr="005D4253">
        <w:t>Almohammadi</w:t>
      </w:r>
      <w:proofErr w:type="spellEnd"/>
      <w:r w:rsidRPr="005D4253">
        <w:t xml:space="preserve"> EL, </w:t>
      </w:r>
      <w:proofErr w:type="spellStart"/>
      <w:r w:rsidRPr="005D4253">
        <w:t>Abuhasan</w:t>
      </w:r>
      <w:proofErr w:type="spellEnd"/>
      <w:r w:rsidRPr="005D4253">
        <w:t xml:space="preserve"> MY, </w:t>
      </w:r>
      <w:proofErr w:type="spellStart"/>
      <w:r w:rsidRPr="005D4253">
        <w:t>Alserehi</w:t>
      </w:r>
      <w:proofErr w:type="spellEnd"/>
      <w:r w:rsidRPr="005D4253">
        <w:t xml:space="preserve"> HA, </w:t>
      </w:r>
      <w:proofErr w:type="spellStart"/>
      <w:r w:rsidRPr="005D4253">
        <w:t>Rebh</w:t>
      </w:r>
      <w:proofErr w:type="spellEnd"/>
      <w:r w:rsidRPr="005D4253">
        <w:t xml:space="preserve"> FZ. Clinical features and outcome of human </w:t>
      </w:r>
      <w:proofErr w:type="spellStart"/>
      <w:r w:rsidRPr="005D4253">
        <w:t>Mpox</w:t>
      </w:r>
      <w:proofErr w:type="spellEnd"/>
      <w:r w:rsidRPr="005D4253">
        <w:t xml:space="preserve"> (</w:t>
      </w:r>
      <w:proofErr w:type="spellStart"/>
      <w:r w:rsidR="0057313E">
        <w:t>Mpox</w:t>
      </w:r>
      <w:proofErr w:type="spellEnd"/>
      <w:r w:rsidRPr="005D4253">
        <w:t>) in Saudi Arabia: An observational study of travel-related cases. Journal of Infection and Public Health. 2023 Mar 1;16(3):341-5.</w:t>
      </w:r>
    </w:p>
    <w:p w14:paraId="5FDA4322" w14:textId="77777777" w:rsidR="005D4253" w:rsidRPr="005D4253" w:rsidRDefault="005D4253" w:rsidP="005D4253">
      <w:pPr>
        <w:numPr>
          <w:ilvl w:val="0"/>
          <w:numId w:val="1"/>
        </w:numPr>
        <w:jc w:val="both"/>
      </w:pPr>
      <w:r w:rsidRPr="005D4253">
        <w:t xml:space="preserve">Bertran M, Andrews N, Davison C, </w:t>
      </w:r>
      <w:proofErr w:type="spellStart"/>
      <w:r w:rsidRPr="005D4253">
        <w:t>Dugbazah</w:t>
      </w:r>
      <w:proofErr w:type="spellEnd"/>
      <w:r w:rsidRPr="005D4253">
        <w:t xml:space="preserve"> B, Boateng J, Lunt R, </w:t>
      </w:r>
      <w:proofErr w:type="spellStart"/>
      <w:r w:rsidRPr="005D4253">
        <w:t>Hardstaff</w:t>
      </w:r>
      <w:proofErr w:type="spellEnd"/>
      <w:r w:rsidRPr="005D4253">
        <w:t xml:space="preserve"> J, Green M, Blomquist P, Turner C, Mohammed H. Effectiveness of one dose of MVA–BN smallpox vaccine against mpox in England using the case-coverage method: an observational study. The Lancet Infectious Diseases. 2023 Jul 1;23(7):828-35.</w:t>
      </w:r>
    </w:p>
    <w:p w14:paraId="534E607E" w14:textId="23ABF3E2" w:rsidR="005D4253" w:rsidRPr="005D4253" w:rsidRDefault="005D4253" w:rsidP="005D4253">
      <w:pPr>
        <w:numPr>
          <w:ilvl w:val="0"/>
          <w:numId w:val="1"/>
        </w:numPr>
        <w:jc w:val="both"/>
      </w:pPr>
      <w:proofErr w:type="spellStart"/>
      <w:r w:rsidRPr="005D4253">
        <w:t>Ciccarese</w:t>
      </w:r>
      <w:proofErr w:type="spellEnd"/>
      <w:r w:rsidRPr="005D4253">
        <w:t xml:space="preserve"> G, Di </w:t>
      </w:r>
      <w:proofErr w:type="spellStart"/>
      <w:r w:rsidRPr="005D4253">
        <w:t>Biagio</w:t>
      </w:r>
      <w:proofErr w:type="spellEnd"/>
      <w:r w:rsidRPr="005D4253">
        <w:t xml:space="preserve"> A, Bruzzone B, Guadagno A, </w:t>
      </w:r>
      <w:proofErr w:type="spellStart"/>
      <w:r w:rsidRPr="005D4253">
        <w:t>Taramasso</w:t>
      </w:r>
      <w:proofErr w:type="spellEnd"/>
      <w:r w:rsidRPr="005D4253">
        <w:t xml:space="preserve"> L, </w:t>
      </w:r>
      <w:proofErr w:type="spellStart"/>
      <w:r w:rsidRPr="005D4253">
        <w:t>Oddenino</w:t>
      </w:r>
      <w:proofErr w:type="spellEnd"/>
      <w:r w:rsidRPr="005D4253">
        <w:t xml:space="preserve"> G, </w:t>
      </w:r>
      <w:proofErr w:type="spellStart"/>
      <w:r w:rsidRPr="005D4253">
        <w:t>Brucci</w:t>
      </w:r>
      <w:proofErr w:type="spellEnd"/>
      <w:r w:rsidRPr="005D4253">
        <w:t xml:space="preserve"> G, </w:t>
      </w:r>
      <w:proofErr w:type="spellStart"/>
      <w:r w:rsidRPr="005D4253">
        <w:t>Labate</w:t>
      </w:r>
      <w:proofErr w:type="spellEnd"/>
      <w:r w:rsidRPr="005D4253">
        <w:t xml:space="preserve"> L, De Pace V, </w:t>
      </w:r>
      <w:proofErr w:type="spellStart"/>
      <w:r w:rsidRPr="005D4253">
        <w:t>Mastrolonardo</w:t>
      </w:r>
      <w:proofErr w:type="spellEnd"/>
      <w:r w:rsidRPr="005D4253">
        <w:t xml:space="preserve"> M, </w:t>
      </w:r>
      <w:proofErr w:type="spellStart"/>
      <w:r w:rsidRPr="005D4253">
        <w:t>Broccolo</w:t>
      </w:r>
      <w:proofErr w:type="spellEnd"/>
      <w:r w:rsidRPr="005D4253">
        <w:t xml:space="preserve"> F. </w:t>
      </w:r>
      <w:proofErr w:type="spellStart"/>
      <w:r w:rsidR="0057313E">
        <w:t>Mpox</w:t>
      </w:r>
      <w:proofErr w:type="spellEnd"/>
      <w:r w:rsidRPr="005D4253">
        <w:t xml:space="preserve"> outbreak in Genoa, Italy: Clinical, laboratory, histopathologic features, management, and outcome of the infected patients. Journal of medical virology. 2023 Feb;95(2</w:t>
      </w:r>
      <w:proofErr w:type="gramStart"/>
      <w:r w:rsidRPr="005D4253">
        <w:t>):e</w:t>
      </w:r>
      <w:proofErr w:type="gramEnd"/>
      <w:r w:rsidRPr="005D4253">
        <w:t>28560.</w:t>
      </w:r>
    </w:p>
    <w:p w14:paraId="00D8A642" w14:textId="29B10CC3" w:rsidR="005D4253" w:rsidRPr="005D4253" w:rsidRDefault="005D4253" w:rsidP="005D4253">
      <w:pPr>
        <w:numPr>
          <w:ilvl w:val="0"/>
          <w:numId w:val="1"/>
        </w:numPr>
        <w:jc w:val="both"/>
      </w:pPr>
      <w:r w:rsidRPr="005D4253">
        <w:t xml:space="preserve">Candela C, </w:t>
      </w:r>
      <w:proofErr w:type="spellStart"/>
      <w:r w:rsidRPr="005D4253">
        <w:t>Raccagni</w:t>
      </w:r>
      <w:proofErr w:type="spellEnd"/>
      <w:r w:rsidRPr="005D4253">
        <w:t xml:space="preserve"> AR, </w:t>
      </w:r>
      <w:proofErr w:type="spellStart"/>
      <w:r w:rsidRPr="005D4253">
        <w:t>Bruzzesi</w:t>
      </w:r>
      <w:proofErr w:type="spellEnd"/>
      <w:r w:rsidRPr="005D4253">
        <w:t xml:space="preserve"> E, Bertoni C, Rizzo A, Gagliardi G, Canetti D, Gianotti N, Mileto D, Gismondo MR, Castagna A. Human </w:t>
      </w:r>
      <w:proofErr w:type="spellStart"/>
      <w:r w:rsidR="0057313E">
        <w:t>mpox</w:t>
      </w:r>
      <w:proofErr w:type="spellEnd"/>
      <w:r w:rsidRPr="005D4253">
        <w:t xml:space="preserve"> experience in a tertiary level </w:t>
      </w:r>
      <w:r w:rsidRPr="005D4253">
        <w:lastRenderedPageBreak/>
        <w:t>hospital in Milan, Italy, between May and October 2022: epidemiological features and clinical characteristics. Viruses. 2023 Mar 2;15(3):667.</w:t>
      </w:r>
    </w:p>
    <w:p w14:paraId="126ED559" w14:textId="77777777" w:rsidR="005D4253" w:rsidRPr="005D4253" w:rsidRDefault="005D4253" w:rsidP="005D4253">
      <w:pPr>
        <w:numPr>
          <w:ilvl w:val="0"/>
          <w:numId w:val="1"/>
        </w:numPr>
        <w:jc w:val="both"/>
      </w:pPr>
      <w:r w:rsidRPr="005D4253">
        <w:t>Choi Y, Fox AM. Communities at risk for Mpox and stigmatizing policies: a randomized survey, Republic of Korea, 2022. American Journal of Public Health. 2023 Oct;113(10):1120-7.</w:t>
      </w:r>
    </w:p>
    <w:p w14:paraId="40FB609E" w14:textId="77777777" w:rsidR="005D4253" w:rsidRPr="005D4253" w:rsidRDefault="005D4253" w:rsidP="005D4253">
      <w:pPr>
        <w:numPr>
          <w:ilvl w:val="0"/>
          <w:numId w:val="1"/>
        </w:numPr>
        <w:jc w:val="both"/>
      </w:pPr>
      <w:r w:rsidRPr="005D4253">
        <w:t xml:space="preserve">Tomita N, Terada-Hirashima J, Uemura Y, Shimizu Y, Iwasaki H, Yano R, Suzuki T, Saito S, Okumura N, </w:t>
      </w:r>
      <w:proofErr w:type="spellStart"/>
      <w:r w:rsidRPr="005D4253">
        <w:t>Sugiura</w:t>
      </w:r>
      <w:proofErr w:type="spellEnd"/>
      <w:r w:rsidRPr="005D4253">
        <w:t xml:space="preserve"> W, </w:t>
      </w:r>
      <w:proofErr w:type="spellStart"/>
      <w:r w:rsidRPr="005D4253">
        <w:t>Ohmagari</w:t>
      </w:r>
      <w:proofErr w:type="spellEnd"/>
      <w:r w:rsidRPr="005D4253">
        <w:t xml:space="preserve"> N. An open-label, non-randomized study investigating the safety and efficacy of smallpox vaccine, LC16, as post-exposure prophylaxis for mpox. Human Vaccines &amp; Immunotherapeutics. 2023 Aug 1;19(2):2242219.</w:t>
      </w:r>
    </w:p>
    <w:p w14:paraId="06B675F7" w14:textId="1B537968" w:rsidR="005D4253" w:rsidRPr="005D4253" w:rsidRDefault="005D4253" w:rsidP="005D4253">
      <w:pPr>
        <w:numPr>
          <w:ilvl w:val="0"/>
          <w:numId w:val="1"/>
        </w:numPr>
        <w:jc w:val="both"/>
      </w:pPr>
      <w:r w:rsidRPr="005D4253">
        <w:t xml:space="preserve">Adler H, Gould S, Hine P, Snell LB, Wong W, Houlihan CF, Osborne JC, Rampling T, Beadsworth MB, Duncan CJ, Dunning J. Clinical features and management of human </w:t>
      </w:r>
      <w:proofErr w:type="spellStart"/>
      <w:r w:rsidR="0057313E">
        <w:t>mpox</w:t>
      </w:r>
      <w:proofErr w:type="spellEnd"/>
      <w:r w:rsidRPr="005D4253">
        <w:t>: a retrospective observational study in the UK. The Lancet Infectious Diseases. 2022 Aug 1;22(8):1153-62.</w:t>
      </w:r>
    </w:p>
    <w:p w14:paraId="20D83762" w14:textId="77777777" w:rsidR="005D4253" w:rsidRPr="005D4253" w:rsidRDefault="005D4253" w:rsidP="005D4253">
      <w:pPr>
        <w:numPr>
          <w:ilvl w:val="0"/>
          <w:numId w:val="1"/>
        </w:numPr>
        <w:jc w:val="both"/>
      </w:pPr>
      <w:r w:rsidRPr="005D4253">
        <w:t>Ramakrishnan R, Shenoy A, Madhavan R, Meyer D. Mpox gastrointestinal manifestations: a systematic review. BMJ Open Gastroenterology. 2024 Jan 1;11(1</w:t>
      </w:r>
      <w:proofErr w:type="gramStart"/>
      <w:r w:rsidRPr="005D4253">
        <w:t>):e</w:t>
      </w:r>
      <w:proofErr w:type="gramEnd"/>
      <w:r w:rsidRPr="005D4253">
        <w:t>001266.</w:t>
      </w:r>
    </w:p>
    <w:p w14:paraId="21D17C5A" w14:textId="05066526" w:rsidR="005D4253" w:rsidRPr="005D4253" w:rsidRDefault="005D4253" w:rsidP="005D4253">
      <w:pPr>
        <w:numPr>
          <w:ilvl w:val="0"/>
          <w:numId w:val="1"/>
        </w:numPr>
        <w:jc w:val="both"/>
      </w:pPr>
      <w:r w:rsidRPr="005D4253">
        <w:t xml:space="preserve">Lum FM, Torres-Ruesta A, Tay MZ, Lin RT, Lye DC, </w:t>
      </w:r>
      <w:proofErr w:type="spellStart"/>
      <w:r w:rsidRPr="005D4253">
        <w:t>Rénia</w:t>
      </w:r>
      <w:proofErr w:type="spellEnd"/>
      <w:r w:rsidRPr="005D4253">
        <w:t xml:space="preserve"> L, Ng LF. </w:t>
      </w:r>
      <w:proofErr w:type="spellStart"/>
      <w:r w:rsidR="0057313E">
        <w:t>Mpox</w:t>
      </w:r>
      <w:proofErr w:type="spellEnd"/>
      <w:r w:rsidRPr="005D4253">
        <w:t>: disease epidemiology, host immunity and clinical interventions. Nature Reviews Immunology. 2022 Oct;22(10):597-613.</w:t>
      </w:r>
    </w:p>
    <w:p w14:paraId="7C9C42B0" w14:textId="77777777" w:rsidR="005D4253" w:rsidRPr="005D4253" w:rsidRDefault="005D4253" w:rsidP="005D4253">
      <w:pPr>
        <w:numPr>
          <w:ilvl w:val="0"/>
          <w:numId w:val="1"/>
        </w:numPr>
        <w:jc w:val="both"/>
      </w:pPr>
      <w:r w:rsidRPr="005D4253">
        <w:t>Malik S, Ahmad T, Ahsan O, Muhammad K, Waheed Y. Recent developments in mpox prevention and treatment options. Vaccines. 2023 Feb 21;11(3):500.</w:t>
      </w:r>
    </w:p>
    <w:p w14:paraId="11B74A68" w14:textId="330F862C" w:rsidR="005D4253" w:rsidRPr="005D4253" w:rsidRDefault="005D4253" w:rsidP="005D4253">
      <w:pPr>
        <w:numPr>
          <w:ilvl w:val="0"/>
          <w:numId w:val="1"/>
        </w:numPr>
        <w:jc w:val="both"/>
      </w:pPr>
      <w:r w:rsidRPr="005D4253">
        <w:t>Martínez-Fernández DE, Fernández-Quezada D, Casillas-Muñoz FA, Carrillo-Ballesteros FJ, Ortega-Prieto AM, Jimenez-</w:t>
      </w:r>
      <w:proofErr w:type="spellStart"/>
      <w:r w:rsidRPr="005D4253">
        <w:t>Guardeño</w:t>
      </w:r>
      <w:proofErr w:type="spellEnd"/>
      <w:r w:rsidRPr="005D4253">
        <w:t xml:space="preserve"> JM, </w:t>
      </w:r>
      <w:proofErr w:type="spellStart"/>
      <w:r w:rsidRPr="005D4253">
        <w:t>Regla</w:t>
      </w:r>
      <w:proofErr w:type="spellEnd"/>
      <w:r w:rsidRPr="005D4253">
        <w:t xml:space="preserve">-Nava JA. Human </w:t>
      </w:r>
      <w:proofErr w:type="spellStart"/>
      <w:r w:rsidR="0057313E">
        <w:t>Mpox</w:t>
      </w:r>
      <w:proofErr w:type="spellEnd"/>
      <w:r w:rsidRPr="005D4253">
        <w:t>: a comprehensive overview of epidemiology, pathogenesis, diagnosis, treatment, and prevention strategies. Pathogens. 2023 Jul 18;12(7):947.</w:t>
      </w:r>
    </w:p>
    <w:p w14:paraId="3FAE43FC" w14:textId="77777777" w:rsidR="005D4253" w:rsidRPr="005D4253" w:rsidRDefault="005D4253" w:rsidP="005D4253">
      <w:pPr>
        <w:numPr>
          <w:ilvl w:val="0"/>
          <w:numId w:val="1"/>
        </w:numPr>
        <w:jc w:val="both"/>
      </w:pPr>
      <w:r w:rsidRPr="005D4253">
        <w:t xml:space="preserve">Li P, Li J, Ayada I, Avan A, Zheng Q, </w:t>
      </w:r>
      <w:proofErr w:type="spellStart"/>
      <w:r w:rsidRPr="005D4253">
        <w:t>Peppelenbosch</w:t>
      </w:r>
      <w:proofErr w:type="spellEnd"/>
      <w:r w:rsidRPr="005D4253">
        <w:t xml:space="preserve"> MP, de Vries AC, Pan Q. Clinical features, antiviral treatment, and patient outcomes: a systematic review and comparative analysis of the previous and the 2022 mpox outbreaks. The Journal of Infectious Diseases. 2023 Aug 15;228(4):391-401.</w:t>
      </w:r>
    </w:p>
    <w:p w14:paraId="1B72E9F9" w14:textId="77777777" w:rsidR="005D4253" w:rsidRPr="005D4253" w:rsidRDefault="005D4253" w:rsidP="005D4253">
      <w:pPr>
        <w:numPr>
          <w:ilvl w:val="0"/>
          <w:numId w:val="1"/>
        </w:numPr>
        <w:jc w:val="both"/>
      </w:pPr>
      <w:proofErr w:type="spellStart"/>
      <w:r w:rsidRPr="005D4253">
        <w:t>Witzel</w:t>
      </w:r>
      <w:proofErr w:type="spellEnd"/>
      <w:r w:rsidRPr="005D4253">
        <w:t xml:space="preserve"> TC, </w:t>
      </w:r>
      <w:proofErr w:type="spellStart"/>
      <w:r w:rsidRPr="005D4253">
        <w:t>Ghobrial</w:t>
      </w:r>
      <w:proofErr w:type="spellEnd"/>
      <w:r w:rsidRPr="005D4253">
        <w:t xml:space="preserve"> A, </w:t>
      </w:r>
      <w:proofErr w:type="spellStart"/>
      <w:r w:rsidRPr="005D4253">
        <w:t>Palich</w:t>
      </w:r>
      <w:proofErr w:type="spellEnd"/>
      <w:r w:rsidRPr="005D4253">
        <w:t xml:space="preserve"> R, Charles H, Rodger AJ, Sabin C, Sparrowhawk A, Pool ER, Prochazka M, Vivancos R, Sinka K. Experiences of mpox illness and case management among cis and trans gay, bisexual and other men who have sex with men in England: a qualitative study. </w:t>
      </w:r>
      <w:proofErr w:type="spellStart"/>
      <w:r w:rsidRPr="005D4253">
        <w:t>EClinicalMedicine</w:t>
      </w:r>
      <w:proofErr w:type="spellEnd"/>
      <w:r w:rsidRPr="005D4253">
        <w:t>. 2024 Apr 1;70.</w:t>
      </w:r>
    </w:p>
    <w:p w14:paraId="2286BD9D" w14:textId="77777777" w:rsidR="005D4253" w:rsidRPr="005D4253" w:rsidRDefault="005D4253" w:rsidP="005D4253">
      <w:pPr>
        <w:numPr>
          <w:ilvl w:val="0"/>
          <w:numId w:val="1"/>
        </w:numPr>
        <w:jc w:val="both"/>
      </w:pPr>
      <w:proofErr w:type="spellStart"/>
      <w:r w:rsidRPr="005D4253">
        <w:t>Gopalappa</w:t>
      </w:r>
      <w:proofErr w:type="spellEnd"/>
      <w:r w:rsidRPr="005D4253">
        <w:t xml:space="preserve"> C, Balasubramanian H, Haas PJ. A new mixed agent-based network and compartmental simulation framework for joint modeling of related infectious diseases-application to sexually transmitted infections. Infectious Disease Modelling. 2023 Mar 1;8(1):84-100.</w:t>
      </w:r>
    </w:p>
    <w:p w14:paraId="262506CE" w14:textId="77777777" w:rsidR="005D4253" w:rsidRPr="005D4253" w:rsidRDefault="005D4253" w:rsidP="005D4253">
      <w:pPr>
        <w:numPr>
          <w:ilvl w:val="0"/>
          <w:numId w:val="1"/>
        </w:numPr>
        <w:jc w:val="both"/>
      </w:pPr>
      <w:r w:rsidRPr="005D4253">
        <w:rPr>
          <w:lang w:val="fr-ML"/>
        </w:rPr>
        <w:lastRenderedPageBreak/>
        <w:t xml:space="preserve">Acosta-España JD, </w:t>
      </w:r>
      <w:proofErr w:type="spellStart"/>
      <w:r w:rsidRPr="005D4253">
        <w:rPr>
          <w:lang w:val="fr-ML"/>
        </w:rPr>
        <w:t>Bonilla-Aldana</w:t>
      </w:r>
      <w:proofErr w:type="spellEnd"/>
      <w:r w:rsidRPr="005D4253">
        <w:rPr>
          <w:lang w:val="fr-ML"/>
        </w:rPr>
        <w:t xml:space="preserve"> DK, Luna C, Rodriguez-Morales AJ. </w:t>
      </w:r>
      <w:r w:rsidRPr="005D4253">
        <w:t xml:space="preserve">The Resurgence of Mpox: A New Global Health Crisis. Le </w:t>
      </w:r>
      <w:proofErr w:type="spellStart"/>
      <w:r w:rsidRPr="005D4253">
        <w:t>infezioni</w:t>
      </w:r>
      <w:proofErr w:type="spellEnd"/>
      <w:r w:rsidRPr="005D4253">
        <w:t xml:space="preserve"> in </w:t>
      </w:r>
      <w:proofErr w:type="spellStart"/>
      <w:r w:rsidRPr="005D4253">
        <w:t>medicina</w:t>
      </w:r>
      <w:proofErr w:type="spellEnd"/>
      <w:r w:rsidRPr="005D4253">
        <w:t>. 2024 Sep 1;32(3):267-71.</w:t>
      </w:r>
    </w:p>
    <w:p w14:paraId="7582CD59" w14:textId="77777777" w:rsidR="005D4253" w:rsidRPr="005D4253" w:rsidRDefault="005D4253" w:rsidP="005D4253">
      <w:pPr>
        <w:numPr>
          <w:ilvl w:val="0"/>
          <w:numId w:val="1"/>
        </w:numPr>
        <w:jc w:val="both"/>
      </w:pPr>
      <w:r w:rsidRPr="005D4253">
        <w:t xml:space="preserve">El Dine FB, </w:t>
      </w:r>
      <w:proofErr w:type="spellStart"/>
      <w:r w:rsidRPr="005D4253">
        <w:t>Gebreal</w:t>
      </w:r>
      <w:proofErr w:type="spellEnd"/>
      <w:r w:rsidRPr="005D4253">
        <w:t xml:space="preserve"> A, </w:t>
      </w:r>
      <w:proofErr w:type="spellStart"/>
      <w:r w:rsidRPr="005D4253">
        <w:t>Samhouri</w:t>
      </w:r>
      <w:proofErr w:type="spellEnd"/>
      <w:r w:rsidRPr="005D4253">
        <w:t xml:space="preserve"> D, </w:t>
      </w:r>
      <w:proofErr w:type="spellStart"/>
      <w:r w:rsidRPr="005D4253">
        <w:t>Estifanos</w:t>
      </w:r>
      <w:proofErr w:type="spellEnd"/>
      <w:r w:rsidRPr="005D4253">
        <w:t xml:space="preserve"> H, </w:t>
      </w:r>
      <w:proofErr w:type="spellStart"/>
      <w:r w:rsidRPr="005D4253">
        <w:t>Kourampi</w:t>
      </w:r>
      <w:proofErr w:type="spellEnd"/>
      <w:r w:rsidRPr="005D4253">
        <w:t xml:space="preserve"> I, </w:t>
      </w:r>
      <w:proofErr w:type="spellStart"/>
      <w:r w:rsidRPr="005D4253">
        <w:t>Abdelrhem</w:t>
      </w:r>
      <w:proofErr w:type="spellEnd"/>
      <w:r w:rsidRPr="005D4253">
        <w:t xml:space="preserve"> H, Mostafa HA, </w:t>
      </w:r>
      <w:proofErr w:type="spellStart"/>
      <w:r w:rsidRPr="005D4253">
        <w:t>Elshaar</w:t>
      </w:r>
      <w:proofErr w:type="spellEnd"/>
      <w:r w:rsidRPr="005D4253">
        <w:t xml:space="preserve"> AG, </w:t>
      </w:r>
      <w:proofErr w:type="spellStart"/>
      <w:r w:rsidRPr="005D4253">
        <w:t>Suvvari</w:t>
      </w:r>
      <w:proofErr w:type="spellEnd"/>
      <w:r w:rsidRPr="005D4253">
        <w:t xml:space="preserve"> TK, </w:t>
      </w:r>
      <w:proofErr w:type="spellStart"/>
      <w:r w:rsidRPr="005D4253">
        <w:t>Ghazy</w:t>
      </w:r>
      <w:proofErr w:type="spellEnd"/>
      <w:r w:rsidRPr="005D4253">
        <w:t xml:space="preserve"> RM. Ethical considerations during Mpox Outbreak: a scoping review. BMC Medical Ethics. 2024 Jul 22;25(1):79.</w:t>
      </w:r>
    </w:p>
    <w:p w14:paraId="360CB83C" w14:textId="15380707" w:rsidR="005D4253" w:rsidRDefault="005D4253" w:rsidP="005D4253">
      <w:pPr>
        <w:numPr>
          <w:ilvl w:val="0"/>
          <w:numId w:val="1"/>
        </w:numPr>
        <w:jc w:val="both"/>
      </w:pPr>
      <w:r w:rsidRPr="005D4253">
        <w:t xml:space="preserve">Savović J, Jones HE, Altman DG, Harris RJ, </w:t>
      </w:r>
      <w:proofErr w:type="spellStart"/>
      <w:r w:rsidRPr="005D4253">
        <w:t>Jüni</w:t>
      </w:r>
      <w:proofErr w:type="spellEnd"/>
      <w:r w:rsidRPr="005D4253">
        <w:t xml:space="preserve"> P, </w:t>
      </w:r>
      <w:proofErr w:type="spellStart"/>
      <w:r w:rsidRPr="005D4253">
        <w:t>Pildal</w:t>
      </w:r>
      <w:proofErr w:type="spellEnd"/>
      <w:r w:rsidRPr="005D4253">
        <w:t xml:space="preserve"> J, Als-Nielsen B, Balk EM, Gluud C, Gluud LL, Ioannidis JP. Influence of reported study design characteristics on intervention effect estimates from randomized, controlled trials. Annals of internal medicine. 2012 Sep 18;157(6):429-38.</w:t>
      </w:r>
    </w:p>
    <w:p w14:paraId="21724E05" w14:textId="5E6D4078" w:rsidR="00F40B45" w:rsidRDefault="00F40B45" w:rsidP="005D4253">
      <w:pPr>
        <w:numPr>
          <w:ilvl w:val="0"/>
          <w:numId w:val="1"/>
        </w:numPr>
        <w:jc w:val="both"/>
        <w:rPr>
          <w:highlight w:val="yellow"/>
        </w:rPr>
      </w:pPr>
      <w:r w:rsidRPr="005F50BC">
        <w:rPr>
          <w:highlight w:val="yellow"/>
        </w:rPr>
        <w:t xml:space="preserve">Lu, J., Xing, H., Wang, C., Tang, M., Wu, C., Ye, F., ... &amp; Shen, L. (2023). </w:t>
      </w:r>
      <w:proofErr w:type="spellStart"/>
      <w:r w:rsidRPr="005F50BC">
        <w:rPr>
          <w:highlight w:val="yellow"/>
        </w:rPr>
        <w:t>Mpox</w:t>
      </w:r>
      <w:proofErr w:type="spellEnd"/>
      <w:r w:rsidRPr="005F50BC">
        <w:rPr>
          <w:highlight w:val="yellow"/>
        </w:rPr>
        <w:t xml:space="preserve"> (formerly monkeypox): pathogenesis, prevention and treatment. Signal Transduction and Targeted Therapy, 8(1), 458.</w:t>
      </w:r>
    </w:p>
    <w:p w14:paraId="204F1F07" w14:textId="424B4F25" w:rsidR="004C313A" w:rsidRDefault="004C313A" w:rsidP="005D4253">
      <w:pPr>
        <w:numPr>
          <w:ilvl w:val="0"/>
          <w:numId w:val="1"/>
        </w:numPr>
        <w:jc w:val="both"/>
        <w:rPr>
          <w:highlight w:val="yellow"/>
        </w:rPr>
      </w:pPr>
      <w:proofErr w:type="spellStart"/>
      <w:r w:rsidRPr="005F50BC">
        <w:rPr>
          <w:highlight w:val="yellow"/>
        </w:rPr>
        <w:t>Adetifa</w:t>
      </w:r>
      <w:proofErr w:type="spellEnd"/>
      <w:r w:rsidRPr="005F50BC">
        <w:rPr>
          <w:highlight w:val="yellow"/>
        </w:rPr>
        <w:t xml:space="preserve">, I., </w:t>
      </w:r>
      <w:proofErr w:type="spellStart"/>
      <w:r w:rsidRPr="005F50BC">
        <w:rPr>
          <w:highlight w:val="yellow"/>
        </w:rPr>
        <w:t>Muyembe</w:t>
      </w:r>
      <w:proofErr w:type="spellEnd"/>
      <w:r w:rsidRPr="005F50BC">
        <w:rPr>
          <w:highlight w:val="yellow"/>
        </w:rPr>
        <w:t xml:space="preserve">, J. J., Bausch, D. G., &amp; </w:t>
      </w:r>
      <w:proofErr w:type="spellStart"/>
      <w:r w:rsidRPr="005F50BC">
        <w:rPr>
          <w:highlight w:val="yellow"/>
        </w:rPr>
        <w:t>Heymann</w:t>
      </w:r>
      <w:proofErr w:type="spellEnd"/>
      <w:r w:rsidRPr="005F50BC">
        <w:rPr>
          <w:highlight w:val="yellow"/>
        </w:rPr>
        <w:t xml:space="preserve">, D. L. (2023). </w:t>
      </w:r>
      <w:proofErr w:type="spellStart"/>
      <w:r w:rsidRPr="005F50BC">
        <w:rPr>
          <w:highlight w:val="yellow"/>
        </w:rPr>
        <w:t>Mpox</w:t>
      </w:r>
      <w:proofErr w:type="spellEnd"/>
      <w:r w:rsidRPr="005F50BC">
        <w:rPr>
          <w:highlight w:val="yellow"/>
        </w:rPr>
        <w:t xml:space="preserve"> neglect and the smallpox niche: a problem for Africa, a problem for the world. The Lancet, 401(10390), 1822-1824.</w:t>
      </w:r>
    </w:p>
    <w:p w14:paraId="5E281462" w14:textId="729864C1" w:rsidR="00E32275" w:rsidRPr="005F50BC" w:rsidRDefault="00E32275" w:rsidP="005D4253">
      <w:pPr>
        <w:numPr>
          <w:ilvl w:val="0"/>
          <w:numId w:val="1"/>
        </w:numPr>
        <w:jc w:val="both"/>
        <w:rPr>
          <w:highlight w:val="yellow"/>
        </w:rPr>
      </w:pPr>
      <w:r w:rsidRPr="005F50BC">
        <w:rPr>
          <w:highlight w:val="yellow"/>
        </w:rPr>
        <w:t xml:space="preserve">A. C. </w:t>
      </w:r>
      <w:proofErr w:type="spellStart"/>
      <w:r w:rsidRPr="005F50BC">
        <w:rPr>
          <w:highlight w:val="yellow"/>
        </w:rPr>
        <w:t>Ifediora</w:t>
      </w:r>
      <w:proofErr w:type="spellEnd"/>
      <w:r w:rsidRPr="005F50BC">
        <w:rPr>
          <w:highlight w:val="yellow"/>
        </w:rPr>
        <w:t xml:space="preserve">, and V. O. </w:t>
      </w:r>
      <w:proofErr w:type="spellStart"/>
      <w:r w:rsidRPr="005F50BC">
        <w:rPr>
          <w:highlight w:val="yellow"/>
        </w:rPr>
        <w:t>Itaman</w:t>
      </w:r>
      <w:proofErr w:type="spellEnd"/>
      <w:r w:rsidRPr="005F50BC">
        <w:rPr>
          <w:highlight w:val="yellow"/>
        </w:rPr>
        <w:t>. 2022. “Monkey Pox Virus: A Re-Emerging Potential Healthcare Threat”. Asian Journal of Research in Infectious Diseases 11 (1):1–8. https://doi.org/10.9734/ajrid/2022/v11i130299.</w:t>
      </w:r>
    </w:p>
    <w:p w14:paraId="440AA739" w14:textId="77777777" w:rsidR="007A22A1" w:rsidRDefault="007A22A1"/>
    <w:sectPr w:rsidR="007A22A1" w:rsidSect="004524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837BE" w14:textId="77777777" w:rsidR="00766696" w:rsidRDefault="00766696" w:rsidP="007A22A1">
      <w:pPr>
        <w:spacing w:after="0" w:line="240" w:lineRule="auto"/>
      </w:pPr>
      <w:r>
        <w:separator/>
      </w:r>
    </w:p>
  </w:endnote>
  <w:endnote w:type="continuationSeparator" w:id="0">
    <w:p w14:paraId="17954EA7" w14:textId="77777777" w:rsidR="00766696" w:rsidRDefault="00766696" w:rsidP="007A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AC74" w14:textId="77777777" w:rsidR="00B1594A" w:rsidRDefault="00B1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9C26" w14:textId="77777777" w:rsidR="00B1594A" w:rsidRDefault="00B15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5076" w14:textId="77777777" w:rsidR="00B1594A" w:rsidRDefault="00B1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21B4A" w14:textId="77777777" w:rsidR="00766696" w:rsidRDefault="00766696" w:rsidP="007A22A1">
      <w:pPr>
        <w:spacing w:after="0" w:line="240" w:lineRule="auto"/>
      </w:pPr>
      <w:r>
        <w:separator/>
      </w:r>
    </w:p>
  </w:footnote>
  <w:footnote w:type="continuationSeparator" w:id="0">
    <w:p w14:paraId="47F7CBBD" w14:textId="77777777" w:rsidR="00766696" w:rsidRDefault="00766696" w:rsidP="007A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967F" w14:textId="381A532F" w:rsidR="00B1594A" w:rsidRDefault="00766696">
    <w:pPr>
      <w:pStyle w:val="Header"/>
    </w:pPr>
    <w:r>
      <w:rPr>
        <w:noProof/>
      </w:rPr>
      <w:pict w14:anchorId="69D5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681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C116" w14:textId="412A6B24" w:rsidR="007A22A1" w:rsidRDefault="00766696">
    <w:pPr>
      <w:pStyle w:val="Header"/>
      <w:jc w:val="right"/>
    </w:pPr>
    <w:r>
      <w:rPr>
        <w:noProof/>
      </w:rPr>
      <w:pict w14:anchorId="7C96D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68122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063058875"/>
        <w:docPartObj>
          <w:docPartGallery w:val="Page Numbers (Top of Page)"/>
          <w:docPartUnique/>
        </w:docPartObj>
      </w:sdtPr>
      <w:sdtEndPr>
        <w:rPr>
          <w:noProof/>
        </w:rPr>
      </w:sdtEndPr>
      <w:sdtContent>
        <w:r w:rsidR="007A22A1">
          <w:fldChar w:fldCharType="begin"/>
        </w:r>
        <w:r w:rsidR="007A22A1">
          <w:instrText xml:space="preserve"> PAGE   \* MERGEFORMAT </w:instrText>
        </w:r>
        <w:r w:rsidR="007A22A1">
          <w:fldChar w:fldCharType="separate"/>
        </w:r>
        <w:r w:rsidR="007A22A1">
          <w:rPr>
            <w:noProof/>
          </w:rPr>
          <w:t>2</w:t>
        </w:r>
        <w:r w:rsidR="007A22A1">
          <w:rPr>
            <w:noProof/>
          </w:rPr>
          <w:fldChar w:fldCharType="end"/>
        </w:r>
      </w:sdtContent>
    </w:sdt>
  </w:p>
  <w:p w14:paraId="33920EA5" w14:textId="77777777" w:rsidR="007A22A1" w:rsidRDefault="007A2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20FF" w14:textId="389B007A" w:rsidR="00B1594A" w:rsidRDefault="00766696">
    <w:pPr>
      <w:pStyle w:val="Header"/>
    </w:pPr>
    <w:r>
      <w:rPr>
        <w:noProof/>
      </w:rPr>
      <w:pict w14:anchorId="328BC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681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765"/>
    <w:multiLevelType w:val="multilevel"/>
    <w:tmpl w:val="6298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NDE0NbSwNDI3tbRQ0lEKTi0uzszPAykwqgUAnyq/VSwAAAA="/>
  </w:docVars>
  <w:rsids>
    <w:rsidRoot w:val="006D5EFF"/>
    <w:rsid w:val="00043E42"/>
    <w:rsid w:val="00060926"/>
    <w:rsid w:val="000621F6"/>
    <w:rsid w:val="00084FCD"/>
    <w:rsid w:val="0009553C"/>
    <w:rsid w:val="0015428C"/>
    <w:rsid w:val="001759F1"/>
    <w:rsid w:val="001B743A"/>
    <w:rsid w:val="001E1C58"/>
    <w:rsid w:val="00245939"/>
    <w:rsid w:val="002459BD"/>
    <w:rsid w:val="00276682"/>
    <w:rsid w:val="002B21B8"/>
    <w:rsid w:val="002E56B7"/>
    <w:rsid w:val="00326C91"/>
    <w:rsid w:val="003F1B09"/>
    <w:rsid w:val="00451EEF"/>
    <w:rsid w:val="004524D1"/>
    <w:rsid w:val="004825C8"/>
    <w:rsid w:val="004A0B7A"/>
    <w:rsid w:val="004C313A"/>
    <w:rsid w:val="004C58BB"/>
    <w:rsid w:val="005311F5"/>
    <w:rsid w:val="005711C6"/>
    <w:rsid w:val="0057313E"/>
    <w:rsid w:val="005B533B"/>
    <w:rsid w:val="005D4253"/>
    <w:rsid w:val="005E68C3"/>
    <w:rsid w:val="005F50BC"/>
    <w:rsid w:val="00612E71"/>
    <w:rsid w:val="00637CE4"/>
    <w:rsid w:val="00664268"/>
    <w:rsid w:val="00664E65"/>
    <w:rsid w:val="006D5EFF"/>
    <w:rsid w:val="006D72B6"/>
    <w:rsid w:val="00724FA1"/>
    <w:rsid w:val="00755AE6"/>
    <w:rsid w:val="00766696"/>
    <w:rsid w:val="00774777"/>
    <w:rsid w:val="00782139"/>
    <w:rsid w:val="00794CC0"/>
    <w:rsid w:val="007A22A1"/>
    <w:rsid w:val="007B65DA"/>
    <w:rsid w:val="007C6F92"/>
    <w:rsid w:val="008A437D"/>
    <w:rsid w:val="00923F3A"/>
    <w:rsid w:val="009C3888"/>
    <w:rsid w:val="009C67A4"/>
    <w:rsid w:val="009C7B53"/>
    <w:rsid w:val="009E08CA"/>
    <w:rsid w:val="009F0497"/>
    <w:rsid w:val="00A2380B"/>
    <w:rsid w:val="00A715F8"/>
    <w:rsid w:val="00A80322"/>
    <w:rsid w:val="00A8590C"/>
    <w:rsid w:val="00B1594A"/>
    <w:rsid w:val="00B65E84"/>
    <w:rsid w:val="00BE4B1D"/>
    <w:rsid w:val="00C5725E"/>
    <w:rsid w:val="00C61B11"/>
    <w:rsid w:val="00C62F62"/>
    <w:rsid w:val="00C66F44"/>
    <w:rsid w:val="00C97DE1"/>
    <w:rsid w:val="00CB1CCC"/>
    <w:rsid w:val="00CE7CE2"/>
    <w:rsid w:val="00CF037B"/>
    <w:rsid w:val="00CF1D12"/>
    <w:rsid w:val="00D06825"/>
    <w:rsid w:val="00D72A4D"/>
    <w:rsid w:val="00D876D1"/>
    <w:rsid w:val="00DC7460"/>
    <w:rsid w:val="00DD2459"/>
    <w:rsid w:val="00DD5B5E"/>
    <w:rsid w:val="00DE73DD"/>
    <w:rsid w:val="00E32275"/>
    <w:rsid w:val="00E66F53"/>
    <w:rsid w:val="00F12C11"/>
    <w:rsid w:val="00F40B45"/>
    <w:rsid w:val="00F96A8F"/>
    <w:rsid w:val="00FC1A7D"/>
    <w:rsid w:val="00FE6AF2"/>
    <w:rsid w:val="00FF1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2AC305"/>
  <w15:chartTrackingRefBased/>
  <w15:docId w15:val="{EFCDF31D-54A5-409A-AF24-9500F58B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c"/>
    <w:qFormat/>
    <w:rsid w:val="009C67A4"/>
    <w:rPr>
      <w:rFonts w:ascii="Times New Roman" w:hAnsi="Times New Roman"/>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2A1"/>
    <w:rPr>
      <w:rFonts w:ascii="Times New Roman" w:hAnsi="Times New Roman"/>
      <w:sz w:val="24"/>
      <w14:ligatures w14:val="none"/>
    </w:rPr>
  </w:style>
  <w:style w:type="paragraph" w:styleId="Footer">
    <w:name w:val="footer"/>
    <w:basedOn w:val="Normal"/>
    <w:link w:val="FooterChar"/>
    <w:uiPriority w:val="99"/>
    <w:unhideWhenUsed/>
    <w:rsid w:val="007A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2A1"/>
    <w:rPr>
      <w:rFonts w:ascii="Times New Roman" w:hAnsi="Times New Roman"/>
      <w:sz w:val="24"/>
      <w14:ligatures w14:val="none"/>
    </w:rPr>
  </w:style>
  <w:style w:type="character" w:styleId="Hyperlink">
    <w:name w:val="Hyperlink"/>
    <w:basedOn w:val="DefaultParagraphFont"/>
    <w:uiPriority w:val="99"/>
    <w:unhideWhenUsed/>
    <w:rsid w:val="00CF037B"/>
    <w:rPr>
      <w:color w:val="0563C1" w:themeColor="hyperlink"/>
      <w:u w:val="single"/>
    </w:rPr>
  </w:style>
  <w:style w:type="character" w:styleId="UnresolvedMention">
    <w:name w:val="Unresolved Mention"/>
    <w:basedOn w:val="DefaultParagraphFont"/>
    <w:uiPriority w:val="99"/>
    <w:semiHidden/>
    <w:unhideWhenUsed/>
    <w:rsid w:val="00CF037B"/>
    <w:rPr>
      <w:color w:val="605E5C"/>
      <w:shd w:val="clear" w:color="auto" w:fill="E1DFDD"/>
    </w:rPr>
  </w:style>
  <w:style w:type="paragraph" w:styleId="BalloonText">
    <w:name w:val="Balloon Text"/>
    <w:basedOn w:val="Normal"/>
    <w:link w:val="BalloonTextChar"/>
    <w:uiPriority w:val="99"/>
    <w:semiHidden/>
    <w:unhideWhenUsed/>
    <w:rsid w:val="00F40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B45"/>
    <w:rPr>
      <w:rFonts w:ascii="Segoe U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663036">
      <w:bodyDiv w:val="1"/>
      <w:marLeft w:val="0"/>
      <w:marRight w:val="0"/>
      <w:marTop w:val="0"/>
      <w:marBottom w:val="0"/>
      <w:divBdr>
        <w:top w:val="none" w:sz="0" w:space="0" w:color="auto"/>
        <w:left w:val="none" w:sz="0" w:space="0" w:color="auto"/>
        <w:bottom w:val="none" w:sz="0" w:space="0" w:color="auto"/>
        <w:right w:val="none" w:sz="0" w:space="0" w:color="auto"/>
      </w:divBdr>
    </w:div>
    <w:div w:id="687802002">
      <w:bodyDiv w:val="1"/>
      <w:marLeft w:val="0"/>
      <w:marRight w:val="0"/>
      <w:marTop w:val="0"/>
      <w:marBottom w:val="0"/>
      <w:divBdr>
        <w:top w:val="none" w:sz="0" w:space="0" w:color="auto"/>
        <w:left w:val="none" w:sz="0" w:space="0" w:color="auto"/>
        <w:bottom w:val="none" w:sz="0" w:space="0" w:color="auto"/>
        <w:right w:val="none" w:sz="0" w:space="0" w:color="auto"/>
      </w:divBdr>
    </w:div>
    <w:div w:id="1148088612">
      <w:bodyDiv w:val="1"/>
      <w:marLeft w:val="0"/>
      <w:marRight w:val="0"/>
      <w:marTop w:val="0"/>
      <w:marBottom w:val="0"/>
      <w:divBdr>
        <w:top w:val="none" w:sz="0" w:space="0" w:color="auto"/>
        <w:left w:val="none" w:sz="0" w:space="0" w:color="auto"/>
        <w:bottom w:val="none" w:sz="0" w:space="0" w:color="auto"/>
        <w:right w:val="none" w:sz="0" w:space="0" w:color="auto"/>
      </w:divBdr>
    </w:div>
    <w:div w:id="1155414490">
      <w:bodyDiv w:val="1"/>
      <w:marLeft w:val="0"/>
      <w:marRight w:val="0"/>
      <w:marTop w:val="0"/>
      <w:marBottom w:val="0"/>
      <w:divBdr>
        <w:top w:val="none" w:sz="0" w:space="0" w:color="auto"/>
        <w:left w:val="none" w:sz="0" w:space="0" w:color="auto"/>
        <w:bottom w:val="none" w:sz="0" w:space="0" w:color="auto"/>
        <w:right w:val="none" w:sz="0" w:space="0" w:color="auto"/>
      </w:divBdr>
    </w:div>
    <w:div w:id="1160581286">
      <w:bodyDiv w:val="1"/>
      <w:marLeft w:val="0"/>
      <w:marRight w:val="0"/>
      <w:marTop w:val="0"/>
      <w:marBottom w:val="0"/>
      <w:divBdr>
        <w:top w:val="none" w:sz="0" w:space="0" w:color="auto"/>
        <w:left w:val="none" w:sz="0" w:space="0" w:color="auto"/>
        <w:bottom w:val="none" w:sz="0" w:space="0" w:color="auto"/>
        <w:right w:val="none" w:sz="0" w:space="0" w:color="auto"/>
      </w:divBdr>
    </w:div>
    <w:div w:id="1218274166">
      <w:bodyDiv w:val="1"/>
      <w:marLeft w:val="0"/>
      <w:marRight w:val="0"/>
      <w:marTop w:val="0"/>
      <w:marBottom w:val="0"/>
      <w:divBdr>
        <w:top w:val="none" w:sz="0" w:space="0" w:color="auto"/>
        <w:left w:val="none" w:sz="0" w:space="0" w:color="auto"/>
        <w:bottom w:val="none" w:sz="0" w:space="0" w:color="auto"/>
        <w:right w:val="none" w:sz="0" w:space="0" w:color="auto"/>
      </w:divBdr>
      <w:divsChild>
        <w:div w:id="1989047923">
          <w:marLeft w:val="0"/>
          <w:marRight w:val="0"/>
          <w:marTop w:val="0"/>
          <w:marBottom w:val="0"/>
          <w:divBdr>
            <w:top w:val="none" w:sz="0" w:space="0" w:color="auto"/>
            <w:left w:val="none" w:sz="0" w:space="0" w:color="auto"/>
            <w:bottom w:val="none" w:sz="0" w:space="0" w:color="auto"/>
            <w:right w:val="none" w:sz="0" w:space="0" w:color="auto"/>
          </w:divBdr>
          <w:divsChild>
            <w:div w:id="1602760680">
              <w:marLeft w:val="0"/>
              <w:marRight w:val="0"/>
              <w:marTop w:val="0"/>
              <w:marBottom w:val="0"/>
              <w:divBdr>
                <w:top w:val="none" w:sz="0" w:space="0" w:color="auto"/>
                <w:left w:val="none" w:sz="0" w:space="0" w:color="auto"/>
                <w:bottom w:val="none" w:sz="0" w:space="0" w:color="auto"/>
                <w:right w:val="none" w:sz="0" w:space="0" w:color="auto"/>
              </w:divBdr>
              <w:divsChild>
                <w:div w:id="242839209">
                  <w:marLeft w:val="0"/>
                  <w:marRight w:val="0"/>
                  <w:marTop w:val="0"/>
                  <w:marBottom w:val="0"/>
                  <w:divBdr>
                    <w:top w:val="none" w:sz="0" w:space="0" w:color="auto"/>
                    <w:left w:val="none" w:sz="0" w:space="0" w:color="auto"/>
                    <w:bottom w:val="none" w:sz="0" w:space="0" w:color="auto"/>
                    <w:right w:val="none" w:sz="0" w:space="0" w:color="auto"/>
                  </w:divBdr>
                  <w:divsChild>
                    <w:div w:id="9356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52180">
      <w:bodyDiv w:val="1"/>
      <w:marLeft w:val="0"/>
      <w:marRight w:val="0"/>
      <w:marTop w:val="0"/>
      <w:marBottom w:val="0"/>
      <w:divBdr>
        <w:top w:val="none" w:sz="0" w:space="0" w:color="auto"/>
        <w:left w:val="none" w:sz="0" w:space="0" w:color="auto"/>
        <w:bottom w:val="none" w:sz="0" w:space="0" w:color="auto"/>
        <w:right w:val="none" w:sz="0" w:space="0" w:color="auto"/>
      </w:divBdr>
    </w:div>
    <w:div w:id="1840268668">
      <w:bodyDiv w:val="1"/>
      <w:marLeft w:val="0"/>
      <w:marRight w:val="0"/>
      <w:marTop w:val="0"/>
      <w:marBottom w:val="0"/>
      <w:divBdr>
        <w:top w:val="none" w:sz="0" w:space="0" w:color="auto"/>
        <w:left w:val="none" w:sz="0" w:space="0" w:color="auto"/>
        <w:bottom w:val="none" w:sz="0" w:space="0" w:color="auto"/>
        <w:right w:val="none" w:sz="0" w:space="0" w:color="auto"/>
      </w:divBdr>
    </w:div>
    <w:div w:id="19981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5298</Words>
  <Characters>30204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Zouina Sarfraz</dc:creator>
  <cp:keywords/>
  <dc:description/>
  <cp:lastModifiedBy>SDI PC New 16</cp:lastModifiedBy>
  <cp:revision>41</cp:revision>
  <dcterms:created xsi:type="dcterms:W3CDTF">2025-09-02T21:52:00Z</dcterms:created>
  <dcterms:modified xsi:type="dcterms:W3CDTF">2025-09-24T07:43:00Z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cbf2ba9e-1c2d-4267-9086-589c119efefd</vt:lpwstr>
  </property>
</Properties>
</file>