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4D5DA" w14:textId="34829D2C" w:rsidR="00A258C3" w:rsidRPr="00266B15" w:rsidRDefault="00D12A86" w:rsidP="00441B6F">
      <w:pPr>
        <w:pStyle w:val="Author"/>
        <w:spacing w:line="240" w:lineRule="auto"/>
        <w:jc w:val="both"/>
        <w:rPr>
          <w:rFonts w:ascii="Arial" w:hAnsi="Arial" w:cs="Arial"/>
          <w:sz w:val="36"/>
        </w:rPr>
      </w:pPr>
      <w:r w:rsidRPr="00266B15">
        <w:rPr>
          <w:rFonts w:ascii="Arial" w:hAnsi="Arial" w:cs="Arial"/>
          <w:bCs/>
          <w:iCs/>
          <w:kern w:val="28"/>
          <w:sz w:val="36"/>
          <w:lang w:val="en-GB"/>
        </w:rPr>
        <w:t xml:space="preserve">Extract from </w:t>
      </w:r>
      <w:r w:rsidRPr="00266B15">
        <w:rPr>
          <w:rFonts w:ascii="Arial" w:hAnsi="Arial" w:cs="Arial"/>
          <w:bCs/>
          <w:i/>
          <w:iCs/>
          <w:kern w:val="28"/>
          <w:sz w:val="36"/>
          <w:lang w:val="en-GB"/>
        </w:rPr>
        <w:t xml:space="preserve">Terminalia </w:t>
      </w:r>
      <w:proofErr w:type="spellStart"/>
      <w:r w:rsidR="00CA5BA9" w:rsidRPr="00266B15">
        <w:rPr>
          <w:rFonts w:ascii="Arial" w:hAnsi="Arial" w:cs="Arial"/>
          <w:bCs/>
          <w:i/>
          <w:iCs/>
          <w:kern w:val="28"/>
          <w:sz w:val="36"/>
          <w:lang w:val="en-GB"/>
        </w:rPr>
        <w:t>Avicennoides</w:t>
      </w:r>
      <w:proofErr w:type="spellEnd"/>
      <w:r w:rsidR="00CA5BA9" w:rsidRPr="00266B15">
        <w:rPr>
          <w:rFonts w:ascii="Arial" w:hAnsi="Arial" w:cs="Arial"/>
          <w:bCs/>
          <w:iCs/>
          <w:kern w:val="28"/>
          <w:sz w:val="36"/>
          <w:lang w:val="en-GB"/>
        </w:rPr>
        <w:t xml:space="preserve"> </w:t>
      </w:r>
      <w:proofErr w:type="spellStart"/>
      <w:r w:rsidRPr="00266B15">
        <w:rPr>
          <w:rFonts w:ascii="Arial" w:hAnsi="Arial" w:cs="Arial"/>
          <w:bCs/>
          <w:iCs/>
          <w:kern w:val="28"/>
          <w:sz w:val="36"/>
          <w:lang w:val="en-GB"/>
        </w:rPr>
        <w:t>Guill</w:t>
      </w:r>
      <w:proofErr w:type="spellEnd"/>
      <w:r w:rsidRPr="00266B15">
        <w:rPr>
          <w:rFonts w:ascii="Arial" w:hAnsi="Arial" w:cs="Arial"/>
          <w:bCs/>
          <w:iCs/>
          <w:kern w:val="28"/>
          <w:sz w:val="36"/>
          <w:lang w:val="en-GB"/>
        </w:rPr>
        <w:t xml:space="preserve"> and </w:t>
      </w:r>
      <w:proofErr w:type="spellStart"/>
      <w:r w:rsidRPr="00266B15">
        <w:rPr>
          <w:rFonts w:ascii="Arial" w:hAnsi="Arial" w:cs="Arial"/>
          <w:bCs/>
          <w:iCs/>
          <w:kern w:val="28"/>
          <w:sz w:val="36"/>
          <w:lang w:val="en-GB"/>
        </w:rPr>
        <w:t>Perr</w:t>
      </w:r>
      <w:proofErr w:type="spellEnd"/>
      <w:r w:rsidRPr="00266B15">
        <w:rPr>
          <w:rFonts w:ascii="Arial" w:hAnsi="Arial" w:cs="Arial"/>
          <w:bCs/>
          <w:iCs/>
          <w:kern w:val="28"/>
          <w:sz w:val="36"/>
          <w:lang w:val="en-GB"/>
        </w:rPr>
        <w:t xml:space="preserve">, </w:t>
      </w:r>
      <w:r w:rsidRPr="00266B15">
        <w:rPr>
          <w:rFonts w:ascii="Arial" w:hAnsi="Arial" w:cs="Arial"/>
          <w:bCs/>
          <w:i/>
          <w:iCs/>
          <w:kern w:val="28"/>
          <w:sz w:val="36"/>
          <w:lang w:val="en-GB"/>
        </w:rPr>
        <w:t xml:space="preserve">Terminalia </w:t>
      </w:r>
      <w:proofErr w:type="spellStart"/>
      <w:r w:rsidR="00CA5BA9" w:rsidRPr="00266B15">
        <w:rPr>
          <w:rFonts w:ascii="Arial" w:hAnsi="Arial" w:cs="Arial"/>
          <w:bCs/>
          <w:i/>
          <w:iCs/>
          <w:kern w:val="28"/>
          <w:sz w:val="36"/>
          <w:lang w:val="en-GB"/>
        </w:rPr>
        <w:t>Macroptera</w:t>
      </w:r>
      <w:proofErr w:type="spellEnd"/>
      <w:r w:rsidR="00CA5BA9" w:rsidRPr="00266B15">
        <w:rPr>
          <w:rFonts w:ascii="Arial" w:hAnsi="Arial" w:cs="Arial"/>
          <w:bCs/>
          <w:iCs/>
          <w:kern w:val="28"/>
          <w:sz w:val="36"/>
          <w:lang w:val="en-GB"/>
        </w:rPr>
        <w:t xml:space="preserve"> </w:t>
      </w:r>
      <w:proofErr w:type="spellStart"/>
      <w:r w:rsidRPr="00266B15">
        <w:rPr>
          <w:rFonts w:ascii="Arial" w:hAnsi="Arial" w:cs="Arial"/>
          <w:bCs/>
          <w:iCs/>
          <w:kern w:val="28"/>
          <w:sz w:val="36"/>
          <w:lang w:val="en-GB"/>
        </w:rPr>
        <w:t>Guill</w:t>
      </w:r>
      <w:proofErr w:type="spellEnd"/>
      <w:r w:rsidRPr="00266B15">
        <w:rPr>
          <w:rFonts w:ascii="Arial" w:hAnsi="Arial" w:cs="Arial"/>
          <w:bCs/>
          <w:iCs/>
          <w:kern w:val="28"/>
          <w:sz w:val="36"/>
          <w:lang w:val="en-GB"/>
        </w:rPr>
        <w:t xml:space="preserve"> and </w:t>
      </w:r>
      <w:proofErr w:type="spellStart"/>
      <w:r w:rsidRPr="00266B15">
        <w:rPr>
          <w:rFonts w:ascii="Arial" w:hAnsi="Arial" w:cs="Arial"/>
          <w:bCs/>
          <w:iCs/>
          <w:kern w:val="28"/>
          <w:sz w:val="36"/>
          <w:lang w:val="en-GB"/>
        </w:rPr>
        <w:t>Perr</w:t>
      </w:r>
      <w:proofErr w:type="spellEnd"/>
      <w:r w:rsidRPr="00266B15">
        <w:rPr>
          <w:rFonts w:ascii="Arial" w:hAnsi="Arial" w:cs="Arial"/>
          <w:bCs/>
          <w:iCs/>
          <w:kern w:val="28"/>
          <w:sz w:val="36"/>
          <w:lang w:val="en-GB"/>
        </w:rPr>
        <w:t xml:space="preserve"> and </w:t>
      </w:r>
      <w:proofErr w:type="spellStart"/>
      <w:r w:rsidRPr="00266B15">
        <w:rPr>
          <w:rFonts w:ascii="Arial" w:hAnsi="Arial" w:cs="Arial"/>
          <w:bCs/>
          <w:i/>
          <w:iCs/>
          <w:kern w:val="28"/>
          <w:sz w:val="36"/>
          <w:lang w:val="en-GB"/>
        </w:rPr>
        <w:t>Argemone</w:t>
      </w:r>
      <w:proofErr w:type="spellEnd"/>
      <w:r w:rsidRPr="00266B15">
        <w:rPr>
          <w:rFonts w:ascii="Arial" w:hAnsi="Arial" w:cs="Arial"/>
          <w:bCs/>
          <w:i/>
          <w:iCs/>
          <w:kern w:val="28"/>
          <w:sz w:val="36"/>
          <w:lang w:val="en-GB"/>
        </w:rPr>
        <w:t xml:space="preserve"> </w:t>
      </w:r>
      <w:proofErr w:type="spellStart"/>
      <w:r w:rsidRPr="00266B15">
        <w:rPr>
          <w:rFonts w:ascii="Arial" w:hAnsi="Arial" w:cs="Arial"/>
          <w:bCs/>
          <w:i/>
          <w:iCs/>
          <w:kern w:val="28"/>
          <w:sz w:val="36"/>
          <w:lang w:val="en-GB"/>
        </w:rPr>
        <w:t>mexcicana</w:t>
      </w:r>
      <w:proofErr w:type="spellEnd"/>
      <w:r w:rsidRPr="00266B15">
        <w:rPr>
          <w:rFonts w:ascii="Arial" w:hAnsi="Arial" w:cs="Arial"/>
          <w:bCs/>
          <w:iCs/>
          <w:kern w:val="28"/>
          <w:sz w:val="36"/>
          <w:lang w:val="en-GB"/>
        </w:rPr>
        <w:t xml:space="preserve"> L were </w:t>
      </w:r>
      <w:r w:rsidR="00266B15" w:rsidRPr="00266B15">
        <w:rPr>
          <w:rFonts w:ascii="Arial" w:hAnsi="Arial" w:cs="Arial"/>
          <w:bCs/>
          <w:iCs/>
          <w:kern w:val="28"/>
          <w:sz w:val="36"/>
          <w:lang w:val="en-GB"/>
        </w:rPr>
        <w:t xml:space="preserve">Examined </w:t>
      </w:r>
      <w:r w:rsidRPr="00266B15">
        <w:rPr>
          <w:rFonts w:ascii="Arial" w:hAnsi="Arial" w:cs="Arial"/>
          <w:bCs/>
          <w:iCs/>
          <w:kern w:val="28"/>
          <w:sz w:val="36"/>
          <w:lang w:val="en-GB"/>
        </w:rPr>
        <w:t xml:space="preserve">for </w:t>
      </w:r>
      <w:r w:rsidR="00266B15" w:rsidRPr="00266B15">
        <w:rPr>
          <w:rFonts w:ascii="Arial" w:hAnsi="Arial" w:cs="Arial"/>
          <w:bCs/>
          <w:iCs/>
          <w:kern w:val="28"/>
          <w:sz w:val="36"/>
          <w:lang w:val="en-GB"/>
        </w:rPr>
        <w:t>Their Phytochemistry</w:t>
      </w:r>
      <w:r w:rsidR="002D73C6" w:rsidRPr="00266B15">
        <w:rPr>
          <w:rFonts w:ascii="Arial" w:hAnsi="Arial" w:cs="Arial"/>
          <w:bCs/>
          <w:iCs/>
          <w:kern w:val="28"/>
          <w:sz w:val="36"/>
          <w:lang w:val="en-GB"/>
        </w:rPr>
        <w:t>,</w:t>
      </w:r>
      <w:r w:rsidR="00266B15" w:rsidRPr="00266B15">
        <w:rPr>
          <w:rFonts w:ascii="Arial" w:hAnsi="Arial" w:cs="Arial"/>
          <w:bCs/>
          <w:iCs/>
          <w:kern w:val="28"/>
          <w:sz w:val="36"/>
          <w:lang w:val="en-GB"/>
        </w:rPr>
        <w:t xml:space="preserve"> Antibacterial </w:t>
      </w:r>
      <w:r w:rsidR="002D73C6" w:rsidRPr="00266B15">
        <w:rPr>
          <w:rFonts w:ascii="Arial" w:hAnsi="Arial" w:cs="Arial"/>
          <w:bCs/>
          <w:iCs/>
          <w:kern w:val="28"/>
          <w:sz w:val="36"/>
          <w:lang w:val="en-GB"/>
        </w:rPr>
        <w:t>and</w:t>
      </w:r>
      <w:r w:rsidR="00266B15" w:rsidRPr="00266B15">
        <w:rPr>
          <w:rFonts w:ascii="Arial" w:hAnsi="Arial" w:cs="Arial"/>
          <w:bCs/>
          <w:iCs/>
          <w:kern w:val="28"/>
          <w:sz w:val="36"/>
          <w:lang w:val="en-GB"/>
        </w:rPr>
        <w:t xml:space="preserve"> </w:t>
      </w:r>
      <w:proofErr w:type="spellStart"/>
      <w:r w:rsidR="00266B15" w:rsidRPr="00266B15">
        <w:rPr>
          <w:rFonts w:ascii="Arial" w:hAnsi="Arial" w:cs="Arial"/>
          <w:bCs/>
          <w:iCs/>
          <w:kern w:val="28"/>
          <w:sz w:val="36"/>
          <w:lang w:val="en-GB"/>
        </w:rPr>
        <w:t>Antiplasmodial</w:t>
      </w:r>
      <w:proofErr w:type="spellEnd"/>
      <w:r w:rsidR="00266B15" w:rsidRPr="00266B15">
        <w:rPr>
          <w:rFonts w:ascii="Arial" w:hAnsi="Arial" w:cs="Arial"/>
          <w:bCs/>
          <w:iCs/>
          <w:kern w:val="28"/>
          <w:sz w:val="36"/>
          <w:lang w:val="en-GB"/>
        </w:rPr>
        <w:t xml:space="preserve"> </w:t>
      </w:r>
      <w:proofErr w:type="spellStart"/>
      <w:r w:rsidR="00266B15" w:rsidRPr="00266B15">
        <w:rPr>
          <w:rFonts w:ascii="Arial" w:hAnsi="Arial" w:cs="Arial"/>
          <w:bCs/>
          <w:iCs/>
          <w:kern w:val="28"/>
          <w:sz w:val="36"/>
          <w:lang w:val="en-GB"/>
        </w:rPr>
        <w:t>Proprerties</w:t>
      </w:r>
      <w:proofErr w:type="spellEnd"/>
      <w:r w:rsidR="00266B15" w:rsidRPr="00266B15" w:rsidDel="00D12A86">
        <w:rPr>
          <w:rFonts w:ascii="Arial" w:hAnsi="Arial" w:cs="Arial"/>
          <w:bCs/>
          <w:iCs/>
          <w:kern w:val="28"/>
          <w:sz w:val="36"/>
        </w:rPr>
        <w:t xml:space="preserve"> </w:t>
      </w:r>
    </w:p>
    <w:p w14:paraId="591C8A52" w14:textId="6B1AEF10" w:rsidR="00CB4995" w:rsidRPr="00266B15" w:rsidRDefault="00CB4995" w:rsidP="00795271">
      <w:pPr>
        <w:pStyle w:val="Affiliation"/>
        <w:spacing w:after="0" w:line="240" w:lineRule="auto"/>
        <w:rPr>
          <w:rFonts w:ascii="Arial" w:hAnsi="Arial" w:cs="Arial"/>
          <w:i/>
          <w:lang w:val="en-GB"/>
        </w:rPr>
      </w:pPr>
    </w:p>
    <w:p w14:paraId="03521727" w14:textId="7F4EDAA7" w:rsidR="009E790F" w:rsidRPr="00266B15" w:rsidRDefault="009E790F" w:rsidP="00376E0E">
      <w:pPr>
        <w:pStyle w:val="Affiliation"/>
        <w:spacing w:after="0" w:line="240" w:lineRule="auto"/>
        <w:jc w:val="left"/>
        <w:rPr>
          <w:rFonts w:ascii="Arial" w:hAnsi="Arial" w:cs="Arial"/>
          <w:i/>
          <w:lang w:val="en-GB"/>
        </w:rPr>
      </w:pPr>
      <w:bookmarkStart w:id="0" w:name="_GoBack"/>
      <w:bookmarkEnd w:id="0"/>
    </w:p>
    <w:p w14:paraId="0F272E50" w14:textId="77777777" w:rsidR="009E790F" w:rsidRPr="00266B15" w:rsidRDefault="009E790F" w:rsidP="00795271">
      <w:pPr>
        <w:pStyle w:val="Affiliation"/>
        <w:spacing w:after="0" w:line="240" w:lineRule="auto"/>
        <w:rPr>
          <w:rFonts w:ascii="Arial" w:hAnsi="Arial" w:cs="Arial"/>
          <w:i/>
          <w:lang w:val="en-GB"/>
        </w:rPr>
      </w:pPr>
    </w:p>
    <w:p w14:paraId="64DA91F8" w14:textId="77777777" w:rsidR="00790ADA" w:rsidRPr="00266B15" w:rsidRDefault="00790ADA" w:rsidP="00441B6F">
      <w:pPr>
        <w:pStyle w:val="Affiliation"/>
        <w:spacing w:after="0" w:line="240" w:lineRule="auto"/>
        <w:jc w:val="both"/>
        <w:rPr>
          <w:rFonts w:ascii="Arial" w:hAnsi="Arial" w:cs="Arial"/>
          <w:lang w:val="en-GB"/>
        </w:rPr>
      </w:pPr>
    </w:p>
    <w:p w14:paraId="301ED1FA" w14:textId="77777777" w:rsidR="002C57D2" w:rsidRPr="00266B15" w:rsidRDefault="002C57D2" w:rsidP="00441B6F">
      <w:pPr>
        <w:pStyle w:val="Affiliation"/>
        <w:spacing w:after="0" w:line="240" w:lineRule="auto"/>
        <w:jc w:val="both"/>
        <w:rPr>
          <w:rFonts w:ascii="Arial" w:hAnsi="Arial" w:cs="Arial"/>
          <w:lang w:val="en-GB"/>
        </w:rPr>
      </w:pPr>
    </w:p>
    <w:p w14:paraId="296A3977" w14:textId="77777777" w:rsidR="00B01FCD" w:rsidRPr="00266B15" w:rsidRDefault="00795271" w:rsidP="00441B6F">
      <w:pPr>
        <w:pStyle w:val="Copyright"/>
        <w:spacing w:after="0" w:line="240" w:lineRule="auto"/>
        <w:jc w:val="both"/>
        <w:rPr>
          <w:rFonts w:ascii="Arial" w:hAnsi="Arial" w:cs="Arial"/>
        </w:rPr>
        <w:sectPr w:rsidR="00B01FCD" w:rsidRPr="00266B15" w:rsidSect="009E79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66B15">
        <w:rPr>
          <w:rFonts w:ascii="Arial" w:hAnsi="Arial" w:cs="Arial"/>
          <w:noProof/>
          <w:lang w:val="en-IN" w:eastAsia="en-IN"/>
        </w:rPr>
        <mc:AlternateContent>
          <mc:Choice Requires="wps">
            <w:drawing>
              <wp:inline distT="0" distB="0" distL="0" distR="0" wp14:anchorId="00585C5A" wp14:editId="58DB8A69">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4923A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" strokeweight="1.5pt">
                <o:lock v:ext="edit" shapetype="f"/>
                <w10:anchorlock/>
              </v:shape>
            </w:pict>
          </mc:Fallback>
        </mc:AlternateContent>
      </w:r>
      <w:r w:rsidR="00FB3A86" w:rsidRPr="00266B15">
        <w:rPr>
          <w:rFonts w:ascii="Arial" w:hAnsi="Arial" w:cs="Arial"/>
        </w:rPr>
        <w:t>.</w:t>
      </w:r>
    </w:p>
    <w:p w14:paraId="6B2B554E" w14:textId="1E571477" w:rsidR="00B01FCD" w:rsidRPr="00266B15" w:rsidRDefault="00B01FCD" w:rsidP="00441B6F">
      <w:pPr>
        <w:pStyle w:val="AbstHead"/>
        <w:spacing w:after="0"/>
        <w:jc w:val="both"/>
        <w:rPr>
          <w:rFonts w:ascii="Arial" w:hAnsi="Arial" w:cs="Arial"/>
        </w:rPr>
      </w:pPr>
      <w:r w:rsidRPr="00266B15">
        <w:rPr>
          <w:rFonts w:ascii="Arial" w:hAnsi="Arial" w:cs="Arial"/>
        </w:rPr>
        <w:t>ABSTRACT</w:t>
      </w:r>
      <w:r w:rsidR="0066510A" w:rsidRPr="00266B15">
        <w:rPr>
          <w:rFonts w:ascii="Arial" w:hAnsi="Arial" w:cs="Arial"/>
        </w:rPr>
        <w:t xml:space="preserve"> </w:t>
      </w:r>
    </w:p>
    <w:p w14:paraId="787491AF" w14:textId="77777777" w:rsidR="00790ADA" w:rsidRPr="00266B1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66B15" w14:paraId="0EE25B49" w14:textId="77777777" w:rsidTr="001E44FE">
        <w:tc>
          <w:tcPr>
            <w:tcW w:w="9576" w:type="dxa"/>
            <w:shd w:val="clear" w:color="auto" w:fill="F2F2F2"/>
          </w:tcPr>
          <w:p w14:paraId="7F57F94E" w14:textId="5467A203" w:rsidR="00BA1B01" w:rsidRPr="00266B15" w:rsidRDefault="00BA1B01" w:rsidP="00441B6F">
            <w:pPr>
              <w:pStyle w:val="Body"/>
              <w:spacing w:after="0"/>
              <w:rPr>
                <w:rFonts w:ascii="Arial" w:eastAsia="Calibri" w:hAnsi="Arial" w:cs="Arial"/>
                <w:szCs w:val="22"/>
              </w:rPr>
            </w:pPr>
            <w:r w:rsidRPr="00266B15">
              <w:rPr>
                <w:rFonts w:ascii="Arial" w:eastAsia="Calibri" w:hAnsi="Arial" w:cs="Arial"/>
                <w:b/>
                <w:szCs w:val="22"/>
              </w:rPr>
              <w:t xml:space="preserve">Aims: </w:t>
            </w:r>
            <w:r w:rsidR="007034EC" w:rsidRPr="00266B15">
              <w:rPr>
                <w:rFonts w:ascii="Arial" w:eastAsia="Calibri" w:hAnsi="Arial" w:cs="Arial"/>
                <w:szCs w:val="22"/>
              </w:rPr>
              <w:t xml:space="preserve">The objective of this study was to evaluate the phytochemical composition and antimicrobial activities of Terminalia </w:t>
            </w:r>
            <w:proofErr w:type="spellStart"/>
            <w:r w:rsidR="007034EC" w:rsidRPr="00266B15">
              <w:rPr>
                <w:rFonts w:ascii="Arial" w:eastAsia="Calibri" w:hAnsi="Arial" w:cs="Arial"/>
                <w:szCs w:val="22"/>
              </w:rPr>
              <w:t>avicennoides</w:t>
            </w:r>
            <w:proofErr w:type="spellEnd"/>
            <w:r w:rsidR="007034EC" w:rsidRPr="00266B15">
              <w:rPr>
                <w:rFonts w:ascii="Arial" w:eastAsia="Calibri" w:hAnsi="Arial" w:cs="Arial"/>
                <w:szCs w:val="22"/>
              </w:rPr>
              <w:t xml:space="preserve">, Terminalia </w:t>
            </w:r>
            <w:proofErr w:type="spellStart"/>
            <w:r w:rsidR="007034EC" w:rsidRPr="00266B15">
              <w:rPr>
                <w:rFonts w:ascii="Arial" w:eastAsia="Calibri" w:hAnsi="Arial" w:cs="Arial"/>
                <w:szCs w:val="22"/>
              </w:rPr>
              <w:t>macroptera</w:t>
            </w:r>
            <w:proofErr w:type="spellEnd"/>
            <w:r w:rsidR="007034EC" w:rsidRPr="00266B15">
              <w:rPr>
                <w:rFonts w:ascii="Arial" w:eastAsia="Calibri" w:hAnsi="Arial" w:cs="Arial"/>
                <w:szCs w:val="22"/>
              </w:rPr>
              <w:t xml:space="preserve">, and </w:t>
            </w:r>
            <w:proofErr w:type="spellStart"/>
            <w:r w:rsidR="007034EC" w:rsidRPr="00266B15">
              <w:rPr>
                <w:rFonts w:ascii="Arial" w:eastAsia="Calibri" w:hAnsi="Arial" w:cs="Arial"/>
                <w:szCs w:val="22"/>
              </w:rPr>
              <w:t>Argemone</w:t>
            </w:r>
            <w:proofErr w:type="spellEnd"/>
            <w:r w:rsidR="007034EC" w:rsidRPr="00266B15">
              <w:rPr>
                <w:rFonts w:ascii="Arial" w:eastAsia="Calibri" w:hAnsi="Arial" w:cs="Arial"/>
                <w:szCs w:val="22"/>
              </w:rPr>
              <w:t xml:space="preserve"> </w:t>
            </w:r>
            <w:proofErr w:type="spellStart"/>
            <w:r w:rsidR="007034EC" w:rsidRPr="00266B15">
              <w:rPr>
                <w:rFonts w:ascii="Arial" w:eastAsia="Calibri" w:hAnsi="Arial" w:cs="Arial"/>
                <w:szCs w:val="22"/>
              </w:rPr>
              <w:t>mexicana</w:t>
            </w:r>
            <w:proofErr w:type="spellEnd"/>
            <w:r w:rsidR="007034EC" w:rsidRPr="00266B15">
              <w:rPr>
                <w:rFonts w:ascii="Arial" w:eastAsia="Calibri" w:hAnsi="Arial" w:cs="Arial"/>
                <w:szCs w:val="22"/>
              </w:rPr>
              <w:t>, three plants used in traditional medicine in Burkina Faso.</w:t>
            </w:r>
          </w:p>
          <w:p w14:paraId="6D0410A1" w14:textId="15C3A8EA" w:rsidR="00BA1B01" w:rsidRPr="00266B15" w:rsidRDefault="00BA1B01" w:rsidP="00441B6F">
            <w:pPr>
              <w:pStyle w:val="Body"/>
              <w:spacing w:after="0"/>
              <w:rPr>
                <w:rFonts w:ascii="Arial" w:eastAsia="Calibri" w:hAnsi="Arial" w:cs="Arial"/>
                <w:szCs w:val="22"/>
              </w:rPr>
            </w:pPr>
            <w:r w:rsidRPr="00266B15">
              <w:rPr>
                <w:rFonts w:ascii="Arial" w:eastAsia="Calibri" w:hAnsi="Arial" w:cs="Arial"/>
                <w:b/>
                <w:szCs w:val="22"/>
              </w:rPr>
              <w:t>Study design:</w:t>
            </w:r>
            <w:r w:rsidRPr="00266B15">
              <w:rPr>
                <w:rFonts w:ascii="Arial" w:eastAsia="Calibri" w:hAnsi="Arial" w:cs="Arial"/>
                <w:szCs w:val="22"/>
              </w:rPr>
              <w:t xml:space="preserve">  </w:t>
            </w:r>
            <w:r w:rsidR="00901A3B" w:rsidRPr="00266B15">
              <w:rPr>
                <w:rFonts w:ascii="Arial" w:eastAsia="Calibri" w:hAnsi="Arial" w:cs="Arial"/>
                <w:szCs w:val="22"/>
              </w:rPr>
              <w:t>This work is experimental research</w:t>
            </w:r>
            <w:r w:rsidR="00A451F8" w:rsidRPr="00266B15">
              <w:rPr>
                <w:rFonts w:ascii="Arial" w:eastAsia="Calibri" w:hAnsi="Arial" w:cs="Arial"/>
                <w:szCs w:val="22"/>
              </w:rPr>
              <w:t xml:space="preserve"> aiming to produce scientific information on the effectiveness of these plants in the treatment of malaria, bacterial and fungal diseases</w:t>
            </w:r>
            <w:r w:rsidR="00946252" w:rsidRPr="00266B15">
              <w:rPr>
                <w:rFonts w:ascii="Arial" w:eastAsia="Calibri" w:hAnsi="Arial" w:cs="Arial"/>
                <w:szCs w:val="22"/>
              </w:rPr>
              <w:t>.</w:t>
            </w:r>
          </w:p>
          <w:p w14:paraId="4FFEF4E3" w14:textId="3D69AD8D" w:rsidR="00BA1B01" w:rsidRPr="00266B15" w:rsidRDefault="00BA1B01" w:rsidP="00441B6F">
            <w:pPr>
              <w:pStyle w:val="Body"/>
              <w:spacing w:after="0"/>
              <w:rPr>
                <w:rFonts w:ascii="Arial" w:eastAsia="Calibri" w:hAnsi="Arial" w:cs="Arial"/>
                <w:szCs w:val="22"/>
              </w:rPr>
            </w:pPr>
            <w:r w:rsidRPr="00266B15">
              <w:rPr>
                <w:rFonts w:ascii="Arial" w:eastAsia="Calibri" w:hAnsi="Arial" w:cs="Arial"/>
                <w:b/>
                <w:szCs w:val="22"/>
              </w:rPr>
              <w:t>Place and Duration of Study:</w:t>
            </w:r>
            <w:r w:rsidRPr="00266B15">
              <w:rPr>
                <w:rFonts w:ascii="Arial" w:eastAsia="Calibri" w:hAnsi="Arial" w:cs="Arial"/>
                <w:szCs w:val="22"/>
              </w:rPr>
              <w:t xml:space="preserve"> </w:t>
            </w:r>
            <w:r w:rsidR="004F1A02" w:rsidRPr="00266B15">
              <w:rPr>
                <w:rFonts w:ascii="Arial" w:eastAsia="Calibri" w:hAnsi="Arial" w:cs="Arial"/>
                <w:szCs w:val="22"/>
              </w:rPr>
              <w:t>The Pharmacognosy Laboratory at the National Center for Training and Research on Malaria (CNRFP) in Ouagadougou (Burkina Faso) served as the framework for carrying out research activities from July 25, 2022 to April 24, 2023</w:t>
            </w:r>
          </w:p>
          <w:p w14:paraId="030580CF" w14:textId="12700AAC" w:rsidR="00BA1B01" w:rsidRPr="00266B15" w:rsidRDefault="00BA1B01" w:rsidP="00441B6F">
            <w:pPr>
              <w:pStyle w:val="Body"/>
              <w:spacing w:after="0"/>
              <w:rPr>
                <w:rFonts w:ascii="Arial" w:eastAsia="Calibri" w:hAnsi="Arial" w:cs="Arial"/>
                <w:szCs w:val="22"/>
              </w:rPr>
            </w:pPr>
            <w:r w:rsidRPr="00266B15">
              <w:rPr>
                <w:rFonts w:ascii="Arial" w:eastAsia="Calibri" w:hAnsi="Arial" w:cs="Arial"/>
                <w:b/>
                <w:bCs/>
                <w:szCs w:val="22"/>
              </w:rPr>
              <w:t>Methodology:</w:t>
            </w:r>
            <w:r w:rsidRPr="00266B15">
              <w:rPr>
                <w:rFonts w:ascii="Arial" w:eastAsia="Calibri" w:hAnsi="Arial" w:cs="Arial"/>
                <w:szCs w:val="22"/>
              </w:rPr>
              <w:t xml:space="preserve"> </w:t>
            </w:r>
            <w:r w:rsidR="00946252" w:rsidRPr="00266B15">
              <w:rPr>
                <w:rFonts w:ascii="Arial" w:eastAsia="Calibri" w:hAnsi="Arial" w:cs="Arial"/>
                <w:szCs w:val="22"/>
              </w:rPr>
              <w:t xml:space="preserve">Ethanolic and hydroethanolic extracts were prepared from the leaves of T. </w:t>
            </w:r>
            <w:proofErr w:type="spellStart"/>
            <w:r w:rsidR="00946252" w:rsidRPr="00266B15">
              <w:rPr>
                <w:rFonts w:ascii="Arial" w:eastAsia="Calibri" w:hAnsi="Arial" w:cs="Arial"/>
                <w:szCs w:val="22"/>
              </w:rPr>
              <w:t>avicennoides</w:t>
            </w:r>
            <w:proofErr w:type="spellEnd"/>
            <w:r w:rsidR="00946252" w:rsidRPr="00266B15">
              <w:rPr>
                <w:rFonts w:ascii="Arial" w:eastAsia="Calibri" w:hAnsi="Arial" w:cs="Arial"/>
                <w:szCs w:val="22"/>
              </w:rPr>
              <w:t xml:space="preserve">, the roots of T. </w:t>
            </w:r>
            <w:proofErr w:type="spellStart"/>
            <w:r w:rsidR="00946252" w:rsidRPr="00266B15">
              <w:rPr>
                <w:rFonts w:ascii="Arial" w:eastAsia="Calibri" w:hAnsi="Arial" w:cs="Arial"/>
                <w:szCs w:val="22"/>
              </w:rPr>
              <w:t>macroptera</w:t>
            </w:r>
            <w:proofErr w:type="spellEnd"/>
            <w:r w:rsidR="00946252" w:rsidRPr="00266B15">
              <w:rPr>
                <w:rFonts w:ascii="Arial" w:eastAsia="Calibri" w:hAnsi="Arial" w:cs="Arial"/>
                <w:szCs w:val="22"/>
              </w:rPr>
              <w:t xml:space="preserve">, and the aerial parts of A. </w:t>
            </w:r>
            <w:proofErr w:type="spellStart"/>
            <w:r w:rsidR="00946252" w:rsidRPr="00266B15">
              <w:rPr>
                <w:rFonts w:ascii="Arial" w:eastAsia="Calibri" w:hAnsi="Arial" w:cs="Arial"/>
                <w:szCs w:val="22"/>
              </w:rPr>
              <w:t>mexicana</w:t>
            </w:r>
            <w:proofErr w:type="spellEnd"/>
            <w:r w:rsidR="00946252" w:rsidRPr="00266B15">
              <w:rPr>
                <w:rFonts w:ascii="Arial" w:eastAsia="Calibri" w:hAnsi="Arial" w:cs="Arial"/>
                <w:szCs w:val="22"/>
              </w:rPr>
              <w:t xml:space="preserve">. After qualitative screening, the total phenolic, flavonoid, and flavonol contents were determined. </w:t>
            </w:r>
            <w:proofErr w:type="spellStart"/>
            <w:r w:rsidR="00946252" w:rsidRPr="00266B15">
              <w:rPr>
                <w:rFonts w:ascii="Arial" w:eastAsia="Calibri" w:hAnsi="Arial" w:cs="Arial"/>
                <w:szCs w:val="22"/>
              </w:rPr>
              <w:t>Antiplasmodial</w:t>
            </w:r>
            <w:proofErr w:type="spellEnd"/>
            <w:r w:rsidR="00946252" w:rsidRPr="00266B15">
              <w:rPr>
                <w:rFonts w:ascii="Arial" w:eastAsia="Calibri" w:hAnsi="Arial" w:cs="Arial"/>
                <w:szCs w:val="22"/>
              </w:rPr>
              <w:t xml:space="preserve"> activity was tested in vitro on the 3D7 strain of Plasmodium falciparum. Antimicrobial activity was evaluated against six bacteria and a strain of Candida albicans. The cytotoxicity of the extracts was measured by a hemolysis test.</w:t>
            </w:r>
          </w:p>
          <w:p w14:paraId="052B3E99" w14:textId="3FAB5E8D" w:rsidR="00BA1B01" w:rsidRPr="00266B15" w:rsidRDefault="00BA1B01" w:rsidP="00441B6F">
            <w:pPr>
              <w:pStyle w:val="Body"/>
              <w:spacing w:after="0"/>
              <w:rPr>
                <w:rFonts w:ascii="Arial" w:eastAsia="Calibri" w:hAnsi="Arial" w:cs="Arial"/>
                <w:b/>
                <w:bCs/>
                <w:szCs w:val="22"/>
              </w:rPr>
            </w:pPr>
            <w:r w:rsidRPr="00266B15">
              <w:rPr>
                <w:rFonts w:ascii="Arial" w:eastAsia="Calibri" w:hAnsi="Arial" w:cs="Arial"/>
                <w:b/>
                <w:bCs/>
                <w:szCs w:val="22"/>
              </w:rPr>
              <w:t>Results:</w:t>
            </w:r>
            <w:r w:rsidRPr="00266B15">
              <w:rPr>
                <w:rFonts w:ascii="Arial" w:eastAsia="Calibri" w:hAnsi="Arial" w:cs="Arial"/>
                <w:szCs w:val="22"/>
              </w:rPr>
              <w:t xml:space="preserve"> </w:t>
            </w:r>
            <w:r w:rsidR="00946252" w:rsidRPr="00266B15">
              <w:rPr>
                <w:rFonts w:ascii="Arial" w:eastAsia="Calibri" w:hAnsi="Arial" w:cs="Arial"/>
                <w:szCs w:val="22"/>
              </w:rPr>
              <w:t>The presence of alkaloids, flavonoids, tannins, and quinones has been confirmed in the extracts</w:t>
            </w:r>
            <w:r w:rsidR="00C807CA" w:rsidRPr="00266B15">
              <w:rPr>
                <w:rFonts w:ascii="Arial" w:eastAsia="Calibri" w:hAnsi="Arial" w:cs="Arial"/>
                <w:szCs w:val="22"/>
              </w:rPr>
              <w:t xml:space="preserve"> except the saponins were not found in the ethanolic extract of three plants</w:t>
            </w:r>
            <w:r w:rsidR="00946252" w:rsidRPr="00266B15">
              <w:rPr>
                <w:rFonts w:ascii="Arial" w:eastAsia="Calibri" w:hAnsi="Arial" w:cs="Arial"/>
                <w:szCs w:val="22"/>
              </w:rPr>
              <w:t xml:space="preserve">. The ethanolic extract of A. </w:t>
            </w:r>
            <w:proofErr w:type="spellStart"/>
            <w:r w:rsidR="00946252" w:rsidRPr="00266B15">
              <w:rPr>
                <w:rFonts w:ascii="Arial" w:eastAsia="Calibri" w:hAnsi="Arial" w:cs="Arial"/>
                <w:szCs w:val="22"/>
              </w:rPr>
              <w:t>mexicana</w:t>
            </w:r>
            <w:proofErr w:type="spellEnd"/>
            <w:r w:rsidR="00946252" w:rsidRPr="00266B15">
              <w:rPr>
                <w:rFonts w:ascii="Arial" w:eastAsia="Calibri" w:hAnsi="Arial" w:cs="Arial"/>
                <w:szCs w:val="22"/>
              </w:rPr>
              <w:t xml:space="preserve"> showed excellent </w:t>
            </w:r>
            <w:proofErr w:type="spellStart"/>
            <w:r w:rsidR="00946252" w:rsidRPr="00266B15">
              <w:rPr>
                <w:rFonts w:ascii="Arial" w:eastAsia="Calibri" w:hAnsi="Arial" w:cs="Arial"/>
                <w:szCs w:val="22"/>
              </w:rPr>
              <w:t>antiplasmodial</w:t>
            </w:r>
            <w:proofErr w:type="spellEnd"/>
            <w:r w:rsidR="00946252" w:rsidRPr="00266B15">
              <w:rPr>
                <w:rFonts w:ascii="Arial" w:eastAsia="Calibri" w:hAnsi="Arial" w:cs="Arial"/>
                <w:szCs w:val="22"/>
              </w:rPr>
              <w:t xml:space="preserve"> activity (IC</w:t>
            </w:r>
            <w:r w:rsidR="00946252" w:rsidRPr="00266B15">
              <w:rPr>
                <w:rFonts w:ascii="Cambria Math" w:eastAsia="Calibri" w:hAnsi="Cambria Math" w:cs="Cambria Math"/>
                <w:szCs w:val="22"/>
              </w:rPr>
              <w:t>₅₀</w:t>
            </w:r>
            <w:r w:rsidR="00946252" w:rsidRPr="00266B15">
              <w:rPr>
                <w:rFonts w:ascii="Arial" w:eastAsia="Calibri" w:hAnsi="Arial" w:cs="Arial"/>
                <w:szCs w:val="22"/>
              </w:rPr>
              <w:t xml:space="preserve"> = 2.797 ± 0.54 µg/mL), followed by that of T. </w:t>
            </w:r>
            <w:proofErr w:type="spellStart"/>
            <w:r w:rsidR="00946252" w:rsidRPr="00266B15">
              <w:rPr>
                <w:rFonts w:ascii="Arial" w:eastAsia="Calibri" w:hAnsi="Arial" w:cs="Arial"/>
                <w:szCs w:val="22"/>
              </w:rPr>
              <w:t>avicennoides</w:t>
            </w:r>
            <w:proofErr w:type="spellEnd"/>
            <w:r w:rsidR="00946252" w:rsidRPr="00266B15">
              <w:rPr>
                <w:rFonts w:ascii="Arial" w:eastAsia="Calibri" w:hAnsi="Arial" w:cs="Arial"/>
                <w:szCs w:val="22"/>
              </w:rPr>
              <w:t xml:space="preserve"> (IC</w:t>
            </w:r>
            <w:r w:rsidR="00946252" w:rsidRPr="00266B15">
              <w:rPr>
                <w:rFonts w:ascii="Cambria Math" w:eastAsia="Calibri" w:hAnsi="Cambria Math" w:cs="Cambria Math"/>
                <w:szCs w:val="22"/>
              </w:rPr>
              <w:t>₅₀</w:t>
            </w:r>
            <w:r w:rsidR="00946252" w:rsidRPr="00266B15">
              <w:rPr>
                <w:rFonts w:ascii="Arial" w:eastAsia="Calibri" w:hAnsi="Arial" w:cs="Arial"/>
                <w:szCs w:val="22"/>
              </w:rPr>
              <w:t xml:space="preserve"> = 3.013 ± 0.22 µg/mL). However, extracts of A. </w:t>
            </w:r>
            <w:proofErr w:type="spellStart"/>
            <w:r w:rsidR="00946252" w:rsidRPr="00266B15">
              <w:rPr>
                <w:rFonts w:ascii="Arial" w:eastAsia="Calibri" w:hAnsi="Arial" w:cs="Arial"/>
                <w:szCs w:val="22"/>
              </w:rPr>
              <w:t>mexicana</w:t>
            </w:r>
            <w:proofErr w:type="spellEnd"/>
            <w:r w:rsidR="00946252" w:rsidRPr="00266B15">
              <w:rPr>
                <w:rFonts w:ascii="Arial" w:eastAsia="Calibri" w:hAnsi="Arial" w:cs="Arial"/>
                <w:szCs w:val="22"/>
              </w:rPr>
              <w:t xml:space="preserve"> were inactive against all microbial strains tested. Extracts of T. </w:t>
            </w:r>
            <w:proofErr w:type="spellStart"/>
            <w:r w:rsidR="00946252" w:rsidRPr="00266B15">
              <w:rPr>
                <w:rFonts w:ascii="Arial" w:eastAsia="Calibri" w:hAnsi="Arial" w:cs="Arial"/>
                <w:szCs w:val="22"/>
              </w:rPr>
              <w:t>avicennoides</w:t>
            </w:r>
            <w:proofErr w:type="spellEnd"/>
            <w:r w:rsidR="00946252" w:rsidRPr="00266B15">
              <w:rPr>
                <w:rFonts w:ascii="Arial" w:eastAsia="Calibri" w:hAnsi="Arial" w:cs="Arial"/>
                <w:szCs w:val="22"/>
              </w:rPr>
              <w:t xml:space="preserve"> showed the best antibacterial activity, particularly against Staphylococcus epidermidis (17 ± 1.77 mm). All extracts showed very low hemolytic toxicity.</w:t>
            </w:r>
          </w:p>
          <w:p w14:paraId="7F698A0F" w14:textId="13470B39" w:rsidR="00505F06" w:rsidRPr="00266B15" w:rsidRDefault="00BA1B01" w:rsidP="00441B6F">
            <w:pPr>
              <w:pStyle w:val="Body"/>
              <w:spacing w:after="0"/>
              <w:rPr>
                <w:rFonts w:ascii="Arial" w:eastAsia="Calibri" w:hAnsi="Arial" w:cs="Arial"/>
                <w:szCs w:val="22"/>
              </w:rPr>
            </w:pPr>
            <w:r w:rsidRPr="00266B15">
              <w:rPr>
                <w:rFonts w:ascii="Arial" w:eastAsia="Calibri" w:hAnsi="Arial" w:cs="Arial"/>
                <w:b/>
                <w:bCs/>
                <w:szCs w:val="22"/>
              </w:rPr>
              <w:t>Conclusion:</w:t>
            </w:r>
            <w:r w:rsidRPr="00266B15">
              <w:rPr>
                <w:rFonts w:ascii="Arial" w:eastAsia="Calibri" w:hAnsi="Arial" w:cs="Arial"/>
                <w:szCs w:val="22"/>
              </w:rPr>
              <w:t xml:space="preserve"> </w:t>
            </w:r>
            <w:r w:rsidR="007930C2" w:rsidRPr="00266B15">
              <w:rPr>
                <w:rFonts w:ascii="Arial" w:eastAsia="Calibri" w:hAnsi="Arial" w:cs="Arial"/>
                <w:szCs w:val="22"/>
              </w:rPr>
              <w:t xml:space="preserve">These results validate the traditional use of these plants. </w:t>
            </w:r>
            <w:proofErr w:type="spellStart"/>
            <w:r w:rsidR="007930C2" w:rsidRPr="00266B15">
              <w:rPr>
                <w:rFonts w:ascii="Arial" w:eastAsia="Calibri" w:hAnsi="Arial" w:cs="Arial"/>
                <w:szCs w:val="22"/>
              </w:rPr>
              <w:t>Argemone</w:t>
            </w:r>
            <w:proofErr w:type="spellEnd"/>
            <w:r w:rsidR="007930C2" w:rsidRPr="00266B15">
              <w:rPr>
                <w:rFonts w:ascii="Arial" w:eastAsia="Calibri" w:hAnsi="Arial" w:cs="Arial"/>
                <w:szCs w:val="22"/>
              </w:rPr>
              <w:t xml:space="preserve"> </w:t>
            </w:r>
            <w:proofErr w:type="spellStart"/>
            <w:r w:rsidR="007930C2" w:rsidRPr="00266B15">
              <w:rPr>
                <w:rFonts w:ascii="Arial" w:eastAsia="Calibri" w:hAnsi="Arial" w:cs="Arial"/>
                <w:szCs w:val="22"/>
              </w:rPr>
              <w:t>mexicana</w:t>
            </w:r>
            <w:proofErr w:type="spellEnd"/>
            <w:r w:rsidR="007930C2" w:rsidRPr="00266B15">
              <w:rPr>
                <w:rFonts w:ascii="Arial" w:eastAsia="Calibri" w:hAnsi="Arial" w:cs="Arial"/>
                <w:szCs w:val="22"/>
              </w:rPr>
              <w:t xml:space="preserve"> is a promising source for new antimalarial drugs, while Terminalia </w:t>
            </w:r>
            <w:proofErr w:type="spellStart"/>
            <w:r w:rsidR="007930C2" w:rsidRPr="00266B15">
              <w:rPr>
                <w:rFonts w:ascii="Arial" w:eastAsia="Calibri" w:hAnsi="Arial" w:cs="Arial"/>
                <w:szCs w:val="22"/>
              </w:rPr>
              <w:t>avicennoides</w:t>
            </w:r>
            <w:proofErr w:type="spellEnd"/>
            <w:r w:rsidR="007930C2" w:rsidRPr="00266B15">
              <w:rPr>
                <w:rFonts w:ascii="Arial" w:eastAsia="Calibri" w:hAnsi="Arial" w:cs="Arial"/>
                <w:szCs w:val="22"/>
              </w:rPr>
              <w:t xml:space="preserve"> shows great potential for the development of antibacterial therapies.</w:t>
            </w:r>
          </w:p>
        </w:tc>
      </w:tr>
    </w:tbl>
    <w:p w14:paraId="1CD4C07C" w14:textId="77777777" w:rsidR="00636EB2" w:rsidRPr="00266B15" w:rsidRDefault="00636EB2" w:rsidP="00441B6F">
      <w:pPr>
        <w:pStyle w:val="Body"/>
        <w:spacing w:after="0"/>
        <w:rPr>
          <w:rFonts w:ascii="Arial" w:hAnsi="Arial" w:cs="Arial"/>
          <w:i/>
        </w:rPr>
      </w:pPr>
    </w:p>
    <w:p w14:paraId="0B19CEF4" w14:textId="19B73E13" w:rsidR="0024282C" w:rsidRPr="00266B15" w:rsidRDefault="00A24E7E" w:rsidP="00441B6F">
      <w:pPr>
        <w:pStyle w:val="Body"/>
        <w:spacing w:after="0"/>
        <w:rPr>
          <w:rFonts w:ascii="Arial" w:hAnsi="Arial" w:cs="Arial"/>
          <w:i/>
        </w:rPr>
      </w:pPr>
      <w:r w:rsidRPr="00266B15">
        <w:rPr>
          <w:rFonts w:ascii="Arial" w:hAnsi="Arial" w:cs="Arial"/>
          <w:i/>
        </w:rPr>
        <w:t xml:space="preserve">Keywords: </w:t>
      </w:r>
      <w:r w:rsidR="00593043" w:rsidRPr="00266B15">
        <w:rPr>
          <w:rFonts w:ascii="Arial" w:hAnsi="Arial" w:cs="Arial"/>
          <w:i/>
        </w:rPr>
        <w:t xml:space="preserve">medicinal plants, phytochemistry, antimicrobials, malaria </w:t>
      </w:r>
    </w:p>
    <w:p w14:paraId="7825237B" w14:textId="77777777" w:rsidR="00505F06" w:rsidRPr="00266B15" w:rsidRDefault="00505F06" w:rsidP="00441B6F">
      <w:pPr>
        <w:pStyle w:val="Body"/>
        <w:spacing w:after="0"/>
        <w:rPr>
          <w:rFonts w:ascii="Arial" w:hAnsi="Arial" w:cs="Arial"/>
          <w:i/>
        </w:rPr>
      </w:pPr>
    </w:p>
    <w:p w14:paraId="43CF1268" w14:textId="7ACF3B44" w:rsidR="007F7B32" w:rsidRPr="00266B15" w:rsidRDefault="00902823" w:rsidP="00441B6F">
      <w:pPr>
        <w:pStyle w:val="AbstHead"/>
        <w:spacing w:after="0"/>
        <w:jc w:val="both"/>
        <w:rPr>
          <w:rFonts w:ascii="Arial" w:hAnsi="Arial" w:cs="Arial"/>
        </w:rPr>
      </w:pPr>
      <w:r w:rsidRPr="00266B15">
        <w:rPr>
          <w:rFonts w:ascii="Arial" w:hAnsi="Arial" w:cs="Arial"/>
        </w:rPr>
        <w:t xml:space="preserve">1. </w:t>
      </w:r>
      <w:r w:rsidR="00B01FCD" w:rsidRPr="00266B15">
        <w:rPr>
          <w:rFonts w:ascii="Arial" w:hAnsi="Arial" w:cs="Arial"/>
        </w:rPr>
        <w:t>INTRODUCTION</w:t>
      </w:r>
    </w:p>
    <w:p w14:paraId="7A01E8D5" w14:textId="77777777" w:rsidR="00790ADA" w:rsidRPr="00266B15" w:rsidRDefault="00790ADA" w:rsidP="00441B6F">
      <w:pPr>
        <w:pStyle w:val="AbstHead"/>
        <w:spacing w:after="0"/>
        <w:jc w:val="both"/>
        <w:rPr>
          <w:rFonts w:ascii="Arial" w:hAnsi="Arial" w:cs="Arial"/>
        </w:rPr>
      </w:pPr>
    </w:p>
    <w:p w14:paraId="7719CF6A" w14:textId="780F967C" w:rsidR="00593043" w:rsidRPr="00266B15" w:rsidRDefault="00593043" w:rsidP="00593043">
      <w:pPr>
        <w:pStyle w:val="Body"/>
        <w:rPr>
          <w:rFonts w:ascii="Arial" w:eastAsia="Calibri" w:hAnsi="Arial" w:cs="Arial"/>
          <w:szCs w:val="22"/>
        </w:rPr>
      </w:pPr>
      <w:r w:rsidRPr="00266B15">
        <w:rPr>
          <w:rFonts w:ascii="Arial" w:eastAsia="Calibri" w:hAnsi="Arial" w:cs="Arial"/>
          <w:szCs w:val="22"/>
        </w:rPr>
        <w:t>Infectious diseases are a major global public health issue (</w:t>
      </w:r>
      <w:proofErr w:type="spellStart"/>
      <w:r w:rsidRPr="00266B15">
        <w:rPr>
          <w:rFonts w:ascii="Arial" w:eastAsia="Calibri" w:hAnsi="Arial" w:cs="Arial"/>
          <w:szCs w:val="22"/>
        </w:rPr>
        <w:t>Excler</w:t>
      </w:r>
      <w:proofErr w:type="spellEnd"/>
      <w:r w:rsidRPr="00266B15">
        <w:rPr>
          <w:rFonts w:ascii="Arial" w:eastAsia="Calibri" w:hAnsi="Arial" w:cs="Arial"/>
          <w:szCs w:val="22"/>
        </w:rPr>
        <w:t xml:space="preserve"> et al., 2021). They are mainly caused by bacteria, parasites, and fungi, which are responsible for various conditions such as respiratory, urinary, and diarrheal diseases, as well as malaria (Gorbach et al., 2004). Closely associated with poverty, these diseases are particularly prevalent in low- and middle-income countries, especially in Africa and Asia (Mostafavi et al., 2021).</w:t>
      </w:r>
      <w:r w:rsidR="00606755" w:rsidRPr="00266B15">
        <w:rPr>
          <w:rFonts w:ascii="Arial" w:eastAsia="Calibri" w:hAnsi="Arial" w:cs="Arial"/>
          <w:szCs w:val="22"/>
        </w:rPr>
        <w:t xml:space="preserve"> </w:t>
      </w:r>
      <w:r w:rsidR="00A46816" w:rsidRPr="00266B15">
        <w:rPr>
          <w:rFonts w:ascii="Arial" w:eastAsia="Calibri" w:hAnsi="Arial" w:cs="Arial"/>
          <w:szCs w:val="22"/>
        </w:rPr>
        <w:t xml:space="preserve">According to the Institute for </w:t>
      </w:r>
      <w:r w:rsidR="00A46816" w:rsidRPr="00266B15">
        <w:rPr>
          <w:rFonts w:ascii="Arial" w:eastAsia="Calibri" w:hAnsi="Arial" w:cs="Arial"/>
          <w:szCs w:val="22"/>
        </w:rPr>
        <w:lastRenderedPageBreak/>
        <w:t xml:space="preserve">Health Metrics and Evaluation, in 2019, bacterial infections were the second leading cause of death in 2019 with 3.3 million deaths </w:t>
      </w:r>
      <w:r w:rsidR="00A46816" w:rsidRPr="00266B15">
        <w:rPr>
          <w:rFonts w:ascii="Arial" w:eastAsia="Calibri" w:hAnsi="Arial" w:cs="Arial"/>
          <w:szCs w:val="22"/>
        </w:rPr>
        <w:fldChar w:fldCharType="begin"/>
      </w:r>
      <w:r w:rsidR="00A46816" w:rsidRPr="00266B15">
        <w:rPr>
          <w:rFonts w:ascii="Arial" w:eastAsia="Calibri" w:hAnsi="Arial" w:cs="Arial"/>
          <w:szCs w:val="22"/>
        </w:rPr>
        <w:instrText xml:space="preserve"> ADDIN ZOTERO_ITEM CSL_CITATION {"citationID":"6Whx53kV","properties":{"formattedCitation":"(Vos et al., 2020)","plainCitation":"(Vos et al., 2020)","noteIndex":0},"citationItems":[{"id":2241,"uris":["http://zotero.org/users/local/BtUUOrnL/items/X92RU65N"],"itemData":{"id":2241,"type":"article-journal","container-title":"The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1990–2019","volume":"396","author":[{"family":"Vos","given":"Theo"},{"family":"Lim","given":"Stephen S."},{"family":"Abbafati","given":"Cristiana"},{"family":"Abbas","given":"Kaja M."},{"family":"Abbasi","given":"Mohammad"},{"family":"Abbasifard","given":"Mitra"},{"family":"Abbasi-Kangevari","given":"Mohsen"},{"family":"Abbastabar","given":"Hedayat"},{"family":"Abd-Allah","given":"Foad"},{"family":"Abdelalim","given":"Ahmed"},{"family":"Abdollahi","given":"Mohammad"},{"family":"Abdollahpour","given":"Ibrahim"},{"family":"Abolhassani","given":"Hassan"},{"family":"Aboyans","given":"Victor"},{"family":"Abrams","given":"Elissa M."},{"family":"Abreu","given":"Lucas Guimarães"},{"family":"Abrigo","given":"Michael R. M."},{"family":"Abu-Raddad","given":"Laith Jamal"},{"family":"Abushouk","given":"Abdelrahman I."},{"family":"Acebedo","given":"Alyssa"},{"family":"Ackerman","given":"Ilana N."},{"family":"Adabi","given":"Maryam"},{"family":"Adamu","given":"Abdu A."},{"family":"Adebayo","given":"Oladimeji M."},{"family":"Adekanmbi","given":"Victor"},{"family":"Adelson","given":"Jaimie D."},{"family":"Adetokunboh","given":"Olatunji O."},{"family":"Adham","given":"Davoud"},{"family":"Afshari","given":"Mahdi"},{"family":"Afshin","given":"Ashkan"},{"family":"Agardh","given":"Emilie E."},{"family":"Agarwal","given":"Gina"},{"family":"Agesa","given":"Kareha M."},{"family":"Aghaali","given":"Mohammad"},{"family":"Aghamir","given":"Seyed Mohammad Kazem"},{"family":"Agrawal","given":"Anurag"},{"family":"Ahmad","given":"Tauseef"},{"family":"Ahmadi","given":"Alireza"},{"family":"Ahmadi","given":"Mehdi"},{"family":"Ahmadieh","given":"Hamid"},{"family":"Ahmadpour","given":"Ehsan"},{"family":"Akalu","given":"Temesgen Yihunie"},{"family":"Akinyemi","given":"Rufus Olusola"},{"family":"Akinyemiju","given":"Tomi"},{"family":"Akombi","given":"Blessing"},{"family":"Al-Aly","given":"Ziyad"},{"family":"Alam","given":"Khurshid"},{"family":"Alam","given":"Noore"},{"family":"Alam","given":"Samiah"},{"family":"Alam","given":"Tahiya"},{"family":"Alanzi","given":"Turki M."},{"family":"Albertson","given":"Samuel B."},{"family":"Alcalde-Rabanal","given":"Jacqueline Elizabeth"},{"family":"Alema","given":"Niguse Meles"},{"family":"Ali","given":"Muhammad"},{"family":"Ali","given":"Saqib"},{"family":"Alicandro","given":"Gianfranco"},{"family":"Alijanzadeh","given":"Mehran"},{"family":"Alinia","given":"Cyrus"},{"family":"Alipour","given":"Vahid"},{"family":"Aljunid","given":"Syed Mohamed"},{"family":"Alla","given":"François"},{"family":"Allebeck","given":"Peter"},{"family":"Almasi-Hashiani","given":"Amir"},{"family":"Alonso","given":"Jordi"},{"family":"Al-Raddadi","given":"Rajaa M."},{"family":"Altirkawi","given":"Khalid A."},{"family":"Alvis-Guzman","given":"Nelson"},{"family":"Alvis-Zakzuk","given":"Nelson J."},{"family":"Amini","given":"Saeed"},{"family":"Amini-Rarani","given":"Mostafa"},{"family":"Aminorroaya","given":"Arya"},{"family":"Amiri","given":"Fatemeh"},{"family":"Amit","given":"Arianna Maever L."},{"family":"Amugsi","given":"Dickson A."},{"family":"Amul","given":"Gianna Gayle Herrera"},{"family":"Anderlini","given":"Deanna"},{"family":"Andrei","given":"Catalina Liliana"},{"family":"Andrei","given":"Tudorel"},{"family":"Anjomshoa","given":"Mina"},{"family":"Ansari","given":"Fereshteh"},{"family":"Ansari","given":"Iman"},{"family":"Ansari-Moghaddam","given":"Alireza"},{"family":"Antonio","given":"Carl Abelardo T."},{"family":"Antony","given":"Catherine M."},{"family":"Antriyandarti","given":"Ernoiz"},{"family":"Anvari","given":"Davood"},{"family":"Anwer","given":"Razique"},{"family":"Arabloo","given":"Jalal"},{"family":"Arab-Zozani","given":"Morteza"},{"family":"Aravkin","given":"Aleksandr Y."},{"family":"Ariani","given":"Filippo"},{"family":"Ärnlöv","given":"Johan"},{"family":"Aryal","given":"Krishna K."},{"family":"Arzani","given":"Afsaneh"},{"family":"Asadi-Aliabadi","given":"Mehran"},{"family":"Asadi-Pooya","given":"Ali A."},{"family":"Asghari","given":"Babak"},{"family":"Ashbaugh","given":"Charlie"},{"family":"Atnafu","given":"Desta Debalkie"},{"family":"Atre","given":"Sachin R."},{"family":"Ausloos","given":"Floriane"},{"family":"Ausloos","given":"Marcel"},{"family":"Quintanilla","given":"Beatriz Paulina Ayala"},{"family":"Ayano","given":"Getinet"},{"family":"Ayanore","given":"Martin Amogre"},{"family":"Aynalem","given":"Yared Asmare"},{"family":"Azari","given":"Samad"},{"family":"Azarian","given":"Ghasem"},{"family":"Azene","given":"Zelalem Nigussie"},{"family":"Babaee","given":"Ebrahim"},{"family":"Badawi","given":"Alaa"},{"family":"Bagherzadeh","given":"Mojtaba"},{"family":"Bakhshaei","given":"Mohammad Hossein"},{"family":"Bakhtiari","given":"Ahad"},{"family":"Balakrishnan","given":"Senthilkumar"},{"family":"Balalla","given":"Shivanthi"},{"family":"Balassyano","given":"Shelly"},{"family":"Banach","given":"Maciej"},{"family":"Banik","given":"Palash Chandra"},{"family":"Bannick","given":"Marlena S."},{"family":"Bante","given":"Agegnehu Bante"},{"family":"Baraki","given":"Adhanom Gebreegziabher"},{"family":"Barboza","given":"Miguel A."},{"family":"Barker-Collo","given":"Suzanne Lyn"},{"family":"Barthelemy","given":"Celine M."},{"family":"Barua","given":"Lingkan"},{"family":"Barzegar","given":"Akbar"},{"family":"Basu","given":"Sanjay"},{"family":"Baune","given":"Bernhard T."},{"family":"Bayati","given":"Mohsen"},{"family":"Bazmandegan","given":"Gholamreza"},{"family":"Bedi","given":"Neeraj"},{"family":"Beghi","given":"Ettore"},{"family":"Béjot","given":"Yannick"},{"family":"Bello","given":"Aminu K."},{"family":"Bender","given":"Rose G."},{"family":"Bennett","given":"Derrick A."},{"family":"Bennitt","given":"Fiona B."},{"family":"Bensenor","given":"Isabela M."},{"family":"Benziger","given":"Catherine P."},{"family":"Berhe","given":"Kidanemaryam"},{"family":"Bernabe","given":"Eduardo"},{"family":"Bertolacci","given":"Gregory J."},{"family":"Bhageerathy","given":"Reshmi"},{"family":"Bhala","given":"Neeraj"},{"family":"Bhandari","given":"Dinesh"},{"family":"Bhardwaj","given":"Pankaj"},{"family":"Bhattacharyya","given":"Krittika"},{"family":"Bhutta","given":"Zulfiqar A."},{"family":"Bibi","given":"Sadia"},{"family":"Biehl","given":"Molly H."},{"family":"Bikbov","given":"Boris"},{"family":"Sayeed","given":"Muhammad Shahdaat Bin"},{"family":"Biondi","given":"Antonio"},{"family":"Birihane","given":"Binyam Minuye"},{"family":"Bisanzio","given":"Donal"},{"family":"Bisignano","given":"Catherine"},{"family":"Biswas","given":"Raaj Kishore"},{"family":"Bohlouli","given":"Somayeh"},{"family":"Bohluli","given":"Mehdi"},{"family":"Bolla","given":"Srinivasa Rao Rao"},{"family":"Boloor","given":"Archith"},{"family":"Boon-Dooley","given":"Alexandra S."},{"family":"Borges","given":"Guilherme"},{"family":"Borzì","given":"Antonio Maria"},{"family":"Bourne","given":"Rupert"},{"family":"Brady","given":"Oliver J."},{"family":"Brauer","given":"Michael"},{"family":"Brayne","given":"Carol"},{"family":"Breitborde","given":"Nicholas J. K."},{"family":"Brenner","given":"Hermann"},{"family":"Briant","given":"Paul Svitil"},{"family":"Briggs","given":"Andrew M."},{"family":"Briko","given":"Nikolay Ivanovich"},{"family":"Britton","given":"Gabrielle B."},{"family":"Bryazka","given":"Dana"},{"family":"Buchbinder","given":"Rachelle"},{"family":"Bumgarner","given":"Blair R."},{"family":"Busse","given":"Reinhard"},{"family":"Butt","given":"Zahid A."},{"family":"Santos","given":"Florentino Luciano Caetano","dropping-particle":"dos"},{"family":"Cámera","given":"Luis LA Alberto"},{"family":"Campos-Nonato","given":"Ismael R."},{"family":"Car","given":"Josip"},{"family":"Cárdenas","given":"Rosario"},{"family":"Carreras","given":"Giulia"},{"family":"Carrero","given":"Juan J."},{"family":"Carvalho","given":"Felix"},{"family":"Castaldelli-Maia","given":"Joao Mauricio"},{"family":"Castañeda-Orjuela","given":"Carlos A."},{"family":"Castelpietra","given":"Giulio"},{"family":"Castle","given":"Chris D."},{"family":"Castro","given":"Franz"},{"family":"Catalá-López","given":"Ferrán"},{"family":"Causey","given":"Kate"},{"family":"Cederroth","given":"Christopher R."},{"family":"Cercy","given":"Kelly M."},{"family":"Cerin","given":"Ester"},{"family":"Chandan","given":"Joht Singh"},{"family":"Chang","given":"Alex R."},{"family":"Charlson","given":"Fiona J."},{"family":"Chattu","given":"Vijay Kumar"},{"family":"Chaturvedi","given":"Sarika"},{"family":"Chimed-Ochir","given":"Odgerel"},{"family":"Chin","given":"Ken Lee"},{"family":"Cho","given":"Daniel Youngwhan"},{"family":"Christensen","given":"Hanne"},{"family":"Chu","given":"Dinh-Toi"},{"family":"Chung","given":"Michael T."},{"family":"Cicuttini","given":"Flavia M."},{"family":"Ciobanu","given":"Liliana G."},{"family":"Cirillo","given":"Massimo"},{"family":"Collins","given":"Emma L."},{"family":"Compton","given":"Kelly"},{"family":"Conti","given":"Sara"},{"family":"Cortesi","given":"Paolo Angelo"},{"family":"Costa","given":"Vera Marisa"},{"family":"Cousin","given":"Ewerton"},{"family":"Cowden","given":"Richard G."},{"family":"Cowie","given":"Benjamin C."},{"family":"Cromwell","given":"Elizabeth A."},{"family":"Cross","given":"Di H."},{"family":"Crowe","given":"Christopher Stephen"},{"family":"Cruz","given":"Jessica A."},{"family":"Cunningham","given":"Matthew"},{"family":"Dahlawi","given":"Saad M. A."},{"family":"Damiani","given":"Giovanni"},{"family":"Dandona","given":"Lalit"},{"family":"Dandona","given":"Rakhi"},{"family":"Darwesh","given":"Aso Mohammad"},{"family":"Daryani","given":"Ahmad"},{"family":"Das","given":"Jai K."},{"family":"Gupta","given":"Rajat Das"},{"family":"Neves","given":"José","dropping-particle":"das"},{"family":"Dávila-Cervantes","given":"Claudio Alberto"},{"family":"Davletov","given":"Kairat"},{"family":"Leo","given":"Diego De"},{"family":"Dean","given":"Frances E."},{"family":"DeCleene","given":"Nicole K."},{"family":"Deen","given":"Amanda"},{"family":"Degenhardt","given":"Louisa"},{"family":"Dellavalle","given":"Robert Paul"},{"family":"Demeke","given":"Feleke Mekonnen"},{"family":"Demsie","given":"Desalegn Getnet"},{"family":"Denova-Gutiérrez","given":"Edgar"},{"family":"Dereje","given":"Nebiyu Dereje"},{"family":"Dervenis","given":"Nikolaos"},{"family":"Desai","given":"Rupak"},{"family":"Desalew","given":"Assefa"},{"family":"Dessie","given":"Getenet Ayalew"},{"family":"Dharmaratne","given":"Samath Dhamminda"},{"family":"Dhungana","given":"Govinda Prasad"},{"family":"Dianatinasab","given":"Mostafa"},{"family":"Diaz","given":"Daniel"},{"family":"Forooshani","given":"Zahra Sadat Dibaji"},{"family":"Dingels","given":"Zachary V."},{"family":"Dirac","given":"M. Ashworth"},{"family":"Djalalinia","given":"Shirin"},{"family":"Do","given":"Hoa Thi"},{"family":"Dokova","given":"Klara"},{"family":"Dorostkar","given":"Fariba"},{"family":"Doshi","given":"Chirag P."},{"family":"Doshmangir","given":"Leila"},{"family":"Douiri","given":"Abdel"},{"family":"Doxey","given":"Matthew C."},{"family":"Driscoll","given":"Tim Robert"},{"family":"Dunachie","given":"Susanna J."},{"family":"Duncan","given":"Bruce B."},{"family":"Duraes","given":"Andre Rodrigues"},{"family":"Eagan","given":"Arielle Wilder"},{"family":"Kalan","given":"Mohammad Ebrahimi"},{"family":"Edvardsson","given":"David"},{"family":"Ehrlich","given":"Joshua R."},{"family":"Nahas","given":"Nevine El"},{"family":"Sayed","given":"Iman El"},{"family":"Tantawi","given":"Maha El"},{"family":"Elbarazi","given":"Iffat"},{"family":"Elgendy","given":"Islam Y."},{"family":"Elhabashy","given":"Hala Rashad"},{"family":"El-Jaafary","given":"Shaimaa I."},{"family":"Elyazar","given":"Iqbal RF"},{"family":"Emamian","given":"Mohammad Hassan"},{"family":"Emmons-Bell","given":"Sophia"},{"family":"Erskine","given":"Holly E."},{"family":"Eshrati","given":"Babak"},{"family":"Eskandarieh","given":"Sharareh"},{"family":"Esmaeilnejad","given":"Saman"},{"family":"Esmaeilzadeh","given":"Firooz"},{"family":"Esteghamati","given":"Alireza"},{"family":"Estep","given":"Kara"},{"family":"Etemadi","given":"Arash"},{"family":"Etisso","given":"Atkilt Esaiyas"},{"family":"Farahmand","given":"Mohammad"},{"family":"Faraj","given":"Anwar"},{"family":"Fareed","given":"Mohammad"},{"family":"Faridnia","given":"Roghiyeh"},{"family":"Farinha","given":"Carla Sofia e Sá"},{"family":"Farioli","given":"Andrea"},{"family":"Faro","given":"Andre"},{"family":"Faruque","given":"Mithila"},{"family":"Farzadfar","given":"Farshad"},{"family":"Fattahi","given":"Nazir"},{"family":"Fazlzadeh","given":"Mehdi"},{"family":"Feigin","given":"Valery L."},{"family":"Feldman","given":"Rachel"},{"family":"Fereshtehnejad","given":"Seyed-Mohammad"},{"family":"Fernandes","given":"Eduarda"},{"family":"Ferrari","given":"Alize J."},{"family":"Ferreira","given":"Manuela L."},{"family":"Filip","given":"Irina"},{"family":"Fischer","given":"Florian"},{"family":"Fisher","given":"James L."},{"family":"Fitzgerald","given":"Ryan"},{"family":"Flohr","given":"Carsten"},{"family":"Flor","given":"Luisa Sorio"},{"family":"Foigt","given":"Nataliya A."},{"family":"Folayan","given":"Morenike Oluwatoyin"},{"family":"Force","given":"Lisa M."},{"family":"Fornari","given":"Carla"},{"family":"Foroutan","given":"Masoud"},{"family":"Fox","given":"Jack T."},{"family":"Freitas","given":"Marisa"},{"family":"Fu","given":"Weijia"},{"family":"Fukumoto","given":"Takeshi"},{"family":"Furtado","given":"João M."},{"family":"Gad","given":"Mohamed M."},{"family":"Gakidou","given":"Emmanuela"},{"family":"Galles","given":"Natalie C."},{"family":"Gallus","given":"Silvano"},{"family":"Gamkrelidze","given":"Amiran"},{"family":"Garcia-Basteiro","given":"Alberto L."},{"family":"Gardner","given":"William M."},{"family":"Geberemariyam","given":"Biniyam Sahiledengle"},{"family":"Gebrehiwot","given":"Abiyu Mekonnen"},{"family":"Gebremedhin","given":"Ketema Bizuwork"},{"family":"Gebreslassie","given":"Assefa Ayalew Ayalew Ayalew"},{"family":"Hayoon","given":"Anna Gershberg"},{"family":"Gething","given":"Peter W."},{"family":"Ghadimi","given":"Maryam"},{"family":"Ghadiri","given":"Keyghobad"},{"family":"Ghafourifard","given":"Mansour"},{"family":"Ghajar","given":"Alireza"},{"family":"Ghamari","given":"Farhad"},{"family":"Ghashghaee","given":"Ahmad"},{"family":"Ghiasvand","given":"Hesam"},{"family":"Ghith","given":"Nermin"},{"family":"Gholamian","given":"Asadollah"},{"family":"Gilani","given":"Syed Amir"},{"family":"Gill","given":"Paramjit Singh"},{"family":"Gitimoghaddam","given":"Mojgan"},{"family":"Giussani","given":"Giorgia"},{"family":"Goli","given":"Srinivas"},{"family":"Gomez","given":"Ricardo Santiago"},{"family":"Gopalani","given":"Sameer Vali"},{"family":"Gorini","given":"Giuseppe"},{"family":"Gorman","given":"Taren M."},{"family":"Gottlich","given":"Harrison Chase"},{"family":"Goudarzi","given":"Houman"},{"family":"Goulart","given":"Alessandra C."},{"family":"Goulart","given":"Bárbara Niegia Garcia"},{"family":"Grada","given":"Ayman"},{"family":"Grivna","given":"Michal"},{"family":"Grosso","given":"Giuseppe"},{"family":"Gubari","given":"Mohammed Ibrahim Mohialdeen"},{"family":"Gugnani","given":"Harish Chander"},{"family":"Guimaraes","given":"Andre Luiz Sena"},{"family":"Guimarães","given":"Rafael Alves"},{"family":"Guled","given":"Rashid Abdi"},{"family":"Guo","given":"Gaorui"},{"family":"Guo","given":"Yuming"},{"family":"Gupta","given":"Rajeev"},{"family":"Haagsma","given":"Juanita A."},{"family":"Haddock","given":"Beatrix"},{"family":"Hafezi-Nejad","given":"Nima"},{"family":"Hafiz","given":"Abdul"},{"family":"Hagins","given":"Hailey"},{"family":"Haile","given":"Lydia M."},{"family":"Hall","given":"Brian J."},{"family":"Halvaei","given":"Iman"},{"family":"Hamadeh","given":"Randah R."},{"family":"Abdullah","given":"Kanaan Hamagharib"},{"family":"Hamilton","given":"Erin B."},{"family":"Han","given":"Chieh"},{"family":"Han","given":"Hannah"},{"family":"Hankey","given":"Graeme J."},{"family":"Haro","given":"Josep Maria"},{"family":"Harvey","given":"James D."},{"family":"Hasaballah","given":"Ahmed I."},{"family":"Hasanzadeh","given":"Amir"},{"family":"Hashemian","given":"Maryam"},{"family":"Hassanipour","given":"Soheil"},{"family":"Hassankhani","given":"Hadi"},{"family":"Havmoeller","given":"Rasmus J."},{"family":"Hay","given":"Roderick J."},{"family":"Hay","given":"Simon I."},{"family":"Hayat","given":"Khezar"},{"family":"Heidari","given":"Behnam"},{"family":"Heidari","given":"Golnaz"},{"family":"Heidari-Soureshjani","given":"Reza"},{"family":"Hendrie","given":"Delia"},{"family":"Henrikson","given":"Hannah J."},{"family":"Henry","given":"Nathaniel J."},{"family":"Herteliu","given":"Claudiu"},{"family":"Heydarpour","given":"Fatemeh"},{"family":"Hird","given":"Thomas R."},{"family":"Hoek","given":"Hans W."},{"family":"Hole","given":"Michael K."},{"family":"Holla","given":"Ramesh"},{"family":"Hoogar","given":"Praveen"},{"family":"Hosgood","given":"H. Dean"},{"family":"Hosseinzadeh","given":"Mehdi"},{"family":"Hostiuc","given":"Mihaela"},{"family":"Hostiuc","given":"Sorin"},{"family":"Househ","given":"Mowafa"},{"family":"Hoy","given":"Damian G."},{"family":"Hsairi","given":"Mohamed"},{"family":"Hsieh","given":"Vivian Chia-rong"},{"family":"Hu","given":"Guoqing"},{"family":"Huda","given":"Tanvir M."},{"family":"Hugo","given":"Fernando N."},{"family":"Huynh","given":"Chantal K."},{"family":"Hwang","given":"Bing-Fang"},{"family":"Iannucci","given":"Vincent C."},{"family":"Ibitoye","given":"Segun Emmanuel"},{"family":"Ikuta","given":"Kevin S."},{"family":"Ilesanmi","given":"Olayinka Stephen"},{"family":"Ilic","given":"Irena M."},{"family":"Ilic","given":"Milena D."},{"family":"Inbaraj","given":"Leeberk Raja"},{"family":"Ippolito","given":"Helen"},{"family":"Irvani","given":"Seyed Sina Naghibi"},{"family":"Islam","given":"M. Mofizul"},{"family":"Islam","given":"MdMohaimenul"},{"family":"Islam","given":"Sheikh Mohammed Shariful"},{"family":"Islami","given":"Farhad"},{"family":"Iso","given":"Hiroyasu"},{"family":"Ivers","given":"Rebecca Q."},{"family":"Iwu","given":"Chidozie C. D."},{"family":"Iyamu","given":"Ihoghosa Osamuyi"},{"family":"Jaafari","given":"Jalil"},{"family":"Jacobsen","given":"Kathryn H."},{"family":"Jadidi-Niaragh","given":"Farhad"},{"family":"Jafari","given":"Hussain"},{"family":"Jafarinia","given":"Morteza"},{"family":"Jahagirdar","given":"Deepa"},{"family":"Jahani","given":"Mohammad Ali"},{"family":"Jahanmehr","given":"Nader"},{"family":"Jakovljevic","given":"Mihajlo"},{"family":"Jalali","given":"Amir"},{"family":"Jalilian","given":"Farzad"},{"family":"James","given":"Spencer L."},{"family":"Janjani","given":"Hosna"},{"family":"Janodia","given":"Manthan Dilipkumar"},{"family":"Jayatilleke","given":"Achala Upendra"},{"family":"Jeemon","given":"Panniyammakal"},{"family":"Jenabi","given":"Ensiyeh"},{"family":"Jha","given":"Ravi Prakash"},{"family":"Jha","given":"Vivekanand"},{"family":"Ji","given":"John S."},{"family":"Jia","given":"Peng"},{"family":"John","given":"Oommen"},{"family":"John-Akinola","given":"Yetunde O."},{"family":"Johnson","given":"Catherine Owens"},{"family":"Johnson","given":"Sarah Charlotte"},{"family":"Jonas","given":"Jost B."},{"family":"Joo","given":"Tamas"},{"family":"Joshi","given":"Ankur"},{"family":"Jozwiak","given":"Jacek Jerzy"},{"family":"Jürisson","given":"Mikk"},{"family":"Kabir","given":"Ali"},{"family":"Kabir","given":"Zubair"},{"family":"Kalani","given":"Hamed"},{"family":"Kalani","given":"Rizwan"},{"family":"Kalankesh","given":"Leila R."},{"family":"Kalhor","given":"Rohollah"},{"family":"Kamiab","given":"Zahra"},{"family":"Kanchan","given":"Tanuj"},{"family":"Matin","given":"Behzad Karami"},{"family":"Karch","given":"André"},{"family":"Karim","given":"Mohd Anisul"},{"family":"Karimi","given":"Salah Eddin"},{"family":"Kassa","given":"Getachew Mullu"},{"family":"Kassebaum","given":"Nicholas J."},{"family":"Katikireddi","given":"Srinivasa Vittal"},{"family":"Kawakami","given":"Norito"},{"family":"Kayode","given":"Gbenga A."},{"family":"Keddie","given":"Suzanne H."},{"family":"Keller","given":"Cathleen"},{"family":"Kereselidze","given":"Maia"},{"family":"Khafaie","given":"Morteza Abdullatif"},{"family":"Khalid","given":"Nauman"},{"family":"Khan","given":"Maseer"},{"family":"Khatab","given":"Khaled"},{"family":"Khater","given":"Mona M."},{"family":"Khatib","given":"Mahalaqua Nazli"},{"family":"Khayamzadeh","given":"Maryam"},{"family":"Khodayari","given":"Mohammad Taghi"},{"family":"Khundkar","given":"Roba"},{"family":"Kianipour","given":"Neda"},{"family":"Kieling","given":"Christian"},{"family":"Kim","given":"Daniel"},{"family":"Kim","given":"Young-Eun"},{"family":"Kim","given":"Yun Jin"},{"family":"Kimokoti","given":"Ruth W."},{"family":"Kisa","given":"Adnan"},{"family":"Kisa","given":"Sezer"},{"family":"Kissimova-Skarbek","given":"Katarzyna"},{"family":"Kivimäki","given":"Mika"},{"family":"Kneib","given":"Cameron J."},{"family":"Knudsen","given":"Ann Kristin Skrindo"},{"family":"Kocarnik","given":"Jonathan M."},{"family":"Kolola","given":"Tufa"},{"family":"Kopec","given":"Jacek A."},{"family":"Kosen","given":"Soewarta"},{"family":"Koul","given":"Parvaiz A."},{"family":"Koyanagi","given":"Ai"},{"family":"Kravchenko","given":"Michael A."},{"family":"Krishan","given":"Kewal"},{"family":"Krohn","given":"Kris J."},{"family":"Defo","given":"Barthelemy Kuate"},{"family":"Bicer","given":"Burcu Kucuk"},{"family":"Kumar","given":"G. Anil"},{"family":"Kumar","given":"Manasi"},{"family":"Kumar","given":"Pushpendra"},{"family":"Kumar","given":"Vivek"},{"family":"Kumaresh","given":"Girikumar"},{"family":"Kurmi","given":"Om P."},{"family":"Kusuma","given":"Dian"},{"family":"Kyu","given":"Hmwe Hmwe"},{"family":"Vecchia","given":"Carlo La"},{"family":"Lacey","given":"Ben"},{"family":"Lal","given":"Dharmesh Kumar"},{"family":"Lalloo","given":"Ratilal"},{"family":"Lam","given":"Jennifer O."},{"family":"Lami","given":"Faris Hasan"},{"family":"Landires","given":"Iván"},{"family":"Lang","given":"Justin J."},{"family":"Lansingh","given":"Van Charles"},{"family":"Larson","given":"Samantha Leigh"},{"family":"Larsson","given":"Anders O."},{"family":"Lasrado","given":"Savita"},{"family":"Lassi","given":"Zohra S."},{"family":"Lau","given":"Kathryn Mei-Ming"},{"family":"Lavados","given":"Pablo M."},{"family":"Lazarus","given":"Jeffrey V."},{"family":"Ledesma","given":"Jorge R."},{"family":"Lee","given":"Paul H."},{"family":"Lee","given":"Shaun Wen Huey"},{"family":"LeGrand","given":"Kate E."},{"family":"Leigh","given":"James"},{"family":"Leonardi","given":"Matilde"},{"family":"Lescinsky","given":"Haley"},{"family":"Leung","given":"Janni"},{"family":"Levi","given":"Miriam"},{"family":"Lewington","given":"Sarah"},{"family":"Li","given":"Shanshan"},{"family":"Lim","given":"Lee-Ling"},{"family":"Lin","given":"Christine"},{"family":"Lin","given":"Ro-Ting"},{"family":"Linehan","given":"Christine"},{"family":"Linn","given":"Shai"},{"family":"Liu","given":"Hung-Chun"},{"family":"Liu","given":"Shiwei"},{"family":"Liu","given":"Zichen"},{"family":"Looker","given":"Katharine J."},{"family":"Lopez","given":"Alan D."},{"family":"Lopukhov","given":"Platon D."},{"family":"Lorkowski","given":"Stefan"},{"family":"Lotufo","given":"Paulo A."},{"family":"Lucas","given":"Tim C. D."},{"family":"Lugo","given":"Alessandra"},{"family":"Lunevicius","given":"Raimundas"},{"family":"Lyons","given":"Ronan A."},{"family":"Ma","given":"Jianing"},{"family":"MacLachlan","given":"Jennifer H."},{"family":"Maddison","given":"Emilie R."},{"family":"Maddison","given":"Ralph"},{"family":"Madotto","given":"Fabiana"},{"family":"Mahasha","given":"Phetole Walter"},{"family":"Mai","given":"Hue Thi"},{"family":"Majeed","given":"Azeem"},{"family":"Maled","given":"Venkatesh"},{"family":"Maleki","given":"Shokofeh"},{"family":"Malekzadeh","given":"Reza"},{"family":"Malta","given":"Deborah Carvalho"},{"family":"Mamun","given":"Abdullah A."},{"family":"Manafi","given":"Amir"},{"family":"Manafi","given":"Navid"},{"family":"Manguerra","given":"Helena"},{"family":"Mansouri","given":"Borhan"},{"family":"Mansournia","given":"Mohammad Ali"},{"family":"Herrera","given":"Ana M. Mantilla"},{"family":"Maravilla","given":"Joemer C."},{"family":"Marks","given":"Ashley"},{"family":"Martins-Melo","given":"Francisco Rogerlândio"},{"family":"Martopullo","given":"Ira"},{"family":"Masoumi","given":"Seyedeh Zahra"},{"family":"Massano","given":"João"},{"family":"Massenburg","given":"Benjamin Ballard"},{"family":"Mathur","given":"Manu Raj"},{"family":"Maulik","given":"Pallab K."},{"family":"McAlinden","given":"Colm"},{"family":"McGrath","given":"John J."},{"family":"McKee","given":"Martin"},{"family":"Mehndiratta","given":"Man Mohan"},{"family":"Mehri","given":"Fereshteh"},{"family":"Mehta","given":"Kala M."},{"family":"Meitei","given":"Wahengbam Bigyananda"},{"family":"Memiah","given":"Peter T. N."},{"family":"Mendoza","given":"Walter"},{"family":"Menezes","given":"Ritesh G."},{"family":"Mengesha","given":"Endalkachew Worku"},{"family":"Mengesha","given":"Meresa Berwo"},{"family":"Mereke","given":"Alibek"},{"family":"Meretoja","given":"Atte"},{"family":"Meretoja","given":"Tuomo J."},{"family":"Mestrovic","given":"Tomislav"},{"family":"Miazgowski","given":"Bartosz"},{"family":"Miazgowski","given":"Tomasz"},{"family":"Michalek","given":"Irmina Maria"},{"family":"Mihretie","given":"Kebadnew Mulatu"},{"family":"Miller","given":"Ted R."},{"family":"Mills","given":"Edward J."},{"family":"Mirica","given":"Andreea"},{"family":"Mirrakhimov","given":"Erkin M."},{"family":"Mirzaei","given":"Hamed"},{"family":"Mirzaei","given":"Maryam"},{"family":"Mirzaei-Alavijeh","given":"Mehdi"},{"family":"Misganaw","given":"Awoke Temesgen"},{"family":"Mithra","given":"Prasanna"},{"family":"Moazen","given":"Babak"},{"family":"Moghadaszadeh","given":"Masoud"},{"family":"Mohamadi","given":"Efat"},{"family":"Mohammad","given":"Dara K."},{"family":"Mohammad","given":"Yousef"},{"family":"Mezerji","given":"Naser Mohammad Gholi"},{"family":"Mohammadian-Hafshejani","given":"Abdollah"},{"family":"Mohammadifard","given":"Noushin"},{"family":"Mohammadpourhodki","given":"Reza"},{"family":"Mohammed","given":"Shafiu"},{"family":"Mokdad","given":"Ali H."},{"family":"Molokhia","given":"Mariam"},{"family":"Momen","given":"Natalie C."},{"family":"Monasta","given":"Lorenzo"},{"family":"Mondello","given":"Stefania"},{"family":"Mooney","given":"Meghan D."},{"family":"Moosazadeh","given":"Mahmood"},{"family":"Moradi","given":"Ghobad"},{"family":"Moradi","given":"Masoud"},{"family":"Moradi-Lakeh","given":"Maziar"},{"family":"Moradzadeh","given":"Rahmatollah"},{"family":"Moraga","given":"Paula"},{"family":"Morales","given":"Linda"},{"family":"Morawska","given":"Lidia"},{"family":"Velásquez","given":"Ilais Moreno"},{"family":"Morgado-da-Costa","given":"Joana"},{"family":"Morrison","given":"Shane Douglas"},{"family":"Mosser","given":"Jonathan F."},{"family":"Mouodi","given":"Simin"},{"family":"Mousavi","given":"Seyyed Meysam"},{"family":"Khaneghah","given":"Amin Mousavi"},{"family":"Mueller","given":"Ulrich Otto"},{"family":"Munro","given":"Sandra B."},{"family":"Muriithi","given":"Moses K."},{"family":"Musa","given":"Kamarul Imran"},{"family":"Muthupandian","given":"Saravanan"},{"family":"Naderi","given":"Mehdi"},{"family":"Nagarajan","given":"Ahamarshan Jayaraman"},{"family":"Nagel","given":"Gabriele"},{"family":"Naghshtabrizi","given":"Behshad"},{"family":"Nair","given":"Sanjeev"},{"family":"Nandi","given":"Anita K."},{"family":"Nangia","given":"Vinay"},{"family":"Nansseu","given":"Jobert Richie"},{"family":"Nayak","given":"Vinod C."},{"family":"Nazari","given":"Javad"},{"family":"Negoi","given":"Ionut"},{"family":"Negoi","given":"Ruxandra Irina"},{"family":"Netsere","given":"Henok Biresaw Netsere"},{"family":"Ngunjiri","given":"Josephine W."},{"family":"Nguyen","given":"Cuong Tat"},{"family":"Nguyen","given":"Jason"},{"family":"Nguyen","given":"Michele"},{"family":"Nguyen","given":"Minh"},{"family":"Nichols","given":"Emma"},{"family":"Nigatu","given":"Dabere"},{"family":"Nigatu","given":"Yeshambel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Olusegun"},{"family":"Oluwasanu","given":"Mojisola Morenike"},{"family":"Bali","given":"Ahmed Omar"},{"family":"Omer","given":"Muktar Omer"},{"family":"Ong","given":"Kanyin L."},{"family":"Onwujekwe","given":"Obinna E."},{"family":"Orji","given":"Aislyn U."},{"family":"Orpana","given":"Heather M."},{"family":"Ortiz","given":"Alberto"},{"family":"Ostroff","given":"Samuel M."},{"family":"Otstavnov","given":"Nikita"},{"family":"Otstavnov","given":"Stanislav S."},{"family":"Øverland","given":"Simon"},{"family":"Owolabi","given":"Mayowa O."},{"family":"A","given":"Mahesh P."},{"family":"Padubidri","given":"Jagadish Rao"},{"family":"Pakhare","given":"Abhijit P."},{"family":"Palladino","given":"Raffaele"},{"family":"Pana","given":"Adrian"},{"family":"Panda-Jonas","given":"Songhomitra"},{"family":"Pandey","given":"Anamika"},{"family":"Park","given":"Eun-Kee"},{"family":"Parmar","given":"Priya G. Kumari"},{"family":"Pasupula","given":"Deepak Kumar"},{"family":"Patel","given":"Sangram Kishor"},{"family":"Paternina-Caicedo","given":"Angel J."},{"family":"Pathak","given":"Ashish"},{"family":"Pathak","given":"Mona"},{"family":"Patten","given":"Scott B."},{"family":"Patton","given":"George C."},{"family":"Paudel","given":"Deepak"},{"family":"Toroudi","given":"Hamidreza Pazoki"},{"family":"Peden","given":"Amy E."},{"family":"Pennini","given":"Alyssa"},{"family":"Pepito","given":"Veincent Christian Filipino"},{"family":"Peprah","given":"Emmanuel K."},{"family":"Pereira","given":"Alexandre"},{"family":"Pereira","given":"David M."},{"family":"Perico","given":"Norberto"},{"family":"Pham","given":"Hai Quang"},{"family":"Phillips","given":"Michael R."},{"family":"Pigott","given":"David M."},{"family":"Pilgrim","given":"Thomas"},{"family":"Pilz","given":"Tessa M."},{"family":"Pirsaheb","given":"Meghdad"},{"family":"Plana-Ripoll","given":"Oleguer"},{"family":"Plass","given":"Dietrich"},{"family":"Pokhrel","given":"Khem Narayan"},{"family":"Polibin","given":"Roman V."},{"family":"Polinder","given":"Suzanne"},{"family":"Polkinghorne","given":"Kevan R."},{"family":"Postma","given":"Maarten J."},{"family":"Pourjafar","given":"Hadi"},{"family":"Pourmalek","given":"Farshad"},{"family":"Kalhori","given":"Reza Pourmirza"},{"family":"Pourshams","given":"Akram"},{"family":"Poznańska","given":"Anna"},{"family":"Prada","given":"Sergio I."},{"family":"Prakash","given":"V."},{"family":"Pribadi","given":"Dimas Ria Angga"},{"family":"Pupillo","given":"Elisabetta"},{"family":"Syed","given":"Zahiruddin Quazi"},{"family":"Rabiee","given":"Mohammad"},{"family":"Rabiee","given":"Navid"},{"family":"Radfar","given":"Amir"},{"family":"Rafiee","given":"Ata"},{"family":"Rafiei","given":"Alireza"},{"family":"Raggi","given":"Alberto"},{"family":"Rahimi-Movaghar","given":"Afarin"},{"family":"Rahman","given":"Muhammad Aziz"},{"family":"Rajabpour-Sanati","given":"Ali"},{"family":"Rajati","given":"Fatemeh"},{"family":"Ramezanzadeh","given":"Kiana"},{"family":"Ranabhat","given":"Chhabi Lal"},{"family":"Rao","given":"Puja C."},{"family":"Rao","given":"Sowmya J."},{"family":"Rasella","given":"Davide"},{"family":"Rastogi","given":"Prateek"},{"family":"Rathi","given":"Priya"},{"family":"Rawaf","given":"David Laith"},{"family":"Rawaf","given":"Salman"},{"family":"Rawal","given":"Lal"},{"family":"Razo","given":"Christian"},{"family":"Redford","given":"Sofia Boston"},{"family":"Reiner","given":"Robert C."},{"family":"Reinig","given":"Nickolas"},{"family":"Reitsma","given":"Marissa Bettay"},{"family":"Remuzzi","given":"Giuseppe"},{"family":"Renjith","given":"Vishnu"},{"family":"Renzaho","given":"Andre M. N."},{"family":"Resnikoff","given":"Serge"},{"family":"Rezaei","given":"Nima"},{"family":"Rezai","given":"Mohammad","dropping-particle":"sadegh"},{"family":"Rezapour","given":"Aziz"},{"family":"Rhinehart","given":"Phoebe-Anne"},{"family":"Riahi","given":"Seyed Mohammad"},{"family":"Ribeiro","given":"Antonio Luiz P."},{"family":"Ribeiro","given":"Daniel Cury"},{"family":"Ribeiro","given":"Daniela"},{"family":"Rickard","given":"Jennifer"},{"family":"Roberts","given":"Nicholas L. S."},{"family":"Roberts","given":"Shaun"},{"family":"Robinson","given":"Stephen R."},{"family":"Roever","given":"Leonardo"},{"family":"Rolfe","given":"Sam"},{"family":"Ronfani","given":"Luca"},{"family":"Roshandel","given":"Gholamreza"},{"family":"Roth","given":"Gregory A."},{"family":"Rubagotti","given":"Enrico"},{"family":"Rumisha","given":"Susan Fred"},{"family":"Sabour","given":"Siamak"},{"family":"Sachdev","given":"Perminder S."},{"family":"Saddik","given":"Basema"},{"family":"Sadeghi","given":"Ehsan"},{"family":"Sadeghi","given":"Masoumeh"},{"family":"Saeidi","given":"Shahram"},{"family":"Safi","given":"Sare"},{"family":"Safiri","given":"Saeid"},{"family":"Sagar","given":"Rajesh"},{"family":"Sahebkar","given":"Amirhossein"},{"family":"Sahraian","given":"Mohammad Ali"},{"family":"Sajadi","given":"S. Mohammad"},{"family":"Salahshoor","given":"Mohammad Reza"},{"family":"Salamati","given":"Payman"},{"family":"Zahabi","given":"Saleh Salehi"},{"family":"Salem","given":"Hosni"},{"family":"Salem","given":"Marwa R. Rashad"},{"family":"Salimzadeh","given":"Hamideh"},{"family":"Salomon","given":"Joshua A."},{"family":"Salz","given":"Inbal"},{"family":"Samad","given":"Zainab"},{"family":"Samy","given":"Abdallah M."},{"family":"Sanabria","given":"Juan"},{"family":"Santomauro","given":"Damian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barra","given":"Alyssa N."},{"family":"Schaeffer","given":"Lauren E."},{"family":"Schiavolin","given":"Silvia"},{"family":"Schmidt","given":"Maria Inês"},{"family":"Schutte","given":"Aletta Elisabeth"},{"family":"Schwebel","given":"David C."},{"family":"Schwendicke","given":"Falk"},{"family":"Senbeta","given":"Anbissa Muleta"},{"family":"Senthilkumaran","given":"Subramanian"},{"family":"Sepanlou","given":"Sadaf G."},{"family":"Shackelford","given":"Katya Anne"},{"family":"Shadid","given":"Jamileh"},{"family":"Shahabi","given":"Saeed"},{"family":"Shaheen","given":"Amira A."},{"family":"Shaikh","given":"Masood Ali"},{"family":"Shalash","given":"Ali S."},{"family":"Shams-Beyranvand","given":"Mehran"},{"family":"Shamsizadeh","given":"Morteza"},{"family":"Shannawaz","given":"Mohammed"},{"family":"Sharafi","given":"Kiomars"},{"family":"Sharara","given":"Fablina"},{"family":"Sheena","given":"Brittney S."},{"family":"Sheikhtaheri","given":"Abbas"},{"family":"Shetty","given":"Ranjitha S."},{"family":"Shibuya","given":"Kenji"},{"family":"Shiferaw","given":"Wondimeneh Shibabaw"},{"family":"Shigematsu","given":"Mika"},{"family":"Shin","given":"Jae Il"},{"family":"Shiri","given":"Rahman"},{"family":"Shirkoohi","given":"Reza"},{"family":"Shrime","given":"Mark G."},{"family":"Shuval","given":"Kerem"},{"family":"Siabani","given":"Soraya"},{"family":"Sigfusdottir","given":"Inga Dora"},{"family":"Sigurvinsdottir","given":"Rannveig"},{"family":"Silva","given":"João Pedro"},{"family":"Simpson","given":"Kyle E."},{"family":"Singh","given":"Ambrish"},{"family":"Singh","given":"Jasvinder A."},{"family":"Skiadaresi","given":"Eirini"},{"family":"Skou","given":"Søren T."},{"family":"Skryabin","given":"Valentin Yurievich"},{"family":"Sobngwi","given":"Eugene"},{"family":"Sokhan","given":"Anton"},{"family":"Soltani","given":"Shahin"},{"family":"Sorensen","given":"Reed J. D."},{"family":"Soriano","given":"Joan B."},{"family":"Sorrie","given":"Muluken Bekele"},{"family":"Soyiri","given":"Ireneous N."},{"family":"Sreeramareddy","given":"Chandrashekhar T."},{"family":"Stanaway","given":"Jeffrey D."},{"family":"Stark","given":"Benjamin A."},{"family":"Ştefan","given":"Simona Cătălina"},{"family":"Stein","given":"Caroline"},{"family":"Steiner","given":"Caitlyn"},{"family":"Steiner","given":"Timothy J."},{"family":"Stokes","given":"Mark A."},{"family":"Stovner","given":"Lars Jacob"},{"family":"Stubbs","given":"Jacob L."},{"family":"Sudaryanto","given":"Agus"},{"family":"Sufiyan","given":"Mu'awiyyah Babale"},{"family":"Sulo","given":"Gerhard"},{"family":"Sultan","given":"Iyad"},{"family":"Sykes","given":"Bryan L."},{"family":"Sylte","given":"Dillon O."},{"family":"Szócska","given":"Miklós"},{"family":"Tabarés-Seisdedos","given":"Rafael"},{"family":"Tabb","given":"Karen M."},{"family":"Tadakamadla","given":"Santosh Kumar"},{"family":"Taherkhani","given":"Amir"},{"family":"Tajdini","given":"Masih"},{"family":"Takahashi","given":"Ken"},{"family":"Taveira","given":"Nuno"},{"family":"Teagle","given":"Whitney L."},{"family":"Teame","given":"Hirut"},{"family":"Tehrani-Banihashemi","given":"Arash"},{"family":"Teklehaimanot","given":"Berhane Fseha"},{"family":"Terrason","given":"Sonyah"},{"family":"Tessema","given":"Zemenu Tadesse"},{"family":"Thankappan","given":"Kavumpurathu Raman"},{"family":"Thomson","given":"Azalea M."},{"family":"Tohidinik","given":"Hamid Reza"},{"family":"Tonelli","given":"Marcello"},{"family":"Topor-Madry","given":"Roman"},{"family":"Torre","given":"Anna E."},{"family":"Touvier","given":"Mathilde"},{"family":"Tovani-Palone","given":"Marcos Roberto Roberto"},{"family":"Tran","given":"Bach Xuan"},{"family":"Travillian","given":"Ravensara"},{"family":"Troeger","given":"Christopher E."},{"family":"Truelsen","given":"Thomas Clement"},{"family":"Tsai","given":"Alexander C."},{"family":"Tsatsakis","given":"Aristidis"},{"family":"Car","given":"Lorainne Tudor"},{"family":"Tyrovolas","given":"Stefanos"},{"family":"Uddin","given":"Riaz"},{"family":"Ullah","given":"Saif"},{"family":"Undurraga","given":"Eduardo A."},{"family":"Unnikrishnan","given":"Bhaskaran"},{"family":"Vacante","given":"Marco"},{"family":"Vakilian","given":"Alireza"},{"family":"Valdez","given":"Pascual R."},{"family":"Varughese","given":"Santosh"},{"family":"Vasankari","given":"Tommi Juhani"},{"family":"Vasseghian","given":"Yasser"},{"family":"Venketasubramanian","given":"Narayanaswamy"},{"family":"Violante","given":"Francesco S."},{"family":"Vlassov","given":"Vasily"},{"family":"Vollset","given":"Stein Emil"},{"family":"Vongpradith","given":"Avina"},{"family":"Vukovic","given":"Ana"},{"family":"Vukovic","given":"Rade"},{"family":"Waheed","given":"Yasir"},{"family":"Walters","given":"Madgalene K."},{"family":"Wang","given":"Jiayu"},{"family":"Wang","given":"Yafeng"},{"family":"Wang","given":"Yuan-Pang"},{"family":"Ward","given":"Joseph L."},{"family":"Watson","given":"Alexandrea"},{"family":"Wei","given":"Jingkai"},{"family":"Weintraub","given":"Robert G."},{"family":"Weiss","given":"Daniel J."},{"family":"Weiss","given":"Jordan"},{"family":"Westerman","given":"Ronny"},{"family":"Whisnant","given":"Joanna L."},{"family":"Whiteford","given":"Harvey A."},{"family":"Wiangkham","given":"Taweewat"},{"family":"Wiens","given":"Kirsten E."},{"family":"Wijeratne","given":"Tissa"},{"family":"Wilner","given":"Lauren B."},{"family":"Wilson","given":"Shadrach"},{"family":"Wojtyniak","given":"Bogdan"},{"family":"Wolfe","given":"Charles D. A."},{"family":"Wool","given":"Eve E."},{"family":"Wu","given":"Ai-Min"},{"family":"Hanson","given":"Sarah Wulf"},{"family":"Wunrow","given":"Han Yong"},{"family":"Xu","given":"Gelin"},{"family":"Xu","given":"Rixing"},{"family":"Yadgir","given":"Simon"},{"family":"Jabbari","given":"Seyed Hossein Yahyazadeh"},{"family":"Yamagishi","given":"Kazumasa"},{"family":"Yaminfirooz","given":"Mousa"},{"family":"Yano","given":"Yuichiro"},{"family":"Yaya","given":"Sanni"},{"family":"Yazdi-Feyzabadi","given":"Vahid"},{"family":"Yearwood","given":"Jamal A."},{"family":"Yeheyis","given":"Tomas Y."},{"family":"Yeshitila","given":"Yordanos Gizachew"},{"family":"Yip","given":"Paul"},{"family":"Yonemoto","given":"Naohiro"},{"family":"Yoon","given":"Seok-Jun"},{"family":"Lebni","given":"Javad Yoosefi"},{"family":"Younis","given":"Mustafa Z."},{"family":"Younker","given":"Theodore Patrick"},{"family":"Yousefi","given":"Zabihollah"},{"family":"Yousefifard","given":"Mahmoud"},{"family":"Yousefinezhadi","given":"Taraneh"},{"family":"Yousuf","given":"Abdilahi Yousuf"},{"family":"Yu","given":"Chuanhua"},{"family":"Yusefzadeh","given":"Hasan"},{"family":"Moghadam","given":"Telma Zahirian"},{"family":"Zaki","given":"Leila"},{"family":"Zaman","given":"Sojib Bin"},{"family":"Zamani","given":"Mohammad"},{"family":"Zamanian","given":"Maryam"},{"family":"Zandian","given":"Hamed"},{"family":"Zangeneh","given":"Alireza"},{"family":"Zastrozhin","given":"Mikhail Sergeevich"},{"family":"Zewdie","given":"Kaleab Alemayehu"},{"family":"Zhang","given":"Yunquan"},{"family":"Zhang","given":"Zhi-Jiang"},{"family":"Zhao","given":"Jeff T."},{"family":"Zhao","given":"Yingxi"},{"family":"Zheng","given":"Peng"},{"family":"Zhou","given":"Maigeng"},{"family":"Ziapour","given":"Arash"},{"family":"Zimsen","given":"Stephanie R. M."},{"family":"Naghavi","given":"Mohsen"},{"family":"Murray","given":"Christopher J. L."}],"issued":{"date-parts":[["2020",10,17]]}}}],"schema":"https://github.com/citation-style-language/schema/raw/master/csl-citation.json"} </w:instrText>
      </w:r>
      <w:r w:rsidR="00A46816" w:rsidRPr="00266B15">
        <w:rPr>
          <w:rFonts w:ascii="Arial" w:eastAsia="Calibri" w:hAnsi="Arial" w:cs="Arial"/>
          <w:szCs w:val="22"/>
        </w:rPr>
        <w:fldChar w:fldCharType="separate"/>
      </w:r>
      <w:r w:rsidR="00A46816" w:rsidRPr="00266B15">
        <w:rPr>
          <w:rFonts w:ascii="Arial" w:eastAsia="Calibri" w:hAnsi="Arial" w:cs="Arial"/>
        </w:rPr>
        <w:t>(Vos et al., 2020)</w:t>
      </w:r>
      <w:r w:rsidR="00A46816" w:rsidRPr="00266B15">
        <w:rPr>
          <w:rFonts w:ascii="Arial" w:eastAsia="Calibri" w:hAnsi="Arial" w:cs="Arial"/>
          <w:szCs w:val="22"/>
        </w:rPr>
        <w:fldChar w:fldCharType="end"/>
      </w:r>
      <w:proofErr w:type="gramStart"/>
      <w:r w:rsidR="00A46816" w:rsidRPr="00266B15">
        <w:rPr>
          <w:rFonts w:ascii="Arial" w:eastAsia="Calibri" w:hAnsi="Arial" w:cs="Arial"/>
          <w:szCs w:val="22"/>
        </w:rPr>
        <w:t>.</w:t>
      </w:r>
      <w:r w:rsidR="00A46816" w:rsidRPr="00266B15" w:rsidDel="00A46816">
        <w:rPr>
          <w:rFonts w:ascii="Arial" w:eastAsia="Calibri" w:hAnsi="Arial" w:cs="Arial"/>
          <w:szCs w:val="22"/>
        </w:rPr>
        <w:t xml:space="preserve"> </w:t>
      </w:r>
      <w:r w:rsidRPr="00266B15">
        <w:rPr>
          <w:rFonts w:ascii="Arial" w:eastAsia="Calibri" w:hAnsi="Arial" w:cs="Arial"/>
          <w:szCs w:val="22"/>
        </w:rPr>
        <w:t>.</w:t>
      </w:r>
      <w:proofErr w:type="gramEnd"/>
      <w:r w:rsidRPr="00266B15">
        <w:rPr>
          <w:rFonts w:ascii="Arial" w:eastAsia="Calibri" w:hAnsi="Arial" w:cs="Arial"/>
          <w:szCs w:val="22"/>
        </w:rPr>
        <w:t xml:space="preserve"> In 2023, the number of malaria cases was estimated at 263 million, resulting in approximately 597,000 deaths (WHO, 2024b). Similarly, lower respiratory infections caused nearly 2.5 million deaths in 2021 (WHO, 2024a).</w:t>
      </w:r>
    </w:p>
    <w:p w14:paraId="3DFE533F" w14:textId="2277C562" w:rsidR="00593043" w:rsidRPr="00266B15" w:rsidRDefault="00593043" w:rsidP="00593043">
      <w:pPr>
        <w:pStyle w:val="Body"/>
        <w:rPr>
          <w:rFonts w:ascii="Arial" w:eastAsia="Calibri" w:hAnsi="Arial" w:cs="Arial"/>
          <w:szCs w:val="22"/>
        </w:rPr>
      </w:pPr>
      <w:r w:rsidRPr="00266B15">
        <w:rPr>
          <w:rFonts w:ascii="Arial" w:eastAsia="Calibri" w:hAnsi="Arial" w:cs="Arial"/>
          <w:szCs w:val="22"/>
        </w:rPr>
        <w:t>Antibiotics have been an important discovery in the fight against pathogenic microorganisms. Their use has helped reduce the mortality rate from infectious diseases worldwide (</w:t>
      </w:r>
      <w:proofErr w:type="spellStart"/>
      <w:r w:rsidRPr="00266B15">
        <w:rPr>
          <w:rFonts w:ascii="Arial" w:eastAsia="Calibri" w:hAnsi="Arial" w:cs="Arial"/>
          <w:szCs w:val="22"/>
        </w:rPr>
        <w:t>Bouyahya</w:t>
      </w:r>
      <w:proofErr w:type="spellEnd"/>
      <w:r w:rsidRPr="00266B15">
        <w:rPr>
          <w:rFonts w:ascii="Arial" w:eastAsia="Calibri" w:hAnsi="Arial" w:cs="Arial"/>
          <w:szCs w:val="22"/>
        </w:rPr>
        <w:t xml:space="preserve"> et al., 2018). However, their inappropriate and excessive use, particularly through self-medication, has led to the emergence of microbial resistance over time (Georgieva et al., 2021; Lei et al., 2019).</w:t>
      </w:r>
      <w:r w:rsidR="00350855" w:rsidRPr="00266B15">
        <w:t xml:space="preserve"> </w:t>
      </w:r>
      <w:r w:rsidR="001569F4" w:rsidRPr="00266B15">
        <w:t>Indeed, a</w:t>
      </w:r>
      <w:r w:rsidR="00350855" w:rsidRPr="00266B15">
        <w:t xml:space="preserve">ntimicrobial resistance is associated with an increased risk of treatment failure and recurrent infections. It is therefore a major factor in morbidity and mortality. </w:t>
      </w:r>
      <w:r w:rsidR="00350855" w:rsidRPr="00266B15">
        <w:fldChar w:fldCharType="begin"/>
      </w:r>
      <w:r w:rsidR="00350855" w:rsidRPr="00266B15">
        <w:instrText xml:space="preserve"> ADDIN ZOTERO_ITEM CSL_CITATION {"citationID":"FeXWU7jr","properties":{"formattedCitation":"(H\\uc0\\u252{}mer et al., 2020)","plainCitation":"(Hümer et al., 2020)","noteIndex":0},"citationItems":[{"id":2245,"uris":["http://zotero.org/users/local/BtUUOrnL/items/I54N4VAF"],"itemData":{"id":2245,"type":"article-journal","abstract":"AbstraitLa résistance aux antimicrobiens (RAM) et la persistance sont associées à un risque accru d'échec thérapeutique et de récidives d'infections. Elles constituent donc d'importants facteurs de morbidité et de mortalité, entraînant une hausse des coûts de santé. La résistance aux antibiotiques est facilement identifiable grâce aux tests microbiologiques standards, et la menace qu'elle représente est bien connue. Des mesures visant à réduire le développement de la résistance et la propagation des bactéries résistantes sont mises en œuvre. Cependant, le phénomène de la survie bactérienne à l'exposition aux antibiotiques malgré une sensibilité totale, appelé persistance aux antibiotiques, est encore largement sous-estimé. Contrairement à la résistance aux antibiotiques, la persistance aux antibiotiques est difficile à mesurer et donc souvent négligée, ce qui peut entraîner des échecs thérapeutiques. Dans cette revue, nous nous concentrons sur les mécanismes bactériens permettant d'échapper à l'action des antibiotiques et analysons leurs implications pour la santé humaine. Nous décrivons la relation entre persistance aux antibiotiques et hétérogénéité bactérienne, et analysons les études récentes reliant la persistance et la tolérance bactériennes à l'évolution de la résistance aux antibiotiques. Enfin, nous passons en revue les méthodes de détection des bactéries persistantes, les nouvelles stratégies visant à éradiquer les bactéries persistantes et les dernières avancées dans le développement de nouveaux antibiotiques.","container-title":"EMBO reports","DOI":"10.15252/embr.202051034","ISSN":"1469-221X","issue":"12","note":"publisher: John Wiley &amp; Sons, Ltd","page":"e51034","source":"embopress.org (Atypon)","title":"Antibiotic resistance and persistence—Implications for human health and treatment perspectives","volume":"21","author":[{"family":"Hümer","given":"Markus"},{"family":"Mairpady Shambat","given":"Srikanth"},{"family":"Brugger","given":"Silvio D."},{"family":"Zinkernagel","given":"Annelies S"}],"issued":{"date-parts":[["2020",12,3]]}}}],"schema":"https://github.com/citation-style-language/schema/raw/master/csl-citation.json"} </w:instrText>
      </w:r>
      <w:r w:rsidR="00350855" w:rsidRPr="00266B15">
        <w:fldChar w:fldCharType="separate"/>
      </w:r>
      <w:r w:rsidR="00350855" w:rsidRPr="00266B15">
        <w:rPr>
          <w:rFonts w:cs="Helvetica"/>
          <w:szCs w:val="24"/>
        </w:rPr>
        <w:t>(Hümer et al., 2020)</w:t>
      </w:r>
      <w:r w:rsidR="00350855" w:rsidRPr="00266B15">
        <w:fldChar w:fldCharType="end"/>
      </w:r>
      <w:r w:rsidR="00B414B8" w:rsidRPr="00266B15">
        <w:t>.</w:t>
      </w:r>
      <w:r w:rsidR="00350855" w:rsidRPr="00266B15">
        <w:t xml:space="preserve"> By 2050, mortality from drug-resistant infections could exceed that of cancer and cardiovascular disease</w:t>
      </w:r>
      <w:r w:rsidR="00B414B8" w:rsidRPr="00266B15">
        <w:t xml:space="preserve"> </w:t>
      </w:r>
      <w:r w:rsidR="00000BD3" w:rsidRPr="00266B15">
        <w:fldChar w:fldCharType="begin"/>
      </w:r>
      <w:r w:rsidR="00000BD3" w:rsidRPr="00266B15">
        <w:instrText xml:space="preserve"> ADDIN ZOTERO_ITEM CSL_CITATION {"citationID":"1JOkkbes","properties":{"formattedCitation":"(B\\uc0\\u228{}umler, 2024)","plainCitation":"(Bäumler, 2024)","noteIndex":0},"citationItems":[{"id":2244,"uris":["http://zotero.org/users/local/BtUUOrnL/items/9HTJFBJX"],"itemData":{"id":2244,"type":"article-journal","container-title":"Science","DOI":"10.1126/science.ads3473","issue":"6715","note":"publisher: American Association for the Advancement of Science","page":"eads3473","source":"science.org (Atypon)","title":"The coming microbial crisis: Our antibiotic bubble is about to burst","title-short":"The coming microbial crisis","volume":"385","author":[{"family":"Bäumler","given":"Andreas J."}],"issued":{"date-parts":[["2024",9,19]]}}}],"schema":"https://github.com/citation-style-language/schema/raw/master/csl-citation.json"} </w:instrText>
      </w:r>
      <w:r w:rsidR="00000BD3" w:rsidRPr="00266B15">
        <w:fldChar w:fldCharType="separate"/>
      </w:r>
      <w:r w:rsidR="00000BD3" w:rsidRPr="00266B15">
        <w:rPr>
          <w:rFonts w:cs="Helvetica"/>
          <w:szCs w:val="24"/>
        </w:rPr>
        <w:t>(Bäumler, 2024)</w:t>
      </w:r>
      <w:r w:rsidR="00000BD3" w:rsidRPr="00266B15">
        <w:fldChar w:fldCharType="end"/>
      </w:r>
      <w:r w:rsidR="00000BD3" w:rsidRPr="00266B15">
        <w:t>.</w:t>
      </w:r>
      <w:r w:rsidR="00A359A5" w:rsidRPr="00266B15">
        <w:t xml:space="preserve"> </w:t>
      </w:r>
      <w:r w:rsidR="00A359A5" w:rsidRPr="00266B15">
        <w:rPr>
          <w:rFonts w:ascii="Arial" w:eastAsia="Calibri" w:hAnsi="Arial" w:cs="Arial"/>
          <w:szCs w:val="22"/>
        </w:rPr>
        <w:t xml:space="preserve">The World Health Organization (WHO) has warned that the world is "running out of antibiotics," fueling fears of global antibiotic resistance reaching record highs </w:t>
      </w:r>
      <w:r w:rsidR="00B75DD6" w:rsidRPr="00266B15">
        <w:rPr>
          <w:rFonts w:ascii="Arial" w:eastAsia="Calibri" w:hAnsi="Arial" w:cs="Arial"/>
          <w:szCs w:val="22"/>
        </w:rPr>
        <w:fldChar w:fldCharType="begin"/>
      </w:r>
      <w:r w:rsidR="00B75DD6" w:rsidRPr="00266B15">
        <w:rPr>
          <w:rFonts w:ascii="Arial" w:eastAsia="Calibri" w:hAnsi="Arial" w:cs="Arial"/>
          <w:szCs w:val="22"/>
        </w:rPr>
        <w:instrText xml:space="preserve"> ADDIN ZOTERO_ITEM CSL_CITATION {"citationID":"K1qMAxny","properties":{"formattedCitation":"(Nwobodo et al., 2022)","plainCitation":"(Nwobodo et al., 2022)","noteIndex":0},"citationItems":[{"id":2246,"uris":["http://zotero.org/users/local/BtUUOrnL/items/4YQGP97Y"],"itemData":{"id":2246,"type":"article-journal","abstract":"Background Antibiotic resistance is currently the most serious global threat to the effective treatment of bacterial infections. Antibiotic resistance has been established to adversely affect both clinical and therapeutic outcomes, with consequences ranging from treatment failures and the need for expensive and safer alternative drugs to the cost of higher rates of morbidity and mortality, longer hospitalization, and high-healthcare costs. The search for new antibiotics and other antimicrobials continues to be a pressing need in humanity's battle against bacterial infections. Antibiotic resistance appears inevitable, and there is a continuous lack of interest in investing in new antibiotic research by pharmaceutical industries. This review summarized some new strategies for tackling antibiotic resistance in bacteria. Methods To provide an overview of the recent research, we look at some new strategies for preventing resistance and/or reviving bacteria's susceptibility to already existing antibiotics. Results Substantial pieces of evidence suggest that antimicrobials interact with host immunity, leading to potent indirect effects that improve antibacterial activities and may result in more swift and complete bactericidal effects. A new class of antibiotics referred to as immuno-antibiotics and the targeting of some biochemical resistance pathway components including inhibition of SOS response and hydrogen sulfide as biochemical underlying networks of bacteria can be considered as new emerging strategies to combat antibiotic resistance in bacteria. Conclusion This review highlighted and discussed immuno-antibiotics and inhibition of SOS response and hydrogen sulfide as biochemical underlying networks of bacteria as new weapons against antibiotic resistance in bacteria.","container-title":"Journal of Clinical Laboratory Analysis","DOI":"10.1002/jcla.24655","ISSN":"1098-2825","issue":"9","language":"en","license":"© 2022 The Authors. Journal of Clinical Laboratory Analysis published by Wiley Periodicals LLC.","note":"_eprint: https://onlinelibrary.wiley.com/doi/pdf/10.1002/jcla.24655","page":"e24655","source":"Wiley Online Library","title":"Antibiotic resistance: The challenges and some emerging strategies for tackling a global menace","title-short":"Antibiotic resistance","volume":"36","author":[{"family":"Nwobodo","given":"Chinemerem David"},{"family":"Ugwu","given":"Malachy Chigozie"},{"family":"Oliseloke Anie","given":"Clement"},{"family":"Al-Ouqaili","given":"Mushtak T. S."},{"family":"Chinedu Ikem","given":"Joseph"},{"family":"Victor Chigozie","given":"Uchenna"},{"family":"Saki","given":"Morteza"}],"issued":{"date-parts":[["2022"]]}}}],"schema":"https://github.com/citation-style-language/schema/raw/master/csl-citation.json"} </w:instrText>
      </w:r>
      <w:r w:rsidR="00B75DD6" w:rsidRPr="00266B15">
        <w:rPr>
          <w:rFonts w:ascii="Arial" w:eastAsia="Calibri" w:hAnsi="Arial" w:cs="Arial"/>
          <w:szCs w:val="22"/>
        </w:rPr>
        <w:fldChar w:fldCharType="separate"/>
      </w:r>
      <w:r w:rsidR="00B75DD6" w:rsidRPr="00266B15">
        <w:rPr>
          <w:rFonts w:ascii="Arial" w:eastAsia="Calibri" w:hAnsi="Arial" w:cs="Arial"/>
        </w:rPr>
        <w:t>(Nwobodo et al., 2022)</w:t>
      </w:r>
      <w:r w:rsidR="00B75DD6" w:rsidRPr="00266B15">
        <w:rPr>
          <w:rFonts w:ascii="Arial" w:eastAsia="Calibri" w:hAnsi="Arial" w:cs="Arial"/>
          <w:szCs w:val="22"/>
        </w:rPr>
        <w:fldChar w:fldCharType="end"/>
      </w:r>
      <w:r w:rsidR="00EA5800" w:rsidRPr="00266B15">
        <w:rPr>
          <w:rFonts w:ascii="Arial" w:eastAsia="Calibri" w:hAnsi="Arial" w:cs="Arial"/>
          <w:szCs w:val="22"/>
        </w:rPr>
        <w:t xml:space="preserve">. In these circumstances, it is imperative to develop new alternative molecules that are effective against infectious </w:t>
      </w:r>
      <w:proofErr w:type="spellStart"/>
      <w:proofErr w:type="gramStart"/>
      <w:r w:rsidR="008D2244" w:rsidRPr="00266B15">
        <w:rPr>
          <w:rFonts w:ascii="Arial" w:eastAsia="Calibri" w:hAnsi="Arial" w:cs="Arial"/>
          <w:szCs w:val="22"/>
        </w:rPr>
        <w:t>diseases.One</w:t>
      </w:r>
      <w:proofErr w:type="spellEnd"/>
      <w:proofErr w:type="gramEnd"/>
      <w:r w:rsidRPr="00266B15">
        <w:rPr>
          <w:rFonts w:ascii="Arial" w:eastAsia="Calibri" w:hAnsi="Arial" w:cs="Arial"/>
          <w:szCs w:val="22"/>
        </w:rPr>
        <w:t xml:space="preserve"> approach is to use medicinal plants, which are an important source of bioactive molecules that can be exploited in the treatment of infectious diseases (Lewis &amp; Ausubel, 2006; Pare et al., 2019; Traoré et al., 2012). In this context, much research aims to provide scientific evidence on the efficacy and safety of medicinal plants used in therapy (</w:t>
      </w:r>
      <w:proofErr w:type="spellStart"/>
      <w:r w:rsidRPr="00266B15">
        <w:rPr>
          <w:rFonts w:ascii="Arial" w:eastAsia="Calibri" w:hAnsi="Arial" w:cs="Arial"/>
          <w:szCs w:val="22"/>
        </w:rPr>
        <w:t>Moussally</w:t>
      </w:r>
      <w:proofErr w:type="spellEnd"/>
      <w:r w:rsidRPr="00266B15">
        <w:rPr>
          <w:rFonts w:ascii="Arial" w:eastAsia="Calibri" w:hAnsi="Arial" w:cs="Arial"/>
          <w:szCs w:val="22"/>
        </w:rPr>
        <w:t>, 2009).</w:t>
      </w:r>
    </w:p>
    <w:p w14:paraId="60CC74F2" w14:textId="77777777" w:rsidR="00593043" w:rsidRPr="00266B15" w:rsidRDefault="00593043" w:rsidP="00593043">
      <w:pPr>
        <w:pStyle w:val="Body"/>
        <w:rPr>
          <w:rFonts w:ascii="Arial" w:eastAsia="Calibri" w:hAnsi="Arial" w:cs="Arial"/>
          <w:szCs w:val="22"/>
        </w:rPr>
      </w:pPr>
      <w:r w:rsidRPr="00266B15">
        <w:rPr>
          <w:rFonts w:ascii="Arial" w:eastAsia="Calibri" w:hAnsi="Arial" w:cs="Arial"/>
          <w:szCs w:val="22"/>
        </w:rPr>
        <w:t xml:space="preserve">Certain plants such as Terminalia </w:t>
      </w:r>
      <w:proofErr w:type="spellStart"/>
      <w:r w:rsidRPr="00266B15">
        <w:rPr>
          <w:rFonts w:ascii="Arial" w:eastAsia="Calibri" w:hAnsi="Arial" w:cs="Arial"/>
          <w:szCs w:val="22"/>
        </w:rPr>
        <w:t>avicennoides</w:t>
      </w:r>
      <w:proofErr w:type="spellEnd"/>
      <w:r w:rsidRPr="00266B15">
        <w:rPr>
          <w:rFonts w:ascii="Arial" w:eastAsia="Calibri" w:hAnsi="Arial" w:cs="Arial"/>
          <w:szCs w:val="22"/>
        </w:rPr>
        <w:t xml:space="preserve">, Terminalia </w:t>
      </w:r>
      <w:proofErr w:type="spellStart"/>
      <w:r w:rsidRPr="00266B15">
        <w:rPr>
          <w:rFonts w:ascii="Arial" w:eastAsia="Calibri" w:hAnsi="Arial" w:cs="Arial"/>
          <w:szCs w:val="22"/>
        </w:rPr>
        <w:t>macroptera</w:t>
      </w:r>
      <w:proofErr w:type="spellEnd"/>
      <w:r w:rsidRPr="00266B15">
        <w:rPr>
          <w:rFonts w:ascii="Arial" w:eastAsia="Calibri" w:hAnsi="Arial" w:cs="Arial"/>
          <w:szCs w:val="22"/>
        </w:rPr>
        <w:t xml:space="preserve">, and </w:t>
      </w:r>
      <w:proofErr w:type="spellStart"/>
      <w:r w:rsidRPr="00266B15">
        <w:rPr>
          <w:rFonts w:ascii="Arial" w:eastAsia="Calibri" w:hAnsi="Arial" w:cs="Arial"/>
          <w:szCs w:val="22"/>
        </w:rPr>
        <w:t>Argemone</w:t>
      </w:r>
      <w:proofErr w:type="spellEnd"/>
      <w:r w:rsidRPr="00266B15">
        <w:rPr>
          <w:rFonts w:ascii="Arial" w:eastAsia="Calibri" w:hAnsi="Arial" w:cs="Arial"/>
          <w:szCs w:val="22"/>
        </w:rPr>
        <w:t xml:space="preserve"> </w:t>
      </w:r>
      <w:proofErr w:type="spellStart"/>
      <w:r w:rsidRPr="00266B15">
        <w:rPr>
          <w:rFonts w:ascii="Arial" w:eastAsia="Calibri" w:hAnsi="Arial" w:cs="Arial"/>
          <w:szCs w:val="22"/>
        </w:rPr>
        <w:t>mexicana</w:t>
      </w:r>
      <w:proofErr w:type="spellEnd"/>
      <w:r w:rsidRPr="00266B15">
        <w:rPr>
          <w:rFonts w:ascii="Arial" w:eastAsia="Calibri" w:hAnsi="Arial" w:cs="Arial"/>
          <w:szCs w:val="22"/>
        </w:rPr>
        <w:t xml:space="preserve"> are used by local populations to treat various conditions, including bacterial and fungal infections, gout, rheumatism, lung diseases, malaria, certain skin diseases, and hepatitis (Compaoré, 2018; Nacoulma, 1996; Zerbo et al., 2011). Phytochemical studies have shown that these plants are rich in bioactive compounds such as alkaloids, terpenes, steroids, flavonoids, and tannins, and also have antioxidant properties (Amou et al., 2025; N'do et al., 2024; Patocka et al., 2024), compounds that generally do not cause microbial resistance (Lewis &amp; Ausubel, 2006). The richness of these plants in bioactive metabolites could explain their use by local populations. Studies have also evaluated the antimicrobial activity of extracts from Terminalia </w:t>
      </w:r>
      <w:proofErr w:type="spellStart"/>
      <w:r w:rsidRPr="00266B15">
        <w:rPr>
          <w:rFonts w:ascii="Arial" w:eastAsia="Calibri" w:hAnsi="Arial" w:cs="Arial"/>
          <w:szCs w:val="22"/>
        </w:rPr>
        <w:t>avicennoides</w:t>
      </w:r>
      <w:proofErr w:type="spellEnd"/>
      <w:r w:rsidRPr="00266B15">
        <w:rPr>
          <w:rFonts w:ascii="Arial" w:eastAsia="Calibri" w:hAnsi="Arial" w:cs="Arial"/>
          <w:szCs w:val="22"/>
        </w:rPr>
        <w:t xml:space="preserve">, Terminalia </w:t>
      </w:r>
      <w:proofErr w:type="spellStart"/>
      <w:r w:rsidRPr="00266B15">
        <w:rPr>
          <w:rFonts w:ascii="Arial" w:eastAsia="Calibri" w:hAnsi="Arial" w:cs="Arial"/>
          <w:szCs w:val="22"/>
        </w:rPr>
        <w:t>macroptera</w:t>
      </w:r>
      <w:proofErr w:type="spellEnd"/>
      <w:r w:rsidRPr="00266B15">
        <w:rPr>
          <w:rFonts w:ascii="Arial" w:eastAsia="Calibri" w:hAnsi="Arial" w:cs="Arial"/>
          <w:szCs w:val="22"/>
        </w:rPr>
        <w:t xml:space="preserve">, and </w:t>
      </w:r>
      <w:proofErr w:type="spellStart"/>
      <w:r w:rsidRPr="00266B15">
        <w:rPr>
          <w:rFonts w:ascii="Arial" w:eastAsia="Calibri" w:hAnsi="Arial" w:cs="Arial"/>
          <w:szCs w:val="22"/>
        </w:rPr>
        <w:t>Argemone</w:t>
      </w:r>
      <w:proofErr w:type="spellEnd"/>
      <w:r w:rsidRPr="00266B15">
        <w:rPr>
          <w:rFonts w:ascii="Arial" w:eastAsia="Calibri" w:hAnsi="Arial" w:cs="Arial"/>
          <w:szCs w:val="22"/>
        </w:rPr>
        <w:t xml:space="preserve"> </w:t>
      </w:r>
      <w:proofErr w:type="spellStart"/>
      <w:r w:rsidRPr="00266B15">
        <w:rPr>
          <w:rFonts w:ascii="Arial" w:eastAsia="Calibri" w:hAnsi="Arial" w:cs="Arial"/>
          <w:szCs w:val="22"/>
        </w:rPr>
        <w:t>mexicana</w:t>
      </w:r>
      <w:proofErr w:type="spellEnd"/>
      <w:r w:rsidRPr="00266B15">
        <w:rPr>
          <w:rFonts w:ascii="Arial" w:eastAsia="Calibri" w:hAnsi="Arial" w:cs="Arial"/>
          <w:szCs w:val="22"/>
        </w:rPr>
        <w:t xml:space="preserve"> (Courtney &amp; Cock, 2022; N'do et al., 2024; Sidiki et al., 2023). Extracts from these plants have been shown to be effective against chloroquine-resistant Plasmodium, Klebsiella pneumoniae, Pseudomonas aeruginosa, Candida albicans, etc.</w:t>
      </w:r>
    </w:p>
    <w:p w14:paraId="1EAF58AF" w14:textId="6C0D1FBE" w:rsidR="00593043" w:rsidRPr="00266B15" w:rsidRDefault="00593043" w:rsidP="00593043">
      <w:pPr>
        <w:pStyle w:val="Body"/>
        <w:rPr>
          <w:rFonts w:ascii="Arial" w:eastAsia="Calibri" w:hAnsi="Arial" w:cs="Arial"/>
          <w:szCs w:val="22"/>
        </w:rPr>
      </w:pPr>
      <w:r w:rsidRPr="00266B15">
        <w:rPr>
          <w:rFonts w:ascii="Arial" w:eastAsia="Calibri" w:hAnsi="Arial" w:cs="Arial"/>
          <w:szCs w:val="22"/>
        </w:rPr>
        <w:t>Although several studies have already been devoted to these plants, the scientific data available remains limited in the context of Burkina Faso. Gi</w:t>
      </w:r>
      <w:r w:rsidR="000D60D1" w:rsidRPr="00266B15">
        <w:rPr>
          <w:rFonts w:ascii="Arial" w:eastAsia="Calibri" w:hAnsi="Arial" w:cs="Arial"/>
          <w:szCs w:val="22"/>
        </w:rPr>
        <w:t xml:space="preserve"> </w:t>
      </w:r>
      <w:proofErr w:type="spellStart"/>
      <w:r w:rsidRPr="00266B15">
        <w:rPr>
          <w:rFonts w:ascii="Arial" w:eastAsia="Calibri" w:hAnsi="Arial" w:cs="Arial"/>
          <w:szCs w:val="22"/>
        </w:rPr>
        <w:t>ven</w:t>
      </w:r>
      <w:proofErr w:type="spellEnd"/>
      <w:r w:rsidRPr="00266B15">
        <w:rPr>
          <w:rFonts w:ascii="Arial" w:eastAsia="Calibri" w:hAnsi="Arial" w:cs="Arial"/>
          <w:szCs w:val="22"/>
        </w:rPr>
        <w:t xml:space="preserve"> that the type and quantity of secondary metabolites can vary considerably depending on environmental conditions, due to local adaptation or genotypic selection specific to each habitat (Moore et al., 2014), this fully justifies the need for further study in the specific ecological context of Burkina Faso.</w:t>
      </w:r>
      <w:r w:rsidR="00EA64E8" w:rsidRPr="00266B15">
        <w:rPr>
          <w:rFonts w:ascii="Arial" w:eastAsia="Calibri" w:hAnsi="Arial" w:cs="Arial"/>
          <w:szCs w:val="22"/>
        </w:rPr>
        <w:t xml:space="preserve"> In addition, the results of this study could provide a scientific basis for the valorization of Burkinabe medicinal flora.</w:t>
      </w:r>
    </w:p>
    <w:p w14:paraId="029073C9" w14:textId="5438A583" w:rsidR="00790ADA" w:rsidRPr="00266B15" w:rsidRDefault="00593043" w:rsidP="00593043">
      <w:pPr>
        <w:pStyle w:val="Body"/>
        <w:spacing w:after="0"/>
        <w:rPr>
          <w:rFonts w:ascii="Arial" w:eastAsia="Calibri" w:hAnsi="Arial" w:cs="Arial"/>
          <w:szCs w:val="22"/>
        </w:rPr>
      </w:pPr>
      <w:r w:rsidRPr="00266B15">
        <w:rPr>
          <w:rFonts w:ascii="Arial" w:eastAsia="Calibri" w:hAnsi="Arial" w:cs="Arial"/>
          <w:szCs w:val="22"/>
        </w:rPr>
        <w:t>The objective of this work was to produce scientific information on the effectiveness of these plants in the treatment of malaria, bacterial and fungal diseases.</w:t>
      </w:r>
    </w:p>
    <w:p w14:paraId="1C326790" w14:textId="77777777" w:rsidR="0093571E" w:rsidRPr="00266B15" w:rsidRDefault="0093571E" w:rsidP="00593043">
      <w:pPr>
        <w:pStyle w:val="Body"/>
        <w:spacing w:after="0"/>
        <w:rPr>
          <w:rFonts w:ascii="Arial" w:hAnsi="Arial" w:cs="Arial"/>
        </w:rPr>
      </w:pPr>
    </w:p>
    <w:p w14:paraId="7AB6A64E" w14:textId="233911BC" w:rsidR="007F7B32" w:rsidRPr="00266B15" w:rsidRDefault="00902823" w:rsidP="00441B6F">
      <w:pPr>
        <w:pStyle w:val="AbstHead"/>
        <w:spacing w:after="0"/>
        <w:jc w:val="both"/>
        <w:rPr>
          <w:rFonts w:ascii="Arial" w:hAnsi="Arial" w:cs="Arial"/>
        </w:rPr>
      </w:pPr>
      <w:r w:rsidRPr="00266B15">
        <w:rPr>
          <w:rFonts w:ascii="Arial" w:hAnsi="Arial" w:cs="Arial"/>
        </w:rPr>
        <w:t>2. material and method</w:t>
      </w:r>
      <w:r w:rsidR="00000F8F" w:rsidRPr="00266B15">
        <w:rPr>
          <w:rFonts w:ascii="Arial" w:hAnsi="Arial" w:cs="Arial"/>
        </w:rPr>
        <w:t>s</w:t>
      </w:r>
    </w:p>
    <w:p w14:paraId="4C16F8B2" w14:textId="77777777" w:rsidR="00790ADA" w:rsidRPr="00266B15" w:rsidRDefault="00790ADA" w:rsidP="00441B6F">
      <w:pPr>
        <w:pStyle w:val="AbstHead"/>
        <w:spacing w:after="0"/>
        <w:jc w:val="both"/>
        <w:rPr>
          <w:rFonts w:ascii="Arial" w:hAnsi="Arial" w:cs="Arial"/>
        </w:rPr>
      </w:pPr>
    </w:p>
    <w:p w14:paraId="5EC538F2" w14:textId="6E875CDB" w:rsidR="00D73F21" w:rsidRPr="00266B15" w:rsidRDefault="00D73F21" w:rsidP="00D804EB">
      <w:pPr>
        <w:pStyle w:val="ListParagraph"/>
        <w:numPr>
          <w:ilvl w:val="1"/>
          <w:numId w:val="36"/>
        </w:numPr>
        <w:spacing w:line="360" w:lineRule="auto"/>
        <w:jc w:val="both"/>
        <w:rPr>
          <w:rFonts w:ascii="Arial" w:hAnsi="Arial" w:cs="Arial"/>
          <w:b/>
          <w:bCs/>
          <w:sz w:val="22"/>
          <w:szCs w:val="22"/>
        </w:rPr>
      </w:pPr>
      <w:r w:rsidRPr="00266B15">
        <w:rPr>
          <w:rFonts w:ascii="Arial" w:hAnsi="Arial" w:cs="Arial"/>
          <w:b/>
          <w:bCs/>
          <w:sz w:val="22"/>
          <w:szCs w:val="22"/>
        </w:rPr>
        <w:t>Study framework</w:t>
      </w:r>
    </w:p>
    <w:p w14:paraId="4F2687A9" w14:textId="77777777" w:rsidR="00D73F21" w:rsidRPr="00266B15" w:rsidRDefault="00D73F21" w:rsidP="00D73F21">
      <w:pPr>
        <w:spacing w:line="360" w:lineRule="auto"/>
        <w:jc w:val="both"/>
        <w:rPr>
          <w:rFonts w:ascii="Arial" w:hAnsi="Arial" w:cs="Arial"/>
        </w:rPr>
      </w:pPr>
      <w:r w:rsidRPr="00266B15">
        <w:rPr>
          <w:rFonts w:ascii="Arial" w:hAnsi="Arial" w:cs="Arial"/>
        </w:rPr>
        <w:lastRenderedPageBreak/>
        <w:t>The Pharmacognosy Laboratory at the National Malaria Training and Research Center (CNRFP) in Ouagadougou (Burkina Faso) served as the setting for the research activities.</w:t>
      </w:r>
    </w:p>
    <w:p w14:paraId="142F3FE1" w14:textId="50D81B16" w:rsidR="00D73F21" w:rsidRPr="00266B15" w:rsidRDefault="00D73F21" w:rsidP="00D804EB">
      <w:pPr>
        <w:pStyle w:val="ListParagraph"/>
        <w:numPr>
          <w:ilvl w:val="1"/>
          <w:numId w:val="36"/>
        </w:numPr>
        <w:spacing w:line="360" w:lineRule="auto"/>
        <w:jc w:val="both"/>
        <w:rPr>
          <w:rFonts w:ascii="Arial" w:hAnsi="Arial" w:cs="Arial"/>
          <w:b/>
          <w:bCs/>
          <w:sz w:val="22"/>
          <w:szCs w:val="22"/>
        </w:rPr>
      </w:pPr>
      <w:r w:rsidRPr="00266B15">
        <w:rPr>
          <w:rFonts w:ascii="Arial" w:hAnsi="Arial" w:cs="Arial"/>
          <w:b/>
          <w:bCs/>
          <w:sz w:val="22"/>
          <w:szCs w:val="22"/>
        </w:rPr>
        <w:t>Materials</w:t>
      </w:r>
    </w:p>
    <w:p w14:paraId="73B25A46" w14:textId="77777777" w:rsidR="00D73F21" w:rsidRPr="00266B15" w:rsidRDefault="00D73F21" w:rsidP="00D804EB">
      <w:pPr>
        <w:pStyle w:val="ListParagraph"/>
        <w:numPr>
          <w:ilvl w:val="2"/>
          <w:numId w:val="36"/>
        </w:numPr>
        <w:spacing w:line="360" w:lineRule="auto"/>
        <w:jc w:val="both"/>
        <w:rPr>
          <w:rFonts w:ascii="Arial" w:hAnsi="Arial" w:cs="Arial"/>
          <w:b/>
          <w:bCs/>
          <w:sz w:val="20"/>
          <w:szCs w:val="20"/>
          <w:u w:val="single"/>
        </w:rPr>
      </w:pPr>
      <w:r w:rsidRPr="00266B15">
        <w:rPr>
          <w:rFonts w:ascii="Arial" w:hAnsi="Arial" w:cs="Arial"/>
          <w:b/>
          <w:bCs/>
          <w:sz w:val="20"/>
          <w:szCs w:val="20"/>
          <w:u w:val="single"/>
        </w:rPr>
        <w:t xml:space="preserve"> Biological materials </w:t>
      </w:r>
    </w:p>
    <w:p w14:paraId="1C3E30D5"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The plant materials consisted of powders from the leaves of </w:t>
      </w:r>
      <w:r w:rsidRPr="00266B15">
        <w:rPr>
          <w:rFonts w:ascii="Arial" w:hAnsi="Arial" w:cs="Arial"/>
          <w:i/>
          <w:iCs/>
        </w:rPr>
        <w:t xml:space="preserve">Terminalia </w:t>
      </w:r>
      <w:proofErr w:type="spellStart"/>
      <w:r w:rsidRPr="00266B15">
        <w:rPr>
          <w:rFonts w:ascii="Arial" w:hAnsi="Arial" w:cs="Arial"/>
          <w:i/>
          <w:iCs/>
        </w:rPr>
        <w:t>avicennoides</w:t>
      </w:r>
      <w:proofErr w:type="spellEnd"/>
      <w:r w:rsidRPr="00266B15">
        <w:rPr>
          <w:rFonts w:ascii="Arial" w:hAnsi="Arial" w:cs="Arial"/>
        </w:rPr>
        <w:t xml:space="preserve"> and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rPr>
        <w:t xml:space="preserve"> and the roots of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rPr>
        <w:t>.</w:t>
      </w:r>
    </w:p>
    <w:p w14:paraId="18E42988" w14:textId="77777777" w:rsidR="00D73F21" w:rsidRPr="00266B15" w:rsidRDefault="00D73F21" w:rsidP="00D73F21">
      <w:pPr>
        <w:spacing w:line="360" w:lineRule="auto"/>
        <w:jc w:val="both"/>
        <w:rPr>
          <w:rFonts w:ascii="Arial" w:hAnsi="Arial" w:cs="Arial"/>
        </w:rPr>
      </w:pPr>
      <w:r w:rsidRPr="00266B15">
        <w:rPr>
          <w:rFonts w:ascii="Arial" w:hAnsi="Arial" w:cs="Arial"/>
        </w:rPr>
        <w:t>The chloroquine-sensitive reference strain 3D7 was used. These strains were stored in liquid nitrogen and maintained in continuous in vitro culture at the CNRFP pharmacognosy laboratory.</w:t>
      </w:r>
    </w:p>
    <w:p w14:paraId="041A0B32"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Bacterial reference strains: </w:t>
      </w:r>
      <w:r w:rsidRPr="00266B15">
        <w:rPr>
          <w:rFonts w:ascii="Arial" w:hAnsi="Arial" w:cs="Arial"/>
          <w:i/>
          <w:iCs/>
        </w:rPr>
        <w:t>Enterococcus faecalis; Staphylococcus aureus; Pseudomonas aeruginosa, Klebsiella pneumoniae; Escherichia coli; Staphylococcus epidermidis</w:t>
      </w:r>
      <w:r w:rsidRPr="00266B15">
        <w:rPr>
          <w:rFonts w:ascii="Arial" w:hAnsi="Arial" w:cs="Arial"/>
        </w:rPr>
        <w:t>.</w:t>
      </w:r>
    </w:p>
    <w:p w14:paraId="762C26E5"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Fungal reference strain: </w:t>
      </w:r>
      <w:r w:rsidRPr="00266B15">
        <w:rPr>
          <w:rFonts w:ascii="Arial" w:hAnsi="Arial" w:cs="Arial"/>
          <w:i/>
          <w:iCs/>
        </w:rPr>
        <w:t>Candida albicans</w:t>
      </w:r>
      <w:r w:rsidRPr="00266B15">
        <w:rPr>
          <w:rFonts w:ascii="Arial" w:hAnsi="Arial" w:cs="Arial"/>
        </w:rPr>
        <w:t>.</w:t>
      </w:r>
    </w:p>
    <w:p w14:paraId="16DD2611" w14:textId="77777777" w:rsidR="00D73F21" w:rsidRPr="00266B15" w:rsidRDefault="00D73F21" w:rsidP="00D73F21">
      <w:pPr>
        <w:spacing w:line="360" w:lineRule="auto"/>
        <w:jc w:val="both"/>
        <w:rPr>
          <w:rFonts w:ascii="Arial" w:hAnsi="Arial" w:cs="Arial"/>
        </w:rPr>
      </w:pPr>
      <w:r w:rsidRPr="00266B15">
        <w:rPr>
          <w:rFonts w:ascii="Arial" w:hAnsi="Arial" w:cs="Arial"/>
        </w:rPr>
        <w:t>NB: All plasmodial, bacterial, and fungal strains were kindly provided by MR4 through the BEI Resources section, NIAID, NIH of the United States of America.</w:t>
      </w:r>
    </w:p>
    <w:p w14:paraId="3D0A0BDB" w14:textId="77777777" w:rsidR="00D73F21" w:rsidRPr="00266B15" w:rsidRDefault="00D73F21" w:rsidP="00D73F21">
      <w:pPr>
        <w:spacing w:line="360" w:lineRule="auto"/>
        <w:jc w:val="both"/>
        <w:rPr>
          <w:rFonts w:ascii="Arial" w:hAnsi="Arial" w:cs="Arial"/>
        </w:rPr>
      </w:pPr>
    </w:p>
    <w:p w14:paraId="45759472" w14:textId="77777777" w:rsidR="00D73F21" w:rsidRPr="00266B15" w:rsidRDefault="00D73F21" w:rsidP="00D804EB">
      <w:pPr>
        <w:pStyle w:val="ListParagraph"/>
        <w:numPr>
          <w:ilvl w:val="1"/>
          <w:numId w:val="36"/>
        </w:numPr>
        <w:spacing w:line="360" w:lineRule="auto"/>
        <w:jc w:val="both"/>
        <w:rPr>
          <w:rFonts w:ascii="Arial" w:hAnsi="Arial" w:cs="Arial"/>
          <w:b/>
          <w:bCs/>
          <w:sz w:val="22"/>
          <w:szCs w:val="22"/>
        </w:rPr>
      </w:pPr>
      <w:r w:rsidRPr="00266B15">
        <w:rPr>
          <w:rFonts w:ascii="Arial" w:hAnsi="Arial" w:cs="Arial"/>
          <w:b/>
          <w:bCs/>
          <w:sz w:val="22"/>
          <w:szCs w:val="22"/>
        </w:rPr>
        <w:t>Methods</w:t>
      </w:r>
    </w:p>
    <w:p w14:paraId="4ACCA29E" w14:textId="77777777" w:rsidR="00D73F21" w:rsidRPr="00266B15" w:rsidRDefault="00D73F21" w:rsidP="00D804EB">
      <w:pPr>
        <w:pStyle w:val="ListParagraph"/>
        <w:numPr>
          <w:ilvl w:val="2"/>
          <w:numId w:val="36"/>
        </w:numPr>
        <w:spacing w:line="360" w:lineRule="auto"/>
        <w:jc w:val="both"/>
        <w:rPr>
          <w:rFonts w:ascii="Arial" w:hAnsi="Arial" w:cs="Arial"/>
          <w:b/>
          <w:bCs/>
          <w:sz w:val="20"/>
          <w:szCs w:val="20"/>
          <w:u w:val="single"/>
        </w:rPr>
      </w:pPr>
      <w:r w:rsidRPr="00266B15">
        <w:rPr>
          <w:rFonts w:ascii="Arial" w:hAnsi="Arial" w:cs="Arial"/>
          <w:b/>
          <w:bCs/>
          <w:sz w:val="20"/>
          <w:szCs w:val="20"/>
          <w:u w:val="single"/>
        </w:rPr>
        <w:t>Collection and extraction of plant material</w:t>
      </w:r>
    </w:p>
    <w:p w14:paraId="278772FF" w14:textId="77777777" w:rsidR="00D73F21" w:rsidRPr="00266B15" w:rsidRDefault="00D73F21" w:rsidP="00D73F21">
      <w:pPr>
        <w:spacing w:line="360" w:lineRule="auto"/>
        <w:jc w:val="both"/>
        <w:rPr>
          <w:rFonts w:ascii="Arial" w:hAnsi="Arial" w:cs="Arial"/>
        </w:rPr>
      </w:pPr>
      <w:r w:rsidRPr="00266B15">
        <w:rPr>
          <w:rFonts w:ascii="Arial" w:hAnsi="Arial" w:cs="Arial"/>
          <w:i/>
          <w:iCs/>
        </w:rPr>
        <w:t xml:space="preserve">Terminalia </w:t>
      </w:r>
      <w:proofErr w:type="spellStart"/>
      <w:r w:rsidRPr="00266B15">
        <w:rPr>
          <w:rFonts w:ascii="Arial" w:hAnsi="Arial" w:cs="Arial"/>
          <w:i/>
          <w:iCs/>
        </w:rPr>
        <w:t>avicennoides</w:t>
      </w:r>
      <w:proofErr w:type="spellEnd"/>
      <w:r w:rsidRPr="00266B15">
        <w:rPr>
          <w:rFonts w:ascii="Arial" w:hAnsi="Arial" w:cs="Arial"/>
        </w:rPr>
        <w:t xml:space="preserve"> leaves were collected in </w:t>
      </w:r>
      <w:proofErr w:type="spellStart"/>
      <w:r w:rsidRPr="00266B15">
        <w:rPr>
          <w:rFonts w:ascii="Arial" w:hAnsi="Arial" w:cs="Arial"/>
        </w:rPr>
        <w:t>Banfora</w:t>
      </w:r>
      <w:proofErr w:type="spellEnd"/>
      <w:r w:rsidRPr="00266B15">
        <w:rPr>
          <w:rFonts w:ascii="Arial" w:hAnsi="Arial" w:cs="Arial"/>
        </w:rPr>
        <w:t xml:space="preserve">.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i/>
          <w:iCs/>
        </w:rPr>
        <w:t xml:space="preserve"> and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i/>
          <w:iCs/>
        </w:rPr>
        <w:t xml:space="preserve"> roots</w:t>
      </w:r>
      <w:r w:rsidRPr="00266B15">
        <w:rPr>
          <w:rFonts w:ascii="Arial" w:hAnsi="Arial" w:cs="Arial"/>
        </w:rPr>
        <w:t xml:space="preserve"> were collected in Bobo-Dioulasso and Ouagadougou, respectively. Herbarium specimens were created to verify their identity.</w:t>
      </w:r>
    </w:p>
    <w:p w14:paraId="1253742F"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The freshly harvested plant material was dried in the laboratory until completely dry. The dried material was immediately ground into powder and stored in airtight containers, protected from light and at room temperature. </w:t>
      </w:r>
    </w:p>
    <w:p w14:paraId="269CF6DB" w14:textId="03DEB7F9" w:rsidR="00D73F21" w:rsidRPr="00266B15" w:rsidRDefault="00D73F21" w:rsidP="00D73F21">
      <w:pPr>
        <w:spacing w:line="360" w:lineRule="auto"/>
        <w:jc w:val="both"/>
        <w:rPr>
          <w:rFonts w:ascii="Arial" w:hAnsi="Arial" w:cs="Arial"/>
        </w:rPr>
      </w:pPr>
      <w:r w:rsidRPr="00266B15">
        <w:rPr>
          <w:rFonts w:ascii="Arial" w:hAnsi="Arial" w:cs="Arial"/>
        </w:rPr>
        <w:t xml:space="preserve">For biological activities, two types of extraction were performed: ethanol (100%) and ethanol water (80:20; </w:t>
      </w:r>
      <w:proofErr w:type="gramStart"/>
      <w:r w:rsidRPr="00266B15">
        <w:rPr>
          <w:rFonts w:ascii="Arial" w:hAnsi="Arial" w:cs="Arial"/>
        </w:rPr>
        <w:t>v:v</w:t>
      </w:r>
      <w:proofErr w:type="gramEnd"/>
      <w:r w:rsidRPr="00266B15">
        <w:rPr>
          <w:rFonts w:ascii="Arial" w:hAnsi="Arial" w:cs="Arial"/>
        </w:rPr>
        <w:t>). The powders were placed in vials containing the respective solvents in a ratio of 1:10 (g/mL)</w:t>
      </w:r>
      <w:r w:rsidR="00A870FD" w:rsidRPr="00266B15">
        <w:rPr>
          <w:rFonts w:ascii="Arial" w:hAnsi="Arial" w:cs="Arial"/>
        </w:rPr>
        <w:t xml:space="preserve"> </w:t>
      </w:r>
      <w:r w:rsidR="00A870FD" w:rsidRPr="00266B15">
        <w:rPr>
          <w:rFonts w:ascii="Arial" w:hAnsi="Arial" w:cs="Arial"/>
        </w:rPr>
        <w:fldChar w:fldCharType="begin"/>
      </w:r>
      <w:r w:rsidR="00A870FD" w:rsidRPr="00266B15">
        <w:rPr>
          <w:rFonts w:ascii="Arial" w:hAnsi="Arial" w:cs="Arial"/>
        </w:rPr>
        <w:instrText xml:space="preserve"> ADDIN ZOTERO_ITEM CSL_CITATION {"citationID":"z0M8xwb3","properties":{"formattedCitation":"(N\\uc0\\u8217{}do et al., 2024)","plainCitation":"(N’do et al., 2024)","noteIndex":0},"citationItems":[{"id":2004,"uris":["http://zotero.org/users/local/BtUUOrnL/items/Q4UHPM85"],"itemData":{"id":2004,"type":"article-journal","container-title":"Heliyon","DOI":"10.1016/j.heliyon.2024.e40159","ISSN":"2405-8440","issue":"21","journalAbbreviation":"Heliyon","language":"English","note":"publisher: Elsevier","source":"www.cell.com","title":"Comparative phytochemical profile and biological activity of three Terminalia species as alternative antimicrobial therapies","URL":"https://www.cell.com/heliyon/abstract/S2405-8440(24)16190-7","volume":"10","author":[{"family":"N'do","given":"Jotham Yhi-pênê"},{"family":"Paré","given":"Dramane"},{"family":"Bondé","given":"Loyapin"},{"family":"Hilou","given":"Adama"}],"accessed":{"date-parts":[["2025",9,19]]},"issued":{"date-parts":[["2024",11,15]]}}}],"schema":"https://github.com/citation-style-language/schema/raw/master/csl-citation.json"} </w:instrText>
      </w:r>
      <w:r w:rsidR="00A870FD" w:rsidRPr="00266B15">
        <w:rPr>
          <w:rFonts w:ascii="Arial" w:hAnsi="Arial" w:cs="Arial"/>
        </w:rPr>
        <w:fldChar w:fldCharType="separate"/>
      </w:r>
      <w:r w:rsidR="00A870FD" w:rsidRPr="00266B15">
        <w:rPr>
          <w:rFonts w:ascii="Arial" w:hAnsi="Arial" w:cs="Arial"/>
          <w:szCs w:val="24"/>
        </w:rPr>
        <w:t>(N’do et al., 2024)</w:t>
      </w:r>
      <w:r w:rsidR="00A870FD" w:rsidRPr="00266B15">
        <w:rPr>
          <w:rFonts w:ascii="Arial" w:hAnsi="Arial" w:cs="Arial"/>
        </w:rPr>
        <w:fldChar w:fldCharType="end"/>
      </w:r>
      <w:r w:rsidRPr="00266B15">
        <w:rPr>
          <w:rFonts w:ascii="Arial" w:hAnsi="Arial" w:cs="Arial"/>
        </w:rPr>
        <w:t>. The mixtures were shaken at room temperature for 48 hours. The extracts were filtered on Whatman paper and concentrated under vacuum in a rotary evaporator</w:t>
      </w:r>
      <w:r w:rsidR="001F3914" w:rsidRPr="00266B15">
        <w:rPr>
          <w:rFonts w:ascii="Arial" w:hAnsi="Arial" w:cs="Arial"/>
        </w:rPr>
        <w:t xml:space="preserve"> </w:t>
      </w:r>
      <w:r w:rsidR="001F3914" w:rsidRPr="00266B15">
        <w:rPr>
          <w:rFonts w:ascii="Arial" w:hAnsi="Arial" w:cs="Arial"/>
        </w:rPr>
        <w:fldChar w:fldCharType="begin"/>
      </w:r>
      <w:r w:rsidR="001F3914" w:rsidRPr="00266B15">
        <w:rPr>
          <w:rFonts w:ascii="Arial" w:hAnsi="Arial" w:cs="Arial"/>
        </w:rPr>
        <w:instrText xml:space="preserve"> ADDIN ZOTERO_ITEM CSL_CITATION {"citationID":"z0M8xwb3","properties":{"formattedCitation":"(N\\uc0\\u8217{}do et al., 2024)","plainCitation":"(N’do et al., 2024)","noteIndex":0},"citationItems":[{"id":2004,"uris":["http://zotero.org/users/local/BtUUOrnL/items/Q4UHPM85"],"itemData":{"id":2004,"type":"article-journal","container-title":"Heliyon","DOI":"10.1016/j.heliyon.2024.e40159","ISSN":"2405-8440","issue":"21","journalAbbreviation":"Heliyon","language":"English","note":"publisher: Elsevier","source":"www.cell.com","title":"Comparative phytochemical profile and biological activity of three Terminalia species as alternative antimicrobial therapies","URL":"https://www.cell.com/heliyon/abstract/S2405-8440(24)16190-7","volume":"10","author":[{"family":"N'do","given":"Jotham Yhi-pênê"},{"family":"Paré","given":"Dramane"},{"family":"Bondé","given":"Loyapin"},{"family":"Hilou","given":"Adama"}],"accessed":{"date-parts":[["2025",9,19]]},"issued":{"date-parts":[["2024",11,15]]}}}],"schema":"https://github.com/citation-style-language/schema/raw/master/csl-citation.json"} </w:instrText>
      </w:r>
      <w:r w:rsidR="001F3914" w:rsidRPr="00266B15">
        <w:rPr>
          <w:rFonts w:ascii="Arial" w:hAnsi="Arial" w:cs="Arial"/>
        </w:rPr>
        <w:fldChar w:fldCharType="separate"/>
      </w:r>
      <w:r w:rsidR="001F3914" w:rsidRPr="00266B15">
        <w:rPr>
          <w:rFonts w:ascii="Arial" w:hAnsi="Arial" w:cs="Arial"/>
          <w:szCs w:val="24"/>
        </w:rPr>
        <w:t>(N’do et al., 2024)</w:t>
      </w:r>
      <w:r w:rsidR="001F3914" w:rsidRPr="00266B15">
        <w:rPr>
          <w:rFonts w:ascii="Arial" w:hAnsi="Arial" w:cs="Arial"/>
        </w:rPr>
        <w:fldChar w:fldCharType="end"/>
      </w:r>
      <w:r w:rsidR="001F3914" w:rsidRPr="00266B15" w:rsidDel="001F3914">
        <w:rPr>
          <w:rFonts w:ascii="Arial" w:hAnsi="Arial" w:cs="Arial"/>
        </w:rPr>
        <w:t xml:space="preserve"> </w:t>
      </w:r>
    </w:p>
    <w:p w14:paraId="6EB709D8" w14:textId="77777777" w:rsidR="00D73F21" w:rsidRPr="00266B15" w:rsidRDefault="00D73F21" w:rsidP="00D73F21">
      <w:pPr>
        <w:spacing w:line="360" w:lineRule="auto"/>
        <w:jc w:val="both"/>
        <w:rPr>
          <w:rFonts w:ascii="Arial" w:hAnsi="Arial" w:cs="Arial"/>
        </w:rPr>
      </w:pPr>
      <w:r w:rsidRPr="00266B15">
        <w:rPr>
          <w:rFonts w:ascii="Arial" w:hAnsi="Arial" w:cs="Arial"/>
        </w:rPr>
        <w:t>The yields (R) of the extractions were calculated using the following formula:</w:t>
      </w:r>
    </w:p>
    <w:p w14:paraId="7F019EF2" w14:textId="77777777" w:rsidR="00D73F21" w:rsidRPr="00266B15" w:rsidRDefault="00D73F21" w:rsidP="00D73F21">
      <w:pPr>
        <w:spacing w:line="360" w:lineRule="auto"/>
        <w:jc w:val="both"/>
        <w:rPr>
          <w:rFonts w:ascii="Arial" w:hAnsi="Arial" w:cs="Arial"/>
          <w:bCs/>
        </w:rPr>
      </w:pPr>
      <m:oMathPara>
        <m:oMathParaPr>
          <m:jc m:val="left"/>
        </m:oMathParaPr>
        <m:oMath>
          <m:r>
            <m:rPr>
              <m:sty m:val="bi"/>
            </m:rPr>
            <w:rPr>
              <w:rFonts w:ascii="Cambria Math" w:hAnsi="Cambria Math" w:cs="Arial"/>
            </w:rPr>
            <m:t>R</m:t>
          </m:r>
          <m:r>
            <w:rPr>
              <w:rFonts w:ascii="Cambria Math" w:hAnsi="Cambria Math" w:cs="Arial"/>
            </w:rPr>
            <m:t>=</m:t>
          </m:r>
          <m:f>
            <m:fPr>
              <m:ctrlPr>
                <w:rPr>
                  <w:rFonts w:ascii="Cambria Math" w:hAnsi="Cambria Math" w:cs="Arial"/>
                  <w:bCs/>
                  <w:i/>
                </w:rPr>
              </m:ctrlPr>
            </m:fPr>
            <m:num>
              <m:r>
                <m:rPr>
                  <m:sty m:val="p"/>
                </m:rPr>
                <w:rPr>
                  <w:rFonts w:ascii="Cambria Math" w:hAnsi="Cambria Math" w:cs="Arial"/>
                </w:rPr>
                <m:t>Mass of extract</m:t>
              </m:r>
            </m:num>
            <m:den>
              <m:r>
                <m:rPr>
                  <m:sty m:val="p"/>
                </m:rPr>
                <w:rPr>
                  <w:rFonts w:ascii="Cambria Math" w:hAnsi="Cambria Math" w:cs="Arial"/>
                </w:rPr>
                <m:t>Extrated mass</m:t>
              </m:r>
            </m:den>
          </m:f>
          <m:r>
            <w:rPr>
              <w:rFonts w:ascii="Cambria Math" w:hAnsi="Cambria Math" w:cs="Arial"/>
            </w:rPr>
            <m:t>*100</m:t>
          </m:r>
        </m:oMath>
      </m:oMathPara>
    </w:p>
    <w:p w14:paraId="7C3BB74D" w14:textId="77777777" w:rsidR="00D73F21" w:rsidRPr="00266B15" w:rsidRDefault="00D73F21" w:rsidP="00D73F21">
      <w:pPr>
        <w:spacing w:line="360" w:lineRule="auto"/>
        <w:jc w:val="both"/>
        <w:rPr>
          <w:rFonts w:ascii="Arial" w:hAnsi="Arial" w:cs="Arial"/>
        </w:rPr>
      </w:pPr>
    </w:p>
    <w:p w14:paraId="19F3FBE3" w14:textId="77777777" w:rsidR="00D73F21" w:rsidRPr="00266B15" w:rsidRDefault="00D73F21" w:rsidP="00D804EB">
      <w:pPr>
        <w:pStyle w:val="ListParagraph"/>
        <w:numPr>
          <w:ilvl w:val="2"/>
          <w:numId w:val="36"/>
        </w:numPr>
        <w:spacing w:line="360" w:lineRule="auto"/>
        <w:jc w:val="both"/>
        <w:rPr>
          <w:rFonts w:ascii="Arial" w:hAnsi="Arial" w:cs="Arial"/>
          <w:b/>
          <w:bCs/>
          <w:sz w:val="20"/>
          <w:szCs w:val="20"/>
          <w:u w:val="single"/>
        </w:rPr>
      </w:pPr>
      <w:r w:rsidRPr="00266B15">
        <w:rPr>
          <w:rFonts w:ascii="Arial" w:hAnsi="Arial" w:cs="Arial"/>
          <w:b/>
          <w:bCs/>
          <w:sz w:val="20"/>
          <w:szCs w:val="20"/>
          <w:u w:val="single"/>
        </w:rPr>
        <w:t>Phytochemical study</w:t>
      </w:r>
    </w:p>
    <w:p w14:paraId="4012F122" w14:textId="77777777" w:rsidR="00D73F21" w:rsidRPr="00266B15" w:rsidRDefault="00D73F21" w:rsidP="00D804EB">
      <w:pPr>
        <w:pStyle w:val="ListParagraph"/>
        <w:numPr>
          <w:ilvl w:val="3"/>
          <w:numId w:val="36"/>
        </w:numPr>
        <w:spacing w:line="360" w:lineRule="auto"/>
        <w:jc w:val="both"/>
        <w:rPr>
          <w:rFonts w:ascii="Arial" w:hAnsi="Arial" w:cs="Arial"/>
          <w:b/>
          <w:bCs/>
          <w:i/>
          <w:iCs/>
          <w:sz w:val="20"/>
          <w:szCs w:val="20"/>
        </w:rPr>
      </w:pPr>
      <w:r w:rsidRPr="00266B15">
        <w:rPr>
          <w:rFonts w:ascii="Arial" w:hAnsi="Arial" w:cs="Arial"/>
          <w:b/>
          <w:bCs/>
          <w:i/>
          <w:iCs/>
          <w:sz w:val="20"/>
          <w:szCs w:val="20"/>
        </w:rPr>
        <w:t>Phytochemical characterization</w:t>
      </w:r>
    </w:p>
    <w:p w14:paraId="31B96BA3" w14:textId="77777777" w:rsidR="00D73F21" w:rsidRPr="00266B15" w:rsidRDefault="00D73F21" w:rsidP="00D73F21">
      <w:pPr>
        <w:spacing w:line="360" w:lineRule="auto"/>
        <w:jc w:val="both"/>
        <w:rPr>
          <w:rFonts w:ascii="Arial" w:hAnsi="Arial" w:cs="Arial"/>
        </w:rPr>
      </w:pPr>
      <w:r w:rsidRPr="00266B15">
        <w:rPr>
          <w:rFonts w:ascii="Arial" w:hAnsi="Arial" w:cs="Arial"/>
        </w:rPr>
        <w:lastRenderedPageBreak/>
        <w:t>The objective is to identify the chemical groups in plant extracts using simple qualitative tests (</w:t>
      </w:r>
      <w:proofErr w:type="spellStart"/>
      <w:r w:rsidRPr="00266B15">
        <w:rPr>
          <w:rFonts w:ascii="Arial" w:hAnsi="Arial" w:cs="Arial"/>
        </w:rPr>
        <w:t>Ciulei</w:t>
      </w:r>
      <w:proofErr w:type="spellEnd"/>
      <w:r w:rsidRPr="00266B15">
        <w:rPr>
          <w:rFonts w:ascii="Arial" w:hAnsi="Arial" w:cs="Arial"/>
        </w:rPr>
        <w:t>, 1982).</w:t>
      </w:r>
    </w:p>
    <w:p w14:paraId="31630E3A"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Alkaloids were detected using the Dragendorff test. </w:t>
      </w:r>
    </w:p>
    <w:p w14:paraId="4025A1E2" w14:textId="77777777" w:rsidR="00D73F21" w:rsidRPr="00266B15" w:rsidRDefault="00D73F21" w:rsidP="00D73F21">
      <w:pPr>
        <w:spacing w:line="360" w:lineRule="auto"/>
        <w:jc w:val="both"/>
        <w:rPr>
          <w:rFonts w:ascii="Arial" w:hAnsi="Arial" w:cs="Arial"/>
        </w:rPr>
      </w:pPr>
      <w:r w:rsidRPr="00266B15">
        <w:rPr>
          <w:rFonts w:ascii="Arial" w:hAnsi="Arial" w:cs="Arial"/>
        </w:rPr>
        <w:t>Tannins and polyphenols were detected using the FeCl</w:t>
      </w:r>
      <w:r w:rsidRPr="00266B15">
        <w:rPr>
          <w:rFonts w:ascii="Arial" w:hAnsi="Arial" w:cs="Arial"/>
          <w:vertAlign w:val="subscript"/>
        </w:rPr>
        <w:t>3</w:t>
      </w:r>
      <w:r w:rsidRPr="00266B15">
        <w:rPr>
          <w:rFonts w:ascii="Arial" w:hAnsi="Arial" w:cs="Arial"/>
        </w:rPr>
        <w:t xml:space="preserve"> test.</w:t>
      </w:r>
    </w:p>
    <w:p w14:paraId="7EC03AA2" w14:textId="77777777" w:rsidR="00D73F21" w:rsidRPr="00266B15" w:rsidRDefault="00D73F21" w:rsidP="00D73F21">
      <w:pPr>
        <w:spacing w:line="360" w:lineRule="auto"/>
        <w:jc w:val="both"/>
        <w:rPr>
          <w:rFonts w:ascii="Arial" w:hAnsi="Arial" w:cs="Arial"/>
        </w:rPr>
      </w:pPr>
      <w:r w:rsidRPr="00266B15">
        <w:rPr>
          <w:rFonts w:ascii="Arial" w:hAnsi="Arial" w:cs="Arial"/>
        </w:rPr>
        <w:t>Flavonoids were detected using the Shibata test.</w:t>
      </w:r>
    </w:p>
    <w:p w14:paraId="2F964965" w14:textId="77777777" w:rsidR="00D73F21" w:rsidRPr="00266B15" w:rsidRDefault="00D73F21" w:rsidP="00D73F21">
      <w:pPr>
        <w:spacing w:line="360" w:lineRule="auto"/>
        <w:jc w:val="both"/>
        <w:rPr>
          <w:rFonts w:ascii="Arial" w:hAnsi="Arial" w:cs="Arial"/>
        </w:rPr>
      </w:pPr>
      <w:r w:rsidRPr="00266B15">
        <w:rPr>
          <w:rFonts w:ascii="Arial" w:hAnsi="Arial" w:cs="Arial"/>
        </w:rPr>
        <w:t>Saponins were detected using the foam test.</w:t>
      </w:r>
    </w:p>
    <w:p w14:paraId="338A7AF0" w14:textId="77777777" w:rsidR="00D73F21" w:rsidRPr="00266B15" w:rsidRDefault="00D73F21" w:rsidP="00D73F21">
      <w:pPr>
        <w:spacing w:line="360" w:lineRule="auto"/>
        <w:jc w:val="both"/>
        <w:rPr>
          <w:rFonts w:ascii="Arial" w:hAnsi="Arial" w:cs="Arial"/>
        </w:rPr>
      </w:pPr>
      <w:r w:rsidRPr="00266B15">
        <w:rPr>
          <w:rFonts w:ascii="Arial" w:hAnsi="Arial" w:cs="Arial"/>
        </w:rPr>
        <w:t>Quinones were detected using an alkaline reaction.</w:t>
      </w:r>
    </w:p>
    <w:p w14:paraId="629B1B75" w14:textId="77777777" w:rsidR="00D73F21" w:rsidRPr="00266B15" w:rsidRDefault="00D73F21" w:rsidP="00D804EB">
      <w:pPr>
        <w:pStyle w:val="ListParagraph"/>
        <w:numPr>
          <w:ilvl w:val="3"/>
          <w:numId w:val="36"/>
        </w:numPr>
        <w:spacing w:line="360" w:lineRule="auto"/>
        <w:jc w:val="both"/>
        <w:rPr>
          <w:rFonts w:ascii="Arial" w:hAnsi="Arial" w:cs="Arial"/>
          <w:b/>
          <w:bCs/>
          <w:i/>
          <w:iCs/>
          <w:sz w:val="20"/>
          <w:szCs w:val="20"/>
        </w:rPr>
      </w:pPr>
      <w:r w:rsidRPr="00266B15">
        <w:rPr>
          <w:rFonts w:ascii="Arial" w:hAnsi="Arial" w:cs="Arial"/>
          <w:b/>
          <w:bCs/>
          <w:i/>
          <w:iCs/>
          <w:sz w:val="20"/>
          <w:szCs w:val="20"/>
        </w:rPr>
        <w:t>Quantitative analysis</w:t>
      </w:r>
    </w:p>
    <w:p w14:paraId="73794246" w14:textId="77777777" w:rsidR="00D73F21" w:rsidRPr="00266B15" w:rsidRDefault="00D73F21" w:rsidP="00D804EB">
      <w:pPr>
        <w:pStyle w:val="ListParagraph"/>
        <w:numPr>
          <w:ilvl w:val="4"/>
          <w:numId w:val="36"/>
        </w:numPr>
        <w:spacing w:line="360" w:lineRule="auto"/>
        <w:jc w:val="both"/>
        <w:rPr>
          <w:rFonts w:ascii="Arial" w:hAnsi="Arial" w:cs="Arial"/>
          <w:b/>
          <w:bCs/>
          <w:sz w:val="20"/>
          <w:szCs w:val="20"/>
        </w:rPr>
      </w:pPr>
      <w:r w:rsidRPr="00266B15">
        <w:rPr>
          <w:rFonts w:ascii="Arial" w:hAnsi="Arial" w:cs="Arial"/>
          <w:b/>
          <w:bCs/>
          <w:sz w:val="20"/>
          <w:szCs w:val="20"/>
        </w:rPr>
        <w:t>Total phenolic content</w:t>
      </w:r>
    </w:p>
    <w:p w14:paraId="0DF0716B"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The total phenolic content was measured using the method described by Singleton et al. (1999), based on the high </w:t>
      </w:r>
      <w:proofErr w:type="spellStart"/>
      <w:r w:rsidRPr="00266B15">
        <w:rPr>
          <w:rFonts w:ascii="Arial" w:hAnsi="Arial" w:cs="Arial"/>
        </w:rPr>
        <w:t>oxidizability</w:t>
      </w:r>
      <w:proofErr w:type="spellEnd"/>
      <w:r w:rsidRPr="00266B15">
        <w:rPr>
          <w:rFonts w:ascii="Arial" w:hAnsi="Arial" w:cs="Arial"/>
        </w:rPr>
        <w:t xml:space="preserve"> of phenolic compounds. These compounds are evaluated by their ability to reduce </w:t>
      </w:r>
      <w:proofErr w:type="spellStart"/>
      <w:r w:rsidRPr="00266B15">
        <w:rPr>
          <w:rFonts w:ascii="Arial" w:hAnsi="Arial" w:cs="Arial"/>
        </w:rPr>
        <w:t>Folin-Ciocalteu</w:t>
      </w:r>
      <w:proofErr w:type="spellEnd"/>
      <w:r w:rsidRPr="00266B15">
        <w:rPr>
          <w:rFonts w:ascii="Arial" w:hAnsi="Arial" w:cs="Arial"/>
        </w:rPr>
        <w:t xml:space="preserve"> reagent (FCR), which reacts with the OH functions of phenols. Gallic acid was used as a standard. After 30 min of reaction at room temperature, the absorbance was measured at 765 nm. </w:t>
      </w:r>
    </w:p>
    <w:p w14:paraId="5C3BBE42" w14:textId="77777777" w:rsidR="00D73F21" w:rsidRPr="00266B15" w:rsidRDefault="00D73F21" w:rsidP="00D73F21">
      <w:pPr>
        <w:spacing w:line="360" w:lineRule="auto"/>
        <w:jc w:val="both"/>
        <w:rPr>
          <w:rFonts w:ascii="Arial" w:hAnsi="Arial" w:cs="Arial"/>
        </w:rPr>
      </w:pPr>
      <w:r w:rsidRPr="00266B15">
        <w:rPr>
          <w:rFonts w:ascii="Arial" w:hAnsi="Arial" w:cs="Arial"/>
        </w:rPr>
        <w:t>The tests were performed in triplicate to ensure reproducibility of the results. The total phenolic compound content was expressed in mg of gallic acid equivalents per gram of sample.</w:t>
      </w:r>
    </w:p>
    <w:p w14:paraId="7AFEC024" w14:textId="77777777" w:rsidR="00D73F21" w:rsidRPr="00266B15" w:rsidRDefault="00D73F21" w:rsidP="00D804EB">
      <w:pPr>
        <w:pStyle w:val="ListParagraph"/>
        <w:numPr>
          <w:ilvl w:val="4"/>
          <w:numId w:val="36"/>
        </w:numPr>
        <w:spacing w:line="360" w:lineRule="auto"/>
        <w:jc w:val="both"/>
        <w:rPr>
          <w:rFonts w:ascii="Arial" w:hAnsi="Arial" w:cs="Arial"/>
          <w:b/>
          <w:bCs/>
          <w:sz w:val="20"/>
          <w:szCs w:val="20"/>
        </w:rPr>
      </w:pPr>
      <w:r w:rsidRPr="00266B15">
        <w:rPr>
          <w:rFonts w:ascii="Arial" w:hAnsi="Arial" w:cs="Arial"/>
          <w:b/>
          <w:bCs/>
          <w:sz w:val="20"/>
          <w:szCs w:val="20"/>
        </w:rPr>
        <w:t>Total flavonoid assay</w:t>
      </w:r>
    </w:p>
    <w:p w14:paraId="1A1E20F0" w14:textId="77777777" w:rsidR="00D73F21" w:rsidRPr="00266B15" w:rsidRDefault="00D73F21" w:rsidP="00D73F21">
      <w:pPr>
        <w:spacing w:line="360" w:lineRule="auto"/>
        <w:jc w:val="both"/>
        <w:rPr>
          <w:rFonts w:ascii="Arial" w:hAnsi="Arial" w:cs="Arial"/>
        </w:rPr>
      </w:pPr>
      <w:r w:rsidRPr="00266B15">
        <w:rPr>
          <w:rFonts w:ascii="Arial" w:hAnsi="Arial" w:cs="Arial"/>
        </w:rPr>
        <w:t>In a test tube, 1 mL of extract from each plant was mixed with 1 mL of 2% aluminum chloride solution (</w:t>
      </w:r>
      <w:proofErr w:type="spellStart"/>
      <w:r w:rsidRPr="00266B15">
        <w:rPr>
          <w:rFonts w:ascii="Arial" w:hAnsi="Arial" w:cs="Arial"/>
        </w:rPr>
        <w:t>AlCl</w:t>
      </w:r>
      <w:proofErr w:type="spellEnd"/>
      <w:r w:rsidRPr="00266B15">
        <w:rPr>
          <w:rFonts w:ascii="Cambria Math" w:hAnsi="Cambria Math" w:cs="Cambria Math"/>
        </w:rPr>
        <w:t>₃</w:t>
      </w:r>
      <w:r w:rsidRPr="00266B15">
        <w:rPr>
          <w:rFonts w:ascii="Arial" w:hAnsi="Arial" w:cs="Arial"/>
        </w:rPr>
        <w:t>). After incubation for 10 min at room temperature, the absorbance was measured at 415 nm. Flavonoid concentrations were determined in mg of quercetin equivalents per gram of dry extract, using a calibration curve obtained under the same reaction conditions with quercetin as a standard (N’do et al., 2024).</w:t>
      </w:r>
    </w:p>
    <w:p w14:paraId="10E25468" w14:textId="77777777" w:rsidR="00D73F21" w:rsidRPr="00266B15" w:rsidRDefault="00D73F21" w:rsidP="00D73F21">
      <w:pPr>
        <w:spacing w:line="360" w:lineRule="auto"/>
        <w:jc w:val="both"/>
        <w:rPr>
          <w:rFonts w:ascii="Arial" w:hAnsi="Arial" w:cs="Arial"/>
          <w:b/>
          <w:bCs/>
        </w:rPr>
      </w:pPr>
    </w:p>
    <w:p w14:paraId="55CCDC9E" w14:textId="77777777" w:rsidR="00D73F21" w:rsidRPr="00266B15" w:rsidRDefault="00D73F21" w:rsidP="00D804EB">
      <w:pPr>
        <w:pStyle w:val="ListParagraph"/>
        <w:numPr>
          <w:ilvl w:val="4"/>
          <w:numId w:val="36"/>
        </w:numPr>
        <w:spacing w:line="360" w:lineRule="auto"/>
        <w:jc w:val="both"/>
        <w:rPr>
          <w:rFonts w:ascii="Arial" w:hAnsi="Arial" w:cs="Arial"/>
          <w:b/>
          <w:bCs/>
          <w:sz w:val="20"/>
          <w:szCs w:val="20"/>
        </w:rPr>
      </w:pPr>
      <w:r w:rsidRPr="00266B15">
        <w:rPr>
          <w:rFonts w:ascii="Arial" w:hAnsi="Arial" w:cs="Arial"/>
          <w:b/>
          <w:bCs/>
          <w:sz w:val="20"/>
          <w:szCs w:val="20"/>
        </w:rPr>
        <w:t>Flavonol assay</w:t>
      </w:r>
    </w:p>
    <w:p w14:paraId="2F387423"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The total flavonol content of the extracts was estimated using the method described by (Almaraz-Abarca et al., 2007). A volume of 100 </w:t>
      </w:r>
      <w:r w:rsidRPr="00266B15">
        <w:rPr>
          <w:rFonts w:ascii="Arial" w:hAnsi="Arial" w:cs="Arial"/>
          <w:lang w:val="fr-FR"/>
        </w:rPr>
        <w:t>μ</w:t>
      </w:r>
      <w:r w:rsidRPr="00266B15">
        <w:rPr>
          <w:rFonts w:ascii="Arial" w:hAnsi="Arial" w:cs="Arial"/>
        </w:rPr>
        <w:t xml:space="preserve">L of 20% AlCl3 in methanol is mixed with an equal volume of extract at 200 µg/mL in methanol. For each sample, a blank is made by mixing 100 </w:t>
      </w:r>
      <w:r w:rsidRPr="00266B15">
        <w:rPr>
          <w:rFonts w:ascii="Arial" w:hAnsi="Arial" w:cs="Arial"/>
          <w:lang w:val="fr-FR"/>
        </w:rPr>
        <w:t>μ</w:t>
      </w:r>
      <w:r w:rsidRPr="00266B15">
        <w:rPr>
          <w:rFonts w:ascii="Arial" w:hAnsi="Arial" w:cs="Arial"/>
        </w:rPr>
        <w:t xml:space="preserve">L of extract with an equal volume of methanol. The optical densities are read after 10 min at 425 nm using a spectrophotometer against a rutin standard curve (0-100 </w:t>
      </w:r>
      <w:r w:rsidRPr="00266B15">
        <w:rPr>
          <w:rFonts w:ascii="Arial" w:hAnsi="Arial" w:cs="Arial"/>
          <w:lang w:val="fr-FR"/>
        </w:rPr>
        <w:t>μ</w:t>
      </w:r>
      <w:r w:rsidRPr="00266B15">
        <w:rPr>
          <w:rFonts w:ascii="Arial" w:hAnsi="Arial" w:cs="Arial"/>
        </w:rPr>
        <w:t>g/mL). The values are expressed in mg Rutin Equivalents (RE)/100 mg.</w:t>
      </w:r>
    </w:p>
    <w:p w14:paraId="23CC3B48" w14:textId="77777777" w:rsidR="00D73F21" w:rsidRPr="00266B15" w:rsidRDefault="00D73F21" w:rsidP="00D804EB">
      <w:pPr>
        <w:pStyle w:val="ListParagraph"/>
        <w:numPr>
          <w:ilvl w:val="3"/>
          <w:numId w:val="36"/>
        </w:numPr>
        <w:spacing w:line="360" w:lineRule="auto"/>
        <w:jc w:val="both"/>
        <w:rPr>
          <w:rFonts w:ascii="Arial" w:hAnsi="Arial" w:cs="Arial"/>
          <w:b/>
          <w:bCs/>
          <w:i/>
          <w:iCs/>
          <w:sz w:val="20"/>
          <w:szCs w:val="20"/>
        </w:rPr>
      </w:pPr>
      <w:r w:rsidRPr="00266B15">
        <w:rPr>
          <w:rFonts w:ascii="Arial" w:hAnsi="Arial" w:cs="Arial"/>
          <w:b/>
          <w:bCs/>
          <w:i/>
          <w:iCs/>
          <w:sz w:val="20"/>
          <w:szCs w:val="20"/>
        </w:rPr>
        <w:t>Thin-layer chromatography</w:t>
      </w:r>
    </w:p>
    <w:p w14:paraId="6D0B0774"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Thin-layer analytical chromatography plates (60F254, 20×10 cm) were used to analyze the extracts. The plates were developed in conventional glass chambers (CAMAG), whose atmosphere had been previously saturated with vapors from the mobile phase. The solvent </w:t>
      </w:r>
      <w:r w:rsidRPr="00266B15">
        <w:rPr>
          <w:rFonts w:ascii="Arial" w:hAnsi="Arial" w:cs="Arial"/>
        </w:rPr>
        <w:lastRenderedPageBreak/>
        <w:t>system consisted of ethyl acetate-formic acid-water 80:10:10 (v/v). The spots were revealed at UV 254/365 nm before and after spraying with the NEU reagent. Rutin, quercetin, and gallic acid were used as reference compounds.</w:t>
      </w:r>
    </w:p>
    <w:p w14:paraId="5B29E639" w14:textId="77777777" w:rsidR="00D73F21" w:rsidRPr="00266B15" w:rsidRDefault="00D73F21" w:rsidP="00D73F21">
      <w:pPr>
        <w:spacing w:line="360" w:lineRule="auto"/>
        <w:jc w:val="both"/>
        <w:rPr>
          <w:rFonts w:ascii="Arial" w:hAnsi="Arial" w:cs="Arial"/>
        </w:rPr>
      </w:pPr>
    </w:p>
    <w:p w14:paraId="717206ED" w14:textId="77777777" w:rsidR="00D73F21" w:rsidRPr="00266B15" w:rsidRDefault="00D73F21" w:rsidP="00D804EB">
      <w:pPr>
        <w:pStyle w:val="ListParagraph"/>
        <w:numPr>
          <w:ilvl w:val="2"/>
          <w:numId w:val="36"/>
        </w:numPr>
        <w:spacing w:line="360" w:lineRule="auto"/>
        <w:jc w:val="both"/>
        <w:rPr>
          <w:rFonts w:ascii="Arial" w:hAnsi="Arial" w:cs="Arial"/>
          <w:b/>
          <w:bCs/>
          <w:sz w:val="20"/>
          <w:szCs w:val="20"/>
          <w:u w:val="single"/>
        </w:rPr>
      </w:pPr>
      <w:r w:rsidRPr="00266B15">
        <w:rPr>
          <w:rFonts w:ascii="Arial" w:hAnsi="Arial" w:cs="Arial"/>
          <w:b/>
          <w:bCs/>
          <w:sz w:val="20"/>
          <w:szCs w:val="20"/>
          <w:u w:val="single"/>
        </w:rPr>
        <w:t>Biological activities</w:t>
      </w:r>
    </w:p>
    <w:p w14:paraId="3E80935B" w14:textId="77777777" w:rsidR="00D73F21" w:rsidRPr="00266B15" w:rsidRDefault="00D73F21" w:rsidP="00D804EB">
      <w:pPr>
        <w:pStyle w:val="ListParagraph"/>
        <w:numPr>
          <w:ilvl w:val="3"/>
          <w:numId w:val="36"/>
        </w:numPr>
        <w:spacing w:line="360" w:lineRule="auto"/>
        <w:jc w:val="both"/>
        <w:rPr>
          <w:rFonts w:ascii="Arial" w:hAnsi="Arial" w:cs="Arial"/>
          <w:b/>
          <w:bCs/>
          <w:i/>
          <w:iCs/>
          <w:sz w:val="20"/>
          <w:szCs w:val="20"/>
        </w:rPr>
      </w:pPr>
      <w:r w:rsidRPr="00266B15">
        <w:rPr>
          <w:rFonts w:ascii="Arial" w:hAnsi="Arial" w:cs="Arial"/>
          <w:b/>
          <w:bCs/>
          <w:i/>
          <w:iCs/>
          <w:sz w:val="20"/>
          <w:szCs w:val="20"/>
        </w:rPr>
        <w:t>Cytotoxicity assessment</w:t>
      </w:r>
    </w:p>
    <w:p w14:paraId="65A1DB34" w14:textId="77777777" w:rsidR="00D73F21" w:rsidRPr="00266B15" w:rsidRDefault="00D73F21" w:rsidP="00D73F21">
      <w:pPr>
        <w:spacing w:line="360" w:lineRule="auto"/>
        <w:jc w:val="both"/>
        <w:rPr>
          <w:rFonts w:ascii="Arial" w:hAnsi="Arial" w:cs="Arial"/>
        </w:rPr>
      </w:pPr>
      <w:r w:rsidRPr="00266B15">
        <w:rPr>
          <w:rFonts w:ascii="Arial" w:hAnsi="Arial" w:cs="Arial"/>
        </w:rPr>
        <w:t>The cytotoxicity of plant extracts was estimated based on their hemolytic power according to the method described by (</w:t>
      </w:r>
      <w:proofErr w:type="spellStart"/>
      <w:r w:rsidRPr="00266B15">
        <w:rPr>
          <w:rFonts w:ascii="Arial" w:hAnsi="Arial" w:cs="Arial"/>
        </w:rPr>
        <w:t>Haddouchi</w:t>
      </w:r>
      <w:proofErr w:type="spellEnd"/>
      <w:r w:rsidRPr="00266B15">
        <w:rPr>
          <w:rFonts w:ascii="Arial" w:hAnsi="Arial" w:cs="Arial"/>
        </w:rPr>
        <w:t xml:space="preserve"> et al., 2018) at a concentration of 100 </w:t>
      </w:r>
      <w:r w:rsidRPr="00266B15">
        <w:rPr>
          <w:rFonts w:ascii="Arial" w:hAnsi="Arial" w:cs="Arial"/>
          <w:lang w:val="fr-FR"/>
        </w:rPr>
        <w:t>μ</w:t>
      </w:r>
      <w:r w:rsidRPr="00266B15">
        <w:rPr>
          <w:rFonts w:ascii="Arial" w:hAnsi="Arial" w:cs="Arial"/>
        </w:rPr>
        <w:t xml:space="preserve">g/mL on a suspension of human blood erythrocytes in PBS (phosphate-buffered saline) at pH 7.4. </w:t>
      </w:r>
    </w:p>
    <w:p w14:paraId="0D634F3B"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Exposure of red blood cells to certain physicochemical parameters such as a hypotonic environment the use of a membrane disruptor such as detergents or reactive oxygen species causes a rupture of its cytoplasmic membrane, thus causing the release of hemoglobin. A reading of the absorbance with a spectrophotometer allows the rate of red blood cell hemolysis to be estimated. </w:t>
      </w:r>
    </w:p>
    <w:p w14:paraId="35E34F25" w14:textId="77777777" w:rsidR="00D73F21" w:rsidRPr="00266B15" w:rsidRDefault="00D73F21" w:rsidP="00D73F21">
      <w:pPr>
        <w:pStyle w:val="ListParagraph"/>
        <w:numPr>
          <w:ilvl w:val="0"/>
          <w:numId w:val="31"/>
        </w:numPr>
        <w:spacing w:line="360" w:lineRule="auto"/>
        <w:jc w:val="both"/>
        <w:rPr>
          <w:rFonts w:ascii="Arial" w:hAnsi="Arial" w:cs="Arial"/>
          <w:b/>
          <w:bCs/>
          <w:sz w:val="20"/>
          <w:szCs w:val="20"/>
        </w:rPr>
      </w:pPr>
      <w:r w:rsidRPr="00266B15">
        <w:rPr>
          <w:rFonts w:ascii="Arial" w:hAnsi="Arial" w:cs="Arial"/>
          <w:b/>
          <w:bCs/>
          <w:sz w:val="20"/>
          <w:szCs w:val="20"/>
        </w:rPr>
        <w:t xml:space="preserve">Experimental protocol </w:t>
      </w:r>
    </w:p>
    <w:p w14:paraId="6C600792" w14:textId="37666C53" w:rsidR="00D73F21" w:rsidRPr="00266B15" w:rsidRDefault="00D73F21" w:rsidP="00D73F21">
      <w:pPr>
        <w:spacing w:line="360" w:lineRule="auto"/>
        <w:jc w:val="both"/>
        <w:rPr>
          <w:rFonts w:ascii="Arial" w:hAnsi="Arial" w:cs="Arial"/>
        </w:rPr>
      </w:pPr>
      <w:r w:rsidRPr="00266B15">
        <w:rPr>
          <w:rFonts w:ascii="Arial" w:hAnsi="Arial" w:cs="Arial"/>
        </w:rPr>
        <w:t xml:space="preserve">5 mL of PBS (pH 7.4) was added to 5 mL of blood and centrifuged at 2200 rpm at 4°C for 15 min. The resulting supernatant was removed and the process was repeated twice on the pellet. Finally, the final supernatant was removed and the red blood cells (RBC) were diluted to 10% (v/v) in PBS. For the test, 40 </w:t>
      </w:r>
      <w:r w:rsidRPr="00266B15">
        <w:rPr>
          <w:rFonts w:ascii="Arial" w:hAnsi="Arial" w:cs="Arial"/>
          <w:lang w:val="fr-FR"/>
        </w:rPr>
        <w:t>μ</w:t>
      </w:r>
      <w:r w:rsidRPr="00266B15">
        <w:rPr>
          <w:rFonts w:ascii="Arial" w:hAnsi="Arial" w:cs="Arial"/>
        </w:rPr>
        <w:t xml:space="preserve">L of each concentration was added to 760 </w:t>
      </w:r>
      <w:r w:rsidRPr="00266B15">
        <w:rPr>
          <w:rFonts w:ascii="Arial" w:hAnsi="Arial" w:cs="Arial"/>
          <w:lang w:val="fr-FR"/>
        </w:rPr>
        <w:t>μ</w:t>
      </w:r>
      <w:r w:rsidRPr="00266B15">
        <w:rPr>
          <w:rFonts w:ascii="Arial" w:hAnsi="Arial" w:cs="Arial"/>
        </w:rPr>
        <w:t xml:space="preserve">L of previously prepared RBC. A negative control comprising 10 </w:t>
      </w:r>
      <w:r w:rsidRPr="00266B15">
        <w:rPr>
          <w:rFonts w:ascii="Arial" w:hAnsi="Arial" w:cs="Arial"/>
          <w:lang w:val="fr-FR"/>
        </w:rPr>
        <w:t>μ</w:t>
      </w:r>
      <w:r w:rsidRPr="00266B15">
        <w:rPr>
          <w:rFonts w:ascii="Arial" w:hAnsi="Arial" w:cs="Arial"/>
        </w:rPr>
        <w:t xml:space="preserve">L of PBS and 190 </w:t>
      </w:r>
      <w:r w:rsidRPr="00266B15">
        <w:rPr>
          <w:rFonts w:ascii="Arial" w:hAnsi="Arial" w:cs="Arial"/>
          <w:lang w:val="fr-FR"/>
        </w:rPr>
        <w:t>μ</w:t>
      </w:r>
      <w:r w:rsidRPr="00266B15">
        <w:rPr>
          <w:rFonts w:ascii="Arial" w:hAnsi="Arial" w:cs="Arial"/>
        </w:rPr>
        <w:t xml:space="preserve">L of 10% RBC and a positive control comprising 10 </w:t>
      </w:r>
      <w:r w:rsidRPr="00266B15">
        <w:rPr>
          <w:rFonts w:ascii="Arial" w:hAnsi="Arial" w:cs="Arial"/>
          <w:lang w:val="fr-FR"/>
        </w:rPr>
        <w:t>μ</w:t>
      </w:r>
      <w:r w:rsidRPr="00266B15">
        <w:rPr>
          <w:rFonts w:ascii="Arial" w:hAnsi="Arial" w:cs="Arial"/>
        </w:rPr>
        <w:t xml:space="preserve">L of 20% Triton X-100 in distilled water (v/v) + 190 </w:t>
      </w:r>
      <w:r w:rsidRPr="00266B15">
        <w:rPr>
          <w:rFonts w:ascii="Arial" w:hAnsi="Arial" w:cs="Arial"/>
          <w:lang w:val="fr-FR"/>
        </w:rPr>
        <w:t>μ</w:t>
      </w:r>
      <w:r w:rsidRPr="00266B15">
        <w:rPr>
          <w:rFonts w:ascii="Arial" w:hAnsi="Arial" w:cs="Arial"/>
        </w:rPr>
        <w:t xml:space="preserve">L of 10% RBC were also prepared (Table </w:t>
      </w:r>
      <w:r w:rsidR="006729E7" w:rsidRPr="00266B15">
        <w:rPr>
          <w:rFonts w:ascii="Arial" w:hAnsi="Arial" w:cs="Arial"/>
        </w:rPr>
        <w:t>5</w:t>
      </w:r>
      <w:r w:rsidRPr="00266B15">
        <w:rPr>
          <w:rFonts w:ascii="Arial" w:hAnsi="Arial" w:cs="Arial"/>
        </w:rPr>
        <w:t xml:space="preserve">). The tubes were incubated at room temperature for 60 minutes, followed by centrifugation at 2200 rpm for 5 minutes, and the supernatants were used for the rest of the experiment. In a 96-well microplate, 150 </w:t>
      </w:r>
      <w:r w:rsidRPr="00266B15">
        <w:rPr>
          <w:rFonts w:ascii="Arial" w:hAnsi="Arial" w:cs="Arial"/>
          <w:lang w:val="fr-FR"/>
        </w:rPr>
        <w:t>μ</w:t>
      </w:r>
      <w:r w:rsidRPr="00266B15">
        <w:rPr>
          <w:rFonts w:ascii="Arial" w:hAnsi="Arial" w:cs="Arial"/>
        </w:rPr>
        <w:t>L of the supernatant from each concentration and the controls were added in triplicate, and the absorbances were read at 630 nm. The hemolysis rate of the different extracts was calculated as a percentage of total hemolysis, using the following formula.</w:t>
      </w:r>
    </w:p>
    <w:p w14:paraId="3B0F50AB" w14:textId="77777777" w:rsidR="00D73F21" w:rsidRPr="00266B15" w:rsidRDefault="00D73F21" w:rsidP="00D73F21">
      <w:pPr>
        <w:spacing w:line="360" w:lineRule="auto"/>
        <w:jc w:val="both"/>
        <w:rPr>
          <w:rFonts w:ascii="Arial" w:hAnsi="Arial" w:cs="Arial"/>
          <w:bCs/>
          <w:i/>
          <w:lang w:val="nl-BE"/>
        </w:rPr>
      </w:pPr>
      <m:oMathPara>
        <m:oMath>
          <m:r>
            <m:rPr>
              <m:nor/>
            </m:rPr>
            <w:rPr>
              <w:rFonts w:ascii="Arial" w:hAnsi="Arial" w:cs="Arial"/>
              <w:bCs/>
              <w:lang w:val="nl-BE"/>
            </w:rPr>
            <m:t>% hemolysis=</m:t>
          </m:r>
          <m:f>
            <m:fPr>
              <m:ctrlPr>
                <w:rPr>
                  <w:rFonts w:ascii="Cambria Math" w:hAnsi="Cambria Math" w:cs="Arial"/>
                  <w:bCs/>
                </w:rPr>
              </m:ctrlPr>
            </m:fPr>
            <m:num>
              <m:r>
                <w:rPr>
                  <w:rFonts w:ascii="Cambria Math" w:hAnsi="Cambria Math" w:cs="Arial"/>
                  <w:lang w:val="nl-BE"/>
                </w:rPr>
                <m:t>(</m:t>
              </m:r>
              <m:r>
                <w:rPr>
                  <w:rFonts w:ascii="Cambria Math" w:hAnsi="Cambria Math" w:cs="Arial"/>
                </w:rPr>
                <m:t>Test</m:t>
              </m:r>
              <m:r>
                <w:rPr>
                  <w:rFonts w:ascii="Cambria Math" w:hAnsi="Cambria Math" w:cs="Arial"/>
                  <w:lang w:val="nl-BE"/>
                </w:rPr>
                <m:t xml:space="preserve"> </m:t>
              </m:r>
              <m:r>
                <w:rPr>
                  <w:rFonts w:ascii="Cambria Math" w:hAnsi="Cambria Math" w:cs="Arial"/>
                </w:rPr>
                <m:t>Abs</m:t>
              </m:r>
              <m:r>
                <w:rPr>
                  <w:rFonts w:ascii="Cambria Math" w:hAnsi="Cambria Math" w:cs="Arial"/>
                  <w:lang w:val="nl-BE"/>
                </w:rPr>
                <m:t xml:space="preserve"> - </m:t>
              </m:r>
              <m:r>
                <w:rPr>
                  <w:rFonts w:ascii="Cambria Math" w:hAnsi="Cambria Math" w:cs="Arial"/>
                </w:rPr>
                <m:t>Negative</m:t>
              </m:r>
              <m:r>
                <w:rPr>
                  <w:rFonts w:ascii="Cambria Math" w:hAnsi="Cambria Math" w:cs="Arial"/>
                  <w:lang w:val="nl-BE"/>
                </w:rPr>
                <m:t xml:space="preserve"> </m:t>
              </m:r>
              <m:r>
                <w:rPr>
                  <w:rFonts w:ascii="Cambria Math" w:hAnsi="Cambria Math" w:cs="Arial"/>
                </w:rPr>
                <m:t>Control</m:t>
              </m:r>
              <m:r>
                <w:rPr>
                  <w:rFonts w:ascii="Cambria Math" w:hAnsi="Cambria Math" w:cs="Arial"/>
                  <w:lang w:val="nl-BE"/>
                </w:rPr>
                <m:t xml:space="preserve"> </m:t>
              </m:r>
              <m:r>
                <w:rPr>
                  <w:rFonts w:ascii="Cambria Math" w:hAnsi="Cambria Math" w:cs="Arial"/>
                </w:rPr>
                <m:t>Abs</m:t>
              </m:r>
              <m:r>
                <w:rPr>
                  <w:rFonts w:ascii="Cambria Math" w:hAnsi="Cambria Math" w:cs="Arial"/>
                  <w:lang w:val="nl-BE"/>
                </w:rPr>
                <m:t>)</m:t>
              </m:r>
            </m:num>
            <m:den>
              <m:r>
                <w:rPr>
                  <w:rFonts w:ascii="Cambria Math" w:hAnsi="Cambria Math" w:cs="Arial"/>
                  <w:lang w:val="nl-BE"/>
                </w:rPr>
                <m:t>(</m:t>
              </m:r>
              <m:r>
                <w:rPr>
                  <w:rFonts w:ascii="Cambria Math" w:hAnsi="Cambria Math" w:cs="Arial"/>
                </w:rPr>
                <m:t>Positive</m:t>
              </m:r>
              <m:r>
                <w:rPr>
                  <w:rFonts w:ascii="Cambria Math" w:hAnsi="Cambria Math" w:cs="Arial"/>
                  <w:lang w:val="nl-BE"/>
                </w:rPr>
                <m:t xml:space="preserve"> </m:t>
              </m:r>
              <m:r>
                <w:rPr>
                  <w:rFonts w:ascii="Cambria Math" w:hAnsi="Cambria Math" w:cs="Arial"/>
                </w:rPr>
                <m:t>control</m:t>
              </m:r>
              <m:r>
                <w:rPr>
                  <w:rFonts w:ascii="Cambria Math" w:hAnsi="Cambria Math" w:cs="Arial"/>
                  <w:lang w:val="nl-BE"/>
                </w:rPr>
                <m:t xml:space="preserve"> </m:t>
              </m:r>
              <m:r>
                <w:rPr>
                  <w:rFonts w:ascii="Cambria Math" w:hAnsi="Cambria Math" w:cs="Arial"/>
                </w:rPr>
                <m:t>Abs</m:t>
              </m:r>
              <m:r>
                <w:rPr>
                  <w:rFonts w:ascii="Cambria Math" w:hAnsi="Cambria Math" w:cs="Arial"/>
                  <w:lang w:val="nl-BE"/>
                </w:rPr>
                <m:t>-</m:t>
              </m:r>
              <m:r>
                <w:rPr>
                  <w:rFonts w:ascii="Cambria Math" w:hAnsi="Cambria Math" w:cs="Arial"/>
                </w:rPr>
                <m:t>Negative</m:t>
              </m:r>
              <m:r>
                <w:rPr>
                  <w:rFonts w:ascii="Cambria Math" w:hAnsi="Cambria Math" w:cs="Arial"/>
                  <w:lang w:val="nl-BE"/>
                </w:rPr>
                <m:t xml:space="preserve"> </m:t>
              </m:r>
              <m:r>
                <w:rPr>
                  <w:rFonts w:ascii="Cambria Math" w:hAnsi="Cambria Math" w:cs="Arial"/>
                </w:rPr>
                <m:t>control</m:t>
              </m:r>
              <m:r>
                <w:rPr>
                  <w:rFonts w:ascii="Cambria Math" w:hAnsi="Cambria Math" w:cs="Arial"/>
                  <w:lang w:val="nl-BE"/>
                </w:rPr>
                <m:t xml:space="preserve"> </m:t>
              </m:r>
              <m:r>
                <w:rPr>
                  <w:rFonts w:ascii="Cambria Math" w:hAnsi="Cambria Math" w:cs="Arial"/>
                </w:rPr>
                <m:t>Abs</m:t>
              </m:r>
              <m:r>
                <w:rPr>
                  <w:rFonts w:ascii="Cambria Math" w:hAnsi="Cambria Math" w:cs="Arial"/>
                  <w:lang w:val="nl-BE"/>
                </w:rPr>
                <m:t>)</m:t>
              </m:r>
            </m:den>
          </m:f>
        </m:oMath>
      </m:oMathPara>
    </w:p>
    <w:p w14:paraId="559687DC" w14:textId="77777777" w:rsidR="00D73F21" w:rsidRPr="00266B15" w:rsidRDefault="00D73F21" w:rsidP="00D804EB">
      <w:pPr>
        <w:pStyle w:val="ListParagraph"/>
        <w:numPr>
          <w:ilvl w:val="3"/>
          <w:numId w:val="36"/>
        </w:numPr>
        <w:spacing w:line="360" w:lineRule="auto"/>
        <w:jc w:val="both"/>
        <w:rPr>
          <w:rFonts w:ascii="Arial" w:hAnsi="Arial" w:cs="Arial"/>
          <w:b/>
          <w:bCs/>
          <w:sz w:val="20"/>
          <w:szCs w:val="20"/>
        </w:rPr>
      </w:pPr>
      <w:proofErr w:type="spellStart"/>
      <w:r w:rsidRPr="00266B15">
        <w:rPr>
          <w:rFonts w:ascii="Arial" w:hAnsi="Arial" w:cs="Arial"/>
          <w:b/>
          <w:bCs/>
          <w:sz w:val="20"/>
          <w:szCs w:val="20"/>
        </w:rPr>
        <w:t>Antiplasmodial</w:t>
      </w:r>
      <w:proofErr w:type="spellEnd"/>
      <w:r w:rsidRPr="00266B15">
        <w:rPr>
          <w:rFonts w:ascii="Arial" w:hAnsi="Arial" w:cs="Arial"/>
          <w:b/>
          <w:bCs/>
          <w:sz w:val="20"/>
          <w:szCs w:val="20"/>
        </w:rPr>
        <w:t xml:space="preserve"> activity</w:t>
      </w:r>
    </w:p>
    <w:p w14:paraId="0AE6F7AA" w14:textId="77777777" w:rsidR="00D73F21" w:rsidRPr="00266B15" w:rsidRDefault="00D73F21" w:rsidP="00D804EB">
      <w:pPr>
        <w:pStyle w:val="ListParagraph"/>
        <w:numPr>
          <w:ilvl w:val="4"/>
          <w:numId w:val="36"/>
        </w:numPr>
        <w:spacing w:line="360" w:lineRule="auto"/>
        <w:jc w:val="both"/>
        <w:rPr>
          <w:rFonts w:ascii="Arial" w:hAnsi="Arial" w:cs="Arial"/>
          <w:b/>
          <w:bCs/>
          <w:sz w:val="20"/>
          <w:szCs w:val="20"/>
        </w:rPr>
      </w:pPr>
      <w:r w:rsidRPr="00266B15">
        <w:rPr>
          <w:rFonts w:ascii="Arial" w:hAnsi="Arial" w:cs="Arial"/>
          <w:b/>
          <w:bCs/>
          <w:sz w:val="20"/>
          <w:szCs w:val="20"/>
        </w:rPr>
        <w:t>Preparation of solutions</w:t>
      </w:r>
    </w:p>
    <w:p w14:paraId="59B7E815" w14:textId="77777777" w:rsidR="00D73F21" w:rsidRPr="00266B15" w:rsidRDefault="00D73F21" w:rsidP="00D73F21">
      <w:pPr>
        <w:pStyle w:val="ListParagraph"/>
        <w:numPr>
          <w:ilvl w:val="0"/>
          <w:numId w:val="35"/>
        </w:numPr>
        <w:spacing w:line="360" w:lineRule="auto"/>
        <w:jc w:val="both"/>
        <w:rPr>
          <w:rFonts w:ascii="Arial" w:hAnsi="Arial" w:cs="Arial"/>
          <w:b/>
          <w:bCs/>
          <w:sz w:val="20"/>
          <w:szCs w:val="20"/>
        </w:rPr>
      </w:pPr>
      <w:r w:rsidRPr="00266B15">
        <w:rPr>
          <w:rFonts w:ascii="Arial" w:hAnsi="Arial" w:cs="Arial"/>
          <w:b/>
          <w:bCs/>
          <w:sz w:val="20"/>
          <w:szCs w:val="20"/>
        </w:rPr>
        <w:t>Incomplete culture medium</w:t>
      </w:r>
    </w:p>
    <w:p w14:paraId="7F4F57B9" w14:textId="77777777" w:rsidR="00D73F21" w:rsidRPr="00266B15" w:rsidRDefault="00D73F21" w:rsidP="00D73F21">
      <w:pPr>
        <w:spacing w:line="360" w:lineRule="auto"/>
        <w:jc w:val="both"/>
        <w:rPr>
          <w:rFonts w:ascii="Arial" w:hAnsi="Arial" w:cs="Arial"/>
        </w:rPr>
      </w:pPr>
      <w:r w:rsidRPr="00266B15">
        <w:rPr>
          <w:rFonts w:ascii="Arial" w:hAnsi="Arial" w:cs="Arial"/>
        </w:rPr>
        <w:t>The incomplete culture medium consists of 500 mL of RPMI-1640 (Roosevelt Park Medium Institute) in which 12.5 mL of 1M Herpes, 2.5 mL of 10 mg/mL Gentamicin, 5 mL of L-</w:t>
      </w:r>
      <w:r w:rsidRPr="00266B15">
        <w:rPr>
          <w:rFonts w:ascii="Arial" w:hAnsi="Arial" w:cs="Arial"/>
        </w:rPr>
        <w:lastRenderedPageBreak/>
        <w:t>glutamine, and 0.5 mL of a 50 mg/mL Hypoxanthine solution in 1M sodium hydroxide are dissolved. The homogeneous mixture is filtered through a 0.22 µm Millipore filter. The solution is stored at -20°C for use over a period of more than two weeks.</w:t>
      </w:r>
    </w:p>
    <w:p w14:paraId="21E55C34" w14:textId="77777777" w:rsidR="00D73F21" w:rsidRPr="00266B15" w:rsidRDefault="00D73F21" w:rsidP="00D73F21">
      <w:pPr>
        <w:pStyle w:val="ListParagraph"/>
        <w:numPr>
          <w:ilvl w:val="0"/>
          <w:numId w:val="31"/>
        </w:numPr>
        <w:spacing w:line="360" w:lineRule="auto"/>
        <w:jc w:val="both"/>
        <w:rPr>
          <w:rFonts w:ascii="Arial" w:hAnsi="Arial" w:cs="Arial"/>
          <w:sz w:val="20"/>
          <w:szCs w:val="20"/>
        </w:rPr>
      </w:pPr>
      <w:proofErr w:type="spellStart"/>
      <w:r w:rsidRPr="00266B15">
        <w:rPr>
          <w:rFonts w:ascii="Arial" w:hAnsi="Arial" w:cs="Arial"/>
          <w:b/>
          <w:bCs/>
          <w:sz w:val="20"/>
          <w:szCs w:val="20"/>
        </w:rPr>
        <w:t>Albumax</w:t>
      </w:r>
      <w:proofErr w:type="spellEnd"/>
      <w:r w:rsidRPr="00266B15">
        <w:rPr>
          <w:rFonts w:ascii="Arial" w:hAnsi="Arial" w:cs="Arial"/>
          <w:b/>
          <w:bCs/>
          <w:sz w:val="20"/>
          <w:szCs w:val="20"/>
        </w:rPr>
        <w:t xml:space="preserve"> solution</w:t>
      </w:r>
      <w:r w:rsidRPr="00266B15">
        <w:rPr>
          <w:rFonts w:ascii="Arial" w:hAnsi="Arial" w:cs="Arial"/>
          <w:sz w:val="20"/>
          <w:szCs w:val="20"/>
        </w:rPr>
        <w:t>:</w:t>
      </w:r>
    </w:p>
    <w:p w14:paraId="770F0470"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 25 g of </w:t>
      </w:r>
      <w:proofErr w:type="spellStart"/>
      <w:r w:rsidRPr="00266B15">
        <w:rPr>
          <w:rFonts w:ascii="Arial" w:hAnsi="Arial" w:cs="Arial"/>
        </w:rPr>
        <w:t>Albumax</w:t>
      </w:r>
      <w:proofErr w:type="spellEnd"/>
      <w:r w:rsidRPr="00266B15">
        <w:rPr>
          <w:rFonts w:ascii="Arial" w:hAnsi="Arial" w:cs="Arial"/>
        </w:rPr>
        <w:t xml:space="preserve"> II were weighed and 0.5 mL of a 50 mg/mL hypoxanthine solution in 1 M sodium hydroxide was prepared. The mixture was dissolved in 500 mL of RPMI-1640 and then filtered through a 0.22 µm Millipore filter. The prepared solution was stored at -20°C.</w:t>
      </w:r>
    </w:p>
    <w:p w14:paraId="162A3CD1" w14:textId="77777777" w:rsidR="00D73F21" w:rsidRPr="00266B15" w:rsidRDefault="00D73F21" w:rsidP="00D73F21">
      <w:pPr>
        <w:pStyle w:val="ListParagraph"/>
        <w:numPr>
          <w:ilvl w:val="0"/>
          <w:numId w:val="31"/>
        </w:numPr>
        <w:spacing w:line="360" w:lineRule="auto"/>
        <w:jc w:val="both"/>
        <w:rPr>
          <w:rFonts w:ascii="Arial" w:hAnsi="Arial" w:cs="Arial"/>
          <w:b/>
          <w:bCs/>
          <w:sz w:val="20"/>
          <w:szCs w:val="20"/>
        </w:rPr>
      </w:pPr>
      <w:r w:rsidRPr="00266B15">
        <w:rPr>
          <w:rFonts w:ascii="Arial" w:hAnsi="Arial" w:cs="Arial"/>
          <w:b/>
          <w:bCs/>
          <w:sz w:val="20"/>
          <w:szCs w:val="20"/>
        </w:rPr>
        <w:t>Complete culture medium</w:t>
      </w:r>
    </w:p>
    <w:p w14:paraId="6D6BE8C7"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The complete culture medium consisted of a mixture of 200 mL of the incomplete medium and 50 mL of </w:t>
      </w:r>
      <w:proofErr w:type="spellStart"/>
      <w:r w:rsidRPr="00266B15">
        <w:rPr>
          <w:rFonts w:ascii="Arial" w:hAnsi="Arial" w:cs="Arial"/>
        </w:rPr>
        <w:t>Albumax</w:t>
      </w:r>
      <w:proofErr w:type="spellEnd"/>
      <w:r w:rsidRPr="00266B15">
        <w:rPr>
          <w:rFonts w:ascii="Arial" w:hAnsi="Arial" w:cs="Arial"/>
        </w:rPr>
        <w:t xml:space="preserve"> 5% (lyophilized bovine serum) or 20 mL of human serum. If the RPMI used in the various solution preparations does not contain sodium bicarbonate, then 10 mL of a 5% sodium bicarbonate solution must be added.</w:t>
      </w:r>
    </w:p>
    <w:p w14:paraId="5FCE05BD" w14:textId="77777777" w:rsidR="00D73F21" w:rsidRPr="00266B15" w:rsidRDefault="00D73F21" w:rsidP="00D73F21">
      <w:pPr>
        <w:spacing w:line="360" w:lineRule="auto"/>
        <w:jc w:val="both"/>
        <w:rPr>
          <w:rFonts w:ascii="Arial" w:hAnsi="Arial" w:cs="Arial"/>
        </w:rPr>
      </w:pPr>
      <w:r w:rsidRPr="00266B15">
        <w:rPr>
          <w:rFonts w:ascii="Arial" w:hAnsi="Arial" w:cs="Arial"/>
        </w:rPr>
        <w:t>At the end of the preparation, ensure that the pH of the complete medium is between 7.2 and 7.4.</w:t>
      </w:r>
    </w:p>
    <w:p w14:paraId="7DBF0FC7" w14:textId="77777777" w:rsidR="00D73F21" w:rsidRPr="00266B15" w:rsidRDefault="00D73F21" w:rsidP="00D73F21">
      <w:pPr>
        <w:spacing w:line="360" w:lineRule="auto"/>
        <w:jc w:val="both"/>
        <w:rPr>
          <w:rFonts w:ascii="Arial" w:hAnsi="Arial" w:cs="Arial"/>
        </w:rPr>
      </w:pPr>
    </w:p>
    <w:p w14:paraId="25CD499E" w14:textId="77777777" w:rsidR="00D73F21" w:rsidRPr="00266B15" w:rsidRDefault="00D73F21" w:rsidP="00D73F21">
      <w:pPr>
        <w:pStyle w:val="ListParagraph"/>
        <w:numPr>
          <w:ilvl w:val="0"/>
          <w:numId w:val="31"/>
        </w:numPr>
        <w:spacing w:line="360" w:lineRule="auto"/>
        <w:jc w:val="both"/>
        <w:rPr>
          <w:rFonts w:ascii="Arial" w:hAnsi="Arial" w:cs="Arial"/>
          <w:b/>
          <w:bCs/>
          <w:sz w:val="20"/>
          <w:szCs w:val="20"/>
        </w:rPr>
      </w:pPr>
      <w:r w:rsidRPr="00266B15">
        <w:rPr>
          <w:rFonts w:ascii="Arial" w:hAnsi="Arial" w:cs="Arial"/>
          <w:b/>
          <w:bCs/>
          <w:sz w:val="20"/>
          <w:szCs w:val="20"/>
        </w:rPr>
        <w:t>Thawing medium</w:t>
      </w:r>
    </w:p>
    <w:p w14:paraId="4F8E03D8" w14:textId="77777777" w:rsidR="00D73F21" w:rsidRPr="00266B15" w:rsidRDefault="00D73F21" w:rsidP="00D73F21">
      <w:pPr>
        <w:spacing w:line="360" w:lineRule="auto"/>
        <w:jc w:val="both"/>
        <w:rPr>
          <w:rFonts w:ascii="Arial" w:hAnsi="Arial" w:cs="Arial"/>
        </w:rPr>
      </w:pPr>
      <w:r w:rsidRPr="00266B15">
        <w:rPr>
          <w:rFonts w:ascii="Arial" w:hAnsi="Arial" w:cs="Arial"/>
        </w:rPr>
        <w:t>The thawing medium is a solution of sodium chloride at a concentration of 9 mg/mL in distilled water. The solution is prepared in a sterile environment and then stored at 4°C.</w:t>
      </w:r>
    </w:p>
    <w:p w14:paraId="16366052" w14:textId="77777777" w:rsidR="00D73F21" w:rsidRPr="00266B15" w:rsidRDefault="00D73F21" w:rsidP="00D73F21">
      <w:pPr>
        <w:pStyle w:val="ListParagraph"/>
        <w:numPr>
          <w:ilvl w:val="0"/>
          <w:numId w:val="31"/>
        </w:numPr>
        <w:spacing w:line="360" w:lineRule="auto"/>
        <w:jc w:val="both"/>
        <w:rPr>
          <w:rFonts w:ascii="Arial" w:hAnsi="Arial" w:cs="Arial"/>
          <w:b/>
          <w:bCs/>
          <w:sz w:val="20"/>
          <w:szCs w:val="20"/>
        </w:rPr>
      </w:pPr>
      <w:r w:rsidRPr="00266B15">
        <w:rPr>
          <w:rFonts w:ascii="Arial" w:hAnsi="Arial" w:cs="Arial"/>
          <w:b/>
          <w:bCs/>
          <w:sz w:val="20"/>
          <w:szCs w:val="20"/>
        </w:rPr>
        <w:t>Washing medium</w:t>
      </w:r>
    </w:p>
    <w:p w14:paraId="3F19DE04" w14:textId="77777777" w:rsidR="00D73F21" w:rsidRPr="00266B15" w:rsidRDefault="00D73F21" w:rsidP="00D73F21">
      <w:pPr>
        <w:spacing w:line="360" w:lineRule="auto"/>
        <w:jc w:val="both"/>
        <w:rPr>
          <w:rFonts w:ascii="Arial" w:hAnsi="Arial" w:cs="Arial"/>
        </w:rPr>
      </w:pPr>
      <w:r w:rsidRPr="00266B15">
        <w:rPr>
          <w:rFonts w:ascii="Arial" w:hAnsi="Arial" w:cs="Arial"/>
        </w:rPr>
        <w:t>To 500 mL of RPMI-1640 solution, add 2.5 mL of gentamicin at a concentration of 10 mL and 4 mL of L-glutamine. The resulting solution constitutes the washing medium.</w:t>
      </w:r>
    </w:p>
    <w:p w14:paraId="5E670A15" w14:textId="77777777" w:rsidR="00D73F21" w:rsidRPr="00266B15" w:rsidRDefault="00D73F21" w:rsidP="00D73F21">
      <w:pPr>
        <w:spacing w:line="360" w:lineRule="auto"/>
        <w:jc w:val="both"/>
        <w:rPr>
          <w:rFonts w:ascii="Arial" w:hAnsi="Arial" w:cs="Arial"/>
        </w:rPr>
      </w:pPr>
    </w:p>
    <w:p w14:paraId="31FA9E2C" w14:textId="77777777" w:rsidR="00D73F21" w:rsidRPr="00266B15" w:rsidRDefault="00D73F21" w:rsidP="00D73F21">
      <w:pPr>
        <w:pStyle w:val="ListParagraph"/>
        <w:numPr>
          <w:ilvl w:val="0"/>
          <w:numId w:val="31"/>
        </w:numPr>
        <w:spacing w:line="360" w:lineRule="auto"/>
        <w:jc w:val="both"/>
        <w:rPr>
          <w:rFonts w:ascii="Arial" w:hAnsi="Arial" w:cs="Arial"/>
          <w:b/>
          <w:bCs/>
          <w:sz w:val="20"/>
          <w:szCs w:val="20"/>
        </w:rPr>
      </w:pPr>
      <w:r w:rsidRPr="00266B15">
        <w:rPr>
          <w:rFonts w:ascii="Arial" w:hAnsi="Arial" w:cs="Arial"/>
          <w:b/>
          <w:bCs/>
          <w:sz w:val="20"/>
          <w:szCs w:val="20"/>
        </w:rPr>
        <w:t>Parasite culture: Thawing of Plasmodium strains</w:t>
      </w:r>
    </w:p>
    <w:p w14:paraId="7692CFF4" w14:textId="77777777" w:rsidR="00D73F21" w:rsidRPr="00266B15" w:rsidRDefault="00D73F21" w:rsidP="00D73F21">
      <w:pPr>
        <w:spacing w:line="360" w:lineRule="auto"/>
        <w:jc w:val="both"/>
        <w:rPr>
          <w:rFonts w:ascii="Arial" w:hAnsi="Arial" w:cs="Arial"/>
        </w:rPr>
      </w:pPr>
      <w:r w:rsidRPr="00266B15">
        <w:rPr>
          <w:rFonts w:ascii="Arial" w:hAnsi="Arial" w:cs="Arial"/>
        </w:rPr>
        <w:t>Thawing consists of reviving frozen strains (returning them in vitro for continuous culture). The cryotubes containing the strains were removed from liquid nitrogen (-80°C) and thawed in a water bath at 37°C for 5 minutes, then centrifuged at 1500 rpm for 10 minutes at 37°C. Remove the supernatant and add a volume of thawing medium equal to the volume of the pellet. Centrifuge at 1500 rpm for 7 minutes at 37°C. Remove the supernatant again, then add 1 mL of complete medium (MCC) and centrifuge at 1500 rpm for 7 minutes at 37°C. Finally, remove the supernatant and distribute the pellet into bottles containing 5 mL of MCC for incubation.</w:t>
      </w:r>
    </w:p>
    <w:p w14:paraId="7940B8E6" w14:textId="77777777" w:rsidR="00D73F21" w:rsidRPr="00266B15" w:rsidRDefault="00D73F21" w:rsidP="00D73F21">
      <w:pPr>
        <w:spacing w:line="360" w:lineRule="auto"/>
        <w:jc w:val="both"/>
        <w:rPr>
          <w:rFonts w:ascii="Arial" w:hAnsi="Arial" w:cs="Arial"/>
        </w:rPr>
      </w:pPr>
    </w:p>
    <w:p w14:paraId="43025A19" w14:textId="77777777" w:rsidR="00D73F21" w:rsidRPr="00266B15" w:rsidRDefault="00D73F21" w:rsidP="00D73F21">
      <w:pPr>
        <w:pStyle w:val="ListParagraph"/>
        <w:numPr>
          <w:ilvl w:val="0"/>
          <w:numId w:val="31"/>
        </w:numPr>
        <w:spacing w:line="360" w:lineRule="auto"/>
        <w:jc w:val="both"/>
        <w:rPr>
          <w:rFonts w:ascii="Arial" w:hAnsi="Arial" w:cs="Arial"/>
          <w:b/>
          <w:bCs/>
          <w:sz w:val="20"/>
          <w:szCs w:val="20"/>
        </w:rPr>
      </w:pPr>
      <w:r w:rsidRPr="00266B15">
        <w:rPr>
          <w:rFonts w:ascii="Arial" w:hAnsi="Arial" w:cs="Arial"/>
          <w:b/>
          <w:bCs/>
          <w:sz w:val="20"/>
          <w:szCs w:val="20"/>
        </w:rPr>
        <w:t>Blood smear</w:t>
      </w:r>
    </w:p>
    <w:p w14:paraId="4C474560" w14:textId="1B645309" w:rsidR="00D73F21" w:rsidRPr="00266B15" w:rsidRDefault="00D73F21" w:rsidP="00D73F21">
      <w:pPr>
        <w:spacing w:line="360" w:lineRule="auto"/>
        <w:jc w:val="both"/>
        <w:rPr>
          <w:rFonts w:ascii="Arial" w:hAnsi="Arial" w:cs="Arial"/>
        </w:rPr>
      </w:pPr>
      <w:r w:rsidRPr="00266B15">
        <w:rPr>
          <w:rFonts w:ascii="Arial" w:hAnsi="Arial" w:cs="Arial"/>
        </w:rPr>
        <w:lastRenderedPageBreak/>
        <w:t>Using a sterile Pasteur pipette, take a drop of blood from the bottle containing the culture. Place it on a microscope slide and apply a thin smear. The smears were mounted on glass slides with methanol and dried at room temperature</w:t>
      </w:r>
      <w:r w:rsidR="00234AA7" w:rsidRPr="00266B15">
        <w:rPr>
          <w:rFonts w:ascii="Arial" w:hAnsi="Arial" w:cs="Arial"/>
        </w:rPr>
        <w:t xml:space="preserve"> for 1 minute</w:t>
      </w:r>
      <w:r w:rsidRPr="00266B15">
        <w:rPr>
          <w:rFonts w:ascii="Arial" w:hAnsi="Arial" w:cs="Arial"/>
        </w:rPr>
        <w:t>. The smear was then stained with 10% Giemsa in buffered water for 30 minutes. Finally, the slides were rinsed with distilled water and dried again at room temperature. The reading was made under an optical microscope at 100× magnification. Parasitemia was expressed as the percentage of parasitized red blood cells</w:t>
      </w:r>
      <w:r w:rsidR="00C7049D" w:rsidRPr="00266B15">
        <w:rPr>
          <w:rFonts w:ascii="Arial" w:hAnsi="Arial" w:cs="Arial"/>
        </w:rPr>
        <w:t xml:space="preserve"> (RBC)</w:t>
      </w:r>
      <w:r w:rsidRPr="00266B15">
        <w:rPr>
          <w:rFonts w:ascii="Arial" w:hAnsi="Arial" w:cs="Arial"/>
        </w:rPr>
        <w:t xml:space="preserve"> out of a total of at least 1000 red blood cells counted in different areas of the smear.</w:t>
      </w:r>
    </w:p>
    <w:p w14:paraId="34F52ED3" w14:textId="4A342F81" w:rsidR="00686187" w:rsidRPr="00266B15" w:rsidRDefault="00686187" w:rsidP="00D73F21">
      <w:pPr>
        <w:spacing w:line="360" w:lineRule="auto"/>
        <w:jc w:val="both"/>
        <w:rPr>
          <w:rFonts w:ascii="Arial" w:hAnsi="Arial" w:cs="Arial"/>
        </w:rPr>
      </w:pPr>
      <m:oMathPara>
        <m:oMath>
          <m:r>
            <w:rPr>
              <w:rFonts w:ascii="Cambria Math" w:hAnsi="Cambria Math" w:cs="Arial"/>
            </w:rPr>
            <m:t>Parasitemia (%)=</m:t>
          </m:r>
          <m:f>
            <m:fPr>
              <m:ctrlPr>
                <w:rPr>
                  <w:rFonts w:ascii="Cambria Math" w:hAnsi="Cambria Math" w:cs="Arial"/>
                  <w:i/>
                </w:rPr>
              </m:ctrlPr>
            </m:fPr>
            <m:num>
              <m:r>
                <w:rPr>
                  <w:rFonts w:ascii="Cambria Math" w:hAnsi="Cambria Math" w:cs="Arial"/>
                </w:rPr>
                <m:t>Number of parasitic RBC</m:t>
              </m:r>
            </m:num>
            <m:den>
              <m:r>
                <w:rPr>
                  <w:rFonts w:ascii="Cambria Math" w:hAnsi="Cambria Math" w:cs="Arial"/>
                </w:rPr>
                <m:t>Total number RBC counted</m:t>
              </m:r>
            </m:den>
          </m:f>
          <m:r>
            <w:rPr>
              <w:rFonts w:ascii="Cambria Math" w:hAnsi="Cambria Math" w:cs="Arial"/>
            </w:rPr>
            <m:t xml:space="preserve"> *100</m:t>
          </m:r>
        </m:oMath>
      </m:oMathPara>
    </w:p>
    <w:p w14:paraId="653D5AF9"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During culture, if the parasitemia decreases, the strain is in poor growth condition. Conversely, if the parasitemia increases, the strain is in good growth condition. When the parasitemia reaches 6%, it is in good growth condition and can be used for possible biological activity such as </w:t>
      </w:r>
      <w:proofErr w:type="spellStart"/>
      <w:r w:rsidRPr="00266B15">
        <w:rPr>
          <w:rFonts w:ascii="Arial" w:hAnsi="Arial" w:cs="Arial"/>
        </w:rPr>
        <w:t>antiplasmodial</w:t>
      </w:r>
      <w:proofErr w:type="spellEnd"/>
      <w:r w:rsidRPr="00266B15">
        <w:rPr>
          <w:rFonts w:ascii="Arial" w:hAnsi="Arial" w:cs="Arial"/>
        </w:rPr>
        <w:t xml:space="preserve"> activity or freezing.</w:t>
      </w:r>
    </w:p>
    <w:p w14:paraId="7DD80042" w14:textId="77777777" w:rsidR="00D73F21" w:rsidRPr="00266B15" w:rsidRDefault="00D73F21" w:rsidP="00D73F21">
      <w:pPr>
        <w:spacing w:line="360" w:lineRule="auto"/>
        <w:jc w:val="both"/>
        <w:rPr>
          <w:rFonts w:ascii="Arial" w:hAnsi="Arial" w:cs="Arial"/>
        </w:rPr>
      </w:pPr>
    </w:p>
    <w:p w14:paraId="628EE334" w14:textId="77777777" w:rsidR="00D73F21" w:rsidRPr="00266B15" w:rsidRDefault="00D73F21" w:rsidP="00D804EB">
      <w:pPr>
        <w:pStyle w:val="ListParagraph"/>
        <w:numPr>
          <w:ilvl w:val="4"/>
          <w:numId w:val="36"/>
        </w:numPr>
        <w:spacing w:line="360" w:lineRule="auto"/>
        <w:jc w:val="both"/>
        <w:rPr>
          <w:rFonts w:ascii="Arial" w:hAnsi="Arial" w:cs="Arial"/>
          <w:b/>
          <w:bCs/>
          <w:sz w:val="20"/>
          <w:szCs w:val="20"/>
        </w:rPr>
      </w:pPr>
      <w:proofErr w:type="spellStart"/>
      <w:r w:rsidRPr="00266B15">
        <w:rPr>
          <w:rFonts w:ascii="Arial" w:hAnsi="Arial" w:cs="Arial"/>
          <w:b/>
          <w:bCs/>
          <w:sz w:val="20"/>
          <w:szCs w:val="20"/>
        </w:rPr>
        <w:t>Antiplasmodial</w:t>
      </w:r>
      <w:proofErr w:type="spellEnd"/>
      <w:r w:rsidRPr="00266B15">
        <w:rPr>
          <w:rFonts w:ascii="Arial" w:hAnsi="Arial" w:cs="Arial"/>
          <w:b/>
          <w:bCs/>
          <w:sz w:val="20"/>
          <w:szCs w:val="20"/>
        </w:rPr>
        <w:t xml:space="preserve"> activity tests</w:t>
      </w:r>
    </w:p>
    <w:p w14:paraId="1EAF2C37" w14:textId="77777777" w:rsidR="00D73F21" w:rsidRPr="00266B15" w:rsidRDefault="00D73F21" w:rsidP="00D73F21">
      <w:pPr>
        <w:spacing w:line="360" w:lineRule="auto"/>
        <w:jc w:val="both"/>
        <w:rPr>
          <w:rFonts w:ascii="Arial" w:hAnsi="Arial" w:cs="Arial"/>
        </w:rPr>
      </w:pPr>
      <w:r w:rsidRPr="00266B15">
        <w:rPr>
          <w:rFonts w:ascii="Arial" w:hAnsi="Arial" w:cs="Arial"/>
        </w:rPr>
        <w:t xml:space="preserve">In vitro </w:t>
      </w:r>
      <w:proofErr w:type="spellStart"/>
      <w:r w:rsidRPr="00266B15">
        <w:rPr>
          <w:rFonts w:ascii="Arial" w:hAnsi="Arial" w:cs="Arial"/>
        </w:rPr>
        <w:t>antiplasmodial</w:t>
      </w:r>
      <w:proofErr w:type="spellEnd"/>
      <w:r w:rsidRPr="00266B15">
        <w:rPr>
          <w:rFonts w:ascii="Arial" w:hAnsi="Arial" w:cs="Arial"/>
        </w:rPr>
        <w:t xml:space="preserve"> activity was tested using the optical semi-</w:t>
      </w:r>
      <w:proofErr w:type="spellStart"/>
      <w:r w:rsidRPr="00266B15">
        <w:rPr>
          <w:rFonts w:ascii="Arial" w:hAnsi="Arial" w:cs="Arial"/>
        </w:rPr>
        <w:t>microtest</w:t>
      </w:r>
      <w:proofErr w:type="spellEnd"/>
      <w:r w:rsidRPr="00266B15">
        <w:rPr>
          <w:rFonts w:ascii="Arial" w:hAnsi="Arial" w:cs="Arial"/>
        </w:rPr>
        <w:t xml:space="preserve"> method developed by Rieckman et al. (1978) and adopted by the WHO for monitoring the emergence of parasite resistance to antimalarial drugs (Mark III Test). Plasmodia in the annular stage of Plasmodium falciparum strains were maintained in decreasing concentrations of the drugs under study in 96-well microplates for 72 hours. Each extract was tested in duplicate. At the end of each incubation period, new plates were prepared containing the incubated solutions and reagents such as MALSTAT and NBT/PES. After 15 minutes of incubation, the absorbances were read at 630 nm. Smears were made for each well, and parasitemia was determined using an optical microscope.</w:t>
      </w:r>
    </w:p>
    <w:p w14:paraId="41400A27" w14:textId="77777777" w:rsidR="00D73F21" w:rsidRPr="00266B15" w:rsidRDefault="00D73F21" w:rsidP="00D73F21">
      <w:pPr>
        <w:spacing w:line="360" w:lineRule="auto"/>
        <w:jc w:val="both"/>
        <w:rPr>
          <w:rFonts w:ascii="Arial" w:hAnsi="Arial" w:cs="Arial"/>
        </w:rPr>
      </w:pPr>
      <w:r w:rsidRPr="00266B15">
        <w:rPr>
          <w:rFonts w:ascii="Arial" w:hAnsi="Arial" w:cs="Arial"/>
        </w:rPr>
        <w:t>The percentage of parasite growth inhibition was calculated using the following formula:</w:t>
      </w:r>
    </w:p>
    <w:p w14:paraId="50D261A5" w14:textId="77777777" w:rsidR="00D73F21" w:rsidRPr="00266B15" w:rsidRDefault="00D73F21" w:rsidP="00D73F21">
      <w:pPr>
        <w:spacing w:line="360" w:lineRule="auto"/>
        <w:jc w:val="both"/>
        <w:rPr>
          <w:rFonts w:ascii="Arial" w:hAnsi="Arial" w:cs="Arial"/>
        </w:rPr>
      </w:pPr>
    </w:p>
    <w:p w14:paraId="31F8CADD" w14:textId="77777777" w:rsidR="00D73F21" w:rsidRPr="00266B15" w:rsidRDefault="00D73F21" w:rsidP="00D73F21">
      <w:pPr>
        <w:spacing w:line="360" w:lineRule="auto"/>
        <w:jc w:val="both"/>
        <w:rPr>
          <w:rFonts w:ascii="Arial" w:hAnsi="Arial" w:cs="Arial"/>
        </w:rPr>
      </w:pPr>
      <m:oMathPara>
        <m:oMath>
          <m:r>
            <m:rPr>
              <m:sty m:val="b"/>
            </m:rPr>
            <w:rPr>
              <w:rFonts w:ascii="Cambria Math" w:hAnsi="Cambria Math" w:cs="Arial"/>
            </w:rPr>
            <m:t>% inhibition of parasite growth=</m:t>
          </m:r>
          <m:f>
            <m:fPr>
              <m:ctrlPr>
                <w:rPr>
                  <w:rFonts w:ascii="Cambria Math" w:hAnsi="Cambria Math" w:cs="Arial"/>
                  <w:b/>
                  <w:iCs/>
                </w:rPr>
              </m:ctrlPr>
            </m:fPr>
            <m:num>
              <m:r>
                <m:rPr>
                  <m:sty m:val="bi"/>
                </m:rPr>
                <w:rPr>
                  <w:rFonts w:ascii="Cambria Math" w:hAnsi="Cambria Math" w:cs="Arial"/>
                </w:rPr>
                <m:t>mean parasitemia of the test well</m:t>
              </m:r>
            </m:num>
            <m:den>
              <m:r>
                <m:rPr>
                  <m:sty m:val="bi"/>
                </m:rPr>
                <w:rPr>
                  <w:rFonts w:ascii="Cambria Math" w:hAnsi="Cambria Math" w:cs="Arial"/>
                </w:rPr>
                <m:t>mean parasitemia of the control well</m:t>
              </m:r>
            </m:den>
          </m:f>
        </m:oMath>
      </m:oMathPara>
    </w:p>
    <w:p w14:paraId="308B448C" w14:textId="77777777" w:rsidR="00D73F21" w:rsidRPr="00266B15" w:rsidRDefault="00D73F21" w:rsidP="00D73F21">
      <w:pPr>
        <w:spacing w:line="360" w:lineRule="auto"/>
        <w:jc w:val="both"/>
        <w:rPr>
          <w:rFonts w:ascii="Arial" w:hAnsi="Arial" w:cs="Arial"/>
        </w:rPr>
      </w:pPr>
      <w:r w:rsidRPr="00266B15">
        <w:rPr>
          <w:rFonts w:ascii="Arial" w:hAnsi="Arial" w:cs="Arial"/>
        </w:rPr>
        <w:t>The 50% inhibitory concentration (IC50) was determined for each extract using the equation of the curve obtained by plotting the percentage of parasite growth inhibition against drug concentration using logarithmic regression.</w:t>
      </w:r>
    </w:p>
    <w:p w14:paraId="69D1748A" w14:textId="77777777" w:rsidR="00D73F21" w:rsidRPr="00266B15" w:rsidRDefault="00D73F21" w:rsidP="00D73F21">
      <w:pPr>
        <w:spacing w:line="360" w:lineRule="auto"/>
        <w:jc w:val="both"/>
        <w:rPr>
          <w:rFonts w:ascii="Arial" w:hAnsi="Arial" w:cs="Arial"/>
        </w:rPr>
      </w:pPr>
    </w:p>
    <w:p w14:paraId="2370CF7D" w14:textId="77777777" w:rsidR="00D73F21" w:rsidRPr="00266B15" w:rsidRDefault="00D73F21" w:rsidP="00D804EB">
      <w:pPr>
        <w:pStyle w:val="ListParagraph"/>
        <w:numPr>
          <w:ilvl w:val="3"/>
          <w:numId w:val="36"/>
        </w:numPr>
        <w:spacing w:line="360" w:lineRule="auto"/>
        <w:jc w:val="both"/>
        <w:rPr>
          <w:rFonts w:ascii="Arial" w:hAnsi="Arial" w:cs="Arial"/>
          <w:b/>
          <w:bCs/>
          <w:i/>
          <w:iCs/>
          <w:sz w:val="20"/>
          <w:szCs w:val="20"/>
        </w:rPr>
      </w:pPr>
      <w:r w:rsidRPr="00266B15">
        <w:rPr>
          <w:rFonts w:ascii="Arial" w:hAnsi="Arial" w:cs="Arial"/>
          <w:b/>
          <w:bCs/>
          <w:i/>
          <w:iCs/>
          <w:sz w:val="20"/>
          <w:szCs w:val="20"/>
        </w:rPr>
        <w:t>In vitro antibacterial and antifungal activity</w:t>
      </w:r>
    </w:p>
    <w:p w14:paraId="39D4C3D4" w14:textId="77777777" w:rsidR="00D73F21" w:rsidRPr="00266B15" w:rsidRDefault="00D73F21" w:rsidP="00D73F21">
      <w:pPr>
        <w:pStyle w:val="ListParagraph"/>
        <w:numPr>
          <w:ilvl w:val="0"/>
          <w:numId w:val="32"/>
        </w:numPr>
        <w:spacing w:line="360" w:lineRule="auto"/>
        <w:jc w:val="both"/>
        <w:rPr>
          <w:rFonts w:ascii="Arial" w:hAnsi="Arial" w:cs="Arial"/>
          <w:b/>
          <w:bCs/>
          <w:sz w:val="20"/>
          <w:szCs w:val="20"/>
        </w:rPr>
      </w:pPr>
      <w:r w:rsidRPr="00266B15">
        <w:rPr>
          <w:rFonts w:ascii="Arial" w:hAnsi="Arial" w:cs="Arial"/>
          <w:b/>
          <w:bCs/>
          <w:sz w:val="20"/>
          <w:szCs w:val="20"/>
        </w:rPr>
        <w:t xml:space="preserve">Bacterial culture medium </w:t>
      </w:r>
    </w:p>
    <w:p w14:paraId="3269788E" w14:textId="124472B9" w:rsidR="00D73F21" w:rsidRPr="00266B15" w:rsidRDefault="00D73F21" w:rsidP="00D73F21">
      <w:pPr>
        <w:spacing w:line="360" w:lineRule="auto"/>
        <w:jc w:val="both"/>
        <w:rPr>
          <w:rFonts w:ascii="Arial" w:hAnsi="Arial" w:cs="Arial"/>
        </w:rPr>
      </w:pPr>
      <w:r w:rsidRPr="00266B15">
        <w:rPr>
          <w:rFonts w:ascii="Arial" w:hAnsi="Arial" w:cs="Arial"/>
        </w:rPr>
        <w:lastRenderedPageBreak/>
        <w:t xml:space="preserve">In a 2-liter bottle, 38 g of Muller Hinton II medium powder is added to 1000 mL of distilled water. The mixture is heated while stirring and brought to a boil for 1 min, then autoclaved for </w:t>
      </w:r>
      <w:r w:rsidR="00582FAB" w:rsidRPr="00266B15">
        <w:rPr>
          <w:rFonts w:ascii="Arial" w:hAnsi="Arial" w:cs="Arial"/>
        </w:rPr>
        <w:t>20 minutes</w:t>
      </w:r>
      <w:r w:rsidRPr="00266B15">
        <w:rPr>
          <w:rFonts w:ascii="Arial" w:hAnsi="Arial" w:cs="Arial"/>
        </w:rPr>
        <w:t xml:space="preserve"> at 121°C, avoiding overheating. Muller Hinton agar (v: 22 mL) is poured into 90 mm Petri dishes to obtain a thickness of 4 mm. The agar is allowed to solidify on a level table and the dishes are dried at 37°C in an oven for 30 minutes before use.</w:t>
      </w:r>
    </w:p>
    <w:p w14:paraId="13429F94" w14:textId="77777777" w:rsidR="00D73F21" w:rsidRPr="00266B15" w:rsidRDefault="00D73F21" w:rsidP="00D73F21">
      <w:pPr>
        <w:pStyle w:val="ListParagraph"/>
        <w:numPr>
          <w:ilvl w:val="0"/>
          <w:numId w:val="32"/>
        </w:numPr>
        <w:spacing w:line="360" w:lineRule="auto"/>
        <w:jc w:val="both"/>
        <w:rPr>
          <w:rFonts w:ascii="Arial" w:hAnsi="Arial" w:cs="Arial"/>
          <w:b/>
          <w:bCs/>
          <w:sz w:val="20"/>
          <w:szCs w:val="20"/>
        </w:rPr>
      </w:pPr>
      <w:r w:rsidRPr="00266B15">
        <w:rPr>
          <w:rFonts w:ascii="Arial" w:hAnsi="Arial" w:cs="Arial"/>
          <w:b/>
          <w:bCs/>
          <w:sz w:val="20"/>
          <w:szCs w:val="20"/>
        </w:rPr>
        <w:t>Fungal culture medium</w:t>
      </w:r>
    </w:p>
    <w:p w14:paraId="7DF0A8E2" w14:textId="09A22008" w:rsidR="00D73F21" w:rsidRPr="00266B15" w:rsidRDefault="00D73F21" w:rsidP="00D73F21">
      <w:pPr>
        <w:spacing w:line="360" w:lineRule="auto"/>
        <w:jc w:val="both"/>
        <w:rPr>
          <w:rFonts w:ascii="Arial" w:hAnsi="Arial" w:cs="Arial"/>
        </w:rPr>
      </w:pPr>
      <w:r w:rsidRPr="00266B15">
        <w:rPr>
          <w:rFonts w:ascii="Arial" w:hAnsi="Arial" w:cs="Arial"/>
        </w:rPr>
        <w:t xml:space="preserve">Yeast suspensions were prepared from </w:t>
      </w:r>
      <w:proofErr w:type="spellStart"/>
      <w:r w:rsidRPr="00266B15">
        <w:rPr>
          <w:rFonts w:ascii="Arial" w:hAnsi="Arial" w:cs="Arial"/>
        </w:rPr>
        <w:t>Sabouraud</w:t>
      </w:r>
      <w:proofErr w:type="spellEnd"/>
      <w:r w:rsidRPr="00266B15">
        <w:rPr>
          <w:rFonts w:ascii="Arial" w:hAnsi="Arial" w:cs="Arial"/>
        </w:rPr>
        <w:t xml:space="preserve"> agar enrichment broth with chloramphenicol. </w:t>
      </w:r>
      <w:proofErr w:type="spellStart"/>
      <w:r w:rsidRPr="00266B15">
        <w:rPr>
          <w:rFonts w:ascii="Arial" w:hAnsi="Arial" w:cs="Arial"/>
        </w:rPr>
        <w:t>Sabouraud</w:t>
      </w:r>
      <w:proofErr w:type="spellEnd"/>
      <w:r w:rsidRPr="00266B15">
        <w:rPr>
          <w:rFonts w:ascii="Arial" w:hAnsi="Arial" w:cs="Arial"/>
        </w:rPr>
        <w:t xml:space="preserve"> agar is a general-purpose medium that allows for the growth and isolation of a wide variety of yeasts and molds. The preparation consists of suspending 65.5 grams of the mixture in 1 liter of pure water, then bringing the medium to a boil under constant stirring for at least 1 minute; then introducing it into tubes or bottles and finally autoclaving at</w:t>
      </w:r>
      <w:r w:rsidR="00CD4AC6" w:rsidRPr="00266B15">
        <w:rPr>
          <w:rFonts w:ascii="Arial" w:hAnsi="Arial" w:cs="Arial"/>
        </w:rPr>
        <w:t>120°C</w:t>
      </w:r>
      <w:r w:rsidRPr="00266B15">
        <w:rPr>
          <w:rFonts w:ascii="Arial" w:hAnsi="Arial" w:cs="Arial"/>
        </w:rPr>
        <w:t xml:space="preserve"> for </w:t>
      </w:r>
      <w:r w:rsidR="00C20363" w:rsidRPr="00266B15">
        <w:rPr>
          <w:rFonts w:ascii="Arial" w:hAnsi="Arial" w:cs="Arial"/>
        </w:rPr>
        <w:t>20</w:t>
      </w:r>
      <w:r w:rsidRPr="00266B15">
        <w:rPr>
          <w:rFonts w:ascii="Arial" w:hAnsi="Arial" w:cs="Arial"/>
        </w:rPr>
        <w:t xml:space="preserve"> minutes.</w:t>
      </w:r>
    </w:p>
    <w:p w14:paraId="148BE82E" w14:textId="77777777" w:rsidR="00D73F21" w:rsidRPr="00266B15" w:rsidRDefault="00D73F21" w:rsidP="00D73F21">
      <w:pPr>
        <w:pStyle w:val="ListParagraph"/>
        <w:numPr>
          <w:ilvl w:val="0"/>
          <w:numId w:val="32"/>
        </w:numPr>
        <w:spacing w:line="360" w:lineRule="auto"/>
        <w:jc w:val="both"/>
        <w:rPr>
          <w:rFonts w:ascii="Arial" w:hAnsi="Arial" w:cs="Arial"/>
          <w:b/>
          <w:bCs/>
          <w:sz w:val="20"/>
          <w:szCs w:val="20"/>
        </w:rPr>
      </w:pPr>
      <w:r w:rsidRPr="00266B15">
        <w:rPr>
          <w:rFonts w:ascii="Arial" w:hAnsi="Arial" w:cs="Arial"/>
          <w:b/>
          <w:bCs/>
          <w:sz w:val="20"/>
          <w:szCs w:val="20"/>
        </w:rPr>
        <w:t>Preparation of the bacterial inoculum</w:t>
      </w:r>
    </w:p>
    <w:p w14:paraId="5656ECC6" w14:textId="2BB38303" w:rsidR="00D73F21" w:rsidRPr="00266B15" w:rsidRDefault="00D73F21" w:rsidP="00D73F21">
      <w:pPr>
        <w:spacing w:line="360" w:lineRule="auto"/>
        <w:jc w:val="both"/>
        <w:rPr>
          <w:rFonts w:ascii="Arial" w:hAnsi="Arial" w:cs="Arial"/>
        </w:rPr>
      </w:pPr>
      <w:r w:rsidRPr="00266B15">
        <w:rPr>
          <w:rFonts w:ascii="Arial" w:hAnsi="Arial" w:cs="Arial"/>
        </w:rPr>
        <w:t>The nutrient broth consists of 7.5 g of peptone, 1.5 g of yeast extract, 3 g of NaCl, and 0.5 g of glucose. The pH is adjusted to 7.5 at a temperature of 37°C for 500 ml of distilled water. Ten milliliters (10 ml) of nutrient broth were added to each test tube</w:t>
      </w:r>
      <w:r w:rsidR="00755425" w:rsidRPr="00266B15">
        <w:rPr>
          <w:rFonts w:ascii="Arial" w:hAnsi="Arial" w:cs="Arial"/>
        </w:rPr>
        <w:t xml:space="preserve"> which were loosely capped </w:t>
      </w:r>
      <w:proofErr w:type="gramStart"/>
      <w:r w:rsidR="00755425" w:rsidRPr="00266B15">
        <w:rPr>
          <w:rFonts w:ascii="Arial" w:hAnsi="Arial" w:cs="Arial"/>
        </w:rPr>
        <w:t xml:space="preserve">and </w:t>
      </w:r>
      <w:r w:rsidRPr="00266B15">
        <w:rPr>
          <w:rFonts w:ascii="Arial" w:hAnsi="Arial" w:cs="Arial"/>
        </w:rPr>
        <w:t xml:space="preserve"> sterilized</w:t>
      </w:r>
      <w:proofErr w:type="gramEnd"/>
      <w:r w:rsidRPr="00266B15">
        <w:rPr>
          <w:rFonts w:ascii="Arial" w:hAnsi="Arial" w:cs="Arial"/>
        </w:rPr>
        <w:t xml:space="preserve"> for 15 minutes at 121°C in an autoclave. </w:t>
      </w:r>
    </w:p>
    <w:p w14:paraId="5FC64D62" w14:textId="0F02ADB0" w:rsidR="00D73F21" w:rsidRPr="00266B15" w:rsidRDefault="00D73F21" w:rsidP="00D73F21">
      <w:pPr>
        <w:spacing w:line="360" w:lineRule="auto"/>
        <w:jc w:val="both"/>
        <w:rPr>
          <w:rFonts w:ascii="Arial" w:hAnsi="Arial" w:cs="Arial"/>
        </w:rPr>
      </w:pPr>
      <w:r w:rsidRPr="00266B15">
        <w:rPr>
          <w:rFonts w:ascii="Arial" w:hAnsi="Arial" w:cs="Arial"/>
        </w:rPr>
        <w:t xml:space="preserve">Using a </w:t>
      </w:r>
      <w:r w:rsidR="002F13F2" w:rsidRPr="00266B15">
        <w:rPr>
          <w:rFonts w:ascii="Arial" w:hAnsi="Arial" w:cs="Arial"/>
        </w:rPr>
        <w:t xml:space="preserve">sterilized </w:t>
      </w:r>
      <w:r w:rsidRPr="00266B15">
        <w:rPr>
          <w:rFonts w:ascii="Arial" w:hAnsi="Arial" w:cs="Arial"/>
        </w:rPr>
        <w:t xml:space="preserve">Pasteur pipette with a bulb, a sufficient quantity of the different bacterial </w:t>
      </w:r>
      <w:r w:rsidR="00507529" w:rsidRPr="00266B15">
        <w:rPr>
          <w:rFonts w:ascii="Arial" w:hAnsi="Arial" w:cs="Arial"/>
        </w:rPr>
        <w:t xml:space="preserve">for each </w:t>
      </w:r>
      <w:proofErr w:type="gramStart"/>
      <w:r w:rsidRPr="00266B15">
        <w:rPr>
          <w:rFonts w:ascii="Arial" w:hAnsi="Arial" w:cs="Arial"/>
        </w:rPr>
        <w:t>strains</w:t>
      </w:r>
      <w:proofErr w:type="gramEnd"/>
      <w:r w:rsidRPr="00266B15">
        <w:rPr>
          <w:rFonts w:ascii="Arial" w:hAnsi="Arial" w:cs="Arial"/>
        </w:rPr>
        <w:t xml:space="preserve"> was scraped out separately. The bacterial strains from each 24-hour culture broth were emulsified in 10 ml of 0.9% NaCl physiological medium to form a bacterial suspension.</w:t>
      </w:r>
    </w:p>
    <w:p w14:paraId="55938031" w14:textId="77777777" w:rsidR="00D73F21" w:rsidRPr="00266B15" w:rsidRDefault="00D73F21" w:rsidP="00D73F21">
      <w:pPr>
        <w:spacing w:line="360" w:lineRule="auto"/>
        <w:jc w:val="both"/>
        <w:rPr>
          <w:rFonts w:ascii="Arial" w:hAnsi="Arial" w:cs="Arial"/>
        </w:rPr>
      </w:pPr>
    </w:p>
    <w:p w14:paraId="16A9BE9B" w14:textId="77777777" w:rsidR="00D73F21" w:rsidRPr="00266B15" w:rsidRDefault="00D73F21" w:rsidP="00D73F21">
      <w:pPr>
        <w:pStyle w:val="ListParagraph"/>
        <w:numPr>
          <w:ilvl w:val="0"/>
          <w:numId w:val="33"/>
        </w:numPr>
        <w:spacing w:line="360" w:lineRule="auto"/>
        <w:jc w:val="both"/>
        <w:rPr>
          <w:rFonts w:ascii="Arial" w:hAnsi="Arial" w:cs="Arial"/>
          <w:b/>
          <w:bCs/>
          <w:sz w:val="20"/>
          <w:szCs w:val="20"/>
        </w:rPr>
      </w:pPr>
      <w:r w:rsidRPr="00266B15">
        <w:rPr>
          <w:rFonts w:ascii="Arial" w:hAnsi="Arial" w:cs="Arial"/>
          <w:b/>
          <w:bCs/>
          <w:sz w:val="20"/>
          <w:szCs w:val="20"/>
        </w:rPr>
        <w:t>Antibacterial and antifungal tests</w:t>
      </w:r>
    </w:p>
    <w:p w14:paraId="0901FBE1" w14:textId="20B5D518" w:rsidR="00D73F21" w:rsidRPr="00266B15" w:rsidRDefault="00D73F21" w:rsidP="00D73F21">
      <w:pPr>
        <w:spacing w:line="360" w:lineRule="auto"/>
        <w:jc w:val="both"/>
        <w:rPr>
          <w:rFonts w:ascii="Arial" w:hAnsi="Arial" w:cs="Arial"/>
        </w:rPr>
      </w:pPr>
      <w:r w:rsidRPr="00266B15">
        <w:rPr>
          <w:rFonts w:ascii="Arial" w:hAnsi="Arial" w:cs="Arial"/>
        </w:rPr>
        <w:t>The antibacterial activity of the extracts was evaluated using the method described (Gupta &amp; Gupta, 2011). The strains were inoculated using the streak method in Petri dishes containing Mueller Hinton/</w:t>
      </w:r>
      <w:proofErr w:type="spellStart"/>
      <w:r w:rsidRPr="00266B15">
        <w:rPr>
          <w:rFonts w:ascii="Arial" w:hAnsi="Arial" w:cs="Arial"/>
        </w:rPr>
        <w:t>Sabouraud</w:t>
      </w:r>
      <w:proofErr w:type="spellEnd"/>
      <w:r w:rsidRPr="00266B15">
        <w:rPr>
          <w:rFonts w:ascii="Arial" w:hAnsi="Arial" w:cs="Arial"/>
        </w:rPr>
        <w:t xml:space="preserve"> medium. </w:t>
      </w:r>
      <w:r w:rsidR="00815493" w:rsidRPr="00266B15">
        <w:rPr>
          <w:rFonts w:ascii="Arial" w:hAnsi="Arial" w:cs="Arial"/>
        </w:rPr>
        <w:t xml:space="preserve"> The bacterial suspension was used to uniformly flood </w:t>
      </w:r>
      <w:proofErr w:type="gramStart"/>
      <w:r w:rsidR="00815493" w:rsidRPr="00266B15">
        <w:rPr>
          <w:rFonts w:ascii="Arial" w:hAnsi="Arial" w:cs="Arial"/>
        </w:rPr>
        <w:t>the  entire</w:t>
      </w:r>
      <w:proofErr w:type="gramEnd"/>
      <w:r w:rsidR="00815493" w:rsidRPr="00266B15">
        <w:rPr>
          <w:rFonts w:ascii="Arial" w:hAnsi="Arial" w:cs="Arial"/>
        </w:rPr>
        <w:t xml:space="preserve"> agar medium for a few minutes. The excess suspension was then removed by aspiration, and the plate were allowed to dry for </w:t>
      </w:r>
      <w:r w:rsidRPr="00266B15">
        <w:rPr>
          <w:rFonts w:ascii="Arial" w:hAnsi="Arial" w:cs="Arial"/>
        </w:rPr>
        <w:t>30 minutes. A 6 mm diameter Whatman paper soaked in 10 µL of an extract at different concentrations (</w:t>
      </w:r>
      <w:r w:rsidR="00C5230E" w:rsidRPr="00266B15">
        <w:rPr>
          <w:rFonts w:ascii="Arial" w:hAnsi="Arial" w:cs="Arial"/>
        </w:rPr>
        <w:t>20</w:t>
      </w:r>
      <w:r w:rsidR="00602352" w:rsidRPr="00266B15">
        <w:rPr>
          <w:rFonts w:ascii="Arial" w:hAnsi="Arial" w:cs="Arial"/>
        </w:rPr>
        <w:t>mg/mL</w:t>
      </w:r>
      <w:r w:rsidRPr="00266B15">
        <w:rPr>
          <w:rFonts w:ascii="Arial" w:hAnsi="Arial" w:cs="Arial"/>
        </w:rPr>
        <w:t xml:space="preserve">) was placed in a Petri dish, and the whole thing was incubated </w:t>
      </w:r>
      <w:r w:rsidR="00876368" w:rsidRPr="00266B15">
        <w:rPr>
          <w:rFonts w:ascii="Arial" w:hAnsi="Arial" w:cs="Arial"/>
        </w:rPr>
        <w:t xml:space="preserve">37°C </w:t>
      </w:r>
      <w:r w:rsidRPr="00266B15">
        <w:rPr>
          <w:rFonts w:ascii="Arial" w:hAnsi="Arial" w:cs="Arial"/>
        </w:rPr>
        <w:t xml:space="preserve">for 24 hours. Ciprofloxacin and </w:t>
      </w:r>
      <w:proofErr w:type="spellStart"/>
      <w:r w:rsidRPr="00266B15">
        <w:rPr>
          <w:rFonts w:ascii="Arial" w:hAnsi="Arial" w:cs="Arial"/>
        </w:rPr>
        <w:t>flucanazole</w:t>
      </w:r>
      <w:proofErr w:type="spellEnd"/>
      <w:r w:rsidRPr="00266B15">
        <w:rPr>
          <w:rFonts w:ascii="Arial" w:hAnsi="Arial" w:cs="Arial"/>
        </w:rPr>
        <w:t xml:space="preserve"> were used as positive controls. </w:t>
      </w:r>
    </w:p>
    <w:p w14:paraId="2C28A9BA" w14:textId="77777777" w:rsidR="00D73F21" w:rsidRPr="00266B15" w:rsidRDefault="00D73F21" w:rsidP="00D73F21">
      <w:pPr>
        <w:spacing w:line="360" w:lineRule="auto"/>
        <w:jc w:val="both"/>
        <w:rPr>
          <w:rFonts w:ascii="Arial" w:hAnsi="Arial" w:cs="Arial"/>
        </w:rPr>
      </w:pPr>
      <w:r w:rsidRPr="00266B15">
        <w:rPr>
          <w:rFonts w:ascii="Arial" w:hAnsi="Arial" w:cs="Arial"/>
        </w:rPr>
        <w:t>Sensitivity to the extracts is measured using a digital ruler after 24 hours of incubation. The results are expressed as the diameters of the inhibition zones produced around the discs.</w:t>
      </w:r>
    </w:p>
    <w:p w14:paraId="2F0406E2" w14:textId="77777777" w:rsidR="00D73F21" w:rsidRPr="00266B15" w:rsidRDefault="00D73F21" w:rsidP="00D73F21">
      <w:pPr>
        <w:spacing w:line="360" w:lineRule="auto"/>
        <w:jc w:val="both"/>
        <w:rPr>
          <w:rFonts w:ascii="Arial" w:hAnsi="Arial" w:cs="Arial"/>
        </w:rPr>
      </w:pPr>
    </w:p>
    <w:p w14:paraId="4888DC6D" w14:textId="77777777" w:rsidR="00D73F21" w:rsidRPr="00266B15" w:rsidRDefault="00D73F21" w:rsidP="00D804EB">
      <w:pPr>
        <w:pStyle w:val="ListParagraph"/>
        <w:numPr>
          <w:ilvl w:val="3"/>
          <w:numId w:val="36"/>
        </w:numPr>
        <w:spacing w:line="360" w:lineRule="auto"/>
        <w:jc w:val="both"/>
        <w:rPr>
          <w:rFonts w:ascii="Arial" w:hAnsi="Arial" w:cs="Arial"/>
          <w:b/>
          <w:bCs/>
          <w:i/>
          <w:iCs/>
          <w:sz w:val="20"/>
          <w:szCs w:val="20"/>
        </w:rPr>
      </w:pPr>
      <w:r w:rsidRPr="00266B15">
        <w:rPr>
          <w:rFonts w:ascii="Arial" w:hAnsi="Arial" w:cs="Arial"/>
          <w:b/>
          <w:bCs/>
          <w:i/>
          <w:iCs/>
          <w:sz w:val="20"/>
          <w:szCs w:val="20"/>
        </w:rPr>
        <w:t>Statistical analysis</w:t>
      </w:r>
    </w:p>
    <w:p w14:paraId="457D10A6" w14:textId="77777777" w:rsidR="00D73F21" w:rsidRPr="00266B15" w:rsidRDefault="00D73F21" w:rsidP="00D73F21">
      <w:pPr>
        <w:spacing w:line="360" w:lineRule="auto"/>
        <w:jc w:val="both"/>
        <w:rPr>
          <w:rFonts w:ascii="Arial" w:hAnsi="Arial" w:cs="Arial"/>
        </w:rPr>
      </w:pPr>
      <w:r w:rsidRPr="00266B15">
        <w:rPr>
          <w:rFonts w:ascii="Arial" w:hAnsi="Arial" w:cs="Arial"/>
        </w:rPr>
        <w:lastRenderedPageBreak/>
        <w:t xml:space="preserve">Microsoft Excel 2016 software was used to obtain the standard curves and graphs, as well as the inhibition percentages and averages. XLSTAT 2016 software was used for principal component analysis (PCA). Table Curve version 5.0 software was used to process the </w:t>
      </w:r>
      <w:proofErr w:type="spellStart"/>
      <w:r w:rsidRPr="00266B15">
        <w:rPr>
          <w:rFonts w:ascii="Arial" w:hAnsi="Arial" w:cs="Arial"/>
        </w:rPr>
        <w:t>antiplasmodial</w:t>
      </w:r>
      <w:proofErr w:type="spellEnd"/>
      <w:r w:rsidRPr="00266B15">
        <w:rPr>
          <w:rFonts w:ascii="Arial" w:hAnsi="Arial" w:cs="Arial"/>
        </w:rPr>
        <w:t xml:space="preserve"> activity data.</w:t>
      </w:r>
    </w:p>
    <w:p w14:paraId="6F3B1FA2" w14:textId="702D491A" w:rsidR="00AA74E0" w:rsidRPr="00266B15" w:rsidRDefault="00AA74E0" w:rsidP="00441B6F">
      <w:pPr>
        <w:pStyle w:val="Body"/>
        <w:spacing w:after="0"/>
        <w:rPr>
          <w:rFonts w:ascii="Arial" w:hAnsi="Arial" w:cs="Arial"/>
        </w:rPr>
      </w:pPr>
    </w:p>
    <w:p w14:paraId="4A398FD3" w14:textId="77777777" w:rsidR="00790ADA" w:rsidRPr="00266B15" w:rsidRDefault="00790ADA" w:rsidP="00441B6F">
      <w:pPr>
        <w:pStyle w:val="Body"/>
        <w:spacing w:after="0"/>
        <w:rPr>
          <w:rFonts w:ascii="Arial" w:hAnsi="Arial" w:cs="Arial"/>
        </w:rPr>
      </w:pPr>
    </w:p>
    <w:p w14:paraId="1D4F62CD" w14:textId="77777777" w:rsidR="00902823" w:rsidRPr="00266B15" w:rsidRDefault="00000F8F" w:rsidP="00441B6F">
      <w:pPr>
        <w:pStyle w:val="Head1"/>
        <w:spacing w:after="0"/>
        <w:jc w:val="both"/>
        <w:rPr>
          <w:rFonts w:ascii="Arial" w:hAnsi="Arial" w:cs="Arial"/>
        </w:rPr>
      </w:pPr>
      <w:r w:rsidRPr="00266B15">
        <w:rPr>
          <w:rFonts w:ascii="Arial" w:hAnsi="Arial" w:cs="Arial"/>
        </w:rPr>
        <w:t>3</w:t>
      </w:r>
      <w:r w:rsidR="00902823" w:rsidRPr="00266B15">
        <w:rPr>
          <w:rFonts w:ascii="Arial" w:hAnsi="Arial" w:cs="Arial"/>
        </w:rPr>
        <w:t xml:space="preserve">. </w:t>
      </w:r>
      <w:r w:rsidRPr="00266B15">
        <w:rPr>
          <w:rFonts w:ascii="Arial" w:hAnsi="Arial" w:cs="Arial"/>
        </w:rPr>
        <w:t>results and discussion</w:t>
      </w:r>
    </w:p>
    <w:p w14:paraId="098E2173" w14:textId="77777777" w:rsidR="00790ADA" w:rsidRPr="00266B15" w:rsidRDefault="00790ADA" w:rsidP="00441B6F">
      <w:pPr>
        <w:pStyle w:val="Head1"/>
        <w:spacing w:after="0"/>
        <w:jc w:val="both"/>
        <w:rPr>
          <w:rFonts w:ascii="Arial" w:hAnsi="Arial" w:cs="Arial"/>
        </w:rPr>
      </w:pPr>
    </w:p>
    <w:p w14:paraId="68AB6462" w14:textId="22DEF3BE" w:rsidR="006E7F00" w:rsidRPr="00266B15" w:rsidRDefault="00F750A9" w:rsidP="004256B2">
      <w:pPr>
        <w:pStyle w:val="Body"/>
        <w:spacing w:after="0"/>
        <w:rPr>
          <w:rFonts w:ascii="Arial" w:hAnsi="Arial" w:cs="Arial"/>
          <w:b/>
          <w:bCs/>
        </w:rPr>
      </w:pPr>
      <w:r w:rsidRPr="00266B15">
        <w:rPr>
          <w:rFonts w:ascii="Arial" w:hAnsi="Arial" w:cs="Arial"/>
          <w:b/>
          <w:bCs/>
        </w:rPr>
        <w:t xml:space="preserve">3.1. </w:t>
      </w:r>
      <w:r w:rsidR="006E7F00" w:rsidRPr="00266B15">
        <w:rPr>
          <w:rFonts w:ascii="Arial" w:hAnsi="Arial" w:cs="Arial"/>
          <w:b/>
          <w:bCs/>
        </w:rPr>
        <w:t>Phytochemical analyses</w:t>
      </w:r>
    </w:p>
    <w:p w14:paraId="12370202" w14:textId="77777777" w:rsidR="006E7F00" w:rsidRPr="00266B15" w:rsidRDefault="006E7F00" w:rsidP="006E7F00">
      <w:pPr>
        <w:pStyle w:val="ListParagraph"/>
        <w:numPr>
          <w:ilvl w:val="2"/>
          <w:numId w:val="34"/>
        </w:numPr>
        <w:spacing w:line="360" w:lineRule="auto"/>
        <w:jc w:val="both"/>
        <w:rPr>
          <w:rFonts w:ascii="Arial" w:hAnsi="Arial" w:cs="Arial"/>
          <w:sz w:val="20"/>
          <w:szCs w:val="20"/>
          <w:u w:val="single"/>
        </w:rPr>
      </w:pPr>
      <w:r w:rsidRPr="00266B15">
        <w:rPr>
          <w:rFonts w:ascii="Arial" w:hAnsi="Arial" w:cs="Arial"/>
          <w:b/>
          <w:bCs/>
          <w:sz w:val="20"/>
          <w:szCs w:val="20"/>
          <w:u w:val="single"/>
        </w:rPr>
        <w:t>Extraction yields</w:t>
      </w:r>
    </w:p>
    <w:p w14:paraId="6354CA9C" w14:textId="62FDCE5C" w:rsidR="006E7F00" w:rsidRPr="00266B15" w:rsidRDefault="006E7F00" w:rsidP="006E7F00">
      <w:pPr>
        <w:spacing w:line="360" w:lineRule="auto"/>
        <w:jc w:val="both"/>
        <w:rPr>
          <w:rFonts w:ascii="Arial" w:hAnsi="Arial" w:cs="Arial"/>
        </w:rPr>
      </w:pPr>
      <w:r w:rsidRPr="00266B15">
        <w:rPr>
          <w:rFonts w:ascii="Arial" w:hAnsi="Arial" w:cs="Arial"/>
        </w:rPr>
        <w:t xml:space="preserve">Extraction yields ranged from 6.6 to 11.13% and 12.5 to 16.6% (Table </w:t>
      </w:r>
      <w:r w:rsidR="006729E7" w:rsidRPr="00266B15">
        <w:rPr>
          <w:rFonts w:ascii="Arial" w:hAnsi="Arial" w:cs="Arial"/>
        </w:rPr>
        <w:t>1</w:t>
      </w:r>
      <w:r w:rsidRPr="00266B15">
        <w:rPr>
          <w:rFonts w:ascii="Arial" w:hAnsi="Arial" w:cs="Arial"/>
        </w:rPr>
        <w:t xml:space="preserve">). For ethanol extracts, the highest yield (11.13%) was obtained from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rPr>
        <w:t xml:space="preserve"> leaves and the lowest yield (6.6%) from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rPr>
        <w:t xml:space="preserve">. For hydroethanolic extracts, the highest yield was obtained from </w:t>
      </w:r>
      <w:r w:rsidRPr="00266B15">
        <w:rPr>
          <w:rFonts w:ascii="Arial" w:hAnsi="Arial" w:cs="Arial"/>
          <w:i/>
          <w:iCs/>
        </w:rPr>
        <w:t xml:space="preserve">Terminalia </w:t>
      </w:r>
      <w:proofErr w:type="spellStart"/>
      <w:r w:rsidRPr="00266B15">
        <w:rPr>
          <w:rFonts w:ascii="Arial" w:hAnsi="Arial" w:cs="Arial"/>
          <w:i/>
          <w:iCs/>
        </w:rPr>
        <w:t>avicennoides</w:t>
      </w:r>
      <w:proofErr w:type="spellEnd"/>
      <w:r w:rsidRPr="00266B15">
        <w:rPr>
          <w:rFonts w:ascii="Arial" w:hAnsi="Arial" w:cs="Arial"/>
        </w:rPr>
        <w:t xml:space="preserve"> leaves (16.6%) and the lowest yield from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rPr>
        <w:t xml:space="preserve"> (12.5%). The highest yields were obtained using hydroethanolic extract. These results show that water-ethanol mixtures are more effective than ethanol alone. Indeed, N'do et al. (2024) reported that water-ethanol solvents produced better yields than ethanol. </w:t>
      </w:r>
    </w:p>
    <w:p w14:paraId="46EDB23D" w14:textId="341C7E3D" w:rsidR="006E7F00" w:rsidRPr="00266B15" w:rsidRDefault="006E7F00" w:rsidP="006E7F00">
      <w:pPr>
        <w:spacing w:line="360" w:lineRule="auto"/>
        <w:jc w:val="both"/>
        <w:rPr>
          <w:rFonts w:ascii="Arial" w:hAnsi="Arial" w:cs="Arial"/>
        </w:rPr>
      </w:pPr>
      <w:r w:rsidRPr="00266B15">
        <w:rPr>
          <w:rFonts w:ascii="Arial" w:hAnsi="Arial" w:cs="Arial"/>
        </w:rPr>
        <w:t xml:space="preserve">Table </w:t>
      </w:r>
      <w:r w:rsidR="005E37A5" w:rsidRPr="00266B15">
        <w:rPr>
          <w:rFonts w:ascii="Arial" w:hAnsi="Arial" w:cs="Arial"/>
        </w:rPr>
        <w:t>1</w:t>
      </w:r>
      <w:r w:rsidRPr="00266B15">
        <w:rPr>
          <w:rFonts w:ascii="Arial" w:hAnsi="Arial" w:cs="Arial"/>
        </w:rPr>
        <w:t>: Yields of extracts from</w:t>
      </w:r>
      <w:r w:rsidRPr="00266B15">
        <w:rPr>
          <w:rFonts w:ascii="Arial" w:hAnsi="Arial" w:cs="Arial"/>
          <w:i/>
          <w:iCs/>
        </w:rPr>
        <w:t xml:space="preserve"> T. </w:t>
      </w:r>
      <w:proofErr w:type="spellStart"/>
      <w:r w:rsidRPr="00266B15">
        <w:rPr>
          <w:rFonts w:ascii="Arial" w:hAnsi="Arial" w:cs="Arial"/>
          <w:i/>
          <w:iCs/>
        </w:rPr>
        <w:t>macroptera</w:t>
      </w:r>
      <w:proofErr w:type="spellEnd"/>
      <w:r w:rsidRPr="00266B15">
        <w:rPr>
          <w:rFonts w:ascii="Arial" w:hAnsi="Arial" w:cs="Arial"/>
          <w:i/>
          <w:iCs/>
        </w:rPr>
        <w:t xml:space="preserve">, T. </w:t>
      </w:r>
      <w:proofErr w:type="spellStart"/>
      <w:r w:rsidRPr="00266B15">
        <w:rPr>
          <w:rFonts w:ascii="Arial" w:hAnsi="Arial" w:cs="Arial"/>
          <w:i/>
          <w:iCs/>
        </w:rPr>
        <w:t>avicennioides</w:t>
      </w:r>
      <w:proofErr w:type="spellEnd"/>
      <w:r w:rsidRPr="00266B15">
        <w:rPr>
          <w:rFonts w:ascii="Arial" w:hAnsi="Arial" w:cs="Arial"/>
          <w:i/>
          <w:iCs/>
        </w:rPr>
        <w:t xml:space="preserve">, and A. </w:t>
      </w:r>
      <w:proofErr w:type="spellStart"/>
      <w:r w:rsidRPr="00266B15">
        <w:rPr>
          <w:rFonts w:ascii="Arial" w:hAnsi="Arial" w:cs="Arial"/>
          <w:i/>
          <w:iCs/>
        </w:rPr>
        <w:t>mexicana</w:t>
      </w:r>
      <w:proofErr w:type="spellEnd"/>
    </w:p>
    <w:tbl>
      <w:tblPr>
        <w:tblStyle w:val="ListTable6Colorful"/>
        <w:tblW w:w="7088" w:type="dxa"/>
        <w:tblLayout w:type="fixed"/>
        <w:tblLook w:val="04A0" w:firstRow="1" w:lastRow="0" w:firstColumn="1" w:lastColumn="0" w:noHBand="0" w:noVBand="1"/>
      </w:tblPr>
      <w:tblGrid>
        <w:gridCol w:w="3544"/>
        <w:gridCol w:w="1496"/>
        <w:gridCol w:w="2048"/>
      </w:tblGrid>
      <w:tr w:rsidR="006E7F00" w:rsidRPr="00266B15" w14:paraId="3B837CF6" w14:textId="77777777" w:rsidTr="00A30F0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44" w:type="dxa"/>
            <w:vMerge w:val="restart"/>
          </w:tcPr>
          <w:p w14:paraId="27DBB9C2" w14:textId="77777777" w:rsidR="006E7F00" w:rsidRPr="00266B15" w:rsidRDefault="006E7F00" w:rsidP="003C4853">
            <w:pPr>
              <w:spacing w:line="360" w:lineRule="auto"/>
              <w:jc w:val="both"/>
              <w:rPr>
                <w:rFonts w:ascii="Arial" w:hAnsi="Arial" w:cs="Arial"/>
                <w:b w:val="0"/>
              </w:rPr>
            </w:pPr>
            <w:r w:rsidRPr="00266B15">
              <w:rPr>
                <w:rFonts w:ascii="Arial" w:hAnsi="Arial" w:cs="Arial"/>
              </w:rPr>
              <w:t>Species</w:t>
            </w:r>
          </w:p>
        </w:tc>
        <w:tc>
          <w:tcPr>
            <w:tcW w:w="3544" w:type="dxa"/>
            <w:gridSpan w:val="2"/>
          </w:tcPr>
          <w:p w14:paraId="33721B06"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iCs/>
              </w:rPr>
            </w:pPr>
            <w:r w:rsidRPr="00266B15">
              <w:rPr>
                <w:rFonts w:ascii="Arial" w:hAnsi="Arial" w:cs="Arial"/>
                <w:i/>
                <w:iCs/>
              </w:rPr>
              <w:t>Yield (%)</w:t>
            </w:r>
          </w:p>
        </w:tc>
      </w:tr>
      <w:tr w:rsidR="006E7F00" w:rsidRPr="00266B15" w14:paraId="49C26DD5" w14:textId="77777777" w:rsidTr="00A30F0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544" w:type="dxa"/>
            <w:vMerge/>
          </w:tcPr>
          <w:p w14:paraId="3E5DC3A8" w14:textId="77777777" w:rsidR="006E7F00" w:rsidRPr="00266B15" w:rsidRDefault="006E7F00" w:rsidP="003C4853">
            <w:pPr>
              <w:spacing w:line="360" w:lineRule="auto"/>
              <w:jc w:val="both"/>
              <w:rPr>
                <w:rFonts w:ascii="Arial" w:hAnsi="Arial" w:cs="Arial"/>
              </w:rPr>
            </w:pPr>
          </w:p>
        </w:tc>
        <w:tc>
          <w:tcPr>
            <w:tcW w:w="3544" w:type="dxa"/>
            <w:gridSpan w:val="2"/>
          </w:tcPr>
          <w:p w14:paraId="2E27D927"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Extract</w:t>
            </w:r>
          </w:p>
        </w:tc>
      </w:tr>
      <w:tr w:rsidR="006E7F00" w:rsidRPr="00266B15" w14:paraId="7A9BA958" w14:textId="77777777" w:rsidTr="00A30F04">
        <w:trPr>
          <w:trHeight w:val="449"/>
        </w:trPr>
        <w:tc>
          <w:tcPr>
            <w:cnfStyle w:val="001000000000" w:firstRow="0" w:lastRow="0" w:firstColumn="1" w:lastColumn="0" w:oddVBand="0" w:evenVBand="0" w:oddHBand="0" w:evenHBand="0" w:firstRowFirstColumn="0" w:firstRowLastColumn="0" w:lastRowFirstColumn="0" w:lastRowLastColumn="0"/>
            <w:tcW w:w="3544" w:type="dxa"/>
            <w:vMerge/>
          </w:tcPr>
          <w:p w14:paraId="42FC54DA" w14:textId="77777777" w:rsidR="006E7F00" w:rsidRPr="00266B15" w:rsidRDefault="006E7F00" w:rsidP="003C4853">
            <w:pPr>
              <w:spacing w:line="360" w:lineRule="auto"/>
              <w:jc w:val="both"/>
              <w:rPr>
                <w:rFonts w:ascii="Arial" w:hAnsi="Arial" w:cs="Arial"/>
              </w:rPr>
            </w:pPr>
          </w:p>
        </w:tc>
        <w:tc>
          <w:tcPr>
            <w:tcW w:w="1496" w:type="dxa"/>
          </w:tcPr>
          <w:p w14:paraId="65500C2E"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Ethanolic</w:t>
            </w:r>
          </w:p>
        </w:tc>
        <w:tc>
          <w:tcPr>
            <w:tcW w:w="2048" w:type="dxa"/>
          </w:tcPr>
          <w:p w14:paraId="4AF02A82"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66B15">
              <w:rPr>
                <w:rFonts w:ascii="Arial" w:hAnsi="Arial" w:cs="Arial"/>
              </w:rPr>
              <w:t>Hydroethanolics</w:t>
            </w:r>
            <w:proofErr w:type="spellEnd"/>
          </w:p>
        </w:tc>
      </w:tr>
      <w:tr w:rsidR="006E7F00" w:rsidRPr="00266B15" w14:paraId="039C9466" w14:textId="77777777" w:rsidTr="00A30F0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544" w:type="dxa"/>
          </w:tcPr>
          <w:p w14:paraId="40BC994B" w14:textId="77777777" w:rsidR="006E7F00" w:rsidRPr="00266B15" w:rsidRDefault="006E7F00" w:rsidP="003C4853">
            <w:pPr>
              <w:spacing w:line="360" w:lineRule="auto"/>
              <w:jc w:val="both"/>
              <w:rPr>
                <w:rFonts w:ascii="Arial" w:hAnsi="Arial" w:cs="Arial"/>
              </w:rPr>
            </w:pP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i/>
                <w:iCs/>
              </w:rPr>
              <w:t xml:space="preserve"> </w:t>
            </w:r>
            <w:proofErr w:type="spellStart"/>
            <w:r w:rsidRPr="00266B15">
              <w:rPr>
                <w:rFonts w:ascii="Arial" w:hAnsi="Arial" w:cs="Arial"/>
              </w:rPr>
              <w:t>Guill</w:t>
            </w:r>
            <w:proofErr w:type="spellEnd"/>
          </w:p>
        </w:tc>
        <w:tc>
          <w:tcPr>
            <w:tcW w:w="1496" w:type="dxa"/>
          </w:tcPr>
          <w:p w14:paraId="1E51A3B2"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11,13</w:t>
            </w:r>
          </w:p>
        </w:tc>
        <w:tc>
          <w:tcPr>
            <w:tcW w:w="2048" w:type="dxa"/>
          </w:tcPr>
          <w:p w14:paraId="3D01A826"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12,5</w:t>
            </w:r>
          </w:p>
        </w:tc>
      </w:tr>
      <w:tr w:rsidR="006E7F00" w:rsidRPr="00266B15" w14:paraId="13F8A53F" w14:textId="77777777" w:rsidTr="00A30F04">
        <w:trPr>
          <w:trHeight w:val="240"/>
        </w:trPr>
        <w:tc>
          <w:tcPr>
            <w:cnfStyle w:val="001000000000" w:firstRow="0" w:lastRow="0" w:firstColumn="1" w:lastColumn="0" w:oddVBand="0" w:evenVBand="0" w:oddHBand="0" w:evenHBand="0" w:firstRowFirstColumn="0" w:firstRowLastColumn="0" w:lastRowFirstColumn="0" w:lastRowLastColumn="0"/>
            <w:tcW w:w="3544" w:type="dxa"/>
          </w:tcPr>
          <w:p w14:paraId="28F5B152" w14:textId="77777777" w:rsidR="006E7F00" w:rsidRPr="00266B15" w:rsidRDefault="006E7F00" w:rsidP="003C4853">
            <w:pPr>
              <w:spacing w:line="360" w:lineRule="auto"/>
              <w:jc w:val="both"/>
              <w:rPr>
                <w:rFonts w:ascii="Arial" w:hAnsi="Arial" w:cs="Arial"/>
              </w:rPr>
            </w:pPr>
            <w:r w:rsidRPr="00266B15">
              <w:rPr>
                <w:rFonts w:ascii="Arial" w:hAnsi="Arial" w:cs="Arial"/>
                <w:i/>
                <w:iCs/>
              </w:rPr>
              <w:t xml:space="preserve">Terminalia </w:t>
            </w:r>
            <w:proofErr w:type="spellStart"/>
            <w:r w:rsidRPr="00266B15">
              <w:rPr>
                <w:rFonts w:ascii="Arial" w:hAnsi="Arial" w:cs="Arial"/>
                <w:i/>
                <w:iCs/>
              </w:rPr>
              <w:t>avicennoides</w:t>
            </w:r>
            <w:proofErr w:type="spellEnd"/>
            <w:r w:rsidRPr="00266B15">
              <w:rPr>
                <w:rFonts w:ascii="Arial" w:hAnsi="Arial" w:cs="Arial"/>
              </w:rPr>
              <w:t xml:space="preserve"> </w:t>
            </w:r>
            <w:proofErr w:type="spellStart"/>
            <w:r w:rsidRPr="00266B15">
              <w:rPr>
                <w:rFonts w:ascii="Arial" w:hAnsi="Arial" w:cs="Arial"/>
              </w:rPr>
              <w:t>Guill</w:t>
            </w:r>
            <w:proofErr w:type="spellEnd"/>
          </w:p>
        </w:tc>
        <w:tc>
          <w:tcPr>
            <w:tcW w:w="1496" w:type="dxa"/>
          </w:tcPr>
          <w:p w14:paraId="74A06D54"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66B15">
              <w:rPr>
                <w:rFonts w:ascii="Arial" w:hAnsi="Arial" w:cs="Arial"/>
              </w:rPr>
              <w:t>7,6</w:t>
            </w:r>
          </w:p>
        </w:tc>
        <w:tc>
          <w:tcPr>
            <w:tcW w:w="2048" w:type="dxa"/>
          </w:tcPr>
          <w:p w14:paraId="498F27DA"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66B15">
              <w:rPr>
                <w:rFonts w:ascii="Arial" w:hAnsi="Arial" w:cs="Arial"/>
              </w:rPr>
              <w:t>16,6</w:t>
            </w:r>
          </w:p>
        </w:tc>
      </w:tr>
      <w:tr w:rsidR="006E7F00" w:rsidRPr="00266B15" w14:paraId="20567FEA" w14:textId="77777777" w:rsidTr="00A30F0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544" w:type="dxa"/>
          </w:tcPr>
          <w:p w14:paraId="44E82D90" w14:textId="77777777" w:rsidR="006E7F00" w:rsidRPr="00266B15" w:rsidRDefault="006E7F00" w:rsidP="003C4853">
            <w:pPr>
              <w:spacing w:line="360" w:lineRule="auto"/>
              <w:jc w:val="both"/>
              <w:rPr>
                <w:rFonts w:ascii="Arial" w:hAnsi="Arial" w:cs="Arial"/>
                <w:i/>
                <w:iCs/>
              </w:rPr>
            </w:pP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i/>
                <w:iCs/>
              </w:rPr>
              <w:t xml:space="preserve"> </w:t>
            </w:r>
            <w:r w:rsidRPr="00266B15">
              <w:rPr>
                <w:rFonts w:ascii="Arial" w:hAnsi="Arial" w:cs="Arial"/>
              </w:rPr>
              <w:t>L.</w:t>
            </w:r>
          </w:p>
        </w:tc>
        <w:tc>
          <w:tcPr>
            <w:tcW w:w="1496" w:type="dxa"/>
          </w:tcPr>
          <w:p w14:paraId="1A28D8B0"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6,6</w:t>
            </w:r>
          </w:p>
        </w:tc>
        <w:tc>
          <w:tcPr>
            <w:tcW w:w="2048" w:type="dxa"/>
          </w:tcPr>
          <w:p w14:paraId="2C0D9694"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16,35</w:t>
            </w:r>
          </w:p>
        </w:tc>
      </w:tr>
    </w:tbl>
    <w:p w14:paraId="3175E6CF" w14:textId="77777777" w:rsidR="006E7F00" w:rsidRPr="00266B15" w:rsidRDefault="006E7F00" w:rsidP="006E7F00">
      <w:pPr>
        <w:spacing w:line="360" w:lineRule="auto"/>
        <w:jc w:val="both"/>
        <w:rPr>
          <w:rFonts w:ascii="Arial" w:hAnsi="Arial" w:cs="Arial"/>
        </w:rPr>
      </w:pPr>
    </w:p>
    <w:p w14:paraId="132472E3" w14:textId="77777777" w:rsidR="006E7F00" w:rsidRPr="00266B15" w:rsidRDefault="006E7F00" w:rsidP="006E7F00">
      <w:pPr>
        <w:pStyle w:val="ListParagraph"/>
        <w:numPr>
          <w:ilvl w:val="2"/>
          <w:numId w:val="34"/>
        </w:numPr>
        <w:spacing w:line="360" w:lineRule="auto"/>
        <w:jc w:val="both"/>
        <w:rPr>
          <w:rFonts w:ascii="Arial" w:hAnsi="Arial" w:cs="Arial"/>
          <w:b/>
          <w:bCs/>
          <w:sz w:val="20"/>
          <w:szCs w:val="20"/>
          <w:u w:val="single"/>
          <w:lang w:val="fr-FR"/>
        </w:rPr>
      </w:pPr>
      <w:proofErr w:type="spellStart"/>
      <w:r w:rsidRPr="00266B15">
        <w:rPr>
          <w:rFonts w:ascii="Arial" w:hAnsi="Arial" w:cs="Arial"/>
          <w:b/>
          <w:bCs/>
          <w:sz w:val="20"/>
          <w:szCs w:val="20"/>
          <w:u w:val="single"/>
          <w:lang w:val="fr-FR"/>
        </w:rPr>
        <w:t>Phytochemical</w:t>
      </w:r>
      <w:proofErr w:type="spellEnd"/>
      <w:r w:rsidRPr="00266B15">
        <w:rPr>
          <w:rFonts w:ascii="Arial" w:hAnsi="Arial" w:cs="Arial"/>
          <w:b/>
          <w:bCs/>
          <w:sz w:val="20"/>
          <w:szCs w:val="20"/>
          <w:u w:val="single"/>
          <w:lang w:val="fr-FR"/>
        </w:rPr>
        <w:t xml:space="preserve"> </w:t>
      </w:r>
      <w:proofErr w:type="spellStart"/>
      <w:r w:rsidRPr="00266B15">
        <w:rPr>
          <w:rFonts w:ascii="Arial" w:hAnsi="Arial" w:cs="Arial"/>
          <w:b/>
          <w:bCs/>
          <w:sz w:val="20"/>
          <w:szCs w:val="20"/>
          <w:u w:val="single"/>
          <w:lang w:val="fr-FR"/>
        </w:rPr>
        <w:t>characterization</w:t>
      </w:r>
      <w:proofErr w:type="spellEnd"/>
    </w:p>
    <w:p w14:paraId="78582037" w14:textId="43FB5E9F" w:rsidR="006E7F00" w:rsidRPr="00266B15" w:rsidRDefault="006E7F00" w:rsidP="006E7F00">
      <w:pPr>
        <w:spacing w:line="360" w:lineRule="auto"/>
        <w:jc w:val="both"/>
        <w:rPr>
          <w:rFonts w:ascii="Arial" w:hAnsi="Arial" w:cs="Arial"/>
        </w:rPr>
      </w:pPr>
      <w:r w:rsidRPr="00266B15">
        <w:rPr>
          <w:rFonts w:ascii="Arial" w:hAnsi="Arial" w:cs="Arial"/>
        </w:rPr>
        <w:t xml:space="preserve">The results of phytochemical characterization tests (Table </w:t>
      </w:r>
      <w:r w:rsidR="006729E7" w:rsidRPr="00266B15">
        <w:rPr>
          <w:rFonts w:ascii="Arial" w:hAnsi="Arial" w:cs="Arial"/>
        </w:rPr>
        <w:t>2</w:t>
      </w:r>
      <w:r w:rsidRPr="00266B15">
        <w:rPr>
          <w:rFonts w:ascii="Arial" w:hAnsi="Arial" w:cs="Arial"/>
        </w:rPr>
        <w:t xml:space="preserve">) revealed that the ethanolic and hydroethanolic extracts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i/>
          <w:iCs/>
        </w:rPr>
        <w:t xml:space="preserve">, T. </w:t>
      </w:r>
      <w:proofErr w:type="spellStart"/>
      <w:r w:rsidRPr="00266B15">
        <w:rPr>
          <w:rFonts w:ascii="Arial" w:hAnsi="Arial" w:cs="Arial"/>
          <w:i/>
          <w:iCs/>
        </w:rPr>
        <w:t>avicinnoides</w:t>
      </w:r>
      <w:proofErr w:type="spellEnd"/>
      <w:r w:rsidRPr="00266B15">
        <w:rPr>
          <w:rFonts w:ascii="Arial" w:hAnsi="Arial" w:cs="Arial"/>
        </w:rPr>
        <w:t xml:space="preserve">, and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contained low concentrations of flavonoids, saponins, quinones, alkaloids, polyphenols, and tannins. However, saponins were not detected in any of the ethanol extracts. These secondary metabolites are well known for their many biological properties, particularly their antimicrobial effects (Wallace, 2004). In our extracts, saponins were absent from the ethanol fractions, but flavonoids, saponins, quinones, alkaloids, polyphenols, and tannins were detected in those from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i/>
          <w:iCs/>
        </w:rPr>
        <w:t xml:space="preserve">, T. </w:t>
      </w:r>
      <w:proofErr w:type="spellStart"/>
      <w:r w:rsidRPr="00266B15">
        <w:rPr>
          <w:rFonts w:ascii="Arial" w:hAnsi="Arial" w:cs="Arial"/>
          <w:i/>
          <w:iCs/>
        </w:rPr>
        <w:t>macroptera</w:t>
      </w:r>
      <w:proofErr w:type="spellEnd"/>
      <w:r w:rsidRPr="00266B15">
        <w:rPr>
          <w:rFonts w:ascii="Arial" w:hAnsi="Arial" w:cs="Arial"/>
          <w:i/>
          <w:iCs/>
        </w:rPr>
        <w:t xml:space="preserve">, and T. </w:t>
      </w:r>
      <w:proofErr w:type="spellStart"/>
      <w:r w:rsidRPr="00266B15">
        <w:rPr>
          <w:rFonts w:ascii="Arial" w:hAnsi="Arial" w:cs="Arial"/>
          <w:i/>
          <w:iCs/>
        </w:rPr>
        <w:t>avicennioides</w:t>
      </w:r>
      <w:proofErr w:type="spellEnd"/>
      <w:r w:rsidRPr="00266B15">
        <w:rPr>
          <w:rFonts w:ascii="Arial" w:hAnsi="Arial" w:cs="Arial"/>
        </w:rPr>
        <w:t xml:space="preserve">. Flavonoids are particularly recognized for their broad-spectrum antimicrobial action, and some of them can even reverse bacterial </w:t>
      </w:r>
      <w:r w:rsidRPr="00266B15">
        <w:rPr>
          <w:rFonts w:ascii="Arial" w:hAnsi="Arial" w:cs="Arial"/>
        </w:rPr>
        <w:lastRenderedPageBreak/>
        <w:t>resistance (</w:t>
      </w:r>
      <w:proofErr w:type="spellStart"/>
      <w:r w:rsidRPr="00266B15">
        <w:rPr>
          <w:rFonts w:ascii="Arial" w:hAnsi="Arial" w:cs="Arial"/>
        </w:rPr>
        <w:t>Górniak</w:t>
      </w:r>
      <w:proofErr w:type="spellEnd"/>
      <w:r w:rsidRPr="00266B15">
        <w:rPr>
          <w:rFonts w:ascii="Arial" w:hAnsi="Arial" w:cs="Arial"/>
        </w:rPr>
        <w:t xml:space="preserve"> et al., 2019). Saponins, on the other hand, have several biological properties (antioxidant, antitumor, and anti-inflammatory) and play an important role in plant defense mechanisms thanks to their antimicrobial, antifungal, and antiparasitic effects (Sharma et al., 2023). The tannins identified in our extracts are also associated with numerous therapeutic properties. Indeed, Fraga-Corral et al. (Fraga-Corral et al., 2021) reported that plants rich in tannins possess antioxidant, antipyretic, antimicrobial, and </w:t>
      </w:r>
      <w:proofErr w:type="spellStart"/>
      <w:r w:rsidRPr="00266B15">
        <w:rPr>
          <w:rFonts w:ascii="Arial" w:hAnsi="Arial" w:cs="Arial"/>
        </w:rPr>
        <w:t>antihelminthic</w:t>
      </w:r>
      <w:proofErr w:type="spellEnd"/>
      <w:r w:rsidRPr="00266B15">
        <w:rPr>
          <w:rFonts w:ascii="Arial" w:hAnsi="Arial" w:cs="Arial"/>
        </w:rPr>
        <w:t xml:space="preserve"> activities. Finally, the alkaloids detected are compounds of major interest in pharmacology due to their antimicrobial, antitumor, antihyperglycemic, antimalarial, and anti-inflammatory activities (Bhambhani et al., 2021).</w:t>
      </w:r>
    </w:p>
    <w:p w14:paraId="67D8CF32" w14:textId="2423A575" w:rsidR="006E7F00" w:rsidRPr="00266B15" w:rsidRDefault="006E7F00" w:rsidP="006E7F00">
      <w:pPr>
        <w:spacing w:line="360" w:lineRule="auto"/>
        <w:jc w:val="both"/>
        <w:rPr>
          <w:rFonts w:ascii="Arial" w:hAnsi="Arial" w:cs="Arial"/>
        </w:rPr>
      </w:pPr>
      <w:r w:rsidRPr="00266B15">
        <w:rPr>
          <w:rFonts w:ascii="Arial" w:hAnsi="Arial" w:cs="Arial"/>
        </w:rPr>
        <w:t xml:space="preserve">Table </w:t>
      </w:r>
      <w:r w:rsidR="006729E7" w:rsidRPr="00266B15">
        <w:rPr>
          <w:rFonts w:ascii="Arial" w:hAnsi="Arial" w:cs="Arial"/>
        </w:rPr>
        <w:t>2</w:t>
      </w:r>
      <w:r w:rsidRPr="00266B15">
        <w:rPr>
          <w:rFonts w:ascii="Arial" w:hAnsi="Arial" w:cs="Arial"/>
        </w:rPr>
        <w:t xml:space="preserve">: Results of phytochemical characterization tests of extracts from T. </w:t>
      </w:r>
      <w:proofErr w:type="spellStart"/>
      <w:r w:rsidRPr="00266B15">
        <w:rPr>
          <w:rFonts w:ascii="Arial" w:hAnsi="Arial" w:cs="Arial"/>
        </w:rPr>
        <w:t>macroptera</w:t>
      </w:r>
      <w:proofErr w:type="spellEnd"/>
      <w:r w:rsidRPr="00266B15">
        <w:rPr>
          <w:rFonts w:ascii="Arial" w:hAnsi="Arial" w:cs="Arial"/>
        </w:rPr>
        <w:t xml:space="preserve">, T. </w:t>
      </w:r>
      <w:proofErr w:type="spellStart"/>
      <w:r w:rsidRPr="00266B15">
        <w:rPr>
          <w:rFonts w:ascii="Arial" w:hAnsi="Arial" w:cs="Arial"/>
        </w:rPr>
        <w:t>avicennioides</w:t>
      </w:r>
      <w:proofErr w:type="spellEnd"/>
      <w:r w:rsidRPr="00266B15">
        <w:rPr>
          <w:rFonts w:ascii="Arial" w:hAnsi="Arial" w:cs="Arial"/>
        </w:rPr>
        <w:t xml:space="preserve">, and A. </w:t>
      </w:r>
      <w:proofErr w:type="spellStart"/>
      <w:r w:rsidRPr="00266B15">
        <w:rPr>
          <w:rFonts w:ascii="Arial" w:hAnsi="Arial" w:cs="Arial"/>
        </w:rPr>
        <w:t>mexicana</w:t>
      </w:r>
      <w:proofErr w:type="spellEnd"/>
      <w:r w:rsidRPr="00266B15">
        <w:rPr>
          <w:rFonts w:ascii="Arial" w:hAnsi="Arial" w:cs="Arial"/>
        </w:rPr>
        <w:t>.</w:t>
      </w:r>
    </w:p>
    <w:tbl>
      <w:tblPr>
        <w:tblStyle w:val="ListTable6Colorful"/>
        <w:tblW w:w="10201" w:type="dxa"/>
        <w:tblLayout w:type="fixed"/>
        <w:tblLook w:val="04A0" w:firstRow="1" w:lastRow="0" w:firstColumn="1" w:lastColumn="0" w:noHBand="0" w:noVBand="1"/>
      </w:tblPr>
      <w:tblGrid>
        <w:gridCol w:w="1701"/>
        <w:gridCol w:w="1985"/>
        <w:gridCol w:w="992"/>
        <w:gridCol w:w="1418"/>
        <w:gridCol w:w="1275"/>
        <w:gridCol w:w="1418"/>
        <w:gridCol w:w="1412"/>
      </w:tblGrid>
      <w:tr w:rsidR="006E7F00" w:rsidRPr="00266B15" w14:paraId="6AB94D57"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919CB1" w14:textId="77777777" w:rsidR="006E7F00" w:rsidRPr="00266B15" w:rsidRDefault="006E7F00" w:rsidP="003C4853">
            <w:pPr>
              <w:spacing w:line="360" w:lineRule="auto"/>
              <w:jc w:val="both"/>
              <w:rPr>
                <w:rFonts w:ascii="Arial" w:hAnsi="Arial" w:cs="Arial"/>
                <w:b w:val="0"/>
                <w:bCs w:val="0"/>
              </w:rPr>
            </w:pPr>
            <w:r w:rsidRPr="00266B15">
              <w:rPr>
                <w:rFonts w:ascii="Arial" w:hAnsi="Arial" w:cs="Arial"/>
              </w:rPr>
              <w:t>Plant species</w:t>
            </w:r>
          </w:p>
        </w:tc>
        <w:tc>
          <w:tcPr>
            <w:tcW w:w="1985" w:type="dxa"/>
          </w:tcPr>
          <w:p w14:paraId="0434D885"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Extracts</w:t>
            </w:r>
          </w:p>
        </w:tc>
        <w:tc>
          <w:tcPr>
            <w:tcW w:w="992" w:type="dxa"/>
          </w:tcPr>
          <w:p w14:paraId="7A630BDA"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Saponins</w:t>
            </w:r>
          </w:p>
        </w:tc>
        <w:tc>
          <w:tcPr>
            <w:tcW w:w="1418" w:type="dxa"/>
          </w:tcPr>
          <w:p w14:paraId="44CAAA79"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Flavonoids</w:t>
            </w:r>
          </w:p>
        </w:tc>
        <w:tc>
          <w:tcPr>
            <w:tcW w:w="1275" w:type="dxa"/>
          </w:tcPr>
          <w:p w14:paraId="2DFABC99"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Alkaloids</w:t>
            </w:r>
          </w:p>
        </w:tc>
        <w:tc>
          <w:tcPr>
            <w:tcW w:w="1418" w:type="dxa"/>
          </w:tcPr>
          <w:p w14:paraId="07220EDB"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 xml:space="preserve">Tannins et Polyphenols </w:t>
            </w:r>
          </w:p>
        </w:tc>
        <w:tc>
          <w:tcPr>
            <w:tcW w:w="1412" w:type="dxa"/>
          </w:tcPr>
          <w:p w14:paraId="40A08FCC"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Quinones</w:t>
            </w:r>
          </w:p>
        </w:tc>
      </w:tr>
      <w:tr w:rsidR="006E7F00" w:rsidRPr="00266B15" w14:paraId="55EE459B" w14:textId="77777777" w:rsidTr="00A30F0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1D8E057" w14:textId="77777777" w:rsidR="006E7F00" w:rsidRPr="00266B15" w:rsidRDefault="006E7F00" w:rsidP="003C4853">
            <w:pPr>
              <w:spacing w:line="360" w:lineRule="auto"/>
              <w:jc w:val="both"/>
              <w:rPr>
                <w:rFonts w:ascii="Arial" w:hAnsi="Arial" w:cs="Arial"/>
                <w:b w:val="0"/>
                <w:bCs w:val="0"/>
                <w:i/>
                <w:iCs/>
              </w:rPr>
            </w:pPr>
            <w:r w:rsidRPr="00266B15">
              <w:rPr>
                <w:rFonts w:ascii="Arial" w:hAnsi="Arial" w:cs="Arial"/>
                <w:i/>
                <w:iCs/>
              </w:rPr>
              <w:t xml:space="preserve">T. </w:t>
            </w:r>
            <w:proofErr w:type="spellStart"/>
            <w:r w:rsidRPr="00266B15">
              <w:rPr>
                <w:rFonts w:ascii="Arial" w:hAnsi="Arial" w:cs="Arial"/>
                <w:i/>
                <w:iCs/>
              </w:rPr>
              <w:t>Macroptera</w:t>
            </w:r>
            <w:proofErr w:type="spellEnd"/>
          </w:p>
          <w:p w14:paraId="58234C5C" w14:textId="77777777" w:rsidR="006E7F00" w:rsidRPr="00266B15" w:rsidRDefault="006E7F00" w:rsidP="003C4853">
            <w:pPr>
              <w:spacing w:line="360" w:lineRule="auto"/>
              <w:jc w:val="both"/>
              <w:rPr>
                <w:rFonts w:ascii="Arial" w:hAnsi="Arial" w:cs="Arial"/>
                <w:b w:val="0"/>
                <w:bCs w:val="0"/>
              </w:rPr>
            </w:pPr>
            <w:r w:rsidRPr="00266B15">
              <w:rPr>
                <w:rFonts w:ascii="Arial" w:hAnsi="Arial" w:cs="Arial"/>
              </w:rPr>
              <w:t>(Roots)</w:t>
            </w:r>
          </w:p>
        </w:tc>
        <w:tc>
          <w:tcPr>
            <w:tcW w:w="1985" w:type="dxa"/>
          </w:tcPr>
          <w:p w14:paraId="5D354EB2"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Ethanolic</w:t>
            </w:r>
          </w:p>
        </w:tc>
        <w:tc>
          <w:tcPr>
            <w:tcW w:w="992" w:type="dxa"/>
          </w:tcPr>
          <w:p w14:paraId="6118E45E"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12FDE4F5"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275" w:type="dxa"/>
          </w:tcPr>
          <w:p w14:paraId="314559AE"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4C8E3769"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2" w:type="dxa"/>
          </w:tcPr>
          <w:p w14:paraId="06F090C3"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r>
      <w:tr w:rsidR="006E7F00" w:rsidRPr="00266B15" w14:paraId="0FEB65CD" w14:textId="77777777" w:rsidTr="00A30F04">
        <w:trPr>
          <w:trHeight w:val="677"/>
        </w:trPr>
        <w:tc>
          <w:tcPr>
            <w:cnfStyle w:val="001000000000" w:firstRow="0" w:lastRow="0" w:firstColumn="1" w:lastColumn="0" w:oddVBand="0" w:evenVBand="0" w:oddHBand="0" w:evenHBand="0" w:firstRowFirstColumn="0" w:firstRowLastColumn="0" w:lastRowFirstColumn="0" w:lastRowLastColumn="0"/>
            <w:tcW w:w="1701" w:type="dxa"/>
            <w:vMerge/>
          </w:tcPr>
          <w:p w14:paraId="30F13110" w14:textId="77777777" w:rsidR="006E7F00" w:rsidRPr="00266B15" w:rsidRDefault="006E7F00" w:rsidP="003C4853">
            <w:pPr>
              <w:spacing w:line="360" w:lineRule="auto"/>
              <w:jc w:val="both"/>
              <w:rPr>
                <w:rFonts w:ascii="Arial" w:hAnsi="Arial" w:cs="Arial"/>
                <w:b w:val="0"/>
                <w:bCs w:val="0"/>
              </w:rPr>
            </w:pPr>
          </w:p>
        </w:tc>
        <w:tc>
          <w:tcPr>
            <w:tcW w:w="1985" w:type="dxa"/>
          </w:tcPr>
          <w:p w14:paraId="2FF3FFEA"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66B15">
              <w:rPr>
                <w:rFonts w:ascii="Arial" w:hAnsi="Arial" w:cs="Arial"/>
              </w:rPr>
              <w:t>Hydroethanolic</w:t>
            </w:r>
          </w:p>
        </w:tc>
        <w:tc>
          <w:tcPr>
            <w:tcW w:w="992" w:type="dxa"/>
          </w:tcPr>
          <w:p w14:paraId="3EAD8A53"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22A07596"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275" w:type="dxa"/>
          </w:tcPr>
          <w:p w14:paraId="00CBB065"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213ACF50"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2" w:type="dxa"/>
          </w:tcPr>
          <w:p w14:paraId="682FE184"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r>
      <w:tr w:rsidR="006E7F00" w:rsidRPr="00266B15" w14:paraId="7742C725" w14:textId="77777777" w:rsidTr="00A30F0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4AD275D" w14:textId="77777777" w:rsidR="006E7F00" w:rsidRPr="00266B15" w:rsidRDefault="006E7F00" w:rsidP="003C4853">
            <w:pPr>
              <w:spacing w:line="360" w:lineRule="auto"/>
              <w:jc w:val="both"/>
              <w:rPr>
                <w:rFonts w:ascii="Arial" w:hAnsi="Arial" w:cs="Arial"/>
                <w:b w:val="0"/>
                <w:bCs w:val="0"/>
                <w:i/>
                <w:iCs/>
              </w:rPr>
            </w:pPr>
            <w:r w:rsidRPr="00266B15">
              <w:rPr>
                <w:rFonts w:ascii="Arial" w:hAnsi="Arial" w:cs="Arial"/>
                <w:i/>
                <w:iCs/>
              </w:rPr>
              <w:t xml:space="preserve">T. </w:t>
            </w:r>
            <w:proofErr w:type="spellStart"/>
            <w:r w:rsidRPr="00266B15">
              <w:rPr>
                <w:rFonts w:ascii="Arial" w:hAnsi="Arial" w:cs="Arial"/>
                <w:i/>
                <w:iCs/>
              </w:rPr>
              <w:t>avicennoides</w:t>
            </w:r>
            <w:proofErr w:type="spellEnd"/>
          </w:p>
          <w:p w14:paraId="11CBF5FA" w14:textId="77777777" w:rsidR="006E7F00" w:rsidRPr="00266B15" w:rsidRDefault="006E7F00" w:rsidP="003C4853">
            <w:pPr>
              <w:spacing w:line="360" w:lineRule="auto"/>
              <w:jc w:val="both"/>
              <w:rPr>
                <w:rFonts w:ascii="Arial" w:hAnsi="Arial" w:cs="Arial"/>
                <w:b w:val="0"/>
                <w:bCs w:val="0"/>
              </w:rPr>
            </w:pPr>
            <w:r w:rsidRPr="00266B15">
              <w:rPr>
                <w:rFonts w:ascii="Arial" w:hAnsi="Arial" w:cs="Arial"/>
              </w:rPr>
              <w:t>(leaves)</w:t>
            </w:r>
          </w:p>
        </w:tc>
        <w:tc>
          <w:tcPr>
            <w:tcW w:w="1985" w:type="dxa"/>
          </w:tcPr>
          <w:p w14:paraId="58A82D78"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Ethanolic</w:t>
            </w:r>
          </w:p>
        </w:tc>
        <w:tc>
          <w:tcPr>
            <w:tcW w:w="992" w:type="dxa"/>
          </w:tcPr>
          <w:p w14:paraId="46E53088"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6183A660"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275" w:type="dxa"/>
          </w:tcPr>
          <w:p w14:paraId="129289F8"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1AC3A173"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2" w:type="dxa"/>
          </w:tcPr>
          <w:p w14:paraId="5E156EA6"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r>
      <w:tr w:rsidR="006E7F00" w:rsidRPr="00266B15" w14:paraId="1DF417C9" w14:textId="77777777" w:rsidTr="00A30F04">
        <w:trPr>
          <w:trHeight w:val="847"/>
        </w:trPr>
        <w:tc>
          <w:tcPr>
            <w:cnfStyle w:val="001000000000" w:firstRow="0" w:lastRow="0" w:firstColumn="1" w:lastColumn="0" w:oddVBand="0" w:evenVBand="0" w:oddHBand="0" w:evenHBand="0" w:firstRowFirstColumn="0" w:firstRowLastColumn="0" w:lastRowFirstColumn="0" w:lastRowLastColumn="0"/>
            <w:tcW w:w="1701" w:type="dxa"/>
            <w:vMerge/>
          </w:tcPr>
          <w:p w14:paraId="57DEC569" w14:textId="77777777" w:rsidR="006E7F00" w:rsidRPr="00266B15" w:rsidRDefault="006E7F00" w:rsidP="003C4853">
            <w:pPr>
              <w:spacing w:line="360" w:lineRule="auto"/>
              <w:jc w:val="both"/>
              <w:rPr>
                <w:rFonts w:ascii="Arial" w:hAnsi="Arial" w:cs="Arial"/>
                <w:b w:val="0"/>
                <w:bCs w:val="0"/>
                <w:i/>
                <w:iCs/>
              </w:rPr>
            </w:pPr>
          </w:p>
        </w:tc>
        <w:tc>
          <w:tcPr>
            <w:tcW w:w="1985" w:type="dxa"/>
          </w:tcPr>
          <w:p w14:paraId="18482770"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66B15">
              <w:rPr>
                <w:rFonts w:ascii="Arial" w:hAnsi="Arial" w:cs="Arial"/>
              </w:rPr>
              <w:t>Hydroethanolic</w:t>
            </w:r>
          </w:p>
        </w:tc>
        <w:tc>
          <w:tcPr>
            <w:tcW w:w="992" w:type="dxa"/>
          </w:tcPr>
          <w:p w14:paraId="231DA272"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42EDB014"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275" w:type="dxa"/>
          </w:tcPr>
          <w:p w14:paraId="3388BFBD"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203092A6"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2" w:type="dxa"/>
          </w:tcPr>
          <w:p w14:paraId="0276ADBF"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r>
      <w:tr w:rsidR="006E7F00" w:rsidRPr="00266B15" w14:paraId="3F572771"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841319F" w14:textId="77777777" w:rsidR="006E7F00" w:rsidRPr="00266B15" w:rsidRDefault="006E7F00" w:rsidP="003C4853">
            <w:pPr>
              <w:spacing w:line="360" w:lineRule="auto"/>
              <w:jc w:val="both"/>
              <w:rPr>
                <w:rFonts w:ascii="Arial" w:hAnsi="Arial" w:cs="Arial"/>
                <w:b w:val="0"/>
                <w:bCs w:val="0"/>
                <w:i/>
                <w:iCs/>
              </w:rPr>
            </w:pPr>
            <w:r w:rsidRPr="00266B15">
              <w:rPr>
                <w:rFonts w:ascii="Arial" w:hAnsi="Arial" w:cs="Arial"/>
                <w:i/>
                <w:iCs/>
              </w:rPr>
              <w:t xml:space="preserve">A. </w:t>
            </w:r>
            <w:proofErr w:type="spellStart"/>
            <w:r w:rsidRPr="00266B15">
              <w:rPr>
                <w:rFonts w:ascii="Arial" w:hAnsi="Arial" w:cs="Arial"/>
                <w:i/>
                <w:iCs/>
              </w:rPr>
              <w:t>mexicana</w:t>
            </w:r>
            <w:proofErr w:type="spellEnd"/>
          </w:p>
          <w:p w14:paraId="381962B3" w14:textId="77777777" w:rsidR="006E7F00" w:rsidRPr="00266B15" w:rsidRDefault="006E7F00" w:rsidP="003C4853">
            <w:pPr>
              <w:spacing w:line="360" w:lineRule="auto"/>
              <w:jc w:val="both"/>
              <w:rPr>
                <w:rFonts w:ascii="Arial" w:hAnsi="Arial" w:cs="Arial"/>
                <w:b w:val="0"/>
                <w:bCs w:val="0"/>
              </w:rPr>
            </w:pPr>
            <w:r w:rsidRPr="00266B15">
              <w:rPr>
                <w:rFonts w:ascii="Arial" w:hAnsi="Arial" w:cs="Arial"/>
              </w:rPr>
              <w:t>(Leafy stem)</w:t>
            </w:r>
          </w:p>
        </w:tc>
        <w:tc>
          <w:tcPr>
            <w:tcW w:w="1985" w:type="dxa"/>
          </w:tcPr>
          <w:p w14:paraId="40EC40DF"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6B15">
              <w:rPr>
                <w:rFonts w:ascii="Arial" w:hAnsi="Arial" w:cs="Arial"/>
              </w:rPr>
              <w:t>Ethanolic</w:t>
            </w:r>
          </w:p>
        </w:tc>
        <w:tc>
          <w:tcPr>
            <w:tcW w:w="992" w:type="dxa"/>
          </w:tcPr>
          <w:p w14:paraId="42818EAB"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7F4AFFEC"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275" w:type="dxa"/>
          </w:tcPr>
          <w:p w14:paraId="7B48FDB6"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3A3A2E6C"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c>
          <w:tcPr>
            <w:tcW w:w="1412" w:type="dxa"/>
          </w:tcPr>
          <w:p w14:paraId="6513B016"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66B15">
              <w:rPr>
                <w:rFonts w:ascii="Arial" w:hAnsi="Arial" w:cs="Arial"/>
                <w:b/>
                <w:bCs/>
              </w:rPr>
              <w:t>+</w:t>
            </w:r>
          </w:p>
        </w:tc>
      </w:tr>
      <w:tr w:rsidR="006E7F00" w:rsidRPr="00266B15" w14:paraId="7D8F29DE" w14:textId="77777777" w:rsidTr="00A30F04">
        <w:tc>
          <w:tcPr>
            <w:cnfStyle w:val="001000000000" w:firstRow="0" w:lastRow="0" w:firstColumn="1" w:lastColumn="0" w:oddVBand="0" w:evenVBand="0" w:oddHBand="0" w:evenHBand="0" w:firstRowFirstColumn="0" w:firstRowLastColumn="0" w:lastRowFirstColumn="0" w:lastRowLastColumn="0"/>
            <w:tcW w:w="1701" w:type="dxa"/>
            <w:vMerge/>
          </w:tcPr>
          <w:p w14:paraId="0D90DFAA" w14:textId="77777777" w:rsidR="006E7F00" w:rsidRPr="00266B15" w:rsidRDefault="006E7F00" w:rsidP="003C4853">
            <w:pPr>
              <w:spacing w:line="360" w:lineRule="auto"/>
              <w:jc w:val="both"/>
              <w:rPr>
                <w:rFonts w:ascii="Arial" w:hAnsi="Arial" w:cs="Arial"/>
              </w:rPr>
            </w:pPr>
          </w:p>
        </w:tc>
        <w:tc>
          <w:tcPr>
            <w:tcW w:w="1985" w:type="dxa"/>
          </w:tcPr>
          <w:p w14:paraId="09E1266C"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66B15">
              <w:rPr>
                <w:rFonts w:ascii="Arial" w:hAnsi="Arial" w:cs="Arial"/>
              </w:rPr>
              <w:t>Hydroethanolic</w:t>
            </w:r>
          </w:p>
        </w:tc>
        <w:tc>
          <w:tcPr>
            <w:tcW w:w="992" w:type="dxa"/>
          </w:tcPr>
          <w:p w14:paraId="1D8BB06A"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12FB884F"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275" w:type="dxa"/>
          </w:tcPr>
          <w:p w14:paraId="56A90235"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8" w:type="dxa"/>
          </w:tcPr>
          <w:p w14:paraId="2CC69E58"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c>
          <w:tcPr>
            <w:tcW w:w="1412" w:type="dxa"/>
          </w:tcPr>
          <w:p w14:paraId="5AB56FCE"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6B15">
              <w:rPr>
                <w:rFonts w:ascii="Arial" w:hAnsi="Arial" w:cs="Arial"/>
                <w:b/>
                <w:bCs/>
              </w:rPr>
              <w:t>+</w:t>
            </w:r>
          </w:p>
        </w:tc>
      </w:tr>
    </w:tbl>
    <w:p w14:paraId="78462966" w14:textId="77777777" w:rsidR="006E7F00" w:rsidRPr="00266B15" w:rsidRDefault="006E7F00" w:rsidP="006E7F00">
      <w:pPr>
        <w:spacing w:line="360" w:lineRule="auto"/>
        <w:jc w:val="both"/>
        <w:rPr>
          <w:rFonts w:ascii="Arial" w:hAnsi="Arial" w:cs="Arial"/>
        </w:rPr>
      </w:pPr>
      <w:r w:rsidRPr="00266B15">
        <w:rPr>
          <w:rFonts w:ascii="Arial" w:hAnsi="Arial" w:cs="Arial"/>
          <w:b/>
          <w:bCs/>
        </w:rPr>
        <w:t>+++</w:t>
      </w:r>
      <w:r w:rsidRPr="00266B15">
        <w:rPr>
          <w:rFonts w:ascii="Arial" w:hAnsi="Arial" w:cs="Arial"/>
        </w:rPr>
        <w:t xml:space="preserve">=strong presence; </w:t>
      </w:r>
      <w:r w:rsidRPr="00266B15">
        <w:rPr>
          <w:rFonts w:ascii="Arial" w:hAnsi="Arial" w:cs="Arial"/>
          <w:b/>
          <w:bCs/>
        </w:rPr>
        <w:t>++</w:t>
      </w:r>
      <w:r w:rsidRPr="00266B15">
        <w:rPr>
          <w:rFonts w:ascii="Arial" w:hAnsi="Arial" w:cs="Arial"/>
        </w:rPr>
        <w:t xml:space="preserve">= </w:t>
      </w:r>
      <w:proofErr w:type="spellStart"/>
      <w:r w:rsidRPr="00266B15">
        <w:rPr>
          <w:rFonts w:ascii="Arial" w:hAnsi="Arial" w:cs="Arial"/>
        </w:rPr>
        <w:t>meduim</w:t>
      </w:r>
      <w:proofErr w:type="spellEnd"/>
      <w:r w:rsidRPr="00266B15">
        <w:rPr>
          <w:rFonts w:ascii="Arial" w:hAnsi="Arial" w:cs="Arial"/>
        </w:rPr>
        <w:t xml:space="preserve"> </w:t>
      </w:r>
      <w:proofErr w:type="gramStart"/>
      <w:r w:rsidRPr="00266B15">
        <w:rPr>
          <w:rFonts w:ascii="Arial" w:hAnsi="Arial" w:cs="Arial"/>
        </w:rPr>
        <w:t>presence ;</w:t>
      </w:r>
      <w:proofErr w:type="gramEnd"/>
      <w:r w:rsidRPr="00266B15">
        <w:rPr>
          <w:rFonts w:ascii="Arial" w:hAnsi="Arial" w:cs="Arial"/>
        </w:rPr>
        <w:t xml:space="preserve"> </w:t>
      </w:r>
      <w:r w:rsidRPr="00266B15">
        <w:rPr>
          <w:rFonts w:ascii="Arial" w:hAnsi="Arial" w:cs="Arial"/>
          <w:b/>
          <w:bCs/>
        </w:rPr>
        <w:t>+</w:t>
      </w:r>
      <w:r w:rsidRPr="00266B15">
        <w:rPr>
          <w:rFonts w:ascii="Arial" w:hAnsi="Arial" w:cs="Arial"/>
        </w:rPr>
        <w:t>= weak presence ; -</w:t>
      </w:r>
      <w:r w:rsidRPr="00266B15">
        <w:rPr>
          <w:rFonts w:ascii="Arial" w:hAnsi="Arial" w:cs="Arial"/>
          <w:b/>
          <w:bCs/>
        </w:rPr>
        <w:t>=</w:t>
      </w:r>
      <w:r w:rsidRPr="00266B15">
        <w:rPr>
          <w:rFonts w:ascii="Arial" w:hAnsi="Arial" w:cs="Arial"/>
        </w:rPr>
        <w:t xml:space="preserve"> absence </w:t>
      </w:r>
      <w:r w:rsidRPr="00266B15">
        <w:rPr>
          <w:rFonts w:ascii="Arial" w:hAnsi="Arial" w:cs="Arial"/>
        </w:rPr>
        <w:br w:type="page"/>
      </w:r>
    </w:p>
    <w:p w14:paraId="36AF22B8" w14:textId="77777777" w:rsidR="006E7F00" w:rsidRPr="00266B15" w:rsidRDefault="006E7F00" w:rsidP="006E7F00">
      <w:pPr>
        <w:pStyle w:val="ListParagraph"/>
        <w:numPr>
          <w:ilvl w:val="2"/>
          <w:numId w:val="34"/>
        </w:numPr>
        <w:spacing w:line="360" w:lineRule="auto"/>
        <w:jc w:val="both"/>
        <w:rPr>
          <w:rFonts w:ascii="Arial" w:hAnsi="Arial" w:cs="Arial"/>
          <w:b/>
          <w:bCs/>
          <w:sz w:val="20"/>
          <w:szCs w:val="20"/>
          <w:u w:val="single"/>
        </w:rPr>
      </w:pPr>
      <w:r w:rsidRPr="00266B15">
        <w:rPr>
          <w:rFonts w:ascii="Arial" w:hAnsi="Arial" w:cs="Arial"/>
          <w:b/>
          <w:bCs/>
          <w:sz w:val="20"/>
          <w:szCs w:val="20"/>
          <w:u w:val="single"/>
        </w:rPr>
        <w:lastRenderedPageBreak/>
        <w:t>Thin-layer chromatography (TLC)</w:t>
      </w:r>
    </w:p>
    <w:p w14:paraId="77D3BFA3" w14:textId="77777777" w:rsidR="006E7F00" w:rsidRPr="00266B15" w:rsidRDefault="006E7F00" w:rsidP="006E7F00">
      <w:pPr>
        <w:spacing w:line="360" w:lineRule="auto"/>
        <w:jc w:val="both"/>
        <w:rPr>
          <w:rFonts w:ascii="Arial" w:hAnsi="Arial" w:cs="Arial"/>
        </w:rPr>
      </w:pPr>
      <w:r w:rsidRPr="00266B15">
        <w:rPr>
          <w:rFonts w:ascii="Arial" w:hAnsi="Arial" w:cs="Arial"/>
        </w:rPr>
        <w:t xml:space="preserve">Plates A1 and B1 (before development) and A2 and B2 (after development at 366 nm) (Figure 1) show the chromatographic profiles of the ethanolic and hydroethanolic extracts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i/>
          <w:iCs/>
        </w:rPr>
        <w:t xml:space="preserve"> L., T. </w:t>
      </w:r>
      <w:proofErr w:type="spellStart"/>
      <w:r w:rsidRPr="00266B15">
        <w:rPr>
          <w:rFonts w:ascii="Arial" w:hAnsi="Arial" w:cs="Arial"/>
          <w:i/>
          <w:iCs/>
        </w:rPr>
        <w:t>macroptera</w:t>
      </w:r>
      <w:proofErr w:type="spellEnd"/>
      <w:r w:rsidRPr="00266B15">
        <w:rPr>
          <w:rFonts w:ascii="Arial" w:hAnsi="Arial" w:cs="Arial"/>
          <w:i/>
          <w:iCs/>
        </w:rPr>
        <w:t xml:space="preserve">, and T. </w:t>
      </w:r>
      <w:proofErr w:type="spellStart"/>
      <w:r w:rsidRPr="00266B15">
        <w:rPr>
          <w:rFonts w:ascii="Arial" w:hAnsi="Arial" w:cs="Arial"/>
          <w:i/>
          <w:iCs/>
        </w:rPr>
        <w:t>avicennioides</w:t>
      </w:r>
      <w:proofErr w:type="spellEnd"/>
      <w:r w:rsidRPr="00266B15">
        <w:rPr>
          <w:rFonts w:ascii="Arial" w:hAnsi="Arial" w:cs="Arial"/>
        </w:rPr>
        <w:t xml:space="preserve">, respectively. Among the references used, only rutin could be identified in our extracts, resulting in the appearance of a characteristic yellow spot. However, the blue fluorescence spots observed at 366 nm could not be associated with the available references. TLC therefore confirmed the presence of rutin, a flavonoid known for its antimicrobial properties. Indeed, several studies have shown that this molecule has a strong inhibitory effect on the growth of bacteria such as Escherichia coli, Klebsiella sp., Shigella </w:t>
      </w:r>
      <w:proofErr w:type="spellStart"/>
      <w:r w:rsidRPr="00266B15">
        <w:rPr>
          <w:rFonts w:ascii="Arial" w:hAnsi="Arial" w:cs="Arial"/>
        </w:rPr>
        <w:t>sonnei</w:t>
      </w:r>
      <w:proofErr w:type="spellEnd"/>
      <w:r w:rsidRPr="00266B15">
        <w:rPr>
          <w:rFonts w:ascii="Arial" w:hAnsi="Arial" w:cs="Arial"/>
        </w:rPr>
        <w:t>, and Proteus vulgaris (Madkour et al., 2024), which could partly explain the activity observed in our extracts.</w:t>
      </w:r>
    </w:p>
    <w:p w14:paraId="116BC568" w14:textId="77777777" w:rsidR="006E7F00" w:rsidRPr="00266B15" w:rsidRDefault="006E7F00" w:rsidP="006E7F00">
      <w:pPr>
        <w:spacing w:line="360" w:lineRule="auto"/>
        <w:jc w:val="both"/>
        <w:rPr>
          <w:rFonts w:ascii="Arial" w:hAnsi="Arial" w:cs="Arial"/>
        </w:rPr>
      </w:pPr>
    </w:p>
    <w:p w14:paraId="6E80DD8D" w14:textId="77777777" w:rsidR="006E7F00" w:rsidRPr="00266B15" w:rsidRDefault="006E7F00" w:rsidP="006E7F00">
      <w:pPr>
        <w:spacing w:line="360" w:lineRule="auto"/>
        <w:jc w:val="both"/>
        <w:rPr>
          <w:rFonts w:ascii="Arial" w:hAnsi="Arial" w:cs="Arial"/>
        </w:rPr>
      </w:pPr>
      <w:r w:rsidRPr="00266B15">
        <w:rPr>
          <w:rFonts w:ascii="Arial" w:hAnsi="Arial" w:cs="Arial"/>
          <w:noProof/>
          <w:lang w:val="en-IN" w:eastAsia="en-IN"/>
        </w:rPr>
        <w:drawing>
          <wp:inline distT="0" distB="0" distL="0" distR="0" wp14:anchorId="6B4CCDEC" wp14:editId="7C84B704">
            <wp:extent cx="3848100" cy="1879476"/>
            <wp:effectExtent l="0" t="0" r="0" b="6985"/>
            <wp:docPr id="158" name="Image 3">
              <a:extLst xmlns:a="http://schemas.openxmlformats.org/drawingml/2006/main">
                <a:ext uri="{FF2B5EF4-FFF2-40B4-BE49-F238E27FC236}">
                  <a16:creationId xmlns:a16="http://schemas.microsoft.com/office/drawing/2014/main" id="{FCFA4196-64A6-4B19-AEA2-C80F62D06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CFA4196-64A6-4B19-AEA2-C80F62D0643C}"/>
                        </a:ext>
                      </a:extLst>
                    </pic:cNvPr>
                    <pic:cNvPicPr>
                      <a:picLocks noChangeAspect="1"/>
                    </pic:cNvPicPr>
                  </pic:nvPicPr>
                  <pic:blipFill rotWithShape="1">
                    <a:blip r:embed="rId14"/>
                    <a:srcRect l="9586" t="22308" r="29677" b="11804"/>
                    <a:stretch/>
                  </pic:blipFill>
                  <pic:spPr>
                    <a:xfrm>
                      <a:off x="0" y="0"/>
                      <a:ext cx="3908856" cy="1909150"/>
                    </a:xfrm>
                    <a:prstGeom prst="rect">
                      <a:avLst/>
                    </a:prstGeom>
                  </pic:spPr>
                </pic:pic>
              </a:graphicData>
            </a:graphic>
          </wp:inline>
        </w:drawing>
      </w:r>
    </w:p>
    <w:p w14:paraId="60C061F5" w14:textId="77777777" w:rsidR="006E7F00" w:rsidRPr="00266B15" w:rsidRDefault="006E7F00" w:rsidP="006E7F00">
      <w:pPr>
        <w:spacing w:line="360" w:lineRule="auto"/>
        <w:jc w:val="both"/>
        <w:rPr>
          <w:rFonts w:ascii="Arial" w:hAnsi="Arial" w:cs="Arial"/>
        </w:rPr>
      </w:pPr>
      <w:r w:rsidRPr="00266B15">
        <w:rPr>
          <w:rFonts w:ascii="Arial" w:hAnsi="Arial" w:cs="Arial"/>
        </w:rPr>
        <w:t>A</w:t>
      </w:r>
    </w:p>
    <w:p w14:paraId="4F7AD808" w14:textId="77777777" w:rsidR="006E7F00" w:rsidRPr="00266B15" w:rsidRDefault="006E7F00" w:rsidP="006E7F00">
      <w:pPr>
        <w:spacing w:line="360" w:lineRule="auto"/>
        <w:jc w:val="both"/>
        <w:rPr>
          <w:rFonts w:ascii="Arial" w:hAnsi="Arial" w:cs="Arial"/>
        </w:rPr>
      </w:pPr>
      <w:r w:rsidRPr="00266B15">
        <w:rPr>
          <w:rFonts w:ascii="Arial" w:hAnsi="Arial" w:cs="Arial"/>
          <w:noProof/>
          <w:lang w:val="en-IN" w:eastAsia="en-IN"/>
        </w:rPr>
        <w:drawing>
          <wp:inline distT="0" distB="0" distL="0" distR="0" wp14:anchorId="0A6DFE08" wp14:editId="38B729D6">
            <wp:extent cx="3855720" cy="1927860"/>
            <wp:effectExtent l="0" t="0" r="0" b="0"/>
            <wp:docPr id="159" name="Image 6">
              <a:extLst xmlns:a="http://schemas.openxmlformats.org/drawingml/2006/main">
                <a:ext uri="{FF2B5EF4-FFF2-40B4-BE49-F238E27FC236}">
                  <a16:creationId xmlns:a16="http://schemas.microsoft.com/office/drawing/2014/main" id="{11C381D1-69EE-4BEB-A0F3-30125D64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1C381D1-69EE-4BEB-A0F3-30125D64E2E4}"/>
                        </a:ext>
                      </a:extLst>
                    </pic:cNvPr>
                    <pic:cNvPicPr>
                      <a:picLocks noChangeAspect="1"/>
                    </pic:cNvPicPr>
                  </pic:nvPicPr>
                  <pic:blipFill rotWithShape="1">
                    <a:blip r:embed="rId15"/>
                    <a:srcRect l="1" r="-530"/>
                    <a:stretch/>
                  </pic:blipFill>
                  <pic:spPr bwMode="auto">
                    <a:xfrm>
                      <a:off x="0" y="0"/>
                      <a:ext cx="3855720" cy="1927860"/>
                    </a:xfrm>
                    <a:prstGeom prst="rect">
                      <a:avLst/>
                    </a:prstGeom>
                    <a:ln>
                      <a:noFill/>
                    </a:ln>
                    <a:extLst>
                      <a:ext uri="{53640926-AAD7-44D8-BBD7-CCE9431645EC}">
                        <a14:shadowObscured xmlns:a14="http://schemas.microsoft.com/office/drawing/2010/main"/>
                      </a:ext>
                    </a:extLst>
                  </pic:spPr>
                </pic:pic>
              </a:graphicData>
            </a:graphic>
          </wp:inline>
        </w:drawing>
      </w:r>
    </w:p>
    <w:p w14:paraId="36BE978E" w14:textId="77777777" w:rsidR="006E7F00" w:rsidRPr="00266B15" w:rsidRDefault="006E7F00" w:rsidP="006E7F00">
      <w:pPr>
        <w:spacing w:line="360" w:lineRule="auto"/>
        <w:jc w:val="both"/>
        <w:rPr>
          <w:rFonts w:ascii="Arial" w:hAnsi="Arial" w:cs="Arial"/>
        </w:rPr>
      </w:pPr>
      <w:r w:rsidRPr="00266B15">
        <w:rPr>
          <w:rFonts w:ascii="Arial" w:hAnsi="Arial" w:cs="Arial"/>
        </w:rPr>
        <w:t>B</w:t>
      </w:r>
    </w:p>
    <w:p w14:paraId="48C8E499" w14:textId="77777777" w:rsidR="006E7F00" w:rsidRPr="00266B15" w:rsidRDefault="006E7F00" w:rsidP="006E7F00">
      <w:pPr>
        <w:spacing w:line="360" w:lineRule="auto"/>
        <w:jc w:val="both"/>
        <w:rPr>
          <w:rFonts w:ascii="Arial" w:hAnsi="Arial" w:cs="Arial"/>
        </w:rPr>
      </w:pPr>
      <w:r w:rsidRPr="00266B15">
        <w:rPr>
          <w:rFonts w:ascii="Arial" w:hAnsi="Arial" w:cs="Arial"/>
          <w:noProof/>
          <w:lang w:val="en-IN" w:eastAsia="en-IN"/>
        </w:rPr>
        <w:lastRenderedPageBreak/>
        <w:drawing>
          <wp:inline distT="0" distB="0" distL="0" distR="0" wp14:anchorId="65CCC1AB" wp14:editId="7B2EAF89">
            <wp:extent cx="3307080" cy="3307080"/>
            <wp:effectExtent l="0" t="0" r="7620" b="7620"/>
            <wp:docPr id="157"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7080" cy="3307080"/>
                    </a:xfrm>
                    <a:prstGeom prst="rect">
                      <a:avLst/>
                    </a:prstGeom>
                    <a:noFill/>
                  </pic:spPr>
                </pic:pic>
              </a:graphicData>
            </a:graphic>
          </wp:inline>
        </w:drawing>
      </w:r>
    </w:p>
    <w:p w14:paraId="5DF69C65" w14:textId="77777777" w:rsidR="006E7F00" w:rsidRPr="00266B15" w:rsidRDefault="006E7F00" w:rsidP="006E7F00">
      <w:pPr>
        <w:spacing w:line="360" w:lineRule="auto"/>
        <w:jc w:val="both"/>
        <w:rPr>
          <w:rFonts w:ascii="Arial" w:hAnsi="Arial" w:cs="Arial"/>
          <w:lang w:val="fr-FR"/>
        </w:rPr>
      </w:pPr>
      <w:r w:rsidRPr="00266B15">
        <w:rPr>
          <w:rFonts w:ascii="Arial" w:hAnsi="Arial" w:cs="Arial"/>
          <w:noProof/>
          <w:lang w:val="en-IN" w:eastAsia="en-IN"/>
        </w:rPr>
        <mc:AlternateContent>
          <mc:Choice Requires="wps">
            <w:drawing>
              <wp:anchor distT="0" distB="0" distL="114300" distR="114300" simplePos="0" relativeHeight="251659264" behindDoc="0" locked="0" layoutInCell="1" allowOverlap="1" wp14:anchorId="4911029F" wp14:editId="2C9E5E50">
                <wp:simplePos x="0" y="0"/>
                <wp:positionH relativeFrom="margin">
                  <wp:posOffset>0</wp:posOffset>
                </wp:positionH>
                <wp:positionV relativeFrom="paragraph">
                  <wp:posOffset>0</wp:posOffset>
                </wp:positionV>
                <wp:extent cx="3435350" cy="371475"/>
                <wp:effectExtent l="0" t="0" r="0" b="0"/>
                <wp:wrapNone/>
                <wp:docPr id="160" name="Zone de texte 121"/>
                <wp:cNvGraphicFramePr/>
                <a:graphic xmlns:a="http://schemas.openxmlformats.org/drawingml/2006/main">
                  <a:graphicData uri="http://schemas.microsoft.com/office/word/2010/wordprocessingShape">
                    <wps:wsp>
                      <wps:cNvSpPr txBox="1"/>
                      <wps:spPr>
                        <a:xfrm>
                          <a:off x="0" y="0"/>
                          <a:ext cx="3435350" cy="371475"/>
                        </a:xfrm>
                        <a:prstGeom prst="rect">
                          <a:avLst/>
                        </a:prstGeom>
                        <a:noFill/>
                        <a:ln w="6350">
                          <a:noFill/>
                        </a:ln>
                      </wps:spPr>
                      <wps:txbx>
                        <w:txbxContent>
                          <w:p w14:paraId="7C4E7354" w14:textId="77777777" w:rsidR="006E7F00" w:rsidRPr="000F06FB" w:rsidRDefault="006E7F00" w:rsidP="006E7F00">
                            <w:pPr>
                              <w:rPr>
                                <w:sz w:val="16"/>
                                <w:szCs w:val="16"/>
                              </w:rPr>
                            </w:pPr>
                            <w:r w:rsidRPr="000F06FB">
                              <w:rPr>
                                <w:sz w:val="16"/>
                                <w:szCs w:val="16"/>
                              </w:rPr>
                              <w:t xml:space="preserve">Q AG  R                A3                A6  A7  Q AG  </w:t>
                            </w:r>
                            <w:r>
                              <w:rPr>
                                <w:sz w:val="16"/>
                                <w:szCs w:val="16"/>
                              </w:rPr>
                              <w:t>-----</w:t>
                            </w:r>
                            <w:r w:rsidRPr="000F06FB">
                              <w:rPr>
                                <w:sz w:val="16"/>
                                <w:szCs w:val="16"/>
                              </w:rPr>
                              <w:t xml:space="preserve">R                B3     </w:t>
                            </w:r>
                            <w:r>
                              <w:rPr>
                                <w:sz w:val="16"/>
                                <w:szCs w:val="16"/>
                              </w:rPr>
                              <w:t>----</w:t>
                            </w:r>
                            <w:r w:rsidRPr="000F06FB">
                              <w:rPr>
                                <w:sz w:val="16"/>
                                <w:szCs w:val="16"/>
                              </w:rPr>
                              <w:t xml:space="preserve">     B6 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1029F" id="_x0000_t202" coordsize="21600,21600" o:spt="202" path="m,l,21600r21600,l21600,xe">
                <v:stroke joinstyle="miter"/>
                <v:path gradientshapeok="t" o:connecttype="rect"/>
              </v:shapetype>
              <v:shape id="Zone de texte 121" o:spid="_x0000_s1026" type="#_x0000_t202" style="position:absolute;left:0;text-align:left;margin-left:0;margin-top:0;width:270.5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" filled="f" stroked="f" strokeweight=".5pt">
                <v:textbox>
                  <w:txbxContent>
                    <w:p w14:paraId="7C4E7354" w14:textId="77777777" w:rsidR="006E7F00" w:rsidRPr="000F06FB" w:rsidRDefault="006E7F00" w:rsidP="006E7F00">
                      <w:pPr>
                        <w:rPr>
                          <w:sz w:val="16"/>
                          <w:szCs w:val="16"/>
                        </w:rPr>
                      </w:pPr>
                      <w:r w:rsidRPr="000F06FB">
                        <w:rPr>
                          <w:sz w:val="16"/>
                          <w:szCs w:val="16"/>
                        </w:rPr>
                        <w:t xml:space="preserve">Q AG  R                A3                A6  A7  Q AG  </w:t>
                      </w:r>
                      <w:r>
                        <w:rPr>
                          <w:sz w:val="16"/>
                          <w:szCs w:val="16"/>
                        </w:rPr>
                        <w:t>-----</w:t>
                      </w:r>
                      <w:r w:rsidRPr="000F06FB">
                        <w:rPr>
                          <w:sz w:val="16"/>
                          <w:szCs w:val="16"/>
                        </w:rPr>
                        <w:t xml:space="preserve">R                B3     </w:t>
                      </w:r>
                      <w:r>
                        <w:rPr>
                          <w:sz w:val="16"/>
                          <w:szCs w:val="16"/>
                        </w:rPr>
                        <w:t>----</w:t>
                      </w:r>
                      <w:r w:rsidRPr="000F06FB">
                        <w:rPr>
                          <w:sz w:val="16"/>
                          <w:szCs w:val="16"/>
                        </w:rPr>
                        <w:t xml:space="preserve">     B6 B7</w:t>
                      </w:r>
                    </w:p>
                  </w:txbxContent>
                </v:textbox>
                <w10:wrap anchorx="margin"/>
              </v:shape>
            </w:pict>
          </mc:Fallback>
        </mc:AlternateContent>
      </w:r>
    </w:p>
    <w:p w14:paraId="58DAAE39" w14:textId="77777777" w:rsidR="006E7F00" w:rsidRPr="00266B15" w:rsidRDefault="006E7F00" w:rsidP="006E7F00">
      <w:pPr>
        <w:spacing w:line="360" w:lineRule="auto"/>
        <w:jc w:val="both"/>
        <w:rPr>
          <w:rFonts w:ascii="Arial" w:hAnsi="Arial" w:cs="Arial"/>
        </w:rPr>
      </w:pPr>
      <w:r w:rsidRPr="00266B15">
        <w:rPr>
          <w:rFonts w:ascii="Arial" w:hAnsi="Arial" w:cs="Arial"/>
        </w:rPr>
        <w:t>C</w:t>
      </w:r>
    </w:p>
    <w:p w14:paraId="585AB140" w14:textId="4163A0D3" w:rsidR="006E7F00" w:rsidRPr="00266B15" w:rsidRDefault="006E7F00" w:rsidP="006E7F00">
      <w:pPr>
        <w:spacing w:line="360" w:lineRule="auto"/>
        <w:jc w:val="both"/>
        <w:rPr>
          <w:rFonts w:ascii="Arial" w:hAnsi="Arial" w:cs="Arial"/>
        </w:rPr>
      </w:pPr>
      <w:r w:rsidRPr="00266B15">
        <w:rPr>
          <w:rFonts w:ascii="Arial" w:hAnsi="Arial" w:cs="Arial"/>
          <w:b/>
          <w:bCs/>
        </w:rPr>
        <w:t xml:space="preserve">Figure </w:t>
      </w:r>
      <w:proofErr w:type="gramStart"/>
      <w:r w:rsidR="006729E7" w:rsidRPr="00266B15">
        <w:rPr>
          <w:rFonts w:ascii="Arial" w:hAnsi="Arial" w:cs="Arial"/>
          <w:b/>
          <w:bCs/>
        </w:rPr>
        <w:t>1</w:t>
      </w:r>
      <w:r w:rsidRPr="00266B15">
        <w:rPr>
          <w:rFonts w:ascii="Arial" w:hAnsi="Arial" w:cs="Arial"/>
          <w:b/>
          <w:bCs/>
        </w:rPr>
        <w:t xml:space="preserve"> :</w:t>
      </w:r>
      <w:proofErr w:type="gramEnd"/>
      <w:r w:rsidRPr="00266B15">
        <w:rPr>
          <w:rFonts w:ascii="Arial" w:hAnsi="Arial" w:cs="Arial"/>
          <w:b/>
          <w:bCs/>
        </w:rPr>
        <w:t xml:space="preserve"> Chromatographic Profile of Extracts (A, B, C)</w:t>
      </w:r>
    </w:p>
    <w:p w14:paraId="2A4EB759" w14:textId="77777777" w:rsidR="006E7F00" w:rsidRPr="00266B15" w:rsidRDefault="006E7F00" w:rsidP="006E7F00">
      <w:pPr>
        <w:spacing w:line="360" w:lineRule="auto"/>
        <w:jc w:val="both"/>
        <w:rPr>
          <w:rFonts w:ascii="Arial" w:hAnsi="Arial" w:cs="Arial"/>
        </w:rPr>
      </w:pPr>
      <w:r w:rsidRPr="00266B15">
        <w:rPr>
          <w:rFonts w:ascii="Arial" w:hAnsi="Arial" w:cs="Arial"/>
          <w:b/>
          <w:bCs/>
        </w:rPr>
        <w:t>Legend:</w:t>
      </w:r>
    </w:p>
    <w:p w14:paraId="28DC95AB" w14:textId="77777777" w:rsidR="006E7F00" w:rsidRPr="00266B15" w:rsidRDefault="006E7F00" w:rsidP="006E7F00">
      <w:pPr>
        <w:spacing w:line="360" w:lineRule="auto"/>
        <w:jc w:val="both"/>
        <w:rPr>
          <w:rFonts w:ascii="Arial" w:hAnsi="Arial" w:cs="Arial"/>
        </w:rPr>
      </w:pPr>
      <w:r w:rsidRPr="00266B15">
        <w:rPr>
          <w:rFonts w:ascii="Arial" w:hAnsi="Arial" w:cs="Arial"/>
        </w:rPr>
        <w:t xml:space="preserve">A1, B1: Plates observed under visible light; A2, B2: Plates observed at 665 </w:t>
      </w:r>
      <w:proofErr w:type="spellStart"/>
      <w:proofErr w:type="gramStart"/>
      <w:r w:rsidRPr="00266B15">
        <w:rPr>
          <w:rFonts w:ascii="Arial" w:hAnsi="Arial" w:cs="Arial"/>
        </w:rPr>
        <w:t>nm;Q</w:t>
      </w:r>
      <w:proofErr w:type="spellEnd"/>
      <w:proofErr w:type="gramEnd"/>
      <w:r w:rsidRPr="00266B15">
        <w:rPr>
          <w:rFonts w:ascii="Arial" w:hAnsi="Arial" w:cs="Arial"/>
        </w:rPr>
        <w:t xml:space="preserve">: Quercetin; R: </w:t>
      </w:r>
      <w:proofErr w:type="spellStart"/>
      <w:r w:rsidRPr="00266B15">
        <w:rPr>
          <w:rFonts w:ascii="Arial" w:hAnsi="Arial" w:cs="Arial"/>
        </w:rPr>
        <w:t>Rutin</w:t>
      </w:r>
      <w:proofErr w:type="spellEnd"/>
      <w:r w:rsidRPr="00266B15">
        <w:rPr>
          <w:rFonts w:ascii="Arial" w:hAnsi="Arial" w:cs="Arial"/>
        </w:rPr>
        <w:t xml:space="preserve"> ; A3: Ethanolic extract of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rPr>
        <w:t xml:space="preserve"> A6 : Ethanolic extract of </w:t>
      </w:r>
      <w:r w:rsidRPr="00266B15">
        <w:rPr>
          <w:rFonts w:ascii="Arial" w:hAnsi="Arial" w:cs="Arial"/>
          <w:i/>
          <w:iCs/>
        </w:rPr>
        <w:t xml:space="preserve">Terminalia </w:t>
      </w:r>
      <w:proofErr w:type="spellStart"/>
      <w:r w:rsidRPr="00266B15">
        <w:rPr>
          <w:rFonts w:ascii="Arial" w:hAnsi="Arial" w:cs="Arial"/>
          <w:i/>
          <w:iCs/>
        </w:rPr>
        <w:t>avicennioides</w:t>
      </w:r>
      <w:proofErr w:type="spellEnd"/>
      <w:r w:rsidRPr="00266B15">
        <w:rPr>
          <w:rFonts w:ascii="Arial" w:hAnsi="Arial" w:cs="Arial"/>
        </w:rPr>
        <w:t xml:space="preserve"> ;A7: Hydroethanolic extract of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i/>
          <w:iCs/>
        </w:rPr>
        <w:t xml:space="preserve"> </w:t>
      </w:r>
      <w:r w:rsidRPr="00266B15">
        <w:rPr>
          <w:rFonts w:ascii="Arial" w:hAnsi="Arial" w:cs="Arial"/>
        </w:rPr>
        <w:t xml:space="preserve">; Hydroethanolic extract of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i/>
          <w:iCs/>
        </w:rPr>
        <w:t xml:space="preserve"> </w:t>
      </w:r>
      <w:r w:rsidRPr="00266B15">
        <w:rPr>
          <w:rFonts w:ascii="Arial" w:hAnsi="Arial" w:cs="Arial"/>
        </w:rPr>
        <w:t xml:space="preserve">;B6: Hydroethanolic extract of </w:t>
      </w:r>
      <w:r w:rsidRPr="00266B15">
        <w:rPr>
          <w:rFonts w:ascii="Arial" w:hAnsi="Arial" w:cs="Arial"/>
          <w:i/>
          <w:iCs/>
        </w:rPr>
        <w:t xml:space="preserve">Terminalia </w:t>
      </w:r>
      <w:proofErr w:type="spellStart"/>
      <w:r w:rsidRPr="00266B15">
        <w:rPr>
          <w:rFonts w:ascii="Arial" w:hAnsi="Arial" w:cs="Arial"/>
          <w:i/>
          <w:iCs/>
        </w:rPr>
        <w:t>avicennioides</w:t>
      </w:r>
      <w:proofErr w:type="spellEnd"/>
      <w:r w:rsidRPr="00266B15">
        <w:rPr>
          <w:rFonts w:ascii="Arial" w:hAnsi="Arial" w:cs="Arial"/>
        </w:rPr>
        <w:t xml:space="preserve"> ; B7: Hydroethanolic extract of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i/>
          <w:iCs/>
        </w:rPr>
        <w:t>.</w:t>
      </w:r>
    </w:p>
    <w:p w14:paraId="31668DC6" w14:textId="77777777" w:rsidR="006E7F00" w:rsidRPr="00266B15" w:rsidRDefault="006E7F00" w:rsidP="006E7F00">
      <w:pPr>
        <w:spacing w:line="360" w:lineRule="auto"/>
        <w:jc w:val="both"/>
        <w:rPr>
          <w:rFonts w:ascii="Arial" w:hAnsi="Arial" w:cs="Arial"/>
        </w:rPr>
      </w:pPr>
    </w:p>
    <w:p w14:paraId="4659B7CD" w14:textId="77777777" w:rsidR="006E7F00" w:rsidRPr="00266B15" w:rsidRDefault="006E7F00" w:rsidP="006E7F00">
      <w:pPr>
        <w:pStyle w:val="ListParagraph"/>
        <w:numPr>
          <w:ilvl w:val="2"/>
          <w:numId w:val="34"/>
        </w:numPr>
        <w:spacing w:line="360" w:lineRule="auto"/>
        <w:rPr>
          <w:rFonts w:ascii="Arial" w:hAnsi="Arial" w:cs="Arial"/>
          <w:sz w:val="20"/>
          <w:szCs w:val="20"/>
          <w:u w:val="single"/>
        </w:rPr>
      </w:pPr>
      <w:r w:rsidRPr="00266B15">
        <w:rPr>
          <w:rFonts w:ascii="Arial" w:hAnsi="Arial" w:cs="Arial"/>
          <w:b/>
          <w:bCs/>
          <w:sz w:val="20"/>
          <w:szCs w:val="20"/>
          <w:u w:val="single"/>
        </w:rPr>
        <w:t>Quantification of Phenolic Compounds</w:t>
      </w:r>
    </w:p>
    <w:p w14:paraId="7AED0943" w14:textId="150C8C7D" w:rsidR="006E7F00" w:rsidRPr="00266B15" w:rsidRDefault="006E7F00" w:rsidP="006E7F00">
      <w:pPr>
        <w:spacing w:line="360" w:lineRule="auto"/>
        <w:jc w:val="both"/>
        <w:rPr>
          <w:rFonts w:ascii="Arial" w:hAnsi="Arial" w:cs="Arial"/>
        </w:rPr>
      </w:pPr>
      <w:r w:rsidRPr="00266B15">
        <w:rPr>
          <w:rFonts w:ascii="Arial" w:hAnsi="Arial" w:cs="Arial"/>
        </w:rPr>
        <w:t xml:space="preserve">The analysis of secondary metabolites (Table </w:t>
      </w:r>
      <w:r w:rsidR="006729E7" w:rsidRPr="00266B15">
        <w:rPr>
          <w:rFonts w:ascii="Arial" w:hAnsi="Arial" w:cs="Arial"/>
        </w:rPr>
        <w:t>3</w:t>
      </w:r>
      <w:r w:rsidRPr="00266B15">
        <w:rPr>
          <w:rFonts w:ascii="Arial" w:hAnsi="Arial" w:cs="Arial"/>
        </w:rPr>
        <w:t xml:space="preserve">) showed that the ethanolic extract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had the highest total polyphenol content (51.15 ± 0.30 mg GAE/100 mg), while the lowest content was recorded in the ethanolic extract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(3.61 ± 0.007 mg GAE/100 mg).</w:t>
      </w:r>
    </w:p>
    <w:p w14:paraId="72894EB7" w14:textId="77777777" w:rsidR="006E7F00" w:rsidRPr="00266B15" w:rsidRDefault="006E7F00" w:rsidP="006E7F00">
      <w:pPr>
        <w:spacing w:line="360" w:lineRule="auto"/>
        <w:jc w:val="both"/>
        <w:rPr>
          <w:rFonts w:ascii="Arial" w:hAnsi="Arial" w:cs="Arial"/>
        </w:rPr>
      </w:pPr>
      <w:r w:rsidRPr="00266B15">
        <w:rPr>
          <w:rFonts w:ascii="Arial" w:hAnsi="Arial" w:cs="Arial"/>
        </w:rPr>
        <w:t xml:space="preserve">Concerning flavonoids, the ethanolic extract of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was particularly rich (25.45 ± 4.69 mg QE/100 mg), whereas the hydroethanolic extract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contained only a very small amount (0.25 ± 0.00 mg QE/100 mg).</w:t>
      </w:r>
    </w:p>
    <w:p w14:paraId="189DBA98" w14:textId="77777777" w:rsidR="006E7F00" w:rsidRPr="00266B15" w:rsidRDefault="006E7F00" w:rsidP="006E7F00">
      <w:pPr>
        <w:spacing w:line="360" w:lineRule="auto"/>
        <w:jc w:val="both"/>
        <w:rPr>
          <w:rFonts w:ascii="Arial" w:hAnsi="Arial" w:cs="Arial"/>
        </w:rPr>
      </w:pPr>
      <w:r w:rsidRPr="00266B15">
        <w:rPr>
          <w:rFonts w:ascii="Arial" w:hAnsi="Arial" w:cs="Arial"/>
        </w:rPr>
        <w:lastRenderedPageBreak/>
        <w:t xml:space="preserve">As for flavonols, the highest concentration was also observed in the ethanolic extract of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(8.38 ± 2.41 mg RE/100 mg), followed by its extract The hydroethanolic extract (4.35 ± 1.80 mg RE/100 mg) followed, while the other extracts did not yield exploitable values.</w:t>
      </w:r>
    </w:p>
    <w:p w14:paraId="760C1349" w14:textId="77777777" w:rsidR="006E7F00" w:rsidRPr="00266B15" w:rsidRDefault="006E7F00" w:rsidP="006E7F00">
      <w:pPr>
        <w:spacing w:line="360" w:lineRule="auto"/>
        <w:jc w:val="both"/>
        <w:rPr>
          <w:rFonts w:ascii="Arial" w:hAnsi="Arial" w:cs="Arial"/>
        </w:rPr>
      </w:pPr>
      <w:r w:rsidRPr="00266B15">
        <w:rPr>
          <w:rFonts w:ascii="Arial" w:hAnsi="Arial" w:cs="Arial"/>
        </w:rPr>
        <w:t xml:space="preserve">Overall, these results highlight the richness of the studied extracts in total phenolic compounds and flavonoids. These observations are consistent with those reported by other authors, who also emphasized the high content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and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in phenolic metabolites (Bangou et al., 2021; Khan &amp; </w:t>
      </w:r>
      <w:proofErr w:type="spellStart"/>
      <w:r w:rsidRPr="00266B15">
        <w:rPr>
          <w:rFonts w:ascii="Arial" w:hAnsi="Arial" w:cs="Arial"/>
        </w:rPr>
        <w:t>Bhadauria</w:t>
      </w:r>
      <w:proofErr w:type="spellEnd"/>
      <w:r w:rsidRPr="00266B15">
        <w:rPr>
          <w:rFonts w:ascii="Arial" w:hAnsi="Arial" w:cs="Arial"/>
        </w:rPr>
        <w:t xml:space="preserve">, 2019; </w:t>
      </w:r>
      <w:proofErr w:type="spellStart"/>
      <w:r w:rsidRPr="00266B15">
        <w:rPr>
          <w:rFonts w:ascii="Arial" w:hAnsi="Arial" w:cs="Arial"/>
        </w:rPr>
        <w:t>N’do</w:t>
      </w:r>
      <w:proofErr w:type="spellEnd"/>
      <w:r w:rsidRPr="00266B15">
        <w:rPr>
          <w:rFonts w:ascii="Arial" w:hAnsi="Arial" w:cs="Arial"/>
        </w:rPr>
        <w:t xml:space="preserve"> et al., 2024). However, significant variations are observed depending on the study. For example, N’do et al. (2024) reported lower levels in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for total phenolics (158.69 ± 0.12 µg GAE/g), flavonoids (36.19 ± 0.05 µg QE/g), and flavonols (15.89 ± 0.02 µg RE/100 g). For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the same authors also indicated lower values (156.31 ± 0.12 µg GAE/g for total phenolics, 72.25 ± 0.03 µg QE/g for flavonoids, and 42.27 ± 0.26 µg RE/100 g for flavonols).</w:t>
      </w:r>
      <w:r w:rsidRPr="00266B15">
        <w:rPr>
          <w:rFonts w:ascii="Arial" w:hAnsi="Arial" w:cs="Arial"/>
        </w:rPr>
        <w:br/>
        <w:t xml:space="preserve">Meanwhile, Khan and </w:t>
      </w:r>
      <w:proofErr w:type="spellStart"/>
      <w:r w:rsidRPr="00266B15">
        <w:rPr>
          <w:rFonts w:ascii="Arial" w:hAnsi="Arial" w:cs="Arial"/>
        </w:rPr>
        <w:t>Bhadauria</w:t>
      </w:r>
      <w:proofErr w:type="spellEnd"/>
      <w:r w:rsidRPr="00266B15">
        <w:rPr>
          <w:rFonts w:ascii="Arial" w:hAnsi="Arial" w:cs="Arial"/>
        </w:rPr>
        <w:t xml:space="preserve"> (2019) reported, for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contents of 20.89 ± 0.89 mg GAE/g in total polyphenols and 30.59 ± 1.27 mg QE/g in total flavonoids.</w:t>
      </w:r>
    </w:p>
    <w:p w14:paraId="484CCEF4" w14:textId="77777777" w:rsidR="006E7F00" w:rsidRPr="00266B15" w:rsidRDefault="006E7F00" w:rsidP="006E7F00">
      <w:pPr>
        <w:spacing w:line="360" w:lineRule="auto"/>
        <w:jc w:val="both"/>
        <w:rPr>
          <w:rFonts w:ascii="Arial" w:hAnsi="Arial" w:cs="Arial"/>
        </w:rPr>
      </w:pPr>
    </w:p>
    <w:p w14:paraId="22190C1B" w14:textId="77777777" w:rsidR="006E7F00" w:rsidRPr="00266B15" w:rsidRDefault="006E7F00" w:rsidP="006E7F00">
      <w:pPr>
        <w:spacing w:line="360" w:lineRule="auto"/>
        <w:jc w:val="both"/>
        <w:rPr>
          <w:rFonts w:ascii="Arial" w:hAnsi="Arial" w:cs="Arial"/>
        </w:rPr>
      </w:pPr>
    </w:p>
    <w:p w14:paraId="35F220FB" w14:textId="4C5DDDF8" w:rsidR="006E7F00" w:rsidRPr="00266B15" w:rsidRDefault="006E7F00" w:rsidP="006E7F00">
      <w:pPr>
        <w:spacing w:line="360" w:lineRule="auto"/>
        <w:jc w:val="both"/>
        <w:rPr>
          <w:rFonts w:ascii="Arial" w:hAnsi="Arial" w:cs="Arial"/>
        </w:rPr>
      </w:pPr>
      <w:r w:rsidRPr="00266B15">
        <w:rPr>
          <w:rFonts w:ascii="Arial" w:hAnsi="Arial" w:cs="Arial"/>
          <w:b/>
          <w:bCs/>
        </w:rPr>
        <w:t xml:space="preserve">Table </w:t>
      </w:r>
      <w:r w:rsidR="006729E7" w:rsidRPr="00266B15">
        <w:rPr>
          <w:rFonts w:ascii="Arial" w:hAnsi="Arial" w:cs="Arial"/>
          <w:b/>
          <w:bCs/>
        </w:rPr>
        <w:t>3</w:t>
      </w:r>
      <w:r w:rsidRPr="00266B15">
        <w:rPr>
          <w:rFonts w:ascii="Arial" w:hAnsi="Arial" w:cs="Arial"/>
          <w:b/>
          <w:bCs/>
        </w:rPr>
        <w:t>: Content of Polyphenolic Compounds</w:t>
      </w:r>
    </w:p>
    <w:tbl>
      <w:tblPr>
        <w:tblStyle w:val="ListTable6Colorful"/>
        <w:tblW w:w="0" w:type="auto"/>
        <w:tblLook w:val="04A0" w:firstRow="1" w:lastRow="0" w:firstColumn="1" w:lastColumn="0" w:noHBand="0" w:noVBand="1"/>
      </w:tblPr>
      <w:tblGrid>
        <w:gridCol w:w="1672"/>
        <w:gridCol w:w="1471"/>
        <w:gridCol w:w="1706"/>
        <w:gridCol w:w="1790"/>
        <w:gridCol w:w="1569"/>
      </w:tblGrid>
      <w:tr w:rsidR="006E7F00" w:rsidRPr="00266B15" w14:paraId="09BBEE10"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E8075D" w14:textId="77777777" w:rsidR="006E7F00" w:rsidRPr="00266B15" w:rsidRDefault="006E7F00" w:rsidP="003C4853">
            <w:pPr>
              <w:spacing w:line="360" w:lineRule="auto"/>
              <w:jc w:val="both"/>
              <w:rPr>
                <w:rFonts w:ascii="Arial" w:hAnsi="Arial" w:cs="Arial"/>
                <w:b w:val="0"/>
                <w:bCs w:val="0"/>
                <w:lang w:val="fr-FR"/>
              </w:rPr>
            </w:pPr>
            <w:proofErr w:type="spellStart"/>
            <w:r w:rsidRPr="00266B15">
              <w:rPr>
                <w:rFonts w:ascii="Arial" w:hAnsi="Arial" w:cs="Arial"/>
                <w:lang w:val="fr-FR"/>
              </w:rPr>
              <w:t>Extract</w:t>
            </w:r>
            <w:proofErr w:type="spellEnd"/>
            <w:r w:rsidRPr="00266B15">
              <w:rPr>
                <w:rFonts w:ascii="Arial" w:hAnsi="Arial" w:cs="Arial"/>
                <w:lang w:val="fr-FR"/>
              </w:rPr>
              <w:t xml:space="preserve"> Type</w:t>
            </w:r>
          </w:p>
        </w:tc>
        <w:tc>
          <w:tcPr>
            <w:tcW w:w="0" w:type="auto"/>
            <w:hideMark/>
          </w:tcPr>
          <w:p w14:paraId="746F4DE1"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266B15">
              <w:rPr>
                <w:rFonts w:ascii="Arial" w:hAnsi="Arial" w:cs="Arial"/>
                <w:lang w:val="fr-FR"/>
              </w:rPr>
              <w:t>Species</w:t>
            </w:r>
            <w:proofErr w:type="spellEnd"/>
          </w:p>
        </w:tc>
        <w:tc>
          <w:tcPr>
            <w:tcW w:w="0" w:type="auto"/>
            <w:hideMark/>
          </w:tcPr>
          <w:p w14:paraId="6D0B9B6F"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266B15">
              <w:rPr>
                <w:rFonts w:ascii="Arial" w:hAnsi="Arial" w:cs="Arial"/>
                <w:lang w:val="fr-FR"/>
              </w:rPr>
              <w:t xml:space="preserve">Total </w:t>
            </w:r>
            <w:proofErr w:type="spellStart"/>
            <w:r w:rsidRPr="00266B15">
              <w:rPr>
                <w:rFonts w:ascii="Arial" w:hAnsi="Arial" w:cs="Arial"/>
                <w:lang w:val="fr-FR"/>
              </w:rPr>
              <w:t>Phenolics</w:t>
            </w:r>
            <w:proofErr w:type="spellEnd"/>
            <w:r w:rsidRPr="00266B15">
              <w:rPr>
                <w:rFonts w:ascii="Arial" w:hAnsi="Arial" w:cs="Arial"/>
                <w:lang w:val="fr-FR"/>
              </w:rPr>
              <w:t xml:space="preserve"> (mg GAE/100 mg </w:t>
            </w:r>
            <w:proofErr w:type="spellStart"/>
            <w:r w:rsidRPr="00266B15">
              <w:rPr>
                <w:rFonts w:ascii="Arial" w:hAnsi="Arial" w:cs="Arial"/>
                <w:lang w:val="fr-FR"/>
              </w:rPr>
              <w:t>extract</w:t>
            </w:r>
            <w:proofErr w:type="spellEnd"/>
            <w:r w:rsidRPr="00266B15">
              <w:rPr>
                <w:rFonts w:ascii="Arial" w:hAnsi="Arial" w:cs="Arial"/>
                <w:lang w:val="fr-FR"/>
              </w:rPr>
              <w:t>)</w:t>
            </w:r>
          </w:p>
        </w:tc>
        <w:tc>
          <w:tcPr>
            <w:tcW w:w="0" w:type="auto"/>
            <w:hideMark/>
          </w:tcPr>
          <w:p w14:paraId="7156E456"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B15">
              <w:rPr>
                <w:rFonts w:ascii="Arial" w:hAnsi="Arial" w:cs="Arial"/>
              </w:rPr>
              <w:t>Total Flavonoids (mg QE/100 mg extract)</w:t>
            </w:r>
          </w:p>
        </w:tc>
        <w:tc>
          <w:tcPr>
            <w:tcW w:w="0" w:type="auto"/>
            <w:hideMark/>
          </w:tcPr>
          <w:p w14:paraId="2D82B08D"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266B15">
              <w:rPr>
                <w:rFonts w:ascii="Arial" w:hAnsi="Arial" w:cs="Arial"/>
                <w:lang w:val="fr-FR"/>
              </w:rPr>
              <w:t xml:space="preserve">Flavonols (mg RE/100 mg </w:t>
            </w:r>
            <w:proofErr w:type="spellStart"/>
            <w:r w:rsidRPr="00266B15">
              <w:rPr>
                <w:rFonts w:ascii="Arial" w:hAnsi="Arial" w:cs="Arial"/>
                <w:lang w:val="fr-FR"/>
              </w:rPr>
              <w:t>extract</w:t>
            </w:r>
            <w:proofErr w:type="spellEnd"/>
            <w:r w:rsidRPr="00266B15">
              <w:rPr>
                <w:rFonts w:ascii="Arial" w:hAnsi="Arial" w:cs="Arial"/>
                <w:lang w:val="fr-FR"/>
              </w:rPr>
              <w:t>)</w:t>
            </w:r>
          </w:p>
        </w:tc>
      </w:tr>
      <w:tr w:rsidR="006E7F00" w:rsidRPr="00266B15" w14:paraId="68B802FC"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9A89151" w14:textId="77777777" w:rsidR="006E7F00" w:rsidRPr="00266B15" w:rsidRDefault="006E7F00" w:rsidP="003C4853">
            <w:pPr>
              <w:spacing w:line="360" w:lineRule="auto"/>
              <w:jc w:val="both"/>
              <w:rPr>
                <w:rFonts w:ascii="Arial" w:hAnsi="Arial" w:cs="Arial"/>
                <w:lang w:val="fr-FR"/>
              </w:rPr>
            </w:pPr>
            <w:proofErr w:type="spellStart"/>
            <w:r w:rsidRPr="00266B15">
              <w:rPr>
                <w:rFonts w:ascii="Arial" w:hAnsi="Arial" w:cs="Arial"/>
                <w:lang w:val="fr-FR"/>
              </w:rPr>
              <w:t>Ethanolic</w:t>
            </w:r>
            <w:proofErr w:type="spellEnd"/>
          </w:p>
        </w:tc>
        <w:tc>
          <w:tcPr>
            <w:tcW w:w="0" w:type="auto"/>
            <w:hideMark/>
          </w:tcPr>
          <w:p w14:paraId="22DB7811"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i/>
                <w:iCs/>
                <w:lang w:val="fr-FR"/>
              </w:rPr>
              <w:t xml:space="preserve">T. </w:t>
            </w:r>
            <w:proofErr w:type="spellStart"/>
            <w:r w:rsidRPr="00266B15">
              <w:rPr>
                <w:rFonts w:ascii="Arial" w:hAnsi="Arial" w:cs="Arial"/>
                <w:i/>
                <w:iCs/>
                <w:lang w:val="fr-FR"/>
              </w:rPr>
              <w:t>macroptera</w:t>
            </w:r>
            <w:proofErr w:type="spellEnd"/>
          </w:p>
        </w:tc>
        <w:tc>
          <w:tcPr>
            <w:tcW w:w="0" w:type="auto"/>
            <w:hideMark/>
          </w:tcPr>
          <w:p w14:paraId="5899DB06"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51.15 ± 0.30ᵏ</w:t>
            </w:r>
          </w:p>
        </w:tc>
        <w:tc>
          <w:tcPr>
            <w:tcW w:w="0" w:type="auto"/>
            <w:hideMark/>
          </w:tcPr>
          <w:p w14:paraId="21744D86"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2.37 ± 0.02ᶜ</w:t>
            </w:r>
          </w:p>
        </w:tc>
        <w:tc>
          <w:tcPr>
            <w:tcW w:w="0" w:type="auto"/>
            <w:hideMark/>
          </w:tcPr>
          <w:p w14:paraId="05CEC714"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NA</w:t>
            </w:r>
          </w:p>
        </w:tc>
      </w:tr>
      <w:tr w:rsidR="006E7F00" w:rsidRPr="00266B15" w14:paraId="4AA40AD1" w14:textId="77777777" w:rsidTr="00A30F04">
        <w:tc>
          <w:tcPr>
            <w:cnfStyle w:val="001000000000" w:firstRow="0" w:lastRow="0" w:firstColumn="1" w:lastColumn="0" w:oddVBand="0" w:evenVBand="0" w:oddHBand="0" w:evenHBand="0" w:firstRowFirstColumn="0" w:firstRowLastColumn="0" w:lastRowFirstColumn="0" w:lastRowLastColumn="0"/>
            <w:tcW w:w="0" w:type="auto"/>
            <w:vMerge/>
            <w:hideMark/>
          </w:tcPr>
          <w:p w14:paraId="76576AA4" w14:textId="77777777" w:rsidR="006E7F00" w:rsidRPr="00266B15" w:rsidRDefault="006E7F00" w:rsidP="003C4853">
            <w:pPr>
              <w:spacing w:line="360" w:lineRule="auto"/>
              <w:jc w:val="both"/>
              <w:rPr>
                <w:rFonts w:ascii="Arial" w:hAnsi="Arial" w:cs="Arial"/>
                <w:lang w:val="fr-FR"/>
              </w:rPr>
            </w:pPr>
          </w:p>
        </w:tc>
        <w:tc>
          <w:tcPr>
            <w:tcW w:w="0" w:type="auto"/>
            <w:hideMark/>
          </w:tcPr>
          <w:p w14:paraId="12A30167"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i/>
                <w:iCs/>
                <w:lang w:val="fr-FR"/>
              </w:rPr>
              <w:t xml:space="preserve">T. </w:t>
            </w:r>
            <w:proofErr w:type="spellStart"/>
            <w:r w:rsidRPr="00266B15">
              <w:rPr>
                <w:rFonts w:ascii="Arial" w:hAnsi="Arial" w:cs="Arial"/>
                <w:i/>
                <w:iCs/>
                <w:lang w:val="fr-FR"/>
              </w:rPr>
              <w:t>avicennioides</w:t>
            </w:r>
            <w:proofErr w:type="spellEnd"/>
          </w:p>
        </w:tc>
        <w:tc>
          <w:tcPr>
            <w:tcW w:w="0" w:type="auto"/>
            <w:hideMark/>
          </w:tcPr>
          <w:p w14:paraId="12798E95"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26.50 ± 0.42</w:t>
            </w:r>
            <w:r w:rsidRPr="00266B15">
              <w:rPr>
                <w:rFonts w:ascii="Cambria Math" w:hAnsi="Cambria Math" w:cs="Cambria Math"/>
                <w:lang w:val="fr-FR"/>
              </w:rPr>
              <w:t>ⁱ</w:t>
            </w:r>
          </w:p>
        </w:tc>
        <w:tc>
          <w:tcPr>
            <w:tcW w:w="0" w:type="auto"/>
            <w:hideMark/>
          </w:tcPr>
          <w:p w14:paraId="5C5FAC84"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25.45 ± 4.69</w:t>
            </w:r>
            <w:r w:rsidRPr="00266B15">
              <w:rPr>
                <w:rFonts w:ascii="Cambria Math" w:hAnsi="Cambria Math" w:cs="Cambria Math"/>
                <w:lang w:val="fr-FR"/>
              </w:rPr>
              <w:t>ⁱ</w:t>
            </w:r>
          </w:p>
        </w:tc>
        <w:tc>
          <w:tcPr>
            <w:tcW w:w="0" w:type="auto"/>
            <w:hideMark/>
          </w:tcPr>
          <w:p w14:paraId="5D6A1B3E"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8.38 ± 2.41ᵍ</w:t>
            </w:r>
          </w:p>
        </w:tc>
      </w:tr>
      <w:tr w:rsidR="006E7F00" w:rsidRPr="00266B15" w14:paraId="33414CC0"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23FBFFB" w14:textId="77777777" w:rsidR="006E7F00" w:rsidRPr="00266B15" w:rsidRDefault="006E7F00" w:rsidP="003C4853">
            <w:pPr>
              <w:spacing w:line="360" w:lineRule="auto"/>
              <w:jc w:val="both"/>
              <w:rPr>
                <w:rFonts w:ascii="Arial" w:hAnsi="Arial" w:cs="Arial"/>
                <w:lang w:val="fr-FR"/>
              </w:rPr>
            </w:pPr>
          </w:p>
        </w:tc>
        <w:tc>
          <w:tcPr>
            <w:tcW w:w="0" w:type="auto"/>
            <w:hideMark/>
          </w:tcPr>
          <w:p w14:paraId="32B4C1AC"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i/>
                <w:iCs/>
                <w:lang w:val="fr-FR"/>
              </w:rPr>
              <w:t xml:space="preserve">A. </w:t>
            </w:r>
            <w:proofErr w:type="spellStart"/>
            <w:r w:rsidRPr="00266B15">
              <w:rPr>
                <w:rFonts w:ascii="Arial" w:hAnsi="Arial" w:cs="Arial"/>
                <w:i/>
                <w:iCs/>
                <w:lang w:val="fr-FR"/>
              </w:rPr>
              <w:t>mexicana</w:t>
            </w:r>
            <w:proofErr w:type="spellEnd"/>
          </w:p>
        </w:tc>
        <w:tc>
          <w:tcPr>
            <w:tcW w:w="0" w:type="auto"/>
            <w:hideMark/>
          </w:tcPr>
          <w:p w14:paraId="5B76B3E2"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3.61 ± 0.007ᵈ</w:t>
            </w:r>
          </w:p>
        </w:tc>
        <w:tc>
          <w:tcPr>
            <w:tcW w:w="0" w:type="auto"/>
            <w:hideMark/>
          </w:tcPr>
          <w:p w14:paraId="73DFBB1E"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0.78 ± 0.02ᵃ</w:t>
            </w:r>
          </w:p>
        </w:tc>
        <w:tc>
          <w:tcPr>
            <w:tcW w:w="0" w:type="auto"/>
            <w:hideMark/>
          </w:tcPr>
          <w:p w14:paraId="691A5BD1"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NA</w:t>
            </w:r>
          </w:p>
        </w:tc>
      </w:tr>
      <w:tr w:rsidR="006E7F00" w:rsidRPr="00266B15" w14:paraId="4B857AA9" w14:textId="77777777" w:rsidTr="00A30F04">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B2A23D6" w14:textId="77777777" w:rsidR="006E7F00" w:rsidRPr="00266B15" w:rsidRDefault="006E7F00" w:rsidP="003C4853">
            <w:pPr>
              <w:spacing w:line="360" w:lineRule="auto"/>
              <w:jc w:val="both"/>
              <w:rPr>
                <w:rFonts w:ascii="Arial" w:hAnsi="Arial" w:cs="Arial"/>
                <w:lang w:val="fr-FR"/>
              </w:rPr>
            </w:pPr>
            <w:proofErr w:type="spellStart"/>
            <w:r w:rsidRPr="00266B15">
              <w:rPr>
                <w:rFonts w:ascii="Arial" w:hAnsi="Arial" w:cs="Arial"/>
                <w:lang w:val="fr-FR"/>
              </w:rPr>
              <w:t>Hydroethanolic</w:t>
            </w:r>
            <w:proofErr w:type="spellEnd"/>
          </w:p>
        </w:tc>
        <w:tc>
          <w:tcPr>
            <w:tcW w:w="0" w:type="auto"/>
            <w:hideMark/>
          </w:tcPr>
          <w:p w14:paraId="4AADAA86"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i/>
                <w:iCs/>
                <w:lang w:val="fr-FR"/>
              </w:rPr>
              <w:t xml:space="preserve">T. </w:t>
            </w:r>
            <w:proofErr w:type="spellStart"/>
            <w:r w:rsidRPr="00266B15">
              <w:rPr>
                <w:rFonts w:ascii="Arial" w:hAnsi="Arial" w:cs="Arial"/>
                <w:i/>
                <w:iCs/>
                <w:lang w:val="fr-FR"/>
              </w:rPr>
              <w:t>macroptera</w:t>
            </w:r>
            <w:proofErr w:type="spellEnd"/>
          </w:p>
        </w:tc>
        <w:tc>
          <w:tcPr>
            <w:tcW w:w="0" w:type="auto"/>
            <w:hideMark/>
          </w:tcPr>
          <w:p w14:paraId="0373B22C"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35.02 ± 0.11ʲ</w:t>
            </w:r>
          </w:p>
        </w:tc>
        <w:tc>
          <w:tcPr>
            <w:tcW w:w="0" w:type="auto"/>
            <w:hideMark/>
          </w:tcPr>
          <w:p w14:paraId="0886ED26"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1.35 ± 0.02ᵇ</w:t>
            </w:r>
          </w:p>
        </w:tc>
        <w:tc>
          <w:tcPr>
            <w:tcW w:w="0" w:type="auto"/>
            <w:hideMark/>
          </w:tcPr>
          <w:p w14:paraId="3B446FE5"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NA</w:t>
            </w:r>
          </w:p>
        </w:tc>
      </w:tr>
      <w:tr w:rsidR="006E7F00" w:rsidRPr="00266B15" w14:paraId="280B79F8"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BF7065" w14:textId="77777777" w:rsidR="006E7F00" w:rsidRPr="00266B15" w:rsidRDefault="006E7F00" w:rsidP="003C4853">
            <w:pPr>
              <w:spacing w:line="360" w:lineRule="auto"/>
              <w:jc w:val="both"/>
              <w:rPr>
                <w:rFonts w:ascii="Arial" w:hAnsi="Arial" w:cs="Arial"/>
                <w:lang w:val="fr-FR"/>
              </w:rPr>
            </w:pPr>
          </w:p>
        </w:tc>
        <w:tc>
          <w:tcPr>
            <w:tcW w:w="0" w:type="auto"/>
            <w:hideMark/>
          </w:tcPr>
          <w:p w14:paraId="7D47CC12"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i/>
                <w:iCs/>
                <w:lang w:val="fr-FR"/>
              </w:rPr>
              <w:t xml:space="preserve">T. </w:t>
            </w:r>
            <w:proofErr w:type="spellStart"/>
            <w:r w:rsidRPr="00266B15">
              <w:rPr>
                <w:rFonts w:ascii="Arial" w:hAnsi="Arial" w:cs="Arial"/>
                <w:i/>
                <w:iCs/>
                <w:lang w:val="fr-FR"/>
              </w:rPr>
              <w:t>avicennioides</w:t>
            </w:r>
            <w:proofErr w:type="spellEnd"/>
          </w:p>
        </w:tc>
        <w:tc>
          <w:tcPr>
            <w:tcW w:w="0" w:type="auto"/>
            <w:hideMark/>
          </w:tcPr>
          <w:p w14:paraId="466CD8A2"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25.94 ± 0.05</w:t>
            </w:r>
            <w:r w:rsidRPr="00266B15">
              <w:rPr>
                <w:rFonts w:ascii="Cambria Math" w:hAnsi="Cambria Math" w:cs="Cambria Math"/>
                <w:lang w:val="fr-FR"/>
              </w:rPr>
              <w:t>ⁱ</w:t>
            </w:r>
          </w:p>
        </w:tc>
        <w:tc>
          <w:tcPr>
            <w:tcW w:w="0" w:type="auto"/>
            <w:hideMark/>
          </w:tcPr>
          <w:p w14:paraId="58BF8FB3"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11.42 ± 0.21ʰ</w:t>
            </w:r>
          </w:p>
        </w:tc>
        <w:tc>
          <w:tcPr>
            <w:tcW w:w="0" w:type="auto"/>
            <w:hideMark/>
          </w:tcPr>
          <w:p w14:paraId="47F89F7E"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4.35 ± 1.80ᵉ</w:t>
            </w:r>
          </w:p>
        </w:tc>
      </w:tr>
      <w:tr w:rsidR="006E7F00" w:rsidRPr="00266B15" w14:paraId="005C6C01" w14:textId="77777777" w:rsidTr="00A30F04">
        <w:tc>
          <w:tcPr>
            <w:cnfStyle w:val="001000000000" w:firstRow="0" w:lastRow="0" w:firstColumn="1" w:lastColumn="0" w:oddVBand="0" w:evenVBand="0" w:oddHBand="0" w:evenHBand="0" w:firstRowFirstColumn="0" w:firstRowLastColumn="0" w:lastRowFirstColumn="0" w:lastRowLastColumn="0"/>
            <w:tcW w:w="0" w:type="auto"/>
            <w:vMerge/>
            <w:hideMark/>
          </w:tcPr>
          <w:p w14:paraId="5B52E6B9" w14:textId="77777777" w:rsidR="006E7F00" w:rsidRPr="00266B15" w:rsidRDefault="006E7F00" w:rsidP="003C4853">
            <w:pPr>
              <w:spacing w:line="360" w:lineRule="auto"/>
              <w:jc w:val="both"/>
              <w:rPr>
                <w:rFonts w:ascii="Arial" w:hAnsi="Arial" w:cs="Arial"/>
                <w:lang w:val="fr-FR"/>
              </w:rPr>
            </w:pPr>
          </w:p>
        </w:tc>
        <w:tc>
          <w:tcPr>
            <w:tcW w:w="0" w:type="auto"/>
            <w:hideMark/>
          </w:tcPr>
          <w:p w14:paraId="166A39ED"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i/>
                <w:iCs/>
                <w:lang w:val="fr-FR"/>
              </w:rPr>
              <w:t xml:space="preserve">A. </w:t>
            </w:r>
            <w:proofErr w:type="spellStart"/>
            <w:r w:rsidRPr="00266B15">
              <w:rPr>
                <w:rFonts w:ascii="Arial" w:hAnsi="Arial" w:cs="Arial"/>
                <w:i/>
                <w:iCs/>
                <w:lang w:val="fr-FR"/>
              </w:rPr>
              <w:t>mexicana</w:t>
            </w:r>
            <w:proofErr w:type="spellEnd"/>
          </w:p>
        </w:tc>
        <w:tc>
          <w:tcPr>
            <w:tcW w:w="0" w:type="auto"/>
            <w:hideMark/>
          </w:tcPr>
          <w:p w14:paraId="043CF019"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7.51 ± 0.30ᶠ</w:t>
            </w:r>
          </w:p>
        </w:tc>
        <w:tc>
          <w:tcPr>
            <w:tcW w:w="0" w:type="auto"/>
            <w:hideMark/>
          </w:tcPr>
          <w:p w14:paraId="30D3AEFF"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0.25 ± 0.00ᵃ</w:t>
            </w:r>
          </w:p>
        </w:tc>
        <w:tc>
          <w:tcPr>
            <w:tcW w:w="0" w:type="auto"/>
            <w:hideMark/>
          </w:tcPr>
          <w:p w14:paraId="43ED4427"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NA</w:t>
            </w:r>
          </w:p>
        </w:tc>
      </w:tr>
    </w:tbl>
    <w:p w14:paraId="74A8220D" w14:textId="77777777" w:rsidR="006E7F00" w:rsidRPr="00266B15" w:rsidRDefault="006E7F00" w:rsidP="006E7F00">
      <w:pPr>
        <w:spacing w:line="360" w:lineRule="auto"/>
        <w:jc w:val="both"/>
        <w:rPr>
          <w:rFonts w:ascii="Arial" w:hAnsi="Arial" w:cs="Arial"/>
          <w:iCs/>
        </w:rPr>
      </w:pPr>
      <w:r w:rsidRPr="00266B15">
        <w:rPr>
          <w:rFonts w:ascii="Arial" w:hAnsi="Arial" w:cs="Arial"/>
          <w:iCs/>
        </w:rPr>
        <w:t xml:space="preserve">NA: Not analyzed. Values with different letters (a, b, c, d, e, f, g, h, </w:t>
      </w:r>
      <w:proofErr w:type="spellStart"/>
      <w:r w:rsidRPr="00266B15">
        <w:rPr>
          <w:rFonts w:ascii="Arial" w:hAnsi="Arial" w:cs="Arial"/>
          <w:iCs/>
        </w:rPr>
        <w:t>i</w:t>
      </w:r>
      <w:proofErr w:type="spellEnd"/>
      <w:r w:rsidRPr="00266B15">
        <w:rPr>
          <w:rFonts w:ascii="Arial" w:hAnsi="Arial" w:cs="Arial"/>
          <w:iCs/>
        </w:rPr>
        <w:t>, j, k) are statistically different (P-value &lt; 0.0001)</w:t>
      </w:r>
    </w:p>
    <w:p w14:paraId="712F35B2" w14:textId="1C8D138B" w:rsidR="006E7F00" w:rsidRPr="00266B15" w:rsidRDefault="006E7F00" w:rsidP="00CB6A63">
      <w:pPr>
        <w:pStyle w:val="ListParagraph"/>
        <w:numPr>
          <w:ilvl w:val="1"/>
          <w:numId w:val="37"/>
        </w:numPr>
        <w:spacing w:line="360" w:lineRule="auto"/>
        <w:jc w:val="both"/>
        <w:rPr>
          <w:rFonts w:ascii="Arial" w:hAnsi="Arial" w:cs="Arial"/>
          <w:b/>
          <w:bCs/>
          <w:sz w:val="20"/>
          <w:szCs w:val="20"/>
        </w:rPr>
      </w:pPr>
      <w:r w:rsidRPr="00266B15">
        <w:rPr>
          <w:rFonts w:ascii="Arial" w:hAnsi="Arial" w:cs="Arial"/>
          <w:b/>
          <w:bCs/>
          <w:sz w:val="20"/>
          <w:szCs w:val="20"/>
        </w:rPr>
        <w:t>B</w:t>
      </w:r>
      <w:r w:rsidR="00CB6A63" w:rsidRPr="00266B15">
        <w:rPr>
          <w:rFonts w:ascii="Arial" w:hAnsi="Arial" w:cs="Arial"/>
          <w:b/>
          <w:bCs/>
          <w:sz w:val="20"/>
          <w:szCs w:val="20"/>
        </w:rPr>
        <w:t>iological activities</w:t>
      </w:r>
    </w:p>
    <w:p w14:paraId="3B2BE853" w14:textId="77777777" w:rsidR="006E7F00" w:rsidRPr="00266B15" w:rsidRDefault="006E7F00" w:rsidP="00CB6A63">
      <w:pPr>
        <w:pStyle w:val="ListParagraph"/>
        <w:numPr>
          <w:ilvl w:val="2"/>
          <w:numId w:val="37"/>
        </w:numPr>
        <w:spacing w:line="360" w:lineRule="auto"/>
        <w:rPr>
          <w:rFonts w:ascii="Arial" w:hAnsi="Arial" w:cs="Arial"/>
          <w:sz w:val="20"/>
          <w:szCs w:val="20"/>
          <w:u w:val="single"/>
        </w:rPr>
      </w:pPr>
      <w:proofErr w:type="spellStart"/>
      <w:r w:rsidRPr="00266B15">
        <w:rPr>
          <w:rFonts w:ascii="Arial" w:hAnsi="Arial" w:cs="Arial"/>
          <w:b/>
          <w:bCs/>
          <w:sz w:val="20"/>
          <w:szCs w:val="20"/>
          <w:u w:val="single"/>
        </w:rPr>
        <w:t>Antiplasmodial</w:t>
      </w:r>
      <w:proofErr w:type="spellEnd"/>
      <w:r w:rsidRPr="00266B15">
        <w:rPr>
          <w:rFonts w:ascii="Arial" w:hAnsi="Arial" w:cs="Arial"/>
          <w:b/>
          <w:bCs/>
          <w:sz w:val="20"/>
          <w:szCs w:val="20"/>
          <w:u w:val="single"/>
        </w:rPr>
        <w:t xml:space="preserve"> Activity</w:t>
      </w:r>
    </w:p>
    <w:p w14:paraId="1E7C78F8" w14:textId="5FFE0D28" w:rsidR="006E7F00" w:rsidRPr="00266B15" w:rsidRDefault="006E7F00" w:rsidP="006E7F00">
      <w:pPr>
        <w:spacing w:line="360" w:lineRule="auto"/>
        <w:jc w:val="both"/>
        <w:rPr>
          <w:rFonts w:ascii="Arial" w:hAnsi="Arial" w:cs="Arial"/>
        </w:rPr>
      </w:pPr>
      <w:r w:rsidRPr="00266B15">
        <w:rPr>
          <w:rFonts w:ascii="Arial" w:hAnsi="Arial" w:cs="Arial"/>
        </w:rPr>
        <w:t xml:space="preserve">The </w:t>
      </w:r>
      <w:proofErr w:type="spellStart"/>
      <w:r w:rsidRPr="00266B15">
        <w:rPr>
          <w:rFonts w:ascii="Arial" w:hAnsi="Arial" w:cs="Arial"/>
        </w:rPr>
        <w:t>antiplasmodial</w:t>
      </w:r>
      <w:proofErr w:type="spellEnd"/>
      <w:r w:rsidRPr="00266B15">
        <w:rPr>
          <w:rFonts w:ascii="Arial" w:hAnsi="Arial" w:cs="Arial"/>
        </w:rPr>
        <w:t xml:space="preserve"> efficacy of crude extracts against the chloroquine-sensitive 3D7 asexual stages of </w:t>
      </w:r>
      <w:r w:rsidRPr="00266B15">
        <w:rPr>
          <w:rFonts w:ascii="Arial" w:hAnsi="Arial" w:cs="Arial"/>
          <w:i/>
          <w:iCs/>
        </w:rPr>
        <w:t>Plasmodium falciparum</w:t>
      </w:r>
      <w:r w:rsidRPr="00266B15">
        <w:rPr>
          <w:rFonts w:ascii="Arial" w:hAnsi="Arial" w:cs="Arial"/>
        </w:rPr>
        <w:t xml:space="preserve"> is summarized in Table </w:t>
      </w:r>
      <w:r w:rsidR="006729E7" w:rsidRPr="00266B15">
        <w:rPr>
          <w:rFonts w:ascii="Arial" w:hAnsi="Arial" w:cs="Arial"/>
        </w:rPr>
        <w:t>4</w:t>
      </w:r>
      <w:r w:rsidRPr="00266B15">
        <w:rPr>
          <w:rFonts w:ascii="Arial" w:hAnsi="Arial" w:cs="Arial"/>
        </w:rPr>
        <w:t>. The IC</w:t>
      </w:r>
      <w:r w:rsidRPr="00266B15">
        <w:rPr>
          <w:rFonts w:ascii="Cambria Math" w:hAnsi="Cambria Math" w:cs="Cambria Math"/>
        </w:rPr>
        <w:t>₅₀</w:t>
      </w:r>
      <w:r w:rsidRPr="00266B15">
        <w:rPr>
          <w:rFonts w:ascii="Arial" w:hAnsi="Arial" w:cs="Arial"/>
        </w:rPr>
        <w:t xml:space="preserve"> values ranged from </w:t>
      </w:r>
      <w:r w:rsidRPr="00266B15">
        <w:rPr>
          <w:rFonts w:ascii="Arial" w:hAnsi="Arial" w:cs="Arial"/>
        </w:rPr>
        <w:lastRenderedPageBreak/>
        <w:t>2.797 ± 0.54 to 52.422 ± 0.00 µg/</w:t>
      </w:r>
      <w:proofErr w:type="spellStart"/>
      <w:r w:rsidRPr="00266B15">
        <w:rPr>
          <w:rFonts w:ascii="Arial" w:hAnsi="Arial" w:cs="Arial"/>
        </w:rPr>
        <w:t>mL.</w:t>
      </w:r>
      <w:proofErr w:type="spellEnd"/>
      <w:r w:rsidRPr="00266B15">
        <w:rPr>
          <w:rFonts w:ascii="Arial" w:hAnsi="Arial" w:cs="Arial"/>
        </w:rPr>
        <w:t xml:space="preserve"> The most potent activity was observed with the ethanolic extract of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rPr>
        <w:t xml:space="preserve"> (IC</w:t>
      </w:r>
      <w:r w:rsidRPr="00266B15">
        <w:rPr>
          <w:rFonts w:ascii="Cambria Math" w:hAnsi="Cambria Math" w:cs="Cambria Math"/>
        </w:rPr>
        <w:t>₅₀</w:t>
      </w:r>
      <w:r w:rsidRPr="00266B15">
        <w:rPr>
          <w:rFonts w:ascii="Arial" w:hAnsi="Arial" w:cs="Arial"/>
        </w:rPr>
        <w:t xml:space="preserve"> = 2.797 ± 0.54 µg/mL), whereas the hydroethanolic extract of the same species exhibited the weakest activity (IC</w:t>
      </w:r>
      <w:r w:rsidRPr="00266B15">
        <w:rPr>
          <w:rFonts w:ascii="Cambria Math" w:hAnsi="Cambria Math" w:cs="Cambria Math"/>
        </w:rPr>
        <w:t>₅₀</w:t>
      </w:r>
      <w:r w:rsidRPr="00266B15">
        <w:rPr>
          <w:rFonts w:ascii="Arial" w:hAnsi="Arial" w:cs="Arial"/>
        </w:rPr>
        <w:t xml:space="preserve"> &gt; 52.422 ± 0.00 µg/mL).</w:t>
      </w:r>
    </w:p>
    <w:p w14:paraId="28397A24" w14:textId="77777777" w:rsidR="006E7F00" w:rsidRPr="00266B15" w:rsidRDefault="006E7F00" w:rsidP="006E7F00">
      <w:pPr>
        <w:spacing w:line="360" w:lineRule="auto"/>
        <w:jc w:val="both"/>
        <w:rPr>
          <w:rFonts w:ascii="Arial" w:hAnsi="Arial" w:cs="Arial"/>
        </w:rPr>
      </w:pPr>
      <w:r w:rsidRPr="00266B15">
        <w:rPr>
          <w:rFonts w:ascii="Arial" w:hAnsi="Arial" w:cs="Arial"/>
        </w:rPr>
        <w:t xml:space="preserve">According to the classification proposed by </w:t>
      </w:r>
      <w:proofErr w:type="spellStart"/>
      <w:r w:rsidRPr="00266B15">
        <w:rPr>
          <w:rFonts w:ascii="Arial" w:hAnsi="Arial" w:cs="Arial"/>
        </w:rPr>
        <w:t>Bashige-Chiribagula</w:t>
      </w:r>
      <w:proofErr w:type="spellEnd"/>
      <w:r w:rsidRPr="00266B15">
        <w:rPr>
          <w:rFonts w:ascii="Arial" w:hAnsi="Arial" w:cs="Arial"/>
        </w:rPr>
        <w:t xml:space="preserve"> et al. (2017), a crude extract is considered active when IC</w:t>
      </w:r>
      <w:r w:rsidRPr="00266B15">
        <w:rPr>
          <w:rFonts w:ascii="Cambria Math" w:hAnsi="Cambria Math" w:cs="Cambria Math"/>
        </w:rPr>
        <w:t>₅₀</w:t>
      </w:r>
      <w:r w:rsidRPr="00266B15">
        <w:rPr>
          <w:rFonts w:ascii="Arial" w:hAnsi="Arial" w:cs="Arial"/>
        </w:rPr>
        <w:t xml:space="preserve"> &lt; 5 µg/mL, moderately active when IC</w:t>
      </w:r>
      <w:r w:rsidRPr="00266B15">
        <w:rPr>
          <w:rFonts w:ascii="Cambria Math" w:hAnsi="Cambria Math" w:cs="Cambria Math"/>
        </w:rPr>
        <w:t>₅₀</w:t>
      </w:r>
      <w:r w:rsidRPr="00266B15">
        <w:rPr>
          <w:rFonts w:ascii="Arial" w:hAnsi="Arial" w:cs="Arial"/>
        </w:rPr>
        <w:t xml:space="preserve"> ranges between 5 and 10 µg/mL, and inactive when IC</w:t>
      </w:r>
      <w:r w:rsidRPr="00266B15">
        <w:rPr>
          <w:rFonts w:ascii="Cambria Math" w:hAnsi="Cambria Math" w:cs="Cambria Math"/>
        </w:rPr>
        <w:t>₅₀</w:t>
      </w:r>
      <w:r w:rsidRPr="00266B15">
        <w:rPr>
          <w:rFonts w:ascii="Arial" w:hAnsi="Arial" w:cs="Arial"/>
        </w:rPr>
        <w:t xml:space="preserve"> &gt; 10 µg/</w:t>
      </w:r>
      <w:proofErr w:type="spellStart"/>
      <w:r w:rsidRPr="00266B15">
        <w:rPr>
          <w:rFonts w:ascii="Arial" w:hAnsi="Arial" w:cs="Arial"/>
        </w:rPr>
        <w:t>mL.</w:t>
      </w:r>
      <w:proofErr w:type="spellEnd"/>
      <w:r w:rsidRPr="00266B15">
        <w:rPr>
          <w:rFonts w:ascii="Arial" w:hAnsi="Arial" w:cs="Arial"/>
        </w:rPr>
        <w:t xml:space="preserve"> Based on this classification, the ethanolic extracts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and </w:t>
      </w:r>
      <w:r w:rsidRPr="00266B15">
        <w:rPr>
          <w:rFonts w:ascii="Arial" w:hAnsi="Arial" w:cs="Arial"/>
          <w:i/>
          <w:iCs/>
        </w:rPr>
        <w:t xml:space="preserve">Terminalia </w:t>
      </w:r>
      <w:proofErr w:type="spellStart"/>
      <w:r w:rsidRPr="00266B15">
        <w:rPr>
          <w:rFonts w:ascii="Arial" w:hAnsi="Arial" w:cs="Arial"/>
          <w:i/>
          <w:iCs/>
        </w:rPr>
        <w:t>avicennioides</w:t>
      </w:r>
      <w:proofErr w:type="spellEnd"/>
      <w:r w:rsidRPr="00266B15">
        <w:rPr>
          <w:rFonts w:ascii="Arial" w:hAnsi="Arial" w:cs="Arial"/>
        </w:rPr>
        <w:t xml:space="preserve"> are among the most active, while the extracts of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rPr>
        <w:t xml:space="preserve"> exhibit moderate activity. In contrast, the hydroethanolic extract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appears inactive against the tested strain.</w:t>
      </w:r>
    </w:p>
    <w:p w14:paraId="400F8BD3" w14:textId="77777777" w:rsidR="006E7F00" w:rsidRPr="00266B15" w:rsidRDefault="006E7F00" w:rsidP="006E7F00">
      <w:pPr>
        <w:spacing w:line="360" w:lineRule="auto"/>
        <w:jc w:val="both"/>
        <w:rPr>
          <w:rFonts w:ascii="Arial" w:hAnsi="Arial" w:cs="Arial"/>
        </w:rPr>
      </w:pPr>
      <w:r w:rsidRPr="00266B15">
        <w:rPr>
          <w:rFonts w:ascii="Arial" w:hAnsi="Arial" w:cs="Arial"/>
        </w:rPr>
        <w:t xml:space="preserve">Phytochemical screening revealed the presence of alkaloids in our extracts, which could partly explain the observed activities. Indeed, alkaloids are well known for their </w:t>
      </w:r>
      <w:proofErr w:type="spellStart"/>
      <w:r w:rsidRPr="00266B15">
        <w:rPr>
          <w:rFonts w:ascii="Arial" w:hAnsi="Arial" w:cs="Arial"/>
        </w:rPr>
        <w:t>antiplasmodial</w:t>
      </w:r>
      <w:proofErr w:type="spellEnd"/>
      <w:r w:rsidRPr="00266B15">
        <w:rPr>
          <w:rFonts w:ascii="Arial" w:hAnsi="Arial" w:cs="Arial"/>
        </w:rPr>
        <w:t xml:space="preserve"> properties (</w:t>
      </w:r>
      <w:proofErr w:type="spellStart"/>
      <w:r w:rsidRPr="00266B15">
        <w:rPr>
          <w:rFonts w:ascii="Arial" w:hAnsi="Arial" w:cs="Arial"/>
        </w:rPr>
        <w:t>Uzor</w:t>
      </w:r>
      <w:proofErr w:type="spellEnd"/>
      <w:r w:rsidRPr="00266B15">
        <w:rPr>
          <w:rFonts w:ascii="Arial" w:hAnsi="Arial" w:cs="Arial"/>
        </w:rPr>
        <w:t xml:space="preserve">, 2020). Several compounds, such as berberine, protopine, and </w:t>
      </w:r>
      <w:proofErr w:type="spellStart"/>
      <w:r w:rsidRPr="00266B15">
        <w:rPr>
          <w:rFonts w:ascii="Arial" w:hAnsi="Arial" w:cs="Arial"/>
        </w:rPr>
        <w:t>allocryptopine</w:t>
      </w:r>
      <w:proofErr w:type="spellEnd"/>
      <w:r w:rsidRPr="00266B15">
        <w:rPr>
          <w:rFonts w:ascii="Arial" w:hAnsi="Arial" w:cs="Arial"/>
        </w:rPr>
        <w:t xml:space="preserve">, have already been identified in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and are associated with a significant inhibitory effect on </w:t>
      </w:r>
      <w:r w:rsidRPr="00266B15">
        <w:rPr>
          <w:rFonts w:ascii="Arial" w:hAnsi="Arial" w:cs="Arial"/>
          <w:i/>
          <w:iCs/>
        </w:rPr>
        <w:t>Plasmodium</w:t>
      </w:r>
      <w:r w:rsidRPr="00266B15">
        <w:rPr>
          <w:rFonts w:ascii="Arial" w:hAnsi="Arial" w:cs="Arial"/>
        </w:rPr>
        <w:t xml:space="preserve"> (</w:t>
      </w:r>
      <w:proofErr w:type="spellStart"/>
      <w:r w:rsidRPr="00266B15">
        <w:rPr>
          <w:rFonts w:ascii="Arial" w:hAnsi="Arial" w:cs="Arial"/>
        </w:rPr>
        <w:t>Brahmachari</w:t>
      </w:r>
      <w:proofErr w:type="spellEnd"/>
      <w:r w:rsidRPr="00266B15">
        <w:rPr>
          <w:rFonts w:ascii="Arial" w:hAnsi="Arial" w:cs="Arial"/>
        </w:rPr>
        <w:t xml:space="preserve"> et al., 2013). These findings are consistent with the work of Sidiki et al. (2023), who reported strong </w:t>
      </w:r>
      <w:proofErr w:type="spellStart"/>
      <w:r w:rsidRPr="00266B15">
        <w:rPr>
          <w:rFonts w:ascii="Arial" w:hAnsi="Arial" w:cs="Arial"/>
        </w:rPr>
        <w:t>antiplasmodial</w:t>
      </w:r>
      <w:proofErr w:type="spellEnd"/>
      <w:r w:rsidRPr="00266B15">
        <w:rPr>
          <w:rFonts w:ascii="Arial" w:hAnsi="Arial" w:cs="Arial"/>
        </w:rPr>
        <w:t xml:space="preserve"> activity of the ethanolic extract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(IC</w:t>
      </w:r>
      <w:r w:rsidRPr="00266B15">
        <w:rPr>
          <w:rFonts w:ascii="Cambria Math" w:hAnsi="Cambria Math" w:cs="Cambria Math"/>
        </w:rPr>
        <w:t>₅₀</w:t>
      </w:r>
      <w:r w:rsidRPr="00266B15">
        <w:rPr>
          <w:rFonts w:ascii="Arial" w:hAnsi="Arial" w:cs="Arial"/>
        </w:rPr>
        <w:t xml:space="preserve"> = 4.10 ± 0.39 </w:t>
      </w:r>
      <w:proofErr w:type="spellStart"/>
      <w:r w:rsidRPr="00266B15">
        <w:rPr>
          <w:rFonts w:ascii="Arial" w:hAnsi="Arial" w:cs="Arial"/>
        </w:rPr>
        <w:t>μg</w:t>
      </w:r>
      <w:proofErr w:type="spellEnd"/>
      <w:r w:rsidRPr="00266B15">
        <w:rPr>
          <w:rFonts w:ascii="Arial" w:hAnsi="Arial" w:cs="Arial"/>
        </w:rPr>
        <w:t xml:space="preserve">/mL) against the Pf3D7 strain. Similarly, </w:t>
      </w:r>
      <w:proofErr w:type="spellStart"/>
      <w:r w:rsidRPr="00266B15">
        <w:rPr>
          <w:rFonts w:ascii="Arial" w:hAnsi="Arial" w:cs="Arial"/>
        </w:rPr>
        <w:t>Omonkhua</w:t>
      </w:r>
      <w:proofErr w:type="spellEnd"/>
      <w:r w:rsidRPr="00266B15">
        <w:rPr>
          <w:rFonts w:ascii="Arial" w:hAnsi="Arial" w:cs="Arial"/>
        </w:rPr>
        <w:t xml:space="preserve"> et al. (2013) demonstrated that the methanolic extract of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exhibited significant </w:t>
      </w:r>
      <w:proofErr w:type="spellStart"/>
      <w:r w:rsidRPr="00266B15">
        <w:rPr>
          <w:rFonts w:ascii="Arial" w:hAnsi="Arial" w:cs="Arial"/>
        </w:rPr>
        <w:t>antiplasmodial</w:t>
      </w:r>
      <w:proofErr w:type="spellEnd"/>
      <w:r w:rsidRPr="00266B15">
        <w:rPr>
          <w:rFonts w:ascii="Arial" w:hAnsi="Arial" w:cs="Arial"/>
        </w:rPr>
        <w:t xml:space="preserve"> activity against </w:t>
      </w:r>
      <w:r w:rsidRPr="00266B15">
        <w:rPr>
          <w:rFonts w:ascii="Arial" w:hAnsi="Arial" w:cs="Arial"/>
          <w:i/>
          <w:iCs/>
        </w:rPr>
        <w:t xml:space="preserve">Plasmodium </w:t>
      </w:r>
      <w:proofErr w:type="spellStart"/>
      <w:r w:rsidRPr="00266B15">
        <w:rPr>
          <w:rFonts w:ascii="Arial" w:hAnsi="Arial" w:cs="Arial"/>
          <w:i/>
          <w:iCs/>
        </w:rPr>
        <w:t>berghei</w:t>
      </w:r>
      <w:proofErr w:type="spellEnd"/>
      <w:r w:rsidRPr="00266B15">
        <w:rPr>
          <w:rFonts w:ascii="Arial" w:hAnsi="Arial" w:cs="Arial"/>
        </w:rPr>
        <w:t xml:space="preserve"> (NK-65), comparable to that of artesunate.</w:t>
      </w:r>
    </w:p>
    <w:p w14:paraId="2F73E1D7" w14:textId="523C9293" w:rsidR="006E7F00" w:rsidRPr="00266B15" w:rsidRDefault="006E7F00" w:rsidP="006E7F00">
      <w:pPr>
        <w:spacing w:line="360" w:lineRule="auto"/>
        <w:jc w:val="both"/>
        <w:rPr>
          <w:rFonts w:ascii="Arial" w:hAnsi="Arial" w:cs="Arial"/>
        </w:rPr>
      </w:pPr>
      <w:r w:rsidRPr="00266B15">
        <w:rPr>
          <w:rFonts w:ascii="Arial" w:hAnsi="Arial" w:cs="Arial"/>
          <w:b/>
          <w:bCs/>
        </w:rPr>
        <w:t xml:space="preserve">Table </w:t>
      </w:r>
      <w:r w:rsidR="006729E7" w:rsidRPr="00266B15">
        <w:rPr>
          <w:rFonts w:ascii="Arial" w:hAnsi="Arial" w:cs="Arial"/>
          <w:b/>
          <w:bCs/>
        </w:rPr>
        <w:t>4</w:t>
      </w:r>
      <w:r w:rsidRPr="00266B15">
        <w:rPr>
          <w:rFonts w:ascii="Arial" w:hAnsi="Arial" w:cs="Arial"/>
          <w:b/>
          <w:bCs/>
        </w:rPr>
        <w:t>: IC</w:t>
      </w:r>
      <w:r w:rsidRPr="00266B15">
        <w:rPr>
          <w:rFonts w:ascii="Cambria Math" w:hAnsi="Cambria Math" w:cs="Cambria Math"/>
          <w:b/>
          <w:bCs/>
        </w:rPr>
        <w:t>₅₀</w:t>
      </w:r>
      <w:r w:rsidRPr="00266B15">
        <w:rPr>
          <w:rFonts w:ascii="Arial" w:hAnsi="Arial" w:cs="Arial"/>
          <w:b/>
          <w:bCs/>
        </w:rPr>
        <w:t xml:space="preserve"> (µg/mL) of extracts against the 3D7 strain</w:t>
      </w:r>
    </w:p>
    <w:tbl>
      <w:tblPr>
        <w:tblStyle w:val="ListTable6Colorful"/>
        <w:tblW w:w="0" w:type="auto"/>
        <w:tblLook w:val="04A0" w:firstRow="1" w:lastRow="0" w:firstColumn="1" w:lastColumn="0" w:noHBand="0" w:noVBand="1"/>
      </w:tblPr>
      <w:tblGrid>
        <w:gridCol w:w="1672"/>
        <w:gridCol w:w="2025"/>
        <w:gridCol w:w="2344"/>
        <w:gridCol w:w="2167"/>
      </w:tblGrid>
      <w:tr w:rsidR="006E7F00" w:rsidRPr="00266B15" w14:paraId="6FAB14B0"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BB3D3" w14:textId="77777777" w:rsidR="006E7F00" w:rsidRPr="00266B15" w:rsidRDefault="006E7F00" w:rsidP="003C4853">
            <w:pPr>
              <w:spacing w:line="360" w:lineRule="auto"/>
              <w:jc w:val="both"/>
              <w:rPr>
                <w:rFonts w:ascii="Arial" w:hAnsi="Arial" w:cs="Arial"/>
                <w:b w:val="0"/>
                <w:bCs w:val="0"/>
                <w:lang w:val="fr-FR"/>
              </w:rPr>
            </w:pPr>
            <w:proofErr w:type="spellStart"/>
            <w:r w:rsidRPr="00266B15">
              <w:rPr>
                <w:rFonts w:ascii="Arial" w:hAnsi="Arial" w:cs="Arial"/>
                <w:lang w:val="fr-FR"/>
              </w:rPr>
              <w:t>Extracts</w:t>
            </w:r>
            <w:proofErr w:type="spellEnd"/>
          </w:p>
        </w:tc>
        <w:tc>
          <w:tcPr>
            <w:tcW w:w="0" w:type="auto"/>
            <w:hideMark/>
          </w:tcPr>
          <w:p w14:paraId="551E5A67"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266B15">
              <w:rPr>
                <w:rFonts w:ascii="Arial" w:hAnsi="Arial" w:cs="Arial"/>
                <w:i/>
                <w:iCs/>
                <w:lang w:val="fr-FR"/>
              </w:rPr>
              <w:t>Argemone</w:t>
            </w:r>
            <w:proofErr w:type="spellEnd"/>
            <w:r w:rsidRPr="00266B15">
              <w:rPr>
                <w:rFonts w:ascii="Arial" w:hAnsi="Arial" w:cs="Arial"/>
                <w:i/>
                <w:iCs/>
                <w:lang w:val="fr-FR"/>
              </w:rPr>
              <w:t xml:space="preserve"> </w:t>
            </w:r>
            <w:proofErr w:type="spellStart"/>
            <w:r w:rsidRPr="00266B15">
              <w:rPr>
                <w:rFonts w:ascii="Arial" w:hAnsi="Arial" w:cs="Arial"/>
                <w:i/>
                <w:iCs/>
                <w:lang w:val="fr-FR"/>
              </w:rPr>
              <w:t>mexicana</w:t>
            </w:r>
            <w:proofErr w:type="spellEnd"/>
            <w:r w:rsidRPr="00266B15">
              <w:rPr>
                <w:rFonts w:ascii="Arial" w:hAnsi="Arial" w:cs="Arial"/>
                <w:lang w:val="fr-FR"/>
              </w:rPr>
              <w:t xml:space="preserve"> (µg/</w:t>
            </w:r>
            <w:proofErr w:type="spellStart"/>
            <w:r w:rsidRPr="00266B15">
              <w:rPr>
                <w:rFonts w:ascii="Arial" w:hAnsi="Arial" w:cs="Arial"/>
                <w:lang w:val="fr-FR"/>
              </w:rPr>
              <w:t>mL</w:t>
            </w:r>
            <w:proofErr w:type="spellEnd"/>
            <w:r w:rsidRPr="00266B15">
              <w:rPr>
                <w:rFonts w:ascii="Arial" w:hAnsi="Arial" w:cs="Arial"/>
                <w:lang w:val="fr-FR"/>
              </w:rPr>
              <w:t>)</w:t>
            </w:r>
          </w:p>
        </w:tc>
        <w:tc>
          <w:tcPr>
            <w:tcW w:w="0" w:type="auto"/>
            <w:hideMark/>
          </w:tcPr>
          <w:p w14:paraId="087EF677"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266B15">
              <w:rPr>
                <w:rFonts w:ascii="Arial" w:hAnsi="Arial" w:cs="Arial"/>
                <w:i/>
                <w:iCs/>
                <w:lang w:val="fr-FR"/>
              </w:rPr>
              <w:t>Terminalia</w:t>
            </w:r>
            <w:proofErr w:type="spellEnd"/>
            <w:r w:rsidRPr="00266B15">
              <w:rPr>
                <w:rFonts w:ascii="Arial" w:hAnsi="Arial" w:cs="Arial"/>
                <w:i/>
                <w:iCs/>
                <w:lang w:val="fr-FR"/>
              </w:rPr>
              <w:t xml:space="preserve"> </w:t>
            </w:r>
            <w:proofErr w:type="spellStart"/>
            <w:r w:rsidRPr="00266B15">
              <w:rPr>
                <w:rFonts w:ascii="Arial" w:hAnsi="Arial" w:cs="Arial"/>
                <w:i/>
                <w:iCs/>
                <w:lang w:val="fr-FR"/>
              </w:rPr>
              <w:t>avicennoides</w:t>
            </w:r>
            <w:proofErr w:type="spellEnd"/>
            <w:r w:rsidRPr="00266B15">
              <w:rPr>
                <w:rFonts w:ascii="Arial" w:hAnsi="Arial" w:cs="Arial"/>
                <w:lang w:val="fr-FR"/>
              </w:rPr>
              <w:t xml:space="preserve"> (µg/</w:t>
            </w:r>
            <w:proofErr w:type="spellStart"/>
            <w:r w:rsidRPr="00266B15">
              <w:rPr>
                <w:rFonts w:ascii="Arial" w:hAnsi="Arial" w:cs="Arial"/>
                <w:lang w:val="fr-FR"/>
              </w:rPr>
              <w:t>mL</w:t>
            </w:r>
            <w:proofErr w:type="spellEnd"/>
            <w:r w:rsidRPr="00266B15">
              <w:rPr>
                <w:rFonts w:ascii="Arial" w:hAnsi="Arial" w:cs="Arial"/>
                <w:lang w:val="fr-FR"/>
              </w:rPr>
              <w:t>)</w:t>
            </w:r>
          </w:p>
        </w:tc>
        <w:tc>
          <w:tcPr>
            <w:tcW w:w="0" w:type="auto"/>
            <w:hideMark/>
          </w:tcPr>
          <w:p w14:paraId="09C1ECEE" w14:textId="77777777" w:rsidR="006E7F00" w:rsidRPr="00266B15"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proofErr w:type="spellStart"/>
            <w:r w:rsidRPr="00266B15">
              <w:rPr>
                <w:rFonts w:ascii="Arial" w:hAnsi="Arial" w:cs="Arial"/>
                <w:i/>
                <w:iCs/>
                <w:lang w:val="fr-FR"/>
              </w:rPr>
              <w:t>Terminalia</w:t>
            </w:r>
            <w:proofErr w:type="spellEnd"/>
            <w:r w:rsidRPr="00266B15">
              <w:rPr>
                <w:rFonts w:ascii="Arial" w:hAnsi="Arial" w:cs="Arial"/>
                <w:i/>
                <w:iCs/>
                <w:lang w:val="fr-FR"/>
              </w:rPr>
              <w:t xml:space="preserve"> </w:t>
            </w:r>
            <w:proofErr w:type="spellStart"/>
            <w:r w:rsidRPr="00266B15">
              <w:rPr>
                <w:rFonts w:ascii="Arial" w:hAnsi="Arial" w:cs="Arial"/>
                <w:i/>
                <w:iCs/>
                <w:lang w:val="fr-FR"/>
              </w:rPr>
              <w:t>macroptera</w:t>
            </w:r>
            <w:proofErr w:type="spellEnd"/>
            <w:r w:rsidRPr="00266B15">
              <w:rPr>
                <w:rFonts w:ascii="Arial" w:hAnsi="Arial" w:cs="Arial"/>
                <w:lang w:val="fr-FR"/>
              </w:rPr>
              <w:t xml:space="preserve"> (µg/</w:t>
            </w:r>
            <w:proofErr w:type="spellStart"/>
            <w:r w:rsidRPr="00266B15">
              <w:rPr>
                <w:rFonts w:ascii="Arial" w:hAnsi="Arial" w:cs="Arial"/>
                <w:lang w:val="fr-FR"/>
              </w:rPr>
              <w:t>mL</w:t>
            </w:r>
            <w:proofErr w:type="spellEnd"/>
            <w:r w:rsidRPr="00266B15">
              <w:rPr>
                <w:rFonts w:ascii="Arial" w:hAnsi="Arial" w:cs="Arial"/>
                <w:lang w:val="fr-FR"/>
              </w:rPr>
              <w:t>)</w:t>
            </w:r>
          </w:p>
        </w:tc>
      </w:tr>
      <w:tr w:rsidR="006E7F00" w:rsidRPr="00266B15" w14:paraId="2AF8ECBE"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45A6EA" w14:textId="77777777" w:rsidR="006E7F00" w:rsidRPr="00266B15" w:rsidRDefault="006E7F00" w:rsidP="003C4853">
            <w:pPr>
              <w:spacing w:line="360" w:lineRule="auto"/>
              <w:jc w:val="both"/>
              <w:rPr>
                <w:rFonts w:ascii="Arial" w:hAnsi="Arial" w:cs="Arial"/>
                <w:lang w:val="fr-FR"/>
              </w:rPr>
            </w:pPr>
            <w:proofErr w:type="spellStart"/>
            <w:r w:rsidRPr="00266B15">
              <w:rPr>
                <w:rFonts w:ascii="Arial" w:hAnsi="Arial" w:cs="Arial"/>
                <w:lang w:val="fr-FR"/>
              </w:rPr>
              <w:t>Ethanolic</w:t>
            </w:r>
            <w:proofErr w:type="spellEnd"/>
          </w:p>
        </w:tc>
        <w:tc>
          <w:tcPr>
            <w:tcW w:w="0" w:type="auto"/>
            <w:hideMark/>
          </w:tcPr>
          <w:p w14:paraId="382125F7"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2.797 ± 0.54ᵃ</w:t>
            </w:r>
          </w:p>
        </w:tc>
        <w:tc>
          <w:tcPr>
            <w:tcW w:w="0" w:type="auto"/>
            <w:hideMark/>
          </w:tcPr>
          <w:p w14:paraId="6ABA4F17"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3.013 ± 0.22ᵃ</w:t>
            </w:r>
          </w:p>
        </w:tc>
        <w:tc>
          <w:tcPr>
            <w:tcW w:w="0" w:type="auto"/>
            <w:hideMark/>
          </w:tcPr>
          <w:p w14:paraId="087927CF"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266B15">
              <w:rPr>
                <w:rFonts w:ascii="Arial" w:hAnsi="Arial" w:cs="Arial"/>
                <w:lang w:val="fr-FR"/>
              </w:rPr>
              <w:t>6.65 ± 0.99ᵇ</w:t>
            </w:r>
          </w:p>
        </w:tc>
      </w:tr>
      <w:tr w:rsidR="006E7F00" w:rsidRPr="00266B15" w14:paraId="51E567D8" w14:textId="77777777" w:rsidTr="00A30F04">
        <w:tc>
          <w:tcPr>
            <w:cnfStyle w:val="001000000000" w:firstRow="0" w:lastRow="0" w:firstColumn="1" w:lastColumn="0" w:oddVBand="0" w:evenVBand="0" w:oddHBand="0" w:evenHBand="0" w:firstRowFirstColumn="0" w:firstRowLastColumn="0" w:lastRowFirstColumn="0" w:lastRowLastColumn="0"/>
            <w:tcW w:w="0" w:type="auto"/>
            <w:hideMark/>
          </w:tcPr>
          <w:p w14:paraId="2A9F05DF" w14:textId="77777777" w:rsidR="006E7F00" w:rsidRPr="00266B15" w:rsidRDefault="006E7F00" w:rsidP="003C4853">
            <w:pPr>
              <w:spacing w:line="360" w:lineRule="auto"/>
              <w:jc w:val="both"/>
              <w:rPr>
                <w:rFonts w:ascii="Arial" w:hAnsi="Arial" w:cs="Arial"/>
                <w:lang w:val="fr-FR"/>
              </w:rPr>
            </w:pPr>
            <w:proofErr w:type="spellStart"/>
            <w:r w:rsidRPr="00266B15">
              <w:rPr>
                <w:rFonts w:ascii="Arial" w:hAnsi="Arial" w:cs="Arial"/>
                <w:lang w:val="fr-FR"/>
              </w:rPr>
              <w:t>Hydroethanolic</w:t>
            </w:r>
            <w:proofErr w:type="spellEnd"/>
          </w:p>
        </w:tc>
        <w:tc>
          <w:tcPr>
            <w:tcW w:w="0" w:type="auto"/>
            <w:hideMark/>
          </w:tcPr>
          <w:p w14:paraId="31B1157A"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&gt;52.422 ± 0ᵈ</w:t>
            </w:r>
          </w:p>
        </w:tc>
        <w:tc>
          <w:tcPr>
            <w:tcW w:w="0" w:type="auto"/>
            <w:hideMark/>
          </w:tcPr>
          <w:p w14:paraId="7191BE83"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6.51 ± 0.66ᵇ</w:t>
            </w:r>
          </w:p>
        </w:tc>
        <w:tc>
          <w:tcPr>
            <w:tcW w:w="0" w:type="auto"/>
            <w:hideMark/>
          </w:tcPr>
          <w:p w14:paraId="7F469595" w14:textId="77777777" w:rsidR="006E7F00" w:rsidRPr="00266B15"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266B15">
              <w:rPr>
                <w:rFonts w:ascii="Arial" w:hAnsi="Arial" w:cs="Arial"/>
                <w:lang w:val="fr-FR"/>
              </w:rPr>
              <w:t>8.06 ± 0.75ᶜ</w:t>
            </w:r>
          </w:p>
        </w:tc>
      </w:tr>
    </w:tbl>
    <w:p w14:paraId="68CDA6E7" w14:textId="77777777" w:rsidR="006E7F00" w:rsidRPr="00266B15" w:rsidRDefault="006E7F00" w:rsidP="006E7F00">
      <w:pPr>
        <w:spacing w:line="360" w:lineRule="auto"/>
        <w:jc w:val="both"/>
        <w:rPr>
          <w:rFonts w:ascii="Arial" w:hAnsi="Arial" w:cs="Arial"/>
        </w:rPr>
      </w:pPr>
      <w:r w:rsidRPr="00266B15">
        <w:rPr>
          <w:rFonts w:ascii="Arial" w:hAnsi="Arial" w:cs="Arial"/>
        </w:rPr>
        <w:t>Values with different superscript letters (a, b, c, d) are statistically different (P-value &lt; 0.0001).</w:t>
      </w:r>
    </w:p>
    <w:p w14:paraId="3488D92A" w14:textId="77777777" w:rsidR="006E7F00" w:rsidRPr="00266B15" w:rsidRDefault="006E7F00" w:rsidP="006E7F00">
      <w:pPr>
        <w:spacing w:line="360" w:lineRule="auto"/>
        <w:jc w:val="both"/>
        <w:rPr>
          <w:rFonts w:ascii="Arial" w:hAnsi="Arial" w:cs="Arial"/>
        </w:rPr>
      </w:pPr>
    </w:p>
    <w:p w14:paraId="00FFF3A8" w14:textId="77777777" w:rsidR="006E7F00" w:rsidRPr="00266B15" w:rsidRDefault="006E7F00" w:rsidP="00CB6A63">
      <w:pPr>
        <w:pStyle w:val="ListParagraph"/>
        <w:numPr>
          <w:ilvl w:val="2"/>
          <w:numId w:val="37"/>
        </w:numPr>
        <w:spacing w:line="360" w:lineRule="auto"/>
        <w:jc w:val="both"/>
        <w:rPr>
          <w:rFonts w:ascii="Arial" w:hAnsi="Arial" w:cs="Arial"/>
          <w:sz w:val="20"/>
          <w:szCs w:val="20"/>
          <w:u w:val="single"/>
        </w:rPr>
      </w:pPr>
      <w:r w:rsidRPr="00266B15">
        <w:rPr>
          <w:rFonts w:ascii="Arial" w:hAnsi="Arial" w:cs="Arial"/>
          <w:b/>
          <w:bCs/>
          <w:sz w:val="20"/>
          <w:szCs w:val="20"/>
          <w:u w:val="single"/>
        </w:rPr>
        <w:t>Hemolytic Activity of the Extracts</w:t>
      </w:r>
    </w:p>
    <w:p w14:paraId="76332DDF" w14:textId="5F4B2D37" w:rsidR="006E7F00" w:rsidRPr="00266B15" w:rsidRDefault="006E7F00" w:rsidP="006E7F00">
      <w:pPr>
        <w:spacing w:line="360" w:lineRule="auto"/>
        <w:jc w:val="both"/>
        <w:rPr>
          <w:rFonts w:ascii="Arial" w:hAnsi="Arial" w:cs="Arial"/>
        </w:rPr>
      </w:pPr>
      <w:r w:rsidRPr="00266B15">
        <w:rPr>
          <w:rFonts w:ascii="Arial" w:hAnsi="Arial" w:cs="Arial"/>
        </w:rPr>
        <w:t xml:space="preserve">Table </w:t>
      </w:r>
      <w:r w:rsidR="006729E7" w:rsidRPr="00266B15">
        <w:rPr>
          <w:rFonts w:ascii="Arial" w:hAnsi="Arial" w:cs="Arial"/>
        </w:rPr>
        <w:t>5</w:t>
      </w:r>
      <w:r w:rsidRPr="00266B15">
        <w:rPr>
          <w:rFonts w:ascii="Arial" w:hAnsi="Arial" w:cs="Arial"/>
        </w:rPr>
        <w:t xml:space="preserve"> shows the percentage of hemolyzed cells. At a concentration of 50 µg/mL, the crude extracts induced hemolysis rates ranging from 0.044 ± 0.00 to 0.05 ± 0.00%, values close to zero indicating low toxicity. These observations corroborate those of Sidiki et al. (2023), who also reported very low cytotoxicity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extract on red blood cells. Furthermore, </w:t>
      </w:r>
      <w:proofErr w:type="spellStart"/>
      <w:r w:rsidRPr="00266B15">
        <w:rPr>
          <w:rFonts w:ascii="Arial" w:hAnsi="Arial" w:cs="Arial"/>
        </w:rPr>
        <w:t>Akpovona</w:t>
      </w:r>
      <w:proofErr w:type="spellEnd"/>
      <w:r w:rsidRPr="00266B15">
        <w:rPr>
          <w:rFonts w:ascii="Arial" w:hAnsi="Arial" w:cs="Arial"/>
        </w:rPr>
        <w:t xml:space="preserve"> and </w:t>
      </w:r>
      <w:proofErr w:type="spellStart"/>
      <w:r w:rsidRPr="00266B15">
        <w:rPr>
          <w:rFonts w:ascii="Arial" w:hAnsi="Arial" w:cs="Arial"/>
        </w:rPr>
        <w:t>Onoagbe</w:t>
      </w:r>
      <w:proofErr w:type="spellEnd"/>
      <w:r w:rsidRPr="00266B15">
        <w:rPr>
          <w:rFonts w:ascii="Arial" w:hAnsi="Arial" w:cs="Arial"/>
        </w:rPr>
        <w:t xml:space="preserve"> (2018) demonstrated that the ethanolic extract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root bark exerted an erythropoietic effect in Wistar rats at certain concentrations, suggesting a potential beneficial role in maintaining red blood cell integrity and production.</w:t>
      </w:r>
    </w:p>
    <w:p w14:paraId="2473CCE9" w14:textId="0BF0972E" w:rsidR="006E7F00" w:rsidRPr="00266B15" w:rsidRDefault="006E7F00" w:rsidP="006E7F00">
      <w:pPr>
        <w:spacing w:line="360" w:lineRule="auto"/>
        <w:jc w:val="both"/>
        <w:rPr>
          <w:rFonts w:ascii="Arial" w:hAnsi="Arial" w:cs="Arial"/>
        </w:rPr>
      </w:pPr>
      <w:r w:rsidRPr="00266B15">
        <w:rPr>
          <w:rFonts w:ascii="Arial" w:hAnsi="Arial" w:cs="Arial"/>
        </w:rPr>
        <w:lastRenderedPageBreak/>
        <w:t xml:space="preserve">Contrary to the findings of Elizondo-Luevano et al. (2024), who reported no anti-hemolytic effect of the methanolic extract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our study revealed a marked protective effect against induced hemolysis. This discrepancy</w:t>
      </w:r>
      <w:r w:rsidR="007A2EEC" w:rsidRPr="00266B15">
        <w:rPr>
          <w:rFonts w:ascii="Arial" w:hAnsi="Arial" w:cs="Arial"/>
        </w:rPr>
        <w:t xml:space="preserve"> may be attributed </w:t>
      </w:r>
      <w:r w:rsidR="00702FB1" w:rsidRPr="00266B15">
        <w:rPr>
          <w:rFonts w:ascii="Arial" w:hAnsi="Arial" w:cs="Arial"/>
        </w:rPr>
        <w:t xml:space="preserve">certain </w:t>
      </w:r>
      <w:r w:rsidR="00DB05F6" w:rsidRPr="00266B15">
        <w:rPr>
          <w:rFonts w:ascii="Arial" w:hAnsi="Arial" w:cs="Arial"/>
        </w:rPr>
        <w:t>factors. The</w:t>
      </w:r>
      <w:r w:rsidR="002E489F" w:rsidRPr="00266B15">
        <w:rPr>
          <w:rFonts w:ascii="Arial" w:hAnsi="Arial" w:cs="Arial"/>
        </w:rPr>
        <w:t xml:space="preserve"> environmental condition such as soil </w:t>
      </w:r>
      <w:r w:rsidR="007F47C4" w:rsidRPr="00266B15">
        <w:rPr>
          <w:rFonts w:ascii="Arial" w:hAnsi="Arial" w:cs="Arial"/>
        </w:rPr>
        <w:t>composition</w:t>
      </w:r>
      <w:r w:rsidR="002E489F" w:rsidRPr="00266B15">
        <w:rPr>
          <w:rFonts w:ascii="Arial" w:hAnsi="Arial" w:cs="Arial"/>
        </w:rPr>
        <w:t xml:space="preserve">, temperature influence the </w:t>
      </w:r>
      <w:r w:rsidR="00DB05F6" w:rsidRPr="00266B15">
        <w:rPr>
          <w:rFonts w:ascii="Arial" w:hAnsi="Arial" w:cs="Arial"/>
        </w:rPr>
        <w:t>biosynthesis</w:t>
      </w:r>
      <w:r w:rsidR="002E489F" w:rsidRPr="00266B15">
        <w:rPr>
          <w:rFonts w:ascii="Arial" w:hAnsi="Arial" w:cs="Arial"/>
        </w:rPr>
        <w:t xml:space="preserve"> and accumulation of </w:t>
      </w:r>
      <w:r w:rsidR="001C05FB" w:rsidRPr="00266B15">
        <w:rPr>
          <w:rFonts w:ascii="Arial" w:hAnsi="Arial" w:cs="Arial"/>
        </w:rPr>
        <w:t>secondary metabolites</w:t>
      </w:r>
      <w:r w:rsidR="00DB05F6" w:rsidRPr="00266B15">
        <w:rPr>
          <w:rFonts w:ascii="Arial" w:hAnsi="Arial" w:cs="Arial"/>
        </w:rPr>
        <w:t xml:space="preserve"> </w:t>
      </w:r>
      <w:r w:rsidR="00B205DA" w:rsidRPr="00266B15">
        <w:rPr>
          <w:rFonts w:ascii="Arial" w:hAnsi="Arial" w:cs="Arial"/>
        </w:rPr>
        <w:fldChar w:fldCharType="begin"/>
      </w:r>
      <w:r w:rsidR="00B205DA" w:rsidRPr="00266B15">
        <w:rPr>
          <w:rFonts w:ascii="Arial" w:hAnsi="Arial" w:cs="Arial"/>
        </w:rPr>
        <w:instrText xml:space="preserve"> ADDIN ZOTERO_ITEM CSL_CITATION {"citationID":"WlR8QnNT","properties":{"formattedCitation":"(Pant et al., 2021)","plainCitation":"(Pant et al., 2021)","noteIndex":0},"citationItems":[{"id":2252,"uris":["http://zotero.org/users/local/BtUUOrnL/items/U8EKCDZZ"],"itemData":{"id":2252,"type":"article-journal","abstract":"Medicinal plants, a source of different phytochemical compounds, are now subjected to a variety of environmental stresses during their growth and development. Different ecologically limiting factors including temperature, carbon dioxide, lighting, ozone, soil water, soil salinity and soil fertility has significant impact on medicinal plants′ physiological and biochemical responses, as well as the secondary metabolic process. Secondary metabolites (SMs) are useful for assessing the quality of therapeutic ingredients and nowadays, these are used as important natural derived drugs such as immune suppressant, antibiotics, anti-diabetic, and anti-cancer. Plants have the ability to synthesize a variety of secondary metabolites to cope with the negative effects of stress. Here, we focus on how individual environmental variables influence the accumulation of plant secondary metabolites. A total of 48 articles were found to be relevant to the review topic during our systematic review. The review showed the influence of different environmental variables on SMs production and accumulation is complex suggesting the relationship are not only species-specific but also related to increases and decline in SMs by up to 50 %. Therefore, this review improves our understanding of plant SMs ability to adapt to key environmental factors. This can aid in the efficient and long-term optimization of cultivation techniques under ambient environmental conditions in order to maximize the quality and quantity of SMs in plants.","container-title":"Chemistry &amp; Biodiversity","DOI":"10.1002/cbdv.202100345","ISSN":"1612-1880","issue":"11","language":"en","license":"© 2021 The Authors. Chemistry &amp; Biodiversity published by Wiley-VHCA AG, Zurich, Switzerland","note":"_eprint: https://onlinelibrary.wiley.com/doi/pdf/10.1002/cbdv.202100345","page":"e2100345","source":"Wiley Online Library","title":"The Influence of Environmental Conditions on Secondary Metabolites in Medicinal Plants: A Literature Review","title-short":"The Influence of Environmental Conditions on Secondary Metabolites in Medicinal Plants","volume":"18","author":[{"family":"Pant","given":"Poonam"},{"family":"Pandey","given":"Sudip"},{"family":"Dall'Acqua","given":"Stefano"}],"issued":{"date-parts":[["2021"]]}}}],"schema":"https://github.com/citation-style-language/schema/raw/master/csl-citation.json"} </w:instrText>
      </w:r>
      <w:r w:rsidR="00B205DA" w:rsidRPr="00266B15">
        <w:rPr>
          <w:rFonts w:ascii="Arial" w:hAnsi="Arial" w:cs="Arial"/>
        </w:rPr>
        <w:fldChar w:fldCharType="separate"/>
      </w:r>
      <w:r w:rsidR="00B205DA" w:rsidRPr="00266B15">
        <w:rPr>
          <w:rFonts w:ascii="Arial" w:hAnsi="Arial" w:cs="Arial"/>
        </w:rPr>
        <w:t>(Pant et al., 2021)</w:t>
      </w:r>
      <w:r w:rsidR="00B205DA" w:rsidRPr="00266B15">
        <w:rPr>
          <w:rFonts w:ascii="Arial" w:hAnsi="Arial" w:cs="Arial"/>
        </w:rPr>
        <w:fldChar w:fldCharType="end"/>
      </w:r>
      <w:r w:rsidR="001C05FB" w:rsidRPr="00266B15">
        <w:rPr>
          <w:rFonts w:ascii="Arial" w:hAnsi="Arial" w:cs="Arial"/>
        </w:rPr>
        <w:t xml:space="preserve">, </w:t>
      </w:r>
      <w:r w:rsidR="00DB05F6" w:rsidRPr="00266B15">
        <w:rPr>
          <w:rFonts w:ascii="Arial" w:hAnsi="Arial" w:cs="Arial"/>
        </w:rPr>
        <w:t>particularly</w:t>
      </w:r>
      <w:r w:rsidR="001C05FB" w:rsidRPr="00266B15">
        <w:rPr>
          <w:rFonts w:ascii="Arial" w:hAnsi="Arial" w:cs="Arial"/>
        </w:rPr>
        <w:t xml:space="preserve"> phenolic compound and alkaloids known for their antioxidant and </w:t>
      </w:r>
      <w:r w:rsidR="00DB05F6" w:rsidRPr="00266B15">
        <w:rPr>
          <w:rFonts w:ascii="Arial" w:hAnsi="Arial" w:cs="Arial"/>
        </w:rPr>
        <w:t xml:space="preserve">membrane-stabilizing properties </w:t>
      </w:r>
      <w:r w:rsidR="00B205DA" w:rsidRPr="00266B15">
        <w:rPr>
          <w:rFonts w:ascii="Arial" w:hAnsi="Arial" w:cs="Arial"/>
        </w:rPr>
        <w:fldChar w:fldCharType="begin"/>
      </w:r>
      <w:r w:rsidR="00B205DA" w:rsidRPr="00266B15">
        <w:rPr>
          <w:rFonts w:ascii="Arial" w:hAnsi="Arial" w:cs="Arial"/>
        </w:rPr>
        <w:instrText xml:space="preserve"> ADDIN ZOTERO_ITEM CSL_CITATION {"citationID":"1zVFIiho","properties":{"formattedCitation":"(Kambizi et al., 2017)","plainCitation":"(Kambizi et al., 2017)","noteIndex":0},"citationItems":[{"id":2255,"uris":["http://zotero.org/users/local/BtUUOrnL/items/MRK5AIA8"],"itemData":{"id":2255,"type":"article-journal","abstract":"The aqueous extracts of the edible parts of four common medicinal plants (Hibiscus sabdariffa, Telfairia occidentalis, Moringa oleifera and Ocimum gratissimum) readily consumed as food or supplements in many African settings are examined for some of their acclaimed pharmacological activities and possible potential associated risks. The classes of phytochemicals present are examined qualitatively and quantitatively, while the antioxidant activities were determined using three assays which include 2,2-diphenyl-1-picrylhydrazyl (DPPH), 2,2′-azinobis-3-ethylbenzothiazoline-6-sulfonate (ABTS) and hydrogen peroxide (H2O2) assays. The anti-inflammatory activities were also examined using proteinase inhibitory assays and red blood cell membrane stabilisation assays. Both the antioxidant and anti-inflammatory activities of the plants indicated that the plants have potentials for applications in foods and nutraceuticals that can be used for the management of various ailments and diseases. However, the consumption of H. sabdariffa leaf should be highly regulated as the extract exhibited reduced cell membrane stabilisation activities at increased concentrations.","container-title":"Cogent Chemistry","DOI":"10.1080/23312009.2017.1314064","ISSN":"null","issue":"1","note":"publisher: Cogent OA\n_eprint: https://doi.org/10.1080/23312009.2017.1314064","page":"1314064","source":"Taylor and Francis+NEJM","title":"Proteinease inhibition, membrane stabilization, antioxidant and phytochemical evaluations of leaves, seeds and calyces of four selected edible medicinal plants","volume":"3","author":[{"family":"Kambizi","given":"L."},{"family":"Bakare-Odunola","given":"M.T."},{"family":"Oladiji","given":"A.T."},{"family":"Kola-Mustapha","given":"A.T."},{"family":"Amusa","given":"T.O."},{"family":"Atolani","given":"O."},{"family":"Njinga","given":"N.S."},{"family":"Quadri","given":"A.L."}],"editor":[{"family":"Mehellou","given":"Youcef"}],"issued":{"date-parts":[["2017",1,1]]}}}],"schema":"https://github.com/citation-style-language/schema/raw/master/csl-citation.json"} </w:instrText>
      </w:r>
      <w:r w:rsidR="00B205DA" w:rsidRPr="00266B15">
        <w:rPr>
          <w:rFonts w:ascii="Arial" w:hAnsi="Arial" w:cs="Arial"/>
        </w:rPr>
        <w:fldChar w:fldCharType="separate"/>
      </w:r>
      <w:r w:rsidR="00B205DA" w:rsidRPr="00266B15">
        <w:rPr>
          <w:rFonts w:ascii="Arial" w:hAnsi="Arial" w:cs="Arial"/>
        </w:rPr>
        <w:t>(Kambizi et al., 2017)</w:t>
      </w:r>
      <w:r w:rsidR="00B205DA" w:rsidRPr="00266B15">
        <w:rPr>
          <w:rFonts w:ascii="Arial" w:hAnsi="Arial" w:cs="Arial"/>
        </w:rPr>
        <w:fldChar w:fldCharType="end"/>
      </w:r>
      <w:r w:rsidR="00B205DA" w:rsidRPr="00266B15">
        <w:rPr>
          <w:rFonts w:ascii="Arial" w:hAnsi="Arial" w:cs="Arial"/>
        </w:rPr>
        <w:t xml:space="preserve">. </w:t>
      </w:r>
      <w:r w:rsidR="00170BEE" w:rsidRPr="00266B15">
        <w:rPr>
          <w:rFonts w:ascii="Arial" w:hAnsi="Arial" w:cs="Arial"/>
        </w:rPr>
        <w:t xml:space="preserve">In addition, the </w:t>
      </w:r>
      <w:r w:rsidR="00750069" w:rsidRPr="00266B15">
        <w:rPr>
          <w:rFonts w:ascii="Arial" w:hAnsi="Arial" w:cs="Arial"/>
        </w:rPr>
        <w:t>polar</w:t>
      </w:r>
      <w:r w:rsidR="009A7E12" w:rsidRPr="00266B15">
        <w:rPr>
          <w:rFonts w:ascii="Arial" w:hAnsi="Arial" w:cs="Arial"/>
        </w:rPr>
        <w:t>ity of solvent can affect the phytochemical profile of extract.</w:t>
      </w:r>
      <w:r w:rsidR="00290456" w:rsidRPr="00266B15">
        <w:rPr>
          <w:rFonts w:ascii="Arial" w:hAnsi="Arial" w:cs="Arial"/>
        </w:rPr>
        <w:fldChar w:fldCharType="begin"/>
      </w:r>
      <w:r w:rsidR="00290456" w:rsidRPr="00266B15">
        <w:rPr>
          <w:rFonts w:ascii="Arial" w:hAnsi="Arial" w:cs="Arial"/>
        </w:rPr>
        <w:instrText xml:space="preserve"> ADDIN ZOTERO_ITEM CSL_CITATION {"citationID":"WXcAPM4e","properties":{"formattedCitation":"(Nawaz et al., 2020)","plainCitation":"(Nawaz et al., 2020)","noteIndex":0},"citationItems":[{"id":2257,"uris":["http://zotero.org/users/local/BtUUOrnL/items/GKWNYSVV"],"itemData":{"id":2257,"type":"article-journal","abstract":"The effect of solvent polarity on extraction yield and antioxidant properties of phytochemical compounds in bean seeds was studied. Seed flour of three varieties of bean was extracted in a series of organic solvents with increasing polarity (n-hexane, petroleum ether, chloroform, ethyl acetate, ethanol, acetone and water). Preliminary screening of phytochemicals showed the presence of tannins, flavonoids, cardiac glycosides, anthocyanins, terpenoids, carotenoids, ascorbic acid and reducing compounds in all extracts. One way analysis of variance (ANOVA) of results showed that extraction yield, phytochemical content and antioxidant properties were significantly influenced (p&lt;0.05) by the polarity of extracting solvents. The regression analysis of data showed polarity-dependent second order polynomial variations in the extraction yield, phytochemical contents, antioxidant activity, reducing properties and free radical scavenging activity of each variety. Extraction in highly polar solvents resulted in high extract yield but low phenolic and flavonoid content as compared to non-polar ones. The polarity-dependent increase in total antioxidant activity and reducing properties indicates the extraction of strong antioxidant compounds in polar solvents. The study suggests the use of a combination of polar and nonpolar solvents to increase the extraction efficiency of phytochemicals with good antioxidant quality from the bean and other legume seeds.","container-title":"Brazilian Journal of Pharmaceutical Sciences","DOI":"https://doi.org/10.1590/s2175-97902019000417129","ISSN":"2175-9790","journalAbbreviation":"Braz. J. Pharm. Sci.","language":"en","note":"publisher: Universidade de São Paulo, Faculdade de Ciências Farmacêuticas","page":"e17129","source":"SciELO","title":"Effect of solvent polarity on extraction yield and antioxidant properties of phytochemicals from bean (&lt;i&gt;Phaseolus vulgaris&lt;/i&gt;) seeds","volume":"56","author":[{"family":"Nawaz","given":"Haq"},{"family":"Shad","given":"Muhammad Aslam"},{"family":"Rehman","given":"Najiha"},{"family":"Andaleeb","given":"Hina"},{"family":"Ullah","given":"Najeeb"}],"issued":{"date-parts":[["2020"]]}}}],"schema":"https://github.com/citation-style-language/schema/raw/master/csl-citation.json"} </w:instrText>
      </w:r>
      <w:r w:rsidR="00290456" w:rsidRPr="00266B15">
        <w:rPr>
          <w:rFonts w:ascii="Arial" w:hAnsi="Arial" w:cs="Arial"/>
        </w:rPr>
        <w:fldChar w:fldCharType="separate"/>
      </w:r>
      <w:r w:rsidR="00290456" w:rsidRPr="00266B15">
        <w:rPr>
          <w:rFonts w:ascii="Arial" w:hAnsi="Arial" w:cs="Arial"/>
        </w:rPr>
        <w:t>(Nawaz et al., 2020)</w:t>
      </w:r>
      <w:r w:rsidR="00290456" w:rsidRPr="00266B15">
        <w:rPr>
          <w:rFonts w:ascii="Arial" w:hAnsi="Arial" w:cs="Arial"/>
        </w:rPr>
        <w:fldChar w:fldCharType="end"/>
      </w:r>
      <w:r w:rsidR="00290456" w:rsidRPr="00266B15">
        <w:rPr>
          <w:rFonts w:ascii="Arial" w:hAnsi="Arial" w:cs="Arial"/>
        </w:rPr>
        <w:t xml:space="preserve">. </w:t>
      </w:r>
      <w:r w:rsidR="009A7E12" w:rsidRPr="00266B15">
        <w:rPr>
          <w:rFonts w:ascii="Arial" w:hAnsi="Arial" w:cs="Arial"/>
        </w:rPr>
        <w:t xml:space="preserve"> Methanol </w:t>
      </w:r>
      <w:r w:rsidR="00FC2E95" w:rsidRPr="00266B15">
        <w:rPr>
          <w:rFonts w:ascii="Arial" w:hAnsi="Arial" w:cs="Arial"/>
        </w:rPr>
        <w:t xml:space="preserve">preferentially </w:t>
      </w:r>
      <w:r w:rsidR="002B39CD" w:rsidRPr="00266B15">
        <w:rPr>
          <w:rFonts w:ascii="Arial" w:hAnsi="Arial" w:cs="Arial"/>
        </w:rPr>
        <w:t>extracts</w:t>
      </w:r>
      <w:r w:rsidR="00FC2E95" w:rsidRPr="00266B15">
        <w:rPr>
          <w:rFonts w:ascii="Arial" w:hAnsi="Arial" w:cs="Arial"/>
        </w:rPr>
        <w:t xml:space="preserve"> phenolic compounds, flavonoids, </w:t>
      </w:r>
      <w:r w:rsidR="0026791F" w:rsidRPr="00266B15">
        <w:rPr>
          <w:rFonts w:ascii="Arial" w:hAnsi="Arial" w:cs="Arial"/>
        </w:rPr>
        <w:t>glycosides</w:t>
      </w:r>
      <w:r w:rsidR="00FC2E95" w:rsidRPr="00266B15">
        <w:rPr>
          <w:rFonts w:ascii="Arial" w:hAnsi="Arial" w:cs="Arial"/>
        </w:rPr>
        <w:t xml:space="preserve"> and certain alkaloids</w:t>
      </w:r>
      <w:r w:rsidR="00646EF9" w:rsidRPr="00266B15">
        <w:rPr>
          <w:rFonts w:ascii="Arial" w:hAnsi="Arial" w:cs="Arial"/>
        </w:rPr>
        <w:t>.</w:t>
      </w:r>
      <w:r w:rsidR="0026791F" w:rsidRPr="00266B15">
        <w:rPr>
          <w:rFonts w:ascii="Arial" w:hAnsi="Arial" w:cs="Arial"/>
        </w:rPr>
        <w:t xml:space="preserve"> </w:t>
      </w:r>
      <w:r w:rsidR="002B39CD" w:rsidRPr="00266B15">
        <w:rPr>
          <w:rFonts w:ascii="Arial" w:hAnsi="Arial" w:cs="Arial"/>
        </w:rPr>
        <w:t xml:space="preserve"> On the other hand, a</w:t>
      </w:r>
      <w:r w:rsidR="0026791F" w:rsidRPr="00266B15">
        <w:rPr>
          <w:rFonts w:ascii="Arial" w:hAnsi="Arial" w:cs="Arial"/>
        </w:rPr>
        <w:t xml:space="preserve"> change in the composition of the solvent (water-ethanol, water-methanol) can significantly alter the content of metabolites and consequently the level of biological activity</w:t>
      </w:r>
      <w:r w:rsidR="00DE5170" w:rsidRPr="00266B15">
        <w:rPr>
          <w:rFonts w:ascii="Arial" w:hAnsi="Arial" w:cs="Arial"/>
        </w:rPr>
        <w:t xml:space="preserve"> </w:t>
      </w:r>
      <w:r w:rsidR="00DE5170" w:rsidRPr="00266B15">
        <w:rPr>
          <w:rFonts w:ascii="Arial" w:hAnsi="Arial" w:cs="Arial"/>
        </w:rPr>
        <w:fldChar w:fldCharType="begin"/>
      </w:r>
      <w:r w:rsidR="00DE5170" w:rsidRPr="00266B15">
        <w:rPr>
          <w:rFonts w:ascii="Arial" w:hAnsi="Arial" w:cs="Arial"/>
        </w:rPr>
        <w:instrText xml:space="preserve"> ADDIN ZOTERO_ITEM CSL_CITATION {"citationID":"mKH87geS","properties":{"formattedCitation":"(Tzanova et al., 2020)","plainCitation":"(Tzanova et al., 2020)","noteIndex":0},"citationItems":[{"id":2259,"uris":["http://zotero.org/users/local/BtUUOrnL/items/CRL8LBX4"],"itemData":{"id":2259,"type":"article-journal","abstract":"Flavonoids have a broad spectrum of established positive effects on human and animal health. They find an application in medicine for disease therapy and chemoprevention, whence the interest in flavonoids increases. In addition, they are used in food and cosmetic industries as pigments and biopreservatives. Plants are an inexhaustible source of flavonoids. The most important step of plant raw material processing is extraction and isolation of target compounds. The quality of an extract and efficiency of a procedure are influenced by several factors: Plant material and pre-extracting sample preparation, type of solvent, extraction technique, physicochemical conditions, etc. The present overview discusses the common problems and key challenges of the extraction procedures and the different mechanisms for selective extraction of flavonoids from different plant sources. In summary, there is no universal extraction method and each optimized procedure is individual for the respective plants. For an extraction technique to be selective, it must combine an optimal solvent or mixture of solvents with an appropriate technique. Last but not least, its optimization is important for a variety of applications. Moreover, when the selected method needs to be standardized, it must achieve acceptable degree of repeatability and reproducibility.","container-title":"Processes","DOI":"10.3390/pr8101222","ISSN":"2227-9717","issue":"10","language":"en","license":"http://creativecommons.org/licenses/by/3.0/","note":"publisher: Multidisciplinary Digital Publishing Institute","page":"1222","source":"www.mdpi.com","title":"Selectivity of Current Extraction Techniques for Flavonoids from Plant Materials","volume":"8","author":[{"family":"Tzanova","given":"Milena"},{"family":"Atanasov","given":"Vasil"},{"family":"Yaneva","given":"Zvezdelina"},{"family":"Ivanova","given":"Donika"},{"family":"Dinev","given":"Toncho"}],"issued":{"date-parts":[["2020",10]]}}}],"schema":"https://github.com/citation-style-language/schema/raw/master/csl-citation.json"} </w:instrText>
      </w:r>
      <w:r w:rsidR="00DE5170" w:rsidRPr="00266B15">
        <w:rPr>
          <w:rFonts w:ascii="Arial" w:hAnsi="Arial" w:cs="Arial"/>
        </w:rPr>
        <w:fldChar w:fldCharType="separate"/>
      </w:r>
      <w:r w:rsidR="00DE5170" w:rsidRPr="00266B15">
        <w:rPr>
          <w:rFonts w:ascii="Arial" w:hAnsi="Arial" w:cs="Arial"/>
        </w:rPr>
        <w:t>(Tzanova et al., 2020)</w:t>
      </w:r>
      <w:r w:rsidR="00DE5170" w:rsidRPr="00266B15">
        <w:rPr>
          <w:rFonts w:ascii="Arial" w:hAnsi="Arial" w:cs="Arial"/>
        </w:rPr>
        <w:fldChar w:fldCharType="end"/>
      </w:r>
      <w:r w:rsidR="009A7E12" w:rsidRPr="00266B15">
        <w:rPr>
          <w:rFonts w:ascii="Arial" w:hAnsi="Arial" w:cs="Arial"/>
        </w:rPr>
        <w:t xml:space="preserve"> </w:t>
      </w:r>
    </w:p>
    <w:p w14:paraId="0988C045" w14:textId="5B46FDC8" w:rsidR="006E7F00" w:rsidRPr="00266B15" w:rsidRDefault="006E7F00" w:rsidP="006E7F00">
      <w:pPr>
        <w:spacing w:line="360" w:lineRule="auto"/>
        <w:jc w:val="both"/>
        <w:rPr>
          <w:rFonts w:ascii="Arial" w:hAnsi="Arial" w:cs="Arial"/>
        </w:rPr>
      </w:pPr>
      <w:r w:rsidRPr="00266B15">
        <w:rPr>
          <w:rFonts w:ascii="Arial" w:hAnsi="Arial" w:cs="Arial"/>
          <w:b/>
          <w:bCs/>
        </w:rPr>
        <w:t xml:space="preserve">Table </w:t>
      </w:r>
      <w:r w:rsidR="006729E7" w:rsidRPr="00266B15">
        <w:rPr>
          <w:rFonts w:ascii="Arial" w:hAnsi="Arial" w:cs="Arial"/>
          <w:b/>
          <w:bCs/>
        </w:rPr>
        <w:t>5</w:t>
      </w:r>
      <w:r w:rsidRPr="00266B15">
        <w:rPr>
          <w:rFonts w:ascii="Arial" w:hAnsi="Arial" w:cs="Arial"/>
          <w:b/>
          <w:bCs/>
        </w:rPr>
        <w:t>: Hemolytic activity of crude extracts (50 µg/mL)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0"/>
        <w:gridCol w:w="2010"/>
        <w:gridCol w:w="2343"/>
        <w:gridCol w:w="2180"/>
      </w:tblGrid>
      <w:tr w:rsidR="006E7F00" w:rsidRPr="00266B15" w14:paraId="2A727609" w14:textId="77777777" w:rsidTr="003C4853">
        <w:trPr>
          <w:tblHeader/>
          <w:tblCellSpacing w:w="15" w:type="dxa"/>
        </w:trPr>
        <w:tc>
          <w:tcPr>
            <w:tcW w:w="0" w:type="auto"/>
            <w:vAlign w:val="center"/>
            <w:hideMark/>
          </w:tcPr>
          <w:p w14:paraId="5E44BE54" w14:textId="77777777" w:rsidR="006E7F00" w:rsidRPr="00266B15" w:rsidRDefault="006E7F00" w:rsidP="003C4853">
            <w:pPr>
              <w:spacing w:line="360" w:lineRule="auto"/>
              <w:jc w:val="both"/>
              <w:rPr>
                <w:rFonts w:ascii="Arial" w:hAnsi="Arial" w:cs="Arial"/>
                <w:b/>
                <w:bCs/>
              </w:rPr>
            </w:pPr>
            <w:r w:rsidRPr="00266B15">
              <w:rPr>
                <w:rFonts w:ascii="Arial" w:hAnsi="Arial" w:cs="Arial"/>
                <w:b/>
                <w:bCs/>
              </w:rPr>
              <w:t>Extracts</w:t>
            </w:r>
          </w:p>
        </w:tc>
        <w:tc>
          <w:tcPr>
            <w:tcW w:w="0" w:type="auto"/>
            <w:vAlign w:val="center"/>
            <w:hideMark/>
          </w:tcPr>
          <w:p w14:paraId="0E467D40" w14:textId="77777777" w:rsidR="006E7F00" w:rsidRPr="00266B15" w:rsidRDefault="006E7F00" w:rsidP="003C4853">
            <w:pPr>
              <w:spacing w:line="360" w:lineRule="auto"/>
              <w:jc w:val="both"/>
              <w:rPr>
                <w:rFonts w:ascii="Arial" w:hAnsi="Arial" w:cs="Arial"/>
                <w:b/>
                <w:bCs/>
              </w:rPr>
            </w:pPr>
            <w:r w:rsidRPr="00266B15">
              <w:rPr>
                <w:rFonts w:ascii="Arial" w:hAnsi="Arial" w:cs="Arial"/>
                <w:b/>
                <w:bCs/>
                <w:i/>
                <w:iCs/>
              </w:rPr>
              <w:t xml:space="preserve">A. </w:t>
            </w:r>
            <w:proofErr w:type="spellStart"/>
            <w:r w:rsidRPr="00266B15">
              <w:rPr>
                <w:rFonts w:ascii="Arial" w:hAnsi="Arial" w:cs="Arial"/>
                <w:b/>
                <w:bCs/>
                <w:i/>
                <w:iCs/>
              </w:rPr>
              <w:t>mexicana</w:t>
            </w:r>
            <w:proofErr w:type="spellEnd"/>
            <w:r w:rsidRPr="00266B15">
              <w:rPr>
                <w:rFonts w:ascii="Arial" w:hAnsi="Arial" w:cs="Arial"/>
                <w:b/>
                <w:bCs/>
              </w:rPr>
              <w:t xml:space="preserve"> (µg/mL)</w:t>
            </w:r>
          </w:p>
        </w:tc>
        <w:tc>
          <w:tcPr>
            <w:tcW w:w="0" w:type="auto"/>
            <w:vAlign w:val="center"/>
            <w:hideMark/>
          </w:tcPr>
          <w:p w14:paraId="413FC6D5" w14:textId="77777777" w:rsidR="006E7F00" w:rsidRPr="00266B15" w:rsidRDefault="006E7F00" w:rsidP="003C4853">
            <w:pPr>
              <w:spacing w:line="360" w:lineRule="auto"/>
              <w:jc w:val="both"/>
              <w:rPr>
                <w:rFonts w:ascii="Arial" w:hAnsi="Arial" w:cs="Arial"/>
                <w:b/>
                <w:bCs/>
              </w:rPr>
            </w:pPr>
            <w:r w:rsidRPr="00266B15">
              <w:rPr>
                <w:rFonts w:ascii="Arial" w:hAnsi="Arial" w:cs="Arial"/>
                <w:b/>
                <w:bCs/>
                <w:i/>
                <w:iCs/>
              </w:rPr>
              <w:t xml:space="preserve">T. </w:t>
            </w:r>
            <w:proofErr w:type="spellStart"/>
            <w:r w:rsidRPr="00266B15">
              <w:rPr>
                <w:rFonts w:ascii="Arial" w:hAnsi="Arial" w:cs="Arial"/>
                <w:b/>
                <w:bCs/>
                <w:i/>
                <w:iCs/>
              </w:rPr>
              <w:t>avicennoides</w:t>
            </w:r>
            <w:proofErr w:type="spellEnd"/>
            <w:r w:rsidRPr="00266B15">
              <w:rPr>
                <w:rFonts w:ascii="Arial" w:hAnsi="Arial" w:cs="Arial"/>
                <w:b/>
                <w:bCs/>
              </w:rPr>
              <w:t xml:space="preserve"> (µg/mL)</w:t>
            </w:r>
          </w:p>
        </w:tc>
        <w:tc>
          <w:tcPr>
            <w:tcW w:w="0" w:type="auto"/>
            <w:vAlign w:val="center"/>
            <w:hideMark/>
          </w:tcPr>
          <w:p w14:paraId="46BBB744" w14:textId="77777777" w:rsidR="006E7F00" w:rsidRPr="00266B15" w:rsidRDefault="006E7F00" w:rsidP="003C4853">
            <w:pPr>
              <w:spacing w:line="360" w:lineRule="auto"/>
              <w:jc w:val="both"/>
              <w:rPr>
                <w:rFonts w:ascii="Arial" w:hAnsi="Arial" w:cs="Arial"/>
                <w:b/>
                <w:bCs/>
              </w:rPr>
            </w:pPr>
            <w:r w:rsidRPr="00266B15">
              <w:rPr>
                <w:rFonts w:ascii="Arial" w:hAnsi="Arial" w:cs="Arial"/>
                <w:b/>
                <w:bCs/>
                <w:i/>
                <w:iCs/>
              </w:rPr>
              <w:t xml:space="preserve">T. </w:t>
            </w:r>
            <w:proofErr w:type="spellStart"/>
            <w:r w:rsidRPr="00266B15">
              <w:rPr>
                <w:rFonts w:ascii="Arial" w:hAnsi="Arial" w:cs="Arial"/>
                <w:b/>
                <w:bCs/>
                <w:i/>
                <w:iCs/>
              </w:rPr>
              <w:t>macroptera</w:t>
            </w:r>
            <w:proofErr w:type="spellEnd"/>
            <w:r w:rsidRPr="00266B15">
              <w:rPr>
                <w:rFonts w:ascii="Arial" w:hAnsi="Arial" w:cs="Arial"/>
                <w:b/>
                <w:bCs/>
              </w:rPr>
              <w:t xml:space="preserve"> (µg/mL)</w:t>
            </w:r>
          </w:p>
        </w:tc>
      </w:tr>
      <w:tr w:rsidR="006E7F00" w:rsidRPr="00266B15" w14:paraId="483D910E" w14:textId="77777777" w:rsidTr="003C4853">
        <w:trPr>
          <w:tblCellSpacing w:w="15" w:type="dxa"/>
        </w:trPr>
        <w:tc>
          <w:tcPr>
            <w:tcW w:w="0" w:type="auto"/>
            <w:vAlign w:val="center"/>
            <w:hideMark/>
          </w:tcPr>
          <w:p w14:paraId="0426F1F1" w14:textId="77777777" w:rsidR="006E7F00" w:rsidRPr="00266B15" w:rsidRDefault="006E7F00" w:rsidP="003C4853">
            <w:pPr>
              <w:spacing w:line="360" w:lineRule="auto"/>
              <w:jc w:val="both"/>
              <w:rPr>
                <w:rFonts w:ascii="Arial" w:hAnsi="Arial" w:cs="Arial"/>
              </w:rPr>
            </w:pPr>
            <w:r w:rsidRPr="00266B15">
              <w:rPr>
                <w:rFonts w:ascii="Arial" w:hAnsi="Arial" w:cs="Arial"/>
              </w:rPr>
              <w:t>Ethanolic</w:t>
            </w:r>
          </w:p>
        </w:tc>
        <w:tc>
          <w:tcPr>
            <w:tcW w:w="0" w:type="auto"/>
            <w:vAlign w:val="center"/>
            <w:hideMark/>
          </w:tcPr>
          <w:p w14:paraId="651C66A4" w14:textId="77777777" w:rsidR="006E7F00" w:rsidRPr="00266B15" w:rsidRDefault="006E7F00" w:rsidP="003C4853">
            <w:pPr>
              <w:spacing w:line="360" w:lineRule="auto"/>
              <w:jc w:val="both"/>
              <w:rPr>
                <w:rFonts w:ascii="Arial" w:hAnsi="Arial" w:cs="Arial"/>
              </w:rPr>
            </w:pPr>
            <w:r w:rsidRPr="00266B15">
              <w:rPr>
                <w:rFonts w:ascii="Arial" w:hAnsi="Arial" w:cs="Arial"/>
              </w:rPr>
              <w:t>0.044 ± 0.00</w:t>
            </w:r>
          </w:p>
        </w:tc>
        <w:tc>
          <w:tcPr>
            <w:tcW w:w="0" w:type="auto"/>
            <w:vAlign w:val="center"/>
            <w:hideMark/>
          </w:tcPr>
          <w:p w14:paraId="0D9A9559" w14:textId="77777777" w:rsidR="006E7F00" w:rsidRPr="00266B15" w:rsidRDefault="006E7F00" w:rsidP="003C4853">
            <w:pPr>
              <w:spacing w:line="360" w:lineRule="auto"/>
              <w:jc w:val="both"/>
              <w:rPr>
                <w:rFonts w:ascii="Arial" w:hAnsi="Arial" w:cs="Arial"/>
              </w:rPr>
            </w:pPr>
            <w:r w:rsidRPr="00266B15">
              <w:rPr>
                <w:rFonts w:ascii="Arial" w:hAnsi="Arial" w:cs="Arial"/>
              </w:rPr>
              <w:t>0.049 ± 0.00</w:t>
            </w:r>
          </w:p>
        </w:tc>
        <w:tc>
          <w:tcPr>
            <w:tcW w:w="0" w:type="auto"/>
            <w:vAlign w:val="center"/>
            <w:hideMark/>
          </w:tcPr>
          <w:p w14:paraId="7E601CCB" w14:textId="77777777" w:rsidR="006E7F00" w:rsidRPr="00266B15" w:rsidRDefault="006E7F00" w:rsidP="003C4853">
            <w:pPr>
              <w:spacing w:line="360" w:lineRule="auto"/>
              <w:jc w:val="both"/>
              <w:rPr>
                <w:rFonts w:ascii="Arial" w:hAnsi="Arial" w:cs="Arial"/>
              </w:rPr>
            </w:pPr>
            <w:r w:rsidRPr="00266B15">
              <w:rPr>
                <w:rFonts w:ascii="Arial" w:hAnsi="Arial" w:cs="Arial"/>
              </w:rPr>
              <w:t>0.05 ± 0.00</w:t>
            </w:r>
          </w:p>
        </w:tc>
      </w:tr>
      <w:tr w:rsidR="006E7F00" w:rsidRPr="00266B15" w14:paraId="528FB4BA" w14:textId="77777777" w:rsidTr="003C4853">
        <w:trPr>
          <w:tblCellSpacing w:w="15" w:type="dxa"/>
        </w:trPr>
        <w:tc>
          <w:tcPr>
            <w:tcW w:w="0" w:type="auto"/>
            <w:vAlign w:val="center"/>
            <w:hideMark/>
          </w:tcPr>
          <w:p w14:paraId="7CF2A2EB" w14:textId="77777777" w:rsidR="006E7F00" w:rsidRPr="00266B15" w:rsidRDefault="006E7F00" w:rsidP="003C4853">
            <w:pPr>
              <w:spacing w:line="360" w:lineRule="auto"/>
              <w:jc w:val="both"/>
              <w:rPr>
                <w:rFonts w:ascii="Arial" w:hAnsi="Arial" w:cs="Arial"/>
              </w:rPr>
            </w:pPr>
            <w:r w:rsidRPr="00266B15">
              <w:rPr>
                <w:rFonts w:ascii="Arial" w:hAnsi="Arial" w:cs="Arial"/>
              </w:rPr>
              <w:t>Hydroethanolic</w:t>
            </w:r>
          </w:p>
        </w:tc>
        <w:tc>
          <w:tcPr>
            <w:tcW w:w="0" w:type="auto"/>
            <w:vAlign w:val="center"/>
            <w:hideMark/>
          </w:tcPr>
          <w:p w14:paraId="0361139A" w14:textId="77777777" w:rsidR="006E7F00" w:rsidRPr="00266B15" w:rsidRDefault="006E7F00" w:rsidP="003C4853">
            <w:pPr>
              <w:spacing w:line="360" w:lineRule="auto"/>
              <w:jc w:val="both"/>
              <w:rPr>
                <w:rFonts w:ascii="Arial" w:hAnsi="Arial" w:cs="Arial"/>
              </w:rPr>
            </w:pPr>
            <w:r w:rsidRPr="00266B15">
              <w:rPr>
                <w:rFonts w:ascii="Arial" w:hAnsi="Arial" w:cs="Arial"/>
              </w:rPr>
              <w:t>0.045 ± 0.00</w:t>
            </w:r>
          </w:p>
        </w:tc>
        <w:tc>
          <w:tcPr>
            <w:tcW w:w="0" w:type="auto"/>
            <w:vAlign w:val="center"/>
            <w:hideMark/>
          </w:tcPr>
          <w:p w14:paraId="3E39A2BC" w14:textId="77777777" w:rsidR="006E7F00" w:rsidRPr="00266B15" w:rsidRDefault="006E7F00" w:rsidP="003C4853">
            <w:pPr>
              <w:spacing w:line="360" w:lineRule="auto"/>
              <w:jc w:val="both"/>
              <w:rPr>
                <w:rFonts w:ascii="Arial" w:hAnsi="Arial" w:cs="Arial"/>
              </w:rPr>
            </w:pPr>
            <w:r w:rsidRPr="00266B15">
              <w:rPr>
                <w:rFonts w:ascii="Arial" w:hAnsi="Arial" w:cs="Arial"/>
              </w:rPr>
              <w:t>0.047 ± 0.00</w:t>
            </w:r>
          </w:p>
        </w:tc>
        <w:tc>
          <w:tcPr>
            <w:tcW w:w="0" w:type="auto"/>
            <w:vAlign w:val="center"/>
            <w:hideMark/>
          </w:tcPr>
          <w:p w14:paraId="4424CB15" w14:textId="77777777" w:rsidR="006E7F00" w:rsidRPr="00266B15" w:rsidRDefault="006E7F00" w:rsidP="003C4853">
            <w:pPr>
              <w:spacing w:line="360" w:lineRule="auto"/>
              <w:jc w:val="both"/>
              <w:rPr>
                <w:rFonts w:ascii="Arial" w:hAnsi="Arial" w:cs="Arial"/>
              </w:rPr>
            </w:pPr>
            <w:r w:rsidRPr="00266B15">
              <w:rPr>
                <w:rFonts w:ascii="Arial" w:hAnsi="Arial" w:cs="Arial"/>
              </w:rPr>
              <w:t>0.044 ± 0.00</w:t>
            </w:r>
          </w:p>
        </w:tc>
      </w:tr>
    </w:tbl>
    <w:p w14:paraId="6E152413" w14:textId="77777777" w:rsidR="006E7F00" w:rsidRPr="00266B15" w:rsidRDefault="006E7F00" w:rsidP="006E7F00">
      <w:pPr>
        <w:spacing w:line="360" w:lineRule="auto"/>
        <w:jc w:val="both"/>
        <w:rPr>
          <w:rFonts w:ascii="Arial" w:hAnsi="Arial" w:cs="Arial"/>
        </w:rPr>
      </w:pPr>
      <w:r w:rsidRPr="00266B15">
        <w:rPr>
          <w:rFonts w:ascii="Arial" w:hAnsi="Arial" w:cs="Arial"/>
        </w:rPr>
        <w:t>The hemolytic activities of all extracts are statistically equal (P-value &lt; 0.0001).</w:t>
      </w:r>
    </w:p>
    <w:p w14:paraId="3C15EB4F" w14:textId="77777777" w:rsidR="006E7F00" w:rsidRPr="00266B15" w:rsidRDefault="006E7F00" w:rsidP="006E7F00">
      <w:pPr>
        <w:spacing w:line="360" w:lineRule="auto"/>
        <w:jc w:val="both"/>
        <w:rPr>
          <w:rFonts w:ascii="Arial" w:hAnsi="Arial" w:cs="Arial"/>
        </w:rPr>
      </w:pPr>
    </w:p>
    <w:p w14:paraId="7437DA26" w14:textId="40742207" w:rsidR="006E7F00" w:rsidRPr="00266B15" w:rsidRDefault="006E7F00" w:rsidP="006E7F00">
      <w:pPr>
        <w:spacing w:line="360" w:lineRule="auto"/>
        <w:jc w:val="both"/>
        <w:rPr>
          <w:rFonts w:ascii="Arial" w:hAnsi="Arial" w:cs="Arial"/>
        </w:rPr>
      </w:pPr>
      <w:r w:rsidRPr="00266B15">
        <w:rPr>
          <w:rFonts w:ascii="Arial" w:hAnsi="Arial" w:cs="Arial"/>
          <w:b/>
          <w:bCs/>
          <w:u w:val="single"/>
        </w:rPr>
        <w:t xml:space="preserve">Antibacterial </w:t>
      </w:r>
      <w:proofErr w:type="spellStart"/>
      <w:r w:rsidRPr="00266B15">
        <w:rPr>
          <w:rFonts w:ascii="Arial" w:hAnsi="Arial" w:cs="Arial"/>
          <w:b/>
          <w:bCs/>
          <w:u w:val="single"/>
        </w:rPr>
        <w:t>Activit</w:t>
      </w:r>
      <w:r w:rsidR="00E84F6B" w:rsidRPr="00266B15">
        <w:rPr>
          <w:rFonts w:ascii="Arial" w:hAnsi="Arial" w:cs="Arial"/>
          <w:b/>
          <w:bCs/>
          <w:u w:val="single"/>
        </w:rPr>
        <w:t>y</w:t>
      </w:r>
      <w:bookmarkStart w:id="1" w:name="_Hlk212448494"/>
      <w:r w:rsidRPr="00266B15">
        <w:rPr>
          <w:rFonts w:ascii="Arial" w:hAnsi="Arial" w:cs="Arial"/>
        </w:rPr>
        <w:t>Sensitivity</w:t>
      </w:r>
      <w:proofErr w:type="spellEnd"/>
      <w:r w:rsidRPr="00266B15">
        <w:rPr>
          <w:rFonts w:ascii="Arial" w:hAnsi="Arial" w:cs="Arial"/>
        </w:rPr>
        <w:t xml:space="preserve"> tests revealed that our extracts exhibited variable antimicrobial activities (Table </w:t>
      </w:r>
      <w:r w:rsidR="006729E7" w:rsidRPr="00266B15">
        <w:rPr>
          <w:rFonts w:ascii="Arial" w:hAnsi="Arial" w:cs="Arial"/>
        </w:rPr>
        <w:t>6</w:t>
      </w:r>
      <w:r w:rsidRPr="00266B15">
        <w:rPr>
          <w:rFonts w:ascii="Arial" w:hAnsi="Arial" w:cs="Arial"/>
        </w:rPr>
        <w:t xml:space="preserve">). The ethanolic and hydroethanolic extracts of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were the most active, showing inhibition diameters of 16 ± 1.55 mm and 17 ± 1.77 mm, respectively, against </w:t>
      </w:r>
      <w:r w:rsidRPr="00266B15">
        <w:rPr>
          <w:rFonts w:ascii="Arial" w:hAnsi="Arial" w:cs="Arial"/>
          <w:i/>
          <w:iCs/>
        </w:rPr>
        <w:t>S. epidermidis</w:t>
      </w:r>
      <w:r w:rsidRPr="00266B15">
        <w:rPr>
          <w:rFonts w:ascii="Arial" w:hAnsi="Arial" w:cs="Arial"/>
        </w:rPr>
        <w:t xml:space="preserve">. Compared to reference antibiotics, the ethanolic and hydroethanolic extracts of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(16 ± 1.55 – 17 ± 1.77 mm) exhibited higher activity than ampicillin (15 ± 1.5 mm), with the hydroethanolic extract approaching the efficacy of ciprofloxacin (17 ± 0.8 mm) against </w:t>
      </w:r>
      <w:r w:rsidRPr="00266B15">
        <w:rPr>
          <w:rFonts w:ascii="Arial" w:hAnsi="Arial" w:cs="Arial"/>
          <w:i/>
          <w:iCs/>
        </w:rPr>
        <w:t>S. epidermidis</w:t>
      </w:r>
      <w:r w:rsidRPr="00266B15">
        <w:rPr>
          <w:rFonts w:ascii="Arial" w:hAnsi="Arial" w:cs="Arial"/>
        </w:rPr>
        <w:t xml:space="preserve">. For other extracts, activity was generally lower than that of the antibiotics but remained notable.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was inactive against all tested microorganisms.</w:t>
      </w:r>
      <w:r w:rsidR="002676CE" w:rsidRPr="00266B15">
        <w:rPr>
          <w:rFonts w:ascii="Arial" w:hAnsi="Arial" w:cs="Arial"/>
        </w:rPr>
        <w:t xml:space="preserve"> This inactivity could be explained by an insufficient concentration of the extract and even of the bioactive compounds, thus not being able to induce a measurable effect</w:t>
      </w:r>
      <w:r w:rsidR="00C64464" w:rsidRPr="00266B15">
        <w:rPr>
          <w:rFonts w:ascii="Arial" w:hAnsi="Arial" w:cs="Arial"/>
        </w:rPr>
        <w:t>.</w:t>
      </w:r>
    </w:p>
    <w:p w14:paraId="1DB8DE17" w14:textId="09CFAE42" w:rsidR="006E7F00" w:rsidRPr="00266B15" w:rsidRDefault="006E7F00" w:rsidP="006E7F00">
      <w:pPr>
        <w:spacing w:line="360" w:lineRule="auto"/>
        <w:jc w:val="both"/>
        <w:rPr>
          <w:rFonts w:ascii="Arial" w:hAnsi="Arial" w:cs="Arial"/>
        </w:rPr>
      </w:pPr>
      <w:r w:rsidRPr="00266B15">
        <w:rPr>
          <w:rFonts w:ascii="Arial" w:hAnsi="Arial" w:cs="Arial"/>
        </w:rPr>
        <w:t xml:space="preserve">These results are generally consistent with the literature. Several authors have reported notable sensitivity of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and </w:t>
      </w:r>
      <w:r w:rsidRPr="00266B15">
        <w:rPr>
          <w:rFonts w:ascii="Arial" w:hAnsi="Arial" w:cs="Arial"/>
          <w:i/>
          <w:iCs/>
        </w:rPr>
        <w:t xml:space="preserve">T. </w:t>
      </w:r>
      <w:proofErr w:type="spellStart"/>
      <w:r w:rsidRPr="00266B15">
        <w:rPr>
          <w:rFonts w:ascii="Arial" w:hAnsi="Arial" w:cs="Arial"/>
          <w:i/>
          <w:iCs/>
        </w:rPr>
        <w:t>avicennioides</w:t>
      </w:r>
      <w:proofErr w:type="spellEnd"/>
      <w:r w:rsidRPr="00266B15">
        <w:rPr>
          <w:rFonts w:ascii="Arial" w:hAnsi="Arial" w:cs="Arial"/>
        </w:rPr>
        <w:t xml:space="preserve"> against, </w:t>
      </w:r>
      <w:r w:rsidRPr="00266B15">
        <w:rPr>
          <w:rFonts w:ascii="Arial" w:hAnsi="Arial" w:cs="Arial"/>
          <w:i/>
          <w:iCs/>
        </w:rPr>
        <w:t>E. coli</w:t>
      </w:r>
      <w:r w:rsidRPr="00266B15">
        <w:rPr>
          <w:rFonts w:ascii="Arial" w:hAnsi="Arial" w:cs="Arial"/>
        </w:rPr>
        <w:t xml:space="preserve">, </w:t>
      </w:r>
      <w:r w:rsidRPr="00266B15">
        <w:rPr>
          <w:rFonts w:ascii="Arial" w:hAnsi="Arial" w:cs="Arial"/>
          <w:i/>
          <w:iCs/>
        </w:rPr>
        <w:t>K. pneumoniae</w:t>
      </w:r>
      <w:r w:rsidRPr="00266B15">
        <w:rPr>
          <w:rFonts w:ascii="Arial" w:hAnsi="Arial" w:cs="Arial"/>
        </w:rPr>
        <w:t xml:space="preserve">, and </w:t>
      </w:r>
      <w:r w:rsidRPr="00266B15">
        <w:rPr>
          <w:rFonts w:ascii="Arial" w:hAnsi="Arial" w:cs="Arial"/>
          <w:i/>
          <w:iCs/>
        </w:rPr>
        <w:t>P. aeruginosa</w:t>
      </w:r>
      <w:r w:rsidRPr="00266B15">
        <w:rPr>
          <w:rFonts w:ascii="Arial" w:hAnsi="Arial" w:cs="Arial"/>
        </w:rPr>
        <w:t xml:space="preserve"> (</w:t>
      </w:r>
      <w:proofErr w:type="spellStart"/>
      <w:r w:rsidRPr="00266B15">
        <w:rPr>
          <w:rFonts w:ascii="Arial" w:hAnsi="Arial" w:cs="Arial"/>
        </w:rPr>
        <w:t>Mbekou</w:t>
      </w:r>
      <w:proofErr w:type="spellEnd"/>
      <w:r w:rsidRPr="00266B15">
        <w:rPr>
          <w:rFonts w:ascii="Arial" w:hAnsi="Arial" w:cs="Arial"/>
        </w:rPr>
        <w:t xml:space="preserve"> et al., 2021; N’do et al., 2024). However, Lega (2010) obtained different results with the methanolic extract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observing inhibition zones against </w:t>
      </w:r>
      <w:r w:rsidRPr="00266B15">
        <w:rPr>
          <w:rFonts w:ascii="Arial" w:hAnsi="Arial" w:cs="Arial"/>
          <w:i/>
          <w:iCs/>
        </w:rPr>
        <w:t>E. coli</w:t>
      </w:r>
      <w:r w:rsidRPr="00266B15">
        <w:rPr>
          <w:rFonts w:ascii="Arial" w:hAnsi="Arial" w:cs="Arial"/>
        </w:rPr>
        <w:t xml:space="preserve">, </w:t>
      </w:r>
      <w:r w:rsidRPr="00266B15">
        <w:rPr>
          <w:rFonts w:ascii="Arial" w:hAnsi="Arial" w:cs="Arial"/>
          <w:i/>
          <w:iCs/>
        </w:rPr>
        <w:t>K. pneumoniae</w:t>
      </w:r>
      <w:r w:rsidRPr="00266B15">
        <w:rPr>
          <w:rFonts w:ascii="Arial" w:hAnsi="Arial" w:cs="Arial"/>
        </w:rPr>
        <w:t xml:space="preserve">, </w:t>
      </w:r>
      <w:r w:rsidRPr="00266B15">
        <w:rPr>
          <w:rFonts w:ascii="Arial" w:hAnsi="Arial" w:cs="Arial"/>
          <w:i/>
          <w:iCs/>
        </w:rPr>
        <w:t>S. aureus</w:t>
      </w:r>
      <w:r w:rsidRPr="00266B15">
        <w:rPr>
          <w:rFonts w:ascii="Arial" w:hAnsi="Arial" w:cs="Arial"/>
        </w:rPr>
        <w:t xml:space="preserve">, and </w:t>
      </w:r>
      <w:r w:rsidRPr="00266B15">
        <w:rPr>
          <w:rFonts w:ascii="Arial" w:hAnsi="Arial" w:cs="Arial"/>
          <w:i/>
          <w:iCs/>
        </w:rPr>
        <w:t>P. aeruginosa</w:t>
      </w:r>
      <w:r w:rsidRPr="00266B15">
        <w:rPr>
          <w:rFonts w:ascii="Arial" w:hAnsi="Arial" w:cs="Arial"/>
        </w:rPr>
        <w:t>. These discrepancies could be explained by the nature of the extraction solvent or the geographical origin of the plants, both known factors influencing phytochemical composition and, consequently, antimicrobial activity.</w:t>
      </w:r>
    </w:p>
    <w:p w14:paraId="1CD58142" w14:textId="5AF30F5C" w:rsidR="00E84F6B" w:rsidRPr="00266B15" w:rsidRDefault="00E84F6B" w:rsidP="00376E0E">
      <w:pPr>
        <w:pStyle w:val="ListParagraph"/>
        <w:numPr>
          <w:ilvl w:val="2"/>
          <w:numId w:val="37"/>
        </w:numPr>
        <w:spacing w:line="360" w:lineRule="auto"/>
        <w:jc w:val="both"/>
        <w:rPr>
          <w:rFonts w:ascii="Arial" w:hAnsi="Arial" w:cs="Arial"/>
        </w:rPr>
      </w:pPr>
      <w:r w:rsidRPr="00266B15">
        <w:rPr>
          <w:rFonts w:ascii="Arial" w:hAnsi="Arial" w:cs="Arial"/>
        </w:rPr>
        <w:lastRenderedPageBreak/>
        <w:t>Antifungal activity</w:t>
      </w:r>
    </w:p>
    <w:p w14:paraId="5E8BD366" w14:textId="3C2EF32B" w:rsidR="00F56418" w:rsidRPr="00266B15" w:rsidRDefault="0043170D" w:rsidP="00A30F04">
      <w:pPr>
        <w:spacing w:line="360" w:lineRule="auto"/>
        <w:jc w:val="both"/>
        <w:rPr>
          <w:rFonts w:ascii="Arial" w:hAnsi="Arial" w:cs="Arial"/>
        </w:rPr>
      </w:pPr>
      <w:r w:rsidRPr="00266B15">
        <w:rPr>
          <w:rFonts w:ascii="Arial" w:hAnsi="Arial" w:cs="Arial"/>
        </w:rPr>
        <w:t xml:space="preserve">Concerning the antifungal tests, the lowest </w:t>
      </w:r>
      <w:r w:rsidR="005132E2" w:rsidRPr="00266B15">
        <w:rPr>
          <w:rFonts w:ascii="Arial" w:hAnsi="Arial" w:cs="Arial"/>
        </w:rPr>
        <w:t xml:space="preserve">inhibition was observed against C. albicans, </w:t>
      </w:r>
      <w:proofErr w:type="spellStart"/>
      <w:r w:rsidR="005132E2" w:rsidRPr="00266B15">
        <w:rPr>
          <w:rFonts w:ascii="Arial" w:hAnsi="Arial" w:cs="Arial"/>
        </w:rPr>
        <w:t>particulary</w:t>
      </w:r>
      <w:proofErr w:type="spellEnd"/>
      <w:r w:rsidR="005132E2" w:rsidRPr="00266B15">
        <w:rPr>
          <w:rFonts w:ascii="Arial" w:hAnsi="Arial" w:cs="Arial"/>
        </w:rPr>
        <w:t xml:space="preserve"> with the hydroethanolic extract of T. </w:t>
      </w:r>
      <w:proofErr w:type="spellStart"/>
      <w:r w:rsidR="005132E2" w:rsidRPr="00266B15">
        <w:rPr>
          <w:rFonts w:ascii="Arial" w:hAnsi="Arial" w:cs="Arial"/>
        </w:rPr>
        <w:t>avicennioides</w:t>
      </w:r>
      <w:proofErr w:type="spellEnd"/>
      <w:r w:rsidR="005132E2" w:rsidRPr="00266B15">
        <w:rPr>
          <w:rFonts w:ascii="Arial" w:hAnsi="Arial" w:cs="Arial"/>
        </w:rPr>
        <w:t xml:space="preserve"> (</w:t>
      </w:r>
      <w:r w:rsidR="00CA1C50" w:rsidRPr="00266B15">
        <w:rPr>
          <w:rFonts w:ascii="Arial" w:hAnsi="Arial" w:cs="Arial"/>
        </w:rPr>
        <w:t>6 ± 0.44 mm)</w:t>
      </w:r>
      <w:r w:rsidR="0022024A" w:rsidRPr="00266B15">
        <w:rPr>
          <w:rFonts w:ascii="Arial" w:hAnsi="Arial" w:cs="Arial"/>
        </w:rPr>
        <w:t xml:space="preserve"> and T. </w:t>
      </w:r>
      <w:proofErr w:type="spellStart"/>
      <w:r w:rsidR="0022024A" w:rsidRPr="00266B15">
        <w:rPr>
          <w:rFonts w:ascii="Arial" w:hAnsi="Arial" w:cs="Arial"/>
        </w:rPr>
        <w:t>macroptera</w:t>
      </w:r>
      <w:proofErr w:type="spellEnd"/>
      <w:r w:rsidR="0032554A" w:rsidRPr="00266B15">
        <w:rPr>
          <w:rFonts w:ascii="Arial" w:hAnsi="Arial" w:cs="Arial"/>
        </w:rPr>
        <w:t xml:space="preserve"> (</w:t>
      </w:r>
      <w:r w:rsidR="00F51DEE" w:rsidRPr="00266B15">
        <w:rPr>
          <w:rFonts w:ascii="Arial" w:hAnsi="Arial" w:cs="Arial"/>
        </w:rPr>
        <w:t>7 ± 0.44 mm)</w:t>
      </w:r>
      <w:r w:rsidR="002830E5" w:rsidRPr="00266B15">
        <w:rPr>
          <w:rFonts w:ascii="Arial" w:hAnsi="Arial" w:cs="Arial"/>
        </w:rPr>
        <w:t>. This limited antifungal effect may be related to the low content or poor diffusion of active antifungal constituents in the agar medium, or to intrinsic resistance mechanisms of C. albicans.</w:t>
      </w:r>
      <w:r w:rsidR="00E22517" w:rsidRPr="00266B15">
        <w:rPr>
          <w:rFonts w:ascii="Arial" w:hAnsi="Arial" w:cs="Arial"/>
        </w:rPr>
        <w:t xml:space="preserve"> </w:t>
      </w:r>
      <w:r w:rsidR="00E456F2" w:rsidRPr="00266B15">
        <w:rPr>
          <w:rFonts w:ascii="Arial" w:hAnsi="Arial" w:cs="Arial"/>
        </w:rPr>
        <w:t xml:space="preserve">Several studies have reported that plant extracts have antifungal activity against C. albicans </w:t>
      </w:r>
      <w:r w:rsidR="00E456F2" w:rsidRPr="00266B15">
        <w:rPr>
          <w:rFonts w:ascii="Arial" w:hAnsi="Arial" w:cs="Arial"/>
        </w:rPr>
        <w:fldChar w:fldCharType="begin"/>
      </w:r>
      <w:r w:rsidR="00961DD5" w:rsidRPr="00266B15">
        <w:rPr>
          <w:rFonts w:ascii="Arial" w:hAnsi="Arial" w:cs="Arial"/>
        </w:rPr>
        <w:instrText xml:space="preserve"> ADDIN ZOTERO_ITEM CSL_CITATION {"citationID":"6rNsyV2n","properties":{"formattedCitation":"(Mann, 2012; N\\uc0\\u8217{}do et al., 2024)","plainCitation":"(Mann, 2012; N’do et al., 2024)","noteIndex":0},"citationItems":[{"id":2266,"uris":["http://zotero.org/users/local/BtUUOrnL/items/DXY2URBW"],"itemData":{"id":2266,"type":"article-journal","abstract":"The crude methanol extracts of the two plants selected on the basis of ethnobotanical uses were phytochemically screened and found to contain saponins, steroids, tannins, terpenes, anthraquinone and carbohydrates. The crude methanolic extracts exhibited broad growth inhibition against Staphylococcus aureus, Streptococcus pyogenes, Bacillus subtilis, Salmonella typhi, Escherichia coli, Pseudomonas aeruginosa, Neisseria gonorrhoea and Candida albicans. The Minimum Inhibition Concentration (MIC) of Anogeissus leiocarpus methanol extract was found to be 0.4 mg/mL against S. aureus, St. pyogenes, P. aeruginosa and N. gonorrhoea, while B. subtilis has the MIC of 0.3 mg/mL. The rest of the microorganisms were resistant to Anogeissus leiocarpus methanol extract. Terminalia avicennioides methanol extract has the MIC of 0.4 mg/mL on S. aureus, S. typhi, E. coli, P. aeruginosa, N. gonorrhoea and C. albicans. Both S. pyogenes and B. subtilis have the MIC of 0.3 mg/mL against Terminalia avicennioides methanol extract. The rest of the microorganisms were resistant. Both Corynebacterium ulcerans and Klebsiella pneumoniae were resistant to the two plant extracts. The present investigation justify the use of these extracts in the treatment of infectious diseases particularly those caused by S. pyogenes having the highest zone of inhibition as well as the lowest MIC (0.3 mg/mL) for the two plants. Further purification of the most promising extracts is currently being undertaken.","container-title":"Journal of Microbiology Research","DOI":"10.5923/j.microbiology.20120201.02","ISSN":"2166-5885","issue":"1","journalAbbreviation":"MICROBIOLOGY","language":"en","page":"6-10","source":"DOI.org (Crossref)","title":"Evaluation of Antimicrobial Activity of Anogeissus leiocarpus and Terminalia avicennioides against Infectious Diseases Prevalent in Hospital Environments in Nigeria","volume":"2","author":[{"family":"Mann","given":"Abdullahi"}],"issued":{"date-parts":[["2012",8,31]]}}},{"id":2004,"uris":["http://zotero.org/users/local/BtUUOrnL/items/Q4UHPM85"],"itemData":{"id":2004,"type":"article-journal","container-title":"Heliyon","DOI":"10.1016/j.heliyon.2024.e40159","ISSN":"2405-8440","issue":"21","journalAbbreviation":"Heliyon","language":"English","note":"publisher: Elsevier","source":"www.cell.com","title":"Comparative phytochemical profile and biological activity of three Terminalia species as alternative antimicrobial therapies","URL":"https://www.cell.com/heliyon/abstract/S2405-8440(24)16190-7","volume":"10","author":[{"family":"N'do","given":"Jotham Yhi-pênê"},{"family":"Paré","given":"Dramane"},{"family":"Bondé","given":"Loyapin"},{"family":"Hilou","given":"Adama"}],"accessed":{"date-parts":[["2025",9,19]]},"issued":{"date-parts":[["2024",11,15]]}}}],"schema":"https://github.com/citation-style-language/schema/raw/master/csl-citation.json"} </w:instrText>
      </w:r>
      <w:r w:rsidR="00E456F2" w:rsidRPr="00266B15">
        <w:rPr>
          <w:rFonts w:ascii="Arial" w:hAnsi="Arial" w:cs="Arial"/>
        </w:rPr>
        <w:fldChar w:fldCharType="separate"/>
      </w:r>
      <w:r w:rsidR="00961DD5" w:rsidRPr="00266B15">
        <w:rPr>
          <w:rFonts w:ascii="Arial" w:hAnsi="Arial" w:cs="Arial"/>
          <w:szCs w:val="24"/>
        </w:rPr>
        <w:t>(Mann, 2012; N’do et al., 2024)</w:t>
      </w:r>
      <w:r w:rsidR="00E456F2" w:rsidRPr="00266B15">
        <w:rPr>
          <w:rFonts w:ascii="Arial" w:hAnsi="Arial" w:cs="Arial"/>
        </w:rPr>
        <w:fldChar w:fldCharType="end"/>
      </w:r>
      <w:r w:rsidR="00961DD5" w:rsidRPr="00266B15">
        <w:rPr>
          <w:rFonts w:ascii="Arial" w:hAnsi="Arial" w:cs="Arial"/>
        </w:rPr>
        <w:t xml:space="preserve">. Contrariwise, </w:t>
      </w:r>
      <w:r w:rsidR="001B5A25" w:rsidRPr="00266B15">
        <w:rPr>
          <w:rFonts w:ascii="Arial" w:hAnsi="Arial" w:cs="Arial"/>
        </w:rPr>
        <w:t xml:space="preserve">Aliyu-Amoo and Isa </w:t>
      </w:r>
      <w:r w:rsidR="001B5A25" w:rsidRPr="00266B15">
        <w:rPr>
          <w:rFonts w:ascii="Arial" w:hAnsi="Arial" w:cs="Arial"/>
        </w:rPr>
        <w:fldChar w:fldCharType="begin"/>
      </w:r>
      <w:r w:rsidR="001B5A25" w:rsidRPr="00266B15">
        <w:rPr>
          <w:rFonts w:ascii="Arial" w:hAnsi="Arial" w:cs="Arial"/>
        </w:rPr>
        <w:instrText xml:space="preserve"> ADDIN ZOTERO_ITEM CSL_CITATION {"citationID":"EqT8d580","properties":{"formattedCitation":"(2023)","plainCitation":"(2023)","noteIndex":0},"citationItems":[{"id":2267,"uris":["http://zotero.org/users/local/BtUUOrnL/items/MCM829JR"],"itemData":{"id":2267,"type":"article-journal","abstract":"Infectious diseases remain a major source of death and sickness globally. Their management entails use of antimicrobials. However, emergence of microbial resistance to these agents is on the increase. Inflammation and oxidative stress also accompany disease states. Newer agents to counter microbes, inflammation and oxidative stress are needed. Terminalia avicennioides Guill and Perr. is regularly exploited as a traditional remedy to numerous complaints, comprising infections, inflammation and enhancement of well-being. This study was intended to examine the effects of the root extracts and fractions of T. avicennioides against select bacteria and fungi as well as their anti-inflammatory and antioxidant potentials. Antimicrobial, anti-inflammatory and antioxidant assessments were conducted with broth microdilution technique, lipoxygenase and 2,2-diphenyl-1-picryhydrazyl (DPPH) assays, respectively.","container-title":"Bulletin of the National Research Centre","DOI":"10.1186/s42269-023-01112-y","ISSN":"2522-8307","issue":"1","journalAbbreviation":"Bull Natl Res Cent","language":"en","page":"137","source":"Springer Link","title":"Antimicrobial, antioxidant and anti-inflammatory activities of the root extracts and fractions of Terminalia avicennioides Guill. and Perr.","volume":"47","author":[{"family":"Aliyu-Amoo","given":"Hadiza"},{"family":"Isa","given":"Hamza Ibrahim"}],"issued":{"date-parts":[["2023",9,12]]}},"suppress-author":true}],"schema":"https://github.com/citation-style-language/schema/raw/master/csl-citation.json"} </w:instrText>
      </w:r>
      <w:r w:rsidR="001B5A25" w:rsidRPr="00266B15">
        <w:rPr>
          <w:rFonts w:ascii="Arial" w:hAnsi="Arial" w:cs="Arial"/>
        </w:rPr>
        <w:fldChar w:fldCharType="separate"/>
      </w:r>
      <w:r w:rsidR="001B5A25" w:rsidRPr="00266B15">
        <w:rPr>
          <w:rFonts w:ascii="Arial" w:hAnsi="Arial" w:cs="Arial"/>
        </w:rPr>
        <w:t>(2023)</w:t>
      </w:r>
      <w:r w:rsidR="001B5A25" w:rsidRPr="00266B15">
        <w:rPr>
          <w:rFonts w:ascii="Arial" w:hAnsi="Arial" w:cs="Arial"/>
        </w:rPr>
        <w:fldChar w:fldCharType="end"/>
      </w:r>
      <w:r w:rsidR="00151085" w:rsidRPr="00266B15">
        <w:rPr>
          <w:rFonts w:ascii="Arial" w:hAnsi="Arial" w:cs="Arial"/>
        </w:rPr>
        <w:t xml:space="preserve"> reported </w:t>
      </w:r>
      <w:r w:rsidR="009B4601" w:rsidRPr="00266B15">
        <w:rPr>
          <w:rFonts w:ascii="Arial" w:hAnsi="Arial" w:cs="Arial"/>
        </w:rPr>
        <w:t>in</w:t>
      </w:r>
      <w:r w:rsidR="00151085" w:rsidRPr="00266B15">
        <w:rPr>
          <w:rFonts w:ascii="Arial" w:hAnsi="Arial" w:cs="Arial"/>
        </w:rPr>
        <w:t xml:space="preserve">activity of T. </w:t>
      </w:r>
      <w:proofErr w:type="spellStart"/>
      <w:r w:rsidR="00151085" w:rsidRPr="00266B15">
        <w:rPr>
          <w:rFonts w:ascii="Arial" w:hAnsi="Arial" w:cs="Arial"/>
        </w:rPr>
        <w:t>avicenoides</w:t>
      </w:r>
      <w:proofErr w:type="spellEnd"/>
      <w:r w:rsidR="00151085" w:rsidRPr="00266B15">
        <w:rPr>
          <w:rFonts w:ascii="Arial" w:hAnsi="Arial" w:cs="Arial"/>
        </w:rPr>
        <w:t xml:space="preserve"> root extract against Candida albicans</w:t>
      </w:r>
      <w:r w:rsidR="009B4601" w:rsidRPr="00266B15">
        <w:rPr>
          <w:rFonts w:ascii="Arial" w:hAnsi="Arial" w:cs="Arial"/>
        </w:rPr>
        <w:t>.</w:t>
      </w:r>
    </w:p>
    <w:p w14:paraId="7975EA39" w14:textId="6F085891" w:rsidR="00A30F04" w:rsidRPr="00266B15" w:rsidRDefault="006E7F00" w:rsidP="00A30F04">
      <w:pPr>
        <w:spacing w:line="360" w:lineRule="auto"/>
        <w:jc w:val="both"/>
        <w:rPr>
          <w:rFonts w:ascii="Arial" w:hAnsi="Arial" w:cs="Arial"/>
          <w:bCs/>
          <w:iCs/>
        </w:rPr>
      </w:pPr>
      <w:r w:rsidRPr="00266B15">
        <w:rPr>
          <w:rFonts w:ascii="Arial" w:hAnsi="Arial" w:cs="Arial"/>
        </w:rPr>
        <w:t>The observed antimicrobial and antifungal activities could be attributed to the presence of bioactive compounds, notably polyphenolic compounds, which are well recognized for their antimicrobial and antifungal properties (</w:t>
      </w:r>
      <w:proofErr w:type="spellStart"/>
      <w:r w:rsidRPr="00266B15">
        <w:rPr>
          <w:rFonts w:ascii="Arial" w:hAnsi="Arial" w:cs="Arial"/>
        </w:rPr>
        <w:t>Górniak</w:t>
      </w:r>
      <w:proofErr w:type="spellEnd"/>
      <w:r w:rsidRPr="00266B15">
        <w:rPr>
          <w:rFonts w:ascii="Arial" w:hAnsi="Arial" w:cs="Arial"/>
        </w:rPr>
        <w:t xml:space="preserve"> et al., 2019)</w:t>
      </w:r>
      <w:r w:rsidR="00A30F04" w:rsidRPr="00266B15">
        <w:rPr>
          <w:rFonts w:ascii="Arial" w:hAnsi="Arial" w:cs="Arial"/>
        </w:rPr>
        <w:t>.</w:t>
      </w:r>
      <w:r w:rsidR="00A30F04" w:rsidRPr="00266B15">
        <w:rPr>
          <w:rFonts w:ascii="Arial" w:hAnsi="Arial" w:cs="Arial"/>
          <w:bCs/>
          <w:iCs/>
        </w:rPr>
        <w:t xml:space="preserve"> </w:t>
      </w:r>
      <w:r w:rsidR="00730C9B" w:rsidRPr="00266B15">
        <w:rPr>
          <w:rFonts w:ascii="Arial" w:hAnsi="Arial" w:cs="Arial"/>
          <w:bCs/>
          <w:iCs/>
        </w:rPr>
        <w:t xml:space="preserve">Bioactive plant compounds can make the development of antimicrobial resistance more difficult. Unlike synthetic antimicrobials that often act on a single molecular target, plant-derived metabolites usually act on multiple cellular pathways simultaneously, including membrane integrity, enzymatic systems, metabolic processes, and the regulation of virulence genes. This multitarget mode of action enhances both their microbicidal and </w:t>
      </w:r>
      <w:proofErr w:type="spellStart"/>
      <w:r w:rsidR="00730C9B" w:rsidRPr="00266B15">
        <w:rPr>
          <w:rFonts w:ascii="Arial" w:hAnsi="Arial" w:cs="Arial"/>
          <w:bCs/>
          <w:iCs/>
        </w:rPr>
        <w:t>microstatic</w:t>
      </w:r>
      <w:proofErr w:type="spellEnd"/>
      <w:r w:rsidR="00730C9B" w:rsidRPr="00266B15">
        <w:rPr>
          <w:rFonts w:ascii="Arial" w:hAnsi="Arial" w:cs="Arial"/>
          <w:bCs/>
          <w:iCs/>
        </w:rPr>
        <w:t xml:space="preserve"> effects, while significantly reducing the likelihood of resistance development</w:t>
      </w:r>
      <w:r w:rsidR="00E22517" w:rsidRPr="00266B15">
        <w:rPr>
          <w:rFonts w:ascii="Arial" w:hAnsi="Arial" w:cs="Arial"/>
          <w:bCs/>
          <w:iCs/>
        </w:rPr>
        <w:t xml:space="preserve"> </w:t>
      </w:r>
      <w:r w:rsidR="00E22517" w:rsidRPr="00266B15">
        <w:rPr>
          <w:rFonts w:ascii="Arial" w:hAnsi="Arial" w:cs="Arial"/>
          <w:bCs/>
          <w:iCs/>
        </w:rPr>
        <w:fldChar w:fldCharType="begin"/>
      </w:r>
      <w:r w:rsidR="00E22517" w:rsidRPr="00266B15">
        <w:rPr>
          <w:rFonts w:ascii="Arial" w:hAnsi="Arial" w:cs="Arial"/>
          <w:bCs/>
          <w:iCs/>
        </w:rPr>
        <w:instrText xml:space="preserve"> ADDIN ZOTERO_ITEM CSL_CITATION {"citationID":"89o2XaZO","properties":{"formattedCitation":"(Dantas et al., 2025)","plainCitation":"(Dantas et al., 2025)","noteIndex":0},"citationItems":[{"id":2261,"uris":["http://zotero.org/users/local/BtUUOrnL/items/ETFTYWV2"],"itemData":{"id":2261,"type":"article-journal","abstract":"The pathogenicity of Candida spp. poses a persistent challenge, particularly in hospital environments where these species proliferate and cause opportunistic infections. Many strains have developed resistance to commonly used antifungal agents, including azoles, polyenes, and echinocandins, complicating treatment, especially in immuno-compromised patients. Understanding the mechanisms underlying antifungal resistance, such as mutations in genes involved in ergosterol biosynthesis, efflux pump activity, and enzymatic pathways, is crucial for developing targeted interventions. Given the challenges associated with discovering new antifungal agents, medicinal plants have emerged as a promising source of bioactive compounds with anti-Candida activity. Secondary metabolites, including terpenoids, alkaloids, flavonoids, and tannins, exhibit various mechanisms of action, such as biofilm inhibition, membrane disruption, and oxidative stress induction. However, challenges such as extract standardization, and the lack of clinical studies continue to limit their therapeutic application. This review underscores the potential of medicinal plants as complementary or alternative strategies to conventional antifungal therapies, emphasizing the need for multidisciplinary research to overcome these hurdles and harness the therapeutic potential of natural products.","container-title":"Pharmaceutics","DOI":"10.3390/pharmaceutics17060687","ISSN":"1999-4923","issue":"6","language":"en","license":"http://creativecommons.org/licenses/by/3.0/","note":"publisher: Multidisciplinary Digital Publishing Institute","page":"687","source":"www.mdpi.com","title":"Bioactive Plant Compounds as Alternatives Against Antifungal Resistance in the Candida Strains","volume":"17","author":[{"family":"Dantas","given":"Thainá dos Santos"},{"family":"Machado","given":"Janaina Carla Barbosa"},{"family":"Ferreira","given":"Magda Rhayanny Assunção"},{"family":"Soares","given":"Luiz Alberto Lira"}],"issued":{"date-parts":[["2025",6]]}}}],"schema":"https://github.com/citation-style-language/schema/raw/master/csl-citation.json"} </w:instrText>
      </w:r>
      <w:r w:rsidR="00E22517" w:rsidRPr="00266B15">
        <w:rPr>
          <w:rFonts w:ascii="Arial" w:hAnsi="Arial" w:cs="Arial"/>
          <w:bCs/>
          <w:iCs/>
        </w:rPr>
        <w:fldChar w:fldCharType="separate"/>
      </w:r>
      <w:r w:rsidR="00E22517" w:rsidRPr="00266B15">
        <w:rPr>
          <w:rFonts w:ascii="Arial" w:hAnsi="Arial" w:cs="Arial"/>
        </w:rPr>
        <w:t>(Dantas et al., 2025)</w:t>
      </w:r>
      <w:r w:rsidR="00E22517" w:rsidRPr="00266B15">
        <w:rPr>
          <w:rFonts w:ascii="Arial" w:hAnsi="Arial" w:cs="Arial"/>
          <w:bCs/>
          <w:iCs/>
        </w:rPr>
        <w:fldChar w:fldCharType="end"/>
      </w:r>
      <w:r w:rsidR="00E22517" w:rsidRPr="00266B15">
        <w:rPr>
          <w:rFonts w:ascii="Arial" w:hAnsi="Arial" w:cs="Arial"/>
          <w:bCs/>
          <w:iCs/>
        </w:rPr>
        <w:t>.</w:t>
      </w:r>
    </w:p>
    <w:bookmarkEnd w:id="1"/>
    <w:p w14:paraId="0C686226" w14:textId="77777777" w:rsidR="00A30F04" w:rsidRPr="00266B15" w:rsidRDefault="00A30F04" w:rsidP="00A30F04">
      <w:pPr>
        <w:spacing w:line="360" w:lineRule="auto"/>
        <w:jc w:val="both"/>
        <w:rPr>
          <w:rFonts w:ascii="Arial" w:hAnsi="Arial" w:cs="Arial"/>
          <w:bCs/>
          <w:iCs/>
        </w:rPr>
      </w:pPr>
    </w:p>
    <w:p w14:paraId="4C185F15" w14:textId="2D299ED8" w:rsidR="006E7F00" w:rsidRPr="00266B15" w:rsidRDefault="00A30F04" w:rsidP="00A30F04">
      <w:pPr>
        <w:spacing w:line="360" w:lineRule="auto"/>
        <w:jc w:val="both"/>
        <w:rPr>
          <w:rFonts w:ascii="Arial" w:hAnsi="Arial" w:cs="Arial"/>
          <w:bCs/>
          <w:iCs/>
        </w:rPr>
      </w:pPr>
      <w:r w:rsidRPr="00266B15">
        <w:rPr>
          <w:rFonts w:ascii="Arial" w:hAnsi="Arial" w:cs="Arial"/>
          <w:bCs/>
          <w:iCs/>
        </w:rPr>
        <w:t>T</w:t>
      </w:r>
      <w:r w:rsidR="006E7F00" w:rsidRPr="00266B15">
        <w:rPr>
          <w:rFonts w:ascii="Arial" w:hAnsi="Arial" w:cs="Arial"/>
          <w:bCs/>
          <w:iCs/>
        </w:rPr>
        <w:t xml:space="preserve">able </w:t>
      </w:r>
      <w:r w:rsidR="006729E7" w:rsidRPr="00266B15">
        <w:rPr>
          <w:rFonts w:ascii="Arial" w:hAnsi="Arial" w:cs="Arial"/>
          <w:bCs/>
          <w:iCs/>
        </w:rPr>
        <w:t>6</w:t>
      </w:r>
      <w:r w:rsidR="006E7F00" w:rsidRPr="00266B15">
        <w:rPr>
          <w:rFonts w:ascii="Arial" w:hAnsi="Arial" w:cs="Arial"/>
          <w:bCs/>
          <w:iCs/>
        </w:rPr>
        <w:t>: Diameters (mm) of inhibition of some strains.</w:t>
      </w:r>
    </w:p>
    <w:tbl>
      <w:tblPr>
        <w:tblStyle w:val="ListTable6Colorful"/>
        <w:tblW w:w="0" w:type="auto"/>
        <w:tblLook w:val="04A0" w:firstRow="1" w:lastRow="0" w:firstColumn="1" w:lastColumn="0" w:noHBand="0" w:noVBand="1"/>
      </w:tblPr>
      <w:tblGrid>
        <w:gridCol w:w="901"/>
        <w:gridCol w:w="1083"/>
        <w:gridCol w:w="761"/>
        <w:gridCol w:w="752"/>
        <w:gridCol w:w="1008"/>
        <w:gridCol w:w="1090"/>
        <w:gridCol w:w="752"/>
        <w:gridCol w:w="1050"/>
        <w:gridCol w:w="811"/>
      </w:tblGrid>
      <w:tr w:rsidR="006E7F00" w:rsidRPr="00266B15" w14:paraId="2745D416" w14:textId="77777777" w:rsidTr="00877D7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E047F9F" w14:textId="77777777" w:rsidR="006E7F00" w:rsidRPr="00266B15" w:rsidRDefault="006E7F00" w:rsidP="003C4853">
            <w:pPr>
              <w:spacing w:after="160" w:line="360" w:lineRule="auto"/>
              <w:jc w:val="both"/>
              <w:rPr>
                <w:rFonts w:ascii="Arial" w:hAnsi="Arial" w:cs="Arial"/>
                <w:iCs/>
              </w:rPr>
            </w:pPr>
            <w:r w:rsidRPr="00266B15">
              <w:rPr>
                <w:rFonts w:ascii="Arial" w:hAnsi="Arial" w:cs="Arial"/>
                <w:iCs/>
              </w:rPr>
              <w:t>Types of extracts</w:t>
            </w:r>
          </w:p>
        </w:tc>
        <w:tc>
          <w:tcPr>
            <w:tcW w:w="0" w:type="auto"/>
            <w:vMerge w:val="restart"/>
          </w:tcPr>
          <w:p w14:paraId="6DA0CC2D"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Reference strains</w:t>
            </w:r>
          </w:p>
        </w:tc>
        <w:tc>
          <w:tcPr>
            <w:tcW w:w="0" w:type="auto"/>
          </w:tcPr>
          <w:p w14:paraId="4CC5DD3F"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E. faecalis</w:t>
            </w:r>
          </w:p>
        </w:tc>
        <w:tc>
          <w:tcPr>
            <w:tcW w:w="0" w:type="auto"/>
          </w:tcPr>
          <w:p w14:paraId="5DC5A050"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S. aureus</w:t>
            </w:r>
          </w:p>
        </w:tc>
        <w:tc>
          <w:tcPr>
            <w:tcW w:w="0" w:type="auto"/>
          </w:tcPr>
          <w:p w14:paraId="01A40285"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P. aeruginosa</w:t>
            </w:r>
          </w:p>
        </w:tc>
        <w:tc>
          <w:tcPr>
            <w:tcW w:w="0" w:type="auto"/>
          </w:tcPr>
          <w:p w14:paraId="0C01598C"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K. pneumoniae</w:t>
            </w:r>
          </w:p>
        </w:tc>
        <w:tc>
          <w:tcPr>
            <w:tcW w:w="0" w:type="auto"/>
          </w:tcPr>
          <w:p w14:paraId="2AD5104D"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E. coli</w:t>
            </w:r>
          </w:p>
        </w:tc>
        <w:tc>
          <w:tcPr>
            <w:tcW w:w="0" w:type="auto"/>
          </w:tcPr>
          <w:p w14:paraId="4ADF210B"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 xml:space="preserve">S. </w:t>
            </w:r>
            <w:proofErr w:type="spellStart"/>
            <w:r w:rsidRPr="00266B15">
              <w:rPr>
                <w:rFonts w:ascii="Arial" w:hAnsi="Arial" w:cs="Arial"/>
                <w:i/>
                <w:iCs/>
              </w:rPr>
              <w:t>épidermidis</w:t>
            </w:r>
            <w:proofErr w:type="spellEnd"/>
          </w:p>
        </w:tc>
        <w:tc>
          <w:tcPr>
            <w:tcW w:w="0" w:type="auto"/>
            <w:vMerge w:val="restart"/>
          </w:tcPr>
          <w:p w14:paraId="6D0374A1"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C. albicans</w:t>
            </w:r>
          </w:p>
          <w:p w14:paraId="389E2D8A" w14:textId="77777777" w:rsidR="006E7F00" w:rsidRPr="00266B15"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p>
        </w:tc>
      </w:tr>
      <w:tr w:rsidR="00877D74" w:rsidRPr="00266B15" w14:paraId="63DC35FE" w14:textId="77777777" w:rsidTr="00877D7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vMerge/>
          </w:tcPr>
          <w:p w14:paraId="3CE61860" w14:textId="77777777" w:rsidR="006E7F00" w:rsidRPr="00266B15" w:rsidRDefault="006E7F00" w:rsidP="003C4853">
            <w:pPr>
              <w:spacing w:line="360" w:lineRule="auto"/>
              <w:jc w:val="both"/>
              <w:rPr>
                <w:rFonts w:ascii="Arial" w:hAnsi="Arial" w:cs="Arial"/>
                <w:iCs/>
              </w:rPr>
            </w:pPr>
          </w:p>
        </w:tc>
        <w:tc>
          <w:tcPr>
            <w:tcW w:w="0" w:type="auto"/>
            <w:vMerge/>
          </w:tcPr>
          <w:p w14:paraId="6241E02F"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tc>
        <w:tc>
          <w:tcPr>
            <w:tcW w:w="0" w:type="auto"/>
            <w:gridSpan w:val="4"/>
          </w:tcPr>
          <w:p w14:paraId="14424597" w14:textId="77777777" w:rsidR="006E7F00" w:rsidRPr="00266B15" w:rsidRDefault="006E7F00" w:rsidP="003C4853">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66B15">
              <w:rPr>
                <w:rFonts w:ascii="Arial" w:hAnsi="Arial" w:cs="Arial"/>
                <w:iCs/>
              </w:rPr>
              <w:t>Gram +</w:t>
            </w:r>
          </w:p>
        </w:tc>
        <w:tc>
          <w:tcPr>
            <w:tcW w:w="0" w:type="auto"/>
            <w:gridSpan w:val="2"/>
          </w:tcPr>
          <w:p w14:paraId="4D747584"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66B15">
              <w:rPr>
                <w:rFonts w:ascii="Arial" w:hAnsi="Arial" w:cs="Arial"/>
                <w:iCs/>
              </w:rPr>
              <w:t>Gram-</w:t>
            </w:r>
          </w:p>
        </w:tc>
        <w:tc>
          <w:tcPr>
            <w:tcW w:w="0" w:type="auto"/>
            <w:vMerge/>
          </w:tcPr>
          <w:p w14:paraId="07CD239F" w14:textId="77777777" w:rsidR="006E7F00" w:rsidRPr="00266B15"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tc>
      </w:tr>
      <w:tr w:rsidR="006E7F00" w:rsidRPr="00266B15" w14:paraId="74C14DF5" w14:textId="77777777" w:rsidTr="00877D74">
        <w:tc>
          <w:tcPr>
            <w:cnfStyle w:val="001000000000" w:firstRow="0" w:lastRow="0" w:firstColumn="1" w:lastColumn="0" w:oddVBand="0" w:evenVBand="0" w:oddHBand="0" w:evenHBand="0" w:firstRowFirstColumn="0" w:firstRowLastColumn="0" w:lastRowFirstColumn="0" w:lastRowLastColumn="0"/>
            <w:tcW w:w="0" w:type="auto"/>
            <w:vMerge w:val="restart"/>
          </w:tcPr>
          <w:p w14:paraId="12104A10" w14:textId="77777777" w:rsidR="006E7F00" w:rsidRPr="00266B15" w:rsidRDefault="006E7F00" w:rsidP="003C4853">
            <w:pPr>
              <w:spacing w:after="160" w:line="360" w:lineRule="auto"/>
              <w:jc w:val="center"/>
              <w:rPr>
                <w:rFonts w:ascii="Arial" w:hAnsi="Arial" w:cs="Arial"/>
                <w:iCs/>
              </w:rPr>
            </w:pPr>
            <w:r w:rsidRPr="00266B15">
              <w:rPr>
                <w:rFonts w:ascii="Arial" w:hAnsi="Arial" w:cs="Arial"/>
                <w:iCs/>
              </w:rPr>
              <w:t>Ethanolic</w:t>
            </w:r>
          </w:p>
        </w:tc>
        <w:tc>
          <w:tcPr>
            <w:tcW w:w="0" w:type="auto"/>
          </w:tcPr>
          <w:p w14:paraId="15F5F3CC"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 xml:space="preserve">A. </w:t>
            </w:r>
            <w:proofErr w:type="spellStart"/>
            <w:r w:rsidRPr="00266B15">
              <w:rPr>
                <w:rFonts w:ascii="Arial" w:hAnsi="Arial" w:cs="Arial"/>
                <w:i/>
                <w:iCs/>
              </w:rPr>
              <w:t>mexicana</w:t>
            </w:r>
            <w:proofErr w:type="spellEnd"/>
          </w:p>
        </w:tc>
        <w:tc>
          <w:tcPr>
            <w:tcW w:w="0" w:type="auto"/>
          </w:tcPr>
          <w:p w14:paraId="1796A47D"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09311EEA"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3C7B9FC5"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6DAD1B36"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24F9CDDF"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1E5BA32E"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3C8FD3E8"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tc>
      </w:tr>
      <w:tr w:rsidR="009C0C56" w:rsidRPr="00266B15" w14:paraId="5624EC35"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6D8B8AD" w14:textId="77777777" w:rsidR="006E7F00" w:rsidRPr="00266B15" w:rsidRDefault="006E7F00" w:rsidP="003C4853">
            <w:pPr>
              <w:spacing w:after="160" w:line="360" w:lineRule="auto"/>
              <w:jc w:val="center"/>
              <w:rPr>
                <w:rFonts w:ascii="Arial" w:hAnsi="Arial" w:cs="Arial"/>
                <w:iCs/>
              </w:rPr>
            </w:pPr>
          </w:p>
        </w:tc>
        <w:tc>
          <w:tcPr>
            <w:tcW w:w="0" w:type="auto"/>
          </w:tcPr>
          <w:p w14:paraId="33318450"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66B15">
              <w:rPr>
                <w:rFonts w:ascii="Arial" w:hAnsi="Arial" w:cs="Arial"/>
                <w:i/>
                <w:iCs/>
              </w:rPr>
              <w:t xml:space="preserve">T. </w:t>
            </w:r>
            <w:proofErr w:type="spellStart"/>
            <w:r w:rsidRPr="00266B15">
              <w:rPr>
                <w:rFonts w:ascii="Arial" w:hAnsi="Arial" w:cs="Arial"/>
                <w:i/>
                <w:iCs/>
              </w:rPr>
              <w:t>avicennoides</w:t>
            </w:r>
            <w:proofErr w:type="spellEnd"/>
          </w:p>
        </w:tc>
        <w:tc>
          <w:tcPr>
            <w:tcW w:w="0" w:type="auto"/>
          </w:tcPr>
          <w:p w14:paraId="0DADC523"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12±0,66</w:t>
            </w:r>
          </w:p>
        </w:tc>
        <w:tc>
          <w:tcPr>
            <w:tcW w:w="0" w:type="auto"/>
          </w:tcPr>
          <w:p w14:paraId="5E707B8C"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14±0</w:t>
            </w:r>
          </w:p>
        </w:tc>
        <w:tc>
          <w:tcPr>
            <w:tcW w:w="0" w:type="auto"/>
          </w:tcPr>
          <w:p w14:paraId="1C408DAB"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12,33±1,77</w:t>
            </w:r>
          </w:p>
        </w:tc>
        <w:tc>
          <w:tcPr>
            <w:tcW w:w="0" w:type="auto"/>
          </w:tcPr>
          <w:p w14:paraId="73878A7F"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10±0,44</w:t>
            </w:r>
          </w:p>
        </w:tc>
        <w:tc>
          <w:tcPr>
            <w:tcW w:w="0" w:type="auto"/>
          </w:tcPr>
          <w:p w14:paraId="31D91EE0"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12± 0</w:t>
            </w:r>
          </w:p>
        </w:tc>
        <w:tc>
          <w:tcPr>
            <w:tcW w:w="0" w:type="auto"/>
          </w:tcPr>
          <w:p w14:paraId="71825136"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16±1,55</w:t>
            </w:r>
          </w:p>
        </w:tc>
        <w:tc>
          <w:tcPr>
            <w:tcW w:w="0" w:type="auto"/>
          </w:tcPr>
          <w:p w14:paraId="2F727CA7"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12±0,44</w:t>
            </w:r>
          </w:p>
        </w:tc>
      </w:tr>
      <w:tr w:rsidR="006E7F00" w:rsidRPr="00266B15" w14:paraId="41C84AD1" w14:textId="77777777" w:rsidTr="00877D74">
        <w:tc>
          <w:tcPr>
            <w:cnfStyle w:val="001000000000" w:firstRow="0" w:lastRow="0" w:firstColumn="1" w:lastColumn="0" w:oddVBand="0" w:evenVBand="0" w:oddHBand="0" w:evenHBand="0" w:firstRowFirstColumn="0" w:firstRowLastColumn="0" w:lastRowFirstColumn="0" w:lastRowLastColumn="0"/>
            <w:tcW w:w="0" w:type="auto"/>
            <w:vMerge/>
          </w:tcPr>
          <w:p w14:paraId="6186896A" w14:textId="77777777" w:rsidR="006E7F00" w:rsidRPr="00266B15" w:rsidRDefault="006E7F00" w:rsidP="003C4853">
            <w:pPr>
              <w:spacing w:after="160" w:line="360" w:lineRule="auto"/>
              <w:jc w:val="center"/>
              <w:rPr>
                <w:rFonts w:ascii="Arial" w:hAnsi="Arial" w:cs="Arial"/>
                <w:iCs/>
              </w:rPr>
            </w:pPr>
          </w:p>
        </w:tc>
        <w:tc>
          <w:tcPr>
            <w:tcW w:w="0" w:type="auto"/>
          </w:tcPr>
          <w:p w14:paraId="01529163"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 xml:space="preserve">T. </w:t>
            </w:r>
            <w:proofErr w:type="spellStart"/>
            <w:r w:rsidRPr="00266B15">
              <w:rPr>
                <w:rFonts w:ascii="Arial" w:hAnsi="Arial" w:cs="Arial"/>
                <w:i/>
                <w:iCs/>
              </w:rPr>
              <w:t>macroptera</w:t>
            </w:r>
            <w:proofErr w:type="spellEnd"/>
          </w:p>
        </w:tc>
        <w:tc>
          <w:tcPr>
            <w:tcW w:w="0" w:type="auto"/>
          </w:tcPr>
          <w:p w14:paraId="57A02954"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10±0,44</w:t>
            </w:r>
          </w:p>
        </w:tc>
        <w:tc>
          <w:tcPr>
            <w:tcW w:w="0" w:type="auto"/>
          </w:tcPr>
          <w:p w14:paraId="365E555B"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11±0</w:t>
            </w:r>
          </w:p>
        </w:tc>
        <w:tc>
          <w:tcPr>
            <w:tcW w:w="0" w:type="auto"/>
          </w:tcPr>
          <w:p w14:paraId="5BFD6131"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10±0,66</w:t>
            </w:r>
          </w:p>
        </w:tc>
        <w:tc>
          <w:tcPr>
            <w:tcW w:w="0" w:type="auto"/>
          </w:tcPr>
          <w:p w14:paraId="22868C8A"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9±0,44</w:t>
            </w:r>
          </w:p>
        </w:tc>
        <w:tc>
          <w:tcPr>
            <w:tcW w:w="0" w:type="auto"/>
          </w:tcPr>
          <w:p w14:paraId="1ECA47A7"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10±0,88</w:t>
            </w:r>
          </w:p>
        </w:tc>
        <w:tc>
          <w:tcPr>
            <w:tcW w:w="0" w:type="auto"/>
          </w:tcPr>
          <w:p w14:paraId="512B8A03"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9±0,66</w:t>
            </w:r>
          </w:p>
        </w:tc>
        <w:tc>
          <w:tcPr>
            <w:tcW w:w="0" w:type="auto"/>
          </w:tcPr>
          <w:p w14:paraId="0E5A85B6"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8±0,44</w:t>
            </w:r>
          </w:p>
        </w:tc>
      </w:tr>
      <w:tr w:rsidR="009C0C56" w:rsidRPr="00266B15" w14:paraId="5E723646"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EB1A81" w14:textId="77777777" w:rsidR="006E7F00" w:rsidRPr="00266B15" w:rsidRDefault="006E7F00" w:rsidP="003C4853">
            <w:pPr>
              <w:spacing w:after="160" w:line="360" w:lineRule="auto"/>
              <w:jc w:val="center"/>
              <w:rPr>
                <w:rFonts w:ascii="Arial" w:hAnsi="Arial" w:cs="Arial"/>
                <w:iCs/>
              </w:rPr>
            </w:pPr>
            <w:r w:rsidRPr="00266B15">
              <w:rPr>
                <w:rFonts w:ascii="Arial" w:hAnsi="Arial" w:cs="Arial"/>
                <w:iCs/>
              </w:rPr>
              <w:lastRenderedPageBreak/>
              <w:t>Hydro ethanolic</w:t>
            </w:r>
          </w:p>
        </w:tc>
        <w:tc>
          <w:tcPr>
            <w:tcW w:w="0" w:type="auto"/>
          </w:tcPr>
          <w:p w14:paraId="456493E4"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66B15">
              <w:rPr>
                <w:rFonts w:ascii="Arial" w:hAnsi="Arial" w:cs="Arial"/>
                <w:i/>
                <w:iCs/>
              </w:rPr>
              <w:t xml:space="preserve">A. </w:t>
            </w:r>
            <w:proofErr w:type="spellStart"/>
            <w:r w:rsidRPr="00266B15">
              <w:rPr>
                <w:rFonts w:ascii="Arial" w:hAnsi="Arial" w:cs="Arial"/>
                <w:i/>
                <w:iCs/>
              </w:rPr>
              <w:t>mexicana</w:t>
            </w:r>
            <w:proofErr w:type="spellEnd"/>
          </w:p>
        </w:tc>
        <w:tc>
          <w:tcPr>
            <w:tcW w:w="0" w:type="auto"/>
          </w:tcPr>
          <w:p w14:paraId="3E8A612D"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5DBEE2E6"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7F136C70"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2734118E"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13923AA6"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6BE09F69"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23506653"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r>
      <w:tr w:rsidR="006E7F00" w:rsidRPr="00266B15" w14:paraId="0B9D0742" w14:textId="77777777" w:rsidTr="00877D74">
        <w:tc>
          <w:tcPr>
            <w:cnfStyle w:val="001000000000" w:firstRow="0" w:lastRow="0" w:firstColumn="1" w:lastColumn="0" w:oddVBand="0" w:evenVBand="0" w:oddHBand="0" w:evenHBand="0" w:firstRowFirstColumn="0" w:firstRowLastColumn="0" w:lastRowFirstColumn="0" w:lastRowLastColumn="0"/>
            <w:tcW w:w="0" w:type="auto"/>
            <w:vMerge/>
          </w:tcPr>
          <w:p w14:paraId="5E98F724" w14:textId="77777777" w:rsidR="006E7F00" w:rsidRPr="00266B15" w:rsidRDefault="006E7F00" w:rsidP="003C4853">
            <w:pPr>
              <w:spacing w:after="160" w:line="360" w:lineRule="auto"/>
              <w:jc w:val="center"/>
              <w:rPr>
                <w:rFonts w:ascii="Arial" w:hAnsi="Arial" w:cs="Arial"/>
                <w:iCs/>
              </w:rPr>
            </w:pPr>
          </w:p>
        </w:tc>
        <w:tc>
          <w:tcPr>
            <w:tcW w:w="0" w:type="auto"/>
          </w:tcPr>
          <w:p w14:paraId="2D4E0682"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
                <w:iCs/>
              </w:rPr>
              <w:t xml:space="preserve">T. </w:t>
            </w:r>
            <w:proofErr w:type="spellStart"/>
            <w:r w:rsidRPr="00266B15">
              <w:rPr>
                <w:rFonts w:ascii="Arial" w:hAnsi="Arial" w:cs="Arial"/>
                <w:i/>
                <w:iCs/>
              </w:rPr>
              <w:t>avicennoides</w:t>
            </w:r>
            <w:proofErr w:type="spellEnd"/>
          </w:p>
        </w:tc>
        <w:tc>
          <w:tcPr>
            <w:tcW w:w="0" w:type="auto"/>
          </w:tcPr>
          <w:p w14:paraId="255C6851"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10±0,44</w:t>
            </w:r>
          </w:p>
        </w:tc>
        <w:tc>
          <w:tcPr>
            <w:tcW w:w="0" w:type="auto"/>
          </w:tcPr>
          <w:p w14:paraId="651AC304"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11±0,44</w:t>
            </w:r>
          </w:p>
        </w:tc>
        <w:tc>
          <w:tcPr>
            <w:tcW w:w="0" w:type="auto"/>
          </w:tcPr>
          <w:p w14:paraId="4EB85741"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11±0,44</w:t>
            </w:r>
          </w:p>
        </w:tc>
        <w:tc>
          <w:tcPr>
            <w:tcW w:w="0" w:type="auto"/>
          </w:tcPr>
          <w:p w14:paraId="10F83A8C"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12±0,66</w:t>
            </w:r>
          </w:p>
        </w:tc>
        <w:tc>
          <w:tcPr>
            <w:tcW w:w="0" w:type="auto"/>
          </w:tcPr>
          <w:p w14:paraId="1DEACFD9"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13±1,11</w:t>
            </w:r>
          </w:p>
        </w:tc>
        <w:tc>
          <w:tcPr>
            <w:tcW w:w="0" w:type="auto"/>
          </w:tcPr>
          <w:p w14:paraId="54347A25"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17±1,77</w:t>
            </w:r>
          </w:p>
        </w:tc>
        <w:tc>
          <w:tcPr>
            <w:tcW w:w="0" w:type="auto"/>
          </w:tcPr>
          <w:p w14:paraId="7C3EADC3" w14:textId="77777777" w:rsidR="006E7F00" w:rsidRPr="00266B15"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6±0,44</w:t>
            </w:r>
          </w:p>
        </w:tc>
      </w:tr>
      <w:tr w:rsidR="009C0C56" w:rsidRPr="00266B15" w14:paraId="62B1DE03"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22C145E" w14:textId="77777777" w:rsidR="006E7F00" w:rsidRPr="00266B15" w:rsidRDefault="006E7F00" w:rsidP="003C4853">
            <w:pPr>
              <w:spacing w:after="160" w:line="360" w:lineRule="auto"/>
              <w:jc w:val="center"/>
              <w:rPr>
                <w:rFonts w:ascii="Arial" w:hAnsi="Arial" w:cs="Arial"/>
                <w:iCs/>
              </w:rPr>
            </w:pPr>
          </w:p>
        </w:tc>
        <w:tc>
          <w:tcPr>
            <w:tcW w:w="0" w:type="auto"/>
          </w:tcPr>
          <w:p w14:paraId="10162621"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66B15">
              <w:rPr>
                <w:rFonts w:ascii="Arial" w:hAnsi="Arial" w:cs="Arial"/>
                <w:i/>
                <w:iCs/>
              </w:rPr>
              <w:t xml:space="preserve">T. </w:t>
            </w:r>
            <w:proofErr w:type="spellStart"/>
            <w:r w:rsidRPr="00266B15">
              <w:rPr>
                <w:rFonts w:ascii="Arial" w:hAnsi="Arial" w:cs="Arial"/>
                <w:i/>
                <w:iCs/>
              </w:rPr>
              <w:t>macroptera</w:t>
            </w:r>
            <w:proofErr w:type="spellEnd"/>
          </w:p>
        </w:tc>
        <w:tc>
          <w:tcPr>
            <w:tcW w:w="0" w:type="auto"/>
          </w:tcPr>
          <w:p w14:paraId="3CC17A82"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10±0,44</w:t>
            </w:r>
          </w:p>
        </w:tc>
        <w:tc>
          <w:tcPr>
            <w:tcW w:w="0" w:type="auto"/>
          </w:tcPr>
          <w:p w14:paraId="6585A1BE"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13±1,11</w:t>
            </w:r>
          </w:p>
        </w:tc>
        <w:tc>
          <w:tcPr>
            <w:tcW w:w="0" w:type="auto"/>
          </w:tcPr>
          <w:p w14:paraId="529AF207"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w:t>
            </w:r>
          </w:p>
        </w:tc>
        <w:tc>
          <w:tcPr>
            <w:tcW w:w="0" w:type="auto"/>
          </w:tcPr>
          <w:p w14:paraId="1D43E7FD"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11±0,66</w:t>
            </w:r>
          </w:p>
        </w:tc>
        <w:tc>
          <w:tcPr>
            <w:tcW w:w="0" w:type="auto"/>
          </w:tcPr>
          <w:p w14:paraId="51278889"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11±0,88</w:t>
            </w:r>
          </w:p>
        </w:tc>
        <w:tc>
          <w:tcPr>
            <w:tcW w:w="0" w:type="auto"/>
          </w:tcPr>
          <w:p w14:paraId="74ADCF60"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11,33±1,11</w:t>
            </w:r>
          </w:p>
        </w:tc>
        <w:tc>
          <w:tcPr>
            <w:tcW w:w="0" w:type="auto"/>
          </w:tcPr>
          <w:p w14:paraId="4AF98D63" w14:textId="77777777" w:rsidR="006E7F00" w:rsidRPr="00266B15"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266B15">
              <w:rPr>
                <w:rFonts w:ascii="Arial" w:hAnsi="Arial" w:cs="Arial"/>
                <w:iCs/>
              </w:rPr>
              <w:t>7±0,44</w:t>
            </w:r>
          </w:p>
        </w:tc>
      </w:tr>
      <w:tr w:rsidR="00CB6A63" w:rsidRPr="00266B15" w14:paraId="498D3D71" w14:textId="77777777" w:rsidTr="00877D74">
        <w:tc>
          <w:tcPr>
            <w:cnfStyle w:val="001000000000" w:firstRow="0" w:lastRow="0" w:firstColumn="1" w:lastColumn="0" w:oddVBand="0" w:evenVBand="0" w:oddHBand="0" w:evenHBand="0" w:firstRowFirstColumn="0" w:firstRowLastColumn="0" w:lastRowFirstColumn="0" w:lastRowLastColumn="0"/>
            <w:tcW w:w="0" w:type="auto"/>
          </w:tcPr>
          <w:p w14:paraId="2145FF31" w14:textId="219611DB" w:rsidR="00CB6A63" w:rsidRPr="00266B15" w:rsidRDefault="00CB6A63" w:rsidP="00CB6A63">
            <w:pPr>
              <w:spacing w:after="160" w:line="360" w:lineRule="auto"/>
              <w:jc w:val="center"/>
              <w:rPr>
                <w:rFonts w:ascii="Arial" w:hAnsi="Arial" w:cs="Arial"/>
                <w:iCs/>
              </w:rPr>
            </w:pPr>
            <w:r w:rsidRPr="00266B15">
              <w:rPr>
                <w:rFonts w:ascii="Arial" w:hAnsi="Arial" w:cs="Arial"/>
                <w:iCs/>
              </w:rPr>
              <w:t>Antibiotic</w:t>
            </w:r>
          </w:p>
        </w:tc>
        <w:tc>
          <w:tcPr>
            <w:tcW w:w="0" w:type="auto"/>
          </w:tcPr>
          <w:p w14:paraId="7265A0F6"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roofErr w:type="spellStart"/>
            <w:r w:rsidRPr="00266B15">
              <w:rPr>
                <w:rFonts w:ascii="Arial" w:hAnsi="Arial" w:cs="Arial"/>
                <w:iCs/>
              </w:rPr>
              <w:t>Ampicilline</w:t>
            </w:r>
            <w:proofErr w:type="spellEnd"/>
          </w:p>
          <w:p w14:paraId="3FDCF7A7"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roofErr w:type="spellStart"/>
            <w:r w:rsidRPr="00266B15">
              <w:rPr>
                <w:rFonts w:ascii="Arial" w:hAnsi="Arial" w:cs="Arial"/>
                <w:iCs/>
              </w:rPr>
              <w:t>Ciprofaxine</w:t>
            </w:r>
            <w:proofErr w:type="spellEnd"/>
          </w:p>
          <w:p w14:paraId="155BAFA1" w14:textId="1B1585EE"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66B15">
              <w:rPr>
                <w:rFonts w:ascii="Arial" w:hAnsi="Arial" w:cs="Arial"/>
                <w:iCs/>
              </w:rPr>
              <w:t>Fluconazole</w:t>
            </w:r>
          </w:p>
        </w:tc>
        <w:tc>
          <w:tcPr>
            <w:tcW w:w="0" w:type="auto"/>
          </w:tcPr>
          <w:p w14:paraId="23BFC125"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25±0,2</w:t>
            </w:r>
          </w:p>
          <w:p w14:paraId="0E617F70"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30±0,1</w:t>
            </w:r>
          </w:p>
          <w:p w14:paraId="4D629ABE"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796D6922"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5AD7478F"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17±03</w:t>
            </w:r>
          </w:p>
          <w:p w14:paraId="0FE11F4E"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15±00</w:t>
            </w:r>
          </w:p>
          <w:p w14:paraId="4A7AAB75"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 xml:space="preserve"> TN</w:t>
            </w:r>
          </w:p>
          <w:p w14:paraId="75673FA6"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5F108337"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20±0</w:t>
            </w:r>
          </w:p>
          <w:p w14:paraId="1786BB69"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26D06A3C"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1501BEB7"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24885764"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w:t>
            </w:r>
          </w:p>
          <w:p w14:paraId="1D8D57C5"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20±0</w:t>
            </w:r>
          </w:p>
          <w:p w14:paraId="526CDC22"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7EFE2C3F"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3545EDB4"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6±0</w:t>
            </w:r>
          </w:p>
          <w:p w14:paraId="56BCD4B3"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25±0</w:t>
            </w:r>
          </w:p>
          <w:p w14:paraId="2538CDB7"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77F46ECF"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0F38B488"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15±1,5</w:t>
            </w:r>
          </w:p>
          <w:p w14:paraId="774BFA33" w14:textId="0D729116"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17±08</w:t>
            </w:r>
          </w:p>
        </w:tc>
        <w:tc>
          <w:tcPr>
            <w:tcW w:w="0" w:type="auto"/>
          </w:tcPr>
          <w:p w14:paraId="7F34BDFF"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2569EB01" w14:textId="77777777"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TN</w:t>
            </w:r>
          </w:p>
          <w:p w14:paraId="38CA723C" w14:textId="6B695981" w:rsidR="00CB6A63" w:rsidRPr="00266B15"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266B15">
              <w:rPr>
                <w:rFonts w:ascii="Arial" w:hAnsi="Arial" w:cs="Arial"/>
                <w:iCs/>
              </w:rPr>
              <w:t>30±0,33</w:t>
            </w:r>
          </w:p>
        </w:tc>
      </w:tr>
    </w:tbl>
    <w:p w14:paraId="5C9F0B21" w14:textId="77777777" w:rsidR="006E7F00" w:rsidRPr="00266B15" w:rsidRDefault="006E7F00" w:rsidP="006E7F00">
      <w:pPr>
        <w:rPr>
          <w:rFonts w:ascii="Arial" w:hAnsi="Arial" w:cs="Arial"/>
          <w:iCs/>
        </w:rPr>
      </w:pPr>
    </w:p>
    <w:p w14:paraId="2B0EC7C5" w14:textId="21523F22" w:rsidR="00E053D0" w:rsidRPr="00266B15" w:rsidRDefault="006E7F00" w:rsidP="00441B6F">
      <w:pPr>
        <w:pStyle w:val="Body"/>
        <w:spacing w:after="0"/>
        <w:rPr>
          <w:rFonts w:ascii="Arial" w:hAnsi="Arial" w:cs="Arial"/>
        </w:rPr>
      </w:pPr>
      <w:r w:rsidRPr="00266B15">
        <w:rPr>
          <w:rFonts w:ascii="Arial" w:hAnsi="Arial" w:cs="Arial"/>
        </w:rPr>
        <w:t xml:space="preserve">Legend: </w:t>
      </w:r>
      <w:proofErr w:type="gramStart"/>
      <w:r w:rsidRPr="00266B15">
        <w:rPr>
          <w:rFonts w:ascii="Arial" w:hAnsi="Arial" w:cs="Arial"/>
        </w:rPr>
        <w:t>- :</w:t>
      </w:r>
      <w:proofErr w:type="gramEnd"/>
      <w:r w:rsidRPr="00266B15">
        <w:rPr>
          <w:rFonts w:ascii="Arial" w:hAnsi="Arial" w:cs="Arial"/>
        </w:rPr>
        <w:t xml:space="preserve"> inactive, TN: Not tested</w:t>
      </w:r>
    </w:p>
    <w:p w14:paraId="7112A3BC" w14:textId="77777777" w:rsidR="00790ADA" w:rsidRPr="00266B15" w:rsidRDefault="00790ADA" w:rsidP="00441B6F">
      <w:pPr>
        <w:pStyle w:val="Body"/>
        <w:spacing w:after="0"/>
        <w:rPr>
          <w:rFonts w:ascii="Arial" w:hAnsi="Arial" w:cs="Arial"/>
        </w:rPr>
      </w:pPr>
    </w:p>
    <w:p w14:paraId="732054F6" w14:textId="77777777" w:rsidR="00B01FCD" w:rsidRPr="00266B15" w:rsidRDefault="00000F8F" w:rsidP="00441B6F">
      <w:pPr>
        <w:pStyle w:val="ConcHead"/>
        <w:spacing w:after="0"/>
        <w:jc w:val="both"/>
        <w:rPr>
          <w:rFonts w:ascii="Arial" w:hAnsi="Arial" w:cs="Arial"/>
        </w:rPr>
      </w:pPr>
      <w:r w:rsidRPr="00266B15">
        <w:rPr>
          <w:rFonts w:ascii="Arial" w:hAnsi="Arial" w:cs="Arial"/>
        </w:rPr>
        <w:t xml:space="preserve">4. </w:t>
      </w:r>
      <w:r w:rsidR="00B01FCD" w:rsidRPr="00266B15">
        <w:rPr>
          <w:rFonts w:ascii="Arial" w:hAnsi="Arial" w:cs="Arial"/>
        </w:rPr>
        <w:t>Conclusion</w:t>
      </w:r>
    </w:p>
    <w:p w14:paraId="3A685056" w14:textId="77777777" w:rsidR="00790ADA" w:rsidRPr="00266B15" w:rsidRDefault="00790ADA" w:rsidP="00441B6F">
      <w:pPr>
        <w:pStyle w:val="ConcHead"/>
        <w:spacing w:after="0"/>
        <w:jc w:val="both"/>
        <w:rPr>
          <w:rFonts w:ascii="Arial" w:hAnsi="Arial" w:cs="Arial"/>
        </w:rPr>
      </w:pPr>
    </w:p>
    <w:p w14:paraId="3F9D6033" w14:textId="77777777" w:rsidR="00877D74" w:rsidRPr="00266B15" w:rsidRDefault="00877D74" w:rsidP="00877D74">
      <w:pPr>
        <w:spacing w:line="360" w:lineRule="auto"/>
        <w:jc w:val="both"/>
        <w:rPr>
          <w:rFonts w:ascii="Arial" w:hAnsi="Arial" w:cs="Arial"/>
        </w:rPr>
      </w:pPr>
      <w:r w:rsidRPr="00266B15">
        <w:rPr>
          <w:rFonts w:ascii="Arial" w:hAnsi="Arial" w:cs="Arial"/>
        </w:rPr>
        <w:t xml:space="preserve">This study highlighted the phytochemical potential and biological activities of </w:t>
      </w:r>
      <w:proofErr w:type="spellStart"/>
      <w:r w:rsidRPr="00266B15">
        <w:rPr>
          <w:rFonts w:ascii="Arial" w:hAnsi="Arial" w:cs="Arial"/>
          <w:i/>
          <w:iCs/>
        </w:rPr>
        <w:t>Argemone</w:t>
      </w:r>
      <w:proofErr w:type="spellEnd"/>
      <w:r w:rsidRPr="00266B15">
        <w:rPr>
          <w:rFonts w:ascii="Arial" w:hAnsi="Arial" w:cs="Arial"/>
          <w:i/>
          <w:iCs/>
        </w:rPr>
        <w:t xml:space="preserve"> </w:t>
      </w:r>
      <w:proofErr w:type="spellStart"/>
      <w:r w:rsidRPr="00266B15">
        <w:rPr>
          <w:rFonts w:ascii="Arial" w:hAnsi="Arial" w:cs="Arial"/>
          <w:i/>
          <w:iCs/>
        </w:rPr>
        <w:t>mexicana</w:t>
      </w:r>
      <w:proofErr w:type="spellEnd"/>
      <w:r w:rsidRPr="00266B15">
        <w:rPr>
          <w:rFonts w:ascii="Arial" w:hAnsi="Arial" w:cs="Arial"/>
        </w:rPr>
        <w:t xml:space="preserve">, </w:t>
      </w:r>
      <w:r w:rsidRPr="00266B15">
        <w:rPr>
          <w:rFonts w:ascii="Arial" w:hAnsi="Arial" w:cs="Arial"/>
          <w:i/>
          <w:iCs/>
        </w:rPr>
        <w:t xml:space="preserve">Terminalia </w:t>
      </w:r>
      <w:proofErr w:type="spellStart"/>
      <w:r w:rsidRPr="00266B15">
        <w:rPr>
          <w:rFonts w:ascii="Arial" w:hAnsi="Arial" w:cs="Arial"/>
          <w:i/>
          <w:iCs/>
        </w:rPr>
        <w:t>avicennoides</w:t>
      </w:r>
      <w:proofErr w:type="spellEnd"/>
      <w:r w:rsidRPr="00266B15">
        <w:rPr>
          <w:rFonts w:ascii="Arial" w:hAnsi="Arial" w:cs="Arial"/>
        </w:rPr>
        <w:t xml:space="preserve">, and </w:t>
      </w:r>
      <w:r w:rsidRPr="00266B15">
        <w:rPr>
          <w:rFonts w:ascii="Arial" w:hAnsi="Arial" w:cs="Arial"/>
          <w:i/>
          <w:iCs/>
        </w:rPr>
        <w:t xml:space="preserve">Terminalia </w:t>
      </w:r>
      <w:proofErr w:type="spellStart"/>
      <w:r w:rsidRPr="00266B15">
        <w:rPr>
          <w:rFonts w:ascii="Arial" w:hAnsi="Arial" w:cs="Arial"/>
          <w:i/>
          <w:iCs/>
        </w:rPr>
        <w:t>macroptera</w:t>
      </w:r>
      <w:proofErr w:type="spellEnd"/>
      <w:r w:rsidRPr="00266B15">
        <w:rPr>
          <w:rFonts w:ascii="Arial" w:hAnsi="Arial" w:cs="Arial"/>
        </w:rPr>
        <w:t xml:space="preserve">, three medicinal plants from Burkina Faso. Phytochemical analysis confirmed the presence of flavonoids, alkaloids, and tannins. The ethanolic extract of </w:t>
      </w:r>
      <w:r w:rsidRPr="00266B15">
        <w:rPr>
          <w:rFonts w:ascii="Arial" w:hAnsi="Arial" w:cs="Arial"/>
          <w:i/>
          <w:iCs/>
        </w:rPr>
        <w:t xml:space="preserve">A. </w:t>
      </w:r>
      <w:proofErr w:type="spellStart"/>
      <w:r w:rsidRPr="00266B15">
        <w:rPr>
          <w:rFonts w:ascii="Arial" w:hAnsi="Arial" w:cs="Arial"/>
          <w:i/>
          <w:iCs/>
        </w:rPr>
        <w:t>mexicana</w:t>
      </w:r>
      <w:proofErr w:type="spellEnd"/>
      <w:r w:rsidRPr="00266B15">
        <w:rPr>
          <w:rFonts w:ascii="Arial" w:hAnsi="Arial" w:cs="Arial"/>
        </w:rPr>
        <w:t xml:space="preserve"> demonstrated remarkable in vitro </w:t>
      </w:r>
      <w:proofErr w:type="spellStart"/>
      <w:r w:rsidRPr="00266B15">
        <w:rPr>
          <w:rFonts w:ascii="Arial" w:hAnsi="Arial" w:cs="Arial"/>
        </w:rPr>
        <w:t>antiplasmodial</w:t>
      </w:r>
      <w:proofErr w:type="spellEnd"/>
      <w:r w:rsidRPr="00266B15">
        <w:rPr>
          <w:rFonts w:ascii="Arial" w:hAnsi="Arial" w:cs="Arial"/>
        </w:rPr>
        <w:t xml:space="preserve"> activity (IC</w:t>
      </w:r>
      <w:r w:rsidRPr="00266B15">
        <w:rPr>
          <w:rFonts w:ascii="Cambria Math" w:hAnsi="Cambria Math" w:cs="Cambria Math"/>
        </w:rPr>
        <w:t>₅₀</w:t>
      </w:r>
      <w:r w:rsidRPr="00266B15">
        <w:rPr>
          <w:rFonts w:ascii="Arial" w:hAnsi="Arial" w:cs="Arial"/>
        </w:rPr>
        <w:t xml:space="preserve"> &lt; 3 µg/mL). However, it remained inactive against the tested bacteria and fungi. Extracts of </w:t>
      </w:r>
      <w:r w:rsidRPr="00266B15">
        <w:rPr>
          <w:rFonts w:ascii="Arial" w:hAnsi="Arial" w:cs="Arial"/>
          <w:i/>
          <w:iCs/>
        </w:rPr>
        <w:t xml:space="preserve">T. </w:t>
      </w:r>
      <w:proofErr w:type="spellStart"/>
      <w:r w:rsidRPr="00266B15">
        <w:rPr>
          <w:rFonts w:ascii="Arial" w:hAnsi="Arial" w:cs="Arial"/>
          <w:i/>
          <w:iCs/>
        </w:rPr>
        <w:t>avicennoides</w:t>
      </w:r>
      <w:proofErr w:type="spellEnd"/>
      <w:r w:rsidRPr="00266B15">
        <w:rPr>
          <w:rFonts w:ascii="Arial" w:hAnsi="Arial" w:cs="Arial"/>
        </w:rPr>
        <w:t xml:space="preserve">, rich in flavonoids, exhibited the broadest antibacterial spectrum, particularly against </w:t>
      </w:r>
      <w:r w:rsidRPr="00266B15">
        <w:rPr>
          <w:rFonts w:ascii="Arial" w:hAnsi="Arial" w:cs="Arial"/>
          <w:i/>
          <w:iCs/>
        </w:rPr>
        <w:t>S. epidermidis</w:t>
      </w:r>
      <w:r w:rsidRPr="00266B15">
        <w:rPr>
          <w:rFonts w:ascii="Arial" w:hAnsi="Arial" w:cs="Arial"/>
        </w:rPr>
        <w:t xml:space="preserve">, while </w:t>
      </w:r>
      <w:r w:rsidRPr="00266B15">
        <w:rPr>
          <w:rFonts w:ascii="Arial" w:hAnsi="Arial" w:cs="Arial"/>
          <w:i/>
          <w:iCs/>
        </w:rPr>
        <w:t xml:space="preserve">T. </w:t>
      </w:r>
      <w:proofErr w:type="spellStart"/>
      <w:r w:rsidRPr="00266B15">
        <w:rPr>
          <w:rFonts w:ascii="Arial" w:hAnsi="Arial" w:cs="Arial"/>
          <w:i/>
          <w:iCs/>
        </w:rPr>
        <w:t>macroptera</w:t>
      </w:r>
      <w:proofErr w:type="spellEnd"/>
      <w:r w:rsidRPr="00266B15">
        <w:rPr>
          <w:rFonts w:ascii="Arial" w:hAnsi="Arial" w:cs="Arial"/>
        </w:rPr>
        <w:t xml:space="preserve"> showed moderate activity. The low cytotoxicity observed suggests potential safety. These results validate the ethnobotanical use of these plants and support further isolation of bioactive compounds for the development of new phytomedicines.</w:t>
      </w:r>
    </w:p>
    <w:p w14:paraId="547FAF86" w14:textId="77777777" w:rsidR="00790ADA" w:rsidRPr="00266B15" w:rsidRDefault="00790ADA" w:rsidP="00441B6F">
      <w:pPr>
        <w:pStyle w:val="Body"/>
        <w:spacing w:after="0"/>
        <w:rPr>
          <w:rFonts w:ascii="Arial" w:hAnsi="Arial" w:cs="Arial"/>
        </w:rPr>
      </w:pPr>
    </w:p>
    <w:p w14:paraId="6EB0B949" w14:textId="77777777" w:rsidR="00315186" w:rsidRPr="00266B15" w:rsidRDefault="00315186" w:rsidP="00441B6F"/>
    <w:p w14:paraId="57B9081E" w14:textId="77FD9B61" w:rsidR="00860000" w:rsidRDefault="00860000" w:rsidP="00441B6F">
      <w:pPr>
        <w:pStyle w:val="ReferHead"/>
        <w:spacing w:after="0"/>
        <w:jc w:val="both"/>
        <w:rPr>
          <w:rFonts w:ascii="Arial" w:hAnsi="Arial" w:cs="Arial"/>
        </w:rPr>
      </w:pPr>
    </w:p>
    <w:p w14:paraId="573ECB2D" w14:textId="1F056FC4" w:rsidR="00266B15" w:rsidRDefault="00266B15" w:rsidP="00441B6F">
      <w:pPr>
        <w:pStyle w:val="ReferHead"/>
        <w:spacing w:after="0"/>
        <w:jc w:val="both"/>
        <w:rPr>
          <w:rFonts w:ascii="Arial" w:hAnsi="Arial" w:cs="Arial"/>
        </w:rPr>
      </w:pPr>
    </w:p>
    <w:p w14:paraId="2E9D73B1" w14:textId="696C1DB2" w:rsidR="00266B15" w:rsidRDefault="00266B15" w:rsidP="00441B6F">
      <w:pPr>
        <w:pStyle w:val="ReferHead"/>
        <w:spacing w:after="0"/>
        <w:jc w:val="both"/>
        <w:rPr>
          <w:rFonts w:ascii="Arial" w:hAnsi="Arial" w:cs="Arial"/>
        </w:rPr>
      </w:pPr>
    </w:p>
    <w:p w14:paraId="73BC320B" w14:textId="15D8BDEB" w:rsidR="00266B15" w:rsidRDefault="00266B15" w:rsidP="00441B6F">
      <w:pPr>
        <w:pStyle w:val="ReferHead"/>
        <w:spacing w:after="0"/>
        <w:jc w:val="both"/>
        <w:rPr>
          <w:rFonts w:ascii="Arial" w:hAnsi="Arial" w:cs="Arial"/>
        </w:rPr>
      </w:pPr>
    </w:p>
    <w:p w14:paraId="36FAA5D5" w14:textId="77777777" w:rsidR="00266B15" w:rsidRPr="00266B15" w:rsidRDefault="00266B15" w:rsidP="00441B6F">
      <w:pPr>
        <w:pStyle w:val="ReferHead"/>
        <w:spacing w:after="0"/>
        <w:jc w:val="both"/>
        <w:rPr>
          <w:rFonts w:ascii="Arial" w:hAnsi="Arial" w:cs="Arial"/>
        </w:rPr>
      </w:pPr>
    </w:p>
    <w:p w14:paraId="493E785A" w14:textId="77777777" w:rsidR="006729E7" w:rsidRPr="00266B15" w:rsidRDefault="006729E7" w:rsidP="006729E7">
      <w:pPr>
        <w:rPr>
          <w:b/>
        </w:rPr>
      </w:pPr>
      <w:r w:rsidRPr="00266B15">
        <w:rPr>
          <w:b/>
        </w:rPr>
        <w:t>Disclaimer (Artificial intelligence)</w:t>
      </w:r>
    </w:p>
    <w:p w14:paraId="7C9BF4C0" w14:textId="77777777" w:rsidR="006729E7" w:rsidRPr="00266B15" w:rsidRDefault="006729E7" w:rsidP="006729E7">
      <w:r w:rsidRPr="00266B15">
        <w:t xml:space="preserve">Option 1: </w:t>
      </w:r>
    </w:p>
    <w:p w14:paraId="060964B6" w14:textId="77777777" w:rsidR="006729E7" w:rsidRPr="00266B15" w:rsidRDefault="006729E7" w:rsidP="006729E7">
      <w:r w:rsidRPr="00266B15">
        <w:t xml:space="preserve">Author(s) hereby declare that NO generative AI technologies such as Large Language Models (ChatGPT, COPILOT, etc.) and text-to-image generators have been used during the writing or editing of this manuscript. </w:t>
      </w:r>
    </w:p>
    <w:p w14:paraId="31695071" w14:textId="77777777" w:rsidR="006729E7" w:rsidRPr="00266B15" w:rsidRDefault="006729E7" w:rsidP="006729E7">
      <w:r w:rsidRPr="00266B15">
        <w:t xml:space="preserve">Option 2: </w:t>
      </w:r>
    </w:p>
    <w:p w14:paraId="303FCCFA" w14:textId="77777777" w:rsidR="006729E7" w:rsidRPr="00266B15" w:rsidRDefault="006729E7" w:rsidP="006729E7">
      <w:r w:rsidRPr="00266B15">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A76911" w14:textId="77777777" w:rsidR="006729E7" w:rsidRPr="00266B15" w:rsidRDefault="006729E7" w:rsidP="006729E7">
      <w:r w:rsidRPr="00266B15">
        <w:t>Details of the AI usage are given below:</w:t>
      </w:r>
    </w:p>
    <w:p w14:paraId="23766747" w14:textId="77777777" w:rsidR="006729E7" w:rsidRPr="00266B15" w:rsidRDefault="006729E7" w:rsidP="006729E7">
      <w:r w:rsidRPr="00266B15">
        <w:t>1.</w:t>
      </w:r>
    </w:p>
    <w:p w14:paraId="1064C7D1" w14:textId="77777777" w:rsidR="006729E7" w:rsidRPr="00266B15" w:rsidRDefault="006729E7" w:rsidP="006729E7">
      <w:r w:rsidRPr="00266B15">
        <w:t>2.</w:t>
      </w:r>
    </w:p>
    <w:p w14:paraId="0552592C" w14:textId="51BC19C3" w:rsidR="006729E7" w:rsidRDefault="006729E7" w:rsidP="006729E7">
      <w:r w:rsidRPr="00266B15">
        <w:t>3.</w:t>
      </w:r>
    </w:p>
    <w:p w14:paraId="38353CE2" w14:textId="6D6D8B48" w:rsidR="00266B15" w:rsidRDefault="00266B15" w:rsidP="006729E7"/>
    <w:p w14:paraId="1E85398D" w14:textId="77777777" w:rsidR="00266B15" w:rsidRPr="00266B15" w:rsidRDefault="00266B15" w:rsidP="006729E7"/>
    <w:p w14:paraId="70793B1D" w14:textId="77777777" w:rsidR="00B01FCD" w:rsidRPr="00266B15" w:rsidRDefault="00B01FCD" w:rsidP="00441B6F">
      <w:pPr>
        <w:pStyle w:val="ReferHead"/>
        <w:spacing w:after="0"/>
        <w:jc w:val="both"/>
        <w:rPr>
          <w:rFonts w:ascii="Arial" w:hAnsi="Arial" w:cs="Arial"/>
        </w:rPr>
      </w:pPr>
      <w:r w:rsidRPr="00266B15">
        <w:rPr>
          <w:rFonts w:ascii="Arial" w:hAnsi="Arial" w:cs="Arial"/>
        </w:rPr>
        <w:t>References</w:t>
      </w:r>
    </w:p>
    <w:p w14:paraId="2386299E" w14:textId="3FE899F4" w:rsidR="00790ADA" w:rsidRPr="00266B15" w:rsidRDefault="00790ADA" w:rsidP="00441B6F">
      <w:pPr>
        <w:pStyle w:val="Body"/>
        <w:spacing w:after="0"/>
        <w:rPr>
          <w:rFonts w:ascii="Arial" w:hAnsi="Arial" w:cs="Arial"/>
        </w:rPr>
      </w:pPr>
    </w:p>
    <w:p w14:paraId="354CF48F"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iCs/>
          <w:sz w:val="20"/>
          <w:szCs w:val="20"/>
        </w:rPr>
        <w:fldChar w:fldCharType="begin"/>
      </w:r>
      <w:r w:rsidRPr="00266B15">
        <w:rPr>
          <w:rFonts w:ascii="Arial" w:hAnsi="Arial" w:cs="Arial"/>
          <w:iCs/>
          <w:sz w:val="20"/>
          <w:szCs w:val="20"/>
        </w:rPr>
        <w:instrText xml:space="preserve"> ADDIN ZOTERO_BIBL {"uncited":[],"omitted":[],"custom":[]} CSL_BIBLIOGRAPHY </w:instrText>
      </w:r>
      <w:r w:rsidRPr="00266B15">
        <w:rPr>
          <w:rFonts w:ascii="Arial" w:hAnsi="Arial" w:cs="Arial"/>
          <w:iCs/>
          <w:sz w:val="20"/>
          <w:szCs w:val="20"/>
        </w:rPr>
        <w:fldChar w:fldCharType="separate"/>
      </w:r>
      <w:r w:rsidRPr="00266B15">
        <w:rPr>
          <w:rFonts w:ascii="Arial" w:hAnsi="Arial" w:cs="Arial"/>
          <w:sz w:val="20"/>
          <w:szCs w:val="20"/>
        </w:rPr>
        <w:t xml:space="preserve">Akpovona, A. E., &amp; Onoagbe, I. O. (2018). Investigation of haematological effects of Terminalia macroptera stem bark via platelet-to-lymphocyte ratio among other blood parameters in Wistar rats. </w:t>
      </w:r>
      <w:r w:rsidRPr="00266B15">
        <w:rPr>
          <w:rFonts w:ascii="Arial" w:hAnsi="Arial" w:cs="Arial"/>
          <w:i/>
          <w:iCs/>
          <w:sz w:val="20"/>
          <w:szCs w:val="20"/>
        </w:rPr>
        <w:t>Biokesmistri</w:t>
      </w:r>
      <w:r w:rsidRPr="00266B15">
        <w:rPr>
          <w:rFonts w:ascii="Arial" w:hAnsi="Arial" w:cs="Arial"/>
          <w:sz w:val="20"/>
          <w:szCs w:val="20"/>
        </w:rPr>
        <w:t xml:space="preserve">, </w:t>
      </w:r>
      <w:r w:rsidRPr="00266B15">
        <w:rPr>
          <w:rFonts w:ascii="Arial" w:hAnsi="Arial" w:cs="Arial"/>
          <w:i/>
          <w:iCs/>
          <w:sz w:val="20"/>
          <w:szCs w:val="20"/>
        </w:rPr>
        <w:t>30</w:t>
      </w:r>
      <w:r w:rsidRPr="00266B15">
        <w:rPr>
          <w:rFonts w:ascii="Arial" w:hAnsi="Arial" w:cs="Arial"/>
          <w:sz w:val="20"/>
          <w:szCs w:val="20"/>
        </w:rPr>
        <w:t>(1), 32</w:t>
      </w:r>
      <w:r w:rsidRPr="00266B15">
        <w:rPr>
          <w:rFonts w:ascii="Cambria Math" w:hAnsi="Cambria Math" w:cs="Cambria Math"/>
          <w:sz w:val="20"/>
          <w:szCs w:val="20"/>
        </w:rPr>
        <w:t>‑</w:t>
      </w:r>
      <w:r w:rsidRPr="00266B15">
        <w:rPr>
          <w:rFonts w:ascii="Arial" w:hAnsi="Arial" w:cs="Arial"/>
          <w:sz w:val="20"/>
          <w:szCs w:val="20"/>
        </w:rPr>
        <w:t>41.</w:t>
      </w:r>
    </w:p>
    <w:p w14:paraId="644EDBD4"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Almaraz-Abarca, N., Campos, M. da G., Ávila-Reyes, J. A., Naranjo-Jiménez, N., Herrera-Corral, J., &amp; González-Valdez, L. S. (2004). Variability of antioxidant activity among honeybee-collected pollen of different botanical origin. </w:t>
      </w:r>
      <w:r w:rsidRPr="00266B15">
        <w:rPr>
          <w:rFonts w:ascii="Arial" w:hAnsi="Arial" w:cs="Arial"/>
          <w:i/>
          <w:iCs/>
          <w:sz w:val="20"/>
          <w:szCs w:val="20"/>
        </w:rPr>
        <w:t>Interciencia</w:t>
      </w:r>
      <w:r w:rsidRPr="00266B15">
        <w:rPr>
          <w:rFonts w:ascii="Arial" w:hAnsi="Arial" w:cs="Arial"/>
          <w:sz w:val="20"/>
          <w:szCs w:val="20"/>
        </w:rPr>
        <w:t xml:space="preserve">, </w:t>
      </w:r>
      <w:r w:rsidRPr="00266B15">
        <w:rPr>
          <w:rFonts w:ascii="Arial" w:hAnsi="Arial" w:cs="Arial"/>
          <w:i/>
          <w:iCs/>
          <w:sz w:val="20"/>
          <w:szCs w:val="20"/>
        </w:rPr>
        <w:t>29</w:t>
      </w:r>
      <w:r w:rsidRPr="00266B15">
        <w:rPr>
          <w:rFonts w:ascii="Arial" w:hAnsi="Arial" w:cs="Arial"/>
          <w:sz w:val="20"/>
          <w:szCs w:val="20"/>
        </w:rPr>
        <w:t>(10), 574</w:t>
      </w:r>
      <w:r w:rsidRPr="00266B15">
        <w:rPr>
          <w:rFonts w:ascii="Cambria Math" w:hAnsi="Cambria Math" w:cs="Cambria Math"/>
          <w:sz w:val="20"/>
          <w:szCs w:val="20"/>
        </w:rPr>
        <w:t>‑</w:t>
      </w:r>
      <w:r w:rsidRPr="00266B15">
        <w:rPr>
          <w:rFonts w:ascii="Arial" w:hAnsi="Arial" w:cs="Arial"/>
          <w:sz w:val="20"/>
          <w:szCs w:val="20"/>
        </w:rPr>
        <w:t>578.</w:t>
      </w:r>
    </w:p>
    <w:p w14:paraId="4054319A"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Amou, B., Ajayi, T. O., &amp; Dada-Adegbola, H. O. (2025). Antimicrobial activity of Terminalia leiocarpa Baill. And Terminalia avicennioides Guill. &amp; Perr. Root bark extracts in resistant clinical isolates. </w:t>
      </w:r>
      <w:r w:rsidRPr="00266B15">
        <w:rPr>
          <w:rFonts w:ascii="Arial" w:hAnsi="Arial" w:cs="Arial"/>
          <w:i/>
          <w:iCs/>
          <w:sz w:val="20"/>
          <w:szCs w:val="20"/>
        </w:rPr>
        <w:t>Journal of Pharmacy &amp; Pharmacognosy Research</w:t>
      </w:r>
      <w:r w:rsidRPr="00266B15">
        <w:rPr>
          <w:rFonts w:ascii="Arial" w:hAnsi="Arial" w:cs="Arial"/>
          <w:sz w:val="20"/>
          <w:szCs w:val="20"/>
        </w:rPr>
        <w:t xml:space="preserve">, </w:t>
      </w:r>
      <w:r w:rsidRPr="00266B15">
        <w:rPr>
          <w:rFonts w:ascii="Arial" w:hAnsi="Arial" w:cs="Arial"/>
          <w:i/>
          <w:iCs/>
          <w:sz w:val="20"/>
          <w:szCs w:val="20"/>
        </w:rPr>
        <w:t>13</w:t>
      </w:r>
      <w:r w:rsidRPr="00266B15">
        <w:rPr>
          <w:rFonts w:ascii="Arial" w:hAnsi="Arial" w:cs="Arial"/>
          <w:sz w:val="20"/>
          <w:szCs w:val="20"/>
        </w:rPr>
        <w:t>(2), 633</w:t>
      </w:r>
      <w:r w:rsidRPr="00266B15">
        <w:rPr>
          <w:rFonts w:ascii="Cambria Math" w:hAnsi="Cambria Math" w:cs="Cambria Math"/>
          <w:sz w:val="20"/>
          <w:szCs w:val="20"/>
        </w:rPr>
        <w:t>‑</w:t>
      </w:r>
      <w:r w:rsidRPr="00266B15">
        <w:rPr>
          <w:rFonts w:ascii="Arial" w:hAnsi="Arial" w:cs="Arial"/>
          <w:sz w:val="20"/>
          <w:szCs w:val="20"/>
        </w:rPr>
        <w:t>646. https://doi.org/10.56499/jppres24.2010_13.2.633</w:t>
      </w:r>
    </w:p>
    <w:p w14:paraId="78FFB5C3"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Bangou, M. J., Thiombiano, M. E., Habibou, M., Ouedraogo, S., &amp; Ouedraogo, G. A. (2021). Inhibition of Prostate Cancer by Plant Extracts Used in the Treatment of Malaria in Burkina Faso. </w:t>
      </w:r>
      <w:r w:rsidRPr="00266B15">
        <w:rPr>
          <w:rFonts w:ascii="Arial" w:hAnsi="Arial" w:cs="Arial"/>
          <w:i/>
          <w:iCs/>
          <w:sz w:val="20"/>
          <w:szCs w:val="20"/>
        </w:rPr>
        <w:t>Asian Journal of Emerging Research</w:t>
      </w:r>
      <w:r w:rsidRPr="00266B15">
        <w:rPr>
          <w:rFonts w:ascii="Arial" w:hAnsi="Arial" w:cs="Arial"/>
          <w:sz w:val="20"/>
          <w:szCs w:val="20"/>
        </w:rPr>
        <w:t xml:space="preserve">, </w:t>
      </w:r>
      <w:r w:rsidRPr="00266B15">
        <w:rPr>
          <w:rFonts w:ascii="Arial" w:hAnsi="Arial" w:cs="Arial"/>
          <w:i/>
          <w:iCs/>
          <w:sz w:val="20"/>
          <w:szCs w:val="20"/>
        </w:rPr>
        <w:t>3</w:t>
      </w:r>
      <w:r w:rsidRPr="00266B15">
        <w:rPr>
          <w:rFonts w:ascii="Arial" w:hAnsi="Arial" w:cs="Arial"/>
          <w:sz w:val="20"/>
          <w:szCs w:val="20"/>
        </w:rPr>
        <w:t>(1), 32</w:t>
      </w:r>
      <w:r w:rsidRPr="00266B15">
        <w:rPr>
          <w:rFonts w:ascii="Cambria Math" w:hAnsi="Cambria Math" w:cs="Cambria Math"/>
          <w:sz w:val="20"/>
          <w:szCs w:val="20"/>
        </w:rPr>
        <w:t>‑</w:t>
      </w:r>
      <w:r w:rsidRPr="00266B15">
        <w:rPr>
          <w:rFonts w:ascii="Arial" w:hAnsi="Arial" w:cs="Arial"/>
          <w:sz w:val="20"/>
          <w:szCs w:val="20"/>
        </w:rPr>
        <w:t>35. https://doi.org/10.3923/ajerpk.2021.32.35</w:t>
      </w:r>
    </w:p>
    <w:p w14:paraId="04ECEB5C" w14:textId="77777777" w:rsidR="008C070A" w:rsidRPr="00266B15" w:rsidRDefault="008C070A" w:rsidP="008C070A">
      <w:pPr>
        <w:pStyle w:val="Bibliography"/>
        <w:spacing w:line="360" w:lineRule="auto"/>
        <w:jc w:val="both"/>
        <w:rPr>
          <w:rFonts w:ascii="Arial" w:hAnsi="Arial" w:cs="Arial"/>
          <w:sz w:val="20"/>
          <w:szCs w:val="20"/>
          <w:lang w:val="fr-FR"/>
        </w:rPr>
      </w:pPr>
      <w:r w:rsidRPr="00266B15">
        <w:rPr>
          <w:rFonts w:ascii="Arial" w:hAnsi="Arial" w:cs="Arial"/>
          <w:sz w:val="20"/>
          <w:szCs w:val="20"/>
        </w:rPr>
        <w:t xml:space="preserve">Bashige-Chiribagula, V., Bakari-Amuri, S., Mbuyi-Kalonji, S., Kahumba-Byanga, J., Duez, P., &amp; Lumbu-Simbi, J. B. (2017). </w:t>
      </w:r>
      <w:r w:rsidRPr="00266B15">
        <w:rPr>
          <w:rFonts w:ascii="Arial" w:hAnsi="Arial" w:cs="Arial"/>
          <w:sz w:val="20"/>
          <w:szCs w:val="20"/>
          <w:lang w:val="fr-FR"/>
        </w:rPr>
        <w:t xml:space="preserve">Étude ethnobotanique, phytochimique et évaluation de l’activité antiplasmodiale de 13 plantes réputées antipaludéennes dans la commune du Kenya (Lubumbashi, RDC). </w:t>
      </w:r>
      <w:r w:rsidRPr="00266B15">
        <w:rPr>
          <w:rFonts w:ascii="Arial" w:hAnsi="Arial" w:cs="Arial"/>
          <w:i/>
          <w:iCs/>
          <w:sz w:val="20"/>
          <w:szCs w:val="20"/>
          <w:lang w:val="fr-FR"/>
        </w:rPr>
        <w:t>Phytothérapie</w:t>
      </w:r>
      <w:r w:rsidRPr="00266B15">
        <w:rPr>
          <w:rFonts w:ascii="Arial" w:hAnsi="Arial" w:cs="Arial"/>
          <w:sz w:val="20"/>
          <w:szCs w:val="20"/>
          <w:lang w:val="fr-FR"/>
        </w:rPr>
        <w:t>. https://doi.org/10.1007/s10298-017-1152-x</w:t>
      </w:r>
    </w:p>
    <w:p w14:paraId="100DE318" w14:textId="77777777" w:rsidR="008C070A" w:rsidRPr="00266B15" w:rsidRDefault="008C070A" w:rsidP="008C070A">
      <w:pPr>
        <w:pStyle w:val="Bibliography"/>
        <w:spacing w:line="360" w:lineRule="auto"/>
        <w:jc w:val="both"/>
        <w:rPr>
          <w:rFonts w:ascii="Arial" w:hAnsi="Arial" w:cs="Arial"/>
          <w:sz w:val="20"/>
          <w:szCs w:val="20"/>
          <w:lang w:val="fr-FR"/>
        </w:rPr>
      </w:pPr>
      <w:r w:rsidRPr="00266B15">
        <w:rPr>
          <w:rFonts w:ascii="Arial" w:hAnsi="Arial" w:cs="Arial"/>
          <w:sz w:val="20"/>
          <w:szCs w:val="20"/>
          <w:lang w:val="fr-FR"/>
        </w:rPr>
        <w:lastRenderedPageBreak/>
        <w:t xml:space="preserve">Bhambhani, S., Kondhare, K. R., &amp; Giri, A. P. (2021). </w:t>
      </w:r>
      <w:r w:rsidRPr="00266B15">
        <w:rPr>
          <w:rFonts w:ascii="Arial" w:hAnsi="Arial" w:cs="Arial"/>
          <w:sz w:val="20"/>
          <w:szCs w:val="20"/>
        </w:rPr>
        <w:t xml:space="preserve">Diversity in Chemical Structures and Biological Properties of Plant Alkaloids. </w:t>
      </w:r>
      <w:r w:rsidRPr="00266B15">
        <w:rPr>
          <w:rFonts w:ascii="Arial" w:hAnsi="Arial" w:cs="Arial"/>
          <w:i/>
          <w:iCs/>
          <w:sz w:val="20"/>
          <w:szCs w:val="20"/>
          <w:lang w:val="fr-FR"/>
        </w:rPr>
        <w:t>Molecules</w:t>
      </w:r>
      <w:r w:rsidRPr="00266B15">
        <w:rPr>
          <w:rFonts w:ascii="Arial" w:hAnsi="Arial" w:cs="Arial"/>
          <w:sz w:val="20"/>
          <w:szCs w:val="20"/>
          <w:lang w:val="fr-FR"/>
        </w:rPr>
        <w:t xml:space="preserve">, </w:t>
      </w:r>
      <w:r w:rsidRPr="00266B15">
        <w:rPr>
          <w:rFonts w:ascii="Arial" w:hAnsi="Arial" w:cs="Arial"/>
          <w:i/>
          <w:iCs/>
          <w:sz w:val="20"/>
          <w:szCs w:val="20"/>
          <w:lang w:val="fr-FR"/>
        </w:rPr>
        <w:t>26</w:t>
      </w:r>
      <w:r w:rsidRPr="00266B15">
        <w:rPr>
          <w:rFonts w:ascii="Arial" w:hAnsi="Arial" w:cs="Arial"/>
          <w:sz w:val="20"/>
          <w:szCs w:val="20"/>
          <w:lang w:val="fr-FR"/>
        </w:rPr>
        <w:t>(11), 3374. https://doi.org/10.3390/molecules26113374</w:t>
      </w:r>
    </w:p>
    <w:p w14:paraId="7FCDCBCF"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lang w:val="fr-FR"/>
        </w:rPr>
        <w:t xml:space="preserve">Bouyahya, A., Bakri, Y., Et-Touys, A., Talbaoui, A., Khouchlaa, A., Charfi, S., Abrini, J., &amp; Dakka, N. (2018). Résistance aux antibiotiques et mécanismes d’action des huiles essentielles contre les bactéries. </w:t>
      </w:r>
      <w:r w:rsidRPr="00266B15">
        <w:rPr>
          <w:rFonts w:ascii="Arial" w:hAnsi="Arial" w:cs="Arial"/>
          <w:i/>
          <w:iCs/>
          <w:sz w:val="20"/>
          <w:szCs w:val="20"/>
        </w:rPr>
        <w:t>Phytothérapie</w:t>
      </w:r>
      <w:r w:rsidRPr="00266B15">
        <w:rPr>
          <w:rFonts w:ascii="Arial" w:hAnsi="Arial" w:cs="Arial"/>
          <w:sz w:val="20"/>
          <w:szCs w:val="20"/>
        </w:rPr>
        <w:t xml:space="preserve">, </w:t>
      </w:r>
      <w:r w:rsidRPr="00266B15">
        <w:rPr>
          <w:rFonts w:ascii="Arial" w:hAnsi="Arial" w:cs="Arial"/>
          <w:i/>
          <w:iCs/>
          <w:sz w:val="20"/>
          <w:szCs w:val="20"/>
        </w:rPr>
        <w:t>16</w:t>
      </w:r>
      <w:r w:rsidRPr="00266B15">
        <w:rPr>
          <w:rFonts w:ascii="Arial" w:hAnsi="Arial" w:cs="Arial"/>
          <w:sz w:val="20"/>
          <w:szCs w:val="20"/>
        </w:rPr>
        <w:t>(S1), S173</w:t>
      </w:r>
      <w:r w:rsidRPr="00266B15">
        <w:rPr>
          <w:rFonts w:ascii="Cambria Math" w:hAnsi="Cambria Math" w:cs="Cambria Math"/>
          <w:sz w:val="20"/>
          <w:szCs w:val="20"/>
        </w:rPr>
        <w:t>‑</w:t>
      </w:r>
      <w:r w:rsidRPr="00266B15">
        <w:rPr>
          <w:rFonts w:ascii="Arial" w:hAnsi="Arial" w:cs="Arial"/>
          <w:sz w:val="20"/>
          <w:szCs w:val="20"/>
        </w:rPr>
        <w:t>S183. https://doi.org/10.3166/phyto-2019-0147</w:t>
      </w:r>
    </w:p>
    <w:p w14:paraId="1510B7F7"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Brahmachari, G., Gorai, D., &amp; Roy, R. (2013). Argemone mexicana : Chemical and pharmacological aspects. </w:t>
      </w:r>
      <w:r w:rsidRPr="00266B15">
        <w:rPr>
          <w:rFonts w:ascii="Arial" w:hAnsi="Arial" w:cs="Arial"/>
          <w:i/>
          <w:iCs/>
          <w:sz w:val="20"/>
          <w:szCs w:val="20"/>
        </w:rPr>
        <w:t>Brazilian Journal of Pharmacognosy</w:t>
      </w:r>
      <w:r w:rsidRPr="00266B15">
        <w:rPr>
          <w:rFonts w:ascii="Arial" w:hAnsi="Arial" w:cs="Arial"/>
          <w:sz w:val="20"/>
          <w:szCs w:val="20"/>
        </w:rPr>
        <w:t xml:space="preserve">, </w:t>
      </w:r>
      <w:r w:rsidRPr="00266B15">
        <w:rPr>
          <w:rFonts w:ascii="Arial" w:hAnsi="Arial" w:cs="Arial"/>
          <w:i/>
          <w:iCs/>
          <w:sz w:val="20"/>
          <w:szCs w:val="20"/>
        </w:rPr>
        <w:t>23</w:t>
      </w:r>
      <w:r w:rsidRPr="00266B15">
        <w:rPr>
          <w:rFonts w:ascii="Arial" w:hAnsi="Arial" w:cs="Arial"/>
          <w:sz w:val="20"/>
          <w:szCs w:val="20"/>
        </w:rPr>
        <w:t>(3), 559</w:t>
      </w:r>
      <w:r w:rsidRPr="00266B15">
        <w:rPr>
          <w:rFonts w:ascii="Cambria Math" w:hAnsi="Cambria Math" w:cs="Cambria Math"/>
          <w:sz w:val="20"/>
          <w:szCs w:val="20"/>
        </w:rPr>
        <w:t>‑</w:t>
      </w:r>
      <w:r w:rsidRPr="00266B15">
        <w:rPr>
          <w:rFonts w:ascii="Arial" w:hAnsi="Arial" w:cs="Arial"/>
          <w:sz w:val="20"/>
          <w:szCs w:val="20"/>
        </w:rPr>
        <w:t>575. https://doi.org/10.1590/S0102-695X2013005000021</w:t>
      </w:r>
    </w:p>
    <w:p w14:paraId="3D6E4AA2"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Compaoré, M. (2018). Availability Evaluation of Twelve Antimalarial Medicinal Plants from Western Regions of Burkina Faso. </w:t>
      </w:r>
      <w:r w:rsidRPr="00266B15">
        <w:rPr>
          <w:rFonts w:ascii="Arial" w:hAnsi="Arial" w:cs="Arial"/>
          <w:i/>
          <w:iCs/>
          <w:sz w:val="20"/>
          <w:szCs w:val="20"/>
        </w:rPr>
        <w:t>Journal of Diseases and Medicinal Plants</w:t>
      </w:r>
      <w:r w:rsidRPr="00266B15">
        <w:rPr>
          <w:rFonts w:ascii="Arial" w:hAnsi="Arial" w:cs="Arial"/>
          <w:sz w:val="20"/>
          <w:szCs w:val="20"/>
        </w:rPr>
        <w:t xml:space="preserve">, </w:t>
      </w:r>
      <w:r w:rsidRPr="00266B15">
        <w:rPr>
          <w:rFonts w:ascii="Arial" w:hAnsi="Arial" w:cs="Arial"/>
          <w:i/>
          <w:iCs/>
          <w:sz w:val="20"/>
          <w:szCs w:val="20"/>
        </w:rPr>
        <w:t>4</w:t>
      </w:r>
      <w:r w:rsidRPr="00266B15">
        <w:rPr>
          <w:rFonts w:ascii="Arial" w:hAnsi="Arial" w:cs="Arial"/>
          <w:sz w:val="20"/>
          <w:szCs w:val="20"/>
        </w:rPr>
        <w:t>(3), 80. https://doi.org/10.11648/j.jdmp.20180403.13</w:t>
      </w:r>
    </w:p>
    <w:p w14:paraId="4B3202C4"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Elizondo-Luevano, J. H., Quintanilla-Licea, R., Monroy-García, I. N., Kačániová, M., Castillo-Velázquez, U., Bazaldúa-Rodríguez, A. F., Garza-Vega, L. M., Torres-Hernández, Á. D., &amp; Chávez-Montes, A. (2024). Assessment of Anticancer Properties of Argemone mexicana L. and Berberine : A Comparative Study. </w:t>
      </w:r>
      <w:r w:rsidRPr="00266B15">
        <w:rPr>
          <w:rFonts w:ascii="Arial" w:hAnsi="Arial" w:cs="Arial"/>
          <w:i/>
          <w:iCs/>
          <w:sz w:val="20"/>
          <w:szCs w:val="20"/>
        </w:rPr>
        <w:t>Plants</w:t>
      </w:r>
      <w:r w:rsidRPr="00266B15">
        <w:rPr>
          <w:rFonts w:ascii="Arial" w:hAnsi="Arial" w:cs="Arial"/>
          <w:sz w:val="20"/>
          <w:szCs w:val="20"/>
        </w:rPr>
        <w:t xml:space="preserve">, </w:t>
      </w:r>
      <w:r w:rsidRPr="00266B15">
        <w:rPr>
          <w:rFonts w:ascii="Arial" w:hAnsi="Arial" w:cs="Arial"/>
          <w:i/>
          <w:iCs/>
          <w:sz w:val="20"/>
          <w:szCs w:val="20"/>
        </w:rPr>
        <w:t>13</w:t>
      </w:r>
      <w:r w:rsidRPr="00266B15">
        <w:rPr>
          <w:rFonts w:ascii="Arial" w:hAnsi="Arial" w:cs="Arial"/>
          <w:sz w:val="20"/>
          <w:szCs w:val="20"/>
        </w:rPr>
        <w:t>(10), 1374. https://doi.org/10.3390/plants13101374</w:t>
      </w:r>
    </w:p>
    <w:p w14:paraId="58A0F1D8"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Excler, J.-L., Saville, M., Berkley, S., &amp; Kim, J. H. (2021). Vaccine development for emerging infectious diseases. </w:t>
      </w:r>
      <w:r w:rsidRPr="00266B15">
        <w:rPr>
          <w:rFonts w:ascii="Arial" w:hAnsi="Arial" w:cs="Arial"/>
          <w:i/>
          <w:iCs/>
          <w:sz w:val="20"/>
          <w:szCs w:val="20"/>
        </w:rPr>
        <w:t>Nature Medicine</w:t>
      </w:r>
      <w:r w:rsidRPr="00266B15">
        <w:rPr>
          <w:rFonts w:ascii="Arial" w:hAnsi="Arial" w:cs="Arial"/>
          <w:sz w:val="20"/>
          <w:szCs w:val="20"/>
        </w:rPr>
        <w:t xml:space="preserve">, </w:t>
      </w:r>
      <w:r w:rsidRPr="00266B15">
        <w:rPr>
          <w:rFonts w:ascii="Arial" w:hAnsi="Arial" w:cs="Arial"/>
          <w:i/>
          <w:iCs/>
          <w:sz w:val="20"/>
          <w:szCs w:val="20"/>
        </w:rPr>
        <w:t>27</w:t>
      </w:r>
      <w:r w:rsidRPr="00266B15">
        <w:rPr>
          <w:rFonts w:ascii="Arial" w:hAnsi="Arial" w:cs="Arial"/>
          <w:sz w:val="20"/>
          <w:szCs w:val="20"/>
        </w:rPr>
        <w:t>(4), 591</w:t>
      </w:r>
      <w:r w:rsidRPr="00266B15">
        <w:rPr>
          <w:rFonts w:ascii="Cambria Math" w:hAnsi="Cambria Math" w:cs="Cambria Math"/>
          <w:sz w:val="20"/>
          <w:szCs w:val="20"/>
        </w:rPr>
        <w:t>‑</w:t>
      </w:r>
      <w:r w:rsidRPr="00266B15">
        <w:rPr>
          <w:rFonts w:ascii="Arial" w:hAnsi="Arial" w:cs="Arial"/>
          <w:sz w:val="20"/>
          <w:szCs w:val="20"/>
        </w:rPr>
        <w:t>600. https://doi.org/10.1038/s41591-021-01301-0</w:t>
      </w:r>
    </w:p>
    <w:p w14:paraId="316AC0BD"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Fraga-Corral, M., Otero, P., Cassani, L., Echave, J., Garcia-Oliveira, P., Carpena, M., Chamorro, F., Lourenço-Lopes, C., Prieto, M. A., &amp; Simal-Gandara, J. (2021). Traditional Applications of Tannin Rich Extracts Supported by Scientific Data : Chemical Composition, Bioavailability and Bioaccessibility. </w:t>
      </w:r>
      <w:r w:rsidRPr="00266B15">
        <w:rPr>
          <w:rFonts w:ascii="Arial" w:hAnsi="Arial" w:cs="Arial"/>
          <w:i/>
          <w:iCs/>
          <w:sz w:val="20"/>
          <w:szCs w:val="20"/>
        </w:rPr>
        <w:t>Foods</w:t>
      </w:r>
      <w:r w:rsidRPr="00266B15">
        <w:rPr>
          <w:rFonts w:ascii="Arial" w:hAnsi="Arial" w:cs="Arial"/>
          <w:sz w:val="20"/>
          <w:szCs w:val="20"/>
        </w:rPr>
        <w:t xml:space="preserve">, </w:t>
      </w:r>
      <w:r w:rsidRPr="00266B15">
        <w:rPr>
          <w:rFonts w:ascii="Arial" w:hAnsi="Arial" w:cs="Arial"/>
          <w:i/>
          <w:iCs/>
          <w:sz w:val="20"/>
          <w:szCs w:val="20"/>
        </w:rPr>
        <w:t>10</w:t>
      </w:r>
      <w:r w:rsidRPr="00266B15">
        <w:rPr>
          <w:rFonts w:ascii="Arial" w:hAnsi="Arial" w:cs="Arial"/>
          <w:sz w:val="20"/>
          <w:szCs w:val="20"/>
        </w:rPr>
        <w:t>(2), 251. https://doi.org/10.3390/foods10020251</w:t>
      </w:r>
    </w:p>
    <w:p w14:paraId="6770E142"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Georgieva, M., Heinonen, T., Vitale, A., Hargraves, S., Causevic, S., Pillonel, T., Eberl, L., Widmann, C., &amp; Jacquier, N. (2021). Bacterial surface properties influence the activity of the TAT-RasGAP317-326 antimicrobial pede. </w:t>
      </w:r>
      <w:r w:rsidRPr="00266B15">
        <w:rPr>
          <w:rFonts w:ascii="Arial" w:hAnsi="Arial" w:cs="Arial"/>
          <w:i/>
          <w:iCs/>
          <w:sz w:val="20"/>
          <w:szCs w:val="20"/>
        </w:rPr>
        <w:t>iScience</w:t>
      </w:r>
      <w:r w:rsidRPr="00266B15">
        <w:rPr>
          <w:rFonts w:ascii="Arial" w:hAnsi="Arial" w:cs="Arial"/>
          <w:sz w:val="20"/>
          <w:szCs w:val="20"/>
        </w:rPr>
        <w:t xml:space="preserve">, </w:t>
      </w:r>
      <w:r w:rsidRPr="00266B15">
        <w:rPr>
          <w:rFonts w:ascii="Arial" w:hAnsi="Arial" w:cs="Arial"/>
          <w:i/>
          <w:iCs/>
          <w:sz w:val="20"/>
          <w:szCs w:val="20"/>
        </w:rPr>
        <w:t>24</w:t>
      </w:r>
      <w:r w:rsidRPr="00266B15">
        <w:rPr>
          <w:rFonts w:ascii="Arial" w:hAnsi="Arial" w:cs="Arial"/>
          <w:sz w:val="20"/>
          <w:szCs w:val="20"/>
        </w:rPr>
        <w:t>(8), 102923. https://doi.org/10.1016/j.isci.2021.102923</w:t>
      </w:r>
    </w:p>
    <w:p w14:paraId="707E8F91"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Gorbach, S. L., Bartlett, J. G., &amp; Blacklow, N. R. (2004). </w:t>
      </w:r>
      <w:r w:rsidRPr="00266B15">
        <w:rPr>
          <w:rFonts w:ascii="Arial" w:hAnsi="Arial" w:cs="Arial"/>
          <w:i/>
          <w:iCs/>
          <w:sz w:val="20"/>
          <w:szCs w:val="20"/>
        </w:rPr>
        <w:t>Infectious Diseases</w:t>
      </w:r>
      <w:r w:rsidRPr="00266B15">
        <w:rPr>
          <w:rFonts w:ascii="Arial" w:hAnsi="Arial" w:cs="Arial"/>
          <w:sz w:val="20"/>
          <w:szCs w:val="20"/>
        </w:rPr>
        <w:t>. Lippincott Williams &amp; Wilkins.</w:t>
      </w:r>
    </w:p>
    <w:p w14:paraId="4256B1C6"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Górniak, I., Bartoszewski, R., &amp; Króliczewski, J. (2019). Comprehensive review of antimicrobial activities of plant flavonoids. </w:t>
      </w:r>
      <w:r w:rsidRPr="00266B15">
        <w:rPr>
          <w:rFonts w:ascii="Arial" w:hAnsi="Arial" w:cs="Arial"/>
          <w:i/>
          <w:iCs/>
          <w:sz w:val="20"/>
          <w:szCs w:val="20"/>
        </w:rPr>
        <w:t>Phytochemistry Reviews</w:t>
      </w:r>
      <w:r w:rsidRPr="00266B15">
        <w:rPr>
          <w:rFonts w:ascii="Arial" w:hAnsi="Arial" w:cs="Arial"/>
          <w:sz w:val="20"/>
          <w:szCs w:val="20"/>
        </w:rPr>
        <w:t xml:space="preserve">, </w:t>
      </w:r>
      <w:r w:rsidRPr="00266B15">
        <w:rPr>
          <w:rFonts w:ascii="Arial" w:hAnsi="Arial" w:cs="Arial"/>
          <w:i/>
          <w:iCs/>
          <w:sz w:val="20"/>
          <w:szCs w:val="20"/>
        </w:rPr>
        <w:t>18</w:t>
      </w:r>
      <w:r w:rsidRPr="00266B15">
        <w:rPr>
          <w:rFonts w:ascii="Arial" w:hAnsi="Arial" w:cs="Arial"/>
          <w:sz w:val="20"/>
          <w:szCs w:val="20"/>
        </w:rPr>
        <w:t>(1), 241</w:t>
      </w:r>
      <w:r w:rsidRPr="00266B15">
        <w:rPr>
          <w:rFonts w:ascii="Cambria Math" w:hAnsi="Cambria Math" w:cs="Cambria Math"/>
          <w:sz w:val="20"/>
          <w:szCs w:val="20"/>
        </w:rPr>
        <w:t>‑</w:t>
      </w:r>
      <w:r w:rsidRPr="00266B15">
        <w:rPr>
          <w:rFonts w:ascii="Arial" w:hAnsi="Arial" w:cs="Arial"/>
          <w:sz w:val="20"/>
          <w:szCs w:val="20"/>
        </w:rPr>
        <w:t>272. https://doi.org/10.1007/s11101-018-9591-z</w:t>
      </w:r>
    </w:p>
    <w:p w14:paraId="12EEDBC3"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lastRenderedPageBreak/>
        <w:t xml:space="preserve">Gupta, D., &amp; Gupta, R. K. (2011). Bioprotective properties of Dragon’s blood resin : In vitro evaluation of antioxidant activity and antimicrobial activity. </w:t>
      </w:r>
      <w:r w:rsidRPr="00266B15">
        <w:rPr>
          <w:rFonts w:ascii="Arial" w:hAnsi="Arial" w:cs="Arial"/>
          <w:i/>
          <w:iCs/>
          <w:sz w:val="20"/>
          <w:szCs w:val="20"/>
        </w:rPr>
        <w:t>BMC Complementary and Alternative Medicine</w:t>
      </w:r>
      <w:r w:rsidRPr="00266B15">
        <w:rPr>
          <w:rFonts w:ascii="Arial" w:hAnsi="Arial" w:cs="Arial"/>
          <w:sz w:val="20"/>
          <w:szCs w:val="20"/>
        </w:rPr>
        <w:t xml:space="preserve">, </w:t>
      </w:r>
      <w:r w:rsidRPr="00266B15">
        <w:rPr>
          <w:rFonts w:ascii="Arial" w:hAnsi="Arial" w:cs="Arial"/>
          <w:i/>
          <w:iCs/>
          <w:sz w:val="20"/>
          <w:szCs w:val="20"/>
        </w:rPr>
        <w:t>11</w:t>
      </w:r>
      <w:r w:rsidRPr="00266B15">
        <w:rPr>
          <w:rFonts w:ascii="Arial" w:hAnsi="Arial" w:cs="Arial"/>
          <w:sz w:val="20"/>
          <w:szCs w:val="20"/>
        </w:rPr>
        <w:t>(1), 13. https://doi.org/10.1186/1472-6882-11-13</w:t>
      </w:r>
    </w:p>
    <w:p w14:paraId="707191B7" w14:textId="77777777" w:rsidR="008C070A" w:rsidRPr="00266B15" w:rsidRDefault="008C070A" w:rsidP="008C070A">
      <w:pPr>
        <w:pStyle w:val="Bibliography"/>
        <w:spacing w:line="360" w:lineRule="auto"/>
        <w:jc w:val="both"/>
        <w:rPr>
          <w:rFonts w:ascii="Arial" w:hAnsi="Arial" w:cs="Arial"/>
          <w:sz w:val="20"/>
          <w:szCs w:val="20"/>
          <w:lang w:val="fr-FR"/>
        </w:rPr>
      </w:pPr>
      <w:r w:rsidRPr="00266B15">
        <w:rPr>
          <w:rFonts w:ascii="Arial" w:hAnsi="Arial" w:cs="Arial"/>
          <w:sz w:val="20"/>
          <w:szCs w:val="20"/>
        </w:rPr>
        <w:t xml:space="preserve">Haddouchi, F., Chaouche, T. M., &amp; Halla, N. (2018). </w:t>
      </w:r>
      <w:r w:rsidRPr="00266B15">
        <w:rPr>
          <w:rFonts w:ascii="Arial" w:hAnsi="Arial" w:cs="Arial"/>
          <w:sz w:val="20"/>
          <w:szCs w:val="20"/>
          <w:lang w:val="fr-FR"/>
        </w:rPr>
        <w:t xml:space="preserve">Screening phytochimique, activités antioxydantes et pouvoir hémolytique de quatre plantes sahariennes d’Algérie. </w:t>
      </w:r>
      <w:r w:rsidRPr="00266B15">
        <w:rPr>
          <w:rFonts w:ascii="Arial" w:hAnsi="Arial" w:cs="Arial"/>
          <w:i/>
          <w:iCs/>
          <w:sz w:val="20"/>
          <w:szCs w:val="20"/>
          <w:lang w:val="fr-FR"/>
        </w:rPr>
        <w:t>Phytothérapie</w:t>
      </w:r>
      <w:r w:rsidRPr="00266B15">
        <w:rPr>
          <w:rFonts w:ascii="Arial" w:hAnsi="Arial" w:cs="Arial"/>
          <w:sz w:val="20"/>
          <w:szCs w:val="20"/>
          <w:lang w:val="fr-FR"/>
        </w:rPr>
        <w:t xml:space="preserve">, </w:t>
      </w:r>
      <w:r w:rsidRPr="00266B15">
        <w:rPr>
          <w:rFonts w:ascii="Arial" w:hAnsi="Arial" w:cs="Arial"/>
          <w:i/>
          <w:iCs/>
          <w:sz w:val="20"/>
          <w:szCs w:val="20"/>
          <w:lang w:val="fr-FR"/>
        </w:rPr>
        <w:t>16</w:t>
      </w:r>
      <w:r w:rsidRPr="00266B15">
        <w:rPr>
          <w:rFonts w:ascii="Arial" w:hAnsi="Arial" w:cs="Arial"/>
          <w:sz w:val="20"/>
          <w:szCs w:val="20"/>
          <w:lang w:val="fr-FR"/>
        </w:rPr>
        <w:t>(S1), Article S1. https://doi.org/10.3166/phyto-2019-0140</w:t>
      </w:r>
    </w:p>
    <w:p w14:paraId="4FF01D6E" w14:textId="77777777" w:rsidR="008C070A" w:rsidRPr="00266B15" w:rsidRDefault="008C070A" w:rsidP="008C070A">
      <w:pPr>
        <w:pStyle w:val="Bibliography"/>
        <w:spacing w:line="360" w:lineRule="auto"/>
        <w:jc w:val="both"/>
        <w:rPr>
          <w:rFonts w:ascii="Arial" w:hAnsi="Arial" w:cs="Arial"/>
          <w:sz w:val="20"/>
          <w:szCs w:val="20"/>
          <w:lang w:val="fr-FR"/>
        </w:rPr>
      </w:pPr>
      <w:r w:rsidRPr="00266B15">
        <w:rPr>
          <w:rFonts w:ascii="Arial" w:hAnsi="Arial" w:cs="Arial"/>
          <w:sz w:val="20"/>
          <w:szCs w:val="20"/>
          <w:lang w:val="fr-FR"/>
        </w:rPr>
        <w:t xml:space="preserve">Ibrahim, L. (2010). </w:t>
      </w:r>
      <w:r w:rsidRPr="00266B15">
        <w:rPr>
          <w:rFonts w:ascii="Arial" w:hAnsi="Arial" w:cs="Arial"/>
          <w:i/>
          <w:iCs/>
          <w:sz w:val="20"/>
          <w:szCs w:val="20"/>
          <w:lang w:val="fr-FR"/>
        </w:rPr>
        <w:t>Evaluation des propriétés antibactériennes, in vitro d’extraits de feuilles d’Agremone mexicana L. (papaveracea)</w:t>
      </w:r>
      <w:r w:rsidRPr="00266B15">
        <w:rPr>
          <w:rFonts w:ascii="Arial" w:hAnsi="Arial" w:cs="Arial"/>
          <w:sz w:val="20"/>
          <w:szCs w:val="20"/>
          <w:lang w:val="fr-FR"/>
        </w:rPr>
        <w:t xml:space="preserve"> [Doctorat d’Etat en Pharmacie]. Université de Ouagadougou.</w:t>
      </w:r>
    </w:p>
    <w:p w14:paraId="49A5D9DB"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lang w:val="fr-FR"/>
        </w:rPr>
        <w:t xml:space="preserve">Khan, A. M., &amp; Bhadauria, S. (2019). Analyse des composés phytochimiques médicinaux importants de l’Argemone mexicana. </w:t>
      </w:r>
      <w:r w:rsidRPr="00266B15">
        <w:rPr>
          <w:rFonts w:ascii="Arial" w:hAnsi="Arial" w:cs="Arial"/>
          <w:i/>
          <w:iCs/>
          <w:sz w:val="20"/>
          <w:szCs w:val="20"/>
        </w:rPr>
        <w:t>Journal of King Saud University - Science</w:t>
      </w:r>
      <w:r w:rsidRPr="00266B15">
        <w:rPr>
          <w:rFonts w:ascii="Arial" w:hAnsi="Arial" w:cs="Arial"/>
          <w:sz w:val="20"/>
          <w:szCs w:val="20"/>
        </w:rPr>
        <w:t xml:space="preserve">, </w:t>
      </w:r>
      <w:r w:rsidRPr="00266B15">
        <w:rPr>
          <w:rFonts w:ascii="Arial" w:hAnsi="Arial" w:cs="Arial"/>
          <w:i/>
          <w:iCs/>
          <w:sz w:val="20"/>
          <w:szCs w:val="20"/>
        </w:rPr>
        <w:t>31</w:t>
      </w:r>
      <w:r w:rsidRPr="00266B15">
        <w:rPr>
          <w:rFonts w:ascii="Arial" w:hAnsi="Arial" w:cs="Arial"/>
          <w:sz w:val="20"/>
          <w:szCs w:val="20"/>
        </w:rPr>
        <w:t>(4), 1020</w:t>
      </w:r>
      <w:r w:rsidRPr="00266B15">
        <w:rPr>
          <w:rFonts w:ascii="Cambria Math" w:hAnsi="Cambria Math" w:cs="Cambria Math"/>
          <w:sz w:val="20"/>
          <w:szCs w:val="20"/>
        </w:rPr>
        <w:t>‑</w:t>
      </w:r>
      <w:r w:rsidRPr="00266B15">
        <w:rPr>
          <w:rFonts w:ascii="Arial" w:hAnsi="Arial" w:cs="Arial"/>
          <w:sz w:val="20"/>
          <w:szCs w:val="20"/>
        </w:rPr>
        <w:t>1026. https://doi.org/10.1016/j.jksus.2018.05.009</w:t>
      </w:r>
    </w:p>
    <w:p w14:paraId="7AA378AD"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Lei, J., Sun, L., Huang, S., Zhu, C., Li, P., He, J., Mackey, V., Coy, D. H., &amp; He, Q. (2019). The antimicrobial peptides and their potential clinical applications. </w:t>
      </w:r>
      <w:r w:rsidRPr="00266B15">
        <w:rPr>
          <w:rFonts w:ascii="Arial" w:hAnsi="Arial" w:cs="Arial"/>
          <w:i/>
          <w:iCs/>
          <w:sz w:val="20"/>
          <w:szCs w:val="20"/>
        </w:rPr>
        <w:t>American Journal of Translational Research</w:t>
      </w:r>
      <w:r w:rsidRPr="00266B15">
        <w:rPr>
          <w:rFonts w:ascii="Arial" w:hAnsi="Arial" w:cs="Arial"/>
          <w:sz w:val="20"/>
          <w:szCs w:val="20"/>
        </w:rPr>
        <w:t xml:space="preserve">, </w:t>
      </w:r>
      <w:r w:rsidRPr="00266B15">
        <w:rPr>
          <w:rFonts w:ascii="Arial" w:hAnsi="Arial" w:cs="Arial"/>
          <w:i/>
          <w:iCs/>
          <w:sz w:val="20"/>
          <w:szCs w:val="20"/>
        </w:rPr>
        <w:t>11</w:t>
      </w:r>
      <w:r w:rsidRPr="00266B15">
        <w:rPr>
          <w:rFonts w:ascii="Arial" w:hAnsi="Arial" w:cs="Arial"/>
          <w:sz w:val="20"/>
          <w:szCs w:val="20"/>
        </w:rPr>
        <w:t>(7), 3919</w:t>
      </w:r>
      <w:r w:rsidRPr="00266B15">
        <w:rPr>
          <w:rFonts w:ascii="Cambria Math" w:hAnsi="Cambria Math" w:cs="Cambria Math"/>
          <w:sz w:val="20"/>
          <w:szCs w:val="20"/>
        </w:rPr>
        <w:t>‑</w:t>
      </w:r>
      <w:r w:rsidRPr="00266B15">
        <w:rPr>
          <w:rFonts w:ascii="Arial" w:hAnsi="Arial" w:cs="Arial"/>
          <w:sz w:val="20"/>
          <w:szCs w:val="20"/>
        </w:rPr>
        <w:t>3931.</w:t>
      </w:r>
    </w:p>
    <w:p w14:paraId="6C59880B"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Lewis, K., &amp; Ausubel, F. M. (2006). Prospects for plant-derived antibacterials. </w:t>
      </w:r>
      <w:r w:rsidRPr="00266B15">
        <w:rPr>
          <w:rFonts w:ascii="Arial" w:hAnsi="Arial" w:cs="Arial"/>
          <w:i/>
          <w:iCs/>
          <w:sz w:val="20"/>
          <w:szCs w:val="20"/>
        </w:rPr>
        <w:t>Nature Biotechnology</w:t>
      </w:r>
      <w:r w:rsidRPr="00266B15">
        <w:rPr>
          <w:rFonts w:ascii="Arial" w:hAnsi="Arial" w:cs="Arial"/>
          <w:sz w:val="20"/>
          <w:szCs w:val="20"/>
        </w:rPr>
        <w:t xml:space="preserve">, </w:t>
      </w:r>
      <w:r w:rsidRPr="00266B15">
        <w:rPr>
          <w:rFonts w:ascii="Arial" w:hAnsi="Arial" w:cs="Arial"/>
          <w:i/>
          <w:iCs/>
          <w:sz w:val="20"/>
          <w:szCs w:val="20"/>
        </w:rPr>
        <w:t>24</w:t>
      </w:r>
      <w:r w:rsidRPr="00266B15">
        <w:rPr>
          <w:rFonts w:ascii="Arial" w:hAnsi="Arial" w:cs="Arial"/>
          <w:sz w:val="20"/>
          <w:szCs w:val="20"/>
        </w:rPr>
        <w:t>(12), 1504</w:t>
      </w:r>
      <w:r w:rsidRPr="00266B15">
        <w:rPr>
          <w:rFonts w:ascii="Cambria Math" w:hAnsi="Cambria Math" w:cs="Cambria Math"/>
          <w:sz w:val="20"/>
          <w:szCs w:val="20"/>
        </w:rPr>
        <w:t>‑</w:t>
      </w:r>
      <w:r w:rsidRPr="00266B15">
        <w:rPr>
          <w:rFonts w:ascii="Arial" w:hAnsi="Arial" w:cs="Arial"/>
          <w:sz w:val="20"/>
          <w:szCs w:val="20"/>
        </w:rPr>
        <w:t>1507. https://doi.org/10.1038/nbt1206-1504</w:t>
      </w:r>
    </w:p>
    <w:p w14:paraId="41C5104C"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Madkour, D., Ahmed, M., Elkirdasy, A., Orabi, S., &amp; Mousa, A. (2024). Rutin : Chemical properties, Pharmacokinetic properties and Biological activities. </w:t>
      </w:r>
      <w:r w:rsidRPr="00266B15">
        <w:rPr>
          <w:rFonts w:ascii="Arial" w:hAnsi="Arial" w:cs="Arial"/>
          <w:i/>
          <w:iCs/>
          <w:sz w:val="20"/>
          <w:szCs w:val="20"/>
        </w:rPr>
        <w:t>Matrouh Journal of Veterinary Medicine</w:t>
      </w:r>
      <w:r w:rsidRPr="00266B15">
        <w:rPr>
          <w:rFonts w:ascii="Arial" w:hAnsi="Arial" w:cs="Arial"/>
          <w:sz w:val="20"/>
          <w:szCs w:val="20"/>
        </w:rPr>
        <w:t xml:space="preserve">, </w:t>
      </w:r>
      <w:r w:rsidRPr="00266B15">
        <w:rPr>
          <w:rFonts w:ascii="Arial" w:hAnsi="Arial" w:cs="Arial"/>
          <w:i/>
          <w:iCs/>
          <w:sz w:val="20"/>
          <w:szCs w:val="20"/>
        </w:rPr>
        <w:t>4</w:t>
      </w:r>
      <w:r w:rsidRPr="00266B15">
        <w:rPr>
          <w:rFonts w:ascii="Arial" w:hAnsi="Arial" w:cs="Arial"/>
          <w:sz w:val="20"/>
          <w:szCs w:val="20"/>
        </w:rPr>
        <w:t>(1), 26</w:t>
      </w:r>
      <w:r w:rsidRPr="00266B15">
        <w:rPr>
          <w:rFonts w:ascii="Cambria Math" w:hAnsi="Cambria Math" w:cs="Cambria Math"/>
          <w:sz w:val="20"/>
          <w:szCs w:val="20"/>
        </w:rPr>
        <w:t>‑</w:t>
      </w:r>
      <w:r w:rsidRPr="00266B15">
        <w:rPr>
          <w:rFonts w:ascii="Arial" w:hAnsi="Arial" w:cs="Arial"/>
          <w:sz w:val="20"/>
          <w:szCs w:val="20"/>
        </w:rPr>
        <w:t>34. https://doi.org/10.21608/mjvm.2024.341806</w:t>
      </w:r>
    </w:p>
    <w:p w14:paraId="400F08A7"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Mbekou, M. I. K., Dize, D., Yimgang, V. L., Djague, F., Toghueo, R. M. K., Sewald, N., Lenta, B. N., &amp; Boyom, F. F. (2021). Antibacterial and Mode of Action of Extracts from Endophytic Fungi Derived from Terminalia mantaly, Terminalia catappa, and Cananga odorata. </w:t>
      </w:r>
      <w:r w:rsidRPr="00266B15">
        <w:rPr>
          <w:rFonts w:ascii="Arial" w:hAnsi="Arial" w:cs="Arial"/>
          <w:i/>
          <w:iCs/>
          <w:sz w:val="20"/>
          <w:szCs w:val="20"/>
        </w:rPr>
        <w:t>BioMed Research International</w:t>
      </w:r>
      <w:r w:rsidRPr="00266B15">
        <w:rPr>
          <w:rFonts w:ascii="Arial" w:hAnsi="Arial" w:cs="Arial"/>
          <w:sz w:val="20"/>
          <w:szCs w:val="20"/>
        </w:rPr>
        <w:t xml:space="preserve">, </w:t>
      </w:r>
      <w:r w:rsidRPr="00266B15">
        <w:rPr>
          <w:rFonts w:ascii="Arial" w:hAnsi="Arial" w:cs="Arial"/>
          <w:i/>
          <w:iCs/>
          <w:sz w:val="20"/>
          <w:szCs w:val="20"/>
        </w:rPr>
        <w:t>2021</w:t>
      </w:r>
      <w:r w:rsidRPr="00266B15">
        <w:rPr>
          <w:rFonts w:ascii="Arial" w:hAnsi="Arial" w:cs="Arial"/>
          <w:sz w:val="20"/>
          <w:szCs w:val="20"/>
        </w:rPr>
        <w:t>(1), 6697973. https://doi.org/10.1155/2021/6697973</w:t>
      </w:r>
    </w:p>
    <w:p w14:paraId="1BCBCEBB"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Moore, B. D., Andrew, R. L., Külheim, C., &amp; Foley, W. J. (2014). Explaining intraspecific diversity in plant secondary metabolites in an ecological context. </w:t>
      </w:r>
      <w:r w:rsidRPr="00266B15">
        <w:rPr>
          <w:rFonts w:ascii="Arial" w:hAnsi="Arial" w:cs="Arial"/>
          <w:i/>
          <w:iCs/>
          <w:sz w:val="20"/>
          <w:szCs w:val="20"/>
        </w:rPr>
        <w:t>New Phytologist</w:t>
      </w:r>
      <w:r w:rsidRPr="00266B15">
        <w:rPr>
          <w:rFonts w:ascii="Arial" w:hAnsi="Arial" w:cs="Arial"/>
          <w:sz w:val="20"/>
          <w:szCs w:val="20"/>
        </w:rPr>
        <w:t xml:space="preserve">, </w:t>
      </w:r>
      <w:r w:rsidRPr="00266B15">
        <w:rPr>
          <w:rFonts w:ascii="Arial" w:hAnsi="Arial" w:cs="Arial"/>
          <w:i/>
          <w:iCs/>
          <w:sz w:val="20"/>
          <w:szCs w:val="20"/>
        </w:rPr>
        <w:t>201</w:t>
      </w:r>
      <w:r w:rsidRPr="00266B15">
        <w:rPr>
          <w:rFonts w:ascii="Arial" w:hAnsi="Arial" w:cs="Arial"/>
          <w:sz w:val="20"/>
          <w:szCs w:val="20"/>
        </w:rPr>
        <w:t>(3), 733</w:t>
      </w:r>
      <w:r w:rsidRPr="00266B15">
        <w:rPr>
          <w:rFonts w:ascii="Cambria Math" w:hAnsi="Cambria Math" w:cs="Cambria Math"/>
          <w:sz w:val="20"/>
          <w:szCs w:val="20"/>
        </w:rPr>
        <w:t>‑</w:t>
      </w:r>
      <w:r w:rsidRPr="00266B15">
        <w:rPr>
          <w:rFonts w:ascii="Arial" w:hAnsi="Arial" w:cs="Arial"/>
          <w:sz w:val="20"/>
          <w:szCs w:val="20"/>
        </w:rPr>
        <w:t>750. https://doi.org/10.1111/nph.12526</w:t>
      </w:r>
    </w:p>
    <w:p w14:paraId="74C68A29"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Mostafavi, E., Ghasemian, A., Abdinasir, A., Nematollahi Mahani, S. A., Rawaf, S., Salehi Vaziri, M., Gouya, M. M., Minh Nhu Nguyen, T., Al Awaidy, S., Al Ariqi, L., Islam, Md. M., Abu Baker Abd Farag, E., Obtel, M., Omondi Mala, P., Matar, G. M., Asghar, R. J., Barakat, A., Sahak, M. N., Abdulmonem Mansouri, M., &amp; Swaka, A. (2021). Emerging and Re-emerging Infectious Diseases in the WHO Eastern Mediterranean Region, 2001-2018. </w:t>
      </w:r>
      <w:r w:rsidRPr="00266B15">
        <w:rPr>
          <w:rFonts w:ascii="Arial" w:hAnsi="Arial" w:cs="Arial"/>
          <w:i/>
          <w:iCs/>
          <w:sz w:val="20"/>
          <w:szCs w:val="20"/>
        </w:rPr>
        <w:t>International Journal of Health Policy and Management</w:t>
      </w:r>
      <w:r w:rsidRPr="00266B15">
        <w:rPr>
          <w:rFonts w:ascii="Arial" w:hAnsi="Arial" w:cs="Arial"/>
          <w:sz w:val="20"/>
          <w:szCs w:val="20"/>
        </w:rPr>
        <w:t xml:space="preserve">, </w:t>
      </w:r>
      <w:r w:rsidRPr="00266B15">
        <w:rPr>
          <w:rFonts w:ascii="Arial" w:hAnsi="Arial" w:cs="Arial"/>
          <w:i/>
          <w:iCs/>
          <w:sz w:val="20"/>
          <w:szCs w:val="20"/>
        </w:rPr>
        <w:t>11</w:t>
      </w:r>
      <w:r w:rsidRPr="00266B15">
        <w:rPr>
          <w:rFonts w:ascii="Arial" w:hAnsi="Arial" w:cs="Arial"/>
          <w:sz w:val="20"/>
          <w:szCs w:val="20"/>
        </w:rPr>
        <w:t>(8), 1286</w:t>
      </w:r>
      <w:r w:rsidRPr="00266B15">
        <w:rPr>
          <w:rFonts w:ascii="Cambria Math" w:hAnsi="Cambria Math" w:cs="Cambria Math"/>
          <w:sz w:val="20"/>
          <w:szCs w:val="20"/>
        </w:rPr>
        <w:t>‑</w:t>
      </w:r>
      <w:r w:rsidRPr="00266B15">
        <w:rPr>
          <w:rFonts w:ascii="Arial" w:hAnsi="Arial" w:cs="Arial"/>
          <w:sz w:val="20"/>
          <w:szCs w:val="20"/>
        </w:rPr>
        <w:t>1300. https://doi.org/10.34172/ijhpm.2021.13</w:t>
      </w:r>
    </w:p>
    <w:p w14:paraId="7FAF49DE" w14:textId="77777777" w:rsidR="008C070A" w:rsidRPr="00266B15" w:rsidRDefault="008C070A" w:rsidP="008C070A">
      <w:pPr>
        <w:spacing w:line="360" w:lineRule="auto"/>
        <w:jc w:val="both"/>
        <w:rPr>
          <w:rFonts w:ascii="Arial" w:hAnsi="Arial" w:cs="Arial"/>
          <w:lang w:val="fr-FR"/>
        </w:rPr>
      </w:pPr>
      <w:r w:rsidRPr="00266B15">
        <w:rPr>
          <w:rFonts w:ascii="Arial" w:hAnsi="Arial" w:cs="Arial"/>
          <w:lang w:val="fr-FR"/>
        </w:rPr>
        <w:lastRenderedPageBreak/>
        <w:t xml:space="preserve">Moussally, K. (2009). </w:t>
      </w:r>
      <w:r w:rsidRPr="00266B15">
        <w:rPr>
          <w:rFonts w:ascii="Arial" w:hAnsi="Arial" w:cs="Arial"/>
          <w:i/>
          <w:iCs/>
          <w:lang w:val="fr-FR"/>
        </w:rPr>
        <w:t>L’utilisation des plantes médicinales en grossesse : Prévalence, déterminants et risque de prématurité</w:t>
      </w:r>
      <w:r w:rsidRPr="00266B15">
        <w:rPr>
          <w:rFonts w:ascii="Arial" w:hAnsi="Arial" w:cs="Arial"/>
          <w:lang w:val="fr-FR"/>
        </w:rPr>
        <w:t>. http://hdl.handle.net/1866/8072</w:t>
      </w:r>
    </w:p>
    <w:p w14:paraId="02B1B6F9" w14:textId="77777777" w:rsidR="008C070A" w:rsidRPr="00266B15" w:rsidRDefault="008C070A" w:rsidP="008C070A">
      <w:pPr>
        <w:pStyle w:val="Bibliography"/>
        <w:spacing w:line="360" w:lineRule="auto"/>
        <w:jc w:val="both"/>
        <w:rPr>
          <w:rFonts w:ascii="Arial" w:hAnsi="Arial" w:cs="Arial"/>
          <w:sz w:val="20"/>
          <w:szCs w:val="20"/>
          <w:lang w:val="fr-FR"/>
        </w:rPr>
      </w:pPr>
      <w:r w:rsidRPr="00266B15">
        <w:rPr>
          <w:rFonts w:ascii="Arial" w:hAnsi="Arial" w:cs="Arial"/>
          <w:sz w:val="20"/>
          <w:szCs w:val="20"/>
          <w:lang w:val="fr-FR"/>
        </w:rPr>
        <w:t xml:space="preserve">Nacoulma, O. G. (1996). </w:t>
      </w:r>
      <w:r w:rsidRPr="00266B15">
        <w:rPr>
          <w:rFonts w:ascii="Arial" w:hAnsi="Arial" w:cs="Arial"/>
          <w:i/>
          <w:iCs/>
          <w:sz w:val="20"/>
          <w:szCs w:val="20"/>
          <w:lang w:val="fr-FR"/>
        </w:rPr>
        <w:t>Plantes médicinales et pratiques médicales traditionnelles au Burkina Faso : Cas du plateau central, Tome I &amp; II</w:t>
      </w:r>
      <w:r w:rsidRPr="00266B15">
        <w:rPr>
          <w:rFonts w:ascii="Arial" w:hAnsi="Arial" w:cs="Arial"/>
          <w:sz w:val="20"/>
          <w:szCs w:val="20"/>
          <w:lang w:val="fr-FR"/>
        </w:rPr>
        <w:t xml:space="preserve"> [These de doctorat d’Etat ès sciences naturelles]. Université de Ouagadougou.</w:t>
      </w:r>
    </w:p>
    <w:p w14:paraId="76C52287"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lang w:val="fr-FR"/>
        </w:rPr>
        <w:t xml:space="preserve">N’do, J. Y., Paré, D., Bondé, L., &amp; Hilou, A. (2024). </w:t>
      </w:r>
      <w:r w:rsidRPr="00266B15">
        <w:rPr>
          <w:rFonts w:ascii="Arial" w:hAnsi="Arial" w:cs="Arial"/>
          <w:sz w:val="20"/>
          <w:szCs w:val="20"/>
        </w:rPr>
        <w:t xml:space="preserve">Comparative phytochemical profile and biological activity of three Terminalia species as alternative antimicrobial therapies. </w:t>
      </w:r>
      <w:r w:rsidRPr="00266B15">
        <w:rPr>
          <w:rFonts w:ascii="Arial" w:hAnsi="Arial" w:cs="Arial"/>
          <w:i/>
          <w:iCs/>
          <w:sz w:val="20"/>
          <w:szCs w:val="20"/>
        </w:rPr>
        <w:t>Heliyon</w:t>
      </w:r>
      <w:r w:rsidRPr="00266B15">
        <w:rPr>
          <w:rFonts w:ascii="Arial" w:hAnsi="Arial" w:cs="Arial"/>
          <w:sz w:val="20"/>
          <w:szCs w:val="20"/>
        </w:rPr>
        <w:t xml:space="preserve">, </w:t>
      </w:r>
      <w:r w:rsidRPr="00266B15">
        <w:rPr>
          <w:rFonts w:ascii="Arial" w:hAnsi="Arial" w:cs="Arial"/>
          <w:i/>
          <w:iCs/>
          <w:sz w:val="20"/>
          <w:szCs w:val="20"/>
        </w:rPr>
        <w:t>10</w:t>
      </w:r>
      <w:r w:rsidRPr="00266B15">
        <w:rPr>
          <w:rFonts w:ascii="Arial" w:hAnsi="Arial" w:cs="Arial"/>
          <w:sz w:val="20"/>
          <w:szCs w:val="20"/>
        </w:rPr>
        <w:t>(21). https://doi.org/10.1016/j.heliyon.2024.e40159</w:t>
      </w:r>
    </w:p>
    <w:p w14:paraId="03CA9E78"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Omonkhua, A. A., Cyril-Olutayo, M. C., Akanbi, O. M., &amp; Adebayo, O. A. (2013). Antimalarial, hematological, and antioxidant effects of methanolic extract of Terminalia avicennioides in Plasmodium berghei-infected mice. </w:t>
      </w:r>
      <w:r w:rsidRPr="00266B15">
        <w:rPr>
          <w:rFonts w:ascii="Arial" w:hAnsi="Arial" w:cs="Arial"/>
          <w:i/>
          <w:iCs/>
          <w:sz w:val="20"/>
          <w:szCs w:val="20"/>
        </w:rPr>
        <w:t>Parasitology Research</w:t>
      </w:r>
      <w:r w:rsidRPr="00266B15">
        <w:rPr>
          <w:rFonts w:ascii="Arial" w:hAnsi="Arial" w:cs="Arial"/>
          <w:sz w:val="20"/>
          <w:szCs w:val="20"/>
        </w:rPr>
        <w:t xml:space="preserve">, </w:t>
      </w:r>
      <w:r w:rsidRPr="00266B15">
        <w:rPr>
          <w:rFonts w:ascii="Arial" w:hAnsi="Arial" w:cs="Arial"/>
          <w:i/>
          <w:iCs/>
          <w:sz w:val="20"/>
          <w:szCs w:val="20"/>
        </w:rPr>
        <w:t>112</w:t>
      </w:r>
      <w:r w:rsidRPr="00266B15">
        <w:rPr>
          <w:rFonts w:ascii="Arial" w:hAnsi="Arial" w:cs="Arial"/>
          <w:sz w:val="20"/>
          <w:szCs w:val="20"/>
        </w:rPr>
        <w:t>(10), 3497</w:t>
      </w:r>
      <w:r w:rsidRPr="00266B15">
        <w:rPr>
          <w:rFonts w:ascii="Cambria Math" w:hAnsi="Cambria Math" w:cs="Cambria Math"/>
          <w:sz w:val="20"/>
          <w:szCs w:val="20"/>
        </w:rPr>
        <w:t>‑</w:t>
      </w:r>
      <w:r w:rsidRPr="00266B15">
        <w:rPr>
          <w:rFonts w:ascii="Arial" w:hAnsi="Arial" w:cs="Arial"/>
          <w:sz w:val="20"/>
          <w:szCs w:val="20"/>
        </w:rPr>
        <w:t>3503. https://doi.org/10.1007/s00436-013-3530-0</w:t>
      </w:r>
    </w:p>
    <w:p w14:paraId="0F2E0ABC"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Pare, D., N’do, J. Y., Guenne, S., Nikiema, M., &amp; Hilou, A. (2019). Phytochemical study and biological activities of two medicinal plants used in burkina faso : Lannea velutina a. Rich (Anacardiaceae) and Ximenia americana L.(Olacaceae). </w:t>
      </w:r>
      <w:r w:rsidRPr="00266B15">
        <w:rPr>
          <w:rFonts w:ascii="Arial" w:hAnsi="Arial" w:cs="Arial"/>
          <w:i/>
          <w:iCs/>
          <w:sz w:val="20"/>
          <w:szCs w:val="20"/>
        </w:rPr>
        <w:t>Asian Journal of Chemical Sciences</w:t>
      </w:r>
      <w:r w:rsidRPr="00266B15">
        <w:rPr>
          <w:rFonts w:ascii="Arial" w:hAnsi="Arial" w:cs="Arial"/>
          <w:sz w:val="20"/>
          <w:szCs w:val="20"/>
        </w:rPr>
        <w:t xml:space="preserve">, </w:t>
      </w:r>
      <w:r w:rsidRPr="00266B15">
        <w:rPr>
          <w:rFonts w:ascii="Arial" w:hAnsi="Arial" w:cs="Arial"/>
          <w:i/>
          <w:iCs/>
          <w:sz w:val="20"/>
          <w:szCs w:val="20"/>
        </w:rPr>
        <w:t>6</w:t>
      </w:r>
      <w:r w:rsidRPr="00266B15">
        <w:rPr>
          <w:rFonts w:ascii="Arial" w:hAnsi="Arial" w:cs="Arial"/>
          <w:sz w:val="20"/>
          <w:szCs w:val="20"/>
        </w:rPr>
        <w:t>, 1</w:t>
      </w:r>
      <w:r w:rsidRPr="00266B15">
        <w:rPr>
          <w:rFonts w:ascii="Cambria Math" w:hAnsi="Cambria Math" w:cs="Cambria Math"/>
          <w:sz w:val="20"/>
          <w:szCs w:val="20"/>
        </w:rPr>
        <w:t>‑</w:t>
      </w:r>
      <w:r w:rsidRPr="00266B15">
        <w:rPr>
          <w:rFonts w:ascii="Arial" w:hAnsi="Arial" w:cs="Arial"/>
          <w:sz w:val="20"/>
          <w:szCs w:val="20"/>
        </w:rPr>
        <w:t>9.</w:t>
      </w:r>
    </w:p>
    <w:p w14:paraId="745E770E"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Patocka, J., Ovando-Martinez, M., Navratilova, Z., Oleksak, P., Ogwu, M. C., Nepovimova, E., &amp; Kuca, K. (2024). Argemone mexicana L. (Papaveraceae) : Chemistry, pharmacology, and toxicology. </w:t>
      </w:r>
      <w:r w:rsidRPr="00266B15">
        <w:rPr>
          <w:rFonts w:ascii="Arial" w:hAnsi="Arial" w:cs="Arial"/>
          <w:i/>
          <w:iCs/>
          <w:sz w:val="20"/>
          <w:szCs w:val="20"/>
        </w:rPr>
        <w:t>Phytochemistry Reviews</w:t>
      </w:r>
      <w:r w:rsidRPr="00266B15">
        <w:rPr>
          <w:rFonts w:ascii="Arial" w:hAnsi="Arial" w:cs="Arial"/>
          <w:sz w:val="20"/>
          <w:szCs w:val="20"/>
        </w:rPr>
        <w:t xml:space="preserve">, </w:t>
      </w:r>
      <w:r w:rsidRPr="00266B15">
        <w:rPr>
          <w:rFonts w:ascii="Arial" w:hAnsi="Arial" w:cs="Arial"/>
          <w:i/>
          <w:iCs/>
          <w:sz w:val="20"/>
          <w:szCs w:val="20"/>
        </w:rPr>
        <w:t>23</w:t>
      </w:r>
      <w:r w:rsidRPr="00266B15">
        <w:rPr>
          <w:rFonts w:ascii="Arial" w:hAnsi="Arial" w:cs="Arial"/>
          <w:sz w:val="20"/>
          <w:szCs w:val="20"/>
        </w:rPr>
        <w:t>(4), 1167</w:t>
      </w:r>
      <w:r w:rsidRPr="00266B15">
        <w:rPr>
          <w:rFonts w:ascii="Cambria Math" w:hAnsi="Cambria Math" w:cs="Cambria Math"/>
          <w:sz w:val="20"/>
          <w:szCs w:val="20"/>
        </w:rPr>
        <w:t>‑</w:t>
      </w:r>
      <w:r w:rsidRPr="00266B15">
        <w:rPr>
          <w:rFonts w:ascii="Arial" w:hAnsi="Arial" w:cs="Arial"/>
          <w:sz w:val="20"/>
          <w:szCs w:val="20"/>
        </w:rPr>
        <w:t>1182. https://doi.org/10.1007/s11101-024-09918-y</w:t>
      </w:r>
    </w:p>
    <w:p w14:paraId="670A4D18"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Rieckmann, K. H., Campbell, G. H., Sax, L. J., &amp; Ema, J. E. (1978). Drug sensitivity of plasmoduim falciparum drug. An In-vitro Microtechnique. </w:t>
      </w:r>
      <w:r w:rsidRPr="00266B15">
        <w:rPr>
          <w:rFonts w:ascii="Arial" w:hAnsi="Arial" w:cs="Arial"/>
          <w:i/>
          <w:iCs/>
          <w:sz w:val="20"/>
          <w:szCs w:val="20"/>
        </w:rPr>
        <w:t>The Lancet</w:t>
      </w:r>
      <w:r w:rsidRPr="00266B15">
        <w:rPr>
          <w:rFonts w:ascii="Arial" w:hAnsi="Arial" w:cs="Arial"/>
          <w:sz w:val="20"/>
          <w:szCs w:val="20"/>
        </w:rPr>
        <w:t xml:space="preserve">, </w:t>
      </w:r>
      <w:r w:rsidRPr="00266B15">
        <w:rPr>
          <w:rFonts w:ascii="Arial" w:hAnsi="Arial" w:cs="Arial"/>
          <w:i/>
          <w:iCs/>
          <w:sz w:val="20"/>
          <w:szCs w:val="20"/>
        </w:rPr>
        <w:t>311</w:t>
      </w:r>
      <w:r w:rsidRPr="00266B15">
        <w:rPr>
          <w:rFonts w:ascii="Arial" w:hAnsi="Arial" w:cs="Arial"/>
          <w:sz w:val="20"/>
          <w:szCs w:val="20"/>
        </w:rPr>
        <w:t>(8054), 22</w:t>
      </w:r>
      <w:r w:rsidRPr="00266B15">
        <w:rPr>
          <w:rFonts w:ascii="Cambria Math" w:hAnsi="Cambria Math" w:cs="Cambria Math"/>
          <w:sz w:val="20"/>
          <w:szCs w:val="20"/>
        </w:rPr>
        <w:t>‑</w:t>
      </w:r>
      <w:r w:rsidRPr="00266B15">
        <w:rPr>
          <w:rFonts w:ascii="Arial" w:hAnsi="Arial" w:cs="Arial"/>
          <w:sz w:val="20"/>
          <w:szCs w:val="20"/>
        </w:rPr>
        <w:t>23. https://doi.org/10.1016/S0140-6736(78)90365-3</w:t>
      </w:r>
    </w:p>
    <w:p w14:paraId="113C790C"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Sharma, K., Kaur, R., Kumar, S., Saini, R. K., Sharma, S., Pawde, S. V., &amp; Kumar, V. (2023). Saponins : A concise review on food related aspects, applications and health implications. </w:t>
      </w:r>
      <w:r w:rsidRPr="00266B15">
        <w:rPr>
          <w:rFonts w:ascii="Arial" w:hAnsi="Arial" w:cs="Arial"/>
          <w:i/>
          <w:iCs/>
          <w:sz w:val="20"/>
          <w:szCs w:val="20"/>
        </w:rPr>
        <w:t>Food Chemistry Advances</w:t>
      </w:r>
      <w:r w:rsidRPr="00266B15">
        <w:rPr>
          <w:rFonts w:ascii="Arial" w:hAnsi="Arial" w:cs="Arial"/>
          <w:sz w:val="20"/>
          <w:szCs w:val="20"/>
        </w:rPr>
        <w:t xml:space="preserve">, </w:t>
      </w:r>
      <w:r w:rsidRPr="00266B15">
        <w:rPr>
          <w:rFonts w:ascii="Arial" w:hAnsi="Arial" w:cs="Arial"/>
          <w:i/>
          <w:iCs/>
          <w:sz w:val="20"/>
          <w:szCs w:val="20"/>
        </w:rPr>
        <w:t>2</w:t>
      </w:r>
      <w:r w:rsidRPr="00266B15">
        <w:rPr>
          <w:rFonts w:ascii="Arial" w:hAnsi="Arial" w:cs="Arial"/>
          <w:sz w:val="20"/>
          <w:szCs w:val="20"/>
        </w:rPr>
        <w:t>, 100191. https://doi.org/10.1016/j.focha.2023.100191</w:t>
      </w:r>
    </w:p>
    <w:p w14:paraId="57FC8757"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Sidiki, N. N. A., Nadia, N. A. C., Cedric, Y., Azizi, M. A., Kevin, T. D. A., Guy-Armand, G. N., Sandra, T. N. J., &amp; Payne, V. K. (2023). </w:t>
      </w:r>
      <w:r w:rsidRPr="00266B15">
        <w:rPr>
          <w:rFonts w:ascii="Arial" w:hAnsi="Arial" w:cs="Arial"/>
          <w:sz w:val="20"/>
          <w:szCs w:val="20"/>
          <w:lang w:val="fr-FR"/>
        </w:rPr>
        <w:t xml:space="preserve">Activité antiplasmodiale, antioxydante et cytotoxique in vitro de </w:t>
      </w:r>
      <w:r w:rsidRPr="00266B15">
        <w:rPr>
          <w:rFonts w:ascii="Arial" w:hAnsi="Arial" w:cs="Arial"/>
          <w:i/>
          <w:iCs/>
          <w:sz w:val="20"/>
          <w:szCs w:val="20"/>
          <w:lang w:val="fr-FR"/>
        </w:rPr>
        <w:t>Terminalia macroptera</w:t>
      </w:r>
      <w:r w:rsidRPr="00266B15">
        <w:rPr>
          <w:rFonts w:ascii="Arial" w:hAnsi="Arial" w:cs="Arial"/>
          <w:sz w:val="20"/>
          <w:szCs w:val="20"/>
          <w:lang w:val="fr-FR"/>
        </w:rPr>
        <w:t xml:space="preserve"> traditionnellement utilisée au Cameroun contre le paludisme. </w:t>
      </w:r>
      <w:r w:rsidRPr="00266B15">
        <w:rPr>
          <w:rFonts w:ascii="Arial" w:hAnsi="Arial" w:cs="Arial"/>
          <w:i/>
          <w:iCs/>
          <w:sz w:val="20"/>
          <w:szCs w:val="20"/>
        </w:rPr>
        <w:t>Journal of Herbal Medicine</w:t>
      </w:r>
      <w:r w:rsidRPr="00266B15">
        <w:rPr>
          <w:rFonts w:ascii="Arial" w:hAnsi="Arial" w:cs="Arial"/>
          <w:sz w:val="20"/>
          <w:szCs w:val="20"/>
        </w:rPr>
        <w:t xml:space="preserve">, </w:t>
      </w:r>
      <w:r w:rsidRPr="00266B15">
        <w:rPr>
          <w:rFonts w:ascii="Arial" w:hAnsi="Arial" w:cs="Arial"/>
          <w:i/>
          <w:iCs/>
          <w:sz w:val="20"/>
          <w:szCs w:val="20"/>
        </w:rPr>
        <w:t>41</w:t>
      </w:r>
      <w:r w:rsidRPr="00266B15">
        <w:rPr>
          <w:rFonts w:ascii="Arial" w:hAnsi="Arial" w:cs="Arial"/>
          <w:sz w:val="20"/>
          <w:szCs w:val="20"/>
        </w:rPr>
        <w:t>, 100723. https://doi.org/10.1016/j.hermed.2023.100723</w:t>
      </w:r>
    </w:p>
    <w:p w14:paraId="0DE10779"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Singleton, V. L., Orthofer, R., &amp; Lamuela-Raventós, R. M. (1999). [14] Analysis of total phenols and other oxidation substrates and antioxidants by means of folin-ciocalteu reagent. In </w:t>
      </w:r>
      <w:r w:rsidRPr="00266B15">
        <w:rPr>
          <w:rFonts w:ascii="Arial" w:hAnsi="Arial" w:cs="Arial"/>
          <w:i/>
          <w:iCs/>
          <w:sz w:val="20"/>
          <w:szCs w:val="20"/>
        </w:rPr>
        <w:t>Methods in Enzymology</w:t>
      </w:r>
      <w:r w:rsidRPr="00266B15">
        <w:rPr>
          <w:rFonts w:ascii="Arial" w:hAnsi="Arial" w:cs="Arial"/>
          <w:sz w:val="20"/>
          <w:szCs w:val="20"/>
        </w:rPr>
        <w:t xml:space="preserve"> (Vol. 299, p. 152</w:t>
      </w:r>
      <w:r w:rsidRPr="00266B15">
        <w:rPr>
          <w:rFonts w:ascii="Cambria Math" w:hAnsi="Cambria Math" w:cs="Cambria Math"/>
          <w:sz w:val="20"/>
          <w:szCs w:val="20"/>
        </w:rPr>
        <w:t>‑</w:t>
      </w:r>
      <w:r w:rsidRPr="00266B15">
        <w:rPr>
          <w:rFonts w:ascii="Arial" w:hAnsi="Arial" w:cs="Arial"/>
          <w:sz w:val="20"/>
          <w:szCs w:val="20"/>
        </w:rPr>
        <w:t>178). Academic Press. https://doi.org/10.1016/S0076-6879(99)99017-1</w:t>
      </w:r>
    </w:p>
    <w:p w14:paraId="0CE871E5"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lang w:val="fr-FR"/>
        </w:rPr>
        <w:lastRenderedPageBreak/>
        <w:t xml:space="preserve">Traoré, Y., Ouattara, K., Doumbia, D., &amp; Coulibaly, A. (2012). Recherche des activités antifongique et antibactérienne des feuilles d’Annona senegalensis Pers. </w:t>
      </w:r>
      <w:r w:rsidRPr="00266B15">
        <w:rPr>
          <w:rFonts w:ascii="Arial" w:hAnsi="Arial" w:cs="Arial"/>
          <w:sz w:val="20"/>
          <w:szCs w:val="20"/>
        </w:rPr>
        <w:t xml:space="preserve">(Annonaceae). </w:t>
      </w:r>
      <w:r w:rsidRPr="00266B15">
        <w:rPr>
          <w:rFonts w:ascii="Arial" w:hAnsi="Arial" w:cs="Arial"/>
          <w:i/>
          <w:iCs/>
          <w:sz w:val="20"/>
          <w:szCs w:val="20"/>
        </w:rPr>
        <w:t>Journal of Applied Biosciences</w:t>
      </w:r>
      <w:r w:rsidRPr="00266B15">
        <w:rPr>
          <w:rFonts w:ascii="Arial" w:hAnsi="Arial" w:cs="Arial"/>
          <w:sz w:val="20"/>
          <w:szCs w:val="20"/>
        </w:rPr>
        <w:t xml:space="preserve">, </w:t>
      </w:r>
      <w:r w:rsidRPr="00266B15">
        <w:rPr>
          <w:rFonts w:ascii="Arial" w:hAnsi="Arial" w:cs="Arial"/>
          <w:i/>
          <w:iCs/>
          <w:sz w:val="20"/>
          <w:szCs w:val="20"/>
        </w:rPr>
        <w:t>58</w:t>
      </w:r>
      <w:r w:rsidRPr="00266B15">
        <w:rPr>
          <w:rFonts w:ascii="Arial" w:hAnsi="Arial" w:cs="Arial"/>
          <w:sz w:val="20"/>
          <w:szCs w:val="20"/>
        </w:rPr>
        <w:t>, 4234</w:t>
      </w:r>
      <w:r w:rsidRPr="00266B15">
        <w:rPr>
          <w:rFonts w:ascii="Cambria Math" w:hAnsi="Cambria Math" w:cs="Cambria Math"/>
          <w:sz w:val="20"/>
          <w:szCs w:val="20"/>
        </w:rPr>
        <w:t>‑</w:t>
      </w:r>
      <w:r w:rsidRPr="00266B15">
        <w:rPr>
          <w:rFonts w:ascii="Arial" w:hAnsi="Arial" w:cs="Arial"/>
          <w:sz w:val="20"/>
          <w:szCs w:val="20"/>
        </w:rPr>
        <w:t>4242.</w:t>
      </w:r>
    </w:p>
    <w:p w14:paraId="4C6615DD"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Uzor, P. F. (2020). Alkaloids from Plants with Antimalarial Activity : A Review of Recent Studies. </w:t>
      </w:r>
      <w:r w:rsidRPr="00266B15">
        <w:rPr>
          <w:rFonts w:ascii="Arial" w:hAnsi="Arial" w:cs="Arial"/>
          <w:i/>
          <w:iCs/>
          <w:sz w:val="20"/>
          <w:szCs w:val="20"/>
        </w:rPr>
        <w:t>Evidence-Based Complementary and Alternative Medicine</w:t>
      </w:r>
      <w:r w:rsidRPr="00266B15">
        <w:rPr>
          <w:rFonts w:ascii="Arial" w:hAnsi="Arial" w:cs="Arial"/>
          <w:sz w:val="20"/>
          <w:szCs w:val="20"/>
        </w:rPr>
        <w:t xml:space="preserve">, </w:t>
      </w:r>
      <w:r w:rsidRPr="00266B15">
        <w:rPr>
          <w:rFonts w:ascii="Arial" w:hAnsi="Arial" w:cs="Arial"/>
          <w:i/>
          <w:iCs/>
          <w:sz w:val="20"/>
          <w:szCs w:val="20"/>
        </w:rPr>
        <w:t>2020</w:t>
      </w:r>
      <w:r w:rsidRPr="00266B15">
        <w:rPr>
          <w:rFonts w:ascii="Arial" w:hAnsi="Arial" w:cs="Arial"/>
          <w:sz w:val="20"/>
          <w:szCs w:val="20"/>
        </w:rPr>
        <w:t>(1), 8749083. https://doi.org/10.1155/2020/8749083</w:t>
      </w:r>
    </w:p>
    <w:p w14:paraId="0361978E"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Wallace, R. J. (2004). Antimicrobial properties of plant secondary metabolites. </w:t>
      </w:r>
      <w:r w:rsidRPr="00266B15">
        <w:rPr>
          <w:rFonts w:ascii="Arial" w:hAnsi="Arial" w:cs="Arial"/>
          <w:i/>
          <w:iCs/>
          <w:sz w:val="20"/>
          <w:szCs w:val="20"/>
        </w:rPr>
        <w:t>Proceedings of the Nutrition Society</w:t>
      </w:r>
      <w:r w:rsidRPr="00266B15">
        <w:rPr>
          <w:rFonts w:ascii="Arial" w:hAnsi="Arial" w:cs="Arial"/>
          <w:sz w:val="20"/>
          <w:szCs w:val="20"/>
        </w:rPr>
        <w:t xml:space="preserve">, </w:t>
      </w:r>
      <w:r w:rsidRPr="00266B15">
        <w:rPr>
          <w:rFonts w:ascii="Arial" w:hAnsi="Arial" w:cs="Arial"/>
          <w:i/>
          <w:iCs/>
          <w:sz w:val="20"/>
          <w:szCs w:val="20"/>
        </w:rPr>
        <w:t>63</w:t>
      </w:r>
      <w:r w:rsidRPr="00266B15">
        <w:rPr>
          <w:rFonts w:ascii="Arial" w:hAnsi="Arial" w:cs="Arial"/>
          <w:sz w:val="20"/>
          <w:szCs w:val="20"/>
        </w:rPr>
        <w:t>(4), 621</w:t>
      </w:r>
      <w:r w:rsidRPr="00266B15">
        <w:rPr>
          <w:rFonts w:ascii="Cambria Math" w:hAnsi="Cambria Math" w:cs="Cambria Math"/>
          <w:sz w:val="20"/>
          <w:szCs w:val="20"/>
        </w:rPr>
        <w:t>‑</w:t>
      </w:r>
      <w:r w:rsidRPr="00266B15">
        <w:rPr>
          <w:rFonts w:ascii="Arial" w:hAnsi="Arial" w:cs="Arial"/>
          <w:sz w:val="20"/>
          <w:szCs w:val="20"/>
        </w:rPr>
        <w:t>629. https://doi.org/10.1079/PNS2004393</w:t>
      </w:r>
    </w:p>
    <w:p w14:paraId="51FFD503"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WHO. (2024a). </w:t>
      </w:r>
      <w:r w:rsidRPr="00266B15">
        <w:rPr>
          <w:rFonts w:ascii="Arial" w:hAnsi="Arial" w:cs="Arial"/>
          <w:i/>
          <w:iCs/>
          <w:sz w:val="20"/>
          <w:szCs w:val="20"/>
        </w:rPr>
        <w:t>The top 10 causes of death</w:t>
      </w:r>
      <w:r w:rsidRPr="00266B15">
        <w:rPr>
          <w:rFonts w:ascii="Arial" w:hAnsi="Arial" w:cs="Arial"/>
          <w:sz w:val="20"/>
          <w:szCs w:val="20"/>
        </w:rPr>
        <w:t>. https://www.who.int/news-room/fact-sheets/detail/the-top-10-causes-of-death</w:t>
      </w:r>
    </w:p>
    <w:p w14:paraId="5E9BB74B"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WHO. (2024b). </w:t>
      </w:r>
      <w:r w:rsidRPr="00266B15">
        <w:rPr>
          <w:rFonts w:ascii="Arial" w:hAnsi="Arial" w:cs="Arial"/>
          <w:i/>
          <w:iCs/>
          <w:sz w:val="20"/>
          <w:szCs w:val="20"/>
        </w:rPr>
        <w:t>World malaria report 2024</w:t>
      </w:r>
      <w:r w:rsidRPr="00266B15">
        <w:rPr>
          <w:rFonts w:ascii="Arial" w:hAnsi="Arial" w:cs="Arial"/>
          <w:sz w:val="20"/>
          <w:szCs w:val="20"/>
        </w:rPr>
        <w:t>. https://www.who.int/fr/teams/global-malaria-programme/reports/world-malaria-report-2024</w:t>
      </w:r>
    </w:p>
    <w:p w14:paraId="16D3A4F8" w14:textId="77777777" w:rsidR="008C070A" w:rsidRPr="00266B15" w:rsidRDefault="008C070A" w:rsidP="008C070A">
      <w:pPr>
        <w:pStyle w:val="Bibliography"/>
        <w:spacing w:line="360" w:lineRule="auto"/>
        <w:jc w:val="both"/>
        <w:rPr>
          <w:rFonts w:ascii="Arial" w:hAnsi="Arial" w:cs="Arial"/>
          <w:sz w:val="20"/>
          <w:szCs w:val="20"/>
        </w:rPr>
      </w:pPr>
      <w:r w:rsidRPr="00266B15">
        <w:rPr>
          <w:rFonts w:ascii="Arial" w:hAnsi="Arial" w:cs="Arial"/>
          <w:sz w:val="20"/>
          <w:szCs w:val="20"/>
        </w:rPr>
        <w:t xml:space="preserve">Zerbo, P., Millogo Rasolodimby, J., Nacoulma Ouedraogo, O., &amp; Van Damme, P. (2011). </w:t>
      </w:r>
      <w:r w:rsidRPr="00266B15">
        <w:rPr>
          <w:rFonts w:ascii="Arial" w:hAnsi="Arial" w:cs="Arial"/>
          <w:sz w:val="20"/>
          <w:szCs w:val="20"/>
          <w:lang w:val="fr-FR"/>
        </w:rPr>
        <w:t xml:space="preserve">Plantes médicinales et pratiques médicales au Burkina Faso : Cas des Sanan. </w:t>
      </w:r>
      <w:r w:rsidRPr="00266B15">
        <w:rPr>
          <w:rFonts w:ascii="Arial" w:hAnsi="Arial" w:cs="Arial"/>
          <w:i/>
          <w:iCs/>
          <w:sz w:val="20"/>
          <w:szCs w:val="20"/>
        </w:rPr>
        <w:t>BOIS &amp; FORETS DES TROPIQUES</w:t>
      </w:r>
      <w:r w:rsidRPr="00266B15">
        <w:rPr>
          <w:rFonts w:ascii="Arial" w:hAnsi="Arial" w:cs="Arial"/>
          <w:sz w:val="20"/>
          <w:szCs w:val="20"/>
        </w:rPr>
        <w:t xml:space="preserve">, </w:t>
      </w:r>
      <w:r w:rsidRPr="00266B15">
        <w:rPr>
          <w:rFonts w:ascii="Arial" w:hAnsi="Arial" w:cs="Arial"/>
          <w:i/>
          <w:iCs/>
          <w:sz w:val="20"/>
          <w:szCs w:val="20"/>
        </w:rPr>
        <w:t>307</w:t>
      </w:r>
      <w:r w:rsidRPr="00266B15">
        <w:rPr>
          <w:rFonts w:ascii="Arial" w:hAnsi="Arial" w:cs="Arial"/>
          <w:sz w:val="20"/>
          <w:szCs w:val="20"/>
        </w:rPr>
        <w:t>, 41</w:t>
      </w:r>
      <w:r w:rsidRPr="00266B15">
        <w:rPr>
          <w:rFonts w:ascii="Cambria Math" w:hAnsi="Cambria Math" w:cs="Cambria Math"/>
          <w:sz w:val="20"/>
          <w:szCs w:val="20"/>
        </w:rPr>
        <w:t>‑</w:t>
      </w:r>
      <w:r w:rsidRPr="00266B15">
        <w:rPr>
          <w:rFonts w:ascii="Arial" w:hAnsi="Arial" w:cs="Arial"/>
          <w:sz w:val="20"/>
          <w:szCs w:val="20"/>
        </w:rPr>
        <w:t>53. https://doi.org/10.19182/bft2011.307.a20481</w:t>
      </w:r>
    </w:p>
    <w:p w14:paraId="59670A1E" w14:textId="3AF41291" w:rsidR="004256B2" w:rsidRDefault="008C070A" w:rsidP="004256B2">
      <w:pPr>
        <w:pStyle w:val="Body"/>
        <w:spacing w:after="0"/>
        <w:rPr>
          <w:rFonts w:ascii="Arial" w:hAnsi="Arial" w:cs="Arial"/>
        </w:rPr>
      </w:pPr>
      <w:r w:rsidRPr="00266B15">
        <w:rPr>
          <w:rFonts w:ascii="Arial" w:eastAsiaTheme="minorHAnsi" w:hAnsi="Arial" w:cs="Arial"/>
          <w:iCs/>
          <w:kern w:val="2"/>
          <w:sz w:val="24"/>
          <w:szCs w:val="24"/>
          <w14:ligatures w14:val="standardContextual"/>
        </w:rPr>
        <w:fldChar w:fldCharType="end"/>
      </w:r>
    </w:p>
    <w:p w14:paraId="6CF74C51" w14:textId="6DD6AB59" w:rsidR="004D4277" w:rsidRPr="00FB3A86" w:rsidRDefault="004D4277" w:rsidP="00441B6F">
      <w:pPr>
        <w:pStyle w:val="Appendix"/>
        <w:spacing w:after="0"/>
        <w:jc w:val="both"/>
        <w:rPr>
          <w:rFonts w:ascii="Arial" w:hAnsi="Arial" w:cs="Arial"/>
          <w:b w:val="0"/>
        </w:rPr>
        <w:sectPr w:rsidR="004D4277" w:rsidRPr="00FB3A86" w:rsidSect="009E790F">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6637A8EC" w14:textId="77777777" w:rsidR="00B01FCD" w:rsidRPr="00FB3A86" w:rsidRDefault="00B01FCD" w:rsidP="00441B6F">
      <w:pPr>
        <w:pStyle w:val="Appendix"/>
        <w:spacing w:after="0"/>
        <w:jc w:val="both"/>
        <w:rPr>
          <w:rFonts w:ascii="Arial" w:hAnsi="Arial" w:cs="Arial"/>
          <w:b w:val="0"/>
        </w:rPr>
      </w:pPr>
    </w:p>
    <w:sectPr w:rsidR="00B01FCD" w:rsidRPr="00FB3A86" w:rsidSect="009E790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2C81D" w14:textId="77777777" w:rsidR="004C1F2E" w:rsidRDefault="004C1F2E" w:rsidP="00C37E61">
      <w:r>
        <w:separator/>
      </w:r>
    </w:p>
  </w:endnote>
  <w:endnote w:type="continuationSeparator" w:id="0">
    <w:p w14:paraId="28F987D8" w14:textId="77777777" w:rsidR="004C1F2E" w:rsidRDefault="004C1F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E155" w14:textId="77777777" w:rsidR="00791BE6" w:rsidRDefault="00791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734F" w14:textId="604BA469" w:rsidR="00C37E61" w:rsidRPr="00CB4995" w:rsidRDefault="00AF5C38" w:rsidP="00CB4995">
    <w:pPr>
      <w:pStyle w:val="Footer"/>
    </w:pPr>
    <w:r w:rsidRPr="00CB499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464FB" w14:textId="77777777" w:rsidR="009E048A" w:rsidRDefault="009E048A">
    <w:pPr>
      <w:pStyle w:val="Footer"/>
      <w:rPr>
        <w:rFonts w:ascii="Arial" w:hAnsi="Arial" w:cs="Arial"/>
        <w:sz w:val="16"/>
      </w:rPr>
    </w:pPr>
  </w:p>
  <w:p w14:paraId="4FB2DBE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AA39C1" w14:textId="77777777" w:rsidR="009E048A" w:rsidRDefault="009E048A">
    <w:pPr>
      <w:pStyle w:val="Footer"/>
      <w:rPr>
        <w:rFonts w:ascii="Arial" w:hAnsi="Arial" w:cs="Arial"/>
        <w:sz w:val="16"/>
      </w:rPr>
    </w:pPr>
  </w:p>
  <w:p w14:paraId="6C7673F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C2B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404DD" w14:textId="77777777" w:rsidR="004C1F2E" w:rsidRDefault="004C1F2E" w:rsidP="00C37E61">
      <w:r>
        <w:separator/>
      </w:r>
    </w:p>
  </w:footnote>
  <w:footnote w:type="continuationSeparator" w:id="0">
    <w:p w14:paraId="202C6658" w14:textId="77777777" w:rsidR="004C1F2E" w:rsidRDefault="004C1F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B1C2" w14:textId="5512A72D" w:rsidR="00791BE6" w:rsidRDefault="004C1F2E">
    <w:pPr>
      <w:pStyle w:val="Header"/>
    </w:pPr>
    <w:r>
      <w:rPr>
        <w:noProof/>
      </w:rPr>
      <w:pict w14:anchorId="2CE87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6"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1FF0C" w14:textId="68B34546" w:rsidR="00791BE6" w:rsidRDefault="004C1F2E">
    <w:pPr>
      <w:pStyle w:val="Header"/>
    </w:pPr>
    <w:r>
      <w:rPr>
        <w:noProof/>
      </w:rPr>
      <w:pict w14:anchorId="45AC0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7"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60AE" w14:textId="1163EFE9" w:rsidR="00296529" w:rsidRPr="00296529" w:rsidRDefault="004C1F2E" w:rsidP="00296529">
    <w:pPr>
      <w:ind w:left="2160"/>
      <w:jc w:val="center"/>
      <w:rPr>
        <w:rFonts w:ascii="Times New Roman" w:eastAsia="Calibri" w:hAnsi="Times New Roman"/>
        <w:i/>
        <w:sz w:val="18"/>
        <w:szCs w:val="22"/>
      </w:rPr>
    </w:pPr>
    <w:r>
      <w:rPr>
        <w:noProof/>
      </w:rPr>
      <w:pict w14:anchorId="7356C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5"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3DED8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716AA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8E5CE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8EC2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D673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2A04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2A009" w14:textId="42335977" w:rsidR="00791BE6" w:rsidRDefault="004C1F2E">
    <w:pPr>
      <w:pStyle w:val="Header"/>
    </w:pPr>
    <w:r>
      <w:rPr>
        <w:noProof/>
      </w:rPr>
      <w:pict w14:anchorId="7B59C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9"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D5F5" w14:textId="7D763BD2" w:rsidR="00791BE6" w:rsidRDefault="004C1F2E">
    <w:pPr>
      <w:pStyle w:val="Header"/>
    </w:pPr>
    <w:r>
      <w:rPr>
        <w:noProof/>
      </w:rPr>
      <w:pict w14:anchorId="1ADF2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20"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CA74" w14:textId="5A4B633E" w:rsidR="00791BE6" w:rsidRDefault="004C1F2E">
    <w:pPr>
      <w:pStyle w:val="Header"/>
    </w:pPr>
    <w:r>
      <w:rPr>
        <w:noProof/>
      </w:rPr>
      <w:pict w14:anchorId="4A197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8"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F7BCB"/>
    <w:multiLevelType w:val="hybridMultilevel"/>
    <w:tmpl w:val="DB72425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1635B6"/>
    <w:multiLevelType w:val="multilevel"/>
    <w:tmpl w:val="C9DED36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b/>
        <w:bCs/>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17" w15:restartNumberingAfterBreak="0">
    <w:nsid w:val="440361EA"/>
    <w:multiLevelType w:val="multilevel"/>
    <w:tmpl w:val="46B289E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12016"/>
    <w:multiLevelType w:val="multilevel"/>
    <w:tmpl w:val="613EE4B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A6E38"/>
    <w:multiLevelType w:val="hybridMultilevel"/>
    <w:tmpl w:val="0A827C56"/>
    <w:lvl w:ilvl="0" w:tplc="040C0001">
      <w:start w:val="1"/>
      <w:numFmt w:val="bullet"/>
      <w:lvlText w:val=""/>
      <w:lvlJc w:val="left"/>
      <w:pPr>
        <w:ind w:left="720" w:hanging="360"/>
      </w:pPr>
      <w:rPr>
        <w:rFonts w:ascii="Symbol" w:hAnsi="Symbol" w:hint="default"/>
        <w:b w:val="0"/>
      </w:rPr>
    </w:lvl>
    <w:lvl w:ilvl="1" w:tplc="4FF85FAE">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BD60CB"/>
    <w:multiLevelType w:val="hybridMultilevel"/>
    <w:tmpl w:val="27983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72603E"/>
    <w:multiLevelType w:val="hybridMultilevel"/>
    <w:tmpl w:val="EC4A5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1"/>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8"/>
  </w:num>
  <w:num w:numId="18">
    <w:abstractNumId w:val="15"/>
  </w:num>
  <w:num w:numId="19">
    <w:abstractNumId w:val="35"/>
  </w:num>
  <w:num w:numId="20">
    <w:abstractNumId w:val="12"/>
  </w:num>
  <w:num w:numId="21">
    <w:abstractNumId w:val="10"/>
  </w:num>
  <w:num w:numId="22">
    <w:abstractNumId w:val="14"/>
  </w:num>
  <w:num w:numId="23">
    <w:abstractNumId w:val="23"/>
  </w:num>
  <w:num w:numId="24">
    <w:abstractNumId w:val="32"/>
  </w:num>
  <w:num w:numId="25">
    <w:abstractNumId w:val="5"/>
  </w:num>
  <w:num w:numId="26">
    <w:abstractNumId w:val="19"/>
  </w:num>
  <w:num w:numId="27">
    <w:abstractNumId w:val="24"/>
  </w:num>
  <w:num w:numId="28">
    <w:abstractNumId w:val="33"/>
  </w:num>
  <w:num w:numId="29">
    <w:abstractNumId w:val="30"/>
  </w:num>
  <w:num w:numId="30">
    <w:abstractNumId w:val="11"/>
  </w:num>
  <w:num w:numId="31">
    <w:abstractNumId w:val="1"/>
  </w:num>
  <w:num w:numId="32">
    <w:abstractNumId w:val="25"/>
  </w:num>
  <w:num w:numId="33">
    <w:abstractNumId w:val="34"/>
  </w:num>
  <w:num w:numId="34">
    <w:abstractNumId w:val="16"/>
  </w:num>
  <w:num w:numId="35">
    <w:abstractNumId w:val="27"/>
  </w:num>
  <w:num w:numId="36">
    <w:abstractNumId w:val="2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BD3"/>
    <w:rsid w:val="00000F8F"/>
    <w:rsid w:val="0000706A"/>
    <w:rsid w:val="0001177A"/>
    <w:rsid w:val="00030174"/>
    <w:rsid w:val="0004579C"/>
    <w:rsid w:val="00046863"/>
    <w:rsid w:val="00051865"/>
    <w:rsid w:val="00092D20"/>
    <w:rsid w:val="00096C5E"/>
    <w:rsid w:val="000A47FA"/>
    <w:rsid w:val="000A65D3"/>
    <w:rsid w:val="000B1E33"/>
    <w:rsid w:val="000D60D1"/>
    <w:rsid w:val="000D689F"/>
    <w:rsid w:val="000E7B7B"/>
    <w:rsid w:val="000E7D62"/>
    <w:rsid w:val="001015E4"/>
    <w:rsid w:val="00103357"/>
    <w:rsid w:val="00103C94"/>
    <w:rsid w:val="001042B4"/>
    <w:rsid w:val="001064DE"/>
    <w:rsid w:val="00123C9F"/>
    <w:rsid w:val="00126190"/>
    <w:rsid w:val="00130F17"/>
    <w:rsid w:val="001320BF"/>
    <w:rsid w:val="00134346"/>
    <w:rsid w:val="00142520"/>
    <w:rsid w:val="00151085"/>
    <w:rsid w:val="001569F4"/>
    <w:rsid w:val="00163BC4"/>
    <w:rsid w:val="00170BEE"/>
    <w:rsid w:val="00191062"/>
    <w:rsid w:val="00192B72"/>
    <w:rsid w:val="00197A55"/>
    <w:rsid w:val="001A29D8"/>
    <w:rsid w:val="001A5CAA"/>
    <w:rsid w:val="001B0427"/>
    <w:rsid w:val="001B5A25"/>
    <w:rsid w:val="001B5CD6"/>
    <w:rsid w:val="001C05FB"/>
    <w:rsid w:val="001C4384"/>
    <w:rsid w:val="001D3A51"/>
    <w:rsid w:val="001E10D2"/>
    <w:rsid w:val="001E25B4"/>
    <w:rsid w:val="001E44FE"/>
    <w:rsid w:val="001F3914"/>
    <w:rsid w:val="00200595"/>
    <w:rsid w:val="0020082B"/>
    <w:rsid w:val="00204835"/>
    <w:rsid w:val="0022024A"/>
    <w:rsid w:val="00231920"/>
    <w:rsid w:val="0023195C"/>
    <w:rsid w:val="00234AA7"/>
    <w:rsid w:val="0024282C"/>
    <w:rsid w:val="002460DC"/>
    <w:rsid w:val="00250985"/>
    <w:rsid w:val="002556F6"/>
    <w:rsid w:val="00266B15"/>
    <w:rsid w:val="002676CE"/>
    <w:rsid w:val="0026791F"/>
    <w:rsid w:val="00280B64"/>
    <w:rsid w:val="002830E5"/>
    <w:rsid w:val="00283105"/>
    <w:rsid w:val="00284C4C"/>
    <w:rsid w:val="00287E68"/>
    <w:rsid w:val="00290456"/>
    <w:rsid w:val="00296529"/>
    <w:rsid w:val="002B27FB"/>
    <w:rsid w:val="002B39CD"/>
    <w:rsid w:val="002B685A"/>
    <w:rsid w:val="002C1396"/>
    <w:rsid w:val="002C57D2"/>
    <w:rsid w:val="002D2034"/>
    <w:rsid w:val="002D556D"/>
    <w:rsid w:val="002D73C6"/>
    <w:rsid w:val="002E0D56"/>
    <w:rsid w:val="002E489F"/>
    <w:rsid w:val="002F13F2"/>
    <w:rsid w:val="002F2279"/>
    <w:rsid w:val="0030266D"/>
    <w:rsid w:val="0031173C"/>
    <w:rsid w:val="00315186"/>
    <w:rsid w:val="0032554A"/>
    <w:rsid w:val="0033343E"/>
    <w:rsid w:val="003334C5"/>
    <w:rsid w:val="0034363E"/>
    <w:rsid w:val="00350855"/>
    <w:rsid w:val="003512C2"/>
    <w:rsid w:val="00351607"/>
    <w:rsid w:val="00371FB6"/>
    <w:rsid w:val="003763C1"/>
    <w:rsid w:val="00376BBE"/>
    <w:rsid w:val="00376E0E"/>
    <w:rsid w:val="00381067"/>
    <w:rsid w:val="00384108"/>
    <w:rsid w:val="0039224F"/>
    <w:rsid w:val="003A43A4"/>
    <w:rsid w:val="003A7E18"/>
    <w:rsid w:val="003C4C86"/>
    <w:rsid w:val="003C6258"/>
    <w:rsid w:val="003E2904"/>
    <w:rsid w:val="003E302B"/>
    <w:rsid w:val="00401927"/>
    <w:rsid w:val="0041027F"/>
    <w:rsid w:val="00412475"/>
    <w:rsid w:val="00421564"/>
    <w:rsid w:val="00423789"/>
    <w:rsid w:val="004256B2"/>
    <w:rsid w:val="0043170D"/>
    <w:rsid w:val="00440F43"/>
    <w:rsid w:val="00441B6F"/>
    <w:rsid w:val="00446221"/>
    <w:rsid w:val="00450746"/>
    <w:rsid w:val="00450E62"/>
    <w:rsid w:val="004539DB"/>
    <w:rsid w:val="00460FD4"/>
    <w:rsid w:val="00471A80"/>
    <w:rsid w:val="00475FEF"/>
    <w:rsid w:val="00487E10"/>
    <w:rsid w:val="004A3C66"/>
    <w:rsid w:val="004A64CD"/>
    <w:rsid w:val="004B2026"/>
    <w:rsid w:val="004C1F2E"/>
    <w:rsid w:val="004D305E"/>
    <w:rsid w:val="004D4277"/>
    <w:rsid w:val="004F1A02"/>
    <w:rsid w:val="00502516"/>
    <w:rsid w:val="00505F06"/>
    <w:rsid w:val="00506828"/>
    <w:rsid w:val="00507529"/>
    <w:rsid w:val="005132E2"/>
    <w:rsid w:val="0051641B"/>
    <w:rsid w:val="0052670A"/>
    <w:rsid w:val="0053056E"/>
    <w:rsid w:val="00554FDA"/>
    <w:rsid w:val="005577D1"/>
    <w:rsid w:val="00582FAB"/>
    <w:rsid w:val="00584B50"/>
    <w:rsid w:val="00586661"/>
    <w:rsid w:val="00586CF9"/>
    <w:rsid w:val="00593043"/>
    <w:rsid w:val="005C2927"/>
    <w:rsid w:val="005C784C"/>
    <w:rsid w:val="005D17F6"/>
    <w:rsid w:val="005E215B"/>
    <w:rsid w:val="005E37A5"/>
    <w:rsid w:val="005E5539"/>
    <w:rsid w:val="00602352"/>
    <w:rsid w:val="00602BF5"/>
    <w:rsid w:val="006047A6"/>
    <w:rsid w:val="00606755"/>
    <w:rsid w:val="006077CB"/>
    <w:rsid w:val="00617FDD"/>
    <w:rsid w:val="00633614"/>
    <w:rsid w:val="00633F68"/>
    <w:rsid w:val="00636EB2"/>
    <w:rsid w:val="006375B8"/>
    <w:rsid w:val="00646EF9"/>
    <w:rsid w:val="0066510A"/>
    <w:rsid w:val="006729E7"/>
    <w:rsid w:val="00673F9F"/>
    <w:rsid w:val="00680094"/>
    <w:rsid w:val="00686187"/>
    <w:rsid w:val="00686953"/>
    <w:rsid w:val="00687DEA"/>
    <w:rsid w:val="00687E67"/>
    <w:rsid w:val="006967F7"/>
    <w:rsid w:val="006A250C"/>
    <w:rsid w:val="006B21D3"/>
    <w:rsid w:val="006B57D0"/>
    <w:rsid w:val="006D30FF"/>
    <w:rsid w:val="006D6940"/>
    <w:rsid w:val="006E7F00"/>
    <w:rsid w:val="006F11EC"/>
    <w:rsid w:val="0070082C"/>
    <w:rsid w:val="00702FB1"/>
    <w:rsid w:val="007034EC"/>
    <w:rsid w:val="00730C9B"/>
    <w:rsid w:val="007369E6"/>
    <w:rsid w:val="00746E59"/>
    <w:rsid w:val="00750069"/>
    <w:rsid w:val="00752707"/>
    <w:rsid w:val="007529E0"/>
    <w:rsid w:val="00754C9A"/>
    <w:rsid w:val="00755425"/>
    <w:rsid w:val="0075599A"/>
    <w:rsid w:val="007603B0"/>
    <w:rsid w:val="00761D52"/>
    <w:rsid w:val="0077593D"/>
    <w:rsid w:val="007771D6"/>
    <w:rsid w:val="0077749E"/>
    <w:rsid w:val="00790ADA"/>
    <w:rsid w:val="00791BE6"/>
    <w:rsid w:val="007930C2"/>
    <w:rsid w:val="00795271"/>
    <w:rsid w:val="007A2EEC"/>
    <w:rsid w:val="007D2288"/>
    <w:rsid w:val="007E088F"/>
    <w:rsid w:val="007E3B30"/>
    <w:rsid w:val="007E4323"/>
    <w:rsid w:val="007E6F25"/>
    <w:rsid w:val="007F47C4"/>
    <w:rsid w:val="007F7B32"/>
    <w:rsid w:val="00804BC2"/>
    <w:rsid w:val="00810D16"/>
    <w:rsid w:val="0081431A"/>
    <w:rsid w:val="00815493"/>
    <w:rsid w:val="0083216F"/>
    <w:rsid w:val="00843848"/>
    <w:rsid w:val="00860000"/>
    <w:rsid w:val="00863BD3"/>
    <w:rsid w:val="008641ED"/>
    <w:rsid w:val="00866D66"/>
    <w:rsid w:val="008671C6"/>
    <w:rsid w:val="00875803"/>
    <w:rsid w:val="00876368"/>
    <w:rsid w:val="00877D74"/>
    <w:rsid w:val="008A6054"/>
    <w:rsid w:val="008B459E"/>
    <w:rsid w:val="008C070A"/>
    <w:rsid w:val="008D02D9"/>
    <w:rsid w:val="008D2244"/>
    <w:rsid w:val="008E13AE"/>
    <w:rsid w:val="008E1506"/>
    <w:rsid w:val="008E6CDF"/>
    <w:rsid w:val="008E710C"/>
    <w:rsid w:val="008F69D6"/>
    <w:rsid w:val="00901A3B"/>
    <w:rsid w:val="00902823"/>
    <w:rsid w:val="00902C45"/>
    <w:rsid w:val="009065F1"/>
    <w:rsid w:val="00915CA6"/>
    <w:rsid w:val="009256F1"/>
    <w:rsid w:val="00927834"/>
    <w:rsid w:val="00931947"/>
    <w:rsid w:val="0093571E"/>
    <w:rsid w:val="00946252"/>
    <w:rsid w:val="009500A6"/>
    <w:rsid w:val="00953090"/>
    <w:rsid w:val="00957C18"/>
    <w:rsid w:val="00961DD5"/>
    <w:rsid w:val="009656A7"/>
    <w:rsid w:val="009659BA"/>
    <w:rsid w:val="00983040"/>
    <w:rsid w:val="00984DAA"/>
    <w:rsid w:val="009A7E12"/>
    <w:rsid w:val="009B3FB9"/>
    <w:rsid w:val="009B4601"/>
    <w:rsid w:val="009C0C56"/>
    <w:rsid w:val="009C2465"/>
    <w:rsid w:val="009D35A0"/>
    <w:rsid w:val="009D7EB7"/>
    <w:rsid w:val="009E048A"/>
    <w:rsid w:val="009E08E9"/>
    <w:rsid w:val="009E3DB9"/>
    <w:rsid w:val="009E6E35"/>
    <w:rsid w:val="009E790F"/>
    <w:rsid w:val="009F0EDA"/>
    <w:rsid w:val="009F7695"/>
    <w:rsid w:val="00A03B96"/>
    <w:rsid w:val="00A05B19"/>
    <w:rsid w:val="00A1134E"/>
    <w:rsid w:val="00A12C9F"/>
    <w:rsid w:val="00A24E7E"/>
    <w:rsid w:val="00A258C3"/>
    <w:rsid w:val="00A301D1"/>
    <w:rsid w:val="00A30F04"/>
    <w:rsid w:val="00A347C0"/>
    <w:rsid w:val="00A359A5"/>
    <w:rsid w:val="00A451F8"/>
    <w:rsid w:val="00A46816"/>
    <w:rsid w:val="00A51431"/>
    <w:rsid w:val="00A539AD"/>
    <w:rsid w:val="00A64DCB"/>
    <w:rsid w:val="00A870FD"/>
    <w:rsid w:val="00A92232"/>
    <w:rsid w:val="00A93833"/>
    <w:rsid w:val="00A94063"/>
    <w:rsid w:val="00AA15DC"/>
    <w:rsid w:val="00AA6219"/>
    <w:rsid w:val="00AA74E0"/>
    <w:rsid w:val="00AB703F"/>
    <w:rsid w:val="00AB774F"/>
    <w:rsid w:val="00AC0A25"/>
    <w:rsid w:val="00AC6BB8"/>
    <w:rsid w:val="00AE008F"/>
    <w:rsid w:val="00AF5C38"/>
    <w:rsid w:val="00B01FCD"/>
    <w:rsid w:val="00B1776C"/>
    <w:rsid w:val="00B205DA"/>
    <w:rsid w:val="00B26E6E"/>
    <w:rsid w:val="00B414B8"/>
    <w:rsid w:val="00B46D16"/>
    <w:rsid w:val="00B52583"/>
    <w:rsid w:val="00B52896"/>
    <w:rsid w:val="00B57B04"/>
    <w:rsid w:val="00B75DD6"/>
    <w:rsid w:val="00B95236"/>
    <w:rsid w:val="00B96BD9"/>
    <w:rsid w:val="00BA1B01"/>
    <w:rsid w:val="00BA2641"/>
    <w:rsid w:val="00BB37AA"/>
    <w:rsid w:val="00BB4B54"/>
    <w:rsid w:val="00BB7E76"/>
    <w:rsid w:val="00BC3D38"/>
    <w:rsid w:val="00BC53A0"/>
    <w:rsid w:val="00BE62AD"/>
    <w:rsid w:val="00BF121F"/>
    <w:rsid w:val="00BF1F80"/>
    <w:rsid w:val="00C166EF"/>
    <w:rsid w:val="00C17EB0"/>
    <w:rsid w:val="00C20363"/>
    <w:rsid w:val="00C27F5F"/>
    <w:rsid w:val="00C30A0F"/>
    <w:rsid w:val="00C37E61"/>
    <w:rsid w:val="00C411CB"/>
    <w:rsid w:val="00C5230E"/>
    <w:rsid w:val="00C64464"/>
    <w:rsid w:val="00C7049D"/>
    <w:rsid w:val="00C70F1B"/>
    <w:rsid w:val="00C71A47"/>
    <w:rsid w:val="00C7464C"/>
    <w:rsid w:val="00C807CA"/>
    <w:rsid w:val="00C85588"/>
    <w:rsid w:val="00CA1C50"/>
    <w:rsid w:val="00CA5BA9"/>
    <w:rsid w:val="00CB4995"/>
    <w:rsid w:val="00CB6A63"/>
    <w:rsid w:val="00CB7526"/>
    <w:rsid w:val="00CD4AC6"/>
    <w:rsid w:val="00CD6755"/>
    <w:rsid w:val="00CD6856"/>
    <w:rsid w:val="00CE0089"/>
    <w:rsid w:val="00CE4F5E"/>
    <w:rsid w:val="00CE793C"/>
    <w:rsid w:val="00CF193C"/>
    <w:rsid w:val="00D12A86"/>
    <w:rsid w:val="00D173F1"/>
    <w:rsid w:val="00D23D31"/>
    <w:rsid w:val="00D3365E"/>
    <w:rsid w:val="00D4322F"/>
    <w:rsid w:val="00D63EC0"/>
    <w:rsid w:val="00D73F21"/>
    <w:rsid w:val="00D74CB0"/>
    <w:rsid w:val="00D804EB"/>
    <w:rsid w:val="00D8295D"/>
    <w:rsid w:val="00DB05F6"/>
    <w:rsid w:val="00DC2A65"/>
    <w:rsid w:val="00DE1380"/>
    <w:rsid w:val="00DE15F0"/>
    <w:rsid w:val="00DE5170"/>
    <w:rsid w:val="00DE5663"/>
    <w:rsid w:val="00DE78AA"/>
    <w:rsid w:val="00DF4479"/>
    <w:rsid w:val="00E053D0"/>
    <w:rsid w:val="00E05B6B"/>
    <w:rsid w:val="00E15994"/>
    <w:rsid w:val="00E21F86"/>
    <w:rsid w:val="00E22517"/>
    <w:rsid w:val="00E3114E"/>
    <w:rsid w:val="00E31A70"/>
    <w:rsid w:val="00E342FF"/>
    <w:rsid w:val="00E35B02"/>
    <w:rsid w:val="00E456F2"/>
    <w:rsid w:val="00E464A6"/>
    <w:rsid w:val="00E65117"/>
    <w:rsid w:val="00E66496"/>
    <w:rsid w:val="00E66B35"/>
    <w:rsid w:val="00E66E10"/>
    <w:rsid w:val="00E769F6"/>
    <w:rsid w:val="00E8407C"/>
    <w:rsid w:val="00E84F3C"/>
    <w:rsid w:val="00E84F6B"/>
    <w:rsid w:val="00EA012C"/>
    <w:rsid w:val="00EA5800"/>
    <w:rsid w:val="00EA64E8"/>
    <w:rsid w:val="00EC6A55"/>
    <w:rsid w:val="00ED0288"/>
    <w:rsid w:val="00ED64D8"/>
    <w:rsid w:val="00EE52CB"/>
    <w:rsid w:val="00EF581D"/>
    <w:rsid w:val="00EF7FD8"/>
    <w:rsid w:val="00F0396E"/>
    <w:rsid w:val="00F06F59"/>
    <w:rsid w:val="00F17988"/>
    <w:rsid w:val="00F45590"/>
    <w:rsid w:val="00F469F0"/>
    <w:rsid w:val="00F51DEE"/>
    <w:rsid w:val="00F53273"/>
    <w:rsid w:val="00F56418"/>
    <w:rsid w:val="00F750A9"/>
    <w:rsid w:val="00F755E4"/>
    <w:rsid w:val="00F77D02"/>
    <w:rsid w:val="00F94568"/>
    <w:rsid w:val="00FB3A86"/>
    <w:rsid w:val="00FB7CCF"/>
    <w:rsid w:val="00FC2026"/>
    <w:rsid w:val="00FC2E95"/>
    <w:rsid w:val="00FD068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82653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930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59304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D73F21"/>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FooterChar">
    <w:name w:val="Footer Char"/>
    <w:basedOn w:val="DefaultParagraphFont"/>
    <w:link w:val="Footer"/>
    <w:uiPriority w:val="99"/>
    <w:rsid w:val="006E7F00"/>
    <w:rPr>
      <w:rFonts w:ascii="Helvetica" w:hAnsi="Helvetica"/>
    </w:rPr>
  </w:style>
  <w:style w:type="table" w:styleId="PlainTable5">
    <w:name w:val="Plain Table 5"/>
    <w:basedOn w:val="TableNormal"/>
    <w:uiPriority w:val="45"/>
    <w:rsid w:val="00A30F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30F0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4256B2"/>
    <w:pPr>
      <w:spacing w:line="480" w:lineRule="auto"/>
      <w:ind w:left="720" w:hanging="720"/>
    </w:pPr>
    <w:rPr>
      <w:rFonts w:asciiTheme="minorHAnsi" w:eastAsiaTheme="minorHAnsi" w:hAnsiTheme="minorHAnsi" w:cstheme="minorBidi"/>
      <w:kern w:val="2"/>
      <w:sz w:val="24"/>
      <w:szCs w:val="24"/>
      <w14:ligatures w14:val="standardContextual"/>
    </w:rPr>
  </w:style>
  <w:style w:type="paragraph" w:styleId="CommentSubject">
    <w:name w:val="annotation subject"/>
    <w:basedOn w:val="CommentText"/>
    <w:next w:val="CommentText"/>
    <w:link w:val="CommentSubjectChar"/>
    <w:semiHidden/>
    <w:unhideWhenUsed/>
    <w:rsid w:val="00AC0A25"/>
    <w:rPr>
      <w:rFonts w:ascii="Helvetica" w:hAnsi="Helvetica"/>
      <w:b/>
      <w:bCs/>
      <w:lang w:val="en-US" w:eastAsia="en-US"/>
    </w:rPr>
  </w:style>
  <w:style w:type="character" w:customStyle="1" w:styleId="CommentSubjectChar">
    <w:name w:val="Comment Subject Char"/>
    <w:basedOn w:val="CommentTextChar"/>
    <w:link w:val="CommentSubject"/>
    <w:semiHidden/>
    <w:rsid w:val="00AC0A25"/>
    <w:rPr>
      <w:rFonts w:ascii="Helvetica" w:hAnsi="Helvetica"/>
      <w:b/>
      <w:bCs/>
      <w:lang w:val="nb-NO" w:eastAsia="nb-NO"/>
    </w:rPr>
  </w:style>
  <w:style w:type="character" w:styleId="PlaceholderText">
    <w:name w:val="Placeholder Text"/>
    <w:basedOn w:val="DefaultParagraphFont"/>
    <w:uiPriority w:val="99"/>
    <w:semiHidden/>
    <w:rsid w:val="00686187"/>
    <w:rPr>
      <w:color w:val="808080"/>
    </w:rPr>
  </w:style>
  <w:style w:type="paragraph" w:styleId="Revision">
    <w:name w:val="Revision"/>
    <w:hidden/>
    <w:uiPriority w:val="99"/>
    <w:semiHidden/>
    <w:rsid w:val="00376E0E"/>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958543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03782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874219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72337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177345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580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5EB2E-188E-4F2E-9AC8-E407EA99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22</Pages>
  <Words>17377</Words>
  <Characters>99054</Characters>
  <Application>Microsoft Office Word</Application>
  <DocSecurity>0</DocSecurity>
  <Lines>825</Lines>
  <Paragraphs>232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116199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8</cp:revision>
  <cp:lastPrinted>1999-07-06T11:00:00Z</cp:lastPrinted>
  <dcterms:created xsi:type="dcterms:W3CDTF">2025-10-27T18:49:00Z</dcterms:created>
  <dcterms:modified xsi:type="dcterms:W3CDTF">2025-10-29T07:53:00Z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id="ezi6GCA2"/&gt;&lt;style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