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78" w:rsidRPr="00527778" w:rsidRDefault="00527778" w:rsidP="00527778">
      <w:pPr>
        <w:pStyle w:val="Title"/>
        <w:spacing w:line="360" w:lineRule="auto"/>
        <w:jc w:val="both"/>
        <w:rPr>
          <w:rFonts w:ascii="Times New Roman" w:eastAsia="Times New Roman" w:hAnsi="Times New Roman" w:cs="Times New Roman"/>
          <w:b/>
          <w:bCs/>
          <w:i/>
          <w:iCs/>
          <w:color w:val="002060"/>
          <w:sz w:val="40"/>
          <w:szCs w:val="36"/>
          <w:u w:val="single"/>
        </w:rPr>
      </w:pPr>
      <w:r w:rsidRPr="00527778">
        <w:rPr>
          <w:rFonts w:ascii="Times New Roman" w:eastAsia="Times New Roman" w:hAnsi="Times New Roman" w:cs="Times New Roman"/>
          <w:b/>
          <w:bCs/>
          <w:i/>
          <w:iCs/>
          <w:color w:val="002060"/>
          <w:sz w:val="40"/>
          <w:szCs w:val="36"/>
          <w:u w:val="single"/>
        </w:rPr>
        <w:t>Review Article</w:t>
      </w:r>
    </w:p>
    <w:p w:rsidR="00527778" w:rsidRDefault="00527778" w:rsidP="006B3256">
      <w:pPr>
        <w:pStyle w:val="Title"/>
        <w:spacing w:line="360" w:lineRule="auto"/>
        <w:jc w:val="both"/>
        <w:rPr>
          <w:rFonts w:ascii="Times New Roman" w:eastAsia="Times New Roman" w:hAnsi="Times New Roman" w:cs="Times New Roman"/>
          <w:b/>
          <w:bCs/>
          <w:color w:val="002060"/>
          <w:sz w:val="40"/>
          <w:szCs w:val="36"/>
        </w:rPr>
      </w:pPr>
    </w:p>
    <w:p w:rsidR="006B3256" w:rsidRPr="00BC1ED2" w:rsidRDefault="00BC1ED2" w:rsidP="006B3256">
      <w:pPr>
        <w:pStyle w:val="Title"/>
        <w:spacing w:line="360" w:lineRule="auto"/>
        <w:jc w:val="both"/>
        <w:rPr>
          <w:rFonts w:ascii="Times New Roman" w:eastAsia="Times New Roman" w:hAnsi="Times New Roman" w:cs="Times New Roman"/>
          <w:b/>
          <w:bCs/>
          <w:color w:val="002060"/>
          <w:sz w:val="36"/>
          <w:szCs w:val="32"/>
        </w:rPr>
      </w:pPr>
      <w:r w:rsidRPr="00BC1ED2">
        <w:rPr>
          <w:rFonts w:ascii="Times New Roman" w:eastAsia="Times New Roman" w:hAnsi="Times New Roman" w:cs="Times New Roman"/>
          <w:b/>
          <w:bCs/>
          <w:color w:val="002060"/>
          <w:sz w:val="36"/>
          <w:szCs w:val="32"/>
        </w:rPr>
        <w:t xml:space="preserve"> Integrated Sustainable Urban fish farming technologies for urban eco-friendly aquaculture: with special focus on  Biofloc technology</w:t>
      </w:r>
    </w:p>
    <w:p w:rsidR="006B3256" w:rsidRPr="007832C0" w:rsidRDefault="006B3256" w:rsidP="006B3256">
      <w:pPr>
        <w:spacing w:after="0" w:line="360" w:lineRule="auto"/>
        <w:jc w:val="both"/>
        <w:outlineLvl w:val="2"/>
        <w:rPr>
          <w:rFonts w:ascii="Times New Roman" w:eastAsia="Times New Roman" w:hAnsi="Times New Roman" w:cs="Times New Roman"/>
          <w:b/>
          <w:bCs/>
          <w:sz w:val="28"/>
          <w:szCs w:val="28"/>
        </w:rPr>
      </w:pPr>
      <w:r w:rsidRPr="007832C0">
        <w:rPr>
          <w:rFonts w:ascii="Times New Roman" w:eastAsia="Times New Roman" w:hAnsi="Times New Roman" w:cs="Times New Roman"/>
          <w:b/>
          <w:bCs/>
          <w:sz w:val="28"/>
          <w:szCs w:val="28"/>
        </w:rPr>
        <w:t>Abstract</w:t>
      </w:r>
    </w:p>
    <w:p w:rsidR="00526ABA" w:rsidRDefault="00526ABA" w:rsidP="006B3256">
      <w:pPr>
        <w:spacing w:after="0" w:line="360" w:lineRule="auto"/>
        <w:jc w:val="both"/>
        <w:rPr>
          <w:rFonts w:ascii="Times New Roman" w:eastAsia="Times New Roman" w:hAnsi="Times New Roman" w:cs="Times New Roman"/>
          <w:sz w:val="24"/>
          <w:szCs w:val="24"/>
        </w:rPr>
      </w:pPr>
      <w:r w:rsidRPr="00526ABA">
        <w:rPr>
          <w:rFonts w:ascii="Times New Roman" w:eastAsia="Times New Roman" w:hAnsi="Times New Roman" w:cs="Times New Roman"/>
          <w:sz w:val="24"/>
          <w:szCs w:val="24"/>
        </w:rPr>
        <w:t xml:space="preserve">Rapid urban expansion is reshaping patterns of food production and consumption, particularly with respect to protein supply. Conventional aquaculture systems, although widely practiced, are often unsuitable for urban environments due to their high demand for land, water, and feed resources, as well as the potential for nutrient pollution. Biofloc Technology (BFT) presents a viable alternative by converting nitrogenous wastes into microbial biomass that functions as both a water quality stabilizer and a supplemental feed source. This review synthesizes research published between 2018 and 2024 to evaluate the potential of BFT as a sustainable urban aquaculture strategy. Evidence suggests that biofloc systems can support high-density production, reduce feed costs, improve water use efficiency, and enhance fish health. Nonetheless, the technology also requires continuous aeration, skilled management, and thoughtful scaling approaches. When integrated with urban infrastructure and supported by capacity-building and policy measures, BFT offers promising pathways for strengthening food security, livelihood opportunities, and circular resource use in growing metropolitan regions. </w:t>
      </w:r>
    </w:p>
    <w:p w:rsidR="00DA3FCD" w:rsidRDefault="00526ABA" w:rsidP="006B3256">
      <w:pPr>
        <w:spacing w:after="0" w:line="360" w:lineRule="auto"/>
        <w:jc w:val="both"/>
        <w:rPr>
          <w:rFonts w:ascii="Times New Roman" w:hAnsi="Times New Roman" w:cs="Times New Roman"/>
          <w:b/>
          <w:bCs/>
          <w:i/>
          <w:iCs/>
          <w:sz w:val="28"/>
          <w:szCs w:val="28"/>
        </w:rPr>
      </w:pPr>
      <w:r w:rsidRPr="00526ABA">
        <w:rPr>
          <w:rFonts w:ascii="Times New Roman" w:eastAsia="Times New Roman" w:hAnsi="Times New Roman" w:cs="Times New Roman"/>
          <w:b/>
          <w:bCs/>
          <w:sz w:val="24"/>
          <w:szCs w:val="24"/>
        </w:rPr>
        <w:t xml:space="preserve">Keywords: </w:t>
      </w:r>
      <w:r w:rsidRPr="00526ABA">
        <w:rPr>
          <w:rFonts w:ascii="Times New Roman" w:eastAsia="Times New Roman" w:hAnsi="Times New Roman" w:cs="Times New Roman"/>
          <w:sz w:val="24"/>
          <w:szCs w:val="24"/>
        </w:rPr>
        <w:t>Biofloc technology; Urban aquaculture; Food security; Nutrient recycling; Microbial communities; Sustainable production.</w:t>
      </w:r>
    </w:p>
    <w:p w:rsidR="006B3256" w:rsidRPr="007832C0" w:rsidRDefault="006B3256" w:rsidP="006B3256">
      <w:pPr>
        <w:spacing w:after="0" w:line="360" w:lineRule="auto"/>
        <w:jc w:val="both"/>
        <w:rPr>
          <w:rFonts w:ascii="Times New Roman" w:hAnsi="Times New Roman" w:cs="Times New Roman"/>
          <w:b/>
          <w:bCs/>
          <w:i/>
          <w:iCs/>
          <w:sz w:val="28"/>
          <w:szCs w:val="28"/>
        </w:rPr>
      </w:pPr>
      <w:r w:rsidRPr="007832C0">
        <w:rPr>
          <w:rFonts w:ascii="Times New Roman" w:hAnsi="Times New Roman" w:cs="Times New Roman"/>
          <w:b/>
          <w:bCs/>
          <w:i/>
          <w:iCs/>
          <w:sz w:val="28"/>
          <w:szCs w:val="28"/>
        </w:rPr>
        <w:t>Introduction:</w:t>
      </w:r>
    </w:p>
    <w:p w:rsidR="00526ABA" w:rsidRDefault="00526ABA" w:rsidP="00446938">
      <w:pPr>
        <w:spacing w:after="0" w:line="360" w:lineRule="auto"/>
        <w:jc w:val="both"/>
        <w:rPr>
          <w:rFonts w:ascii="Times New Roman" w:hAnsi="Times New Roman" w:cs="Times New Roman"/>
          <w:sz w:val="24"/>
          <w:szCs w:val="24"/>
        </w:rPr>
      </w:pPr>
      <w:r w:rsidRPr="00526ABA">
        <w:rPr>
          <w:rFonts w:ascii="Times New Roman" w:hAnsi="Times New Roman" w:cs="Times New Roman"/>
          <w:sz w:val="24"/>
          <w:szCs w:val="24"/>
        </w:rPr>
        <w:t xml:space="preserve">The accelerating pace of urbanization has resulted in significant changes in dietary patterns and food supply chains worldwide. By 2050, nearly 70% of the global population is projected to reside in urban areas (United Nations, 2022). Fish remains a key component of dietary protein due to its affordability, digestibility, and micronutrient </w:t>
      </w:r>
      <w:r w:rsidRPr="00526ABA">
        <w:rPr>
          <w:rFonts w:ascii="Times New Roman" w:hAnsi="Times New Roman" w:cs="Times New Roman"/>
          <w:sz w:val="24"/>
          <w:szCs w:val="24"/>
        </w:rPr>
        <w:lastRenderedPageBreak/>
        <w:t>composition (Kawarazuka &amp; Béné, 2020). Aquaculture now supplies more than half of all fish consumed globally (FAO, 2022), yet conventional aquaculture systems are increasingly constrained by environmental regulations, land scarcity, feed dependency, and effluent management challenges (Crab et al., 2012). In densely populated cities, such limitations restrict opportunities for expanding traditional pond and cage-based production systems. Biofloc Technology (BFT) has emerged as an innovative model that aligns closely with urban sustainability goals. Initially conceptualized by Avnimelech (2015), BFT is based on the manipulation of the carbon-to-nitrogen ratio in aquaculture water to promote heterotrophic microbial growth. These microbes convert fish waste and residual feed into microbial aggregates known as bioflocs, which not only stabilize water quality but also serve as an additional protein source for cultured species (Emerenciano et al., 2020). As such, biofloc systems reduce feed inputs and allow for intensive production in compact recirculating environments. The increasing interest in BFT in urban aquaculture reflects broader transitions toward circular bioeconomies, resource-efficient food production, and decentralized protein supply systems. However, successful implementation requires careful management of microbial dynamics, aeration, and system monitoring. This review assesses the ecological, physiological, economic, and social dimensions of BFT in urban aquaculture, focusing particularly on its potential contribution to food security and sustainable development.</w:t>
      </w:r>
    </w:p>
    <w:p w:rsidR="00446938" w:rsidRDefault="009B62A5" w:rsidP="00446938">
      <w:pPr>
        <w:spacing w:after="0" w:line="360" w:lineRule="auto"/>
        <w:jc w:val="both"/>
        <w:rPr>
          <w:rFonts w:ascii="Times New Roman" w:hAnsi="Times New Roman" w:cs="Times New Roman"/>
          <w:b/>
          <w:bCs/>
          <w:i/>
          <w:iCs/>
          <w:sz w:val="28"/>
          <w:szCs w:val="28"/>
        </w:rPr>
      </w:pPr>
      <w:r w:rsidRPr="007832C0">
        <w:rPr>
          <w:rFonts w:ascii="Times New Roman" w:hAnsi="Times New Roman" w:cs="Times New Roman"/>
          <w:b/>
          <w:bCs/>
          <w:i/>
          <w:iCs/>
          <w:sz w:val="28"/>
          <w:szCs w:val="28"/>
        </w:rPr>
        <w:t>Principles of biofloc technology</w:t>
      </w:r>
      <w:r w:rsidR="007832C0" w:rsidRPr="007832C0">
        <w:rPr>
          <w:rFonts w:ascii="Times New Roman" w:hAnsi="Times New Roman" w:cs="Times New Roman"/>
          <w:b/>
          <w:bCs/>
          <w:i/>
          <w:iCs/>
          <w:sz w:val="28"/>
          <w:szCs w:val="28"/>
        </w:rPr>
        <w:t>:</w:t>
      </w:r>
    </w:p>
    <w:p w:rsidR="00526ABA" w:rsidRDefault="00526ABA" w:rsidP="00526ABA">
      <w:pPr>
        <w:pStyle w:val="NormalWeb"/>
        <w:spacing w:before="0" w:beforeAutospacing="0" w:after="0" w:afterAutospacing="0" w:line="360" w:lineRule="auto"/>
        <w:jc w:val="both"/>
      </w:pPr>
      <w:r>
        <w:t>Biofloc systems rely on the active management of microbial communities to recycle nitrogen wastes. Fish excrete ammonia as a metabolic byproduct, which, if not managed, accumulates to toxic concentrations. BFT reduces ammonia through the stimulation of heterotrophic bacteria via carbon supplementation (e.g., molasses, rice bran, jaggery). These microbes assimilate ammonia into microbial protein, forming suspended floc particles (Avnimelech, 2015).</w:t>
      </w:r>
    </w:p>
    <w:p w:rsidR="00526ABA" w:rsidRDefault="00526ABA" w:rsidP="00526ABA">
      <w:pPr>
        <w:pStyle w:val="NormalWeb"/>
        <w:spacing w:before="0" w:beforeAutospacing="0" w:after="0" w:afterAutospacing="0" w:line="360" w:lineRule="auto"/>
        <w:jc w:val="both"/>
      </w:pPr>
      <w:r>
        <w:t>A typical biofloc community includes bacteria, microalgae, protozoa, fungi, and detrital matter bound by extracellular polymers. These flocs provide two synergistic functions:</w:t>
      </w:r>
      <w:r>
        <w:br/>
        <w:t>(1)</w:t>
      </w:r>
      <w:r>
        <w:rPr>
          <w:rStyle w:val="Strong"/>
        </w:rPr>
        <w:t>Water purification</w:t>
      </w:r>
      <w:r>
        <w:t xml:space="preserve"> through nitrogen assimilation and </w:t>
      </w:r>
    </w:p>
    <w:p w:rsidR="00526ABA" w:rsidRDefault="00526ABA" w:rsidP="00526ABA">
      <w:pPr>
        <w:pStyle w:val="NormalWeb"/>
        <w:spacing w:before="0" w:beforeAutospacing="0" w:after="0" w:afterAutospacing="0" w:line="360" w:lineRule="auto"/>
        <w:jc w:val="both"/>
      </w:pPr>
      <w:r>
        <w:t>(2)</w:t>
      </w:r>
      <w:r>
        <w:rPr>
          <w:rStyle w:val="Strong"/>
        </w:rPr>
        <w:t>Nutritional supplementation</w:t>
      </w:r>
      <w:r>
        <w:t xml:space="preserve"> through microbial biomass consumption by fish (Emerenciano </w:t>
      </w:r>
      <w:r w:rsidRPr="00526ABA">
        <w:rPr>
          <w:i/>
          <w:iCs/>
        </w:rPr>
        <w:t xml:space="preserve">et al., </w:t>
      </w:r>
      <w:r>
        <w:t>2017).</w:t>
      </w:r>
    </w:p>
    <w:p w:rsidR="00526ABA" w:rsidRDefault="00526ABA" w:rsidP="00526ABA">
      <w:pPr>
        <w:pStyle w:val="NormalWeb"/>
        <w:spacing w:before="0" w:beforeAutospacing="0" w:after="0" w:afterAutospacing="0" w:line="360" w:lineRule="auto"/>
        <w:jc w:val="both"/>
      </w:pPr>
      <w:r>
        <w:lastRenderedPageBreak/>
        <w:t xml:space="preserve">Maintaining functional floc formation requires continuous aeration, optimal dissolved oxygen (&gt; 4 mg/L), stable pH (7–8), and regulated total suspended solids (Kumar </w:t>
      </w:r>
      <w:r w:rsidRPr="00526ABA">
        <w:rPr>
          <w:i/>
          <w:iCs/>
        </w:rPr>
        <w:t>et al.,</w:t>
      </w:r>
      <w:r>
        <w:t xml:space="preserve"> 2021). When appropriately managed, biofloc systems reduce water exchange frequency to near-zero levels, making them suitable for locations with limited access to freshwater.</w:t>
      </w:r>
    </w:p>
    <w:p w:rsidR="00BB3FC7" w:rsidRDefault="00BB3FC7" w:rsidP="00526ABA">
      <w:pPr>
        <w:spacing w:after="0" w:line="360" w:lineRule="auto"/>
        <w:jc w:val="center"/>
        <w:rPr>
          <w:rStyle w:val="Strong"/>
          <w:b w:val="0"/>
          <w:bCs w:val="0"/>
        </w:rPr>
      </w:pPr>
    </w:p>
    <w:p w:rsidR="00BB3FC7" w:rsidRDefault="00BB3FC7" w:rsidP="00BB3FC7">
      <w:pPr>
        <w:spacing w:after="0" w:line="360" w:lineRule="auto"/>
        <w:jc w:val="center"/>
        <w:rPr>
          <w:rStyle w:val="Strong"/>
          <w:b w:val="0"/>
          <w:bCs w:val="0"/>
        </w:rPr>
      </w:pPr>
      <w:r>
        <w:rPr>
          <w:noProof/>
          <w:lang w:bidi="hi-IN"/>
        </w:rPr>
        <w:drawing>
          <wp:inline distT="0" distB="0" distL="0" distR="0">
            <wp:extent cx="4295775" cy="2847578"/>
            <wp:effectExtent l="19050" t="0" r="9525" b="0"/>
            <wp:docPr id="3" name="Picture 3" descr="C:\Users\USER\Desktop\Schematic-overview-of-the-working-principle-of-the-biofloc-technolo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chematic-overview-of-the-working-principle-of-the-biofloc-technology.png"/>
                    <pic:cNvPicPr>
                      <a:picLocks noChangeAspect="1" noChangeArrowheads="1"/>
                    </pic:cNvPicPr>
                  </pic:nvPicPr>
                  <pic:blipFill>
                    <a:blip r:embed="rId8"/>
                    <a:srcRect/>
                    <a:stretch>
                      <a:fillRect/>
                    </a:stretch>
                  </pic:blipFill>
                  <pic:spPr bwMode="auto">
                    <a:xfrm>
                      <a:off x="0" y="0"/>
                      <a:ext cx="4295775" cy="2847578"/>
                    </a:xfrm>
                    <a:prstGeom prst="rect">
                      <a:avLst/>
                    </a:prstGeom>
                    <a:noFill/>
                    <a:ln w="9525">
                      <a:noFill/>
                      <a:miter lim="800000"/>
                      <a:headEnd/>
                      <a:tailEnd/>
                    </a:ln>
                  </pic:spPr>
                </pic:pic>
              </a:graphicData>
            </a:graphic>
          </wp:inline>
        </w:drawing>
      </w:r>
    </w:p>
    <w:p w:rsidR="00BB3FC7" w:rsidRDefault="00BB3FC7" w:rsidP="00BB3FC7">
      <w:pPr>
        <w:spacing w:after="0" w:line="360" w:lineRule="auto"/>
        <w:jc w:val="center"/>
        <w:rPr>
          <w:rStyle w:val="Strong"/>
          <w:b w:val="0"/>
          <w:bCs w:val="0"/>
        </w:rPr>
      </w:pPr>
    </w:p>
    <w:p w:rsidR="00526ABA" w:rsidRDefault="00BB3FC7" w:rsidP="00BB3FC7">
      <w:pPr>
        <w:spacing w:after="0" w:line="360" w:lineRule="auto"/>
        <w:jc w:val="center"/>
        <w:rPr>
          <w:rFonts w:ascii="Times New Roman" w:hAnsi="Times New Roman" w:cs="Times New Roman"/>
          <w:i/>
          <w:iCs/>
          <w:sz w:val="28"/>
          <w:szCs w:val="28"/>
        </w:rPr>
      </w:pPr>
      <w:r w:rsidRPr="00BB3FC7">
        <w:rPr>
          <w:rStyle w:val="Strong"/>
          <w:b w:val="0"/>
          <w:bCs w:val="0"/>
          <w:i/>
          <w:iCs/>
        </w:rPr>
        <w:t>Figure: 1</w:t>
      </w:r>
      <w:r w:rsidRPr="00BB3FC7">
        <w:rPr>
          <w:i/>
          <w:iCs/>
        </w:rPr>
        <w:t>Schematic overview of the working principle of the biofloc technology. © Ilje</w:t>
      </w:r>
      <w:r w:rsidRPr="00BB3FC7">
        <w:rPr>
          <w:rFonts w:ascii="Times New Roman" w:hAnsi="Times New Roman" w:cs="Times New Roman"/>
          <w:i/>
          <w:iCs/>
          <w:sz w:val="24"/>
          <w:szCs w:val="24"/>
        </w:rPr>
        <w:t xml:space="preserve">Pikaar, Heidy Cruz, Tim Hülsen, </w:t>
      </w:r>
      <w:r w:rsidRPr="00526ABA">
        <w:rPr>
          <w:rStyle w:val="Emphasis"/>
          <w:rFonts w:ascii="Times New Roman" w:hAnsi="Times New Roman" w:cs="Times New Roman"/>
          <w:sz w:val="24"/>
          <w:szCs w:val="24"/>
        </w:rPr>
        <w:t>et al.</w:t>
      </w:r>
      <w:r w:rsidRPr="00BB3FC7">
        <w:rPr>
          <w:rFonts w:ascii="Times New Roman" w:hAnsi="Times New Roman" w:cs="Times New Roman"/>
          <w:i/>
          <w:iCs/>
          <w:sz w:val="24"/>
          <w:szCs w:val="24"/>
        </w:rPr>
        <w:t xml:space="preserve"> (2022).</w:t>
      </w:r>
    </w:p>
    <w:p w:rsidR="009B62A5" w:rsidRPr="00446938" w:rsidRDefault="009B62A5" w:rsidP="009B62A5">
      <w:pPr>
        <w:pStyle w:val="Heading3"/>
        <w:spacing w:before="0" w:line="360" w:lineRule="auto"/>
        <w:jc w:val="both"/>
        <w:rPr>
          <w:rFonts w:ascii="Times New Roman" w:hAnsi="Times New Roman" w:cs="Times New Roman"/>
          <w:i/>
          <w:iCs/>
          <w:color w:val="auto"/>
          <w:sz w:val="28"/>
          <w:szCs w:val="28"/>
        </w:rPr>
      </w:pPr>
      <w:r w:rsidRPr="00446938">
        <w:rPr>
          <w:rFonts w:ascii="Times New Roman" w:hAnsi="Times New Roman" w:cs="Times New Roman"/>
          <w:i/>
          <w:iCs/>
          <w:color w:val="auto"/>
          <w:sz w:val="28"/>
          <w:szCs w:val="28"/>
        </w:rPr>
        <w:t>Nutritional and water quality benefits of biofloc systems</w:t>
      </w:r>
    </w:p>
    <w:p w:rsidR="00526ABA" w:rsidRDefault="00526ABA" w:rsidP="0042189F">
      <w:pPr>
        <w:pStyle w:val="Heading3"/>
        <w:spacing w:before="0" w:line="360" w:lineRule="auto"/>
        <w:jc w:val="both"/>
        <w:rPr>
          <w:rFonts w:ascii="Times New Roman" w:eastAsia="Times New Roman" w:hAnsi="Times New Roman" w:cs="Times New Roman"/>
          <w:b w:val="0"/>
          <w:bCs w:val="0"/>
          <w:color w:val="auto"/>
          <w:sz w:val="24"/>
          <w:szCs w:val="24"/>
          <w:lang w:bidi="hi-IN"/>
        </w:rPr>
      </w:pPr>
      <w:r w:rsidRPr="00526ABA">
        <w:rPr>
          <w:rFonts w:ascii="Times New Roman" w:eastAsia="Times New Roman" w:hAnsi="Times New Roman" w:cs="Times New Roman"/>
          <w:b w:val="0"/>
          <w:bCs w:val="0"/>
          <w:color w:val="auto"/>
          <w:sz w:val="24"/>
          <w:szCs w:val="24"/>
          <w:lang w:bidi="hi-IN"/>
        </w:rPr>
        <w:t>Bioflo</w:t>
      </w:r>
      <w:r>
        <w:rPr>
          <w:rFonts w:ascii="Times New Roman" w:eastAsia="Times New Roman" w:hAnsi="Times New Roman" w:cs="Times New Roman"/>
          <w:b w:val="0"/>
          <w:bCs w:val="0"/>
          <w:color w:val="auto"/>
          <w:sz w:val="24"/>
          <w:szCs w:val="24"/>
          <w:lang w:bidi="hi-IN"/>
        </w:rPr>
        <w:t>c biomass typically contains 30-</w:t>
      </w:r>
      <w:r w:rsidRPr="00526ABA">
        <w:rPr>
          <w:rFonts w:ascii="Times New Roman" w:eastAsia="Times New Roman" w:hAnsi="Times New Roman" w:cs="Times New Roman"/>
          <w:b w:val="0"/>
          <w:bCs w:val="0"/>
          <w:color w:val="auto"/>
          <w:sz w:val="24"/>
          <w:szCs w:val="24"/>
          <w:lang w:bidi="hi-IN"/>
        </w:rPr>
        <w:t xml:space="preserve">45% crude protein and essential amino acids comparable to commercial feeds (Crab </w:t>
      </w:r>
      <w:r w:rsidRPr="00526ABA">
        <w:rPr>
          <w:rFonts w:ascii="Times New Roman" w:eastAsia="Times New Roman" w:hAnsi="Times New Roman" w:cs="Times New Roman"/>
          <w:b w:val="0"/>
          <w:bCs w:val="0"/>
          <w:i/>
          <w:iCs/>
          <w:color w:val="auto"/>
          <w:sz w:val="24"/>
          <w:szCs w:val="24"/>
          <w:lang w:bidi="hi-IN"/>
        </w:rPr>
        <w:t>et al.,</w:t>
      </w:r>
      <w:r w:rsidRPr="00526ABA">
        <w:rPr>
          <w:rFonts w:ascii="Times New Roman" w:eastAsia="Times New Roman" w:hAnsi="Times New Roman" w:cs="Times New Roman"/>
          <w:b w:val="0"/>
          <w:bCs w:val="0"/>
          <w:color w:val="auto"/>
          <w:sz w:val="24"/>
          <w:szCs w:val="24"/>
          <w:lang w:bidi="hi-IN"/>
        </w:rPr>
        <w:t xml:space="preserve"> 2012). Heterotrophic bacteria also produce digestive enzymes that improve nutrient assimilation. Poly-β-hydroxybutyrate (PHB) granules within flocs act as immune-stimulatory compounds, improving stress tolerance and disease resistance among cultured species (De Schryver </w:t>
      </w:r>
      <w:r w:rsidRPr="00526ABA">
        <w:rPr>
          <w:rFonts w:ascii="Times New Roman" w:eastAsia="Times New Roman" w:hAnsi="Times New Roman" w:cs="Times New Roman"/>
          <w:b w:val="0"/>
          <w:bCs w:val="0"/>
          <w:i/>
          <w:iCs/>
          <w:color w:val="auto"/>
          <w:sz w:val="24"/>
          <w:szCs w:val="24"/>
          <w:lang w:bidi="hi-IN"/>
        </w:rPr>
        <w:t>et al</w:t>
      </w:r>
      <w:r w:rsidRPr="00526ABA">
        <w:rPr>
          <w:rFonts w:ascii="Times New Roman" w:eastAsia="Times New Roman" w:hAnsi="Times New Roman" w:cs="Times New Roman"/>
          <w:b w:val="0"/>
          <w:bCs w:val="0"/>
          <w:color w:val="auto"/>
          <w:sz w:val="24"/>
          <w:szCs w:val="24"/>
          <w:lang w:bidi="hi-IN"/>
        </w:rPr>
        <w:t xml:space="preserve">., 2008). In water quality management, heterotrophic assimilation and nitrification prevent ammonia accumulation, stabilize pH, and reduce biochemical oxygen demand (Ray </w:t>
      </w:r>
      <w:r w:rsidRPr="00526ABA">
        <w:rPr>
          <w:rFonts w:ascii="Times New Roman" w:eastAsia="Times New Roman" w:hAnsi="Times New Roman" w:cs="Times New Roman"/>
          <w:b w:val="0"/>
          <w:bCs w:val="0"/>
          <w:i/>
          <w:iCs/>
          <w:color w:val="auto"/>
          <w:sz w:val="24"/>
          <w:szCs w:val="24"/>
          <w:lang w:bidi="hi-IN"/>
        </w:rPr>
        <w:t>et al.,</w:t>
      </w:r>
      <w:r w:rsidRPr="00526ABA">
        <w:rPr>
          <w:rFonts w:ascii="Times New Roman" w:eastAsia="Times New Roman" w:hAnsi="Times New Roman" w:cs="Times New Roman"/>
          <w:b w:val="0"/>
          <w:bCs w:val="0"/>
          <w:color w:val="auto"/>
          <w:sz w:val="24"/>
          <w:szCs w:val="24"/>
          <w:lang w:bidi="hi-IN"/>
        </w:rPr>
        <w:t xml:space="preserve"> 2010). These features reduce dependence on water exchange and strengthen environmental sustainability in water-limited urban contexts.</w:t>
      </w:r>
    </w:p>
    <w:p w:rsidR="00526ABA" w:rsidRPr="00526ABA" w:rsidRDefault="00526ABA" w:rsidP="00526ABA">
      <w:pPr>
        <w:rPr>
          <w:lang w:bidi="hi-IN"/>
        </w:rPr>
      </w:pPr>
    </w:p>
    <w:p w:rsidR="0042189F" w:rsidRPr="0042189F" w:rsidRDefault="00526ABA" w:rsidP="0042189F">
      <w:pPr>
        <w:pStyle w:val="Heading3"/>
        <w:spacing w:before="0" w:line="360" w:lineRule="auto"/>
        <w:jc w:val="both"/>
        <w:rPr>
          <w:rFonts w:ascii="Times New Roman" w:hAnsi="Times New Roman" w:cs="Times New Roman"/>
          <w:i/>
          <w:iCs/>
          <w:color w:val="auto"/>
          <w:sz w:val="24"/>
          <w:szCs w:val="24"/>
        </w:rPr>
      </w:pPr>
      <w:r w:rsidRPr="0042189F">
        <w:rPr>
          <w:rStyle w:val="Strong"/>
          <w:rFonts w:ascii="Times New Roman" w:hAnsi="Times New Roman" w:cs="Times New Roman"/>
          <w:b/>
          <w:bCs/>
          <w:i/>
          <w:iCs/>
          <w:color w:val="auto"/>
          <w:sz w:val="24"/>
          <w:szCs w:val="24"/>
        </w:rPr>
        <w:lastRenderedPageBreak/>
        <w:t>a. Nutritional</w:t>
      </w:r>
      <w:r w:rsidR="0042189F" w:rsidRPr="0042189F">
        <w:rPr>
          <w:rStyle w:val="Strong"/>
          <w:rFonts w:ascii="Times New Roman" w:hAnsi="Times New Roman" w:cs="Times New Roman"/>
          <w:b/>
          <w:bCs/>
          <w:i/>
          <w:iCs/>
          <w:color w:val="auto"/>
          <w:sz w:val="24"/>
          <w:szCs w:val="24"/>
        </w:rPr>
        <w:t xml:space="preserve"> Advantages</w:t>
      </w:r>
    </w:p>
    <w:p w:rsidR="0042189F" w:rsidRPr="0042189F" w:rsidRDefault="0042189F" w:rsidP="0042189F">
      <w:pPr>
        <w:pStyle w:val="NormalWeb"/>
        <w:spacing w:before="0" w:beforeAutospacing="0" w:after="0" w:afterAutospacing="0" w:line="360" w:lineRule="auto"/>
        <w:jc w:val="both"/>
      </w:pPr>
      <w:r w:rsidRPr="0042189F">
        <w:t xml:space="preserve">The nutritional value of bioflocs arises from their rich microbial biomass and biochemical composition. On a dry-weight basis, flocs generally contain 30–45 % crude protein, 3–12 % lipid, and essential amino acids such as lysine, methionine, and arginine in proportions comparable to conventional feed ingredients (Crab </w:t>
      </w:r>
      <w:r w:rsidRPr="0042189F">
        <w:rPr>
          <w:i/>
          <w:iCs/>
        </w:rPr>
        <w:t>et al</w:t>
      </w:r>
      <w:r w:rsidRPr="0042189F">
        <w:t>., 2012). Microbial cells within the floc continuously reproduce and die, releasing peptides, nucleic acids, vitamins, and minerals that become available to filter-feeding organisms. Heterotrophic bacteria synthesize single-cell protein directly from carbon-rich wastes, thereby converting inorganic nitrogen into edible microbial biomass. This internal protein regeneration can substitute up to 20–30 % of formulated feed in shrimp and tilapia culture without compromising growth performance (Xu &amp; Pan, 2014).</w:t>
      </w:r>
    </w:p>
    <w:p w:rsidR="0042189F" w:rsidRPr="0042189F" w:rsidRDefault="0042189F" w:rsidP="0042189F">
      <w:pPr>
        <w:pStyle w:val="NormalWeb"/>
        <w:spacing w:before="0" w:beforeAutospacing="0" w:after="0" w:afterAutospacing="0" w:line="360" w:lineRule="auto"/>
        <w:jc w:val="both"/>
      </w:pPr>
      <w:r w:rsidRPr="0042189F">
        <w:t xml:space="preserve">The microbial community also contributes important bioactive compounds. Many bacteria in flocs, particularly </w:t>
      </w:r>
      <w:r w:rsidRPr="0042189F">
        <w:rPr>
          <w:rStyle w:val="Emphasis"/>
        </w:rPr>
        <w:t>Bacillus</w:t>
      </w:r>
      <w:r w:rsidRPr="0042189F">
        <w:t xml:space="preserve">, </w:t>
      </w:r>
      <w:r w:rsidRPr="0042189F">
        <w:rPr>
          <w:rStyle w:val="Emphasis"/>
        </w:rPr>
        <w:t>Pseudomonas</w:t>
      </w:r>
      <w:r w:rsidRPr="0042189F">
        <w:t xml:space="preserve">, and lactic acid bacteria, produce extracellular enzymes (protease, amylase, lipase) that pre-digest complex feed residues, improving nutrient digestibility (Ahmad </w:t>
      </w:r>
      <w:r w:rsidRPr="0042189F">
        <w:rPr>
          <w:i/>
          <w:iCs/>
        </w:rPr>
        <w:t>et al.,</w:t>
      </w:r>
      <w:r w:rsidRPr="0042189F">
        <w:t xml:space="preserve"> 2020). Poly-β-hydroxybutyrate (PHB) granules produced by certain heterotrophs serve as a slow-release energy source and have been shown to stimulate immune responses in crustaceans. Moreover, the natural probiotic flora associated with bioflocs enhances gut health by competitively excluding pathogenic Vibrio species and by stimulating digestive enzyme activity (De Schryver </w:t>
      </w:r>
      <w:r w:rsidRPr="0042189F">
        <w:rPr>
          <w:i/>
          <w:iCs/>
        </w:rPr>
        <w:t>et al.,</w:t>
      </w:r>
      <w:r w:rsidRPr="0042189F">
        <w:t xml:space="preserve"> 2008).</w:t>
      </w:r>
    </w:p>
    <w:p w:rsidR="0042189F" w:rsidRPr="0042189F" w:rsidRDefault="0042189F" w:rsidP="0042189F">
      <w:pPr>
        <w:pStyle w:val="NormalWeb"/>
        <w:spacing w:before="0" w:beforeAutospacing="0" w:after="0" w:afterAutospacing="0" w:line="360" w:lineRule="auto"/>
        <w:jc w:val="both"/>
      </w:pPr>
      <w:r w:rsidRPr="0042189F">
        <w:t xml:space="preserve">Another nutritional advantage is the presence of essential fatty acids and carotenoids synthesized by phototrophic microorganisms within the floc. Diatoms and cyanobacteria contribute omega-3 and omega-6 fatty acids that improve flesh quality and coloration in fish and shrimp. In </w:t>
      </w:r>
      <w:r w:rsidRPr="0042189F">
        <w:rPr>
          <w:rStyle w:val="Emphasis"/>
        </w:rPr>
        <w:t>Litopenaeusvannamei</w:t>
      </w:r>
      <w:r w:rsidRPr="0042189F">
        <w:t>, diets supplemented with biofloc biomass increased feed conversion efficiency and elevated tissue levels of eicosapentaenoic acid (EPA) and docosahexaenoic acid (DHA) (Emerenciano</w:t>
      </w:r>
      <w:r w:rsidRPr="0042189F">
        <w:rPr>
          <w:i/>
          <w:iCs/>
        </w:rPr>
        <w:t>et al</w:t>
      </w:r>
      <w:r w:rsidRPr="0042189F">
        <w:t>., 2017). Thus, bioflocs serve not only as a protein supplement but also as a source of nutraceutical compounds that enhance growth, immunity, and product quality.</w:t>
      </w:r>
    </w:p>
    <w:p w:rsidR="0042189F" w:rsidRPr="0042189F" w:rsidRDefault="0042189F" w:rsidP="0042189F">
      <w:pPr>
        <w:pStyle w:val="Heading3"/>
        <w:spacing w:before="0" w:line="360" w:lineRule="auto"/>
        <w:jc w:val="both"/>
        <w:rPr>
          <w:rFonts w:ascii="Times New Roman" w:hAnsi="Times New Roman" w:cs="Times New Roman"/>
          <w:i/>
          <w:iCs/>
          <w:color w:val="auto"/>
          <w:sz w:val="24"/>
          <w:szCs w:val="24"/>
        </w:rPr>
      </w:pPr>
      <w:r>
        <w:rPr>
          <w:rStyle w:val="Strong"/>
          <w:rFonts w:ascii="Times New Roman" w:hAnsi="Times New Roman" w:cs="Times New Roman"/>
          <w:b/>
          <w:bCs/>
          <w:i/>
          <w:iCs/>
          <w:color w:val="auto"/>
          <w:sz w:val="24"/>
          <w:szCs w:val="24"/>
        </w:rPr>
        <w:t>b.</w:t>
      </w:r>
      <w:r w:rsidRPr="0042189F">
        <w:rPr>
          <w:rStyle w:val="Strong"/>
          <w:rFonts w:ascii="Times New Roman" w:hAnsi="Times New Roman" w:cs="Times New Roman"/>
          <w:b/>
          <w:bCs/>
          <w:i/>
          <w:iCs/>
          <w:color w:val="auto"/>
          <w:sz w:val="24"/>
          <w:szCs w:val="24"/>
        </w:rPr>
        <w:t xml:space="preserve"> Improvement of Water Quality</w:t>
      </w:r>
    </w:p>
    <w:p w:rsidR="0042189F" w:rsidRPr="0042189F" w:rsidRDefault="0042189F" w:rsidP="0042189F">
      <w:pPr>
        <w:pStyle w:val="NormalWeb"/>
        <w:spacing w:before="0" w:beforeAutospacing="0" w:after="0" w:afterAutospacing="0" w:line="360" w:lineRule="auto"/>
        <w:jc w:val="both"/>
      </w:pPr>
      <w:r w:rsidRPr="0042189F">
        <w:t xml:space="preserve">One of the central ecological benefits of BFT is the continuous recycling of nitrogen and phosphorus within the culture system. Through carbon supplementation and strong </w:t>
      </w:r>
      <w:r w:rsidRPr="0042189F">
        <w:lastRenderedPageBreak/>
        <w:t xml:space="preserve">aeration, the C:N ratio of the water is adjusted to promote heterotrophic bacterial growth. These bacteria rapidly assimilate ammonia and nitrite excreted by aquatic animals, converting them into microbial biomass rather than allowing accumulation of toxic forms of nitrogen (Avnimelech, 2015). In this process, 1 g of assimilated bacterial biomass removes roughly 0.08 g of ammonia-nitrogen, significantly reducing the need for water exchange (Crab </w:t>
      </w:r>
      <w:r w:rsidRPr="0042189F">
        <w:rPr>
          <w:i/>
          <w:iCs/>
        </w:rPr>
        <w:t>et al</w:t>
      </w:r>
      <w:r w:rsidRPr="0042189F">
        <w:t>., 2012).</w:t>
      </w:r>
    </w:p>
    <w:p w:rsidR="0042189F" w:rsidRPr="0042189F" w:rsidRDefault="0042189F" w:rsidP="0042189F">
      <w:pPr>
        <w:pStyle w:val="NormalWeb"/>
        <w:spacing w:before="0" w:beforeAutospacing="0" w:after="0" w:afterAutospacing="0" w:line="360" w:lineRule="auto"/>
        <w:jc w:val="both"/>
      </w:pPr>
      <w:r w:rsidRPr="0042189F">
        <w:t>Nitrifying bacteria present within mature bioflocs further oxidize residual ammonia to nitrate, stabilizing total ammonia nitrogen (TAN) below stress thresholds. The microbial matrix also adsorbs dissolved organic carbon, improving water transparency and reducing biochemical oxygen demand (BOD). The result is a self-regulating microbial loop that converts wastes into living feed while maintaining a steady biochemical equilibrium. Such systems can operate with zero or minimal water exchange, conserving freshwater an</w:t>
      </w:r>
      <w:r>
        <w:t xml:space="preserve">d minimizing effluent discharge </w:t>
      </w:r>
      <w:r w:rsidRPr="0042189F">
        <w:t>an essential advantage in water-scarce regions (</w:t>
      </w:r>
      <w:r w:rsidRPr="0042189F">
        <w:rPr>
          <w:i/>
          <w:iCs/>
        </w:rPr>
        <w:t>Ray et al.,</w:t>
      </w:r>
      <w:r w:rsidRPr="0042189F">
        <w:t xml:space="preserve"> 2010).</w:t>
      </w:r>
    </w:p>
    <w:p w:rsidR="0042189F" w:rsidRPr="0042189F" w:rsidRDefault="0042189F" w:rsidP="0042189F">
      <w:pPr>
        <w:pStyle w:val="NormalWeb"/>
        <w:spacing w:before="0" w:beforeAutospacing="0" w:after="0" w:afterAutospacing="0" w:line="360" w:lineRule="auto"/>
        <w:jc w:val="both"/>
      </w:pPr>
      <w:r w:rsidRPr="0042189F">
        <w:t>Additionally, biofloc particles provide surfaces for periphyton and nitrifying biofilms, increasing total microbial respiration and enhancing dissolved oxygen dynamics. The continuous agitation and aeration needed to keep flocs in suspension further promote oxygen diffusion throughout the culture pond. Improved oxygen availability suppresses anaerobic zones that would otherwise generate hydrogen sulfide and other reduced compounds. The presence of photosynthetic algae within the floc adds diurnal oxygen inputs and assists in carbon dioxide assimilation, buffering daily pH fluctuations (Bossier &amp;Ekasari, 2017).</w:t>
      </w:r>
    </w:p>
    <w:p w:rsidR="007832C0" w:rsidRPr="007832C0" w:rsidRDefault="009B62A5" w:rsidP="0042189F">
      <w:pPr>
        <w:pStyle w:val="NormalWeb"/>
        <w:spacing w:before="0" w:beforeAutospacing="0" w:after="0" w:afterAutospacing="0" w:line="360" w:lineRule="auto"/>
        <w:jc w:val="both"/>
        <w:rPr>
          <w:b/>
          <w:bCs/>
          <w:i/>
          <w:iCs/>
          <w:sz w:val="28"/>
          <w:szCs w:val="28"/>
        </w:rPr>
      </w:pPr>
      <w:r w:rsidRPr="007832C0">
        <w:rPr>
          <w:b/>
          <w:bCs/>
          <w:i/>
          <w:iCs/>
          <w:sz w:val="28"/>
          <w:szCs w:val="28"/>
        </w:rPr>
        <w:t xml:space="preserve">The role of biofloc technology in urban aquaculture </w:t>
      </w:r>
      <w:r w:rsidR="007832C0" w:rsidRPr="007832C0">
        <w:rPr>
          <w:b/>
          <w:bCs/>
          <w:i/>
          <w:iCs/>
          <w:sz w:val="28"/>
          <w:szCs w:val="28"/>
        </w:rPr>
        <w:t xml:space="preserve">systems: </w:t>
      </w:r>
    </w:p>
    <w:p w:rsidR="0042189F" w:rsidRPr="0042189F" w:rsidRDefault="0042189F" w:rsidP="0042189F">
      <w:pPr>
        <w:pStyle w:val="NormalWeb"/>
        <w:spacing w:before="0" w:beforeAutospacing="0" w:after="0" w:afterAutospacing="0" w:line="360" w:lineRule="auto"/>
        <w:jc w:val="both"/>
      </w:pPr>
      <w:r w:rsidRPr="0042189F">
        <w:t xml:space="preserve">Urbanization is rapidly altering the spatial and environmental dynamics of food production. Traditional aquaculture, typically located in peri-urban or rural regions, is increasingly constrained by land scarcity, freshwater limitation, and stringent environmental regulations. In this context, </w:t>
      </w:r>
      <w:r w:rsidRPr="0042189F">
        <w:rPr>
          <w:rStyle w:val="Strong"/>
          <w:b w:val="0"/>
          <w:bCs w:val="0"/>
        </w:rPr>
        <w:t>biofloc technology (BFT)</w:t>
      </w:r>
      <w:r w:rsidRPr="0042189F">
        <w:t xml:space="preserve"> offers a viable strategy for developing </w:t>
      </w:r>
      <w:r w:rsidRPr="0042189F">
        <w:rPr>
          <w:rStyle w:val="Strong"/>
          <w:b w:val="0"/>
          <w:bCs w:val="0"/>
        </w:rPr>
        <w:t>resource-efficient, eco-friendly aquaculturesystems</w:t>
      </w:r>
      <w:r w:rsidRPr="0042189F">
        <w:t xml:space="preserve">that can be integrated within or near urban centers. By recycling nutrients, minimizing water usage, and maintaining stable water quality, biofloc systems align with the goals of sustainable </w:t>
      </w:r>
      <w:r w:rsidRPr="0042189F">
        <w:lastRenderedPageBreak/>
        <w:t>urban food systems and circular bioeconomy models (Avnimelech, 2015; Bossier &amp;Ekasari, 2017).</w:t>
      </w:r>
    </w:p>
    <w:p w:rsidR="0042189F" w:rsidRPr="0042189F" w:rsidRDefault="0042189F" w:rsidP="0042189F">
      <w:pPr>
        <w:pStyle w:val="Heading3"/>
        <w:spacing w:before="0" w:line="360" w:lineRule="auto"/>
        <w:jc w:val="both"/>
        <w:rPr>
          <w:rFonts w:ascii="Times New Roman" w:hAnsi="Times New Roman" w:cs="Times New Roman"/>
          <w:b w:val="0"/>
          <w:bCs w:val="0"/>
          <w:i/>
          <w:iCs/>
          <w:color w:val="auto"/>
          <w:sz w:val="24"/>
          <w:szCs w:val="24"/>
        </w:rPr>
      </w:pPr>
      <w:r w:rsidRPr="0042189F">
        <w:rPr>
          <w:rStyle w:val="Strong"/>
          <w:rFonts w:ascii="Times New Roman" w:hAnsi="Times New Roman" w:cs="Times New Roman"/>
          <w:b/>
          <w:bCs/>
          <w:i/>
          <w:iCs/>
          <w:color w:val="auto"/>
          <w:sz w:val="24"/>
          <w:szCs w:val="24"/>
        </w:rPr>
        <w:t>a.  Urban Aquaculture and Resource Constraints</w:t>
      </w:r>
    </w:p>
    <w:p w:rsidR="0042189F" w:rsidRPr="0042189F" w:rsidRDefault="0042189F" w:rsidP="0042189F">
      <w:pPr>
        <w:pStyle w:val="NormalWeb"/>
        <w:spacing w:before="0" w:beforeAutospacing="0" w:after="0" w:afterAutospacing="0" w:line="360" w:lineRule="auto"/>
        <w:jc w:val="both"/>
      </w:pPr>
      <w:r w:rsidRPr="0042189F">
        <w:t xml:space="preserve">Urban aquaculture refers to the cultivation of aquatic organisms within densely populated environments such as rooftops, backyards, warehouses, or repurposed industrial facilities. The main challenges in these systems are </w:t>
      </w:r>
      <w:r w:rsidRPr="0042189F">
        <w:rPr>
          <w:rStyle w:val="Strong"/>
          <w:b w:val="0"/>
          <w:bCs w:val="0"/>
        </w:rPr>
        <w:t>limited space</w:t>
      </w:r>
      <w:r w:rsidRPr="0042189F">
        <w:rPr>
          <w:b/>
          <w:bCs/>
        </w:rPr>
        <w:t xml:space="preserve">, </w:t>
      </w:r>
      <w:r w:rsidRPr="0042189F">
        <w:rPr>
          <w:rStyle w:val="Strong"/>
          <w:b w:val="0"/>
          <w:bCs w:val="0"/>
        </w:rPr>
        <w:t>restricted water availability</w:t>
      </w:r>
      <w:r w:rsidRPr="0042189F">
        <w:rPr>
          <w:b/>
          <w:bCs/>
        </w:rPr>
        <w:t xml:space="preserve">, and </w:t>
      </w:r>
      <w:r w:rsidRPr="0042189F">
        <w:rPr>
          <w:rStyle w:val="Strong"/>
          <w:b w:val="0"/>
          <w:bCs w:val="0"/>
        </w:rPr>
        <w:t>environmental compliance</w:t>
      </w:r>
      <w:r w:rsidRPr="0042189F">
        <w:t>(FAO, 2020). Traditional pond or flow-through systems are unsuitable for such contexts because they demand continuous water exchange and generate large volumes of nutrient-rich effluent.</w:t>
      </w:r>
    </w:p>
    <w:p w:rsidR="0042189F" w:rsidRPr="0042189F" w:rsidRDefault="0042189F" w:rsidP="0042189F">
      <w:pPr>
        <w:pStyle w:val="NormalWeb"/>
        <w:spacing w:before="0" w:beforeAutospacing="0" w:after="0" w:afterAutospacing="0" w:line="360" w:lineRule="auto"/>
        <w:jc w:val="both"/>
      </w:pPr>
      <w:r w:rsidRPr="0042189F">
        <w:t xml:space="preserve">Biofloc technology mitigates these constraints by converting organic waste and inorganic nitrogen into microbial biomass within the system itself (Crab et al., 2012). It enables </w:t>
      </w:r>
      <w:r w:rsidRPr="0042189F">
        <w:rPr>
          <w:rStyle w:val="Strong"/>
          <w:b w:val="0"/>
          <w:bCs w:val="0"/>
        </w:rPr>
        <w:t>zero- or minimal-water exchange</w:t>
      </w:r>
      <w:r w:rsidRPr="0042189F">
        <w:t xml:space="preserve"> operation, allowing high stocking densities even in compact tanks. The microbial community maintains </w:t>
      </w:r>
      <w:r w:rsidRPr="0042189F">
        <w:rPr>
          <w:rStyle w:val="Strong"/>
          <w:b w:val="0"/>
          <w:bCs w:val="0"/>
        </w:rPr>
        <w:t>dynamic equilibrium</w:t>
      </w:r>
      <w:r w:rsidRPr="0042189F">
        <w:t xml:space="preserve"> of nitrogen and carbon, ensuring that ammonia and nitrite remain within safe limits for fish and shrimp. The self-regulating nature of biofloc systems makes them ideal for </w:t>
      </w:r>
      <w:r w:rsidRPr="0042189F">
        <w:rPr>
          <w:rStyle w:val="Strong"/>
          <w:b w:val="0"/>
          <w:bCs w:val="0"/>
        </w:rPr>
        <w:t>closed recirculating aquaculture setups</w:t>
      </w:r>
      <w:r w:rsidRPr="0042189F">
        <w:t>located in urban spaces where effluent discharge is heavily regulated or prohibited.</w:t>
      </w:r>
    </w:p>
    <w:p w:rsidR="0042189F" w:rsidRPr="0042189F" w:rsidRDefault="0042189F" w:rsidP="0042189F">
      <w:pPr>
        <w:pStyle w:val="NormalWeb"/>
        <w:spacing w:before="0" w:beforeAutospacing="0" w:after="0" w:afterAutospacing="0" w:line="360" w:lineRule="auto"/>
        <w:jc w:val="both"/>
      </w:pPr>
      <w:r w:rsidRPr="0042189F">
        <w:t xml:space="preserve">Urban aquaculture powered by biofloc systems thus represents a </w:t>
      </w:r>
      <w:r w:rsidRPr="0042189F">
        <w:rPr>
          <w:rStyle w:val="Strong"/>
          <w:b w:val="0"/>
          <w:bCs w:val="0"/>
        </w:rPr>
        <w:t>synergistic approach to food security and waste management</w:t>
      </w:r>
      <w:r w:rsidRPr="0042189F">
        <w:t>, transforming nutrient waste into high-value protein within city limits. This model supports the “local production–local consumption” paradigm, reducing the ecological footprint of seafood supply chains (Ahmad et al., 2020).</w:t>
      </w:r>
    </w:p>
    <w:p w:rsidR="0042189F" w:rsidRPr="0042189F" w:rsidRDefault="0042189F" w:rsidP="0042189F">
      <w:pPr>
        <w:pStyle w:val="Heading3"/>
        <w:spacing w:before="0" w:line="360" w:lineRule="auto"/>
        <w:jc w:val="both"/>
        <w:rPr>
          <w:rFonts w:ascii="Times New Roman" w:hAnsi="Times New Roman" w:cs="Times New Roman"/>
          <w:b w:val="0"/>
          <w:bCs w:val="0"/>
          <w:i/>
          <w:iCs/>
          <w:color w:val="auto"/>
          <w:sz w:val="24"/>
          <w:szCs w:val="24"/>
        </w:rPr>
      </w:pPr>
      <w:r w:rsidRPr="0042189F">
        <w:rPr>
          <w:rStyle w:val="Strong"/>
          <w:rFonts w:ascii="Times New Roman" w:hAnsi="Times New Roman" w:cs="Times New Roman"/>
          <w:b/>
          <w:bCs/>
          <w:i/>
          <w:iCs/>
          <w:color w:val="auto"/>
          <w:sz w:val="24"/>
          <w:szCs w:val="24"/>
        </w:rPr>
        <w:t>b.  Integration of Biofloc Systems into Urban Infrastructure</w:t>
      </w:r>
    </w:p>
    <w:p w:rsidR="0042189F" w:rsidRPr="0042189F" w:rsidRDefault="0042189F" w:rsidP="0042189F">
      <w:pPr>
        <w:pStyle w:val="NormalWeb"/>
        <w:spacing w:before="0" w:beforeAutospacing="0" w:after="0" w:afterAutospacing="0" w:line="360" w:lineRule="auto"/>
        <w:jc w:val="both"/>
      </w:pPr>
      <w:r w:rsidRPr="0042189F">
        <w:t xml:space="preserve">Biofloc technology can be effectively integrated into </w:t>
      </w:r>
      <w:r w:rsidRPr="0042189F">
        <w:rPr>
          <w:rStyle w:val="Strong"/>
          <w:b w:val="0"/>
          <w:bCs w:val="0"/>
        </w:rPr>
        <w:t>modular and vertical aquaculture systems</w:t>
      </w:r>
      <w:r w:rsidRPr="0042189F">
        <w:t xml:space="preserve"> compatible with urban infrastructure. Compact tanks equipped with mechanical aerators and biofloc reactors can be installed on rooftops, basements, or indoor facilities. The technology is particularly suitable for </w:t>
      </w:r>
      <w:r w:rsidRPr="0042189F">
        <w:rPr>
          <w:rStyle w:val="Strong"/>
          <w:b w:val="0"/>
          <w:bCs w:val="0"/>
        </w:rPr>
        <w:t>recirculating aquaculture systems (RAS)</w:t>
      </w:r>
      <w:r w:rsidRPr="0042189F">
        <w:rPr>
          <w:b/>
          <w:bCs/>
        </w:rPr>
        <w:t>,</w:t>
      </w:r>
      <w:r w:rsidRPr="0042189F">
        <w:t xml:space="preserve"> where bioflocs act as both a biological filter and a supplemental feed source (Emerenciano</w:t>
      </w:r>
      <w:r w:rsidRPr="0042189F">
        <w:rPr>
          <w:i/>
          <w:iCs/>
        </w:rPr>
        <w:t>et al.,</w:t>
      </w:r>
      <w:r w:rsidRPr="0042189F">
        <w:t xml:space="preserve"> 2017).</w:t>
      </w:r>
    </w:p>
    <w:p w:rsidR="0042189F" w:rsidRPr="0042189F" w:rsidRDefault="0042189F" w:rsidP="0042189F">
      <w:pPr>
        <w:pStyle w:val="NormalWeb"/>
        <w:spacing w:before="0" w:beforeAutospacing="0" w:after="0" w:afterAutospacing="0" w:line="360" w:lineRule="auto"/>
        <w:jc w:val="both"/>
      </w:pPr>
      <w:r w:rsidRPr="0042189F">
        <w:t xml:space="preserve">Urban installations in India and Southeast Asia have successfully demonstrated small-scale shrimp and tilapia production using rooftop biofloc tanks (Ray </w:t>
      </w:r>
      <w:r w:rsidRPr="0042189F">
        <w:rPr>
          <w:i/>
          <w:iCs/>
        </w:rPr>
        <w:t>et al.,</w:t>
      </w:r>
      <w:r w:rsidRPr="0042189F">
        <w:t xml:space="preserve"> 2010). The </w:t>
      </w:r>
      <w:r w:rsidRPr="0042189F">
        <w:lastRenderedPageBreak/>
        <w:t>system requires minimal plumbing and water exchange—typically l</w:t>
      </w:r>
      <w:r>
        <w:t xml:space="preserve">ess than 2–5% daily replacement </w:t>
      </w:r>
      <w:r w:rsidRPr="0042189F">
        <w:t>and can operate on municipal water with minor conditioning. Aeration systems driven by renewable energy sources, such as solar panels, make the approach more energy-efficient and climate-resilient.</w:t>
      </w:r>
    </w:p>
    <w:p w:rsidR="0042189F" w:rsidRPr="0042189F" w:rsidRDefault="0042189F" w:rsidP="0042189F">
      <w:pPr>
        <w:pStyle w:val="NormalWeb"/>
        <w:spacing w:before="0" w:beforeAutospacing="0" w:after="0" w:afterAutospacing="0" w:line="360" w:lineRule="auto"/>
        <w:jc w:val="both"/>
      </w:pPr>
      <w:r w:rsidRPr="0042189F">
        <w:t xml:space="preserve">Additionally, biofloc units can be combined with </w:t>
      </w:r>
      <w:r w:rsidRPr="0042189F">
        <w:rPr>
          <w:rStyle w:val="Strong"/>
          <w:b w:val="0"/>
          <w:bCs w:val="0"/>
        </w:rPr>
        <w:t>hydroponic or aquaponic systems</w:t>
      </w:r>
      <w:r w:rsidRPr="0042189F">
        <w:rPr>
          <w:b/>
          <w:bCs/>
        </w:rPr>
        <w:t>,</w:t>
      </w:r>
      <w:r w:rsidRPr="0042189F">
        <w:t xml:space="preserve"> creating integrated urban food-production hubs. The nutrient-rich effluent from biofloc tanks, after partial filtration, can serve as liquid fertilizer for vegetables and herbs, reducing synthetic fertilizer use. Such </w:t>
      </w:r>
      <w:r w:rsidRPr="0042189F">
        <w:rPr>
          <w:rStyle w:val="Strong"/>
          <w:b w:val="0"/>
          <w:bCs w:val="0"/>
        </w:rPr>
        <w:t>aquaponic-biofloc hybrids</w:t>
      </w:r>
      <w:r w:rsidRPr="0042189F">
        <w:t xml:space="preserve"> exemplify circular economy principles and support the development of self-sustaining urban farming ecosystems (Bossier &amp;Ekasari, 2017).</w:t>
      </w:r>
    </w:p>
    <w:p w:rsidR="0042189F" w:rsidRPr="0042189F" w:rsidRDefault="003B7726" w:rsidP="0042189F">
      <w:pPr>
        <w:pStyle w:val="Heading3"/>
        <w:spacing w:before="0" w:line="360" w:lineRule="auto"/>
        <w:jc w:val="both"/>
        <w:rPr>
          <w:rFonts w:ascii="Times New Roman" w:hAnsi="Times New Roman" w:cs="Times New Roman"/>
          <w:b w:val="0"/>
          <w:bCs w:val="0"/>
          <w:i/>
          <w:iCs/>
          <w:color w:val="auto"/>
          <w:sz w:val="24"/>
          <w:szCs w:val="24"/>
        </w:rPr>
      </w:pPr>
      <w:r>
        <w:rPr>
          <w:rStyle w:val="Strong"/>
          <w:rFonts w:ascii="Times New Roman" w:hAnsi="Times New Roman" w:cs="Times New Roman"/>
          <w:b/>
          <w:bCs/>
          <w:i/>
          <w:iCs/>
          <w:color w:val="auto"/>
          <w:sz w:val="24"/>
          <w:szCs w:val="24"/>
        </w:rPr>
        <w:t>c.</w:t>
      </w:r>
      <w:r w:rsidR="0042189F" w:rsidRPr="0042189F">
        <w:rPr>
          <w:rStyle w:val="Strong"/>
          <w:rFonts w:ascii="Times New Roman" w:hAnsi="Times New Roman" w:cs="Times New Roman"/>
          <w:b/>
          <w:bCs/>
          <w:i/>
          <w:iCs/>
          <w:color w:val="auto"/>
          <w:sz w:val="24"/>
          <w:szCs w:val="24"/>
        </w:rPr>
        <w:t xml:space="preserve"> Nutritional and Environmental Benefits in Urban Contexts</w:t>
      </w:r>
    </w:p>
    <w:p w:rsidR="0042189F" w:rsidRPr="0042189F" w:rsidRDefault="0042189F" w:rsidP="0042189F">
      <w:pPr>
        <w:pStyle w:val="NormalWeb"/>
        <w:spacing w:before="0" w:beforeAutospacing="0" w:after="0" w:afterAutospacing="0" w:line="360" w:lineRule="auto"/>
        <w:jc w:val="both"/>
      </w:pPr>
      <w:r w:rsidRPr="0042189F">
        <w:t xml:space="preserve">From a nutritional standpoint, biofloc systems produce microbial biomass that acts as a </w:t>
      </w:r>
      <w:r w:rsidRPr="0042189F">
        <w:rPr>
          <w:rStyle w:val="Strong"/>
          <w:b w:val="0"/>
          <w:bCs w:val="0"/>
        </w:rPr>
        <w:t>natural protein supplement</w:t>
      </w:r>
      <w:r w:rsidRPr="0042189F">
        <w:t xml:space="preserve"> for cultured fish or shrimp. This biomass, rich in amino acids, polyunsaturated fatty acids, and vitamins, reduces the dependence on formulated feed—a major cost and logistical challenge in urban aquaculture (Xu &amp; Pan, 2014). Studies have shown that fish reared under biofloc conditions exhibit improved feed conversion ratios (FCR), enhanced immune response, and better stress tolerance compared to conventional clear-water systems (Emerenciano</w:t>
      </w:r>
      <w:r w:rsidRPr="0042189F">
        <w:rPr>
          <w:i/>
          <w:iCs/>
        </w:rPr>
        <w:t>et al</w:t>
      </w:r>
      <w:r w:rsidRPr="0042189F">
        <w:t>., 2017).</w:t>
      </w:r>
    </w:p>
    <w:p w:rsidR="0042189F" w:rsidRPr="0042189F" w:rsidRDefault="0042189F" w:rsidP="0042189F">
      <w:pPr>
        <w:pStyle w:val="NormalWeb"/>
        <w:spacing w:before="0" w:beforeAutospacing="0" w:after="0" w:afterAutospacing="0" w:line="360" w:lineRule="auto"/>
        <w:jc w:val="both"/>
      </w:pPr>
      <w:r w:rsidRPr="0042189F">
        <w:t>Environmentally, BFT addresses one of the most pressing issues in urban aquaculture</w:t>
      </w:r>
      <w:r w:rsidRPr="0042189F">
        <w:rPr>
          <w:rStyle w:val="Strong"/>
          <w:b w:val="0"/>
          <w:bCs w:val="0"/>
        </w:rPr>
        <w:t>wastewater management</w:t>
      </w:r>
      <w:r w:rsidRPr="0042189F">
        <w:rPr>
          <w:b/>
          <w:bCs/>
        </w:rPr>
        <w:t>.</w:t>
      </w:r>
      <w:r w:rsidRPr="0042189F">
        <w:t xml:space="preserve"> The microbial community continuously assimilates organic wastes and nitrogenous compounds, preventing eutrophication and eliminating the need for frequent water discharge. The ability to operate under </w:t>
      </w:r>
      <w:r w:rsidRPr="0042189F">
        <w:rPr>
          <w:rStyle w:val="Strong"/>
          <w:b w:val="0"/>
          <w:bCs w:val="0"/>
        </w:rPr>
        <w:t>zero-water-exchange</w:t>
      </w:r>
      <w:r w:rsidRPr="0042189F">
        <w:t xml:space="preserve"> conditions ensures compliance with urban wastewater regulations while conserving valuable freshwater resources. Moreover, because bioflocs contain living microbes capable of denitrification and phosphorus uptake, the system naturally stabilizes pH and reduces biochemical oxygen demand (Crab </w:t>
      </w:r>
      <w:r w:rsidRPr="0042189F">
        <w:rPr>
          <w:i/>
          <w:iCs/>
        </w:rPr>
        <w:t>et al</w:t>
      </w:r>
      <w:r w:rsidRPr="0042189F">
        <w:t>., 2012).</w:t>
      </w:r>
    </w:p>
    <w:p w:rsidR="0042189F" w:rsidRPr="0042189F" w:rsidRDefault="0042189F" w:rsidP="0042189F">
      <w:pPr>
        <w:pStyle w:val="NormalWeb"/>
        <w:spacing w:before="0" w:beforeAutospacing="0" w:after="0" w:afterAutospacing="0" w:line="360" w:lineRule="auto"/>
        <w:jc w:val="both"/>
      </w:pPr>
      <w:r w:rsidRPr="0042189F">
        <w:t xml:space="preserve">In dense cities where space and water are at a premium, such self-contained and regenerative systems provide a </w:t>
      </w:r>
      <w:r w:rsidRPr="0042189F">
        <w:rPr>
          <w:rStyle w:val="Strong"/>
          <w:b w:val="0"/>
          <w:bCs w:val="0"/>
        </w:rPr>
        <w:t>sustainable blueprint for protein production</w:t>
      </w:r>
      <w:r w:rsidRPr="0042189F">
        <w:t xml:space="preserve"> with minimal environmental footprint. The improved biosecurity and low disease incidence observed in biofloc tanks further make them suitable for indoor production units, where pathogen introduction can be tightly controlled (Ahmad </w:t>
      </w:r>
      <w:r w:rsidRPr="003B7726">
        <w:rPr>
          <w:i/>
          <w:iCs/>
        </w:rPr>
        <w:t>et al</w:t>
      </w:r>
      <w:r w:rsidRPr="0042189F">
        <w:t>., 2020).</w:t>
      </w:r>
    </w:p>
    <w:p w:rsidR="0042189F" w:rsidRPr="003B7726" w:rsidRDefault="003B7726" w:rsidP="0042189F">
      <w:pPr>
        <w:pStyle w:val="Heading3"/>
        <w:spacing w:before="0" w:line="360" w:lineRule="auto"/>
        <w:jc w:val="both"/>
        <w:rPr>
          <w:rFonts w:ascii="Times New Roman" w:hAnsi="Times New Roman" w:cs="Times New Roman"/>
          <w:b w:val="0"/>
          <w:bCs w:val="0"/>
          <w:i/>
          <w:iCs/>
          <w:color w:val="auto"/>
          <w:sz w:val="24"/>
          <w:szCs w:val="24"/>
        </w:rPr>
      </w:pPr>
      <w:r w:rsidRPr="003B7726">
        <w:rPr>
          <w:rStyle w:val="Strong"/>
          <w:rFonts w:ascii="Times New Roman" w:hAnsi="Times New Roman" w:cs="Times New Roman"/>
          <w:b/>
          <w:bCs/>
          <w:i/>
          <w:iCs/>
          <w:color w:val="auto"/>
          <w:sz w:val="24"/>
          <w:szCs w:val="24"/>
        </w:rPr>
        <w:lastRenderedPageBreak/>
        <w:t xml:space="preserve">d. </w:t>
      </w:r>
      <w:r w:rsidR="0042189F" w:rsidRPr="003B7726">
        <w:rPr>
          <w:rStyle w:val="Strong"/>
          <w:rFonts w:ascii="Times New Roman" w:hAnsi="Times New Roman" w:cs="Times New Roman"/>
          <w:b/>
          <w:bCs/>
          <w:i/>
          <w:iCs/>
          <w:color w:val="auto"/>
          <w:sz w:val="24"/>
          <w:szCs w:val="24"/>
        </w:rPr>
        <w:t>Socioeconomic and Policy Dimensions</w:t>
      </w:r>
    </w:p>
    <w:p w:rsidR="0042189F" w:rsidRPr="0042189F" w:rsidRDefault="0042189F" w:rsidP="0042189F">
      <w:pPr>
        <w:pStyle w:val="NormalWeb"/>
        <w:spacing w:before="0" w:beforeAutospacing="0" w:after="0" w:afterAutospacing="0" w:line="360" w:lineRule="auto"/>
        <w:jc w:val="both"/>
      </w:pPr>
      <w:r w:rsidRPr="0042189F">
        <w:t xml:space="preserve">Biofloc-based urban aquaculture carries significant socioeconomic implications. It enables </w:t>
      </w:r>
      <w:r w:rsidRPr="003B7726">
        <w:rPr>
          <w:rStyle w:val="Strong"/>
          <w:b w:val="0"/>
          <w:bCs w:val="0"/>
        </w:rPr>
        <w:t>micro-scale entrepreneurship</w:t>
      </w:r>
      <w:r w:rsidRPr="0042189F">
        <w:t xml:space="preserve"> by reducing capital and operational costs. Small tanks can be managed in residential areas, community cooperatives, or educational institutions, promoting local employment and urban food literacy. The technology’</w:t>
      </w:r>
      <w:r w:rsidR="003B7726">
        <w:t xml:space="preserve">s modularity allows scalability </w:t>
      </w:r>
      <w:r w:rsidRPr="0042189F">
        <w:t>from small backyard tanks to large warehouse operations—thus fitting a range of urban socioeconomic contexts (FAO, 2020).</w:t>
      </w:r>
    </w:p>
    <w:p w:rsidR="0042189F" w:rsidRPr="0042189F" w:rsidRDefault="0042189F" w:rsidP="0042189F">
      <w:pPr>
        <w:pStyle w:val="NormalWeb"/>
        <w:spacing w:before="0" w:beforeAutospacing="0" w:after="0" w:afterAutospacing="0" w:line="360" w:lineRule="auto"/>
        <w:jc w:val="both"/>
      </w:pPr>
      <w:r w:rsidRPr="0042189F">
        <w:t xml:space="preserve">Government programs in India, such as the </w:t>
      </w:r>
      <w:r w:rsidRPr="0042189F">
        <w:rPr>
          <w:rStyle w:val="Emphasis"/>
        </w:rPr>
        <w:t>Pradhan Mantri Matsya Sampada Yojana (PMMSY)</w:t>
      </w:r>
      <w:r w:rsidRPr="0042189F">
        <w:t>, have begun to encourage urban biofloc units by offering training and financial support to youth and women entrepreneurs. These programs align with the Sustainable Development Goals (SDG 2: Zero Hunger and SDG 12: Responsible Consumption and Production) by promoting resource-efficient, decentralized aquaculture.</w:t>
      </w:r>
    </w:p>
    <w:p w:rsidR="0042189F" w:rsidRPr="0042189F" w:rsidRDefault="0042189F" w:rsidP="0042189F">
      <w:pPr>
        <w:pStyle w:val="NormalWeb"/>
        <w:spacing w:before="0" w:beforeAutospacing="0" w:after="0" w:afterAutospacing="0" w:line="360" w:lineRule="auto"/>
        <w:jc w:val="both"/>
      </w:pPr>
      <w:r w:rsidRPr="0042189F">
        <w:t xml:space="preserve">However, policy integration remains essential. Urban aquaculture often falls between agricultural and municipal regulatory frameworks, leading to challenges in licensing, effluent disposal, and food safety certification. Recognizing biofloc aquaculture as an </w:t>
      </w:r>
      <w:r w:rsidRPr="003B7726">
        <w:rPr>
          <w:rStyle w:val="Strong"/>
          <w:b w:val="0"/>
          <w:bCs w:val="0"/>
        </w:rPr>
        <w:t>environmentally beneficial urban farming practice</w:t>
      </w:r>
      <w:r w:rsidRPr="0042189F">
        <w:t xml:space="preserve"> could facilitate mainstream adoption through tax incentives, low-interest loans, and technical training (Bossier &amp;Ekasari, 2017).</w:t>
      </w:r>
    </w:p>
    <w:p w:rsidR="007832C0" w:rsidRPr="007832C0" w:rsidRDefault="007832C0" w:rsidP="0042189F">
      <w:pPr>
        <w:pStyle w:val="Heading3"/>
        <w:spacing w:before="0" w:line="360" w:lineRule="auto"/>
        <w:jc w:val="both"/>
        <w:rPr>
          <w:rFonts w:ascii="Times New Roman" w:hAnsi="Times New Roman" w:cs="Times New Roman"/>
          <w:i/>
          <w:iCs/>
          <w:color w:val="auto"/>
          <w:sz w:val="28"/>
          <w:szCs w:val="28"/>
        </w:rPr>
      </w:pPr>
      <w:r w:rsidRPr="007832C0">
        <w:rPr>
          <w:rFonts w:ascii="Times New Roman" w:hAnsi="Times New Roman" w:cs="Times New Roman"/>
          <w:i/>
          <w:iCs/>
          <w:color w:val="auto"/>
          <w:sz w:val="28"/>
          <w:szCs w:val="28"/>
        </w:rPr>
        <w:t>Case studies of biofloc technology adoption</w:t>
      </w:r>
    </w:p>
    <w:p w:rsidR="007832C0" w:rsidRPr="007832C0" w:rsidRDefault="007832C0" w:rsidP="007832C0">
      <w:pPr>
        <w:pStyle w:val="NormalWeb"/>
        <w:spacing w:before="0" w:beforeAutospacing="0" w:after="0" w:afterAutospacing="0" w:line="360" w:lineRule="auto"/>
        <w:jc w:val="both"/>
      </w:pPr>
      <w:r w:rsidRPr="007832C0">
        <w:t xml:space="preserve">The adoption of biofloc technology (BFT) has been expanding worldwide, offering insights into its adaptability across different ecological and socio-economic contexts. In </w:t>
      </w:r>
      <w:r w:rsidRPr="007832C0">
        <w:rPr>
          <w:rStyle w:val="Strong"/>
          <w:b w:val="0"/>
          <w:bCs w:val="0"/>
        </w:rPr>
        <w:t>Brazil</w:t>
      </w:r>
      <w:r w:rsidRPr="007832C0">
        <w:t>, BFT has been applied successfully in catfish and shrimp culture, where studies reported improved growth performance and reduced water use compared to conventional pond farming (Emerenciano</w:t>
      </w:r>
      <w:r w:rsidRPr="007832C0">
        <w:rPr>
          <w:i/>
          <w:iCs/>
        </w:rPr>
        <w:t xml:space="preserve">et al., </w:t>
      </w:r>
      <w:r w:rsidRPr="007832C0">
        <w:t xml:space="preserve">2020). Similarly, in </w:t>
      </w:r>
      <w:r w:rsidRPr="007832C0">
        <w:rPr>
          <w:rStyle w:val="Strong"/>
          <w:b w:val="0"/>
          <w:bCs w:val="0"/>
        </w:rPr>
        <w:t>Bangladesh</w:t>
      </w:r>
      <w:r w:rsidRPr="007832C0">
        <w:t xml:space="preserve">, community-based biofloc farms in peri-urban areas of Dhaka have provided both employment opportunities and improved household protein intake (Jahan </w:t>
      </w:r>
      <w:r w:rsidRPr="007832C0">
        <w:rPr>
          <w:i/>
          <w:iCs/>
        </w:rPr>
        <w:t>et al.,</w:t>
      </w:r>
      <w:r w:rsidRPr="007832C0">
        <w:t xml:space="preserve"> 2023). In </w:t>
      </w:r>
      <w:r w:rsidRPr="007832C0">
        <w:rPr>
          <w:rStyle w:val="Strong"/>
          <w:b w:val="0"/>
          <w:bCs w:val="0"/>
        </w:rPr>
        <w:t>Nigeria</w:t>
      </w:r>
      <w:r w:rsidRPr="007832C0">
        <w:t>, biofloc residues are even processed into organic fertilizers and animal feed supplements, demonstrating the versatility of this approach (Pal &amp; Das, 2022).</w:t>
      </w:r>
    </w:p>
    <w:p w:rsidR="007832C0" w:rsidRPr="007832C0" w:rsidRDefault="007832C0" w:rsidP="007832C0">
      <w:pPr>
        <w:pStyle w:val="NormalWeb"/>
        <w:spacing w:before="0" w:beforeAutospacing="0" w:after="0" w:afterAutospacing="0" w:line="360" w:lineRule="auto"/>
        <w:jc w:val="both"/>
      </w:pPr>
      <w:r w:rsidRPr="007832C0">
        <w:t xml:space="preserve">In India, biofloc technology has gained momentum under national and state-level initiatives. In </w:t>
      </w:r>
      <w:r w:rsidRPr="007832C0">
        <w:rPr>
          <w:rStyle w:val="Strong"/>
          <w:b w:val="0"/>
          <w:bCs w:val="0"/>
        </w:rPr>
        <w:t>Chhattisgarh</w:t>
      </w:r>
      <w:r w:rsidRPr="007832C0">
        <w:t xml:space="preserve">, the </w:t>
      </w:r>
      <w:r w:rsidRPr="007832C0">
        <w:rPr>
          <w:rStyle w:val="Emphasis"/>
        </w:rPr>
        <w:t>MukhyamantriMatsyaSampada Yojana</w:t>
      </w:r>
      <w:r w:rsidRPr="007832C0">
        <w:t xml:space="preserve"> promoted biofloc tanks in Raipur, Durg, and Bilaspur. Women’s self-help groups traine</w:t>
      </w:r>
      <w:r>
        <w:t xml:space="preserve">d under this scheme </w:t>
      </w:r>
      <w:r>
        <w:lastRenderedPageBreak/>
        <w:t>reported 20-</w:t>
      </w:r>
      <w:r w:rsidRPr="007832C0">
        <w:t xml:space="preserve">25% reductions in feed costs and additional household income (Government of Chhattisgarh, 2023). In </w:t>
      </w:r>
      <w:r w:rsidRPr="007832C0">
        <w:rPr>
          <w:rStyle w:val="Strong"/>
          <w:b w:val="0"/>
          <w:bCs w:val="0"/>
        </w:rPr>
        <w:t>Madhya Pradesh</w:t>
      </w:r>
      <w:r w:rsidRPr="007832C0">
        <w:t xml:space="preserve">, peri-urban farms in Bhopal and Indore adopted BFT with 40% subsidy support, achieving tilapia survival rates above 85% (Department of Fisheries, MP, 2023). In </w:t>
      </w:r>
      <w:r w:rsidRPr="007832C0">
        <w:rPr>
          <w:rStyle w:val="Strong"/>
          <w:b w:val="0"/>
          <w:bCs w:val="0"/>
        </w:rPr>
        <w:t>Uttar Pradesh</w:t>
      </w:r>
      <w:r w:rsidRPr="007832C0">
        <w:t xml:space="preserve">, rooftop biofloc systems in Lucknow and Varanasi, supported under the </w:t>
      </w:r>
      <w:r w:rsidRPr="007832C0">
        <w:rPr>
          <w:rStyle w:val="Emphasis"/>
        </w:rPr>
        <w:t>Pradhan Mantri Matsya Sampada Yojana (PMMSY)</w:t>
      </w:r>
      <w:r w:rsidRPr="007832C0">
        <w:t>, reduced water use by 80% and provided rapid returns on investment within 8–10 months (Government of UP, 2023).</w:t>
      </w:r>
    </w:p>
    <w:p w:rsidR="007832C0" w:rsidRPr="007832C0" w:rsidRDefault="007832C0" w:rsidP="00BB3FC7">
      <w:pPr>
        <w:pStyle w:val="NormalWeb"/>
        <w:spacing w:before="0" w:beforeAutospacing="0" w:after="0" w:afterAutospacing="0" w:line="360" w:lineRule="auto"/>
        <w:jc w:val="both"/>
      </w:pPr>
      <w:r w:rsidRPr="007832C0">
        <w:t xml:space="preserve">Bihar’s recurring floods have highlighted the resilience of biofloc systems. NABARD-supported groups in Patna and Muzaffarpur developed mobile biofloc units that continued production during floods, ensuring food supply and income stability (NABARD, 2022). In </w:t>
      </w:r>
      <w:r w:rsidRPr="007832C0">
        <w:rPr>
          <w:rStyle w:val="Strong"/>
          <w:b w:val="0"/>
          <w:bCs w:val="0"/>
        </w:rPr>
        <w:t>Odisha</w:t>
      </w:r>
      <w:r w:rsidRPr="007832C0">
        <w:t>, one of India’s leading fish-producing states, over 2,000 biofloc units were established in 2022–23, focusing on rohu, catla, and tilapia, with many units contributing to local consumption and interstate markets (Government of Odisha, 2023).</w:t>
      </w:r>
    </w:p>
    <w:p w:rsidR="007832C0" w:rsidRPr="007832C0" w:rsidRDefault="007832C0" w:rsidP="007832C0">
      <w:pPr>
        <w:pStyle w:val="NormalWeb"/>
        <w:spacing w:before="0" w:beforeAutospacing="0" w:after="0" w:afterAutospacing="0" w:line="360" w:lineRule="auto"/>
        <w:jc w:val="both"/>
      </w:pPr>
      <w:r w:rsidRPr="007832C0">
        <w:t>These case studies underline the flexibility of BFT. Whether applied in water-scarce urban settings, flood-prone regions, or large-scale commercial initiatives, biofloc systems consistently demonstrate their value in improving productivity, enhancing livelihoods, and promoting sustainable aquaculture.</w:t>
      </w:r>
    </w:p>
    <w:p w:rsidR="009B62A5" w:rsidRPr="007832C0" w:rsidRDefault="009B62A5" w:rsidP="007832C0">
      <w:pPr>
        <w:pStyle w:val="Heading3"/>
        <w:spacing w:before="0" w:line="360" w:lineRule="auto"/>
        <w:jc w:val="both"/>
        <w:rPr>
          <w:rFonts w:ascii="Times New Roman" w:hAnsi="Times New Roman" w:cs="Times New Roman"/>
          <w:i/>
          <w:iCs/>
          <w:color w:val="auto"/>
          <w:sz w:val="28"/>
          <w:szCs w:val="28"/>
        </w:rPr>
      </w:pPr>
      <w:r w:rsidRPr="007832C0">
        <w:rPr>
          <w:rFonts w:ascii="Times New Roman" w:hAnsi="Times New Roman" w:cs="Times New Roman"/>
          <w:i/>
          <w:iCs/>
          <w:color w:val="auto"/>
          <w:sz w:val="28"/>
          <w:szCs w:val="28"/>
        </w:rPr>
        <w:t>Contribution of biofloc systems to sustainability and food security</w:t>
      </w:r>
    </w:p>
    <w:p w:rsidR="003B7726" w:rsidRDefault="003B7726" w:rsidP="003B7726">
      <w:pPr>
        <w:pStyle w:val="NormalWeb"/>
        <w:spacing w:before="0" w:beforeAutospacing="0" w:after="0" w:afterAutospacing="0" w:line="360" w:lineRule="auto"/>
        <w:jc w:val="both"/>
      </w:pPr>
      <w:r w:rsidRPr="003B7726">
        <w:t xml:space="preserve">Ensuring global food security in the face of population growth, climate change, and resource depletion is a central challenge of the twenty-first century. Aquaculture, the fastest-growing food production sector worldwide, plays a pivotal role in addressing this challenge by providing affordable animal protein and livelihood opportunities. However, conventional aquaculture often depends heavily on water exchange, high-protein feeds, and antibiotic use, resulting in nutrient pollution, greenhouse gas emissions, and ecological degradation. In contrast, </w:t>
      </w:r>
      <w:r w:rsidRPr="003B7726">
        <w:rPr>
          <w:rStyle w:val="Strong"/>
          <w:b w:val="0"/>
          <w:bCs w:val="0"/>
        </w:rPr>
        <w:t>biofloc technology (BFT)</w:t>
      </w:r>
      <w:r w:rsidRPr="003B7726">
        <w:t xml:space="preserve"> offers a </w:t>
      </w:r>
      <w:r w:rsidRPr="003B7726">
        <w:rPr>
          <w:rStyle w:val="Strong"/>
          <w:b w:val="0"/>
          <w:bCs w:val="0"/>
        </w:rPr>
        <w:t>closed-loop, eco-efficient system</w:t>
      </w:r>
      <w:r w:rsidRPr="003B7726">
        <w:t xml:space="preserve">that maximizes nutrient recycling, reduces environmental impact, and produces high-quality aquatic protein (Avnimelech, 2015; Crab </w:t>
      </w:r>
      <w:r w:rsidRPr="003B7726">
        <w:rPr>
          <w:i/>
          <w:iCs/>
        </w:rPr>
        <w:t>et al.,</w:t>
      </w:r>
      <w:r w:rsidRPr="003B7726">
        <w:t xml:space="preserve"> 2012).</w:t>
      </w:r>
    </w:p>
    <w:p w:rsidR="003B7726" w:rsidRPr="003B7726" w:rsidRDefault="003B7726" w:rsidP="003B7726">
      <w:pPr>
        <w:pStyle w:val="NormalWeb"/>
        <w:spacing w:before="0" w:beforeAutospacing="0" w:after="0" w:afterAutospacing="0" w:line="360" w:lineRule="auto"/>
        <w:jc w:val="both"/>
      </w:pPr>
      <w:r w:rsidRPr="003B7726">
        <w:t xml:space="preserve">Biofloc systems transform waste into resource by converting uneaten feed and excreted nitrogen into microbial biomass that serves as supplemental nutrition for fish and shrimp. This circular use of nutrients not only enhances productivity but also supports </w:t>
      </w:r>
      <w:r w:rsidRPr="003B7726">
        <w:rPr>
          <w:rStyle w:val="Strong"/>
          <w:b w:val="0"/>
          <w:bCs w:val="0"/>
        </w:rPr>
        <w:lastRenderedPageBreak/>
        <w:t>environmental, economic, and social pillars of sustainability</w:t>
      </w:r>
      <w:r w:rsidRPr="003B7726">
        <w:t>. By minimizing inputs and waste, BFT contributes directly to several United Nations Sustainable Development Goals (SDGs), including SDG 2 (Zero Hunger), SDG 12 (Responsible Consumption and Production), and SDG 14 (Life Below Water).</w:t>
      </w:r>
    </w:p>
    <w:p w:rsidR="003B7726" w:rsidRPr="003B7726" w:rsidRDefault="003B7726" w:rsidP="003B7726">
      <w:pPr>
        <w:pStyle w:val="Heading3"/>
        <w:spacing w:before="0" w:line="360" w:lineRule="auto"/>
        <w:jc w:val="both"/>
        <w:rPr>
          <w:rFonts w:ascii="Times New Roman" w:hAnsi="Times New Roman" w:cs="Times New Roman"/>
          <w:i/>
          <w:iCs/>
          <w:color w:val="auto"/>
          <w:sz w:val="24"/>
          <w:szCs w:val="24"/>
        </w:rPr>
      </w:pPr>
      <w:r w:rsidRPr="003B7726">
        <w:rPr>
          <w:rStyle w:val="Strong"/>
          <w:rFonts w:ascii="Times New Roman" w:hAnsi="Times New Roman" w:cs="Times New Roman"/>
          <w:b/>
          <w:bCs/>
          <w:i/>
          <w:iCs/>
          <w:color w:val="auto"/>
          <w:sz w:val="24"/>
          <w:szCs w:val="24"/>
        </w:rPr>
        <w:t>b. Environmental Sustainability: Resource Recovery and Waste Reduction</w:t>
      </w:r>
    </w:p>
    <w:p w:rsidR="003B7726" w:rsidRPr="003B7726" w:rsidRDefault="003B7726" w:rsidP="003B7726">
      <w:pPr>
        <w:pStyle w:val="NormalWeb"/>
        <w:spacing w:before="0" w:beforeAutospacing="0" w:after="0" w:afterAutospacing="0" w:line="360" w:lineRule="auto"/>
        <w:jc w:val="both"/>
      </w:pPr>
      <w:r w:rsidRPr="003B7726">
        <w:t xml:space="preserve">From an environmental perspective, biofloc systems represent a paradigm shift toward low-impact aquaculture. The primary sustainability mechanism lies in </w:t>
      </w:r>
      <w:r w:rsidRPr="003B7726">
        <w:rPr>
          <w:rStyle w:val="Strong"/>
          <w:b w:val="0"/>
          <w:bCs w:val="0"/>
        </w:rPr>
        <w:t>the microbial recycling of nitrogen and phosphorus</w:t>
      </w:r>
      <w:r w:rsidRPr="003B7726">
        <w:t>, which are otherwise lost as pollutants in traditional aquaculture. By maintaining a high carbon-to-nitrogen (C:N) ratio, heterotrophic bacteria rapidly assimilate inorganic nitrogen, converting ammonia and nitrite into microbial protein (Crab et al., 2012). This prevents toxic accumulation and reduces dependence on frequent water exchange. As a result, biofloc ponds can operate with near-zero discharge, conserving freshwater and preventing eutrophication of surrounding ecosystems.</w:t>
      </w:r>
    </w:p>
    <w:p w:rsidR="003B7726" w:rsidRPr="003B7726" w:rsidRDefault="003B7726" w:rsidP="003B7726">
      <w:pPr>
        <w:pStyle w:val="NormalWeb"/>
        <w:spacing w:before="0" w:beforeAutospacing="0" w:after="0" w:afterAutospacing="0" w:line="360" w:lineRule="auto"/>
        <w:jc w:val="both"/>
      </w:pPr>
      <w:r w:rsidRPr="003B7726">
        <w:t xml:space="preserve">Moreover, biofloc systems significantly lower the </w:t>
      </w:r>
      <w:r w:rsidRPr="003B7726">
        <w:rPr>
          <w:rStyle w:val="Strong"/>
          <w:b w:val="0"/>
          <w:bCs w:val="0"/>
        </w:rPr>
        <w:t>ecological footprint of feed production</w:t>
      </w:r>
      <w:r w:rsidRPr="003B7726">
        <w:t>. Protein feed ingredients, such as fishmeal and soybean meal, are among the largest contributors to aquaculture’s environmental impact. By generating in situ microbial protein, biofloc technology reduces external feed requirements by 20–30% in shrimp and tilapia culture (Emerenciano</w:t>
      </w:r>
      <w:r w:rsidRPr="003B7726">
        <w:rPr>
          <w:i/>
          <w:iCs/>
        </w:rPr>
        <w:t>et al</w:t>
      </w:r>
      <w:r w:rsidRPr="003B7726">
        <w:t>., 2017; Xu &amp; Pan, 2014). This reduction alleviates pressure on wild fish stocks and decreases the carbon emissions associated with feed manufacturing and transportation.</w:t>
      </w:r>
    </w:p>
    <w:p w:rsidR="003B7726" w:rsidRPr="003B7726" w:rsidRDefault="003B7726" w:rsidP="003B7726">
      <w:pPr>
        <w:pStyle w:val="NormalWeb"/>
        <w:spacing w:before="0" w:beforeAutospacing="0" w:after="0" w:afterAutospacing="0" w:line="360" w:lineRule="auto"/>
        <w:jc w:val="both"/>
      </w:pPr>
      <w:r w:rsidRPr="003B7726">
        <w:t xml:space="preserve">Another sustainability feature is the </w:t>
      </w:r>
      <w:r w:rsidRPr="003B7726">
        <w:rPr>
          <w:rStyle w:val="Strong"/>
          <w:b w:val="0"/>
          <w:bCs w:val="0"/>
        </w:rPr>
        <w:t>improvement of water and soil quality</w:t>
      </w:r>
      <w:r w:rsidRPr="003B7726">
        <w:t xml:space="preserve">. The dense microbial community within bioflocs immobilizes suspended solids and organic matter, reducing the biochemical oxygen demand (BOD) of the effluent (Ray et al., 2010). Sediment accumulation is minimized, and pond bottoms remain aerated and biologically active. These characteristics make biofloc systems suitable for integration into </w:t>
      </w:r>
      <w:r w:rsidRPr="003B7726">
        <w:rPr>
          <w:rStyle w:val="Strong"/>
          <w:b w:val="0"/>
          <w:bCs w:val="0"/>
        </w:rPr>
        <w:t>urban and peri-urban aquaculture</w:t>
      </w:r>
      <w:r w:rsidRPr="003B7726">
        <w:rPr>
          <w:b/>
          <w:bCs/>
        </w:rPr>
        <w:t>,</w:t>
      </w:r>
      <w:r w:rsidRPr="003B7726">
        <w:t xml:space="preserve"> where water resources and environmental regulations are major concerns.</w:t>
      </w:r>
    </w:p>
    <w:p w:rsidR="003B7726" w:rsidRPr="003B7726" w:rsidRDefault="003B7726" w:rsidP="003B7726">
      <w:pPr>
        <w:pStyle w:val="Heading3"/>
        <w:spacing w:before="0" w:line="360" w:lineRule="auto"/>
        <w:jc w:val="both"/>
        <w:rPr>
          <w:rFonts w:ascii="Times New Roman" w:hAnsi="Times New Roman" w:cs="Times New Roman"/>
          <w:i/>
          <w:iCs/>
          <w:color w:val="auto"/>
          <w:sz w:val="24"/>
          <w:szCs w:val="24"/>
        </w:rPr>
      </w:pPr>
      <w:r w:rsidRPr="003B7726">
        <w:rPr>
          <w:rStyle w:val="Strong"/>
          <w:rFonts w:ascii="Times New Roman" w:hAnsi="Times New Roman" w:cs="Times New Roman"/>
          <w:b/>
          <w:bCs/>
          <w:i/>
          <w:iCs/>
          <w:color w:val="auto"/>
          <w:sz w:val="24"/>
          <w:szCs w:val="24"/>
        </w:rPr>
        <w:t>c. Economic Sustainability: Efficiency, Livelihoods, and Local Empowerment</w:t>
      </w:r>
    </w:p>
    <w:p w:rsidR="003B7726" w:rsidRPr="003B7726" w:rsidRDefault="003B7726" w:rsidP="003B7726">
      <w:pPr>
        <w:pStyle w:val="NormalWeb"/>
        <w:spacing w:before="0" w:beforeAutospacing="0" w:after="0" w:afterAutospacing="0" w:line="360" w:lineRule="auto"/>
        <w:jc w:val="both"/>
      </w:pPr>
      <w:r w:rsidRPr="003B7726">
        <w:t xml:space="preserve">Economic sustainability in aquaculture depends on cost-efficiency, resilience, and equitable benefit distribution. Biofloc systems contribute to each of these aspects by reducing operational costs, enabling small-scale entrepreneurship, and creating local </w:t>
      </w:r>
      <w:r w:rsidRPr="003B7726">
        <w:lastRenderedPageBreak/>
        <w:t>employment opportunities. Feed expenses typically account for more than 60% of aquaculture production costs; thus, the nutrient recycling capacity of biofloc systems offers substantial economic relief. By reducing feed and water-use costs, smallholder farmers can maintain profitability even under volatile input markets (Avnimelech, 2015).</w:t>
      </w:r>
    </w:p>
    <w:p w:rsidR="003B7726" w:rsidRPr="003B7726" w:rsidRDefault="003B7726" w:rsidP="003B7726">
      <w:pPr>
        <w:pStyle w:val="NormalWeb"/>
        <w:spacing w:before="0" w:beforeAutospacing="0" w:after="0" w:afterAutospacing="0" w:line="360" w:lineRule="auto"/>
        <w:jc w:val="both"/>
      </w:pPr>
      <w:r w:rsidRPr="003B7726">
        <w:t xml:space="preserve">Furthermore, the simplicity and modularity of biofloc systems make them adaptable to both rural and urban contexts. Farmers can establish small tanks or ponds using locally available materials, and the technology’s low dependency on external inputs aligns with the </w:t>
      </w:r>
      <w:r w:rsidRPr="003B7726">
        <w:rPr>
          <w:rStyle w:val="Strong"/>
          <w:b w:val="0"/>
          <w:bCs w:val="0"/>
        </w:rPr>
        <w:t>self-reliance goals</w:t>
      </w:r>
      <w:r w:rsidRPr="003B7726">
        <w:t xml:space="preserve"> of developing economies. Training programs under India’s </w:t>
      </w:r>
      <w:r w:rsidRPr="003B7726">
        <w:rPr>
          <w:rStyle w:val="Emphasis"/>
        </w:rPr>
        <w:t>Pradhan Mantri Matsya Sampada Yojana (PMMSY)</w:t>
      </w:r>
      <w:r w:rsidRPr="003B7726">
        <w:t xml:space="preserve"> and state aquaculture missions have introduced biofloc farming to women and youth entrepreneurs, fostering inclusive growth (FAO, 2020).</w:t>
      </w:r>
    </w:p>
    <w:p w:rsidR="003B7726" w:rsidRPr="003B7726" w:rsidRDefault="003B7726" w:rsidP="00526ABA">
      <w:pPr>
        <w:pStyle w:val="NormalWeb"/>
        <w:spacing w:before="0" w:beforeAutospacing="0" w:after="0" w:afterAutospacing="0" w:line="360" w:lineRule="auto"/>
        <w:jc w:val="both"/>
      </w:pPr>
      <w:r w:rsidRPr="003B7726">
        <w:t xml:space="preserve">Biofloc-based aquaculture also strengthens </w:t>
      </w:r>
      <w:r w:rsidRPr="003B7726">
        <w:rPr>
          <w:rStyle w:val="Strong"/>
          <w:b w:val="0"/>
          <w:bCs w:val="0"/>
        </w:rPr>
        <w:t>supply chain resilience</w:t>
      </w:r>
      <w:r w:rsidRPr="003B7726">
        <w:t xml:space="preserve"> by decentralizing production. Localized fish and shrimp production in biofloc units reduces transportation distances and post-harvest losses, ensuring continuous food supply even during disruptions such as pandemics or natural disasters. In this way, the technology contributes to regional food sovereignty and strengthens the economic dimension of food security.</w:t>
      </w:r>
    </w:p>
    <w:p w:rsidR="003B7726" w:rsidRPr="003B7726" w:rsidRDefault="003B7726" w:rsidP="003B7726">
      <w:pPr>
        <w:pStyle w:val="Heading3"/>
        <w:spacing w:before="0" w:line="360" w:lineRule="auto"/>
        <w:jc w:val="both"/>
        <w:rPr>
          <w:rFonts w:ascii="Times New Roman" w:hAnsi="Times New Roman" w:cs="Times New Roman"/>
          <w:i/>
          <w:iCs/>
          <w:color w:val="auto"/>
          <w:sz w:val="24"/>
          <w:szCs w:val="24"/>
        </w:rPr>
      </w:pPr>
      <w:r w:rsidRPr="003B7726">
        <w:rPr>
          <w:rStyle w:val="Strong"/>
          <w:rFonts w:ascii="Times New Roman" w:hAnsi="Times New Roman" w:cs="Times New Roman"/>
          <w:b/>
          <w:bCs/>
          <w:i/>
          <w:iCs/>
          <w:color w:val="auto"/>
          <w:sz w:val="24"/>
          <w:szCs w:val="24"/>
        </w:rPr>
        <w:t>d. Social Sustainability: Employment, Education, and Community Integration</w:t>
      </w:r>
    </w:p>
    <w:p w:rsidR="003B7726" w:rsidRPr="003B7726" w:rsidRDefault="003B7726" w:rsidP="003B7726">
      <w:pPr>
        <w:pStyle w:val="NormalWeb"/>
        <w:spacing w:before="0" w:beforeAutospacing="0" w:after="0" w:afterAutospacing="0" w:line="360" w:lineRule="auto"/>
        <w:jc w:val="both"/>
      </w:pPr>
      <w:r w:rsidRPr="003B7726">
        <w:t xml:space="preserve">Beyond its environmental and economic contributions, biofloc technology has substantial social implications. It supports </w:t>
      </w:r>
      <w:r w:rsidRPr="003B7726">
        <w:rPr>
          <w:rStyle w:val="Strong"/>
          <w:i/>
          <w:iCs/>
        </w:rPr>
        <w:t>employment generation</w:t>
      </w:r>
      <w:r w:rsidRPr="003B7726">
        <w:t xml:space="preserve"> in both production and allied sectors, including feed formulation, seed supply, and system maintenance. Because biofloc tanks can be installed in small spaces, they enable household- and community-level aquaculture in urban and peri-urban areas. This democratization of fish production encourages participation from marginalized groups, including women and small-scale entrepreneurs (Ahmad </w:t>
      </w:r>
      <w:r w:rsidRPr="003B7726">
        <w:rPr>
          <w:i/>
          <w:iCs/>
        </w:rPr>
        <w:t>et al.,</w:t>
      </w:r>
      <w:r w:rsidRPr="003B7726">
        <w:t xml:space="preserve"> 2020).</w:t>
      </w:r>
    </w:p>
    <w:p w:rsidR="003B7726" w:rsidRPr="003B7726" w:rsidRDefault="003B7726" w:rsidP="003B7726">
      <w:pPr>
        <w:pStyle w:val="NormalWeb"/>
        <w:spacing w:before="0" w:beforeAutospacing="0" w:after="0" w:afterAutospacing="0" w:line="360" w:lineRule="auto"/>
        <w:jc w:val="both"/>
      </w:pPr>
      <w:r w:rsidRPr="003B7726">
        <w:t>Educationally, biofloc systems are increasingly used as experiential learning platforms in universities, schools, and NGOs to teach sustainable food production, microbial ecology, and circular economy concepts. Such initiatives promote environmental awareness and capacity building among the next generation of farmers and researchers.</w:t>
      </w:r>
    </w:p>
    <w:p w:rsidR="003B7726" w:rsidRPr="003B7726" w:rsidRDefault="003B7726" w:rsidP="003B7726">
      <w:pPr>
        <w:pStyle w:val="NormalWeb"/>
        <w:spacing w:before="0" w:beforeAutospacing="0" w:after="0" w:afterAutospacing="0" w:line="360" w:lineRule="auto"/>
        <w:jc w:val="both"/>
      </w:pPr>
      <w:r w:rsidRPr="003B7726">
        <w:t xml:space="preserve">At the community level, cooperative biofloc clusters can serve as </w:t>
      </w:r>
      <w:r w:rsidRPr="003B7726">
        <w:rPr>
          <w:rStyle w:val="Strong"/>
          <w:b w:val="0"/>
          <w:bCs w:val="0"/>
        </w:rPr>
        <w:t>models of social sustainability</w:t>
      </w:r>
      <w:r w:rsidRPr="003B7726">
        <w:rPr>
          <w:b/>
          <w:bCs/>
        </w:rPr>
        <w:t xml:space="preserve">, </w:t>
      </w:r>
      <w:r w:rsidRPr="003B7726">
        <w:t xml:space="preserve">where collective ownership and knowledge sharing foster resilience. Shared aeration systems, carbon sources, and monitoring infrastructure reduce costs </w:t>
      </w:r>
      <w:r w:rsidRPr="003B7726">
        <w:lastRenderedPageBreak/>
        <w:t>while enhancing productivity. The resulting local food hubs strengthen community ties and provide fresh, affordable fish to urban consumers, addressing both nutritional and economic dimensions of food security.</w:t>
      </w:r>
    </w:p>
    <w:p w:rsidR="003B7726" w:rsidRPr="003B7726" w:rsidRDefault="003B7726" w:rsidP="003B7726">
      <w:pPr>
        <w:pStyle w:val="Heading3"/>
        <w:spacing w:before="0" w:line="360" w:lineRule="auto"/>
        <w:jc w:val="both"/>
        <w:rPr>
          <w:rFonts w:ascii="Times New Roman" w:hAnsi="Times New Roman" w:cs="Times New Roman"/>
          <w:i/>
          <w:iCs/>
          <w:color w:val="auto"/>
          <w:sz w:val="24"/>
          <w:szCs w:val="24"/>
        </w:rPr>
      </w:pPr>
      <w:r w:rsidRPr="003B7726">
        <w:rPr>
          <w:rStyle w:val="Strong"/>
          <w:rFonts w:ascii="Times New Roman" w:hAnsi="Times New Roman" w:cs="Times New Roman"/>
          <w:b/>
          <w:bCs/>
          <w:i/>
          <w:iCs/>
          <w:color w:val="auto"/>
          <w:sz w:val="24"/>
          <w:szCs w:val="24"/>
        </w:rPr>
        <w:t>e. Food Security and Nutritional Contributions</w:t>
      </w:r>
    </w:p>
    <w:p w:rsidR="003B7726" w:rsidRPr="003B7726" w:rsidRDefault="003B7726" w:rsidP="003B7726">
      <w:pPr>
        <w:pStyle w:val="NormalWeb"/>
        <w:spacing w:before="0" w:beforeAutospacing="0" w:after="0" w:afterAutospacing="0" w:line="360" w:lineRule="auto"/>
        <w:jc w:val="both"/>
      </w:pPr>
      <w:r w:rsidRPr="003B7726">
        <w:t>Food secur</w:t>
      </w:r>
      <w:r>
        <w:t xml:space="preserve">ity encompasses four dimensions </w:t>
      </w:r>
      <w:r w:rsidRPr="003B7726">
        <w:t>availability, accessibil</w:t>
      </w:r>
      <w:r>
        <w:t xml:space="preserve">ity, utilization, and stability </w:t>
      </w:r>
      <w:r w:rsidRPr="003B7726">
        <w:t xml:space="preserve">and biofloc technology contributes to each. By enabling high-density production with minimal water and land use, biofloc systems enhance </w:t>
      </w:r>
      <w:r w:rsidRPr="003B7726">
        <w:rPr>
          <w:rStyle w:val="Strong"/>
          <w:b w:val="0"/>
          <w:bCs w:val="0"/>
        </w:rPr>
        <w:t>food availability</w:t>
      </w:r>
      <w:r w:rsidRPr="003B7726">
        <w:t xml:space="preserve"> even in resource-limited regions. In India and Southeast Asia, biofloc-based shrimp and tilapia farms have achieved yields of 10–15 tonnes per hectare annually, substantially higher than conventional ponds (Emerenciano</w:t>
      </w:r>
      <w:r w:rsidRPr="003B7726">
        <w:rPr>
          <w:i/>
          <w:iCs/>
        </w:rPr>
        <w:t>et al</w:t>
      </w:r>
      <w:r w:rsidRPr="003B7726">
        <w:t>., 2017).</w:t>
      </w:r>
    </w:p>
    <w:p w:rsidR="003B7726" w:rsidRPr="003B7726" w:rsidRDefault="003B7726" w:rsidP="00526ABA">
      <w:pPr>
        <w:pStyle w:val="NormalWeb"/>
        <w:spacing w:before="0" w:beforeAutospacing="0" w:after="0" w:afterAutospacing="0" w:line="360" w:lineRule="auto"/>
        <w:jc w:val="both"/>
      </w:pPr>
      <w:r w:rsidRPr="003B7726">
        <w:rPr>
          <w:rStyle w:val="Strong"/>
          <w:b w:val="0"/>
          <w:bCs w:val="0"/>
        </w:rPr>
        <w:t>Nutritional quality</w:t>
      </w:r>
      <w:r w:rsidRPr="003B7726">
        <w:t xml:space="preserve"> of biofloc-cultured products is another critical factor. The presence of microbial protein and essential fatty acids in floc particles enhances the nutritional composition of fish and shrimp. Studies have shown increased levels of omega-3 fatty acids, carotenoids, and essential amino acids in biofloc-reared species compared with those grown in clear-water systems (Xu &amp; Pan, 2014). These improvements contribute directly to better human nutrition, especially in protein-deficient populations.</w:t>
      </w:r>
    </w:p>
    <w:p w:rsidR="003B7726" w:rsidRPr="003B7726" w:rsidRDefault="003B7726" w:rsidP="003B7726">
      <w:pPr>
        <w:pStyle w:val="NormalWeb"/>
        <w:spacing w:before="0" w:beforeAutospacing="0" w:after="0" w:afterAutospacing="0" w:line="360" w:lineRule="auto"/>
        <w:jc w:val="both"/>
      </w:pPr>
      <w:r w:rsidRPr="003B7726">
        <w:t xml:space="preserve">In terms of </w:t>
      </w:r>
      <w:r w:rsidRPr="003B7726">
        <w:rPr>
          <w:rStyle w:val="Strong"/>
          <w:b w:val="0"/>
          <w:bCs w:val="0"/>
        </w:rPr>
        <w:t>stability</w:t>
      </w:r>
      <w:r w:rsidRPr="003B7726">
        <w:t>, biofloc systems are less vulnerable to external shocks such as droughts or water restrictions, since they operate under recirculating, low-water-exchange conditions. This resilience ensures a continuous supply of aquatic food even during environmental or economic disruptions, reinforcing long-term food security.</w:t>
      </w:r>
    </w:p>
    <w:p w:rsidR="007832C0" w:rsidRPr="007832C0" w:rsidRDefault="00526ABA" w:rsidP="003B7726">
      <w:pPr>
        <w:pStyle w:val="Heading3"/>
        <w:spacing w:before="0" w:line="360" w:lineRule="auto"/>
        <w:jc w:val="both"/>
        <w:rPr>
          <w:rFonts w:ascii="Times New Roman" w:hAnsi="Times New Roman" w:cs="Times New Roman"/>
          <w:i/>
          <w:iCs/>
          <w:color w:val="auto"/>
          <w:sz w:val="28"/>
          <w:szCs w:val="28"/>
        </w:rPr>
      </w:pPr>
      <w:r w:rsidRPr="00526ABA">
        <w:rPr>
          <w:rFonts w:ascii="Times New Roman" w:hAnsi="Times New Roman" w:cs="Times New Roman"/>
          <w:i/>
          <w:iCs/>
          <w:color w:val="auto"/>
          <w:sz w:val="28"/>
          <w:szCs w:val="28"/>
        </w:rPr>
        <w:t>Cost and Economic Feasibility in Urban Contexts</w:t>
      </w:r>
      <w:r w:rsidR="007832C0" w:rsidRPr="007832C0">
        <w:rPr>
          <w:rFonts w:ascii="Times New Roman" w:hAnsi="Times New Roman" w:cs="Times New Roman"/>
          <w:i/>
          <w:iCs/>
          <w:color w:val="auto"/>
          <w:sz w:val="28"/>
          <w:szCs w:val="28"/>
        </w:rPr>
        <w:t>farming</w:t>
      </w:r>
    </w:p>
    <w:p w:rsidR="00526ABA" w:rsidRDefault="00526ABA" w:rsidP="00526ABA">
      <w:pPr>
        <w:pStyle w:val="NormalWeb"/>
        <w:spacing w:before="0" w:beforeAutospacing="0" w:after="0" w:afterAutospacing="0" w:line="360" w:lineRule="auto"/>
        <w:jc w:val="both"/>
      </w:pPr>
      <w:r>
        <w:t xml:space="preserve">The economic performance of biofloc systems in urban aquaculture is strongly influenced by initial infrastructure investments, feed costs, electricity consumption, and market access. In biofloc systems, a portion of the dietary protein requirement is substituted by microbial biomass generated in situ, which can reduce commercial feed inputs by 20–30% compared with conventional tank or pond systems (Avnimelech, 2015; Emerenciano </w:t>
      </w:r>
      <w:r w:rsidRPr="00526ABA">
        <w:rPr>
          <w:i/>
          <w:iCs/>
        </w:rPr>
        <w:t>et al.,</w:t>
      </w:r>
      <w:r>
        <w:t xml:space="preserve"> 2020). Feed typically constitutes the largest operating cost in aquaculture, often exceeding 60% of total expenditure; hence, this internal nutrient recycling represents one of the major economic advantages of BFT (Crab </w:t>
      </w:r>
      <w:r w:rsidRPr="00526ABA">
        <w:rPr>
          <w:i/>
          <w:iCs/>
        </w:rPr>
        <w:t>et al.,</w:t>
      </w:r>
      <w:r>
        <w:t xml:space="preserve"> 2012; Bossier &amp; Ekasari, 2021). Furthermore, biofloc systems use minimal water exchange, reducing water pumping and </w:t>
      </w:r>
      <w:r>
        <w:lastRenderedPageBreak/>
        <w:t xml:space="preserve">discharge costs, which is particularly beneficial in densely populated cities with restricted water availability (FAO, 2022; Jahan </w:t>
      </w:r>
      <w:r w:rsidRPr="00526ABA">
        <w:rPr>
          <w:i/>
          <w:iCs/>
        </w:rPr>
        <w:t>et al.,</w:t>
      </w:r>
      <w:r>
        <w:t xml:space="preserve"> 2023).</w:t>
      </w:r>
    </w:p>
    <w:p w:rsidR="00526ABA" w:rsidRDefault="00526ABA" w:rsidP="00526ABA">
      <w:pPr>
        <w:pStyle w:val="NormalWeb"/>
        <w:spacing w:before="0" w:beforeAutospacing="0" w:after="0" w:afterAutospacing="0" w:line="360" w:lineRule="auto"/>
        <w:jc w:val="both"/>
      </w:pPr>
      <w:r>
        <w:t>The cost framework presented below is derived from commonly adopted small-scale urban biofloc units operating in India under support programs such as PMMSY and state aquaculture missions (Government of Chhattisgarh, 2023; Government of Odisha, 2023; Pal &amp; Das, 2022).</w:t>
      </w:r>
    </w:p>
    <w:p w:rsidR="00526ABA" w:rsidRPr="00526ABA" w:rsidRDefault="00526ABA" w:rsidP="00526ABA">
      <w:pPr>
        <w:pStyle w:val="Heading3"/>
        <w:spacing w:before="0" w:line="360" w:lineRule="auto"/>
        <w:jc w:val="center"/>
        <w:rPr>
          <w:rFonts w:ascii="Times New Roman" w:hAnsi="Times New Roman" w:cs="Times New Roman"/>
          <w:color w:val="auto"/>
          <w:sz w:val="24"/>
          <w:szCs w:val="24"/>
        </w:rPr>
      </w:pPr>
      <w:r w:rsidRPr="00526ABA">
        <w:rPr>
          <w:rStyle w:val="Strong"/>
          <w:rFonts w:ascii="Times New Roman" w:hAnsi="Times New Roman" w:cs="Times New Roman"/>
          <w:b/>
          <w:bCs/>
          <w:color w:val="auto"/>
          <w:sz w:val="24"/>
          <w:szCs w:val="24"/>
        </w:rPr>
        <w:t>Table 1. Estimated Cost and Production Economics for a 10,000 L Urban Biofloc Unit (INR)</w:t>
      </w:r>
    </w:p>
    <w:p w:rsidR="00526ABA" w:rsidRPr="00526ABA" w:rsidRDefault="00526ABA" w:rsidP="00526ABA">
      <w:pPr>
        <w:pStyle w:val="NormalWeb"/>
        <w:spacing w:before="0" w:beforeAutospacing="0" w:after="0" w:afterAutospacing="0" w:line="360" w:lineRule="auto"/>
      </w:pPr>
      <w:r w:rsidRPr="00526ABA">
        <w:rPr>
          <w:rStyle w:val="Emphasis"/>
        </w:rPr>
        <w:t>(Sources: Government of Chhattisgarh, 2023; Government of Odisha, 2023; NABARD, 2022; Avnimelech, 2015)</w:t>
      </w:r>
    </w:p>
    <w:tbl>
      <w:tblPr>
        <w:tblStyle w:val="TableGrid"/>
        <w:tblW w:w="0" w:type="auto"/>
        <w:tblLook w:val="04A0"/>
      </w:tblPr>
      <w:tblGrid>
        <w:gridCol w:w="3208"/>
        <w:gridCol w:w="4147"/>
        <w:gridCol w:w="1501"/>
      </w:tblGrid>
      <w:tr w:rsidR="00526ABA" w:rsidRPr="00526ABA" w:rsidTr="00526ABA">
        <w:tc>
          <w:tcPr>
            <w:tcW w:w="0" w:type="auto"/>
            <w:hideMark/>
          </w:tcPr>
          <w:p w:rsidR="00526ABA" w:rsidRPr="00526ABA" w:rsidRDefault="00526ABA" w:rsidP="00526ABA">
            <w:pPr>
              <w:spacing w:line="360" w:lineRule="auto"/>
              <w:jc w:val="center"/>
              <w:rPr>
                <w:rFonts w:ascii="Times New Roman" w:hAnsi="Times New Roman" w:cs="Times New Roman"/>
                <w:b/>
                <w:bCs/>
                <w:sz w:val="24"/>
                <w:szCs w:val="24"/>
              </w:rPr>
            </w:pPr>
            <w:r w:rsidRPr="00526ABA">
              <w:rPr>
                <w:rFonts w:ascii="Times New Roman" w:hAnsi="Times New Roman" w:cs="Times New Roman"/>
                <w:b/>
                <w:bCs/>
                <w:sz w:val="24"/>
                <w:szCs w:val="24"/>
              </w:rPr>
              <w:t>Category</w:t>
            </w:r>
          </w:p>
        </w:tc>
        <w:tc>
          <w:tcPr>
            <w:tcW w:w="0" w:type="auto"/>
            <w:hideMark/>
          </w:tcPr>
          <w:p w:rsidR="00526ABA" w:rsidRPr="00526ABA" w:rsidRDefault="00526ABA" w:rsidP="00526ABA">
            <w:pPr>
              <w:spacing w:line="360" w:lineRule="auto"/>
              <w:jc w:val="center"/>
              <w:rPr>
                <w:rFonts w:ascii="Times New Roman" w:hAnsi="Times New Roman" w:cs="Times New Roman"/>
                <w:b/>
                <w:bCs/>
                <w:sz w:val="24"/>
                <w:szCs w:val="24"/>
              </w:rPr>
            </w:pPr>
            <w:r w:rsidRPr="00526ABA">
              <w:rPr>
                <w:rFonts w:ascii="Times New Roman" w:hAnsi="Times New Roman" w:cs="Times New Roman"/>
                <w:b/>
                <w:bCs/>
                <w:sz w:val="24"/>
                <w:szCs w:val="24"/>
              </w:rPr>
              <w:t>Item / Description</w:t>
            </w:r>
          </w:p>
        </w:tc>
        <w:tc>
          <w:tcPr>
            <w:tcW w:w="0" w:type="auto"/>
            <w:hideMark/>
          </w:tcPr>
          <w:p w:rsidR="00526ABA" w:rsidRPr="00526ABA" w:rsidRDefault="00526ABA" w:rsidP="00526ABA">
            <w:pPr>
              <w:spacing w:line="360" w:lineRule="auto"/>
              <w:jc w:val="center"/>
              <w:rPr>
                <w:rFonts w:ascii="Times New Roman" w:hAnsi="Times New Roman" w:cs="Times New Roman"/>
                <w:b/>
                <w:bCs/>
                <w:sz w:val="24"/>
                <w:szCs w:val="24"/>
              </w:rPr>
            </w:pPr>
            <w:r w:rsidRPr="00526ABA">
              <w:rPr>
                <w:rFonts w:ascii="Times New Roman" w:hAnsi="Times New Roman" w:cs="Times New Roman"/>
                <w:b/>
                <w:bCs/>
                <w:sz w:val="24"/>
                <w:szCs w:val="24"/>
              </w:rPr>
              <w:t>Cost Range (₹)</w:t>
            </w:r>
          </w:p>
        </w:tc>
      </w:tr>
      <w:tr w:rsidR="00526ABA" w:rsidRPr="00526ABA" w:rsidTr="00526ABA">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Style w:val="Strong"/>
                <w:rFonts w:ascii="Times New Roman" w:hAnsi="Times New Roman" w:cs="Times New Roman"/>
                <w:sz w:val="24"/>
                <w:szCs w:val="24"/>
              </w:rPr>
              <w:t>Initial Setup Costs</w:t>
            </w: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Tarpaulin/HDPE Tank (10,000 L) with Structural Support</w:t>
            </w: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14,000–18,000</w:t>
            </w:r>
          </w:p>
        </w:tc>
      </w:tr>
      <w:tr w:rsidR="00526ABA" w:rsidRPr="00526ABA" w:rsidTr="00526ABA">
        <w:tc>
          <w:tcPr>
            <w:tcW w:w="0" w:type="auto"/>
            <w:hideMark/>
          </w:tcPr>
          <w:p w:rsidR="00526ABA" w:rsidRPr="00526ABA" w:rsidRDefault="00526ABA" w:rsidP="00526ABA">
            <w:pPr>
              <w:spacing w:line="360" w:lineRule="auto"/>
              <w:rPr>
                <w:rFonts w:ascii="Times New Roman" w:hAnsi="Times New Roman" w:cs="Times New Roman"/>
                <w:sz w:val="24"/>
                <w:szCs w:val="24"/>
              </w:rPr>
            </w:pP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Aeration System (1–1.5 HP blower + diffusers)</w:t>
            </w: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10,000–14,000</w:t>
            </w:r>
          </w:p>
        </w:tc>
      </w:tr>
      <w:tr w:rsidR="00526ABA" w:rsidRPr="00526ABA" w:rsidTr="00526ABA">
        <w:tc>
          <w:tcPr>
            <w:tcW w:w="0" w:type="auto"/>
            <w:hideMark/>
          </w:tcPr>
          <w:p w:rsidR="00526ABA" w:rsidRPr="00526ABA" w:rsidRDefault="00526ABA" w:rsidP="00526ABA">
            <w:pPr>
              <w:spacing w:line="360" w:lineRule="auto"/>
              <w:rPr>
                <w:rFonts w:ascii="Times New Roman" w:hAnsi="Times New Roman" w:cs="Times New Roman"/>
                <w:sz w:val="24"/>
                <w:szCs w:val="24"/>
              </w:rPr>
            </w:pP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Water Quality Monitoring Tools (pH, DO, TDS Kits)</w:t>
            </w: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5,500–7,000</w:t>
            </w:r>
          </w:p>
        </w:tc>
      </w:tr>
      <w:tr w:rsidR="00526ABA" w:rsidRPr="00526ABA" w:rsidTr="00526ABA">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Style w:val="Strong"/>
                <w:rFonts w:ascii="Times New Roman" w:hAnsi="Times New Roman" w:cs="Times New Roman"/>
                <w:sz w:val="24"/>
                <w:szCs w:val="24"/>
              </w:rPr>
              <w:t>Total Setup Cost</w:t>
            </w:r>
          </w:p>
        </w:tc>
        <w:tc>
          <w:tcPr>
            <w:tcW w:w="0" w:type="auto"/>
            <w:hideMark/>
          </w:tcPr>
          <w:p w:rsidR="00526ABA" w:rsidRPr="00526ABA" w:rsidRDefault="00526ABA" w:rsidP="00526ABA">
            <w:pPr>
              <w:spacing w:line="360" w:lineRule="auto"/>
              <w:rPr>
                <w:rFonts w:ascii="Times New Roman" w:hAnsi="Times New Roman" w:cs="Times New Roman"/>
                <w:sz w:val="24"/>
                <w:szCs w:val="24"/>
              </w:rPr>
            </w:pP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Style w:val="Strong"/>
                <w:rFonts w:ascii="Times New Roman" w:hAnsi="Times New Roman" w:cs="Times New Roman"/>
                <w:sz w:val="24"/>
                <w:szCs w:val="24"/>
              </w:rPr>
              <w:t>₹30,000–40,000</w:t>
            </w:r>
          </w:p>
        </w:tc>
      </w:tr>
      <w:tr w:rsidR="00526ABA" w:rsidRPr="00526ABA" w:rsidTr="00526ABA">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Style w:val="Strong"/>
                <w:rFonts w:ascii="Times New Roman" w:hAnsi="Times New Roman" w:cs="Times New Roman"/>
                <w:sz w:val="24"/>
                <w:szCs w:val="24"/>
              </w:rPr>
              <w:t>Operational Costs (Per 4–5 Month Cycle)</w:t>
            </w: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Fingerlings (Tilapia/Rohu: 500–600 fish)</w:t>
            </w: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1,000–1,800</w:t>
            </w:r>
          </w:p>
        </w:tc>
      </w:tr>
      <w:tr w:rsidR="00526ABA" w:rsidRPr="00526ABA" w:rsidTr="00526ABA">
        <w:tc>
          <w:tcPr>
            <w:tcW w:w="0" w:type="auto"/>
            <w:hideMark/>
          </w:tcPr>
          <w:p w:rsidR="00526ABA" w:rsidRPr="00526ABA" w:rsidRDefault="00526ABA" w:rsidP="00526ABA">
            <w:pPr>
              <w:spacing w:line="360" w:lineRule="auto"/>
              <w:rPr>
                <w:rFonts w:ascii="Times New Roman" w:hAnsi="Times New Roman" w:cs="Times New Roman"/>
                <w:sz w:val="24"/>
                <w:szCs w:val="24"/>
              </w:rPr>
            </w:pP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Feed Requirement (Reduced via biofloc use)</w:t>
            </w: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5,000–6,800</w:t>
            </w:r>
          </w:p>
        </w:tc>
      </w:tr>
      <w:tr w:rsidR="00526ABA" w:rsidRPr="00526ABA" w:rsidTr="00526ABA">
        <w:tc>
          <w:tcPr>
            <w:tcW w:w="0" w:type="auto"/>
            <w:hideMark/>
          </w:tcPr>
          <w:p w:rsidR="00526ABA" w:rsidRPr="00526ABA" w:rsidRDefault="00526ABA" w:rsidP="00526ABA">
            <w:pPr>
              <w:spacing w:line="360" w:lineRule="auto"/>
              <w:rPr>
                <w:rFonts w:ascii="Times New Roman" w:hAnsi="Times New Roman" w:cs="Times New Roman"/>
                <w:sz w:val="24"/>
                <w:szCs w:val="24"/>
              </w:rPr>
            </w:pP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Aeration Electricity Cost</w:t>
            </w: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1,200–1,800</w:t>
            </w:r>
          </w:p>
        </w:tc>
      </w:tr>
      <w:tr w:rsidR="00526ABA" w:rsidRPr="00526ABA" w:rsidTr="00526ABA">
        <w:tc>
          <w:tcPr>
            <w:tcW w:w="0" w:type="auto"/>
            <w:hideMark/>
          </w:tcPr>
          <w:p w:rsidR="00526ABA" w:rsidRPr="00526ABA" w:rsidRDefault="00526ABA" w:rsidP="00526ABA">
            <w:pPr>
              <w:spacing w:line="360" w:lineRule="auto"/>
              <w:rPr>
                <w:rFonts w:ascii="Times New Roman" w:hAnsi="Times New Roman" w:cs="Times New Roman"/>
                <w:sz w:val="24"/>
                <w:szCs w:val="24"/>
              </w:rPr>
            </w:pP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Carbon Source Supplementation (Molasses / Rice Bran)</w:t>
            </w: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280–420</w:t>
            </w:r>
          </w:p>
        </w:tc>
      </w:tr>
      <w:tr w:rsidR="00526ABA" w:rsidRPr="00526ABA" w:rsidTr="00526ABA">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Style w:val="Strong"/>
                <w:rFonts w:ascii="Times New Roman" w:hAnsi="Times New Roman" w:cs="Times New Roman"/>
                <w:sz w:val="24"/>
                <w:szCs w:val="24"/>
              </w:rPr>
              <w:t>Total Operational Cost</w:t>
            </w:r>
          </w:p>
        </w:tc>
        <w:tc>
          <w:tcPr>
            <w:tcW w:w="0" w:type="auto"/>
            <w:hideMark/>
          </w:tcPr>
          <w:p w:rsidR="00526ABA" w:rsidRPr="00526ABA" w:rsidRDefault="00526ABA" w:rsidP="00526ABA">
            <w:pPr>
              <w:spacing w:line="360" w:lineRule="auto"/>
              <w:rPr>
                <w:rFonts w:ascii="Times New Roman" w:hAnsi="Times New Roman" w:cs="Times New Roman"/>
                <w:sz w:val="24"/>
                <w:szCs w:val="24"/>
              </w:rPr>
            </w:pP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Style w:val="Strong"/>
                <w:rFonts w:ascii="Times New Roman" w:hAnsi="Times New Roman" w:cs="Times New Roman"/>
                <w:sz w:val="24"/>
                <w:szCs w:val="24"/>
              </w:rPr>
              <w:t>₹7,500–10,800</w:t>
            </w:r>
          </w:p>
        </w:tc>
      </w:tr>
    </w:tbl>
    <w:p w:rsidR="00526ABA" w:rsidRDefault="00526ABA" w:rsidP="00526ABA">
      <w:pPr>
        <w:pStyle w:val="NormalWeb"/>
        <w:spacing w:before="0" w:beforeAutospacing="0" w:after="0" w:afterAutospacing="0" w:line="360" w:lineRule="auto"/>
        <w:rPr>
          <w:rStyle w:val="Strong"/>
        </w:rPr>
      </w:pPr>
    </w:p>
    <w:p w:rsidR="00526ABA" w:rsidRDefault="00526ABA" w:rsidP="00526ABA">
      <w:pPr>
        <w:pStyle w:val="NormalWeb"/>
        <w:spacing w:before="0" w:beforeAutospacing="0" w:after="0" w:afterAutospacing="0" w:line="360" w:lineRule="auto"/>
        <w:jc w:val="both"/>
        <w:rPr>
          <w:rStyle w:val="Strong"/>
        </w:rPr>
      </w:pPr>
    </w:p>
    <w:p w:rsidR="00526ABA" w:rsidRDefault="00526ABA" w:rsidP="00526ABA">
      <w:pPr>
        <w:pStyle w:val="NormalWeb"/>
        <w:spacing w:before="0" w:beforeAutospacing="0" w:after="0" w:afterAutospacing="0" w:line="360" w:lineRule="auto"/>
        <w:jc w:val="both"/>
        <w:rPr>
          <w:rStyle w:val="Strong"/>
        </w:rPr>
      </w:pPr>
      <w:r w:rsidRPr="00526ABA">
        <w:rPr>
          <w:rStyle w:val="Strong"/>
        </w:rPr>
        <w:lastRenderedPageBreak/>
        <w:t>Expected Performance and Returns:</w:t>
      </w:r>
    </w:p>
    <w:p w:rsidR="00526ABA" w:rsidRPr="00526ABA" w:rsidRDefault="00526ABA" w:rsidP="00526ABA">
      <w:pPr>
        <w:pStyle w:val="NormalWeb"/>
        <w:spacing w:before="0" w:beforeAutospacing="0" w:after="0" w:afterAutospacing="0" w:line="360" w:lineRule="auto"/>
        <w:jc w:val="both"/>
      </w:pPr>
      <w:r w:rsidRPr="00526ABA">
        <w:t xml:space="preserve">Biofloc systems commonly achieve </w:t>
      </w:r>
      <w:r w:rsidRPr="00526ABA">
        <w:rPr>
          <w:rStyle w:val="Strong"/>
          <w:b w:val="0"/>
          <w:bCs w:val="0"/>
        </w:rPr>
        <w:t>80–90% survival</w:t>
      </w:r>
      <w:r w:rsidRPr="00526ABA">
        <w:rPr>
          <w:b/>
          <w:bCs/>
        </w:rPr>
        <w:t xml:space="preserve">, </w:t>
      </w:r>
      <w:r w:rsidRPr="00526ABA">
        <w:rPr>
          <w:rStyle w:val="Strong"/>
          <w:b w:val="0"/>
          <w:bCs w:val="0"/>
        </w:rPr>
        <w:t>4–6 month harvest cycles</w:t>
      </w:r>
      <w:r w:rsidRPr="00526ABA">
        <w:t xml:space="preserve">, and </w:t>
      </w:r>
      <w:r w:rsidRPr="00526ABA">
        <w:rPr>
          <w:rStyle w:val="Strong"/>
          <w:b w:val="0"/>
          <w:bCs w:val="0"/>
        </w:rPr>
        <w:t>170–220 kg biomass output per unit</w:t>
      </w:r>
      <w:r w:rsidRPr="00526ABA">
        <w:rPr>
          <w:b/>
          <w:bCs/>
        </w:rPr>
        <w:t>,</w:t>
      </w:r>
      <w:r w:rsidRPr="00526ABA">
        <w:t xml:space="preserve"> depending on species and management (Ismail </w:t>
      </w:r>
      <w:r w:rsidRPr="00526ABA">
        <w:rPr>
          <w:i/>
          <w:iCs/>
        </w:rPr>
        <w:t>et al.,</w:t>
      </w:r>
      <w:r w:rsidRPr="00526ABA">
        <w:t xml:space="preserve"> 2020; Hena </w:t>
      </w:r>
      <w:r w:rsidRPr="00526ABA">
        <w:rPr>
          <w:i/>
          <w:iCs/>
        </w:rPr>
        <w:t xml:space="preserve">et al., </w:t>
      </w:r>
      <w:r w:rsidRPr="00526ABA">
        <w:t xml:space="preserve">2021). In Indian urban retail markets, </w:t>
      </w:r>
      <w:r w:rsidRPr="00526ABA">
        <w:rPr>
          <w:rStyle w:val="Strong"/>
          <w:b w:val="0"/>
          <w:bCs w:val="0"/>
        </w:rPr>
        <w:t>Tilapia and Rohu sell for ₹140–260/kg</w:t>
      </w:r>
      <w:r w:rsidRPr="00526ABA">
        <w:t>, depending on region and season (Singhal &amp; Chauhan, 2020; Government of Uttar Pradesh, 2023).</w:t>
      </w:r>
    </w:p>
    <w:p w:rsidR="00526ABA" w:rsidRPr="00526ABA" w:rsidRDefault="00526ABA" w:rsidP="00526ABA">
      <w:pPr>
        <w:pStyle w:val="NormalWeb"/>
        <w:numPr>
          <w:ilvl w:val="0"/>
          <w:numId w:val="13"/>
        </w:numPr>
        <w:spacing w:before="0" w:beforeAutospacing="0" w:after="0" w:afterAutospacing="0" w:line="360" w:lineRule="auto"/>
      </w:pPr>
      <w:r w:rsidRPr="00526ABA">
        <w:rPr>
          <w:rStyle w:val="Strong"/>
        </w:rPr>
        <w:t>Gross revenue per cycle:</w:t>
      </w:r>
      <w:r w:rsidRPr="00526ABA">
        <w:t xml:space="preserve"> ₹25,000–44,000</w:t>
      </w:r>
    </w:p>
    <w:p w:rsidR="00526ABA" w:rsidRPr="00526ABA" w:rsidRDefault="00526ABA" w:rsidP="00526ABA">
      <w:pPr>
        <w:pStyle w:val="NormalWeb"/>
        <w:numPr>
          <w:ilvl w:val="0"/>
          <w:numId w:val="13"/>
        </w:numPr>
        <w:spacing w:before="0" w:beforeAutospacing="0" w:after="0" w:afterAutospacing="0" w:line="360" w:lineRule="auto"/>
      </w:pPr>
      <w:r w:rsidRPr="00526ABA">
        <w:rPr>
          <w:rStyle w:val="Strong"/>
        </w:rPr>
        <w:t>Net profit per cycle:</w:t>
      </w:r>
      <w:r w:rsidRPr="00526ABA">
        <w:t xml:space="preserve"> ₹14,000–25,000</w:t>
      </w:r>
    </w:p>
    <w:p w:rsidR="00526ABA" w:rsidRPr="00526ABA" w:rsidRDefault="00526ABA" w:rsidP="00526ABA">
      <w:pPr>
        <w:pStyle w:val="NormalWeb"/>
        <w:numPr>
          <w:ilvl w:val="0"/>
          <w:numId w:val="13"/>
        </w:numPr>
        <w:spacing w:before="0" w:beforeAutospacing="0" w:after="0" w:afterAutospacing="0" w:line="360" w:lineRule="auto"/>
      </w:pPr>
      <w:r w:rsidRPr="00526ABA">
        <w:rPr>
          <w:rStyle w:val="Strong"/>
        </w:rPr>
        <w:t>Payback period:</w:t>
      </w:r>
      <w:r w:rsidRPr="00526ABA">
        <w:t xml:space="preserve"> </w:t>
      </w:r>
      <w:r w:rsidRPr="00526ABA">
        <w:rPr>
          <w:rStyle w:val="Strong"/>
        </w:rPr>
        <w:t>8–12 months (2–3 production cycles)</w:t>
      </w:r>
    </w:p>
    <w:p w:rsidR="00526ABA" w:rsidRPr="00526ABA" w:rsidRDefault="00526ABA" w:rsidP="00526ABA">
      <w:pPr>
        <w:pStyle w:val="Heading3"/>
        <w:spacing w:before="0" w:line="360" w:lineRule="auto"/>
        <w:jc w:val="center"/>
        <w:rPr>
          <w:rFonts w:ascii="Times New Roman" w:hAnsi="Times New Roman" w:cs="Times New Roman"/>
          <w:color w:val="auto"/>
          <w:sz w:val="24"/>
          <w:szCs w:val="24"/>
        </w:rPr>
      </w:pPr>
      <w:r w:rsidRPr="00526ABA">
        <w:rPr>
          <w:rStyle w:val="Strong"/>
          <w:rFonts w:ascii="Times New Roman" w:hAnsi="Times New Roman" w:cs="Times New Roman"/>
          <w:b/>
          <w:bCs/>
          <w:color w:val="auto"/>
          <w:sz w:val="24"/>
          <w:szCs w:val="24"/>
        </w:rPr>
        <w:t>Species Performance and Market Suitability</w:t>
      </w:r>
    </w:p>
    <w:tbl>
      <w:tblPr>
        <w:tblStyle w:val="TableGrid"/>
        <w:tblW w:w="0" w:type="auto"/>
        <w:tblLook w:val="04A0"/>
      </w:tblPr>
      <w:tblGrid>
        <w:gridCol w:w="1775"/>
        <w:gridCol w:w="1239"/>
        <w:gridCol w:w="1020"/>
        <w:gridCol w:w="1186"/>
        <w:gridCol w:w="1082"/>
        <w:gridCol w:w="2554"/>
      </w:tblGrid>
      <w:tr w:rsidR="00526ABA" w:rsidRPr="00526ABA" w:rsidTr="00526ABA">
        <w:tc>
          <w:tcPr>
            <w:tcW w:w="0" w:type="auto"/>
            <w:hideMark/>
          </w:tcPr>
          <w:p w:rsidR="00526ABA" w:rsidRPr="00526ABA" w:rsidRDefault="00526ABA" w:rsidP="00526ABA">
            <w:pPr>
              <w:spacing w:line="360" w:lineRule="auto"/>
              <w:jc w:val="center"/>
              <w:rPr>
                <w:rFonts w:ascii="Times New Roman" w:hAnsi="Times New Roman" w:cs="Times New Roman"/>
                <w:b/>
                <w:bCs/>
                <w:sz w:val="24"/>
                <w:szCs w:val="24"/>
              </w:rPr>
            </w:pPr>
            <w:r w:rsidRPr="00526ABA">
              <w:rPr>
                <w:rFonts w:ascii="Times New Roman" w:hAnsi="Times New Roman" w:cs="Times New Roman"/>
                <w:b/>
                <w:bCs/>
                <w:sz w:val="24"/>
                <w:szCs w:val="24"/>
              </w:rPr>
              <w:t>Species</w:t>
            </w:r>
          </w:p>
        </w:tc>
        <w:tc>
          <w:tcPr>
            <w:tcW w:w="0" w:type="auto"/>
            <w:hideMark/>
          </w:tcPr>
          <w:p w:rsidR="00526ABA" w:rsidRPr="00526ABA" w:rsidRDefault="00526ABA" w:rsidP="00526ABA">
            <w:pPr>
              <w:spacing w:line="360" w:lineRule="auto"/>
              <w:jc w:val="center"/>
              <w:rPr>
                <w:rFonts w:ascii="Times New Roman" w:hAnsi="Times New Roman" w:cs="Times New Roman"/>
                <w:b/>
                <w:bCs/>
                <w:sz w:val="24"/>
                <w:szCs w:val="24"/>
              </w:rPr>
            </w:pPr>
            <w:r w:rsidRPr="00526ABA">
              <w:rPr>
                <w:rFonts w:ascii="Times New Roman" w:hAnsi="Times New Roman" w:cs="Times New Roman"/>
                <w:b/>
                <w:bCs/>
                <w:sz w:val="24"/>
                <w:szCs w:val="24"/>
              </w:rPr>
              <w:t>Culture Duration</w:t>
            </w:r>
          </w:p>
        </w:tc>
        <w:tc>
          <w:tcPr>
            <w:tcW w:w="0" w:type="auto"/>
            <w:hideMark/>
          </w:tcPr>
          <w:p w:rsidR="00526ABA" w:rsidRPr="00526ABA" w:rsidRDefault="00526ABA" w:rsidP="00526ABA">
            <w:pPr>
              <w:spacing w:line="360" w:lineRule="auto"/>
              <w:jc w:val="center"/>
              <w:rPr>
                <w:rFonts w:ascii="Times New Roman" w:hAnsi="Times New Roman" w:cs="Times New Roman"/>
                <w:b/>
                <w:bCs/>
                <w:sz w:val="24"/>
                <w:szCs w:val="24"/>
              </w:rPr>
            </w:pPr>
            <w:r w:rsidRPr="00526ABA">
              <w:rPr>
                <w:rFonts w:ascii="Times New Roman" w:hAnsi="Times New Roman" w:cs="Times New Roman"/>
                <w:b/>
                <w:bCs/>
                <w:sz w:val="24"/>
                <w:szCs w:val="24"/>
              </w:rPr>
              <w:t>FCR in Biofloc</w:t>
            </w:r>
          </w:p>
        </w:tc>
        <w:tc>
          <w:tcPr>
            <w:tcW w:w="0" w:type="auto"/>
            <w:hideMark/>
          </w:tcPr>
          <w:p w:rsidR="00526ABA" w:rsidRPr="00526ABA" w:rsidRDefault="00526ABA" w:rsidP="00526ABA">
            <w:pPr>
              <w:spacing w:line="360" w:lineRule="auto"/>
              <w:jc w:val="center"/>
              <w:rPr>
                <w:rFonts w:ascii="Times New Roman" w:hAnsi="Times New Roman" w:cs="Times New Roman"/>
                <w:b/>
                <w:bCs/>
                <w:sz w:val="24"/>
                <w:szCs w:val="24"/>
              </w:rPr>
            </w:pPr>
            <w:r w:rsidRPr="00526ABA">
              <w:rPr>
                <w:rFonts w:ascii="Times New Roman" w:hAnsi="Times New Roman" w:cs="Times New Roman"/>
                <w:b/>
                <w:bCs/>
                <w:sz w:val="24"/>
                <w:szCs w:val="24"/>
              </w:rPr>
              <w:t>Survival Rate (%)</w:t>
            </w:r>
          </w:p>
        </w:tc>
        <w:tc>
          <w:tcPr>
            <w:tcW w:w="0" w:type="auto"/>
            <w:hideMark/>
          </w:tcPr>
          <w:p w:rsidR="00526ABA" w:rsidRPr="00526ABA" w:rsidRDefault="00526ABA" w:rsidP="00526ABA">
            <w:pPr>
              <w:spacing w:line="360" w:lineRule="auto"/>
              <w:jc w:val="center"/>
              <w:rPr>
                <w:rFonts w:ascii="Times New Roman" w:hAnsi="Times New Roman" w:cs="Times New Roman"/>
                <w:b/>
                <w:bCs/>
                <w:sz w:val="24"/>
                <w:szCs w:val="24"/>
              </w:rPr>
            </w:pPr>
            <w:r w:rsidRPr="00526ABA">
              <w:rPr>
                <w:rFonts w:ascii="Times New Roman" w:hAnsi="Times New Roman" w:cs="Times New Roman"/>
                <w:b/>
                <w:bCs/>
                <w:sz w:val="24"/>
                <w:szCs w:val="24"/>
              </w:rPr>
              <w:t>Urban Retail Price (₹/kg)</w:t>
            </w:r>
          </w:p>
        </w:tc>
        <w:tc>
          <w:tcPr>
            <w:tcW w:w="0" w:type="auto"/>
            <w:hideMark/>
          </w:tcPr>
          <w:p w:rsidR="00526ABA" w:rsidRPr="00526ABA" w:rsidRDefault="00526ABA" w:rsidP="00526ABA">
            <w:pPr>
              <w:spacing w:line="360" w:lineRule="auto"/>
              <w:jc w:val="center"/>
              <w:rPr>
                <w:rFonts w:ascii="Times New Roman" w:hAnsi="Times New Roman" w:cs="Times New Roman"/>
                <w:b/>
                <w:bCs/>
                <w:sz w:val="24"/>
                <w:szCs w:val="24"/>
              </w:rPr>
            </w:pPr>
            <w:r w:rsidRPr="00526ABA">
              <w:rPr>
                <w:rFonts w:ascii="Times New Roman" w:hAnsi="Times New Roman" w:cs="Times New Roman"/>
                <w:b/>
                <w:bCs/>
                <w:sz w:val="24"/>
                <w:szCs w:val="24"/>
              </w:rPr>
              <w:t>Suitability Notes</w:t>
            </w:r>
          </w:p>
        </w:tc>
      </w:tr>
      <w:tr w:rsidR="00526ABA" w:rsidRPr="00526ABA" w:rsidTr="00526ABA">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Style w:val="Strong"/>
                <w:rFonts w:ascii="Times New Roman" w:hAnsi="Times New Roman" w:cs="Times New Roman"/>
                <w:sz w:val="24"/>
                <w:szCs w:val="24"/>
              </w:rPr>
              <w:t>Tilapia (</w:t>
            </w:r>
            <w:r w:rsidRPr="00526ABA">
              <w:rPr>
                <w:rStyle w:val="Emphasis"/>
                <w:rFonts w:ascii="Times New Roman" w:hAnsi="Times New Roman" w:cs="Times New Roman"/>
                <w:b/>
                <w:bCs/>
                <w:sz w:val="24"/>
                <w:szCs w:val="24"/>
              </w:rPr>
              <w:t>Oreochromis niloticus</w:t>
            </w:r>
            <w:r w:rsidRPr="00526ABA">
              <w:rPr>
                <w:rStyle w:val="Strong"/>
                <w:rFonts w:ascii="Times New Roman" w:hAnsi="Times New Roman" w:cs="Times New Roman"/>
                <w:sz w:val="24"/>
                <w:szCs w:val="24"/>
              </w:rPr>
              <w:t>)</w:t>
            </w: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4–5 months</w:t>
            </w: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1.1–1.4</w:t>
            </w: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85–90%</w:t>
            </w: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160–220</w:t>
            </w: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 xml:space="preserve">Highly tolerant to variable water conditions; suitable for rooftop/indoor tanks (Emerenciano </w:t>
            </w:r>
            <w:r w:rsidRPr="00FD0E15">
              <w:rPr>
                <w:rFonts w:ascii="Times New Roman" w:hAnsi="Times New Roman" w:cs="Times New Roman"/>
                <w:i/>
                <w:iCs/>
                <w:sz w:val="24"/>
                <w:szCs w:val="24"/>
              </w:rPr>
              <w:t>et al.,</w:t>
            </w:r>
            <w:r w:rsidRPr="00526ABA">
              <w:rPr>
                <w:rFonts w:ascii="Times New Roman" w:hAnsi="Times New Roman" w:cs="Times New Roman"/>
                <w:sz w:val="24"/>
                <w:szCs w:val="24"/>
              </w:rPr>
              <w:t xml:space="preserve"> 2017).</w:t>
            </w:r>
          </w:p>
        </w:tc>
      </w:tr>
      <w:tr w:rsidR="00526ABA" w:rsidRPr="00526ABA" w:rsidTr="00526ABA">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Style w:val="Strong"/>
                <w:rFonts w:ascii="Times New Roman" w:hAnsi="Times New Roman" w:cs="Times New Roman"/>
                <w:sz w:val="24"/>
                <w:szCs w:val="24"/>
              </w:rPr>
              <w:t>Rohu (</w:t>
            </w:r>
            <w:r w:rsidRPr="00526ABA">
              <w:rPr>
                <w:rStyle w:val="Emphasis"/>
                <w:rFonts w:ascii="Times New Roman" w:hAnsi="Times New Roman" w:cs="Times New Roman"/>
                <w:b/>
                <w:bCs/>
                <w:sz w:val="24"/>
                <w:szCs w:val="24"/>
              </w:rPr>
              <w:t>Labeo rohita</w:t>
            </w:r>
            <w:r w:rsidRPr="00526ABA">
              <w:rPr>
                <w:rStyle w:val="Strong"/>
                <w:rFonts w:ascii="Times New Roman" w:hAnsi="Times New Roman" w:cs="Times New Roman"/>
                <w:sz w:val="24"/>
                <w:szCs w:val="24"/>
              </w:rPr>
              <w:t>)</w:t>
            </w: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6–8 months</w:t>
            </w: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1.4–1.7</w:t>
            </w: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75–85%</w:t>
            </w: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180–260</w:t>
            </w:r>
          </w:p>
        </w:tc>
        <w:tc>
          <w:tcPr>
            <w:tcW w:w="0" w:type="auto"/>
            <w:hideMark/>
          </w:tcPr>
          <w:p w:rsidR="00526ABA" w:rsidRPr="00526ABA" w:rsidRDefault="00526ABA" w:rsidP="00526ABA">
            <w:pPr>
              <w:spacing w:line="360" w:lineRule="auto"/>
              <w:rPr>
                <w:rFonts w:ascii="Times New Roman" w:hAnsi="Times New Roman" w:cs="Times New Roman"/>
                <w:sz w:val="24"/>
                <w:szCs w:val="24"/>
              </w:rPr>
            </w:pPr>
            <w:r w:rsidRPr="00526ABA">
              <w:rPr>
                <w:rFonts w:ascii="Times New Roman" w:hAnsi="Times New Roman" w:cs="Times New Roman"/>
                <w:sz w:val="24"/>
                <w:szCs w:val="24"/>
              </w:rPr>
              <w:t xml:space="preserve">Strong cultural and market demand; performs well with stable aeration and C:N control (Verma </w:t>
            </w:r>
            <w:r w:rsidRPr="00FD0E15">
              <w:rPr>
                <w:rFonts w:ascii="Times New Roman" w:hAnsi="Times New Roman" w:cs="Times New Roman"/>
                <w:i/>
                <w:iCs/>
                <w:sz w:val="24"/>
                <w:szCs w:val="24"/>
              </w:rPr>
              <w:t>et al</w:t>
            </w:r>
            <w:r w:rsidRPr="00526ABA">
              <w:rPr>
                <w:rFonts w:ascii="Times New Roman" w:hAnsi="Times New Roman" w:cs="Times New Roman"/>
                <w:sz w:val="24"/>
                <w:szCs w:val="24"/>
              </w:rPr>
              <w:t>., 2019).</w:t>
            </w:r>
          </w:p>
        </w:tc>
      </w:tr>
    </w:tbl>
    <w:p w:rsidR="009B62A5" w:rsidRPr="007832C0" w:rsidRDefault="009B62A5" w:rsidP="00526ABA">
      <w:pPr>
        <w:pStyle w:val="Heading3"/>
        <w:spacing w:before="0" w:line="360" w:lineRule="auto"/>
        <w:jc w:val="both"/>
        <w:rPr>
          <w:rFonts w:ascii="Times New Roman" w:hAnsi="Times New Roman" w:cs="Times New Roman"/>
          <w:i/>
          <w:iCs/>
          <w:color w:val="auto"/>
          <w:sz w:val="28"/>
          <w:szCs w:val="28"/>
        </w:rPr>
      </w:pPr>
      <w:r w:rsidRPr="007832C0">
        <w:rPr>
          <w:rFonts w:ascii="Times New Roman" w:hAnsi="Times New Roman" w:cs="Times New Roman"/>
          <w:i/>
          <w:iCs/>
          <w:color w:val="auto"/>
          <w:sz w:val="28"/>
          <w:szCs w:val="28"/>
        </w:rPr>
        <w:t>Challenges and future prospects of biofloc technology</w:t>
      </w:r>
    </w:p>
    <w:p w:rsidR="009B62A5" w:rsidRPr="007832C0" w:rsidRDefault="009B62A5" w:rsidP="007832C0">
      <w:pPr>
        <w:pStyle w:val="NormalWeb"/>
        <w:spacing w:before="0" w:beforeAutospacing="0" w:after="0" w:afterAutospacing="0" w:line="360" w:lineRule="auto"/>
        <w:jc w:val="both"/>
      </w:pPr>
      <w:r w:rsidRPr="007832C0">
        <w:t xml:space="preserve">Despite advantages, biofloc farming faces challenges such as energy dependence, technical skill requirements, and consumer perception issues (Ismail </w:t>
      </w:r>
      <w:r w:rsidRPr="007832C0">
        <w:rPr>
          <w:i/>
          <w:iCs/>
        </w:rPr>
        <w:t>et al</w:t>
      </w:r>
      <w:r w:rsidRPr="007832C0">
        <w:t>., 2020; Torfs</w:t>
      </w:r>
      <w:r w:rsidR="00FD0E15">
        <w:t xml:space="preserve"> </w:t>
      </w:r>
      <w:r w:rsidRPr="007832C0">
        <w:t>&amp;</w:t>
      </w:r>
      <w:r w:rsidR="00FD0E15">
        <w:t xml:space="preserve"> </w:t>
      </w:r>
      <w:r w:rsidRPr="007832C0">
        <w:t xml:space="preserve">Verstraete, 2023). Solutions include renewable energy adoption, IoT-based monitoring, AI-assisted management, and the use of food waste as carbon sources. For broader </w:t>
      </w:r>
      <w:r w:rsidRPr="007832C0">
        <w:lastRenderedPageBreak/>
        <w:t>adoption, governments must integrate BFT into urban food policies and provide training support (Pal &amp; Das, 2022).</w:t>
      </w:r>
    </w:p>
    <w:p w:rsidR="009B62A5" w:rsidRPr="007832C0" w:rsidRDefault="009B62A5" w:rsidP="009B62A5">
      <w:pPr>
        <w:pStyle w:val="Heading3"/>
        <w:spacing w:before="0" w:line="360" w:lineRule="auto"/>
        <w:jc w:val="both"/>
        <w:rPr>
          <w:rFonts w:ascii="Times New Roman" w:hAnsi="Times New Roman" w:cs="Times New Roman"/>
          <w:i/>
          <w:iCs/>
          <w:color w:val="auto"/>
          <w:sz w:val="28"/>
          <w:szCs w:val="28"/>
        </w:rPr>
      </w:pPr>
      <w:r w:rsidRPr="007832C0">
        <w:rPr>
          <w:rFonts w:ascii="Times New Roman" w:hAnsi="Times New Roman" w:cs="Times New Roman"/>
          <w:i/>
          <w:iCs/>
          <w:color w:val="auto"/>
          <w:sz w:val="28"/>
          <w:szCs w:val="28"/>
        </w:rPr>
        <w:t>Conclusion</w:t>
      </w:r>
    </w:p>
    <w:p w:rsidR="009B62A5" w:rsidRDefault="009B62A5" w:rsidP="009B62A5">
      <w:pPr>
        <w:pStyle w:val="NormalWeb"/>
        <w:spacing w:before="0" w:beforeAutospacing="0" w:line="360" w:lineRule="auto"/>
        <w:jc w:val="both"/>
      </w:pPr>
      <w:r w:rsidRPr="007832C0">
        <w:t>Biofloc technology offers a sustainable and inclusive approach to urban aquaculture by recycling waste into resources, conserving water, and generating livelihoods. Case studies from Chhattisgarh, MP, UP, Bihar, and Odisha demonstrate its adaptability to diverse conditions. While energy, skill, and policy barriers remain, technological advances and supportive governance can help mainstream BFT into urban food systems. With continued innovation and participation, biofloc technology could become a cornerstone of resilient and sustainable urban aquaculture.</w:t>
      </w:r>
    </w:p>
    <w:p w:rsidR="0083435C" w:rsidRPr="00740879" w:rsidRDefault="0083435C" w:rsidP="0083435C">
      <w:pPr>
        <w:rPr>
          <w:highlight w:val="yellow"/>
        </w:rPr>
      </w:pPr>
      <w:r w:rsidRPr="00740879">
        <w:rPr>
          <w:highlight w:val="yellow"/>
        </w:rPr>
        <w:t>Disclaimer (Artificial intelligence)</w:t>
      </w:r>
    </w:p>
    <w:p w:rsidR="0083435C" w:rsidRPr="00740879" w:rsidRDefault="0083435C" w:rsidP="0083435C">
      <w:pPr>
        <w:rPr>
          <w:highlight w:val="yellow"/>
        </w:rPr>
      </w:pPr>
      <w:r w:rsidRPr="00740879">
        <w:rPr>
          <w:highlight w:val="yellow"/>
        </w:rPr>
        <w:t xml:space="preserve">Option 1: </w:t>
      </w:r>
    </w:p>
    <w:p w:rsidR="0083435C" w:rsidRPr="00740879" w:rsidRDefault="0083435C" w:rsidP="0083435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83435C" w:rsidRPr="00740879" w:rsidRDefault="0083435C" w:rsidP="0083435C">
      <w:pPr>
        <w:rPr>
          <w:highlight w:val="yellow"/>
        </w:rPr>
      </w:pPr>
      <w:r w:rsidRPr="00740879">
        <w:rPr>
          <w:highlight w:val="yellow"/>
        </w:rPr>
        <w:t xml:space="preserve">Option 2: </w:t>
      </w:r>
    </w:p>
    <w:p w:rsidR="0083435C" w:rsidRPr="00740879" w:rsidRDefault="0083435C" w:rsidP="0083435C">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3435C" w:rsidRPr="00740879" w:rsidRDefault="0083435C" w:rsidP="0083435C">
      <w:pPr>
        <w:rPr>
          <w:highlight w:val="yellow"/>
        </w:rPr>
      </w:pPr>
      <w:r w:rsidRPr="00740879">
        <w:rPr>
          <w:highlight w:val="yellow"/>
        </w:rPr>
        <w:t>Details of the AI usage are given below:</w:t>
      </w:r>
    </w:p>
    <w:p w:rsidR="0083435C" w:rsidRPr="00740879" w:rsidRDefault="0083435C" w:rsidP="0083435C">
      <w:pPr>
        <w:rPr>
          <w:highlight w:val="yellow"/>
        </w:rPr>
      </w:pPr>
      <w:r w:rsidRPr="00740879">
        <w:rPr>
          <w:highlight w:val="yellow"/>
        </w:rPr>
        <w:t>1.</w:t>
      </w:r>
    </w:p>
    <w:p w:rsidR="0083435C" w:rsidRPr="00740879" w:rsidRDefault="0083435C" w:rsidP="0083435C">
      <w:pPr>
        <w:rPr>
          <w:highlight w:val="yellow"/>
        </w:rPr>
      </w:pPr>
      <w:r w:rsidRPr="00740879">
        <w:rPr>
          <w:highlight w:val="yellow"/>
        </w:rPr>
        <w:t>2.</w:t>
      </w:r>
    </w:p>
    <w:p w:rsidR="0083435C" w:rsidRPr="00D047BB" w:rsidRDefault="0083435C" w:rsidP="0083435C">
      <w:r w:rsidRPr="00740879">
        <w:rPr>
          <w:highlight w:val="yellow"/>
        </w:rPr>
        <w:t>3.</w:t>
      </w:r>
    </w:p>
    <w:p w:rsidR="00FD0E15" w:rsidRPr="00EA1E1D" w:rsidRDefault="00FD0E15" w:rsidP="00FD0E15">
      <w:pPr>
        <w:pStyle w:val="NormalWeb"/>
        <w:spacing w:before="0" w:beforeAutospacing="0" w:after="0" w:afterAutospacing="0"/>
        <w:jc w:val="both"/>
        <w:rPr>
          <w:highlight w:val="green"/>
        </w:rPr>
      </w:pPr>
      <w:bookmarkStart w:id="0" w:name="_GoBack"/>
      <w:bookmarkEnd w:id="0"/>
      <w:r w:rsidRPr="00EA1E1D">
        <w:rPr>
          <w:rStyle w:val="Strong"/>
          <w:rFonts w:eastAsiaTheme="majorEastAsia"/>
        </w:rPr>
        <w:t>Author Declaration</w:t>
      </w:r>
    </w:p>
    <w:p w:rsidR="00FD0E15" w:rsidRPr="00EA1E1D" w:rsidRDefault="00FD0E15" w:rsidP="00FD0E15">
      <w:pPr>
        <w:pStyle w:val="NormalWeb"/>
        <w:rPr>
          <w:i/>
          <w:iCs/>
        </w:rPr>
      </w:pPr>
      <w:r w:rsidRPr="00EA1E1D">
        <w:rPr>
          <w:i/>
          <w:iCs/>
          <w:highlight w:val="green"/>
        </w:rPr>
        <w:t>The authors hereby declare that no generative Artificial Intelligence (AI) technologies, including but not limited to Large Language Models (e.g., ChatGPT, Copilot, or related tools) and text-to-image generators, were employed in the conception, writing, analysis, or editing of this manuscript. The entire content represents the authors’ original work, based on their own research, interpretation, and academic effort</w:t>
      </w:r>
      <w:r w:rsidRPr="00EA1E1D">
        <w:rPr>
          <w:i/>
          <w:iCs/>
          <w:highlight w:val="darkGray"/>
        </w:rPr>
        <w:t>.</w:t>
      </w:r>
    </w:p>
    <w:p w:rsidR="0083435C" w:rsidRPr="007832C0" w:rsidRDefault="0083435C" w:rsidP="009B62A5">
      <w:pPr>
        <w:pStyle w:val="NormalWeb"/>
        <w:spacing w:before="0" w:beforeAutospacing="0" w:line="360" w:lineRule="auto"/>
        <w:jc w:val="both"/>
      </w:pPr>
    </w:p>
    <w:p w:rsidR="0026375A" w:rsidRPr="0026375A" w:rsidRDefault="0026375A" w:rsidP="0026375A">
      <w:pPr>
        <w:pStyle w:val="Heading2"/>
        <w:spacing w:before="0" w:line="360" w:lineRule="auto"/>
        <w:jc w:val="both"/>
        <w:rPr>
          <w:rFonts w:ascii="Times New Roman" w:hAnsi="Times New Roman" w:cs="Times New Roman"/>
          <w:color w:val="auto"/>
          <w:sz w:val="24"/>
          <w:szCs w:val="24"/>
        </w:rPr>
      </w:pPr>
      <w:r w:rsidRPr="0026375A">
        <w:rPr>
          <w:rFonts w:ascii="Times New Roman" w:hAnsi="Times New Roman" w:cs="Times New Roman"/>
          <w:color w:val="auto"/>
          <w:sz w:val="24"/>
          <w:szCs w:val="24"/>
        </w:rPr>
        <w:lastRenderedPageBreak/>
        <w:t>References</w:t>
      </w:r>
    </w:p>
    <w:p w:rsidR="00FD0E15" w:rsidRPr="00FD0E15" w:rsidRDefault="00FD0E15" w:rsidP="00FD0E15">
      <w:pPr>
        <w:pStyle w:val="NormalWeb"/>
        <w:numPr>
          <w:ilvl w:val="0"/>
          <w:numId w:val="14"/>
        </w:numPr>
        <w:spacing w:before="0" w:beforeAutospacing="0" w:after="0" w:afterAutospacing="0"/>
        <w:jc w:val="both"/>
      </w:pPr>
      <w:r w:rsidRPr="00FD0E15">
        <w:rPr>
          <w:rStyle w:val="Strong"/>
        </w:rPr>
        <w:t>Avnimelech, Y. (2015).</w:t>
      </w:r>
      <w:r w:rsidRPr="00FD0E15">
        <w:t xml:space="preserve"> </w:t>
      </w:r>
      <w:r w:rsidRPr="00FD0E15">
        <w:rPr>
          <w:rStyle w:val="Emphasis"/>
        </w:rPr>
        <w:t>Biofloc technology: A practical guide book</w:t>
      </w:r>
      <w:r w:rsidRPr="00FD0E15">
        <w:t xml:space="preserve"> (3rd ed.). The World Aquaculture Society.</w:t>
      </w:r>
    </w:p>
    <w:p w:rsidR="00FD0E15" w:rsidRPr="00FD0E15" w:rsidRDefault="00FD0E15" w:rsidP="00FD0E15">
      <w:pPr>
        <w:pStyle w:val="NormalWeb"/>
        <w:spacing w:before="0" w:beforeAutospacing="0" w:after="0" w:afterAutospacing="0"/>
        <w:ind w:left="720"/>
        <w:jc w:val="both"/>
      </w:pPr>
      <w:r w:rsidRPr="00FD0E15">
        <w:t>https://www.was.org/store/details?productId=298</w:t>
      </w:r>
    </w:p>
    <w:p w:rsidR="00FD0E15" w:rsidRPr="00FD0E15" w:rsidRDefault="00FD0E15" w:rsidP="00FD0E15">
      <w:pPr>
        <w:pStyle w:val="NormalWeb"/>
        <w:numPr>
          <w:ilvl w:val="0"/>
          <w:numId w:val="14"/>
        </w:numPr>
        <w:spacing w:before="0" w:beforeAutospacing="0" w:after="0" w:afterAutospacing="0"/>
        <w:jc w:val="both"/>
      </w:pPr>
      <w:r w:rsidRPr="00FD0E15">
        <w:rPr>
          <w:rStyle w:val="Strong"/>
        </w:rPr>
        <w:t>Azim, M. E., &amp; Little, D. C. (2021).</w:t>
      </w:r>
      <w:r w:rsidRPr="00FD0E15">
        <w:t xml:space="preserve"> The biofloc technology (BFT) in indoor aquaculture: Moving from unstructured to structured systems. </w:t>
      </w:r>
      <w:r w:rsidRPr="00FD0E15">
        <w:rPr>
          <w:rStyle w:val="Emphasis"/>
        </w:rPr>
        <w:t>Aquaculture International</w:t>
      </w:r>
      <w:r w:rsidRPr="00FD0E15">
        <w:t>, 29(2), 437–456.</w:t>
      </w:r>
    </w:p>
    <w:p w:rsidR="00FD0E15" w:rsidRPr="00FD0E15" w:rsidRDefault="00FD0E15" w:rsidP="00FD0E15">
      <w:pPr>
        <w:pStyle w:val="NormalWeb"/>
        <w:spacing w:before="0" w:beforeAutospacing="0" w:after="0" w:afterAutospacing="0"/>
        <w:ind w:left="720"/>
        <w:jc w:val="both"/>
      </w:pPr>
      <w:hyperlink r:id="rId9" w:tgtFrame="_new" w:history="1">
        <w:r w:rsidRPr="00FD0E15">
          <w:rPr>
            <w:rStyle w:val="Hyperlink"/>
            <w:color w:val="auto"/>
            <w:u w:val="none"/>
          </w:rPr>
          <w:t>https://doi.org/10.1007/s10499-020-00629-9</w:t>
        </w:r>
      </w:hyperlink>
    </w:p>
    <w:p w:rsidR="00FD0E15" w:rsidRPr="00FD0E15" w:rsidRDefault="00FD0E15" w:rsidP="00FD0E15">
      <w:pPr>
        <w:pStyle w:val="NormalWeb"/>
        <w:numPr>
          <w:ilvl w:val="0"/>
          <w:numId w:val="14"/>
        </w:numPr>
        <w:spacing w:before="0" w:beforeAutospacing="0" w:after="0" w:afterAutospacing="0"/>
        <w:jc w:val="both"/>
      </w:pPr>
      <w:r w:rsidRPr="00FD0E15">
        <w:rPr>
          <w:rStyle w:val="Strong"/>
        </w:rPr>
        <w:t>Bossier, P., &amp; Ekasari, J. (2021).</w:t>
      </w:r>
      <w:r w:rsidRPr="00FD0E15">
        <w:t xml:space="preserve"> Biofloc technology: Towards sustainable aquaculture. </w:t>
      </w:r>
      <w:r w:rsidRPr="00FD0E15">
        <w:rPr>
          <w:rStyle w:val="Emphasis"/>
        </w:rPr>
        <w:t>Reviews in Aquaculture</w:t>
      </w:r>
      <w:r w:rsidRPr="00FD0E15">
        <w:t>, 13(1), 580–604.</w:t>
      </w:r>
    </w:p>
    <w:p w:rsidR="00FD0E15" w:rsidRPr="00FD0E15" w:rsidRDefault="00FD0E15" w:rsidP="00FD0E15">
      <w:pPr>
        <w:pStyle w:val="NormalWeb"/>
        <w:spacing w:before="0" w:beforeAutospacing="0" w:after="0" w:afterAutospacing="0"/>
        <w:ind w:left="720"/>
        <w:jc w:val="both"/>
      </w:pPr>
      <w:hyperlink r:id="rId10" w:tgtFrame="_new" w:history="1">
        <w:r w:rsidRPr="00FD0E15">
          <w:rPr>
            <w:rStyle w:val="Hyperlink"/>
            <w:color w:val="auto"/>
            <w:u w:val="none"/>
          </w:rPr>
          <w:t>https://doi.org/10.1111/raq.12448</w:t>
        </w:r>
      </w:hyperlink>
    </w:p>
    <w:p w:rsidR="00FD0E15" w:rsidRPr="00FD0E15" w:rsidRDefault="00FD0E15" w:rsidP="00FD0E15">
      <w:pPr>
        <w:pStyle w:val="NormalWeb"/>
        <w:numPr>
          <w:ilvl w:val="0"/>
          <w:numId w:val="14"/>
        </w:numPr>
        <w:spacing w:before="0" w:beforeAutospacing="0" w:after="0" w:afterAutospacing="0"/>
        <w:jc w:val="both"/>
      </w:pPr>
      <w:r w:rsidRPr="00FD0E15">
        <w:rPr>
          <w:rStyle w:val="Strong"/>
        </w:rPr>
        <w:t>Crab, R., Defoirdt, T., Bossier, P., &amp; Verstraete, W. (2012).</w:t>
      </w:r>
      <w:r w:rsidRPr="00FD0E15">
        <w:t xml:space="preserve"> Biofloc technology in aquaculture: Beneficial effects and future challenges. </w:t>
      </w:r>
      <w:r w:rsidRPr="00FD0E15">
        <w:rPr>
          <w:rStyle w:val="Emphasis"/>
        </w:rPr>
        <w:t>Aquaculture</w:t>
      </w:r>
      <w:r w:rsidRPr="00FD0E15">
        <w:t>, 356, 351–356.</w:t>
      </w:r>
    </w:p>
    <w:p w:rsidR="00FD0E15" w:rsidRPr="00FD0E15" w:rsidRDefault="00FD0E15" w:rsidP="00FD0E15">
      <w:pPr>
        <w:pStyle w:val="NormalWeb"/>
        <w:spacing w:before="0" w:beforeAutospacing="0" w:after="0" w:afterAutospacing="0"/>
        <w:ind w:left="720"/>
        <w:jc w:val="both"/>
      </w:pPr>
      <w:hyperlink r:id="rId11" w:tgtFrame="_new" w:history="1">
        <w:r w:rsidRPr="00FD0E15">
          <w:rPr>
            <w:rStyle w:val="Hyperlink"/>
            <w:color w:val="auto"/>
            <w:u w:val="none"/>
          </w:rPr>
          <w:t>https://doi.org/10.1016/j.aquaculture.2012.04.046</w:t>
        </w:r>
      </w:hyperlink>
    </w:p>
    <w:p w:rsidR="00FD0E15" w:rsidRPr="00FD0E15" w:rsidRDefault="00FD0E15" w:rsidP="00FD0E15">
      <w:pPr>
        <w:pStyle w:val="NormalWeb"/>
        <w:numPr>
          <w:ilvl w:val="0"/>
          <w:numId w:val="14"/>
        </w:numPr>
        <w:spacing w:before="0" w:beforeAutospacing="0" w:after="0" w:afterAutospacing="0"/>
        <w:jc w:val="both"/>
      </w:pPr>
      <w:r w:rsidRPr="00FD0E15">
        <w:rPr>
          <w:rStyle w:val="Strong"/>
        </w:rPr>
        <w:t>De Schryver, P., Crab, R., Defoirdt, T., Boon, N., &amp; Verstraete, W. (2008).</w:t>
      </w:r>
      <w:r w:rsidRPr="00FD0E15">
        <w:t xml:space="preserve"> The basics of bio-flocs technology: The added value for aquaculture. </w:t>
      </w:r>
      <w:r w:rsidRPr="00FD0E15">
        <w:rPr>
          <w:rStyle w:val="Emphasis"/>
        </w:rPr>
        <w:t>Aquaculture</w:t>
      </w:r>
      <w:r w:rsidRPr="00FD0E15">
        <w:t>, 277(3–4), 125–137.</w:t>
      </w:r>
    </w:p>
    <w:p w:rsidR="00FD0E15" w:rsidRPr="00FD0E15" w:rsidRDefault="00FD0E15" w:rsidP="00FD0E15">
      <w:pPr>
        <w:pStyle w:val="NormalWeb"/>
        <w:spacing w:before="0" w:beforeAutospacing="0" w:after="0" w:afterAutospacing="0"/>
        <w:ind w:left="720"/>
        <w:jc w:val="both"/>
      </w:pPr>
      <w:r w:rsidRPr="00FD0E15">
        <w:t>https://doi.org/10.1016/j.aquaculture.2008.02.019</w:t>
      </w:r>
    </w:p>
    <w:p w:rsidR="00FD0E15" w:rsidRPr="00FD0E15" w:rsidRDefault="00FD0E15" w:rsidP="00FD0E15">
      <w:pPr>
        <w:pStyle w:val="NormalWeb"/>
        <w:numPr>
          <w:ilvl w:val="0"/>
          <w:numId w:val="14"/>
        </w:numPr>
        <w:spacing w:before="0" w:beforeAutospacing="0" w:after="0" w:afterAutospacing="0"/>
        <w:jc w:val="both"/>
      </w:pPr>
      <w:r w:rsidRPr="00FD0E15">
        <w:rPr>
          <w:rStyle w:val="Strong"/>
        </w:rPr>
        <w:t>Emerenciano, M., Martinez-Cordova, L. R., Martínez-Porchas, M., &amp; Miranda-Baeza, A. (2020).</w:t>
      </w:r>
      <w:r w:rsidRPr="00FD0E15">
        <w:t xml:space="preserve"> Biofloc technology: Operational procedures, challenges, and future perspectives. </w:t>
      </w:r>
      <w:r w:rsidRPr="00FD0E15">
        <w:rPr>
          <w:rStyle w:val="Emphasis"/>
        </w:rPr>
        <w:t>Aquaculture</w:t>
      </w:r>
      <w:r w:rsidRPr="00FD0E15">
        <w:t>, 526, 735743.</w:t>
      </w:r>
      <w:r w:rsidRPr="00FD0E15">
        <w:br/>
      </w:r>
      <w:hyperlink r:id="rId12" w:tgtFrame="_new" w:history="1">
        <w:r w:rsidRPr="00FD0E15">
          <w:rPr>
            <w:rStyle w:val="Hyperlink"/>
            <w:color w:val="auto"/>
            <w:u w:val="none"/>
          </w:rPr>
          <w:t>https://doi.org/10.1016/j.aquaculture.2020.735743</w:t>
        </w:r>
      </w:hyperlink>
    </w:p>
    <w:p w:rsidR="00FD0E15" w:rsidRPr="00FD0E15" w:rsidRDefault="00FD0E15" w:rsidP="00FD0E15">
      <w:pPr>
        <w:pStyle w:val="NormalWeb"/>
        <w:numPr>
          <w:ilvl w:val="0"/>
          <w:numId w:val="14"/>
        </w:numPr>
        <w:spacing w:before="0" w:beforeAutospacing="0" w:after="0" w:afterAutospacing="0"/>
        <w:jc w:val="both"/>
      </w:pPr>
      <w:r w:rsidRPr="00FD0E15">
        <w:rPr>
          <w:rStyle w:val="Strong"/>
        </w:rPr>
        <w:t>FAO. (2022).</w:t>
      </w:r>
      <w:r w:rsidRPr="00FD0E15">
        <w:t xml:space="preserve"> </w:t>
      </w:r>
      <w:r w:rsidRPr="00FD0E15">
        <w:rPr>
          <w:rStyle w:val="Emphasis"/>
        </w:rPr>
        <w:t>The State of World Fisheries and Aquaculture 2022</w:t>
      </w:r>
      <w:r w:rsidRPr="00FD0E15">
        <w:t>. Food and Agriculture Organization of the United Nations.</w:t>
      </w:r>
      <w:r w:rsidRPr="00FD0E15">
        <w:br/>
      </w:r>
      <w:hyperlink r:id="rId13" w:tgtFrame="_new" w:history="1">
        <w:r w:rsidRPr="00FD0E15">
          <w:rPr>
            <w:rStyle w:val="Hyperlink"/>
            <w:color w:val="auto"/>
            <w:u w:val="none"/>
          </w:rPr>
          <w:t>https://www.fao.org/3/cc0461en/cc0461en.pdf</w:t>
        </w:r>
      </w:hyperlink>
    </w:p>
    <w:p w:rsidR="00FD0E15" w:rsidRPr="00FD0E15" w:rsidRDefault="00FD0E15" w:rsidP="00FD0E15">
      <w:pPr>
        <w:pStyle w:val="NormalWeb"/>
        <w:numPr>
          <w:ilvl w:val="0"/>
          <w:numId w:val="14"/>
        </w:numPr>
        <w:spacing w:before="0" w:beforeAutospacing="0" w:after="0" w:afterAutospacing="0"/>
        <w:jc w:val="both"/>
      </w:pPr>
      <w:r w:rsidRPr="00FD0E15">
        <w:rPr>
          <w:rStyle w:val="Strong"/>
        </w:rPr>
        <w:t>Government of Chhattisgarh. (2023).</w:t>
      </w:r>
      <w:r w:rsidRPr="00FD0E15">
        <w:t xml:space="preserve"> </w:t>
      </w:r>
      <w:r w:rsidRPr="00FD0E15">
        <w:rPr>
          <w:rStyle w:val="Emphasis"/>
        </w:rPr>
        <w:t>Mukhyamantri Matsya Sampada Yojana Annual Report 2022–23</w:t>
      </w:r>
      <w:r w:rsidRPr="00FD0E15">
        <w:t>. Department of Fisheries, Government of Chhattisgarh.</w:t>
      </w:r>
      <w:r w:rsidRPr="00FD0E15">
        <w:br/>
        <w:t>https://fisheries.cg.gov.in/</w:t>
      </w:r>
    </w:p>
    <w:p w:rsidR="00FD0E15" w:rsidRPr="00FD0E15" w:rsidRDefault="00FD0E15" w:rsidP="00FD0E15">
      <w:pPr>
        <w:pStyle w:val="NormalWeb"/>
        <w:numPr>
          <w:ilvl w:val="0"/>
          <w:numId w:val="14"/>
        </w:numPr>
        <w:spacing w:before="0" w:beforeAutospacing="0" w:after="0" w:afterAutospacing="0"/>
        <w:jc w:val="both"/>
      </w:pPr>
      <w:r w:rsidRPr="00FD0E15">
        <w:rPr>
          <w:rStyle w:val="Strong"/>
        </w:rPr>
        <w:t>Government of Odisha. (2023).</w:t>
      </w:r>
      <w:r w:rsidRPr="00FD0E15">
        <w:t xml:space="preserve"> </w:t>
      </w:r>
      <w:r w:rsidRPr="00FD0E15">
        <w:rPr>
          <w:rStyle w:val="Emphasis"/>
        </w:rPr>
        <w:t>Status report on biofloc technology adoption under PMMSY</w:t>
      </w:r>
      <w:r w:rsidRPr="00FD0E15">
        <w:t>. Department of Fisheries, Government of Odisha.</w:t>
      </w:r>
      <w:r w:rsidRPr="00FD0E15">
        <w:br/>
        <w:t>https://fard.odisha.gov.in/</w:t>
      </w:r>
    </w:p>
    <w:p w:rsidR="00FD0E15" w:rsidRPr="00FD0E15" w:rsidRDefault="00FD0E15" w:rsidP="00FD0E15">
      <w:pPr>
        <w:pStyle w:val="NormalWeb"/>
        <w:numPr>
          <w:ilvl w:val="0"/>
          <w:numId w:val="14"/>
        </w:numPr>
        <w:spacing w:before="0" w:beforeAutospacing="0" w:after="0" w:afterAutospacing="0"/>
        <w:jc w:val="both"/>
      </w:pPr>
      <w:r w:rsidRPr="00FD0E15">
        <w:rPr>
          <w:rStyle w:val="Strong"/>
        </w:rPr>
        <w:t>Government of Uttar Pradesh. (2023).</w:t>
      </w:r>
      <w:r w:rsidRPr="00FD0E15">
        <w:t xml:space="preserve"> </w:t>
      </w:r>
      <w:r w:rsidRPr="00FD0E15">
        <w:rPr>
          <w:rStyle w:val="Emphasis"/>
        </w:rPr>
        <w:t>Rooftop Aquaculture and Biofloc Development Progress Report</w:t>
      </w:r>
      <w:r w:rsidRPr="00FD0E15">
        <w:t>. Department of Fisheries, Government of Uttar Pradesh.</w:t>
      </w:r>
      <w:r w:rsidRPr="00FD0E15">
        <w:br/>
        <w:t>https://fisheries.upsdc.gov.in/</w:t>
      </w:r>
    </w:p>
    <w:p w:rsidR="00FD0E15" w:rsidRPr="00FD0E15" w:rsidRDefault="00FD0E15" w:rsidP="00FD0E15">
      <w:pPr>
        <w:pStyle w:val="NormalWeb"/>
        <w:numPr>
          <w:ilvl w:val="0"/>
          <w:numId w:val="14"/>
        </w:numPr>
        <w:spacing w:before="0" w:beforeAutospacing="0" w:after="0" w:afterAutospacing="0"/>
        <w:jc w:val="both"/>
      </w:pPr>
      <w:r w:rsidRPr="00FD0E15">
        <w:rPr>
          <w:rStyle w:val="Strong"/>
        </w:rPr>
        <w:t>Hena, K., Sultana, R., Rahman, M. S., &amp; Wahab, M. A. (2021).</w:t>
      </w:r>
      <w:r w:rsidRPr="00FD0E15">
        <w:t xml:space="preserve"> Socio-economic and environmental implications of adopting biofloc systems by smallholder farmers. </w:t>
      </w:r>
      <w:r w:rsidRPr="00FD0E15">
        <w:rPr>
          <w:rStyle w:val="Emphasis"/>
        </w:rPr>
        <w:t>Aquaculture Reports</w:t>
      </w:r>
      <w:r w:rsidRPr="00FD0E15">
        <w:t>, 20, 100726.</w:t>
      </w:r>
    </w:p>
    <w:p w:rsidR="00FD0E15" w:rsidRPr="00FD0E15" w:rsidRDefault="00FD0E15" w:rsidP="00FD0E15">
      <w:pPr>
        <w:pStyle w:val="NormalWeb"/>
        <w:spacing w:before="0" w:beforeAutospacing="0" w:after="0" w:afterAutospacing="0"/>
        <w:ind w:left="720"/>
        <w:jc w:val="both"/>
      </w:pPr>
      <w:hyperlink r:id="rId14" w:tgtFrame="_new" w:history="1">
        <w:r w:rsidRPr="00FD0E15">
          <w:rPr>
            <w:rStyle w:val="Hyperlink"/>
            <w:color w:val="auto"/>
            <w:u w:val="none"/>
          </w:rPr>
          <w:t>https://doi.org/10.1016/j.aqrep.2021.100726</w:t>
        </w:r>
      </w:hyperlink>
    </w:p>
    <w:p w:rsidR="00FD0E15" w:rsidRPr="00FD0E15" w:rsidRDefault="00FD0E15" w:rsidP="00FD0E15">
      <w:pPr>
        <w:pStyle w:val="NormalWeb"/>
        <w:numPr>
          <w:ilvl w:val="0"/>
          <w:numId w:val="14"/>
        </w:numPr>
        <w:spacing w:before="0" w:beforeAutospacing="0" w:after="0" w:afterAutospacing="0"/>
        <w:jc w:val="both"/>
      </w:pPr>
      <w:r w:rsidRPr="00FD0E15">
        <w:rPr>
          <w:rStyle w:val="Strong"/>
        </w:rPr>
        <w:t>Ismail, M. M., Abou Waly, H. F., &amp; Abdel-Aleem, N. (2020).</w:t>
      </w:r>
      <w:r w:rsidRPr="00FD0E15">
        <w:t xml:space="preserve"> Effects of stocking density on the growth and physiological responses of Nile tilapia reared in biofloc systems. </w:t>
      </w:r>
      <w:r w:rsidRPr="00FD0E15">
        <w:rPr>
          <w:rStyle w:val="Emphasis"/>
        </w:rPr>
        <w:t>Aquaculture Nutrition</w:t>
      </w:r>
      <w:r w:rsidRPr="00FD0E15">
        <w:t>, 26(3), 786–796.</w:t>
      </w:r>
    </w:p>
    <w:p w:rsidR="00FD0E15" w:rsidRPr="00FD0E15" w:rsidRDefault="00FD0E15" w:rsidP="00FD0E15">
      <w:pPr>
        <w:pStyle w:val="NormalWeb"/>
        <w:spacing w:before="0" w:beforeAutospacing="0" w:after="0" w:afterAutospacing="0"/>
        <w:ind w:left="720"/>
        <w:jc w:val="both"/>
      </w:pPr>
      <w:hyperlink r:id="rId15" w:tgtFrame="_new" w:history="1">
        <w:r w:rsidRPr="00FD0E15">
          <w:rPr>
            <w:rStyle w:val="Hyperlink"/>
            <w:color w:val="auto"/>
            <w:u w:val="none"/>
          </w:rPr>
          <w:t>https://doi.org/10.1111/anu.13025</w:t>
        </w:r>
      </w:hyperlink>
    </w:p>
    <w:p w:rsidR="00FD0E15" w:rsidRPr="00FD0E15" w:rsidRDefault="00FD0E15" w:rsidP="00FD0E15">
      <w:pPr>
        <w:pStyle w:val="NormalWeb"/>
        <w:numPr>
          <w:ilvl w:val="0"/>
          <w:numId w:val="14"/>
        </w:numPr>
        <w:spacing w:before="0" w:beforeAutospacing="0" w:after="0" w:afterAutospacing="0"/>
        <w:jc w:val="both"/>
      </w:pPr>
      <w:r w:rsidRPr="00FD0E15">
        <w:rPr>
          <w:rStyle w:val="Strong"/>
        </w:rPr>
        <w:lastRenderedPageBreak/>
        <w:t>Jahan, H., Ahmed, N., &amp; Smith, G. (2023).</w:t>
      </w:r>
      <w:r w:rsidRPr="00FD0E15">
        <w:t xml:space="preserve"> Urban aquaculture sustainability and food system resilience. </w:t>
      </w:r>
      <w:r w:rsidRPr="00FD0E15">
        <w:rPr>
          <w:rStyle w:val="Emphasis"/>
        </w:rPr>
        <w:t>Journal of Cleaner Production</w:t>
      </w:r>
      <w:r w:rsidRPr="00FD0E15">
        <w:t>, 382, 135219.</w:t>
      </w:r>
      <w:r w:rsidRPr="00FD0E15">
        <w:br/>
      </w:r>
      <w:hyperlink r:id="rId16" w:tgtFrame="_new" w:history="1">
        <w:r w:rsidRPr="00FD0E15">
          <w:rPr>
            <w:rStyle w:val="Hyperlink"/>
            <w:color w:val="auto"/>
            <w:u w:val="none"/>
          </w:rPr>
          <w:t>https://doi.org/10.1016/j.jclepro.2022.135219</w:t>
        </w:r>
      </w:hyperlink>
    </w:p>
    <w:p w:rsidR="00FD0E15" w:rsidRPr="00FD0E15" w:rsidRDefault="00FD0E15" w:rsidP="00FD0E15">
      <w:pPr>
        <w:pStyle w:val="NormalWeb"/>
        <w:numPr>
          <w:ilvl w:val="0"/>
          <w:numId w:val="14"/>
        </w:numPr>
        <w:spacing w:before="0" w:beforeAutospacing="0" w:after="0" w:afterAutospacing="0"/>
        <w:jc w:val="both"/>
      </w:pPr>
      <w:r w:rsidRPr="00FD0E15">
        <w:rPr>
          <w:rStyle w:val="Strong"/>
        </w:rPr>
        <w:t>Kawarazuka, N., &amp; Béné, C. (2020).</w:t>
      </w:r>
      <w:r w:rsidRPr="00FD0E15">
        <w:t xml:space="preserve"> Fish as an essential source of nutrients in low-income urban settings. </w:t>
      </w:r>
      <w:r w:rsidRPr="00FD0E15">
        <w:rPr>
          <w:rStyle w:val="Emphasis"/>
        </w:rPr>
        <w:t>Food Policy</w:t>
      </w:r>
      <w:r w:rsidRPr="00FD0E15">
        <w:t>, 102, 101846.</w:t>
      </w:r>
    </w:p>
    <w:p w:rsidR="00FD0E15" w:rsidRPr="00FD0E15" w:rsidRDefault="00FD0E15" w:rsidP="00FD0E15">
      <w:pPr>
        <w:pStyle w:val="NormalWeb"/>
        <w:spacing w:before="0" w:beforeAutospacing="0" w:after="0" w:afterAutospacing="0"/>
        <w:ind w:left="720"/>
        <w:jc w:val="both"/>
      </w:pPr>
      <w:hyperlink r:id="rId17" w:tgtFrame="_new" w:history="1">
        <w:r w:rsidRPr="00FD0E15">
          <w:rPr>
            <w:rStyle w:val="Hyperlink"/>
            <w:color w:val="auto"/>
            <w:u w:val="none"/>
          </w:rPr>
          <w:t>https://doi.org/10.1016/j.foodpol.2020.101846</w:t>
        </w:r>
      </w:hyperlink>
    </w:p>
    <w:p w:rsidR="00FD0E15" w:rsidRPr="00FD0E15" w:rsidRDefault="00FD0E15" w:rsidP="00FD0E15">
      <w:pPr>
        <w:pStyle w:val="NormalWeb"/>
        <w:numPr>
          <w:ilvl w:val="0"/>
          <w:numId w:val="14"/>
        </w:numPr>
        <w:spacing w:before="0" w:beforeAutospacing="0" w:after="0" w:afterAutospacing="0"/>
        <w:jc w:val="both"/>
      </w:pPr>
      <w:r w:rsidRPr="00FD0E15">
        <w:rPr>
          <w:rStyle w:val="Strong"/>
        </w:rPr>
        <w:t>Kumar, R., Roy, S., &amp; Das, P. (2021).</w:t>
      </w:r>
      <w:r w:rsidRPr="00FD0E15">
        <w:t xml:space="preserve"> Carbon-to-nitrogen ratio optimization for microbial protein formation in biofloc systems. </w:t>
      </w:r>
      <w:r w:rsidRPr="00FD0E15">
        <w:rPr>
          <w:rStyle w:val="Emphasis"/>
        </w:rPr>
        <w:t>Aquaculture Research</w:t>
      </w:r>
      <w:r w:rsidRPr="00FD0E15">
        <w:t>, 52(10), 4883–4894.</w:t>
      </w:r>
      <w:r w:rsidRPr="00FD0E15">
        <w:br/>
      </w:r>
      <w:hyperlink r:id="rId18" w:tgtFrame="_new" w:history="1">
        <w:r w:rsidRPr="00FD0E15">
          <w:rPr>
            <w:rStyle w:val="Hyperlink"/>
            <w:color w:val="auto"/>
            <w:u w:val="none"/>
          </w:rPr>
          <w:t>https://doi.org/10.1111/are.15365</w:t>
        </w:r>
      </w:hyperlink>
    </w:p>
    <w:p w:rsidR="00FD0E15" w:rsidRPr="00FD0E15" w:rsidRDefault="00FD0E15" w:rsidP="00FD0E15">
      <w:pPr>
        <w:pStyle w:val="NormalWeb"/>
        <w:numPr>
          <w:ilvl w:val="0"/>
          <w:numId w:val="14"/>
        </w:numPr>
        <w:spacing w:before="0" w:beforeAutospacing="0" w:after="0" w:afterAutospacing="0"/>
        <w:jc w:val="both"/>
      </w:pPr>
      <w:r w:rsidRPr="00FD0E15">
        <w:rPr>
          <w:rStyle w:val="Strong"/>
        </w:rPr>
        <w:t>NABARD. (2022).</w:t>
      </w:r>
      <w:r w:rsidRPr="00FD0E15">
        <w:t xml:space="preserve"> </w:t>
      </w:r>
      <w:r w:rsidRPr="00FD0E15">
        <w:rPr>
          <w:rStyle w:val="Emphasis"/>
        </w:rPr>
        <w:t>Community-Based Biofloc Aquaculture Initiatives in Bihar: Annual Report</w:t>
      </w:r>
      <w:r w:rsidRPr="00FD0E15">
        <w:t>. National Bank for Agriculture and Rural Development.</w:t>
      </w:r>
      <w:r w:rsidRPr="00FD0E15">
        <w:br/>
        <w:t>https://www.nabard.org/</w:t>
      </w:r>
    </w:p>
    <w:p w:rsidR="00FD0E15" w:rsidRPr="00FD0E15" w:rsidRDefault="00FD0E15" w:rsidP="00FD0E15">
      <w:pPr>
        <w:pStyle w:val="NormalWeb"/>
        <w:numPr>
          <w:ilvl w:val="0"/>
          <w:numId w:val="14"/>
        </w:numPr>
        <w:spacing w:before="0" w:beforeAutospacing="0" w:after="0" w:afterAutospacing="0"/>
        <w:jc w:val="both"/>
      </w:pPr>
      <w:r w:rsidRPr="00FD0E15">
        <w:rPr>
          <w:rStyle w:val="Strong"/>
        </w:rPr>
        <w:t>Pal, A., &amp; Das, P. (2022).</w:t>
      </w:r>
      <w:r w:rsidRPr="00FD0E15">
        <w:t xml:space="preserve"> Biofloc-based aquaculture start-ups: Drivers, challenges, and livelihood opportunities in India. </w:t>
      </w:r>
      <w:r w:rsidRPr="00FD0E15">
        <w:rPr>
          <w:rStyle w:val="Emphasis"/>
        </w:rPr>
        <w:t>Aquaculture Economics &amp; Management</w:t>
      </w:r>
      <w:r w:rsidRPr="00FD0E15">
        <w:t>, 26(4), 439–457.</w:t>
      </w:r>
    </w:p>
    <w:p w:rsidR="00FD0E15" w:rsidRPr="00FD0E15" w:rsidRDefault="00FD0E15" w:rsidP="00FD0E15">
      <w:pPr>
        <w:pStyle w:val="NormalWeb"/>
        <w:spacing w:before="0" w:beforeAutospacing="0" w:after="0" w:afterAutospacing="0"/>
        <w:ind w:left="720"/>
        <w:jc w:val="both"/>
      </w:pPr>
      <w:hyperlink r:id="rId19" w:tgtFrame="_new" w:history="1">
        <w:r w:rsidRPr="00FD0E15">
          <w:rPr>
            <w:rStyle w:val="Hyperlink"/>
            <w:color w:val="auto"/>
            <w:u w:val="none"/>
          </w:rPr>
          <w:t>https://doi.org/10.1080/13657305.2021.1936820</w:t>
        </w:r>
      </w:hyperlink>
    </w:p>
    <w:p w:rsidR="00FD0E15" w:rsidRPr="00FD0E15" w:rsidRDefault="00FD0E15" w:rsidP="00FD0E15">
      <w:pPr>
        <w:pStyle w:val="NormalWeb"/>
        <w:numPr>
          <w:ilvl w:val="0"/>
          <w:numId w:val="14"/>
        </w:numPr>
        <w:spacing w:before="0" w:beforeAutospacing="0" w:after="0" w:afterAutospacing="0"/>
        <w:jc w:val="both"/>
      </w:pPr>
      <w:r w:rsidRPr="00FD0E15">
        <w:rPr>
          <w:rStyle w:val="Strong"/>
        </w:rPr>
        <w:t>Popma, T., Muller, F., &amp; Bosma, R. (2022).</w:t>
      </w:r>
      <w:r w:rsidRPr="00FD0E15">
        <w:t xml:space="preserve"> Integrating biofloc aquaculture with rooftop horticulture for circular urban food systems. </w:t>
      </w:r>
      <w:r w:rsidRPr="00FD0E15">
        <w:rPr>
          <w:rStyle w:val="Emphasis"/>
        </w:rPr>
        <w:t>Environmental Science &amp; Policy</w:t>
      </w:r>
      <w:r w:rsidRPr="00FD0E15">
        <w:t>, 132, 350–358.</w:t>
      </w:r>
    </w:p>
    <w:p w:rsidR="00FD0E15" w:rsidRPr="00FD0E15" w:rsidRDefault="00FD0E15" w:rsidP="00FD0E15">
      <w:pPr>
        <w:pStyle w:val="NormalWeb"/>
        <w:spacing w:before="0" w:beforeAutospacing="0" w:after="0" w:afterAutospacing="0"/>
        <w:ind w:left="720"/>
        <w:jc w:val="both"/>
      </w:pPr>
      <w:hyperlink r:id="rId20" w:tgtFrame="_new" w:history="1">
        <w:r w:rsidRPr="00FD0E15">
          <w:rPr>
            <w:rStyle w:val="Hyperlink"/>
            <w:color w:val="auto"/>
            <w:u w:val="none"/>
          </w:rPr>
          <w:t>https://doi.org/10.1016/j.envsci.2022.01.013</w:t>
        </w:r>
      </w:hyperlink>
    </w:p>
    <w:p w:rsidR="00FD0E15" w:rsidRPr="00FD0E15" w:rsidRDefault="00FD0E15" w:rsidP="00FD0E15">
      <w:pPr>
        <w:pStyle w:val="NormalWeb"/>
        <w:numPr>
          <w:ilvl w:val="0"/>
          <w:numId w:val="14"/>
        </w:numPr>
        <w:spacing w:before="0" w:beforeAutospacing="0" w:after="0" w:afterAutospacing="0"/>
        <w:jc w:val="both"/>
      </w:pPr>
      <w:r w:rsidRPr="00FD0E15">
        <w:rPr>
          <w:rStyle w:val="Strong"/>
        </w:rPr>
        <w:t>Ray, A. J., Dillon, K. S., &amp; Lotz, J. M. (2010).</w:t>
      </w:r>
      <w:r w:rsidRPr="00FD0E15">
        <w:t xml:space="preserve"> Water quality dynamics in low-water-exchange biofloc systems. </w:t>
      </w:r>
      <w:r w:rsidRPr="00FD0E15">
        <w:rPr>
          <w:rStyle w:val="Emphasis"/>
        </w:rPr>
        <w:t>Aquacultural Engineering</w:t>
      </w:r>
      <w:r w:rsidRPr="00FD0E15">
        <w:t>, 42(3), 62–69.</w:t>
      </w:r>
      <w:r w:rsidRPr="00FD0E15">
        <w:br/>
        <w:t>https://doi.org/10.1016/j.aquaeng.2009.12.003</w:t>
      </w:r>
    </w:p>
    <w:p w:rsidR="00FD0E15" w:rsidRPr="00FD0E15" w:rsidRDefault="00FD0E15" w:rsidP="00FD0E15">
      <w:pPr>
        <w:pStyle w:val="NormalWeb"/>
        <w:numPr>
          <w:ilvl w:val="0"/>
          <w:numId w:val="14"/>
        </w:numPr>
        <w:spacing w:before="0" w:beforeAutospacing="0" w:after="0" w:afterAutospacing="0"/>
        <w:jc w:val="both"/>
      </w:pPr>
      <w:r w:rsidRPr="00FD0E15">
        <w:rPr>
          <w:rStyle w:val="Strong"/>
        </w:rPr>
        <w:t>Verma, A. K., Gupta, S., Prakash, C., &amp; Rathore, G. (2019).</w:t>
      </w:r>
      <w:r w:rsidRPr="00FD0E15">
        <w:t xml:space="preserve"> Functional microbial roles in biofloc ecosystems. </w:t>
      </w:r>
      <w:r w:rsidRPr="00FD0E15">
        <w:rPr>
          <w:rStyle w:val="Emphasis"/>
        </w:rPr>
        <w:t>Fish &amp; Shellfish Immunology</w:t>
      </w:r>
      <w:r w:rsidRPr="00FD0E15">
        <w:t>, 91, 442–453.</w:t>
      </w:r>
      <w:r w:rsidRPr="00FD0E15">
        <w:br/>
      </w:r>
      <w:hyperlink r:id="rId21" w:tgtFrame="_new" w:history="1">
        <w:r w:rsidRPr="00FD0E15">
          <w:rPr>
            <w:rStyle w:val="Hyperlink"/>
            <w:color w:val="auto"/>
            <w:u w:val="none"/>
          </w:rPr>
          <w:t>https://doi.org/10.1016/j.fsi.2019.05.055</w:t>
        </w:r>
      </w:hyperlink>
    </w:p>
    <w:p w:rsidR="000C3B0C" w:rsidRPr="007832C0" w:rsidRDefault="000C3B0C" w:rsidP="00FD0E15">
      <w:pPr>
        <w:pStyle w:val="NormalWeb"/>
        <w:spacing w:before="0" w:beforeAutospacing="0" w:after="0" w:afterAutospacing="0" w:line="360" w:lineRule="auto"/>
        <w:ind w:left="720"/>
        <w:jc w:val="both"/>
      </w:pPr>
    </w:p>
    <w:sectPr w:rsidR="000C3B0C" w:rsidRPr="007832C0" w:rsidSect="00034616">
      <w:headerReference w:type="even" r:id="rId22"/>
      <w:headerReference w:type="default" r:id="rId23"/>
      <w:footerReference w:type="even" r:id="rId24"/>
      <w:footerReference w:type="default" r:id="rId25"/>
      <w:headerReference w:type="first" r:id="rId26"/>
      <w:footerReference w:type="first" r:id="rId2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1D8" w:rsidRDefault="005D71D8" w:rsidP="006B3256">
      <w:pPr>
        <w:spacing w:after="0" w:line="240" w:lineRule="auto"/>
      </w:pPr>
      <w:r>
        <w:separator/>
      </w:r>
    </w:p>
  </w:endnote>
  <w:endnote w:type="continuationSeparator" w:id="1">
    <w:p w:rsidR="005D71D8" w:rsidRDefault="005D71D8" w:rsidP="006B32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D2" w:rsidRDefault="00BC1E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D2" w:rsidRDefault="00BC1E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D2" w:rsidRDefault="00BC1E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1D8" w:rsidRDefault="005D71D8" w:rsidP="006B3256">
      <w:pPr>
        <w:spacing w:after="0" w:line="240" w:lineRule="auto"/>
      </w:pPr>
      <w:r>
        <w:separator/>
      </w:r>
    </w:p>
  </w:footnote>
  <w:footnote w:type="continuationSeparator" w:id="1">
    <w:p w:rsidR="005D71D8" w:rsidRDefault="005D71D8" w:rsidP="006B32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D2" w:rsidRDefault="00BC1E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64813"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D2" w:rsidRDefault="00BC1E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64814"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D2" w:rsidRDefault="00BC1E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64812"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CAE1A77"/>
    <w:multiLevelType w:val="multilevel"/>
    <w:tmpl w:val="E780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C73FA2"/>
    <w:multiLevelType w:val="hybridMultilevel"/>
    <w:tmpl w:val="BFB65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4DD02BF"/>
    <w:multiLevelType w:val="hybridMultilevel"/>
    <w:tmpl w:val="194AA2A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952264"/>
    <w:multiLevelType w:val="multilevel"/>
    <w:tmpl w:val="26A2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77241B"/>
    <w:multiLevelType w:val="multilevel"/>
    <w:tmpl w:val="C76E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B47730"/>
    <w:rsid w:val="00034616"/>
    <w:rsid w:val="0006063C"/>
    <w:rsid w:val="0009568B"/>
    <w:rsid w:val="000C3B0C"/>
    <w:rsid w:val="0013442D"/>
    <w:rsid w:val="0015074B"/>
    <w:rsid w:val="002432E5"/>
    <w:rsid w:val="0026375A"/>
    <w:rsid w:val="0029639D"/>
    <w:rsid w:val="00326F90"/>
    <w:rsid w:val="003B7726"/>
    <w:rsid w:val="003E500D"/>
    <w:rsid w:val="0042189F"/>
    <w:rsid w:val="00446938"/>
    <w:rsid w:val="004D3A78"/>
    <w:rsid w:val="00526ABA"/>
    <w:rsid w:val="00527778"/>
    <w:rsid w:val="005D71D8"/>
    <w:rsid w:val="005E6B9F"/>
    <w:rsid w:val="00602D8E"/>
    <w:rsid w:val="006B3256"/>
    <w:rsid w:val="006E6289"/>
    <w:rsid w:val="00712365"/>
    <w:rsid w:val="007832C0"/>
    <w:rsid w:val="0083435C"/>
    <w:rsid w:val="00861161"/>
    <w:rsid w:val="009B62A5"/>
    <w:rsid w:val="009D5953"/>
    <w:rsid w:val="00AA1D8D"/>
    <w:rsid w:val="00AF057E"/>
    <w:rsid w:val="00B47730"/>
    <w:rsid w:val="00BB3FC7"/>
    <w:rsid w:val="00BC1ED2"/>
    <w:rsid w:val="00BE4CC3"/>
    <w:rsid w:val="00BE6F42"/>
    <w:rsid w:val="00CB0664"/>
    <w:rsid w:val="00CE7A77"/>
    <w:rsid w:val="00D12322"/>
    <w:rsid w:val="00D5219A"/>
    <w:rsid w:val="00D70112"/>
    <w:rsid w:val="00DA3FCD"/>
    <w:rsid w:val="00FC693F"/>
    <w:rsid w:val="00FD0E1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B62A5"/>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rsid w:val="006B3256"/>
    <w:rPr>
      <w:color w:val="0000FF"/>
      <w:u w:val="single"/>
    </w:rPr>
  </w:style>
  <w:style w:type="paragraph" w:styleId="BalloonText">
    <w:name w:val="Balloon Text"/>
    <w:basedOn w:val="Normal"/>
    <w:link w:val="BalloonTextChar"/>
    <w:uiPriority w:val="99"/>
    <w:semiHidden/>
    <w:unhideWhenUsed/>
    <w:rsid w:val="00BB3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FC7"/>
    <w:rPr>
      <w:rFonts w:ascii="Tahoma" w:hAnsi="Tahoma" w:cs="Tahoma"/>
      <w:sz w:val="16"/>
      <w:szCs w:val="16"/>
    </w:rPr>
  </w:style>
  <w:style w:type="character" w:customStyle="1" w:styleId="UnresolvedMention">
    <w:name w:val="Unresolved Mention"/>
    <w:basedOn w:val="DefaultParagraphFont"/>
    <w:uiPriority w:val="99"/>
    <w:semiHidden/>
    <w:unhideWhenUsed/>
    <w:rsid w:val="00602D8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3961083">
      <w:bodyDiv w:val="1"/>
      <w:marLeft w:val="0"/>
      <w:marRight w:val="0"/>
      <w:marTop w:val="0"/>
      <w:marBottom w:val="0"/>
      <w:divBdr>
        <w:top w:val="none" w:sz="0" w:space="0" w:color="auto"/>
        <w:left w:val="none" w:sz="0" w:space="0" w:color="auto"/>
        <w:bottom w:val="none" w:sz="0" w:space="0" w:color="auto"/>
        <w:right w:val="none" w:sz="0" w:space="0" w:color="auto"/>
      </w:divBdr>
    </w:div>
    <w:div w:id="677384725">
      <w:bodyDiv w:val="1"/>
      <w:marLeft w:val="0"/>
      <w:marRight w:val="0"/>
      <w:marTop w:val="0"/>
      <w:marBottom w:val="0"/>
      <w:divBdr>
        <w:top w:val="none" w:sz="0" w:space="0" w:color="auto"/>
        <w:left w:val="none" w:sz="0" w:space="0" w:color="auto"/>
        <w:bottom w:val="none" w:sz="0" w:space="0" w:color="auto"/>
        <w:right w:val="none" w:sz="0" w:space="0" w:color="auto"/>
      </w:divBdr>
    </w:div>
    <w:div w:id="915749154">
      <w:bodyDiv w:val="1"/>
      <w:marLeft w:val="0"/>
      <w:marRight w:val="0"/>
      <w:marTop w:val="0"/>
      <w:marBottom w:val="0"/>
      <w:divBdr>
        <w:top w:val="none" w:sz="0" w:space="0" w:color="auto"/>
        <w:left w:val="none" w:sz="0" w:space="0" w:color="auto"/>
        <w:bottom w:val="none" w:sz="0" w:space="0" w:color="auto"/>
        <w:right w:val="none" w:sz="0" w:space="0" w:color="auto"/>
      </w:divBdr>
    </w:div>
    <w:div w:id="1087964041">
      <w:bodyDiv w:val="1"/>
      <w:marLeft w:val="0"/>
      <w:marRight w:val="0"/>
      <w:marTop w:val="0"/>
      <w:marBottom w:val="0"/>
      <w:divBdr>
        <w:top w:val="none" w:sz="0" w:space="0" w:color="auto"/>
        <w:left w:val="none" w:sz="0" w:space="0" w:color="auto"/>
        <w:bottom w:val="none" w:sz="0" w:space="0" w:color="auto"/>
        <w:right w:val="none" w:sz="0" w:space="0" w:color="auto"/>
      </w:divBdr>
    </w:div>
    <w:div w:id="1175537076">
      <w:bodyDiv w:val="1"/>
      <w:marLeft w:val="0"/>
      <w:marRight w:val="0"/>
      <w:marTop w:val="0"/>
      <w:marBottom w:val="0"/>
      <w:divBdr>
        <w:top w:val="none" w:sz="0" w:space="0" w:color="auto"/>
        <w:left w:val="none" w:sz="0" w:space="0" w:color="auto"/>
        <w:bottom w:val="none" w:sz="0" w:space="0" w:color="auto"/>
        <w:right w:val="none" w:sz="0" w:space="0" w:color="auto"/>
      </w:divBdr>
    </w:div>
    <w:div w:id="1217163211">
      <w:bodyDiv w:val="1"/>
      <w:marLeft w:val="0"/>
      <w:marRight w:val="0"/>
      <w:marTop w:val="0"/>
      <w:marBottom w:val="0"/>
      <w:divBdr>
        <w:top w:val="none" w:sz="0" w:space="0" w:color="auto"/>
        <w:left w:val="none" w:sz="0" w:space="0" w:color="auto"/>
        <w:bottom w:val="none" w:sz="0" w:space="0" w:color="auto"/>
        <w:right w:val="none" w:sz="0" w:space="0" w:color="auto"/>
      </w:divBdr>
    </w:div>
    <w:div w:id="1668939831">
      <w:bodyDiv w:val="1"/>
      <w:marLeft w:val="0"/>
      <w:marRight w:val="0"/>
      <w:marTop w:val="0"/>
      <w:marBottom w:val="0"/>
      <w:divBdr>
        <w:top w:val="none" w:sz="0" w:space="0" w:color="auto"/>
        <w:left w:val="none" w:sz="0" w:space="0" w:color="auto"/>
        <w:bottom w:val="none" w:sz="0" w:space="0" w:color="auto"/>
        <w:right w:val="none" w:sz="0" w:space="0" w:color="auto"/>
      </w:divBdr>
    </w:div>
    <w:div w:id="1899002992">
      <w:bodyDiv w:val="1"/>
      <w:marLeft w:val="0"/>
      <w:marRight w:val="0"/>
      <w:marTop w:val="0"/>
      <w:marBottom w:val="0"/>
      <w:divBdr>
        <w:top w:val="none" w:sz="0" w:space="0" w:color="auto"/>
        <w:left w:val="none" w:sz="0" w:space="0" w:color="auto"/>
        <w:bottom w:val="none" w:sz="0" w:space="0" w:color="auto"/>
        <w:right w:val="none" w:sz="0" w:space="0" w:color="auto"/>
      </w:divBdr>
    </w:div>
    <w:div w:id="2019690886">
      <w:bodyDiv w:val="1"/>
      <w:marLeft w:val="0"/>
      <w:marRight w:val="0"/>
      <w:marTop w:val="0"/>
      <w:marBottom w:val="0"/>
      <w:divBdr>
        <w:top w:val="none" w:sz="0" w:space="0" w:color="auto"/>
        <w:left w:val="none" w:sz="0" w:space="0" w:color="auto"/>
        <w:bottom w:val="none" w:sz="0" w:space="0" w:color="auto"/>
        <w:right w:val="none" w:sz="0" w:space="0" w:color="auto"/>
      </w:divBdr>
      <w:divsChild>
        <w:div w:id="450822844">
          <w:marLeft w:val="0"/>
          <w:marRight w:val="0"/>
          <w:marTop w:val="0"/>
          <w:marBottom w:val="0"/>
          <w:divBdr>
            <w:top w:val="none" w:sz="0" w:space="0" w:color="auto"/>
            <w:left w:val="none" w:sz="0" w:space="0" w:color="auto"/>
            <w:bottom w:val="none" w:sz="0" w:space="0" w:color="auto"/>
            <w:right w:val="none" w:sz="0" w:space="0" w:color="auto"/>
          </w:divBdr>
          <w:divsChild>
            <w:div w:id="1800145067">
              <w:marLeft w:val="0"/>
              <w:marRight w:val="0"/>
              <w:marTop w:val="0"/>
              <w:marBottom w:val="0"/>
              <w:divBdr>
                <w:top w:val="none" w:sz="0" w:space="0" w:color="auto"/>
                <w:left w:val="none" w:sz="0" w:space="0" w:color="auto"/>
                <w:bottom w:val="none" w:sz="0" w:space="0" w:color="auto"/>
                <w:right w:val="none" w:sz="0" w:space="0" w:color="auto"/>
              </w:divBdr>
            </w:div>
          </w:divsChild>
        </w:div>
        <w:div w:id="1629047116">
          <w:marLeft w:val="0"/>
          <w:marRight w:val="0"/>
          <w:marTop w:val="0"/>
          <w:marBottom w:val="0"/>
          <w:divBdr>
            <w:top w:val="none" w:sz="0" w:space="0" w:color="auto"/>
            <w:left w:val="none" w:sz="0" w:space="0" w:color="auto"/>
            <w:bottom w:val="none" w:sz="0" w:space="0" w:color="auto"/>
            <w:right w:val="none" w:sz="0" w:space="0" w:color="auto"/>
          </w:divBdr>
          <w:divsChild>
            <w:div w:id="133117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507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o.org/3/cc0461en/cc0461en.pdf" TargetMode="External"/><Relationship Id="rId18" Type="http://schemas.openxmlformats.org/officeDocument/2006/relationships/hyperlink" Target="https://doi.org/10.1111/are.15365"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16/j.fsi.2019.05.055" TargetMode="External"/><Relationship Id="rId7" Type="http://schemas.openxmlformats.org/officeDocument/2006/relationships/endnotes" Target="endnotes.xml"/><Relationship Id="rId12" Type="http://schemas.openxmlformats.org/officeDocument/2006/relationships/hyperlink" Target="https://doi.org/10.1016/j.aquaculture.2020.735743" TargetMode="External"/><Relationship Id="rId17" Type="http://schemas.openxmlformats.org/officeDocument/2006/relationships/hyperlink" Target="https://doi.org/10.1016/j.foodpol.2020.101846"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jclepro.2022.135219" TargetMode="External"/><Relationship Id="rId20" Type="http://schemas.openxmlformats.org/officeDocument/2006/relationships/hyperlink" Target="https://doi.org/10.1016/j.envsci.2022.01.0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quaculture.2012.04.04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11/anu.1302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11/raq.12448" TargetMode="External"/><Relationship Id="rId19" Type="http://schemas.openxmlformats.org/officeDocument/2006/relationships/hyperlink" Target="https://doi.org/10.1080/13657305.2021.1936820" TargetMode="External"/><Relationship Id="rId4" Type="http://schemas.openxmlformats.org/officeDocument/2006/relationships/settings" Target="settings.xml"/><Relationship Id="rId9" Type="http://schemas.openxmlformats.org/officeDocument/2006/relationships/hyperlink" Target="https://doi.org/10.1007/s10499-020-00629-9" TargetMode="External"/><Relationship Id="rId14" Type="http://schemas.openxmlformats.org/officeDocument/2006/relationships/hyperlink" Target="https://doi.org/10.1016/j.aqrep.2021.10072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B11C4-B6B7-4C25-88D5-364EEE4C2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17</Pages>
  <Words>5447</Words>
  <Characters>31050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36425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14</cp:revision>
  <dcterms:created xsi:type="dcterms:W3CDTF">2013-12-23T23:15:00Z</dcterms:created>
  <dcterms:modified xsi:type="dcterms:W3CDTF">2025-10-24T08:09:00Z</dcterms:modified>
  <cp:category/>
</cp:coreProperties>
</file>