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1930B" w14:textId="77777777" w:rsidR="009A33E0" w:rsidRPr="009A33E0" w:rsidRDefault="009A33E0" w:rsidP="009A33E0">
      <w:pPr>
        <w:spacing w:line="360" w:lineRule="auto"/>
        <w:ind w:left="720"/>
        <w:jc w:val="right"/>
        <w:rPr>
          <w:rFonts w:ascii="Arial" w:hAnsi="Arial" w:cs="Arial"/>
          <w:b/>
          <w:bCs/>
          <w:i/>
          <w:iCs/>
          <w:sz w:val="32"/>
          <w:szCs w:val="36"/>
          <w:u w:val="single"/>
        </w:rPr>
      </w:pPr>
      <w:r w:rsidRPr="009A33E0">
        <w:rPr>
          <w:rFonts w:ascii="Arial" w:hAnsi="Arial" w:cs="Arial"/>
          <w:b/>
          <w:bCs/>
          <w:i/>
          <w:iCs/>
          <w:sz w:val="32"/>
          <w:szCs w:val="36"/>
          <w:u w:val="single"/>
        </w:rPr>
        <w:t>Original Research Article</w:t>
      </w:r>
    </w:p>
    <w:p w14:paraId="277B8129" w14:textId="77777777" w:rsidR="00627A19" w:rsidRPr="00595642" w:rsidRDefault="00627A19" w:rsidP="00627A19">
      <w:pPr>
        <w:spacing w:line="360" w:lineRule="auto"/>
        <w:ind w:left="720"/>
        <w:jc w:val="right"/>
        <w:rPr>
          <w:rFonts w:ascii="Arial" w:hAnsi="Arial" w:cs="Arial"/>
          <w:b/>
          <w:bCs/>
          <w:sz w:val="32"/>
          <w:szCs w:val="36"/>
        </w:rPr>
      </w:pPr>
      <w:r w:rsidRPr="00595642">
        <w:rPr>
          <w:rFonts w:ascii="Arial" w:hAnsi="Arial" w:cs="Arial"/>
          <w:b/>
          <w:bCs/>
          <w:sz w:val="32"/>
          <w:szCs w:val="36"/>
        </w:rPr>
        <w:t xml:space="preserve">Exploring Antimicrobial Efficacy and Enzymatic Versatility of a Novel </w:t>
      </w:r>
      <w:r w:rsidRPr="00595642">
        <w:rPr>
          <w:rFonts w:ascii="Arial" w:hAnsi="Arial" w:cs="Arial"/>
          <w:b/>
          <w:bCs/>
          <w:i/>
          <w:iCs/>
          <w:sz w:val="32"/>
          <w:szCs w:val="36"/>
        </w:rPr>
        <w:t>Nocardiopsis</w:t>
      </w:r>
      <w:r w:rsidRPr="00595642">
        <w:rPr>
          <w:rFonts w:ascii="Arial" w:hAnsi="Arial" w:cs="Arial"/>
          <w:b/>
          <w:bCs/>
          <w:sz w:val="32"/>
          <w:szCs w:val="36"/>
        </w:rPr>
        <w:t xml:space="preserve"> sp. RB8 Strain.</w:t>
      </w:r>
    </w:p>
    <w:p w14:paraId="323BC47D" w14:textId="4A55797F" w:rsidR="008A183E" w:rsidRPr="00961F10" w:rsidRDefault="008A183E" w:rsidP="008A183E">
      <w:pPr>
        <w:pStyle w:val="ListParagraph"/>
        <w:spacing w:line="360" w:lineRule="auto"/>
        <w:ind w:left="1260"/>
        <w:rPr>
          <w:rFonts w:ascii="Arial" w:hAnsi="Arial" w:cs="Arial"/>
          <w:i/>
          <w:iCs/>
        </w:rPr>
      </w:pPr>
    </w:p>
    <w:p w14:paraId="07C52C29" w14:textId="77777777" w:rsidR="008A183E" w:rsidRPr="00961F10" w:rsidRDefault="008A183E" w:rsidP="006A4D82">
      <w:pPr>
        <w:pStyle w:val="ListParagraph"/>
        <w:spacing w:line="360" w:lineRule="auto"/>
        <w:ind w:left="1260"/>
        <w:rPr>
          <w:rFonts w:ascii="Arial" w:hAnsi="Arial" w:cs="Arial"/>
          <w:i/>
          <w:iCs/>
        </w:rPr>
      </w:pPr>
    </w:p>
    <w:p w14:paraId="607A48DD" w14:textId="77777777" w:rsidR="006A4D82" w:rsidRDefault="006A4D82" w:rsidP="006A4D82">
      <w:pPr>
        <w:jc w:val="right"/>
        <w:rPr>
          <w:rFonts w:ascii="Arial" w:hAnsi="Arial" w:cs="Arial"/>
        </w:rPr>
      </w:pPr>
    </w:p>
    <w:p w14:paraId="0A467831" w14:textId="77777777" w:rsidR="00595642" w:rsidRDefault="00595642" w:rsidP="00627A19">
      <w:pPr>
        <w:jc w:val="right"/>
        <w:rPr>
          <w:rFonts w:ascii="Arial" w:hAnsi="Arial" w:cs="Arial"/>
        </w:rPr>
      </w:pPr>
    </w:p>
    <w:p w14:paraId="341FD2E9" w14:textId="09EF2A72" w:rsidR="00595642" w:rsidRPr="00595642" w:rsidRDefault="00595642" w:rsidP="00C044B8">
      <w:pPr>
        <w:spacing w:line="360" w:lineRule="auto"/>
        <w:jc w:val="both"/>
        <w:rPr>
          <w:rFonts w:ascii="Arial" w:hAnsi="Arial" w:cs="Arial"/>
          <w:b/>
          <w:bCs/>
          <w:sz w:val="22"/>
          <w:szCs w:val="24"/>
        </w:rPr>
      </w:pPr>
      <w:r w:rsidRPr="00595642">
        <w:rPr>
          <w:rFonts w:ascii="Arial" w:hAnsi="Arial" w:cs="Arial"/>
          <w:b/>
          <w:bCs/>
          <w:sz w:val="22"/>
          <w:szCs w:val="24"/>
        </w:rPr>
        <w:t>ABSTRACT</w:t>
      </w:r>
    </w:p>
    <w:p w14:paraId="43EB1527" w14:textId="1E220C93" w:rsidR="00595642" w:rsidRPr="00595642" w:rsidRDefault="00595642" w:rsidP="00C044B8">
      <w:pPr>
        <w:spacing w:line="360" w:lineRule="auto"/>
        <w:jc w:val="both"/>
        <w:rPr>
          <w:rFonts w:ascii="Arial" w:hAnsi="Arial" w:cs="Arial"/>
          <w:sz w:val="22"/>
          <w:szCs w:val="24"/>
        </w:rPr>
      </w:pPr>
      <w:r w:rsidRPr="00595642">
        <w:rPr>
          <w:rFonts w:ascii="Arial" w:hAnsi="Arial" w:cs="Arial"/>
          <w:sz w:val="22"/>
          <w:szCs w:val="24"/>
        </w:rPr>
        <w:t>Actinomycetes are well</w:t>
      </w:r>
      <w:r w:rsidR="00F26BA9">
        <w:rPr>
          <w:rFonts w:ascii="Arial" w:hAnsi="Arial" w:cs="Arial"/>
          <w:sz w:val="22"/>
          <w:szCs w:val="24"/>
        </w:rPr>
        <w:t xml:space="preserve"> </w:t>
      </w:r>
      <w:r w:rsidRPr="00595642">
        <w:rPr>
          <w:rFonts w:ascii="Arial" w:hAnsi="Arial" w:cs="Arial"/>
          <w:sz w:val="22"/>
          <w:szCs w:val="24"/>
        </w:rPr>
        <w:t xml:space="preserve">recognized for their ability to produce biologically active compounds and industrially important enzymes. </w:t>
      </w:r>
      <w:r w:rsidRPr="00595642">
        <w:rPr>
          <w:rFonts w:ascii="Arial" w:hAnsi="Arial" w:cs="Arial"/>
          <w:i/>
          <w:iCs/>
          <w:sz w:val="22"/>
          <w:szCs w:val="24"/>
        </w:rPr>
        <w:t>Nocardiopsis</w:t>
      </w:r>
      <w:r w:rsidRPr="00595642">
        <w:rPr>
          <w:rFonts w:ascii="Arial" w:hAnsi="Arial" w:cs="Arial"/>
          <w:sz w:val="22"/>
          <w:szCs w:val="24"/>
        </w:rPr>
        <w:t> species are notable actinomycetes recognized for their ability to produce diverse bioactive metabolites and enzymes. In this study, a slow-growing actinomycete strain, designated </w:t>
      </w:r>
      <w:r w:rsidRPr="00595642">
        <w:rPr>
          <w:rFonts w:ascii="Arial" w:hAnsi="Arial" w:cs="Arial"/>
          <w:i/>
          <w:iCs/>
          <w:sz w:val="22"/>
          <w:szCs w:val="24"/>
        </w:rPr>
        <w:t>Nocardiopsis</w:t>
      </w:r>
      <w:r w:rsidRPr="00595642">
        <w:rPr>
          <w:rFonts w:ascii="Arial" w:hAnsi="Arial" w:cs="Arial"/>
          <w:sz w:val="22"/>
          <w:szCs w:val="24"/>
        </w:rPr>
        <w:t> sp. RB8, was isolated and characterized using phenotypic, biochemical, and molecular approaches. The strain exhibited distinct cultural and morphological features and demonstrated the ability to produce multiple hydrolytic enzymes, along with antimicrobial activity against selected bacterial and fungal pathogens. Antibiotic susceptibility profiling indicated sensitivity to several clinically relevant antibiotics while showing resistance to β-lactam agents. Molecular analysis of the 16S rRNA gene revealed sequence similarity values below the threshold for species-level identification, suggesting that strain RB8 may represent a novel species within the genus </w:t>
      </w:r>
      <w:r w:rsidRPr="00595642">
        <w:rPr>
          <w:rFonts w:ascii="Arial" w:hAnsi="Arial" w:cs="Arial"/>
          <w:i/>
          <w:iCs/>
          <w:sz w:val="22"/>
          <w:szCs w:val="24"/>
        </w:rPr>
        <w:t>Nocardiopsis</w:t>
      </w:r>
      <w:r w:rsidRPr="00595642">
        <w:rPr>
          <w:rFonts w:ascii="Arial" w:hAnsi="Arial" w:cs="Arial"/>
          <w:sz w:val="22"/>
          <w:szCs w:val="24"/>
        </w:rPr>
        <w:t>. </w:t>
      </w:r>
      <w:r w:rsidR="002A49B0" w:rsidRPr="00CA7016">
        <w:rPr>
          <w:rFonts w:ascii="Arial" w:hAnsi="Arial" w:cs="Arial"/>
          <w:sz w:val="22"/>
          <w:szCs w:val="24"/>
          <w:highlight w:val="yellow"/>
        </w:rPr>
        <w:t xml:space="preserve">In conclusion, the present study demonstrates that </w:t>
      </w:r>
      <w:r w:rsidR="002A49B0" w:rsidRPr="00CA7016">
        <w:rPr>
          <w:rFonts w:ascii="Arial" w:hAnsi="Arial" w:cs="Arial"/>
          <w:i/>
          <w:iCs/>
          <w:sz w:val="22"/>
          <w:szCs w:val="24"/>
          <w:highlight w:val="yellow"/>
        </w:rPr>
        <w:t>Nocardiopsis</w:t>
      </w:r>
      <w:r w:rsidR="002A49B0" w:rsidRPr="00CA7016">
        <w:rPr>
          <w:rFonts w:ascii="Arial" w:hAnsi="Arial" w:cs="Arial"/>
          <w:sz w:val="22"/>
          <w:szCs w:val="24"/>
          <w:highlight w:val="yellow"/>
        </w:rPr>
        <w:t xml:space="preserve"> sp. RB8 possesses significant potential for natural product discovery and industrial enzyme production. These promising attributes warrant further comprehensive genomic and metabolic analysis to confirm the strain’s novelty and to fully elucidate its biotechnological value.</w:t>
      </w:r>
    </w:p>
    <w:p w14:paraId="168A6CAA" w14:textId="70E81A80" w:rsidR="00595642" w:rsidRPr="00595642" w:rsidRDefault="00595642" w:rsidP="00C044B8">
      <w:pPr>
        <w:spacing w:line="360" w:lineRule="auto"/>
        <w:jc w:val="both"/>
        <w:rPr>
          <w:rFonts w:ascii="Arial" w:hAnsi="Arial" w:cs="Arial"/>
          <w:sz w:val="20"/>
          <w:szCs w:val="22"/>
        </w:rPr>
      </w:pPr>
      <w:r w:rsidRPr="00595642">
        <w:rPr>
          <w:rFonts w:ascii="Arial" w:hAnsi="Arial" w:cs="Arial"/>
          <w:b/>
          <w:bCs/>
          <w:sz w:val="20"/>
          <w:szCs w:val="22"/>
        </w:rPr>
        <w:t xml:space="preserve">Key words </w:t>
      </w:r>
      <w:r w:rsidRPr="00595642">
        <w:rPr>
          <w:rFonts w:ascii="Arial" w:hAnsi="Arial" w:cs="Arial"/>
          <w:sz w:val="20"/>
          <w:szCs w:val="22"/>
        </w:rPr>
        <w:t>Actinomycetes,</w:t>
      </w:r>
      <w:r w:rsidR="00531216">
        <w:rPr>
          <w:rFonts w:ascii="Arial" w:hAnsi="Arial" w:cs="Arial"/>
          <w:sz w:val="20"/>
          <w:szCs w:val="22"/>
        </w:rPr>
        <w:t xml:space="preserve"> pigments</w:t>
      </w:r>
      <w:r w:rsidRPr="00595642">
        <w:rPr>
          <w:rFonts w:ascii="Arial" w:hAnsi="Arial" w:cs="Arial"/>
          <w:sz w:val="20"/>
          <w:szCs w:val="22"/>
        </w:rPr>
        <w:t>, enzymes, antimicrobial activity, antibiotics.</w:t>
      </w:r>
    </w:p>
    <w:p w14:paraId="05C782C0" w14:textId="4D6391BA" w:rsidR="00595642" w:rsidRPr="00F91CF1" w:rsidRDefault="00595642" w:rsidP="00C044B8">
      <w:pPr>
        <w:pStyle w:val="ListParagraph"/>
        <w:numPr>
          <w:ilvl w:val="0"/>
          <w:numId w:val="1"/>
        </w:numPr>
        <w:spacing w:line="360" w:lineRule="auto"/>
        <w:ind w:left="360"/>
        <w:jc w:val="both"/>
        <w:rPr>
          <w:rFonts w:ascii="Arial" w:hAnsi="Arial" w:cs="Arial"/>
          <w:b/>
          <w:bCs/>
          <w:sz w:val="22"/>
          <w:szCs w:val="24"/>
        </w:rPr>
      </w:pPr>
      <w:r w:rsidRPr="00F91CF1">
        <w:rPr>
          <w:rFonts w:ascii="Arial" w:hAnsi="Arial" w:cs="Arial"/>
          <w:b/>
          <w:bCs/>
          <w:sz w:val="22"/>
          <w:szCs w:val="24"/>
        </w:rPr>
        <w:t>INTRODUCTION</w:t>
      </w:r>
    </w:p>
    <w:p w14:paraId="51EFA0CB" w14:textId="7063D5AD" w:rsidR="00595642" w:rsidRPr="00595642" w:rsidRDefault="009801CC" w:rsidP="00C044B8">
      <w:pPr>
        <w:spacing w:line="360" w:lineRule="auto"/>
        <w:jc w:val="both"/>
        <w:rPr>
          <w:rFonts w:ascii="Arial" w:hAnsi="Arial" w:cs="Arial"/>
          <w:sz w:val="20"/>
          <w:szCs w:val="22"/>
        </w:rPr>
      </w:pPr>
      <w:r>
        <w:rPr>
          <w:rFonts w:ascii="Arial" w:hAnsi="Arial" w:cs="Arial"/>
          <w:sz w:val="20"/>
          <w:szCs w:val="22"/>
        </w:rPr>
        <w:t>The m</w:t>
      </w:r>
      <w:r w:rsidR="00595642" w:rsidRPr="00595642">
        <w:rPr>
          <w:rFonts w:ascii="Arial" w:hAnsi="Arial" w:cs="Arial"/>
          <w:sz w:val="20"/>
          <w:szCs w:val="22"/>
        </w:rPr>
        <w:t>arine environment is different from other aquatic environments</w:t>
      </w:r>
      <w:r w:rsidR="00C30E00">
        <w:rPr>
          <w:rFonts w:ascii="Arial" w:hAnsi="Arial" w:cs="Arial"/>
          <w:sz w:val="20"/>
          <w:szCs w:val="22"/>
        </w:rPr>
        <w:t>,</w:t>
      </w:r>
      <w:r w:rsidR="00595642" w:rsidRPr="00595642">
        <w:rPr>
          <w:rFonts w:ascii="Arial" w:hAnsi="Arial" w:cs="Arial"/>
          <w:sz w:val="20"/>
          <w:szCs w:val="22"/>
        </w:rPr>
        <w:t xml:space="preserve"> as </w:t>
      </w:r>
      <w:r w:rsidR="00C30E00">
        <w:rPr>
          <w:rFonts w:ascii="Arial" w:hAnsi="Arial" w:cs="Arial"/>
          <w:sz w:val="20"/>
          <w:szCs w:val="22"/>
        </w:rPr>
        <w:t>it</w:t>
      </w:r>
      <w:r w:rsidR="00595642" w:rsidRPr="00595642">
        <w:rPr>
          <w:rFonts w:ascii="Arial" w:hAnsi="Arial" w:cs="Arial"/>
          <w:sz w:val="20"/>
          <w:szCs w:val="22"/>
        </w:rPr>
        <w:t xml:space="preserve"> contain</w:t>
      </w:r>
      <w:r w:rsidR="00C30E00">
        <w:rPr>
          <w:rFonts w:ascii="Arial" w:hAnsi="Arial" w:cs="Arial"/>
          <w:sz w:val="20"/>
          <w:szCs w:val="22"/>
        </w:rPr>
        <w:t>s</w:t>
      </w:r>
      <w:r w:rsidR="00595642" w:rsidRPr="00595642">
        <w:rPr>
          <w:rFonts w:ascii="Arial" w:hAnsi="Arial" w:cs="Arial"/>
          <w:sz w:val="20"/>
          <w:szCs w:val="22"/>
        </w:rPr>
        <w:t xml:space="preserve"> dissolved salts and other minerals. They make </w:t>
      </w:r>
      <w:r w:rsidR="00C30E00">
        <w:rPr>
          <w:rFonts w:ascii="Arial" w:hAnsi="Arial" w:cs="Arial"/>
          <w:sz w:val="20"/>
          <w:szCs w:val="22"/>
        </w:rPr>
        <w:t>up</w:t>
      </w:r>
      <w:r w:rsidR="00595642" w:rsidRPr="00595642">
        <w:rPr>
          <w:rFonts w:ascii="Arial" w:hAnsi="Arial" w:cs="Arial"/>
          <w:sz w:val="20"/>
          <w:szCs w:val="22"/>
        </w:rPr>
        <w:t xml:space="preserve"> 75% of the entire earth and also adobe for various living organisms. A large number of microorganisms are present in the marine environment. Marine environment</w:t>
      </w:r>
      <w:r w:rsidR="00C30E00">
        <w:rPr>
          <w:rFonts w:ascii="Arial" w:hAnsi="Arial" w:cs="Arial"/>
          <w:sz w:val="20"/>
          <w:szCs w:val="22"/>
        </w:rPr>
        <w:t>s</w:t>
      </w:r>
      <w:r w:rsidR="00595642" w:rsidRPr="00595642">
        <w:rPr>
          <w:rFonts w:ascii="Arial" w:hAnsi="Arial" w:cs="Arial"/>
          <w:sz w:val="20"/>
          <w:szCs w:val="22"/>
        </w:rPr>
        <w:t xml:space="preserve"> include estuaries, mangrove</w:t>
      </w:r>
      <w:r w:rsidR="00C30E00">
        <w:rPr>
          <w:rFonts w:ascii="Arial" w:hAnsi="Arial" w:cs="Arial"/>
          <w:sz w:val="20"/>
          <w:szCs w:val="22"/>
        </w:rPr>
        <w:t>s</w:t>
      </w:r>
      <w:r w:rsidR="00595642" w:rsidRPr="00595642">
        <w:rPr>
          <w:rFonts w:ascii="Arial" w:hAnsi="Arial" w:cs="Arial"/>
          <w:sz w:val="20"/>
          <w:szCs w:val="22"/>
        </w:rPr>
        <w:t xml:space="preserve">, lagoons, coastal areas, deep seas, and marine organisms. Microorganisms can be in </w:t>
      </w:r>
      <w:r w:rsidR="00595642" w:rsidRPr="00595642">
        <w:rPr>
          <w:rFonts w:ascii="Arial" w:hAnsi="Arial" w:cs="Arial"/>
          <w:sz w:val="20"/>
          <w:szCs w:val="22"/>
        </w:rPr>
        <w:lastRenderedPageBreak/>
        <w:t>mutualistic relationship</w:t>
      </w:r>
      <w:r w:rsidR="00C30E00">
        <w:rPr>
          <w:rFonts w:ascii="Arial" w:hAnsi="Arial" w:cs="Arial"/>
          <w:sz w:val="20"/>
          <w:szCs w:val="22"/>
        </w:rPr>
        <w:t>s</w:t>
      </w:r>
      <w:r w:rsidR="00595642" w:rsidRPr="00595642">
        <w:rPr>
          <w:rFonts w:ascii="Arial" w:hAnsi="Arial" w:cs="Arial"/>
          <w:sz w:val="20"/>
          <w:szCs w:val="22"/>
        </w:rPr>
        <w:t xml:space="preserve"> with marine organisms like sea grasses, corals, sponges, mollusks</w:t>
      </w:r>
      <w:r w:rsidR="00C30E00">
        <w:rPr>
          <w:rFonts w:ascii="Arial" w:hAnsi="Arial" w:cs="Arial"/>
          <w:sz w:val="20"/>
          <w:szCs w:val="22"/>
        </w:rPr>
        <w:t>,</w:t>
      </w:r>
      <w:r w:rsidR="00595642" w:rsidRPr="00595642">
        <w:rPr>
          <w:rFonts w:ascii="Arial" w:hAnsi="Arial" w:cs="Arial"/>
          <w:sz w:val="20"/>
          <w:szCs w:val="22"/>
        </w:rPr>
        <w:t xml:space="preserve"> and fishes (Manivasangan </w:t>
      </w:r>
      <w:r w:rsidR="00595642" w:rsidRPr="00595642">
        <w:rPr>
          <w:rFonts w:ascii="Arial" w:hAnsi="Arial" w:cs="Arial"/>
          <w:i/>
          <w:iCs/>
          <w:sz w:val="20"/>
          <w:szCs w:val="22"/>
        </w:rPr>
        <w:t>et al</w:t>
      </w:r>
      <w:r w:rsidR="00595642" w:rsidRPr="00595642">
        <w:rPr>
          <w:rFonts w:ascii="Arial" w:hAnsi="Arial" w:cs="Arial"/>
          <w:sz w:val="20"/>
          <w:szCs w:val="22"/>
        </w:rPr>
        <w:t>., 2014). Researchers are curious about the marine organisms and are focusing on investigating in search of novel metabolites to fight against MDR pathogens</w:t>
      </w:r>
      <w:r w:rsidR="00C30E00">
        <w:rPr>
          <w:rFonts w:ascii="Arial" w:hAnsi="Arial" w:cs="Arial"/>
          <w:sz w:val="20"/>
          <w:szCs w:val="22"/>
        </w:rPr>
        <w:t>,</w:t>
      </w:r>
      <w:r w:rsidR="00595642" w:rsidRPr="00595642">
        <w:rPr>
          <w:rFonts w:ascii="Arial" w:hAnsi="Arial" w:cs="Arial"/>
          <w:sz w:val="20"/>
          <w:szCs w:val="22"/>
        </w:rPr>
        <w:t xml:space="preserve"> which are the present threat in</w:t>
      </w:r>
      <w:r w:rsidR="00C30E00">
        <w:rPr>
          <w:rFonts w:ascii="Arial" w:hAnsi="Arial" w:cs="Arial"/>
          <w:sz w:val="20"/>
          <w:szCs w:val="22"/>
        </w:rPr>
        <w:t xml:space="preserve"> the </w:t>
      </w:r>
      <w:r w:rsidR="00595642" w:rsidRPr="00595642">
        <w:rPr>
          <w:rFonts w:ascii="Arial" w:hAnsi="Arial" w:cs="Arial"/>
          <w:sz w:val="20"/>
          <w:szCs w:val="22"/>
        </w:rPr>
        <w:t>medical field. Most of the bioactive compounds from the marine environment</w:t>
      </w:r>
      <w:r w:rsidR="00C30E00">
        <w:rPr>
          <w:rFonts w:ascii="Arial" w:hAnsi="Arial" w:cs="Arial"/>
          <w:sz w:val="20"/>
          <w:szCs w:val="22"/>
        </w:rPr>
        <w:t>s</w:t>
      </w:r>
      <w:r w:rsidR="00595642" w:rsidRPr="00595642">
        <w:rPr>
          <w:rFonts w:ascii="Arial" w:hAnsi="Arial" w:cs="Arial"/>
          <w:sz w:val="20"/>
          <w:szCs w:val="22"/>
        </w:rPr>
        <w:t xml:space="preserve"> are obtained from actinomycetes. Actinomycetes are the gram-positive organisms with characteristics of both bacteria and fungi, also called “ray fungi</w:t>
      </w:r>
      <w:r w:rsidR="00C30E00">
        <w:rPr>
          <w:rFonts w:ascii="Arial" w:hAnsi="Arial" w:cs="Arial"/>
          <w:sz w:val="20"/>
          <w:szCs w:val="22"/>
        </w:rPr>
        <w:t>.</w:t>
      </w:r>
      <w:r w:rsidR="00595642" w:rsidRPr="00595642">
        <w:rPr>
          <w:rFonts w:ascii="Arial" w:hAnsi="Arial" w:cs="Arial"/>
          <w:sz w:val="20"/>
          <w:szCs w:val="22"/>
        </w:rPr>
        <w:t>” These organisms have high G+C content in their genetic material (DNA). Actinomycetes of marine environment have unique capabili</w:t>
      </w:r>
      <w:r w:rsidR="00C30E00">
        <w:rPr>
          <w:rFonts w:ascii="Arial" w:hAnsi="Arial" w:cs="Arial"/>
          <w:sz w:val="20"/>
          <w:szCs w:val="22"/>
        </w:rPr>
        <w:t>ties</w:t>
      </w:r>
      <w:r w:rsidR="00595642" w:rsidRPr="00595642">
        <w:rPr>
          <w:rFonts w:ascii="Arial" w:hAnsi="Arial" w:cs="Arial"/>
          <w:sz w:val="20"/>
          <w:szCs w:val="22"/>
        </w:rPr>
        <w:t xml:space="preserve"> of adaptation</w:t>
      </w:r>
      <w:r w:rsidR="00C30E00">
        <w:rPr>
          <w:rFonts w:ascii="Arial" w:hAnsi="Arial" w:cs="Arial"/>
          <w:sz w:val="20"/>
          <w:szCs w:val="22"/>
        </w:rPr>
        <w:t>,</w:t>
      </w:r>
      <w:r w:rsidR="00595642" w:rsidRPr="00595642">
        <w:rPr>
          <w:rFonts w:ascii="Arial" w:hAnsi="Arial" w:cs="Arial"/>
          <w:sz w:val="20"/>
          <w:szCs w:val="22"/>
        </w:rPr>
        <w:t xml:space="preserve"> as they are present in different pH, extreme temperature</w:t>
      </w:r>
      <w:r w:rsidR="00C30E00">
        <w:rPr>
          <w:rFonts w:ascii="Arial" w:hAnsi="Arial" w:cs="Arial"/>
          <w:sz w:val="20"/>
          <w:szCs w:val="22"/>
        </w:rPr>
        <w:t>s</w:t>
      </w:r>
      <w:r w:rsidR="00595642" w:rsidRPr="00595642">
        <w:rPr>
          <w:rFonts w:ascii="Arial" w:hAnsi="Arial" w:cs="Arial"/>
          <w:sz w:val="20"/>
          <w:szCs w:val="22"/>
        </w:rPr>
        <w:t>, humidity</w:t>
      </w:r>
      <w:r w:rsidR="00C30E00">
        <w:rPr>
          <w:rFonts w:ascii="Arial" w:hAnsi="Arial" w:cs="Arial"/>
          <w:sz w:val="20"/>
          <w:szCs w:val="22"/>
        </w:rPr>
        <w:t>,</w:t>
      </w:r>
      <w:r w:rsidR="00595642" w:rsidRPr="00595642">
        <w:rPr>
          <w:rFonts w:ascii="Arial" w:hAnsi="Arial" w:cs="Arial"/>
          <w:sz w:val="20"/>
          <w:szCs w:val="22"/>
        </w:rPr>
        <w:t xml:space="preserve"> and high salinity. These actinomycetes are found in sediments, and</w:t>
      </w:r>
      <w:r w:rsidR="00C30E00">
        <w:rPr>
          <w:rFonts w:ascii="Arial" w:hAnsi="Arial" w:cs="Arial"/>
          <w:sz w:val="20"/>
          <w:szCs w:val="22"/>
        </w:rPr>
        <w:t xml:space="preserve"> are</w:t>
      </w:r>
      <w:r w:rsidR="00595642" w:rsidRPr="00595642">
        <w:rPr>
          <w:rFonts w:ascii="Arial" w:hAnsi="Arial" w:cs="Arial"/>
          <w:sz w:val="20"/>
          <w:szCs w:val="22"/>
        </w:rPr>
        <w:t xml:space="preserve"> also interdependent on various marine organisms like seagrass, corals, sponges</w:t>
      </w:r>
      <w:r w:rsidR="00AD0129">
        <w:rPr>
          <w:rFonts w:ascii="Arial" w:hAnsi="Arial" w:cs="Arial"/>
          <w:sz w:val="20"/>
          <w:szCs w:val="22"/>
        </w:rPr>
        <w:t>,</w:t>
      </w:r>
      <w:r w:rsidR="00595642" w:rsidRPr="00595642">
        <w:rPr>
          <w:rFonts w:ascii="Arial" w:hAnsi="Arial" w:cs="Arial"/>
          <w:sz w:val="20"/>
          <w:szCs w:val="22"/>
        </w:rPr>
        <w:t xml:space="preserve"> and seaweed. </w:t>
      </w:r>
      <w:r w:rsidR="00AD0129" w:rsidRPr="004F6E44">
        <w:rPr>
          <w:rFonts w:ascii="Arial" w:hAnsi="Arial" w:cs="Arial"/>
          <w:sz w:val="20"/>
          <w:szCs w:val="22"/>
          <w:highlight w:val="yellow"/>
        </w:rPr>
        <w:t>Numerous bioactive compounds have recently been discovered from actinomycetes associated with sponges and corals</w:t>
      </w:r>
      <w:r w:rsidR="008521EF" w:rsidRPr="004F6E44">
        <w:rPr>
          <w:rFonts w:ascii="Arial" w:hAnsi="Arial" w:cs="Arial"/>
          <w:sz w:val="20"/>
          <w:szCs w:val="22"/>
          <w:highlight w:val="yellow"/>
        </w:rPr>
        <w:t xml:space="preserve"> (</w:t>
      </w:r>
      <w:r w:rsidR="004F6E44" w:rsidRPr="004F6E44">
        <w:rPr>
          <w:rFonts w:ascii="Arial" w:hAnsi="Arial" w:cs="Arial"/>
          <w:sz w:val="20"/>
          <w:szCs w:val="22"/>
          <w:highlight w:val="yellow"/>
        </w:rPr>
        <w:t>Fonseca</w:t>
      </w:r>
      <w:r w:rsidR="004F6E44" w:rsidRPr="004F6E44">
        <w:rPr>
          <w:rFonts w:ascii="Arial" w:hAnsi="Arial" w:cs="Arial"/>
          <w:sz w:val="20"/>
          <w:szCs w:val="22"/>
          <w:highlight w:val="yellow"/>
        </w:rPr>
        <w:t xml:space="preserve"> </w:t>
      </w:r>
      <w:r w:rsidR="004F6E44" w:rsidRPr="004F6E44">
        <w:rPr>
          <w:rFonts w:ascii="Arial" w:hAnsi="Arial" w:cs="Arial"/>
          <w:i/>
          <w:iCs/>
          <w:sz w:val="20"/>
          <w:szCs w:val="22"/>
          <w:highlight w:val="yellow"/>
        </w:rPr>
        <w:t>et al.,</w:t>
      </w:r>
      <w:r w:rsidR="004F6E44" w:rsidRPr="004F6E44">
        <w:rPr>
          <w:rFonts w:ascii="Arial" w:hAnsi="Arial" w:cs="Arial"/>
          <w:sz w:val="20"/>
          <w:szCs w:val="22"/>
          <w:highlight w:val="yellow"/>
        </w:rPr>
        <w:t xml:space="preserve"> 2025</w:t>
      </w:r>
      <w:r w:rsidR="004F6E44">
        <w:rPr>
          <w:rFonts w:ascii="Arial" w:hAnsi="Arial" w:cs="Arial"/>
          <w:sz w:val="20"/>
          <w:szCs w:val="22"/>
          <w:highlight w:val="yellow"/>
        </w:rPr>
        <w:t xml:space="preserve">; </w:t>
      </w:r>
      <w:r w:rsidR="004F6E44" w:rsidRPr="004F6E44">
        <w:rPr>
          <w:rFonts w:ascii="Arial" w:hAnsi="Arial" w:cs="Arial"/>
          <w:sz w:val="20"/>
          <w:szCs w:val="22"/>
          <w:highlight w:val="yellow"/>
        </w:rPr>
        <w:t>Sibero</w:t>
      </w:r>
      <w:r w:rsidR="004F6E44">
        <w:rPr>
          <w:rFonts w:ascii="Arial" w:hAnsi="Arial" w:cs="Arial"/>
          <w:sz w:val="20"/>
          <w:szCs w:val="22"/>
          <w:highlight w:val="yellow"/>
        </w:rPr>
        <w:t xml:space="preserve"> </w:t>
      </w:r>
      <w:r w:rsidR="004F6E44" w:rsidRPr="004F6E44">
        <w:rPr>
          <w:rFonts w:ascii="Arial" w:hAnsi="Arial" w:cs="Arial"/>
          <w:i/>
          <w:iCs/>
          <w:sz w:val="20"/>
          <w:szCs w:val="22"/>
          <w:highlight w:val="yellow"/>
        </w:rPr>
        <w:t>et al.,</w:t>
      </w:r>
      <w:r w:rsidR="004F6E44">
        <w:rPr>
          <w:rFonts w:ascii="Arial" w:hAnsi="Arial" w:cs="Arial"/>
          <w:sz w:val="20"/>
          <w:szCs w:val="22"/>
          <w:highlight w:val="yellow"/>
        </w:rPr>
        <w:t xml:space="preserve"> 2024</w:t>
      </w:r>
      <w:r w:rsidR="008521EF" w:rsidRPr="004F6E44">
        <w:rPr>
          <w:rFonts w:ascii="Arial" w:hAnsi="Arial" w:cs="Arial"/>
          <w:sz w:val="20"/>
          <w:szCs w:val="22"/>
          <w:highlight w:val="yellow"/>
        </w:rPr>
        <w:t>)</w:t>
      </w:r>
      <w:r w:rsidR="00AD0129" w:rsidRPr="004F6E44">
        <w:rPr>
          <w:rFonts w:ascii="Arial" w:hAnsi="Arial" w:cs="Arial"/>
          <w:sz w:val="20"/>
          <w:szCs w:val="22"/>
          <w:highlight w:val="yellow"/>
        </w:rPr>
        <w:t>.</w:t>
      </w:r>
      <w:r w:rsidR="00AD0129">
        <w:rPr>
          <w:rFonts w:ascii="Arial" w:hAnsi="Arial" w:cs="Arial"/>
          <w:sz w:val="20"/>
          <w:szCs w:val="22"/>
        </w:rPr>
        <w:t xml:space="preserve"> </w:t>
      </w:r>
      <w:r w:rsidR="00595642" w:rsidRPr="00595642">
        <w:rPr>
          <w:rFonts w:ascii="Arial" w:hAnsi="Arial" w:cs="Arial"/>
          <w:sz w:val="20"/>
          <w:szCs w:val="22"/>
        </w:rPr>
        <w:t xml:space="preserve">Also, there are </w:t>
      </w:r>
      <w:r w:rsidR="00595642" w:rsidRPr="00AB1CEB">
        <w:rPr>
          <w:rFonts w:ascii="Arial" w:hAnsi="Arial" w:cs="Arial"/>
          <w:sz w:val="20"/>
          <w:szCs w:val="22"/>
          <w:highlight w:val="yellow"/>
        </w:rPr>
        <w:t>have been</w:t>
      </w:r>
      <w:r w:rsidR="00595642" w:rsidRPr="00595642">
        <w:rPr>
          <w:rFonts w:ascii="Arial" w:hAnsi="Arial" w:cs="Arial"/>
          <w:sz w:val="20"/>
          <w:szCs w:val="22"/>
        </w:rPr>
        <w:t xml:space="preserve"> reports on novel actinomycetes genera found in various marine samples and these organisms have shown metabolites with</w:t>
      </w:r>
      <w:r w:rsidR="00AB1CEB">
        <w:rPr>
          <w:rFonts w:ascii="Arial" w:hAnsi="Arial" w:cs="Arial"/>
          <w:sz w:val="20"/>
          <w:szCs w:val="22"/>
        </w:rPr>
        <w:t xml:space="preserve"> an</w:t>
      </w:r>
      <w:r w:rsidR="00595642" w:rsidRPr="00595642">
        <w:rPr>
          <w:rFonts w:ascii="Arial" w:hAnsi="Arial" w:cs="Arial"/>
          <w:sz w:val="20"/>
          <w:szCs w:val="22"/>
        </w:rPr>
        <w:t xml:space="preserve"> array of biological potency</w:t>
      </w:r>
      <w:r w:rsidR="00AB1CEB">
        <w:rPr>
          <w:rFonts w:ascii="Arial" w:hAnsi="Arial" w:cs="Arial"/>
          <w:sz w:val="20"/>
          <w:szCs w:val="22"/>
        </w:rPr>
        <w:t>,</w:t>
      </w:r>
      <w:r w:rsidR="00595642" w:rsidRPr="00595642">
        <w:rPr>
          <w:rFonts w:ascii="Arial" w:hAnsi="Arial" w:cs="Arial"/>
          <w:sz w:val="20"/>
          <w:szCs w:val="22"/>
        </w:rPr>
        <w:t xml:space="preserve"> such as antitumor, antimicrobial, anticancer and enzyme inhibitors etc. (Jagannathan </w:t>
      </w:r>
      <w:r w:rsidR="00595642" w:rsidRPr="00595642">
        <w:rPr>
          <w:rFonts w:ascii="Arial" w:hAnsi="Arial" w:cs="Arial"/>
          <w:i/>
          <w:iCs/>
          <w:sz w:val="20"/>
          <w:szCs w:val="22"/>
        </w:rPr>
        <w:t>et al</w:t>
      </w:r>
      <w:r w:rsidR="00595642" w:rsidRPr="00595642">
        <w:rPr>
          <w:rFonts w:ascii="Arial" w:hAnsi="Arial" w:cs="Arial"/>
          <w:sz w:val="20"/>
          <w:szCs w:val="22"/>
        </w:rPr>
        <w:t xml:space="preserve">., 2021). </w:t>
      </w:r>
      <w:r w:rsidR="00AB1CEB">
        <w:rPr>
          <w:rFonts w:ascii="Arial" w:hAnsi="Arial" w:cs="Arial"/>
          <w:sz w:val="20"/>
          <w:szCs w:val="22"/>
        </w:rPr>
        <w:t>A f</w:t>
      </w:r>
      <w:r w:rsidR="00595642" w:rsidRPr="00595642">
        <w:rPr>
          <w:rFonts w:ascii="Arial" w:hAnsi="Arial" w:cs="Arial"/>
          <w:sz w:val="20"/>
          <w:szCs w:val="22"/>
        </w:rPr>
        <w:t xml:space="preserve">ew of the marine actinomycetes isolated from various marine samples include </w:t>
      </w:r>
      <w:r w:rsidR="00595642" w:rsidRPr="00595642">
        <w:rPr>
          <w:rFonts w:ascii="Arial" w:hAnsi="Arial" w:cs="Arial"/>
          <w:i/>
          <w:iCs/>
          <w:sz w:val="20"/>
          <w:szCs w:val="22"/>
        </w:rPr>
        <w:t>Streptomyces</w:t>
      </w:r>
      <w:r w:rsidR="00595642" w:rsidRPr="00595642">
        <w:rPr>
          <w:rFonts w:ascii="Arial" w:hAnsi="Arial" w:cs="Arial"/>
          <w:sz w:val="20"/>
          <w:szCs w:val="22"/>
        </w:rPr>
        <w:t xml:space="preserve"> sp., </w:t>
      </w:r>
      <w:r w:rsidR="00595642" w:rsidRPr="00595642">
        <w:rPr>
          <w:rFonts w:ascii="Arial" w:hAnsi="Arial" w:cs="Arial"/>
          <w:i/>
          <w:iCs/>
          <w:sz w:val="20"/>
          <w:szCs w:val="22"/>
        </w:rPr>
        <w:t>Micromonospora</w:t>
      </w:r>
      <w:r w:rsidR="00595642" w:rsidRPr="00595642">
        <w:rPr>
          <w:rFonts w:ascii="Arial" w:hAnsi="Arial" w:cs="Arial"/>
          <w:sz w:val="20"/>
          <w:szCs w:val="22"/>
        </w:rPr>
        <w:t xml:space="preserve"> sp.</w:t>
      </w:r>
      <w:r w:rsidR="00462AB5">
        <w:rPr>
          <w:rFonts w:ascii="Arial" w:hAnsi="Arial" w:cs="Arial"/>
          <w:sz w:val="20"/>
          <w:szCs w:val="22"/>
        </w:rPr>
        <w:t xml:space="preserve"> </w:t>
      </w:r>
      <w:r w:rsidR="00462AB5" w:rsidRPr="00462AB5">
        <w:rPr>
          <w:rFonts w:ascii="Arial" w:hAnsi="Arial" w:cs="Arial"/>
          <w:sz w:val="20"/>
          <w:szCs w:val="22"/>
          <w:highlight w:val="yellow"/>
        </w:rPr>
        <w:t>(</w:t>
      </w:r>
      <w:r w:rsidR="00462AB5" w:rsidRPr="00462AB5">
        <w:rPr>
          <w:rFonts w:ascii="Arial" w:hAnsi="Arial" w:cs="Arial"/>
          <w:sz w:val="20"/>
          <w:szCs w:val="22"/>
          <w:highlight w:val="yellow"/>
        </w:rPr>
        <w:t>Kanchanasin</w:t>
      </w:r>
      <w:r w:rsidR="00462AB5" w:rsidRPr="00462AB5">
        <w:rPr>
          <w:rFonts w:ascii="Arial" w:hAnsi="Arial" w:cs="Arial"/>
          <w:sz w:val="20"/>
          <w:szCs w:val="22"/>
          <w:highlight w:val="yellow"/>
        </w:rPr>
        <w:t xml:space="preserve"> </w:t>
      </w:r>
      <w:r w:rsidR="00462AB5" w:rsidRPr="00462AB5">
        <w:rPr>
          <w:rFonts w:ascii="Arial" w:hAnsi="Arial" w:cs="Arial"/>
          <w:i/>
          <w:iCs/>
          <w:sz w:val="20"/>
          <w:szCs w:val="22"/>
          <w:highlight w:val="yellow"/>
        </w:rPr>
        <w:t>et al</w:t>
      </w:r>
      <w:r w:rsidR="00462AB5" w:rsidRPr="00462AB5">
        <w:rPr>
          <w:rFonts w:ascii="Arial" w:hAnsi="Arial" w:cs="Arial"/>
          <w:sz w:val="20"/>
          <w:szCs w:val="22"/>
          <w:highlight w:val="yellow"/>
        </w:rPr>
        <w:t>., 2024)</w:t>
      </w:r>
      <w:r w:rsidR="00595642" w:rsidRPr="00595642">
        <w:rPr>
          <w:rFonts w:ascii="Arial" w:hAnsi="Arial" w:cs="Arial"/>
          <w:sz w:val="20"/>
          <w:szCs w:val="22"/>
        </w:rPr>
        <w:t xml:space="preserve">, </w:t>
      </w:r>
      <w:r w:rsidR="00595642" w:rsidRPr="00595642">
        <w:rPr>
          <w:rFonts w:ascii="Arial" w:hAnsi="Arial" w:cs="Arial"/>
          <w:i/>
          <w:iCs/>
          <w:sz w:val="20"/>
          <w:szCs w:val="22"/>
        </w:rPr>
        <w:t>Nocardiopsis</w:t>
      </w:r>
      <w:r w:rsidR="00595642" w:rsidRPr="00595642">
        <w:rPr>
          <w:rFonts w:ascii="Arial" w:hAnsi="Arial" w:cs="Arial"/>
          <w:sz w:val="20"/>
          <w:szCs w:val="22"/>
        </w:rPr>
        <w:t xml:space="preserve"> sp.</w:t>
      </w:r>
      <w:r w:rsidR="00462AB5">
        <w:rPr>
          <w:rFonts w:ascii="Arial" w:hAnsi="Arial" w:cs="Arial"/>
          <w:sz w:val="20"/>
          <w:szCs w:val="22"/>
        </w:rPr>
        <w:t xml:space="preserve"> </w:t>
      </w:r>
      <w:r w:rsidR="00462AB5" w:rsidRPr="00462AB5">
        <w:rPr>
          <w:rFonts w:ascii="Arial" w:hAnsi="Arial" w:cs="Arial"/>
          <w:sz w:val="20"/>
          <w:szCs w:val="22"/>
          <w:highlight w:val="yellow"/>
        </w:rPr>
        <w:t xml:space="preserve">(Sibero </w:t>
      </w:r>
      <w:r w:rsidR="00462AB5" w:rsidRPr="00462AB5">
        <w:rPr>
          <w:rFonts w:ascii="Arial" w:hAnsi="Arial" w:cs="Arial"/>
          <w:i/>
          <w:iCs/>
          <w:sz w:val="20"/>
          <w:szCs w:val="22"/>
          <w:highlight w:val="yellow"/>
        </w:rPr>
        <w:t>et al</w:t>
      </w:r>
      <w:r w:rsidR="00462AB5" w:rsidRPr="00462AB5">
        <w:rPr>
          <w:rFonts w:ascii="Arial" w:hAnsi="Arial" w:cs="Arial"/>
          <w:sz w:val="20"/>
          <w:szCs w:val="22"/>
          <w:highlight w:val="yellow"/>
        </w:rPr>
        <w:t>., 2024)</w:t>
      </w:r>
      <w:r w:rsidR="00595642" w:rsidRPr="00595642">
        <w:rPr>
          <w:rFonts w:ascii="Arial" w:hAnsi="Arial" w:cs="Arial"/>
          <w:sz w:val="20"/>
          <w:szCs w:val="22"/>
        </w:rPr>
        <w:t xml:space="preserve">, </w:t>
      </w:r>
      <w:r w:rsidR="00595642" w:rsidRPr="00595642">
        <w:rPr>
          <w:rFonts w:ascii="Arial" w:hAnsi="Arial" w:cs="Arial"/>
          <w:i/>
          <w:iCs/>
          <w:sz w:val="20"/>
          <w:szCs w:val="22"/>
        </w:rPr>
        <w:t>Nocardia</w:t>
      </w:r>
      <w:r w:rsidR="00595642" w:rsidRPr="00595642">
        <w:rPr>
          <w:rFonts w:ascii="Arial" w:hAnsi="Arial" w:cs="Arial"/>
          <w:sz w:val="20"/>
          <w:szCs w:val="22"/>
        </w:rPr>
        <w:t xml:space="preserve"> sp.</w:t>
      </w:r>
      <w:r w:rsidR="007B4BDE">
        <w:rPr>
          <w:rFonts w:ascii="Arial" w:hAnsi="Arial" w:cs="Arial"/>
          <w:sz w:val="20"/>
          <w:szCs w:val="22"/>
        </w:rPr>
        <w:t xml:space="preserve"> </w:t>
      </w:r>
      <w:r w:rsidR="007B4BDE" w:rsidRPr="007B4BDE">
        <w:rPr>
          <w:rFonts w:ascii="Arial" w:hAnsi="Arial" w:cs="Arial"/>
          <w:sz w:val="20"/>
          <w:szCs w:val="22"/>
          <w:highlight w:val="yellow"/>
        </w:rPr>
        <w:t>(</w:t>
      </w:r>
      <w:r w:rsidR="007B4BDE" w:rsidRPr="007B4BDE">
        <w:rPr>
          <w:rFonts w:ascii="Arial" w:hAnsi="Arial" w:cs="Arial"/>
          <w:sz w:val="20"/>
          <w:szCs w:val="22"/>
          <w:highlight w:val="yellow"/>
        </w:rPr>
        <w:t>Subash</w:t>
      </w:r>
      <w:r w:rsidR="007B4BDE" w:rsidRPr="007B4BDE">
        <w:rPr>
          <w:rFonts w:ascii="Arial" w:hAnsi="Arial" w:cs="Arial"/>
          <w:sz w:val="20"/>
          <w:szCs w:val="22"/>
          <w:highlight w:val="yellow"/>
        </w:rPr>
        <w:t xml:space="preserve"> </w:t>
      </w:r>
      <w:r w:rsidR="007B4BDE" w:rsidRPr="007B4BDE">
        <w:rPr>
          <w:rFonts w:ascii="Arial" w:hAnsi="Arial" w:cs="Arial"/>
          <w:i/>
          <w:iCs/>
          <w:sz w:val="20"/>
          <w:szCs w:val="22"/>
          <w:highlight w:val="yellow"/>
        </w:rPr>
        <w:t>et al.,</w:t>
      </w:r>
      <w:r w:rsidR="007B4BDE" w:rsidRPr="007B4BDE">
        <w:rPr>
          <w:rFonts w:ascii="Arial" w:hAnsi="Arial" w:cs="Arial"/>
          <w:sz w:val="20"/>
          <w:szCs w:val="22"/>
          <w:highlight w:val="yellow"/>
        </w:rPr>
        <w:t xml:space="preserve"> 2024)</w:t>
      </w:r>
      <w:r w:rsidR="00595642" w:rsidRPr="00595642">
        <w:rPr>
          <w:rFonts w:ascii="Arial" w:hAnsi="Arial" w:cs="Arial"/>
          <w:sz w:val="20"/>
          <w:szCs w:val="22"/>
        </w:rPr>
        <w:t xml:space="preserve">, </w:t>
      </w:r>
      <w:r w:rsidR="00595642" w:rsidRPr="00595642">
        <w:rPr>
          <w:rFonts w:ascii="Arial" w:hAnsi="Arial" w:cs="Arial"/>
          <w:i/>
          <w:iCs/>
          <w:sz w:val="20"/>
          <w:szCs w:val="22"/>
        </w:rPr>
        <w:t>Saccharopolyspora</w:t>
      </w:r>
      <w:r w:rsidR="00595642" w:rsidRPr="00595642">
        <w:rPr>
          <w:rFonts w:ascii="Arial" w:hAnsi="Arial" w:cs="Arial"/>
          <w:sz w:val="20"/>
          <w:szCs w:val="22"/>
        </w:rPr>
        <w:t xml:space="preserve"> sp., </w:t>
      </w:r>
      <w:r w:rsidR="00595642" w:rsidRPr="00595642">
        <w:rPr>
          <w:rFonts w:ascii="Arial" w:hAnsi="Arial" w:cs="Arial"/>
          <w:i/>
          <w:iCs/>
          <w:sz w:val="20"/>
          <w:szCs w:val="22"/>
        </w:rPr>
        <w:t>Kocuria</w:t>
      </w:r>
      <w:r w:rsidR="00595642" w:rsidRPr="00595642">
        <w:rPr>
          <w:rFonts w:ascii="Arial" w:hAnsi="Arial" w:cs="Arial"/>
          <w:sz w:val="20"/>
          <w:szCs w:val="22"/>
        </w:rPr>
        <w:t xml:space="preserve"> sp., </w:t>
      </w:r>
      <w:r w:rsidR="00595642" w:rsidRPr="00595642">
        <w:rPr>
          <w:rFonts w:ascii="Arial" w:hAnsi="Arial" w:cs="Arial"/>
          <w:i/>
          <w:iCs/>
          <w:sz w:val="20"/>
          <w:szCs w:val="22"/>
        </w:rPr>
        <w:t>Actinomadura</w:t>
      </w:r>
      <w:r w:rsidR="00595642" w:rsidRPr="00595642">
        <w:rPr>
          <w:rFonts w:ascii="Arial" w:hAnsi="Arial" w:cs="Arial"/>
          <w:sz w:val="20"/>
          <w:szCs w:val="22"/>
        </w:rPr>
        <w:t xml:space="preserve"> sp., </w:t>
      </w:r>
      <w:r w:rsidR="00595642" w:rsidRPr="00595642">
        <w:rPr>
          <w:rFonts w:ascii="Arial" w:hAnsi="Arial" w:cs="Arial"/>
          <w:i/>
          <w:iCs/>
          <w:sz w:val="20"/>
          <w:szCs w:val="22"/>
        </w:rPr>
        <w:t>Actinoplanes</w:t>
      </w:r>
      <w:r w:rsidR="00595642" w:rsidRPr="00595642">
        <w:rPr>
          <w:rFonts w:ascii="Arial" w:hAnsi="Arial" w:cs="Arial"/>
          <w:sz w:val="20"/>
          <w:szCs w:val="22"/>
        </w:rPr>
        <w:t xml:space="preserve"> sp.</w:t>
      </w:r>
      <w:r w:rsidR="00AB1CEB">
        <w:rPr>
          <w:rFonts w:ascii="Arial" w:hAnsi="Arial" w:cs="Arial"/>
          <w:sz w:val="20"/>
          <w:szCs w:val="22"/>
        </w:rPr>
        <w:t>,</w:t>
      </w:r>
      <w:r w:rsidR="00595642" w:rsidRPr="00595642">
        <w:rPr>
          <w:rFonts w:ascii="Arial" w:hAnsi="Arial" w:cs="Arial"/>
          <w:sz w:val="20"/>
          <w:szCs w:val="22"/>
        </w:rPr>
        <w:t xml:space="preserve"> etc. (Sarkar, &amp; Suthindhiran., 2022). Actinomycetes from various extreme environment</w:t>
      </w:r>
      <w:r w:rsidR="00AB1CEB">
        <w:rPr>
          <w:rFonts w:ascii="Arial" w:hAnsi="Arial" w:cs="Arial"/>
          <w:sz w:val="20"/>
          <w:szCs w:val="22"/>
        </w:rPr>
        <w:t xml:space="preserve">s </w:t>
      </w:r>
      <w:r w:rsidR="00AB1CEB" w:rsidRPr="00AB1CEB">
        <w:rPr>
          <w:rFonts w:ascii="Arial" w:hAnsi="Arial" w:cs="Arial"/>
          <w:sz w:val="20"/>
          <w:szCs w:val="22"/>
          <w:highlight w:val="yellow"/>
        </w:rPr>
        <w:t>are</w:t>
      </w:r>
      <w:r w:rsidR="00595642" w:rsidRPr="00AB1CEB">
        <w:rPr>
          <w:rFonts w:ascii="Arial" w:hAnsi="Arial" w:cs="Arial"/>
          <w:sz w:val="20"/>
          <w:szCs w:val="22"/>
          <w:highlight w:val="yellow"/>
        </w:rPr>
        <w:t xml:space="preserve"> sure</w:t>
      </w:r>
      <w:r w:rsidR="00595642" w:rsidRPr="00595642">
        <w:rPr>
          <w:rFonts w:ascii="Arial" w:hAnsi="Arial" w:cs="Arial"/>
          <w:sz w:val="20"/>
          <w:szCs w:val="22"/>
        </w:rPr>
        <w:t xml:space="preserve"> to produce some kind of bioactive metabolites with great applications in various industries.</w:t>
      </w:r>
    </w:p>
    <w:p w14:paraId="70F8698E" w14:textId="66B6078F" w:rsidR="00595642" w:rsidRPr="005C22B9" w:rsidRDefault="00595642" w:rsidP="00C044B8">
      <w:pPr>
        <w:spacing w:line="360" w:lineRule="auto"/>
        <w:ind w:firstLine="720"/>
        <w:jc w:val="both"/>
        <w:rPr>
          <w:rFonts w:ascii="Times New Roman" w:hAnsi="Times New Roman" w:cs="Times New Roman"/>
          <w:szCs w:val="28"/>
        </w:rPr>
      </w:pPr>
      <w:r w:rsidRPr="00421F7E">
        <w:rPr>
          <w:rFonts w:ascii="Arial" w:hAnsi="Arial" w:cs="Arial"/>
          <w:i/>
          <w:iCs/>
          <w:sz w:val="20"/>
          <w:szCs w:val="22"/>
          <w:highlight w:val="yellow"/>
        </w:rPr>
        <w:t>Nocardiopsis</w:t>
      </w:r>
      <w:r w:rsidRPr="00421F7E">
        <w:rPr>
          <w:rFonts w:ascii="Arial" w:hAnsi="Arial" w:cs="Arial"/>
          <w:sz w:val="20"/>
          <w:szCs w:val="22"/>
          <w:highlight w:val="yellow"/>
        </w:rPr>
        <w:t xml:space="preserve"> is a new genus</w:t>
      </w:r>
      <w:r w:rsidR="00421F7E" w:rsidRPr="00421F7E">
        <w:rPr>
          <w:rFonts w:ascii="Arial" w:hAnsi="Arial" w:cs="Arial"/>
          <w:sz w:val="20"/>
          <w:szCs w:val="22"/>
          <w:highlight w:val="yellow"/>
        </w:rPr>
        <w:t xml:space="preserve"> that</w:t>
      </w:r>
      <w:r w:rsidRPr="00421F7E">
        <w:rPr>
          <w:rFonts w:ascii="Arial" w:hAnsi="Arial" w:cs="Arial"/>
          <w:sz w:val="20"/>
          <w:szCs w:val="22"/>
          <w:highlight w:val="yellow"/>
        </w:rPr>
        <w:t xml:space="preserve"> belong</w:t>
      </w:r>
      <w:r w:rsidR="00421F7E" w:rsidRPr="00421F7E">
        <w:rPr>
          <w:rFonts w:ascii="Arial" w:hAnsi="Arial" w:cs="Arial"/>
          <w:sz w:val="20"/>
          <w:szCs w:val="22"/>
          <w:highlight w:val="yellow"/>
        </w:rPr>
        <w:t>s</w:t>
      </w:r>
      <w:r w:rsidRPr="00421F7E">
        <w:rPr>
          <w:rFonts w:ascii="Arial" w:hAnsi="Arial" w:cs="Arial"/>
          <w:sz w:val="20"/>
          <w:szCs w:val="22"/>
          <w:highlight w:val="yellow"/>
        </w:rPr>
        <w:t xml:space="preserve"> to the new</w:t>
      </w:r>
      <w:r w:rsidR="00421F7E" w:rsidRPr="00421F7E">
        <w:rPr>
          <w:rFonts w:ascii="Arial" w:hAnsi="Arial" w:cs="Arial"/>
          <w:sz w:val="20"/>
          <w:szCs w:val="22"/>
          <w:highlight w:val="yellow"/>
        </w:rPr>
        <w:t>ly established</w:t>
      </w:r>
      <w:r w:rsidRPr="00421F7E">
        <w:rPr>
          <w:rFonts w:ascii="Arial" w:hAnsi="Arial" w:cs="Arial"/>
          <w:sz w:val="20"/>
          <w:szCs w:val="22"/>
          <w:highlight w:val="yellow"/>
        </w:rPr>
        <w:t xml:space="preserve"> family Nocardiopsaceae (Rainey </w:t>
      </w:r>
      <w:r w:rsidRPr="00421F7E">
        <w:rPr>
          <w:rFonts w:ascii="Arial" w:hAnsi="Arial" w:cs="Arial"/>
          <w:i/>
          <w:iCs/>
          <w:sz w:val="20"/>
          <w:szCs w:val="22"/>
          <w:highlight w:val="yellow"/>
        </w:rPr>
        <w:t>et al</w:t>
      </w:r>
      <w:r w:rsidRPr="00421F7E">
        <w:rPr>
          <w:rFonts w:ascii="Arial" w:hAnsi="Arial" w:cs="Arial"/>
          <w:sz w:val="20"/>
          <w:szCs w:val="22"/>
          <w:highlight w:val="yellow"/>
        </w:rPr>
        <w:t>., 1996).</w:t>
      </w:r>
      <w:r w:rsidRPr="00595642">
        <w:rPr>
          <w:rFonts w:ascii="Arial" w:hAnsi="Arial" w:cs="Arial"/>
          <w:sz w:val="20"/>
          <w:szCs w:val="22"/>
        </w:rPr>
        <w:t xml:space="preserve"> These actinomycetes are found in both terrestrial and marine environments, it was reported that </w:t>
      </w:r>
      <w:r w:rsidRPr="00595642">
        <w:rPr>
          <w:rFonts w:ascii="Arial" w:hAnsi="Arial" w:cs="Arial"/>
          <w:i/>
          <w:iCs/>
          <w:sz w:val="20"/>
          <w:szCs w:val="22"/>
        </w:rPr>
        <w:t>Nocardiopsis</w:t>
      </w:r>
      <w:r w:rsidRPr="00595642">
        <w:rPr>
          <w:rFonts w:ascii="Arial" w:hAnsi="Arial" w:cs="Arial"/>
          <w:sz w:val="20"/>
          <w:szCs w:val="22"/>
        </w:rPr>
        <w:t xml:space="preserve"> sp. were isolated from marine organisms like sponges and corals (Zhang </w:t>
      </w:r>
      <w:r w:rsidRPr="00595642">
        <w:rPr>
          <w:rFonts w:ascii="Arial" w:hAnsi="Arial" w:cs="Arial"/>
          <w:i/>
          <w:iCs/>
          <w:sz w:val="20"/>
          <w:szCs w:val="22"/>
        </w:rPr>
        <w:t>et al</w:t>
      </w:r>
      <w:r w:rsidRPr="00595642">
        <w:rPr>
          <w:rFonts w:ascii="Arial" w:hAnsi="Arial" w:cs="Arial"/>
          <w:sz w:val="20"/>
          <w:szCs w:val="22"/>
        </w:rPr>
        <w:t xml:space="preserve">., 2013). </w:t>
      </w:r>
      <w:r w:rsidR="00CD35EE" w:rsidRPr="00CD35EE">
        <w:rPr>
          <w:rFonts w:ascii="Arial" w:hAnsi="Arial" w:cs="Arial"/>
          <w:sz w:val="20"/>
          <w:szCs w:val="22"/>
          <w:highlight w:val="yellow"/>
        </w:rPr>
        <w:t xml:space="preserve">Actinomycetes belong to this genus produce a wide variety of metabolites that demonstrate significant antimicrobial activity. They are also capable of producing antitumor agents, anticancer agents, antibiotics, sufactants, and broad range of extracellular enzymes </w:t>
      </w:r>
      <w:r w:rsidRPr="00CD35EE">
        <w:rPr>
          <w:rFonts w:ascii="Arial" w:hAnsi="Arial" w:cs="Arial"/>
          <w:sz w:val="20"/>
          <w:szCs w:val="22"/>
          <w:highlight w:val="yellow"/>
        </w:rPr>
        <w:t xml:space="preserve">(Bennur </w:t>
      </w:r>
      <w:r w:rsidRPr="00CD35EE">
        <w:rPr>
          <w:rFonts w:ascii="Arial" w:hAnsi="Arial" w:cs="Arial"/>
          <w:i/>
          <w:iCs/>
          <w:sz w:val="20"/>
          <w:szCs w:val="22"/>
          <w:highlight w:val="yellow"/>
        </w:rPr>
        <w:t>et al</w:t>
      </w:r>
      <w:r w:rsidRPr="00CD35EE">
        <w:rPr>
          <w:rFonts w:ascii="Arial" w:hAnsi="Arial" w:cs="Arial"/>
          <w:sz w:val="20"/>
          <w:szCs w:val="22"/>
          <w:highlight w:val="yellow"/>
        </w:rPr>
        <w:t>., 2015).</w:t>
      </w:r>
      <w:r w:rsidRPr="00595642">
        <w:rPr>
          <w:rFonts w:ascii="Arial" w:hAnsi="Arial" w:cs="Arial"/>
          <w:sz w:val="20"/>
          <w:szCs w:val="22"/>
        </w:rPr>
        <w:t xml:space="preserve"> These organisms have complicated life cycle until the last stage </w:t>
      </w:r>
      <w:r w:rsidR="003C3EF4">
        <w:rPr>
          <w:rFonts w:ascii="Arial" w:hAnsi="Arial" w:cs="Arial"/>
          <w:sz w:val="20"/>
          <w:szCs w:val="22"/>
        </w:rPr>
        <w:t>which</w:t>
      </w:r>
      <w:r w:rsidRPr="00595642">
        <w:rPr>
          <w:rFonts w:ascii="Arial" w:hAnsi="Arial" w:cs="Arial"/>
          <w:sz w:val="20"/>
          <w:szCs w:val="22"/>
        </w:rPr>
        <w:t xml:space="preserve"> is the formation of sporulating aerial mycelia. As these </w:t>
      </w:r>
      <w:r w:rsidRPr="00595642">
        <w:rPr>
          <w:rFonts w:ascii="Arial" w:hAnsi="Arial" w:cs="Arial"/>
          <w:i/>
          <w:iCs/>
          <w:sz w:val="20"/>
          <w:szCs w:val="22"/>
        </w:rPr>
        <w:t>Nocardiopsis</w:t>
      </w:r>
      <w:r w:rsidRPr="00595642">
        <w:rPr>
          <w:rFonts w:ascii="Arial" w:hAnsi="Arial" w:cs="Arial"/>
          <w:sz w:val="20"/>
          <w:szCs w:val="22"/>
        </w:rPr>
        <w:t xml:space="preserve"> genus are reported to be isolated from various environments including extreme habitats, they are quite difficult to grow in laboratory conditions and most of the times, they are hard to retrieve them on sub-culturing. Hence, various enriched and selective media are used for cultivating different actinomycetes gen</w:t>
      </w:r>
      <w:r w:rsidR="003C3EF4">
        <w:rPr>
          <w:rFonts w:ascii="Arial" w:hAnsi="Arial" w:cs="Arial"/>
          <w:sz w:val="20"/>
          <w:szCs w:val="22"/>
        </w:rPr>
        <w:t>era</w:t>
      </w:r>
      <w:r w:rsidRPr="00595642">
        <w:rPr>
          <w:rFonts w:ascii="Arial" w:hAnsi="Arial" w:cs="Arial"/>
          <w:sz w:val="20"/>
          <w:szCs w:val="22"/>
        </w:rPr>
        <w:t xml:space="preserve">. </w:t>
      </w:r>
      <w:r w:rsidR="003C3EF4" w:rsidRPr="00486C5F">
        <w:rPr>
          <w:rFonts w:ascii="Arial" w:hAnsi="Arial" w:cs="Arial"/>
          <w:sz w:val="20"/>
          <w:szCs w:val="22"/>
          <w:highlight w:val="yellow"/>
        </w:rPr>
        <w:t xml:space="preserve">In this study, we are isolating actinomycetes from marine samples and characterizing the isolated actinomycetes, with a primary focus on the </w:t>
      </w:r>
      <w:r w:rsidR="003C3EF4" w:rsidRPr="00486C5F">
        <w:rPr>
          <w:rFonts w:ascii="Arial" w:hAnsi="Arial" w:cs="Arial"/>
          <w:i/>
          <w:iCs/>
          <w:sz w:val="20"/>
          <w:szCs w:val="22"/>
          <w:highlight w:val="yellow"/>
        </w:rPr>
        <w:t>Nocardiopsis</w:t>
      </w:r>
      <w:r w:rsidR="003C3EF4" w:rsidRPr="00486C5F">
        <w:rPr>
          <w:rFonts w:ascii="Arial" w:hAnsi="Arial" w:cs="Arial"/>
          <w:sz w:val="20"/>
          <w:szCs w:val="22"/>
          <w:highlight w:val="yellow"/>
        </w:rPr>
        <w:t xml:space="preserve"> strain from the Puducherry beach site. We will examine their colony characteristics on various selective and enriched media, conduct biochemical ch</w:t>
      </w:r>
      <w:r w:rsidR="00486C5F" w:rsidRPr="00486C5F">
        <w:rPr>
          <w:rFonts w:ascii="Arial" w:hAnsi="Arial" w:cs="Arial"/>
          <w:sz w:val="20"/>
          <w:szCs w:val="22"/>
          <w:highlight w:val="yellow"/>
        </w:rPr>
        <w:t>aracterization, and analyze their enzyme production and antimicrobial properties.</w:t>
      </w:r>
    </w:p>
    <w:p w14:paraId="3032CBD9" w14:textId="18BE9673" w:rsidR="00F91CF1" w:rsidRPr="00F91CF1" w:rsidRDefault="00F91CF1" w:rsidP="00C044B8">
      <w:pPr>
        <w:pStyle w:val="ListParagraph"/>
        <w:numPr>
          <w:ilvl w:val="0"/>
          <w:numId w:val="1"/>
        </w:numPr>
        <w:spacing w:line="360" w:lineRule="auto"/>
        <w:ind w:left="360"/>
        <w:jc w:val="both"/>
        <w:rPr>
          <w:rFonts w:ascii="Arial" w:hAnsi="Arial" w:cs="Arial"/>
          <w:b/>
          <w:bCs/>
          <w:sz w:val="22"/>
          <w:szCs w:val="24"/>
        </w:rPr>
      </w:pPr>
      <w:r w:rsidRPr="00F91CF1">
        <w:rPr>
          <w:rFonts w:ascii="Arial" w:hAnsi="Arial" w:cs="Arial"/>
          <w:b/>
          <w:bCs/>
          <w:sz w:val="22"/>
          <w:szCs w:val="24"/>
        </w:rPr>
        <w:t>MATERIALS AND METHODS</w:t>
      </w:r>
    </w:p>
    <w:p w14:paraId="27C318F4" w14:textId="148D9659" w:rsidR="00F91CF1" w:rsidRPr="00F91CF1" w:rsidRDefault="00F91CF1" w:rsidP="00C044B8">
      <w:pPr>
        <w:pStyle w:val="ListParagraph"/>
        <w:numPr>
          <w:ilvl w:val="1"/>
          <w:numId w:val="1"/>
        </w:numPr>
        <w:spacing w:line="360" w:lineRule="auto"/>
        <w:ind w:left="360" w:hanging="360"/>
        <w:jc w:val="both"/>
        <w:rPr>
          <w:rFonts w:ascii="Arial" w:hAnsi="Arial" w:cs="Arial"/>
          <w:b/>
          <w:bCs/>
          <w:sz w:val="22"/>
          <w:szCs w:val="24"/>
        </w:rPr>
      </w:pPr>
      <w:r w:rsidRPr="00F91CF1">
        <w:rPr>
          <w:rFonts w:ascii="Arial" w:hAnsi="Arial" w:cs="Arial"/>
          <w:b/>
          <w:bCs/>
          <w:sz w:val="22"/>
          <w:szCs w:val="24"/>
        </w:rPr>
        <w:t>Sample collection from marine environment:</w:t>
      </w:r>
    </w:p>
    <w:p w14:paraId="02A1094F" w14:textId="77777777" w:rsidR="00F91CF1" w:rsidRPr="00F91CF1" w:rsidRDefault="00F91CF1" w:rsidP="00C044B8">
      <w:pPr>
        <w:spacing w:line="360" w:lineRule="auto"/>
        <w:jc w:val="both"/>
        <w:rPr>
          <w:rFonts w:ascii="Arial" w:hAnsi="Arial" w:cs="Arial"/>
          <w:sz w:val="20"/>
          <w:szCs w:val="22"/>
        </w:rPr>
      </w:pPr>
      <w:r w:rsidRPr="00F91CF1">
        <w:rPr>
          <w:rFonts w:ascii="Arial" w:hAnsi="Arial" w:cs="Arial"/>
          <w:sz w:val="20"/>
          <w:szCs w:val="22"/>
        </w:rPr>
        <w:t xml:space="preserve">Three sediment samples were collected from Paradise beach, Puducherry. The site of sample collection was 11°55'13.73 N, 79°49'25.06 E. The samples were sandy in texture and was collected by removing the </w:t>
      </w:r>
      <w:r w:rsidRPr="00F91CF1">
        <w:rPr>
          <w:rFonts w:ascii="Arial" w:hAnsi="Arial" w:cs="Arial"/>
          <w:sz w:val="20"/>
          <w:szCs w:val="22"/>
        </w:rPr>
        <w:lastRenderedPageBreak/>
        <w:t>upper layer of sand and dug a little deep. The sediment samples were collected in a sterile polyethylene zipper bags and transferred to research laboratory, department of Microbiology, Davangere University. The samples were pre-treated with calcium carbonate and air dried at room temperature for 24hr before serial dilution and other isolation methods (Subramani &amp; Aalbersberg., 2013).</w:t>
      </w:r>
    </w:p>
    <w:p w14:paraId="76EEC5CE" w14:textId="46F8596B" w:rsidR="00F91CF1" w:rsidRPr="00F91CF1" w:rsidRDefault="00F91CF1" w:rsidP="00C044B8">
      <w:pPr>
        <w:pStyle w:val="ListParagraph"/>
        <w:numPr>
          <w:ilvl w:val="1"/>
          <w:numId w:val="1"/>
        </w:numPr>
        <w:spacing w:line="360" w:lineRule="auto"/>
        <w:ind w:left="360" w:hanging="360"/>
        <w:jc w:val="both"/>
        <w:rPr>
          <w:rFonts w:ascii="Arial" w:hAnsi="Arial" w:cs="Arial"/>
          <w:b/>
          <w:bCs/>
          <w:sz w:val="22"/>
          <w:szCs w:val="24"/>
        </w:rPr>
      </w:pPr>
      <w:r w:rsidRPr="00F91CF1">
        <w:rPr>
          <w:rFonts w:ascii="Arial" w:hAnsi="Arial" w:cs="Arial"/>
          <w:b/>
          <w:bCs/>
          <w:sz w:val="22"/>
          <w:szCs w:val="24"/>
        </w:rPr>
        <w:t>Isolation of actinomycetes:</w:t>
      </w:r>
    </w:p>
    <w:p w14:paraId="41277330" w14:textId="77777777" w:rsidR="00F91CF1" w:rsidRDefault="00F91CF1" w:rsidP="00C044B8">
      <w:pPr>
        <w:spacing w:line="360" w:lineRule="auto"/>
        <w:jc w:val="both"/>
        <w:rPr>
          <w:rFonts w:ascii="Arial" w:hAnsi="Arial" w:cs="Arial"/>
          <w:sz w:val="20"/>
          <w:szCs w:val="22"/>
        </w:rPr>
      </w:pPr>
      <w:r w:rsidRPr="00F91CF1">
        <w:rPr>
          <w:rFonts w:ascii="Arial" w:hAnsi="Arial" w:cs="Arial"/>
          <w:sz w:val="20"/>
          <w:szCs w:val="22"/>
        </w:rPr>
        <w:t>Pre-treated marine samples were further processed by two methods for isolation- (i) Samples were serially diluted i.e., spread plate method, (ii) Samples were directly inoculated. Serially diluted, 10</w:t>
      </w:r>
      <w:r w:rsidRPr="00F91CF1">
        <w:rPr>
          <w:rFonts w:ascii="Arial" w:hAnsi="Arial" w:cs="Arial"/>
          <w:sz w:val="20"/>
          <w:szCs w:val="22"/>
          <w:vertAlign w:val="superscript"/>
        </w:rPr>
        <w:t>-3</w:t>
      </w:r>
      <w:r w:rsidRPr="00F91CF1">
        <w:rPr>
          <w:rFonts w:ascii="Arial" w:hAnsi="Arial" w:cs="Arial"/>
          <w:sz w:val="20"/>
          <w:szCs w:val="22"/>
        </w:rPr>
        <w:t>,10</w:t>
      </w:r>
      <w:r w:rsidRPr="00F91CF1">
        <w:rPr>
          <w:rFonts w:ascii="Arial" w:hAnsi="Arial" w:cs="Arial"/>
          <w:sz w:val="20"/>
          <w:szCs w:val="22"/>
          <w:vertAlign w:val="superscript"/>
        </w:rPr>
        <w:t xml:space="preserve">-4 </w:t>
      </w:r>
      <w:r w:rsidRPr="00F91CF1">
        <w:rPr>
          <w:rFonts w:ascii="Arial" w:hAnsi="Arial" w:cs="Arial"/>
          <w:sz w:val="20"/>
          <w:szCs w:val="22"/>
        </w:rPr>
        <w:t xml:space="preserve">dilutions were inoculated on the starch casein agar plates (Sharma </w:t>
      </w:r>
      <w:r w:rsidRPr="00F91CF1">
        <w:rPr>
          <w:rFonts w:ascii="Arial" w:hAnsi="Arial" w:cs="Arial"/>
          <w:i/>
          <w:iCs/>
          <w:sz w:val="20"/>
          <w:szCs w:val="22"/>
        </w:rPr>
        <w:t>et al</w:t>
      </w:r>
      <w:r w:rsidRPr="00F91CF1">
        <w:rPr>
          <w:rFonts w:ascii="Arial" w:hAnsi="Arial" w:cs="Arial"/>
          <w:sz w:val="20"/>
          <w:szCs w:val="22"/>
        </w:rPr>
        <w:t>., 2021) and the samples which was air dried were directly sprinkled on the plates containing starch casein agar medium, incubated at 37</w:t>
      </w:r>
      <w:r w:rsidRPr="00F91CF1">
        <w:rPr>
          <w:rFonts w:ascii="Cambria Math" w:hAnsi="Cambria Math" w:cs="Cambria Math"/>
          <w:sz w:val="20"/>
          <w:szCs w:val="22"/>
        </w:rPr>
        <w:t>℃</w:t>
      </w:r>
      <w:r w:rsidRPr="00F91CF1">
        <w:rPr>
          <w:rFonts w:ascii="Arial" w:hAnsi="Arial" w:cs="Arial"/>
          <w:sz w:val="20"/>
          <w:szCs w:val="22"/>
        </w:rPr>
        <w:t xml:space="preserve"> for 5-7 days. The isolated actinomycetes colonies were pure cultured for further identification, characterization and other analysis.</w:t>
      </w:r>
    </w:p>
    <w:p w14:paraId="34F74991" w14:textId="77777777" w:rsidR="003C4A2F" w:rsidRPr="00F91CF1" w:rsidRDefault="003C4A2F" w:rsidP="00C044B8">
      <w:pPr>
        <w:spacing w:line="360" w:lineRule="auto"/>
        <w:jc w:val="both"/>
        <w:rPr>
          <w:rFonts w:ascii="Arial" w:hAnsi="Arial" w:cs="Arial"/>
          <w:sz w:val="20"/>
          <w:szCs w:val="22"/>
        </w:rPr>
      </w:pPr>
    </w:p>
    <w:p w14:paraId="217AD2E1" w14:textId="648C224C" w:rsidR="00F91CF1" w:rsidRPr="00F91CF1" w:rsidRDefault="00F91CF1" w:rsidP="00C044B8">
      <w:pPr>
        <w:pStyle w:val="ListParagraph"/>
        <w:numPr>
          <w:ilvl w:val="1"/>
          <w:numId w:val="1"/>
        </w:numPr>
        <w:spacing w:line="360" w:lineRule="auto"/>
        <w:ind w:left="360" w:hanging="360"/>
        <w:jc w:val="both"/>
        <w:rPr>
          <w:rFonts w:ascii="Arial" w:hAnsi="Arial" w:cs="Arial"/>
          <w:b/>
          <w:bCs/>
          <w:sz w:val="22"/>
          <w:szCs w:val="24"/>
        </w:rPr>
      </w:pPr>
      <w:r w:rsidRPr="00F91CF1">
        <w:rPr>
          <w:rFonts w:ascii="Arial" w:hAnsi="Arial" w:cs="Arial"/>
          <w:b/>
          <w:bCs/>
          <w:sz w:val="22"/>
          <w:szCs w:val="24"/>
        </w:rPr>
        <w:t>Antimicrobial activity:</w:t>
      </w:r>
    </w:p>
    <w:p w14:paraId="30C250AF" w14:textId="154E000A" w:rsidR="00F91CF1" w:rsidRPr="00F91CF1" w:rsidRDefault="00F91CF1" w:rsidP="00C044B8">
      <w:pPr>
        <w:spacing w:line="360" w:lineRule="auto"/>
        <w:jc w:val="both"/>
        <w:rPr>
          <w:rFonts w:ascii="Arial" w:hAnsi="Arial" w:cs="Arial"/>
          <w:sz w:val="20"/>
          <w:szCs w:val="22"/>
        </w:rPr>
      </w:pPr>
      <w:r w:rsidRPr="00F91CF1">
        <w:rPr>
          <w:rFonts w:ascii="Arial" w:hAnsi="Arial" w:cs="Arial"/>
          <w:sz w:val="20"/>
          <w:szCs w:val="22"/>
        </w:rPr>
        <w:t>By agar overlay method, the isolated Nocardiopsis strain was inoculated on SCA medium and was incubated at 37</w:t>
      </w:r>
      <w:r w:rsidRPr="00F91CF1">
        <w:rPr>
          <w:rFonts w:ascii="Cambria Math" w:hAnsi="Cambria Math" w:cs="Cambria Math"/>
          <w:sz w:val="20"/>
          <w:szCs w:val="22"/>
        </w:rPr>
        <w:t>℃</w:t>
      </w:r>
      <w:r w:rsidRPr="00F91CF1">
        <w:rPr>
          <w:rFonts w:ascii="Arial" w:hAnsi="Arial" w:cs="Arial"/>
          <w:sz w:val="20"/>
          <w:szCs w:val="22"/>
        </w:rPr>
        <w:t xml:space="preserve"> for 5-7 days. Soft nutrient agar (0.5g agar in 100ml) was sterilized, cooled and inoculated with 24hr fresh pathogenic bacterial cultures. It was vortexed and poured on the pre-inoculated SCA plates, spread evenly and incubated for 24- 48hrs at 37</w:t>
      </w:r>
      <m:oMath>
        <m:r>
          <w:rPr>
            <w:rFonts w:ascii="Cambria Math" w:hAnsi="Cambria Math" w:cs="Arial"/>
            <w:sz w:val="20"/>
            <w:szCs w:val="22"/>
          </w:rPr>
          <m:t>℃</m:t>
        </m:r>
      </m:oMath>
      <w:r w:rsidRPr="00F91CF1">
        <w:rPr>
          <w:rFonts w:ascii="Arial" w:eastAsiaTheme="minorEastAsia" w:hAnsi="Arial" w:cs="Arial"/>
          <w:sz w:val="20"/>
          <w:szCs w:val="22"/>
        </w:rPr>
        <w:t>. Observed for inhibition around the colony, measured in mm and noted (</w:t>
      </w:r>
      <w:r w:rsidRPr="00F91CF1">
        <w:rPr>
          <w:rFonts w:ascii="Arial" w:hAnsi="Arial" w:cs="Arial"/>
          <w:sz w:val="20"/>
          <w:szCs w:val="22"/>
        </w:rPr>
        <w:t xml:space="preserve">Somasundaram </w:t>
      </w:r>
      <w:r w:rsidRPr="00F91CF1">
        <w:rPr>
          <w:rFonts w:ascii="Arial" w:hAnsi="Arial" w:cs="Arial"/>
          <w:i/>
          <w:iCs/>
          <w:sz w:val="20"/>
          <w:szCs w:val="22"/>
        </w:rPr>
        <w:t>et al</w:t>
      </w:r>
      <w:r w:rsidRPr="00F91CF1">
        <w:rPr>
          <w:rFonts w:ascii="Arial" w:hAnsi="Arial" w:cs="Arial"/>
          <w:sz w:val="20"/>
          <w:szCs w:val="22"/>
        </w:rPr>
        <w:t>., 2024</w:t>
      </w:r>
      <w:r w:rsidRPr="00F91CF1">
        <w:rPr>
          <w:rFonts w:ascii="Arial" w:eastAsiaTheme="minorEastAsia" w:hAnsi="Arial" w:cs="Arial"/>
          <w:sz w:val="20"/>
          <w:szCs w:val="22"/>
        </w:rPr>
        <w:t>).</w:t>
      </w:r>
    </w:p>
    <w:p w14:paraId="299E267D" w14:textId="07BE0197" w:rsidR="00F91CF1" w:rsidRPr="00F91CF1" w:rsidRDefault="00F91CF1" w:rsidP="00C044B8">
      <w:pPr>
        <w:pStyle w:val="ListParagraph"/>
        <w:numPr>
          <w:ilvl w:val="1"/>
          <w:numId w:val="1"/>
        </w:numPr>
        <w:spacing w:line="360" w:lineRule="auto"/>
        <w:ind w:left="360" w:hanging="360"/>
        <w:jc w:val="both"/>
        <w:rPr>
          <w:rFonts w:ascii="Arial" w:hAnsi="Arial" w:cs="Arial"/>
          <w:b/>
          <w:bCs/>
          <w:sz w:val="22"/>
          <w:szCs w:val="24"/>
        </w:rPr>
      </w:pPr>
      <w:r w:rsidRPr="00F91CF1">
        <w:rPr>
          <w:rFonts w:ascii="Arial" w:hAnsi="Arial" w:cs="Arial"/>
          <w:b/>
          <w:bCs/>
          <w:sz w:val="22"/>
          <w:szCs w:val="24"/>
        </w:rPr>
        <w:t>Phenotypic characterization:</w:t>
      </w:r>
    </w:p>
    <w:p w14:paraId="333745E1" w14:textId="4EC63DB8" w:rsidR="00F91CF1" w:rsidRPr="00F91CF1" w:rsidRDefault="00F91CF1" w:rsidP="00C044B8">
      <w:pPr>
        <w:spacing w:line="360" w:lineRule="auto"/>
        <w:jc w:val="both"/>
        <w:rPr>
          <w:rFonts w:ascii="Arial" w:hAnsi="Arial" w:cs="Arial"/>
          <w:sz w:val="20"/>
          <w:szCs w:val="24"/>
        </w:rPr>
      </w:pPr>
      <w:r w:rsidRPr="00F91CF1">
        <w:rPr>
          <w:rFonts w:ascii="Arial" w:hAnsi="Arial" w:cs="Arial"/>
          <w:sz w:val="20"/>
          <w:szCs w:val="22"/>
        </w:rPr>
        <w:t xml:space="preserve">Actinomycetes isolated were characterized based on colony morphology, microscopic observation and various biochemical tests. Colony morphology and growth of the isolate were observed on different media such as Starch casein agar, Bennett’s agar (Hirsch, &amp; Christensen., 1983), Actinomycetes isolation agar, Chitin agar (Lingappa &amp; Lockwood., 1961), Kuster’s agar (Mohseni </w:t>
      </w:r>
      <w:r w:rsidRPr="00F91CF1">
        <w:rPr>
          <w:rFonts w:ascii="Arial" w:hAnsi="Arial" w:cs="Arial"/>
          <w:i/>
          <w:iCs/>
          <w:sz w:val="20"/>
          <w:szCs w:val="22"/>
        </w:rPr>
        <w:t>et al</w:t>
      </w:r>
      <w:r w:rsidRPr="00F91CF1">
        <w:rPr>
          <w:rFonts w:ascii="Arial" w:hAnsi="Arial" w:cs="Arial"/>
          <w:sz w:val="20"/>
          <w:szCs w:val="22"/>
        </w:rPr>
        <w:t xml:space="preserve">., 2013), Humic acid- vitamin agar (Hayakawa, &amp; Nonomura., 1987), Glycerol- asparagine agar, Soyabean-casein agar, Tryptic soy agar (Bala </w:t>
      </w:r>
      <w:r w:rsidRPr="00F91CF1">
        <w:rPr>
          <w:rFonts w:ascii="Arial" w:hAnsi="Arial" w:cs="Arial"/>
          <w:i/>
          <w:iCs/>
          <w:sz w:val="20"/>
          <w:szCs w:val="22"/>
        </w:rPr>
        <w:t>et al</w:t>
      </w:r>
      <w:r w:rsidRPr="00F91CF1">
        <w:rPr>
          <w:rFonts w:ascii="Arial" w:hAnsi="Arial" w:cs="Arial"/>
          <w:sz w:val="20"/>
          <w:szCs w:val="22"/>
        </w:rPr>
        <w:t xml:space="preserve">., 2012), and Oatmeal agar (Xi </w:t>
      </w:r>
      <w:r w:rsidRPr="00F91CF1">
        <w:rPr>
          <w:rFonts w:ascii="Arial" w:hAnsi="Arial" w:cs="Arial"/>
          <w:i/>
          <w:iCs/>
          <w:sz w:val="20"/>
          <w:szCs w:val="22"/>
        </w:rPr>
        <w:t>et al</w:t>
      </w:r>
      <w:r w:rsidRPr="00F91CF1">
        <w:rPr>
          <w:rFonts w:ascii="Arial" w:hAnsi="Arial" w:cs="Arial"/>
          <w:sz w:val="20"/>
          <w:szCs w:val="22"/>
        </w:rPr>
        <w:t xml:space="preserve">., 2011). The colony aerial mycelium colour and substrate mycelium colour is observed and also observed for the pigment production. Gram staining was performed to check its Gram’s reaction; </w:t>
      </w:r>
      <w:r w:rsidRPr="0070043E">
        <w:rPr>
          <w:rFonts w:ascii="Arial" w:hAnsi="Arial" w:cs="Arial"/>
          <w:sz w:val="20"/>
          <w:szCs w:val="22"/>
          <w:highlight w:val="yellow"/>
        </w:rPr>
        <w:t xml:space="preserve">coverslip method and slide culture method was performed to know the mycelial structure </w:t>
      </w:r>
      <w:r w:rsidR="0070043E" w:rsidRPr="0070043E">
        <w:rPr>
          <w:rFonts w:ascii="Arial" w:hAnsi="Arial" w:cs="Arial"/>
          <w:sz w:val="20"/>
          <w:szCs w:val="22"/>
          <w:highlight w:val="yellow"/>
        </w:rPr>
        <w:t>(</w:t>
      </w:r>
      <w:r w:rsidR="0070043E" w:rsidRPr="0070043E">
        <w:rPr>
          <w:rFonts w:ascii="Arial" w:hAnsi="Arial" w:cs="Arial"/>
          <w:sz w:val="20"/>
          <w:szCs w:val="22"/>
          <w:highlight w:val="yellow"/>
        </w:rPr>
        <w:t>Hegazy</w:t>
      </w:r>
      <w:r w:rsidR="0070043E" w:rsidRPr="0070043E">
        <w:rPr>
          <w:rFonts w:ascii="Arial" w:hAnsi="Arial" w:cs="Arial"/>
          <w:sz w:val="20"/>
          <w:szCs w:val="22"/>
          <w:highlight w:val="yellow"/>
        </w:rPr>
        <w:t xml:space="preserve"> </w:t>
      </w:r>
      <w:r w:rsidR="0070043E" w:rsidRPr="0070043E">
        <w:rPr>
          <w:rFonts w:ascii="Arial" w:hAnsi="Arial" w:cs="Arial"/>
          <w:i/>
          <w:iCs/>
          <w:sz w:val="20"/>
          <w:szCs w:val="22"/>
          <w:highlight w:val="yellow"/>
        </w:rPr>
        <w:t>et al.,</w:t>
      </w:r>
      <w:r w:rsidR="0070043E" w:rsidRPr="0070043E">
        <w:rPr>
          <w:rFonts w:ascii="Arial" w:hAnsi="Arial" w:cs="Arial"/>
          <w:sz w:val="20"/>
          <w:szCs w:val="22"/>
          <w:highlight w:val="yellow"/>
        </w:rPr>
        <w:t xml:space="preserve"> 2023)</w:t>
      </w:r>
      <w:r w:rsidR="0070043E">
        <w:rPr>
          <w:rFonts w:ascii="Arial" w:hAnsi="Arial" w:cs="Arial"/>
          <w:sz w:val="20"/>
          <w:szCs w:val="22"/>
        </w:rPr>
        <w:t xml:space="preserve"> </w:t>
      </w:r>
      <w:r w:rsidRPr="00F91CF1">
        <w:rPr>
          <w:rFonts w:ascii="Arial" w:hAnsi="Arial" w:cs="Arial"/>
          <w:sz w:val="20"/>
          <w:szCs w:val="22"/>
        </w:rPr>
        <w:t xml:space="preserve">and was also observed under Scanning electron microscope for the spore chain structure and arrangements. Biochemical tests such as citrate utilization, triple suage iron test, urease utilization, catalase, KOH, hydrogen sulfide production tests and different carbon source utilization tests were performed. Degradative tests for the isolate to check their ability to degrade the insoluble compounds such as tyrosine, xylan, adenine, guanine and starch was tested by inoculating actinomycetes isolates on modified Bennett’s agar medium and observed for zone of clearance around the colony (Goodfellow., 1971). Antibiotic sensitivity of the isolate was tested by using standard antibiotic discs. Actinomycetes isolate was </w:t>
      </w:r>
      <w:r w:rsidRPr="00F91CF1">
        <w:rPr>
          <w:rFonts w:ascii="Arial" w:hAnsi="Arial" w:cs="Arial"/>
          <w:sz w:val="20"/>
          <w:szCs w:val="22"/>
        </w:rPr>
        <w:lastRenderedPageBreak/>
        <w:t xml:space="preserve">swabbed on SCA medium and 10 different antibiotics were placed at equal distance, incubated for 3-5 days and observed weather the organism is resistant or sensitive to the particular antibiotic (Williams </w:t>
      </w:r>
      <w:r w:rsidRPr="00F91CF1">
        <w:rPr>
          <w:rFonts w:ascii="Arial" w:hAnsi="Arial" w:cs="Arial"/>
          <w:i/>
          <w:iCs/>
          <w:sz w:val="20"/>
          <w:szCs w:val="22"/>
        </w:rPr>
        <w:t>et al</w:t>
      </w:r>
      <w:r w:rsidRPr="00F91CF1">
        <w:rPr>
          <w:rFonts w:ascii="Arial" w:hAnsi="Arial" w:cs="Arial"/>
          <w:sz w:val="20"/>
          <w:szCs w:val="22"/>
        </w:rPr>
        <w:t xml:space="preserve">., 1983). Molecular identification of the actinomycetes isolated was done by extracting DNA and 16S rRNA was amplified. The nucleotide sequence was checked for similarity in Genbank data base by using BLAST. The phylogenetic tree was </w:t>
      </w:r>
      <w:r w:rsidRPr="00F91CF1">
        <w:rPr>
          <w:rFonts w:ascii="Arial" w:hAnsi="Arial" w:cs="Arial"/>
          <w:sz w:val="20"/>
          <w:szCs w:val="24"/>
        </w:rPr>
        <w:t>created using the neighbor joining method with the help of MEGA software.</w:t>
      </w:r>
    </w:p>
    <w:p w14:paraId="6A80929E" w14:textId="0B4C099D" w:rsidR="00F91CF1" w:rsidRPr="00F91CF1" w:rsidRDefault="00F91CF1" w:rsidP="00C044B8">
      <w:pPr>
        <w:pStyle w:val="ListParagraph"/>
        <w:numPr>
          <w:ilvl w:val="1"/>
          <w:numId w:val="1"/>
        </w:numPr>
        <w:spacing w:line="360" w:lineRule="auto"/>
        <w:ind w:left="360" w:hanging="360"/>
        <w:jc w:val="both"/>
        <w:rPr>
          <w:rFonts w:ascii="Arial" w:hAnsi="Arial" w:cs="Arial"/>
          <w:b/>
          <w:bCs/>
          <w:sz w:val="22"/>
          <w:szCs w:val="24"/>
        </w:rPr>
      </w:pPr>
      <w:r w:rsidRPr="00F91CF1">
        <w:rPr>
          <w:rFonts w:ascii="Arial" w:hAnsi="Arial" w:cs="Arial"/>
          <w:b/>
          <w:bCs/>
          <w:sz w:val="22"/>
          <w:szCs w:val="24"/>
        </w:rPr>
        <w:t>Screening of hydrolytic enzymes:</w:t>
      </w:r>
    </w:p>
    <w:p w14:paraId="618594FB" w14:textId="484DD7BD" w:rsidR="00F91CF1" w:rsidRPr="00281389" w:rsidRDefault="00F91CF1" w:rsidP="00C044B8">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Lipase:</w:t>
      </w:r>
      <w:r w:rsidRPr="00281389">
        <w:rPr>
          <w:rFonts w:ascii="Arial" w:hAnsi="Arial" w:cs="Arial"/>
          <w:sz w:val="20"/>
          <w:szCs w:val="22"/>
        </w:rPr>
        <w:t xml:space="preserve"> Tween-20 agar medium was used to screen the enzyme activity of the </w:t>
      </w:r>
      <w:r w:rsidRPr="00281389">
        <w:rPr>
          <w:rFonts w:ascii="Arial" w:hAnsi="Arial" w:cs="Arial"/>
          <w:i/>
          <w:iCs/>
          <w:sz w:val="20"/>
          <w:szCs w:val="22"/>
        </w:rPr>
        <w:t>Nocardiopsis</w:t>
      </w:r>
      <w:r w:rsidRPr="00281389">
        <w:rPr>
          <w:rFonts w:ascii="Arial" w:hAnsi="Arial" w:cs="Arial"/>
          <w:sz w:val="20"/>
          <w:szCs w:val="22"/>
        </w:rPr>
        <w:t xml:space="preserve"> strain (Salehghamari </w:t>
      </w:r>
      <w:r w:rsidRPr="00281389">
        <w:rPr>
          <w:rFonts w:ascii="Arial" w:hAnsi="Arial" w:cs="Arial"/>
          <w:i/>
          <w:iCs/>
          <w:sz w:val="20"/>
          <w:szCs w:val="22"/>
        </w:rPr>
        <w:t>et al</w:t>
      </w:r>
      <w:r w:rsidRPr="00281389">
        <w:rPr>
          <w:rFonts w:ascii="Arial" w:hAnsi="Arial" w:cs="Arial"/>
          <w:sz w:val="20"/>
          <w:szCs w:val="22"/>
        </w:rPr>
        <w:t>., 2023). The isolate was inoculated on Tween-20 agar medium, incubated for 37</w:t>
      </w:r>
      <w:r w:rsidRPr="00281389">
        <w:rPr>
          <w:rFonts w:ascii="Cambria Math" w:hAnsi="Cambria Math" w:cs="Cambria Math"/>
          <w:sz w:val="20"/>
          <w:szCs w:val="22"/>
        </w:rPr>
        <w:t>℃</w:t>
      </w:r>
      <w:r w:rsidRPr="00281389">
        <w:rPr>
          <w:rFonts w:ascii="Arial" w:hAnsi="Arial" w:cs="Arial"/>
          <w:sz w:val="20"/>
          <w:szCs w:val="22"/>
        </w:rPr>
        <w:t xml:space="preserve"> for 5-7 days. After incubation, the plate was flooded with CaCl</w:t>
      </w:r>
      <w:r w:rsidRPr="00281389">
        <w:rPr>
          <w:rFonts w:ascii="Arial" w:hAnsi="Arial" w:cs="Arial"/>
          <w:sz w:val="20"/>
          <w:szCs w:val="22"/>
          <w:vertAlign w:val="subscript"/>
        </w:rPr>
        <w:t>2</w:t>
      </w:r>
      <w:r w:rsidRPr="00281389">
        <w:rPr>
          <w:rFonts w:ascii="Arial" w:hAnsi="Arial" w:cs="Arial"/>
          <w:sz w:val="20"/>
          <w:szCs w:val="22"/>
        </w:rPr>
        <w:t xml:space="preserve"> solution. Presence of white precipitate around the colony was noted as positive result.</w:t>
      </w:r>
    </w:p>
    <w:p w14:paraId="5CB15C5D" w14:textId="03181A98" w:rsidR="00F91CF1" w:rsidRPr="00281389" w:rsidRDefault="00F91CF1" w:rsidP="00C044B8">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Protease:</w:t>
      </w:r>
      <w:r w:rsidRPr="00281389">
        <w:rPr>
          <w:rFonts w:ascii="Arial" w:hAnsi="Arial" w:cs="Arial"/>
          <w:sz w:val="20"/>
          <w:szCs w:val="22"/>
        </w:rPr>
        <w:t xml:space="preserve"> Skim milk agar medium was used to screen the enzyme activity of the isolated strain (Salehghamari </w:t>
      </w:r>
      <w:r w:rsidRPr="00281389">
        <w:rPr>
          <w:rFonts w:ascii="Arial" w:hAnsi="Arial" w:cs="Arial"/>
          <w:i/>
          <w:iCs/>
          <w:sz w:val="20"/>
          <w:szCs w:val="22"/>
        </w:rPr>
        <w:t>et al</w:t>
      </w:r>
      <w:r w:rsidRPr="00281389">
        <w:rPr>
          <w:rFonts w:ascii="Arial" w:hAnsi="Arial" w:cs="Arial"/>
          <w:sz w:val="20"/>
          <w:szCs w:val="22"/>
        </w:rPr>
        <w:t xml:space="preserve">., 2023). </w:t>
      </w:r>
      <w:r w:rsidRPr="00281389">
        <w:rPr>
          <w:rFonts w:ascii="Arial" w:hAnsi="Arial" w:cs="Arial"/>
          <w:i/>
          <w:iCs/>
          <w:sz w:val="20"/>
          <w:szCs w:val="22"/>
        </w:rPr>
        <w:t>Nocardiopsis</w:t>
      </w:r>
      <w:r w:rsidRPr="00281389">
        <w:rPr>
          <w:rFonts w:ascii="Arial" w:hAnsi="Arial" w:cs="Arial"/>
          <w:sz w:val="20"/>
          <w:szCs w:val="22"/>
        </w:rPr>
        <w:t xml:space="preserve"> stain was inoculated on skim milk agar medium, incubated for 37</w:t>
      </w:r>
      <w:r w:rsidRPr="00281389">
        <w:rPr>
          <w:rFonts w:ascii="Cambria Math" w:hAnsi="Cambria Math" w:cs="Cambria Math"/>
          <w:sz w:val="20"/>
          <w:szCs w:val="22"/>
        </w:rPr>
        <w:t>℃</w:t>
      </w:r>
      <w:r w:rsidRPr="00281389">
        <w:rPr>
          <w:rFonts w:ascii="Arial" w:hAnsi="Arial" w:cs="Arial"/>
          <w:sz w:val="20"/>
          <w:szCs w:val="22"/>
        </w:rPr>
        <w:t xml:space="preserve"> for 5-7 days. After incubation, the plate was flooded with bromocresol green and zone of clearance around the colony was noted as positive result.</w:t>
      </w:r>
    </w:p>
    <w:p w14:paraId="1B314D4E" w14:textId="7E06F30B" w:rsidR="00F91CF1" w:rsidRPr="00281389" w:rsidRDefault="00F91CF1" w:rsidP="00C044B8">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Amylase:</w:t>
      </w:r>
      <w:r w:rsidRPr="00281389">
        <w:rPr>
          <w:rFonts w:ascii="Arial" w:hAnsi="Arial" w:cs="Arial"/>
          <w:sz w:val="20"/>
          <w:szCs w:val="22"/>
        </w:rPr>
        <w:t xml:space="preserve"> Starch casein agar medium was used to screen enzyme activity of the strain (Salehghamari </w:t>
      </w:r>
      <w:r w:rsidRPr="00281389">
        <w:rPr>
          <w:rFonts w:ascii="Arial" w:hAnsi="Arial" w:cs="Arial"/>
          <w:i/>
          <w:iCs/>
          <w:sz w:val="20"/>
          <w:szCs w:val="22"/>
        </w:rPr>
        <w:t>et al</w:t>
      </w:r>
      <w:r w:rsidRPr="00281389">
        <w:rPr>
          <w:rFonts w:ascii="Arial" w:hAnsi="Arial" w:cs="Arial"/>
          <w:sz w:val="20"/>
          <w:szCs w:val="22"/>
        </w:rPr>
        <w:t>., 2023). The isolated strain was inoculated on SCA medium, incubated at 37</w:t>
      </w:r>
      <w:r w:rsidRPr="00281389">
        <w:rPr>
          <w:rFonts w:ascii="Cambria Math" w:hAnsi="Cambria Math" w:cs="Cambria Math"/>
          <w:sz w:val="20"/>
          <w:szCs w:val="22"/>
        </w:rPr>
        <w:t>℃</w:t>
      </w:r>
      <w:r w:rsidRPr="00281389">
        <w:rPr>
          <w:rFonts w:ascii="Arial" w:hAnsi="Arial" w:cs="Arial"/>
          <w:sz w:val="20"/>
          <w:szCs w:val="22"/>
        </w:rPr>
        <w:t xml:space="preserve"> for 5-7 days. After incubation, the plate was flooded with Gram’s iodine solution and the zone of clearance around the colony in dark background was taken as positive result.</w:t>
      </w:r>
    </w:p>
    <w:p w14:paraId="4D6F63EE" w14:textId="39D6DCB0" w:rsidR="00F91CF1" w:rsidRPr="00281389" w:rsidRDefault="00F91CF1" w:rsidP="00C044B8">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Cellulase:</w:t>
      </w:r>
      <w:r w:rsidRPr="00281389">
        <w:rPr>
          <w:rFonts w:ascii="Arial" w:hAnsi="Arial" w:cs="Arial"/>
          <w:sz w:val="20"/>
          <w:szCs w:val="22"/>
        </w:rPr>
        <w:t xml:space="preserve"> Carboxymethyl cellulose agar medium was used to screen the enzyme activity of </w:t>
      </w:r>
      <w:r w:rsidRPr="00281389">
        <w:rPr>
          <w:rFonts w:ascii="Arial" w:hAnsi="Arial" w:cs="Arial"/>
          <w:i/>
          <w:iCs/>
          <w:sz w:val="20"/>
          <w:szCs w:val="22"/>
        </w:rPr>
        <w:t>Nocardiopsis</w:t>
      </w:r>
      <w:r w:rsidRPr="00281389">
        <w:rPr>
          <w:rFonts w:ascii="Arial" w:hAnsi="Arial" w:cs="Arial"/>
          <w:sz w:val="20"/>
          <w:szCs w:val="22"/>
        </w:rPr>
        <w:t xml:space="preserve"> strain (Putri &amp; Setiawan., 2019). The isolate was inoculated on CMC medium, incubated at 37</w:t>
      </w:r>
      <w:r w:rsidRPr="00281389">
        <w:rPr>
          <w:rFonts w:ascii="Cambria Math" w:hAnsi="Cambria Math" w:cs="Cambria Math"/>
          <w:sz w:val="20"/>
          <w:szCs w:val="22"/>
        </w:rPr>
        <w:t>℃</w:t>
      </w:r>
      <w:r w:rsidRPr="00281389">
        <w:rPr>
          <w:rFonts w:ascii="Arial" w:hAnsi="Arial" w:cs="Arial"/>
          <w:sz w:val="20"/>
          <w:szCs w:val="22"/>
        </w:rPr>
        <w:t xml:space="preserve"> for 5-7 days. After incubation, the plate was flooded with 1% congo red solution followed by 1N HCl solution and observed for zone of clearance around the colony after 15-20 mins.</w:t>
      </w:r>
    </w:p>
    <w:p w14:paraId="45597CF3" w14:textId="6989374A" w:rsidR="00F91CF1" w:rsidRPr="00281389" w:rsidRDefault="00F91CF1" w:rsidP="00C044B8">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Tyrosinase:</w:t>
      </w:r>
      <w:r w:rsidRPr="00281389">
        <w:rPr>
          <w:rFonts w:ascii="Arial" w:hAnsi="Arial" w:cs="Arial"/>
          <w:sz w:val="20"/>
          <w:szCs w:val="22"/>
        </w:rPr>
        <w:t xml:space="preserve"> Tyrosine agar medium was used to screen enzyme activity of the isolated strain (Rudrappa </w:t>
      </w:r>
      <w:r w:rsidRPr="00281389">
        <w:rPr>
          <w:rFonts w:ascii="Arial" w:hAnsi="Arial" w:cs="Arial"/>
          <w:i/>
          <w:iCs/>
          <w:sz w:val="20"/>
          <w:szCs w:val="22"/>
        </w:rPr>
        <w:t>et al.</w:t>
      </w:r>
      <w:r w:rsidRPr="00281389">
        <w:rPr>
          <w:rFonts w:ascii="Arial" w:hAnsi="Arial" w:cs="Arial"/>
          <w:sz w:val="20"/>
          <w:szCs w:val="22"/>
        </w:rPr>
        <w:t>, 2022). The isolated strain was inoculated on tyrosine agar medium, incubated at 37</w:t>
      </w:r>
      <w:r w:rsidRPr="00281389">
        <w:rPr>
          <w:rFonts w:ascii="Cambria Math" w:hAnsi="Cambria Math" w:cs="Cambria Math"/>
          <w:sz w:val="20"/>
          <w:szCs w:val="22"/>
        </w:rPr>
        <w:t>℃</w:t>
      </w:r>
      <w:r w:rsidRPr="00281389">
        <w:rPr>
          <w:rFonts w:ascii="Arial" w:hAnsi="Arial" w:cs="Arial"/>
          <w:sz w:val="20"/>
          <w:szCs w:val="22"/>
        </w:rPr>
        <w:t xml:space="preserve"> for 5-7 days. After incubation. After the incubation period, observed for zone of clearance around the colony and production of dark red pigment noted as positive result and production of melanin pigment.</w:t>
      </w:r>
    </w:p>
    <w:p w14:paraId="151B47CD" w14:textId="40A16397" w:rsidR="00F91CF1" w:rsidRPr="00281389" w:rsidRDefault="00F91CF1" w:rsidP="00C044B8">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i/>
          <w:iCs/>
          <w:sz w:val="20"/>
          <w:szCs w:val="22"/>
        </w:rPr>
        <w:t>L</w:t>
      </w:r>
      <w:r w:rsidRPr="00281389">
        <w:rPr>
          <w:rFonts w:ascii="Arial" w:hAnsi="Arial" w:cs="Arial"/>
          <w:b/>
          <w:bCs/>
          <w:sz w:val="20"/>
          <w:szCs w:val="22"/>
        </w:rPr>
        <w:t>-Asparaginase:</w:t>
      </w:r>
      <w:r w:rsidRPr="00281389">
        <w:rPr>
          <w:rFonts w:ascii="Arial" w:hAnsi="Arial" w:cs="Arial"/>
          <w:sz w:val="20"/>
          <w:szCs w:val="22"/>
        </w:rPr>
        <w:t xml:space="preserve"> L-asparagine dextrose salt agar medium was used to screen the enzyme activity of </w:t>
      </w:r>
      <w:r w:rsidRPr="00281389">
        <w:rPr>
          <w:rFonts w:ascii="Arial" w:hAnsi="Arial" w:cs="Arial"/>
          <w:i/>
          <w:iCs/>
          <w:sz w:val="20"/>
          <w:szCs w:val="22"/>
        </w:rPr>
        <w:t>Nocardiopsis</w:t>
      </w:r>
      <w:r w:rsidRPr="00281389">
        <w:rPr>
          <w:rFonts w:ascii="Arial" w:hAnsi="Arial" w:cs="Arial"/>
          <w:sz w:val="20"/>
          <w:szCs w:val="22"/>
        </w:rPr>
        <w:t xml:space="preserve"> strain (Usha </w:t>
      </w:r>
      <w:r w:rsidRPr="00281389">
        <w:rPr>
          <w:rFonts w:ascii="Arial" w:hAnsi="Arial" w:cs="Arial"/>
          <w:i/>
          <w:iCs/>
          <w:sz w:val="20"/>
          <w:szCs w:val="22"/>
        </w:rPr>
        <w:t>et al</w:t>
      </w:r>
      <w:r w:rsidRPr="00281389">
        <w:rPr>
          <w:rFonts w:ascii="Arial" w:hAnsi="Arial" w:cs="Arial"/>
          <w:sz w:val="20"/>
          <w:szCs w:val="22"/>
        </w:rPr>
        <w:t>., 2011). The isolated strain was inoculated on the medium, incubated at 37</w:t>
      </w:r>
      <w:r w:rsidRPr="00281389">
        <w:rPr>
          <w:rFonts w:ascii="Cambria Math" w:hAnsi="Cambria Math" w:cs="Cambria Math"/>
          <w:sz w:val="20"/>
          <w:szCs w:val="22"/>
        </w:rPr>
        <w:t>℃</w:t>
      </w:r>
      <w:r w:rsidRPr="00281389">
        <w:rPr>
          <w:rFonts w:ascii="Arial" w:hAnsi="Arial" w:cs="Arial"/>
          <w:sz w:val="20"/>
          <w:szCs w:val="22"/>
        </w:rPr>
        <w:t xml:space="preserve"> for 3-7 days. The change in colour of the medium from yellow to pink colour considered as positive result.</w:t>
      </w:r>
    </w:p>
    <w:p w14:paraId="529E4EED" w14:textId="3CA62CEE" w:rsidR="00F91CF1" w:rsidRDefault="00F91CF1" w:rsidP="00C044B8">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Xylanase:</w:t>
      </w:r>
      <w:r w:rsidRPr="00281389">
        <w:rPr>
          <w:rFonts w:ascii="Arial" w:hAnsi="Arial" w:cs="Arial"/>
          <w:sz w:val="20"/>
          <w:szCs w:val="22"/>
        </w:rPr>
        <w:t xml:space="preserve"> Xylan agar medium was used to screen enzyme activity of this strain (Putri &amp; Setiawan., 2019). </w:t>
      </w:r>
      <w:r w:rsidRPr="00281389">
        <w:rPr>
          <w:rFonts w:ascii="Arial" w:hAnsi="Arial" w:cs="Arial"/>
          <w:i/>
          <w:iCs/>
          <w:sz w:val="20"/>
          <w:szCs w:val="22"/>
        </w:rPr>
        <w:t>Nocardiopsis</w:t>
      </w:r>
      <w:r w:rsidRPr="00281389">
        <w:rPr>
          <w:rFonts w:ascii="Arial" w:hAnsi="Arial" w:cs="Arial"/>
          <w:sz w:val="20"/>
          <w:szCs w:val="22"/>
        </w:rPr>
        <w:t xml:space="preserve"> strain was inoculated the substrate medium, incubated at 37</w:t>
      </w:r>
      <w:r w:rsidRPr="00281389">
        <w:rPr>
          <w:rFonts w:ascii="Cambria Math" w:hAnsi="Cambria Math" w:cs="Cambria Math"/>
          <w:sz w:val="20"/>
          <w:szCs w:val="22"/>
        </w:rPr>
        <w:t>℃</w:t>
      </w:r>
      <w:r w:rsidRPr="00281389">
        <w:rPr>
          <w:rFonts w:ascii="Arial" w:hAnsi="Arial" w:cs="Arial"/>
          <w:sz w:val="20"/>
          <w:szCs w:val="22"/>
        </w:rPr>
        <w:t xml:space="preserve"> for 5-7 days. After incubation, the plate was flooded with 1% congo red solution followed by 1N NaCl solution and observed for zone of clearance around the colony was noted as positive result.</w:t>
      </w:r>
    </w:p>
    <w:p w14:paraId="36B5D881" w14:textId="77777777" w:rsidR="00C044B8" w:rsidRPr="00281389" w:rsidRDefault="00C044B8" w:rsidP="00C044B8">
      <w:pPr>
        <w:pStyle w:val="ListParagraph"/>
        <w:spacing w:line="360" w:lineRule="auto"/>
        <w:jc w:val="both"/>
        <w:rPr>
          <w:rFonts w:ascii="Arial" w:hAnsi="Arial" w:cs="Arial"/>
          <w:sz w:val="20"/>
          <w:szCs w:val="22"/>
        </w:rPr>
      </w:pPr>
    </w:p>
    <w:p w14:paraId="127CF271" w14:textId="7D493BA1" w:rsidR="00281389" w:rsidRPr="00281389" w:rsidRDefault="00281389" w:rsidP="00C044B8">
      <w:pPr>
        <w:pStyle w:val="ListParagraph"/>
        <w:numPr>
          <w:ilvl w:val="0"/>
          <w:numId w:val="1"/>
        </w:numPr>
        <w:spacing w:line="360" w:lineRule="auto"/>
        <w:ind w:left="360"/>
        <w:jc w:val="both"/>
        <w:rPr>
          <w:rFonts w:ascii="Arial" w:hAnsi="Arial" w:cs="Arial"/>
          <w:b/>
          <w:bCs/>
          <w:sz w:val="22"/>
          <w:szCs w:val="24"/>
        </w:rPr>
      </w:pPr>
      <w:r w:rsidRPr="00281389">
        <w:rPr>
          <w:rFonts w:ascii="Arial" w:hAnsi="Arial" w:cs="Arial"/>
          <w:b/>
          <w:bCs/>
          <w:sz w:val="22"/>
          <w:szCs w:val="24"/>
        </w:rPr>
        <w:lastRenderedPageBreak/>
        <w:t>RESULTS</w:t>
      </w:r>
    </w:p>
    <w:p w14:paraId="5E6D82EF" w14:textId="76BF5A69" w:rsidR="00281389" w:rsidRPr="00281389" w:rsidRDefault="00281389" w:rsidP="00C044B8">
      <w:pPr>
        <w:pStyle w:val="ListParagraph"/>
        <w:numPr>
          <w:ilvl w:val="1"/>
          <w:numId w:val="1"/>
        </w:numPr>
        <w:spacing w:line="360" w:lineRule="auto"/>
        <w:ind w:left="360" w:hanging="360"/>
        <w:jc w:val="both"/>
        <w:rPr>
          <w:rFonts w:ascii="Arial" w:hAnsi="Arial" w:cs="Arial"/>
          <w:b/>
          <w:bCs/>
          <w:sz w:val="22"/>
          <w:szCs w:val="24"/>
        </w:rPr>
      </w:pPr>
      <w:r w:rsidRPr="00281389">
        <w:rPr>
          <w:rFonts w:ascii="Arial" w:hAnsi="Arial" w:cs="Arial"/>
          <w:b/>
          <w:bCs/>
          <w:sz w:val="22"/>
          <w:szCs w:val="24"/>
        </w:rPr>
        <w:t>Isolation of actinomycetes:</w:t>
      </w:r>
    </w:p>
    <w:p w14:paraId="2A44F945" w14:textId="7475B4BF" w:rsidR="00281389" w:rsidRPr="00281389" w:rsidRDefault="00281389" w:rsidP="00C044B8">
      <w:pPr>
        <w:spacing w:line="360" w:lineRule="auto"/>
        <w:jc w:val="both"/>
        <w:rPr>
          <w:rFonts w:ascii="Arial" w:hAnsi="Arial" w:cs="Arial"/>
          <w:sz w:val="20"/>
          <w:szCs w:val="22"/>
        </w:rPr>
      </w:pPr>
      <w:r w:rsidRPr="00281389">
        <w:rPr>
          <w:rFonts w:ascii="Arial" w:hAnsi="Arial" w:cs="Arial"/>
          <w:sz w:val="20"/>
          <w:szCs w:val="22"/>
        </w:rPr>
        <w:t>Marine ecosystem is different from the terrestrial environment and they vary in significantly in temperature, salinity and pH. The Paradise beach, from where the marine samples was collected is the natural source of various unidentified and novel organisms (Fig 1). The sample from Puducherry beach was carried to laboratory and pre-treated before isolation. The sand samples were pretreated with 0.2% calcium carbonate and air dried at room temperature to reduce the unwanted bacterial and fungal load. The samples were serially diluted up to 10</w:t>
      </w:r>
      <w:r w:rsidRPr="00281389">
        <w:rPr>
          <w:rFonts w:ascii="Arial" w:hAnsi="Arial" w:cs="Arial"/>
          <w:sz w:val="20"/>
          <w:szCs w:val="22"/>
          <w:vertAlign w:val="superscript"/>
        </w:rPr>
        <w:t>-7</w:t>
      </w:r>
      <w:r w:rsidRPr="00281389">
        <w:rPr>
          <w:rFonts w:ascii="Arial" w:hAnsi="Arial" w:cs="Arial"/>
          <w:sz w:val="20"/>
          <w:szCs w:val="22"/>
        </w:rPr>
        <w:t xml:space="preserve"> dilution and 10</w:t>
      </w:r>
      <w:r w:rsidRPr="00281389">
        <w:rPr>
          <w:rFonts w:ascii="Arial" w:hAnsi="Arial" w:cs="Arial"/>
          <w:sz w:val="20"/>
          <w:szCs w:val="22"/>
          <w:vertAlign w:val="superscript"/>
        </w:rPr>
        <w:t>-3</w:t>
      </w:r>
      <w:r w:rsidRPr="00281389">
        <w:rPr>
          <w:rFonts w:ascii="Arial" w:hAnsi="Arial" w:cs="Arial"/>
          <w:sz w:val="20"/>
          <w:szCs w:val="22"/>
        </w:rPr>
        <w:t xml:space="preserve"> and 10</w:t>
      </w:r>
      <w:r w:rsidRPr="00281389">
        <w:rPr>
          <w:rFonts w:ascii="Arial" w:hAnsi="Arial" w:cs="Arial"/>
          <w:sz w:val="20"/>
          <w:szCs w:val="22"/>
          <w:vertAlign w:val="superscript"/>
        </w:rPr>
        <w:t xml:space="preserve">-4 </w:t>
      </w:r>
      <w:r w:rsidRPr="00281389">
        <w:rPr>
          <w:rFonts w:ascii="Arial" w:hAnsi="Arial" w:cs="Arial"/>
          <w:sz w:val="20"/>
          <w:szCs w:val="22"/>
        </w:rPr>
        <w:t>dilution was inoculated by pour plate method on SCA plates supplemented with antibiotic to avoid contamination. The air-dried samples were directly sprinkled (direct plate method) on the SCA plate and incubated. After incubation period, plates were observed for powdery colonies and such colonies were selected. Thirteen actinomycetes colonies (Fig 2) were isolated and pure culture for further analysis.</w:t>
      </w:r>
    </w:p>
    <w:p w14:paraId="076060A7" w14:textId="719B78C9" w:rsidR="00281389" w:rsidRDefault="00281389" w:rsidP="00C044B8">
      <w:pPr>
        <w:spacing w:line="360" w:lineRule="auto"/>
        <w:jc w:val="center"/>
        <w:rPr>
          <w:rFonts w:ascii="Times New Roman" w:hAnsi="Times New Roman" w:cs="Times New Roman"/>
          <w:noProof/>
          <w:szCs w:val="28"/>
        </w:rPr>
      </w:pPr>
      <w:r>
        <w:rPr>
          <w:rFonts w:ascii="Times New Roman" w:hAnsi="Times New Roman" w:cs="Times New Roman"/>
          <w:noProof/>
          <w:szCs w:val="28"/>
        </w:rPr>
        <mc:AlternateContent>
          <mc:Choice Requires="wps">
            <w:drawing>
              <wp:anchor distT="0" distB="0" distL="114300" distR="114300" simplePos="0" relativeHeight="251659264" behindDoc="0" locked="0" layoutInCell="1" allowOverlap="1" wp14:anchorId="22F40EDB" wp14:editId="02F4A453">
                <wp:simplePos x="0" y="0"/>
                <wp:positionH relativeFrom="column">
                  <wp:posOffset>793750</wp:posOffset>
                </wp:positionH>
                <wp:positionV relativeFrom="paragraph">
                  <wp:posOffset>-2540</wp:posOffset>
                </wp:positionV>
                <wp:extent cx="234950" cy="266700"/>
                <wp:effectExtent l="0" t="0" r="12700" b="19050"/>
                <wp:wrapNone/>
                <wp:docPr id="1608132050" name="Text Box 3"/>
                <wp:cNvGraphicFramePr/>
                <a:graphic xmlns:a="http://schemas.openxmlformats.org/drawingml/2006/main">
                  <a:graphicData uri="http://schemas.microsoft.com/office/word/2010/wordprocessingShape">
                    <wps:wsp>
                      <wps:cNvSpPr txBox="1"/>
                      <wps:spPr>
                        <a:xfrm>
                          <a:off x="0" y="0"/>
                          <a:ext cx="234950" cy="266700"/>
                        </a:xfrm>
                        <a:prstGeom prst="rect">
                          <a:avLst/>
                        </a:prstGeom>
                        <a:solidFill>
                          <a:sysClr val="window" lastClr="FFFFFF"/>
                        </a:solidFill>
                        <a:ln w="6350">
                          <a:solidFill>
                            <a:prstClr val="black"/>
                          </a:solidFill>
                        </a:ln>
                      </wps:spPr>
                      <wps:txbx>
                        <w:txbxContent>
                          <w:p w14:paraId="09348703" w14:textId="77777777" w:rsidR="00281389" w:rsidRPr="00AF5271" w:rsidRDefault="00281389" w:rsidP="00281389">
                            <w:pPr>
                              <w:rPr>
                                <w:rFonts w:ascii="Times New Roman" w:hAnsi="Times New Roman" w:cs="Times New Roman"/>
                                <w:b/>
                                <w:bCs/>
                                <w:sz w:val="20"/>
                                <w:szCs w:val="24"/>
                              </w:rPr>
                            </w:pPr>
                            <w:r w:rsidRPr="00AF5271">
                              <w:rPr>
                                <w:rFonts w:ascii="Times New Roman" w:hAnsi="Times New Roman" w:cs="Times New Roman"/>
                                <w:b/>
                                <w:bCs/>
                                <w:sz w:val="20"/>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40EDB" id="_x0000_t202" coordsize="21600,21600" o:spt="202" path="m,l,21600r21600,l21600,xe">
                <v:stroke joinstyle="miter"/>
                <v:path gradientshapeok="t" o:connecttype="rect"/>
              </v:shapetype>
              <v:shape id="Text Box 3" o:spid="_x0000_s1026" type="#_x0000_t202" style="position:absolute;left:0;text-align:left;margin-left:62.5pt;margin-top:-.2pt;width:18.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" fillcolor="window" strokeweight=".5pt">
                <v:textbox>
                  <w:txbxContent>
                    <w:p w14:paraId="09348703" w14:textId="77777777" w:rsidR="00281389" w:rsidRPr="00AF5271" w:rsidRDefault="00281389" w:rsidP="00281389">
                      <w:pPr>
                        <w:rPr>
                          <w:rFonts w:ascii="Times New Roman" w:hAnsi="Times New Roman" w:cs="Times New Roman"/>
                          <w:b/>
                          <w:bCs/>
                          <w:sz w:val="20"/>
                          <w:szCs w:val="24"/>
                        </w:rPr>
                      </w:pPr>
                      <w:r w:rsidRPr="00AF5271">
                        <w:rPr>
                          <w:rFonts w:ascii="Times New Roman" w:hAnsi="Times New Roman" w:cs="Times New Roman"/>
                          <w:b/>
                          <w:bCs/>
                          <w:sz w:val="20"/>
                          <w:szCs w:val="24"/>
                        </w:rPr>
                        <w:t>a</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0288" behindDoc="0" locked="0" layoutInCell="1" allowOverlap="1" wp14:anchorId="52BCC6BA" wp14:editId="06EA1A5B">
                <wp:simplePos x="0" y="0"/>
                <wp:positionH relativeFrom="column">
                  <wp:posOffset>2819400</wp:posOffset>
                </wp:positionH>
                <wp:positionV relativeFrom="paragraph">
                  <wp:posOffset>-2540</wp:posOffset>
                </wp:positionV>
                <wp:extent cx="234950" cy="266700"/>
                <wp:effectExtent l="0" t="0" r="12700" b="19050"/>
                <wp:wrapNone/>
                <wp:docPr id="644152142" name="Text Box 3"/>
                <wp:cNvGraphicFramePr/>
                <a:graphic xmlns:a="http://schemas.openxmlformats.org/drawingml/2006/main">
                  <a:graphicData uri="http://schemas.microsoft.com/office/word/2010/wordprocessingShape">
                    <wps:wsp>
                      <wps:cNvSpPr txBox="1"/>
                      <wps:spPr>
                        <a:xfrm>
                          <a:off x="0" y="0"/>
                          <a:ext cx="234950" cy="266700"/>
                        </a:xfrm>
                        <a:prstGeom prst="rect">
                          <a:avLst/>
                        </a:prstGeom>
                        <a:solidFill>
                          <a:sysClr val="window" lastClr="FFFFFF"/>
                        </a:solidFill>
                        <a:ln w="6350">
                          <a:solidFill>
                            <a:prstClr val="black"/>
                          </a:solidFill>
                        </a:ln>
                      </wps:spPr>
                      <wps:txbx>
                        <w:txbxContent>
                          <w:p w14:paraId="1B17D4A3" w14:textId="77777777" w:rsidR="00281389" w:rsidRPr="00AF5271" w:rsidRDefault="00281389" w:rsidP="00281389">
                            <w:pPr>
                              <w:rPr>
                                <w:rFonts w:ascii="Times New Roman" w:hAnsi="Times New Roman" w:cs="Times New Roman"/>
                                <w:b/>
                                <w:bCs/>
                                <w:sz w:val="20"/>
                                <w:szCs w:val="24"/>
                              </w:rPr>
                            </w:pPr>
                            <w:r w:rsidRPr="00AF5271">
                              <w:rPr>
                                <w:rFonts w:ascii="Times New Roman" w:hAnsi="Times New Roman" w:cs="Times New Roman"/>
                                <w:b/>
                                <w:bCs/>
                                <w:sz w:val="20"/>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CC6BA" id="_x0000_s1027" type="#_x0000_t202" style="position:absolute;left:0;text-align:left;margin-left:222pt;margin-top:-.2pt;width:18.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" fillcolor="window" strokeweight=".5pt">
                <v:textbox>
                  <w:txbxContent>
                    <w:p w14:paraId="1B17D4A3" w14:textId="77777777" w:rsidR="00281389" w:rsidRPr="00AF5271" w:rsidRDefault="00281389" w:rsidP="00281389">
                      <w:pPr>
                        <w:rPr>
                          <w:rFonts w:ascii="Times New Roman" w:hAnsi="Times New Roman" w:cs="Times New Roman"/>
                          <w:b/>
                          <w:bCs/>
                          <w:sz w:val="20"/>
                          <w:szCs w:val="24"/>
                        </w:rPr>
                      </w:pPr>
                      <w:r w:rsidRPr="00AF5271">
                        <w:rPr>
                          <w:rFonts w:ascii="Times New Roman" w:hAnsi="Times New Roman" w:cs="Times New Roman"/>
                          <w:b/>
                          <w:bCs/>
                          <w:sz w:val="20"/>
                          <w:szCs w:val="24"/>
                        </w:rPr>
                        <w:t>b</w:t>
                      </w:r>
                    </w:p>
                  </w:txbxContent>
                </v:textbox>
              </v:shape>
            </w:pict>
          </mc:Fallback>
        </mc:AlternateContent>
      </w:r>
      <w:r>
        <w:rPr>
          <w:rFonts w:ascii="Times New Roman" w:hAnsi="Times New Roman" w:cs="Times New Roman"/>
          <w:noProof/>
          <w:szCs w:val="28"/>
        </w:rPr>
        <w:drawing>
          <wp:inline distT="0" distB="0" distL="0" distR="0" wp14:anchorId="15585B13" wp14:editId="2EF3FE7B">
            <wp:extent cx="2012950" cy="2368873"/>
            <wp:effectExtent l="0" t="0" r="6350" b="0"/>
            <wp:docPr id="211629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92453" name="Picture 21162924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3516" cy="2381308"/>
                    </a:xfrm>
                    <a:prstGeom prst="rect">
                      <a:avLst/>
                    </a:prstGeom>
                  </pic:spPr>
                </pic:pic>
              </a:graphicData>
            </a:graphic>
          </wp:inline>
        </w:drawing>
      </w:r>
      <w:r>
        <w:rPr>
          <w:rFonts w:ascii="Times New Roman" w:hAnsi="Times New Roman" w:cs="Times New Roman"/>
          <w:noProof/>
          <w:szCs w:val="28"/>
        </w:rPr>
        <w:drawing>
          <wp:inline distT="0" distB="0" distL="0" distR="0" wp14:anchorId="22B5974A" wp14:editId="62F9B471">
            <wp:extent cx="2342615" cy="2362200"/>
            <wp:effectExtent l="0" t="0" r="635" b="0"/>
            <wp:docPr id="80013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3881" name="Picture 80013881"/>
                    <pic:cNvPicPr/>
                  </pic:nvPicPr>
                  <pic:blipFill rotWithShape="1">
                    <a:blip r:embed="rId8" cstate="print">
                      <a:extLst>
                        <a:ext uri="{28A0092B-C50C-407E-A947-70E740481C1C}">
                          <a14:useLocalDpi xmlns:a14="http://schemas.microsoft.com/office/drawing/2010/main" val="0"/>
                        </a:ext>
                      </a:extLst>
                    </a:blip>
                    <a:srcRect t="26479" b="16832"/>
                    <a:stretch>
                      <a:fillRect/>
                    </a:stretch>
                  </pic:blipFill>
                  <pic:spPr bwMode="auto">
                    <a:xfrm>
                      <a:off x="0" y="0"/>
                      <a:ext cx="2391696" cy="2411691"/>
                    </a:xfrm>
                    <a:prstGeom prst="rect">
                      <a:avLst/>
                    </a:prstGeom>
                    <a:ln>
                      <a:noFill/>
                    </a:ln>
                    <a:extLst>
                      <a:ext uri="{53640926-AAD7-44D8-BBD7-CCE9431645EC}">
                        <a14:shadowObscured xmlns:a14="http://schemas.microsoft.com/office/drawing/2010/main"/>
                      </a:ext>
                    </a:extLst>
                  </pic:spPr>
                </pic:pic>
              </a:graphicData>
            </a:graphic>
          </wp:inline>
        </w:drawing>
      </w:r>
    </w:p>
    <w:p w14:paraId="17689A4C" w14:textId="77777777" w:rsidR="00281389" w:rsidRDefault="00281389" w:rsidP="00C044B8">
      <w:pPr>
        <w:spacing w:line="360" w:lineRule="auto"/>
        <w:jc w:val="center"/>
        <w:rPr>
          <w:rFonts w:ascii="Arial" w:hAnsi="Arial" w:cs="Arial"/>
          <w:noProof/>
          <w:sz w:val="20"/>
          <w:szCs w:val="22"/>
        </w:rPr>
      </w:pPr>
      <w:r w:rsidRPr="00281389">
        <w:rPr>
          <w:rFonts w:ascii="Arial" w:hAnsi="Arial" w:cs="Arial"/>
          <w:b/>
          <w:bCs/>
          <w:noProof/>
          <w:sz w:val="20"/>
          <w:szCs w:val="22"/>
        </w:rPr>
        <w:t>Fig 1:</w:t>
      </w:r>
      <w:r w:rsidRPr="00281389">
        <w:rPr>
          <w:rFonts w:ascii="Arial" w:hAnsi="Arial" w:cs="Arial"/>
          <w:noProof/>
          <w:sz w:val="20"/>
          <w:szCs w:val="22"/>
        </w:rPr>
        <w:t xml:space="preserve"> Sample collection site- (a) Geographical representation of the sample site collected from Puducherry. (b) The marine sand samples collected from Paradise beach.</w:t>
      </w:r>
    </w:p>
    <w:p w14:paraId="24E55A18" w14:textId="77777777" w:rsidR="00281389" w:rsidRDefault="00281389" w:rsidP="00C044B8">
      <w:pPr>
        <w:spacing w:after="0" w:line="360" w:lineRule="auto"/>
        <w:jc w:val="center"/>
        <w:rPr>
          <w:rFonts w:ascii="Times New Roman" w:hAnsi="Times New Roman" w:cs="Times New Roman"/>
          <w:noProof/>
          <w:szCs w:val="28"/>
        </w:rPr>
      </w:pPr>
      <w:r>
        <w:rPr>
          <w:rFonts w:ascii="Times New Roman" w:hAnsi="Times New Roman" w:cs="Times New Roman"/>
          <w:noProof/>
          <w:szCs w:val="28"/>
        </w:rPr>
        <mc:AlternateContent>
          <mc:Choice Requires="wps">
            <w:drawing>
              <wp:anchor distT="0" distB="0" distL="114300" distR="114300" simplePos="0" relativeHeight="251673600" behindDoc="0" locked="0" layoutInCell="1" allowOverlap="1" wp14:anchorId="0BB38CB5" wp14:editId="0229AABD">
                <wp:simplePos x="0" y="0"/>
                <wp:positionH relativeFrom="column">
                  <wp:posOffset>266846</wp:posOffset>
                </wp:positionH>
                <wp:positionV relativeFrom="paragraph">
                  <wp:posOffset>0</wp:posOffset>
                </wp:positionV>
                <wp:extent cx="481135" cy="246184"/>
                <wp:effectExtent l="0" t="0" r="14605" b="20955"/>
                <wp:wrapNone/>
                <wp:docPr id="2132805186"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385CE372"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38CB5" id="Text Box 28" o:spid="_x0000_s1028" type="#_x0000_t202" style="position:absolute;left:0;text-align:left;margin-left:21pt;margin-top:0;width:37.9pt;height:1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" fillcolor="window" strokeweight=".5pt">
                <v:textbox>
                  <w:txbxContent>
                    <w:p w14:paraId="385CE372"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3360" behindDoc="0" locked="0" layoutInCell="1" allowOverlap="1" wp14:anchorId="1387C3DE" wp14:editId="5A71DFC2">
                <wp:simplePos x="0" y="0"/>
                <wp:positionH relativeFrom="column">
                  <wp:posOffset>3847514</wp:posOffset>
                </wp:positionH>
                <wp:positionV relativeFrom="paragraph">
                  <wp:posOffset>-2589</wp:posOffset>
                </wp:positionV>
                <wp:extent cx="481135" cy="246184"/>
                <wp:effectExtent l="0" t="0" r="14605" b="20955"/>
                <wp:wrapNone/>
                <wp:docPr id="1623497491"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176BA37F"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7C3DE" id="_x0000_s1029" type="#_x0000_t202" style="position:absolute;left:0;text-align:left;margin-left:302.95pt;margin-top:-.2pt;width:37.9pt;height:1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" fillcolor="window" strokeweight=".5pt">
                <v:textbox>
                  <w:txbxContent>
                    <w:p w14:paraId="176BA37F"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RB3</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2336" behindDoc="0" locked="0" layoutInCell="1" allowOverlap="1" wp14:anchorId="5DA20A97" wp14:editId="2C7D1906">
                <wp:simplePos x="0" y="0"/>
                <wp:positionH relativeFrom="column">
                  <wp:posOffset>2060917</wp:posOffset>
                </wp:positionH>
                <wp:positionV relativeFrom="paragraph">
                  <wp:posOffset>-2589</wp:posOffset>
                </wp:positionV>
                <wp:extent cx="481135" cy="246184"/>
                <wp:effectExtent l="0" t="0" r="14605" b="20955"/>
                <wp:wrapNone/>
                <wp:docPr id="1927297711"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241BF924"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20A97" id="_x0000_s1030" type="#_x0000_t202" style="position:absolute;left:0;text-align:left;margin-left:162.3pt;margin-top:-.2pt;width:37.9pt;height: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" fillcolor="window" strokeweight=".5pt">
                <v:textbox>
                  <w:txbxContent>
                    <w:p w14:paraId="241BF924"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RB2</w:t>
                      </w:r>
                    </w:p>
                  </w:txbxContent>
                </v:textbox>
              </v:shape>
            </w:pict>
          </mc:Fallback>
        </mc:AlternateContent>
      </w:r>
      <w:r>
        <w:rPr>
          <w:rFonts w:ascii="Times New Roman" w:hAnsi="Times New Roman" w:cs="Times New Roman"/>
          <w:noProof/>
          <w:szCs w:val="28"/>
        </w:rPr>
        <w:drawing>
          <wp:inline distT="0" distB="0" distL="0" distR="0" wp14:anchorId="5635D0AC" wp14:editId="699339FD">
            <wp:extent cx="1814732" cy="1826558"/>
            <wp:effectExtent l="0" t="0" r="0" b="2540"/>
            <wp:docPr id="6812614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61437" name="Picture 6812614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4013" cy="1835899"/>
                    </a:xfrm>
                    <a:prstGeom prst="rect">
                      <a:avLst/>
                    </a:prstGeom>
                  </pic:spPr>
                </pic:pic>
              </a:graphicData>
            </a:graphic>
          </wp:inline>
        </w:drawing>
      </w:r>
      <w:r>
        <w:rPr>
          <w:rFonts w:ascii="Times New Roman" w:hAnsi="Times New Roman" w:cs="Times New Roman"/>
          <w:noProof/>
          <w:szCs w:val="28"/>
        </w:rPr>
        <w:drawing>
          <wp:inline distT="0" distB="0" distL="0" distR="0" wp14:anchorId="50248124" wp14:editId="237B20F0">
            <wp:extent cx="1786597" cy="1827126"/>
            <wp:effectExtent l="0" t="0" r="4445" b="1905"/>
            <wp:docPr id="977019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1968" name="Picture 97701968"/>
                    <pic:cNvPicPr/>
                  </pic:nvPicPr>
                  <pic:blipFill rotWithShape="1">
                    <a:blip r:embed="rId10" cstate="print">
                      <a:extLst>
                        <a:ext uri="{28A0092B-C50C-407E-A947-70E740481C1C}">
                          <a14:useLocalDpi xmlns:a14="http://schemas.microsoft.com/office/drawing/2010/main" val="0"/>
                        </a:ext>
                      </a:extLst>
                    </a:blip>
                    <a:srcRect b="9190"/>
                    <a:stretch>
                      <a:fillRect/>
                    </a:stretch>
                  </pic:blipFill>
                  <pic:spPr bwMode="auto">
                    <a:xfrm>
                      <a:off x="0" y="0"/>
                      <a:ext cx="1805733" cy="18466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Cs w:val="28"/>
        </w:rPr>
        <w:drawing>
          <wp:inline distT="0" distB="0" distL="0" distR="0" wp14:anchorId="45AB6F61" wp14:editId="5CDCAE0F">
            <wp:extent cx="1844502" cy="1826895"/>
            <wp:effectExtent l="0" t="0" r="3810" b="1905"/>
            <wp:docPr id="339446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4609" name="Picture 339446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7704" cy="1859780"/>
                    </a:xfrm>
                    <a:prstGeom prst="rect">
                      <a:avLst/>
                    </a:prstGeom>
                  </pic:spPr>
                </pic:pic>
              </a:graphicData>
            </a:graphic>
          </wp:inline>
        </w:drawing>
      </w:r>
    </w:p>
    <w:p w14:paraId="0DBE00F8" w14:textId="77777777" w:rsidR="00281389" w:rsidRDefault="00281389" w:rsidP="00C044B8">
      <w:pPr>
        <w:spacing w:after="0" w:line="360" w:lineRule="auto"/>
        <w:jc w:val="center"/>
        <w:rPr>
          <w:rFonts w:ascii="Times New Roman" w:hAnsi="Times New Roman" w:cs="Times New Roman"/>
          <w:noProof/>
          <w:szCs w:val="28"/>
        </w:rPr>
      </w:pPr>
      <w:r>
        <w:rPr>
          <w:rFonts w:ascii="Times New Roman" w:hAnsi="Times New Roman" w:cs="Times New Roman"/>
          <w:noProof/>
          <w:szCs w:val="28"/>
        </w:rPr>
        <w:lastRenderedPageBreak/>
        <mc:AlternateContent>
          <mc:Choice Requires="wps">
            <w:drawing>
              <wp:anchor distT="0" distB="0" distL="114300" distR="114300" simplePos="0" relativeHeight="251666432" behindDoc="0" locked="0" layoutInCell="1" allowOverlap="1" wp14:anchorId="190E5CC7" wp14:editId="570A0446">
                <wp:simplePos x="0" y="0"/>
                <wp:positionH relativeFrom="column">
                  <wp:posOffset>3826412</wp:posOffset>
                </wp:positionH>
                <wp:positionV relativeFrom="paragraph">
                  <wp:posOffset>7034</wp:posOffset>
                </wp:positionV>
                <wp:extent cx="481135" cy="246184"/>
                <wp:effectExtent l="0" t="0" r="14605" b="20955"/>
                <wp:wrapNone/>
                <wp:docPr id="872560694"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6849CFAB"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E5CC7" id="_x0000_s1031" type="#_x0000_t202" style="position:absolute;left:0;text-align:left;margin-left:301.3pt;margin-top:.55pt;width:37.9pt;height:1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" fillcolor="window" strokeweight=".5pt">
                <v:textbox>
                  <w:txbxContent>
                    <w:p w14:paraId="6849CFAB"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RB6</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5408" behindDoc="0" locked="0" layoutInCell="1" allowOverlap="1" wp14:anchorId="3652E44C" wp14:editId="250CFC8C">
                <wp:simplePos x="0" y="0"/>
                <wp:positionH relativeFrom="column">
                  <wp:posOffset>2089052</wp:posOffset>
                </wp:positionH>
                <wp:positionV relativeFrom="paragraph">
                  <wp:posOffset>7034</wp:posOffset>
                </wp:positionV>
                <wp:extent cx="481135" cy="246184"/>
                <wp:effectExtent l="0" t="0" r="14605" b="20955"/>
                <wp:wrapNone/>
                <wp:docPr id="892111986"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03BC336F"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2E44C" id="_x0000_s1032" type="#_x0000_t202" style="position:absolute;left:0;text-align:left;margin-left:164.5pt;margin-top:.55pt;width:37.9pt;height: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" fillcolor="window" strokeweight=".5pt">
                <v:textbox>
                  <w:txbxContent>
                    <w:p w14:paraId="03BC336F"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RB5</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4384" behindDoc="0" locked="0" layoutInCell="1" allowOverlap="1" wp14:anchorId="7E413E87" wp14:editId="2808BFAC">
                <wp:simplePos x="0" y="0"/>
                <wp:positionH relativeFrom="column">
                  <wp:posOffset>274320</wp:posOffset>
                </wp:positionH>
                <wp:positionV relativeFrom="paragraph">
                  <wp:posOffset>0</wp:posOffset>
                </wp:positionV>
                <wp:extent cx="481135" cy="246184"/>
                <wp:effectExtent l="0" t="0" r="14605" b="20955"/>
                <wp:wrapNone/>
                <wp:docPr id="1908699114"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3BB1839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13E87" id="_x0000_s1033" type="#_x0000_t202" style="position:absolute;left:0;text-align:left;margin-left:21.6pt;margin-top:0;width:37.9pt;height:1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" fillcolor="window" strokeweight=".5pt">
                <v:textbox>
                  <w:txbxContent>
                    <w:p w14:paraId="3BB1839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RB4</w:t>
                      </w:r>
                    </w:p>
                  </w:txbxContent>
                </v:textbox>
              </v:shape>
            </w:pict>
          </mc:Fallback>
        </mc:AlternateContent>
      </w:r>
      <w:r>
        <w:rPr>
          <w:rFonts w:ascii="Times New Roman" w:hAnsi="Times New Roman" w:cs="Times New Roman"/>
          <w:noProof/>
          <w:szCs w:val="28"/>
        </w:rPr>
        <w:drawing>
          <wp:inline distT="0" distB="0" distL="0" distR="0" wp14:anchorId="72AE026C" wp14:editId="189FDA61">
            <wp:extent cx="1814732" cy="1819192"/>
            <wp:effectExtent l="0" t="0" r="0" b="0"/>
            <wp:docPr id="8730620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62011" name="Picture 8730620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5749" cy="1830236"/>
                    </a:xfrm>
                    <a:prstGeom prst="rect">
                      <a:avLst/>
                    </a:prstGeom>
                  </pic:spPr>
                </pic:pic>
              </a:graphicData>
            </a:graphic>
          </wp:inline>
        </w:drawing>
      </w:r>
      <w:r>
        <w:rPr>
          <w:rFonts w:ascii="Times New Roman" w:hAnsi="Times New Roman" w:cs="Times New Roman"/>
          <w:noProof/>
          <w:szCs w:val="28"/>
        </w:rPr>
        <w:drawing>
          <wp:inline distT="0" distB="0" distL="0" distR="0" wp14:anchorId="47897981" wp14:editId="00072189">
            <wp:extent cx="1737360" cy="1814574"/>
            <wp:effectExtent l="0" t="0" r="0" b="0"/>
            <wp:docPr id="17452090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09045" name="Picture 17452090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0751" cy="1839004"/>
                    </a:xfrm>
                    <a:prstGeom prst="rect">
                      <a:avLst/>
                    </a:prstGeom>
                  </pic:spPr>
                </pic:pic>
              </a:graphicData>
            </a:graphic>
          </wp:inline>
        </w:drawing>
      </w:r>
      <w:r>
        <w:rPr>
          <w:rFonts w:ascii="Times New Roman" w:hAnsi="Times New Roman" w:cs="Times New Roman"/>
          <w:noProof/>
          <w:szCs w:val="28"/>
        </w:rPr>
        <w:drawing>
          <wp:inline distT="0" distB="0" distL="0" distR="0" wp14:anchorId="2C9E25D0" wp14:editId="4A1D7A60">
            <wp:extent cx="1840145" cy="1814195"/>
            <wp:effectExtent l="0" t="0" r="8255" b="0"/>
            <wp:docPr id="3760701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70155" name="Picture 3760701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8232" cy="1832027"/>
                    </a:xfrm>
                    <a:prstGeom prst="rect">
                      <a:avLst/>
                    </a:prstGeom>
                  </pic:spPr>
                </pic:pic>
              </a:graphicData>
            </a:graphic>
          </wp:inline>
        </w:drawing>
      </w:r>
    </w:p>
    <w:p w14:paraId="4D37F10D" w14:textId="77777777" w:rsidR="00281389" w:rsidRDefault="00281389" w:rsidP="00C044B8">
      <w:pPr>
        <w:spacing w:after="0" w:line="360" w:lineRule="auto"/>
        <w:jc w:val="center"/>
        <w:rPr>
          <w:rFonts w:ascii="Times New Roman" w:hAnsi="Times New Roman" w:cs="Times New Roman"/>
          <w:noProof/>
          <w:szCs w:val="28"/>
        </w:rPr>
      </w:pPr>
      <w:r>
        <w:rPr>
          <w:rFonts w:ascii="Times New Roman" w:hAnsi="Times New Roman" w:cs="Times New Roman"/>
          <w:noProof/>
          <w:szCs w:val="28"/>
        </w:rPr>
        <mc:AlternateContent>
          <mc:Choice Requires="wps">
            <w:drawing>
              <wp:anchor distT="0" distB="0" distL="114300" distR="114300" simplePos="0" relativeHeight="251671552" behindDoc="0" locked="0" layoutInCell="1" allowOverlap="1" wp14:anchorId="67EC85DF" wp14:editId="77D8A369">
                <wp:simplePos x="0" y="0"/>
                <wp:positionH relativeFrom="column">
                  <wp:posOffset>2144786</wp:posOffset>
                </wp:positionH>
                <wp:positionV relativeFrom="paragraph">
                  <wp:posOffset>1887367</wp:posOffset>
                </wp:positionV>
                <wp:extent cx="527050" cy="280914"/>
                <wp:effectExtent l="0" t="0" r="25400" b="24130"/>
                <wp:wrapNone/>
                <wp:docPr id="1687913015" name="Text Box 28"/>
                <wp:cNvGraphicFramePr/>
                <a:graphic xmlns:a="http://schemas.openxmlformats.org/drawingml/2006/main">
                  <a:graphicData uri="http://schemas.microsoft.com/office/word/2010/wordprocessingShape">
                    <wps:wsp>
                      <wps:cNvSpPr txBox="1"/>
                      <wps:spPr>
                        <a:xfrm>
                          <a:off x="0" y="0"/>
                          <a:ext cx="527050" cy="280914"/>
                        </a:xfrm>
                        <a:prstGeom prst="rect">
                          <a:avLst/>
                        </a:prstGeom>
                        <a:solidFill>
                          <a:sysClr val="window" lastClr="FFFFFF"/>
                        </a:solidFill>
                        <a:ln w="6350">
                          <a:solidFill>
                            <a:prstClr val="black"/>
                          </a:solidFill>
                        </a:ln>
                      </wps:spPr>
                      <wps:txbx>
                        <w:txbxContent>
                          <w:p w14:paraId="6AE91E84"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85DF" id="_x0000_s1034" type="#_x0000_t202" style="position:absolute;left:0;text-align:left;margin-left:168.9pt;margin-top:148.6pt;width:41.5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" fillcolor="window" strokeweight=".5pt">
                <v:textbox>
                  <w:txbxContent>
                    <w:p w14:paraId="6AE91E84"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RB12</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9504" behindDoc="0" locked="0" layoutInCell="1" allowOverlap="1" wp14:anchorId="4D01E675" wp14:editId="5CF30552">
                <wp:simplePos x="0" y="0"/>
                <wp:positionH relativeFrom="column">
                  <wp:posOffset>3903785</wp:posOffset>
                </wp:positionH>
                <wp:positionV relativeFrom="paragraph">
                  <wp:posOffset>3810</wp:posOffset>
                </wp:positionV>
                <wp:extent cx="534572" cy="238711"/>
                <wp:effectExtent l="0" t="0" r="18415" b="28575"/>
                <wp:wrapNone/>
                <wp:docPr id="1499757391" name="Text Box 28"/>
                <wp:cNvGraphicFramePr/>
                <a:graphic xmlns:a="http://schemas.openxmlformats.org/drawingml/2006/main">
                  <a:graphicData uri="http://schemas.microsoft.com/office/word/2010/wordprocessingShape">
                    <wps:wsp>
                      <wps:cNvSpPr txBox="1"/>
                      <wps:spPr>
                        <a:xfrm>
                          <a:off x="0" y="0"/>
                          <a:ext cx="534572" cy="238711"/>
                        </a:xfrm>
                        <a:prstGeom prst="rect">
                          <a:avLst/>
                        </a:prstGeom>
                        <a:solidFill>
                          <a:sysClr val="window" lastClr="FFFFFF"/>
                        </a:solidFill>
                        <a:ln w="6350">
                          <a:solidFill>
                            <a:prstClr val="black"/>
                          </a:solidFill>
                        </a:ln>
                      </wps:spPr>
                      <wps:txbx>
                        <w:txbxContent>
                          <w:p w14:paraId="3D22BC9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1E675" id="_x0000_s1035" type="#_x0000_t202" style="position:absolute;left:0;text-align:left;margin-left:307.4pt;margin-top:.3pt;width:42.1pt;height:1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" fillcolor="window" strokeweight=".5pt">
                <v:textbox>
                  <w:txbxContent>
                    <w:p w14:paraId="3D22BC9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RB10</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8480" behindDoc="0" locked="0" layoutInCell="1" allowOverlap="1" wp14:anchorId="72200D6D" wp14:editId="52B00B5A">
                <wp:simplePos x="0" y="0"/>
                <wp:positionH relativeFrom="column">
                  <wp:posOffset>2124222</wp:posOffset>
                </wp:positionH>
                <wp:positionV relativeFrom="paragraph">
                  <wp:posOffset>3810</wp:posOffset>
                </wp:positionV>
                <wp:extent cx="481135" cy="246184"/>
                <wp:effectExtent l="0" t="0" r="14605" b="20955"/>
                <wp:wrapNone/>
                <wp:docPr id="731266873"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2B9EB71D"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00D6D" id="_x0000_s1036" type="#_x0000_t202" style="position:absolute;left:0;text-align:left;margin-left:167.25pt;margin-top:.3pt;width:37.9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" fillcolor="window" strokeweight=".5pt">
                <v:textbox>
                  <w:txbxContent>
                    <w:p w14:paraId="2B9EB71D"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RB9</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7456" behindDoc="0" locked="0" layoutInCell="1" allowOverlap="1" wp14:anchorId="46B0662B" wp14:editId="784C5DBA">
                <wp:simplePos x="0" y="0"/>
                <wp:positionH relativeFrom="column">
                  <wp:posOffset>274320</wp:posOffset>
                </wp:positionH>
                <wp:positionV relativeFrom="paragraph">
                  <wp:posOffset>-3224</wp:posOffset>
                </wp:positionV>
                <wp:extent cx="481135" cy="246184"/>
                <wp:effectExtent l="0" t="0" r="14605" b="20955"/>
                <wp:wrapNone/>
                <wp:docPr id="2107577272"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6EE48291"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0662B" id="_x0000_s1037" type="#_x0000_t202" style="position:absolute;left:0;text-align:left;margin-left:21.6pt;margin-top:-.25pt;width:37.9pt;height: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" fillcolor="window" strokeweight=".5pt">
                <v:textbox>
                  <w:txbxContent>
                    <w:p w14:paraId="6EE48291"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RB7</w:t>
                      </w:r>
                    </w:p>
                  </w:txbxContent>
                </v:textbox>
              </v:shape>
            </w:pict>
          </mc:Fallback>
        </mc:AlternateContent>
      </w:r>
      <w:r>
        <w:rPr>
          <w:rFonts w:ascii="Times New Roman" w:hAnsi="Times New Roman" w:cs="Times New Roman"/>
          <w:noProof/>
          <w:szCs w:val="28"/>
        </w:rPr>
        <w:drawing>
          <wp:inline distT="0" distB="0" distL="0" distR="0" wp14:anchorId="24B4AE2B" wp14:editId="428A7C5D">
            <wp:extent cx="1854020" cy="1887496"/>
            <wp:effectExtent l="0" t="0" r="0" b="0"/>
            <wp:docPr id="13745928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92841" name="Picture 13745928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0665" cy="1934984"/>
                    </a:xfrm>
                    <a:prstGeom prst="rect">
                      <a:avLst/>
                    </a:prstGeom>
                  </pic:spPr>
                </pic:pic>
              </a:graphicData>
            </a:graphic>
          </wp:inline>
        </w:drawing>
      </w:r>
      <w:r>
        <w:rPr>
          <w:rFonts w:ascii="Times New Roman" w:hAnsi="Times New Roman" w:cs="Times New Roman"/>
          <w:noProof/>
          <w:szCs w:val="28"/>
        </w:rPr>
        <w:drawing>
          <wp:inline distT="0" distB="0" distL="0" distR="0" wp14:anchorId="55D1E655" wp14:editId="707E2FF4">
            <wp:extent cx="1776719" cy="1883019"/>
            <wp:effectExtent l="0" t="0" r="0" b="3175"/>
            <wp:docPr id="13248400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40055" name="Picture 13248400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7803" cy="1937159"/>
                    </a:xfrm>
                    <a:prstGeom prst="rect">
                      <a:avLst/>
                    </a:prstGeom>
                  </pic:spPr>
                </pic:pic>
              </a:graphicData>
            </a:graphic>
          </wp:inline>
        </w:drawing>
      </w:r>
      <w:r>
        <w:rPr>
          <w:rFonts w:ascii="Times New Roman" w:hAnsi="Times New Roman" w:cs="Times New Roman"/>
          <w:noProof/>
          <w:szCs w:val="28"/>
        </w:rPr>
        <w:drawing>
          <wp:inline distT="0" distB="0" distL="0" distR="0" wp14:anchorId="3402A51E" wp14:editId="648544F1">
            <wp:extent cx="1783107" cy="1892105"/>
            <wp:effectExtent l="0" t="0" r="7620" b="0"/>
            <wp:docPr id="10221763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76346" name="Picture 10221763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2582" cy="2040105"/>
                    </a:xfrm>
                    <a:prstGeom prst="rect">
                      <a:avLst/>
                    </a:prstGeom>
                  </pic:spPr>
                </pic:pic>
              </a:graphicData>
            </a:graphic>
          </wp:inline>
        </w:drawing>
      </w:r>
    </w:p>
    <w:p w14:paraId="76275A15" w14:textId="77777777" w:rsidR="00281389" w:rsidRDefault="00281389" w:rsidP="00C044B8">
      <w:pPr>
        <w:spacing w:after="0" w:line="360" w:lineRule="auto"/>
        <w:jc w:val="center"/>
        <w:rPr>
          <w:rFonts w:ascii="Times New Roman" w:hAnsi="Times New Roman" w:cs="Times New Roman"/>
          <w:noProof/>
          <w:szCs w:val="28"/>
        </w:rPr>
      </w:pPr>
      <w:r>
        <w:rPr>
          <w:rFonts w:ascii="Times New Roman" w:hAnsi="Times New Roman" w:cs="Times New Roman"/>
          <w:noProof/>
          <w:szCs w:val="28"/>
        </w:rPr>
        <mc:AlternateContent>
          <mc:Choice Requires="wps">
            <w:drawing>
              <wp:anchor distT="0" distB="0" distL="114300" distR="114300" simplePos="0" relativeHeight="251670528" behindDoc="0" locked="0" layoutInCell="1" allowOverlap="1" wp14:anchorId="67B2B19B" wp14:editId="4D548244">
                <wp:simplePos x="0" y="0"/>
                <wp:positionH relativeFrom="column">
                  <wp:posOffset>274320</wp:posOffset>
                </wp:positionH>
                <wp:positionV relativeFrom="paragraph">
                  <wp:posOffset>8255</wp:posOffset>
                </wp:positionV>
                <wp:extent cx="520065" cy="252730"/>
                <wp:effectExtent l="0" t="0" r="13335" b="13970"/>
                <wp:wrapNone/>
                <wp:docPr id="274223816" name="Text Box 28"/>
                <wp:cNvGraphicFramePr/>
                <a:graphic xmlns:a="http://schemas.openxmlformats.org/drawingml/2006/main">
                  <a:graphicData uri="http://schemas.microsoft.com/office/word/2010/wordprocessingShape">
                    <wps:wsp>
                      <wps:cNvSpPr txBox="1"/>
                      <wps:spPr>
                        <a:xfrm>
                          <a:off x="0" y="0"/>
                          <a:ext cx="520065" cy="252730"/>
                        </a:xfrm>
                        <a:prstGeom prst="rect">
                          <a:avLst/>
                        </a:prstGeom>
                        <a:solidFill>
                          <a:sysClr val="window" lastClr="FFFFFF"/>
                        </a:solidFill>
                        <a:ln w="6350">
                          <a:solidFill>
                            <a:prstClr val="black"/>
                          </a:solidFill>
                        </a:ln>
                      </wps:spPr>
                      <wps:txbx>
                        <w:txbxContent>
                          <w:p w14:paraId="61FA425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2B19B" id="_x0000_s1038" type="#_x0000_t202" style="position:absolute;left:0;text-align:left;margin-left:21.6pt;margin-top:.65pt;width:40.95pt;height:1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" fillcolor="window" strokeweight=".5pt">
                <v:textbox>
                  <w:txbxContent>
                    <w:p w14:paraId="61FA425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RB11</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72576" behindDoc="0" locked="0" layoutInCell="1" allowOverlap="1" wp14:anchorId="3E164751" wp14:editId="77BAB561">
                <wp:simplePos x="0" y="0"/>
                <wp:positionH relativeFrom="column">
                  <wp:posOffset>3917852</wp:posOffset>
                </wp:positionH>
                <wp:positionV relativeFrom="paragraph">
                  <wp:posOffset>9378</wp:posOffset>
                </wp:positionV>
                <wp:extent cx="555674" cy="238712"/>
                <wp:effectExtent l="0" t="0" r="15875" b="28575"/>
                <wp:wrapNone/>
                <wp:docPr id="1515595359" name="Text Box 28"/>
                <wp:cNvGraphicFramePr/>
                <a:graphic xmlns:a="http://schemas.openxmlformats.org/drawingml/2006/main">
                  <a:graphicData uri="http://schemas.microsoft.com/office/word/2010/wordprocessingShape">
                    <wps:wsp>
                      <wps:cNvSpPr txBox="1"/>
                      <wps:spPr>
                        <a:xfrm>
                          <a:off x="0" y="0"/>
                          <a:ext cx="555674" cy="238712"/>
                        </a:xfrm>
                        <a:prstGeom prst="rect">
                          <a:avLst/>
                        </a:prstGeom>
                        <a:solidFill>
                          <a:sysClr val="window" lastClr="FFFFFF"/>
                        </a:solidFill>
                        <a:ln w="6350">
                          <a:solidFill>
                            <a:prstClr val="black"/>
                          </a:solidFill>
                        </a:ln>
                      </wps:spPr>
                      <wps:txbx>
                        <w:txbxContent>
                          <w:p w14:paraId="3F5FCBAC"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64751" id="_x0000_s1039" type="#_x0000_t202" style="position:absolute;left:0;text-align:left;margin-left:308.5pt;margin-top:.75pt;width:43.75pt;height:1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" fillcolor="window" strokeweight=".5pt">
                <v:textbox>
                  <w:txbxContent>
                    <w:p w14:paraId="3F5FCBAC"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RB13</w:t>
                      </w:r>
                    </w:p>
                  </w:txbxContent>
                </v:textbox>
              </v:shape>
            </w:pict>
          </mc:Fallback>
        </mc:AlternateContent>
      </w:r>
      <w:r>
        <w:rPr>
          <w:rFonts w:ascii="Times New Roman" w:hAnsi="Times New Roman" w:cs="Times New Roman"/>
          <w:noProof/>
          <w:szCs w:val="28"/>
        </w:rPr>
        <w:drawing>
          <wp:inline distT="0" distB="0" distL="0" distR="0" wp14:anchorId="50CD4AF7" wp14:editId="6EC1C1F7">
            <wp:extent cx="1873800" cy="1842770"/>
            <wp:effectExtent l="0" t="0" r="0" b="5080"/>
            <wp:docPr id="4847732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73203" name="Picture 48477320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3884" cy="1862521"/>
                    </a:xfrm>
                    <a:prstGeom prst="rect">
                      <a:avLst/>
                    </a:prstGeom>
                  </pic:spPr>
                </pic:pic>
              </a:graphicData>
            </a:graphic>
          </wp:inline>
        </w:drawing>
      </w:r>
      <w:r>
        <w:rPr>
          <w:rFonts w:ascii="Times New Roman" w:hAnsi="Times New Roman" w:cs="Times New Roman"/>
          <w:noProof/>
          <w:szCs w:val="28"/>
        </w:rPr>
        <w:drawing>
          <wp:inline distT="0" distB="0" distL="0" distR="0" wp14:anchorId="1A3B1193" wp14:editId="671DFD28">
            <wp:extent cx="1775066" cy="1842770"/>
            <wp:effectExtent l="0" t="0" r="0" b="5080"/>
            <wp:docPr id="4435636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63647" name="Picture 44356364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9820" cy="1868469"/>
                    </a:xfrm>
                    <a:prstGeom prst="rect">
                      <a:avLst/>
                    </a:prstGeom>
                  </pic:spPr>
                </pic:pic>
              </a:graphicData>
            </a:graphic>
          </wp:inline>
        </w:drawing>
      </w:r>
      <w:r>
        <w:rPr>
          <w:rFonts w:ascii="Times New Roman" w:hAnsi="Times New Roman" w:cs="Times New Roman"/>
          <w:noProof/>
          <w:szCs w:val="28"/>
        </w:rPr>
        <w:drawing>
          <wp:inline distT="0" distB="0" distL="0" distR="0" wp14:anchorId="0485CFAF" wp14:editId="1C7D327C">
            <wp:extent cx="1755189" cy="1845388"/>
            <wp:effectExtent l="0" t="0" r="0" b="2540"/>
            <wp:docPr id="14203939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93948" name="Picture 14203939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0352" cy="1882358"/>
                    </a:xfrm>
                    <a:prstGeom prst="rect">
                      <a:avLst/>
                    </a:prstGeom>
                  </pic:spPr>
                </pic:pic>
              </a:graphicData>
            </a:graphic>
          </wp:inline>
        </w:drawing>
      </w:r>
    </w:p>
    <w:p w14:paraId="4E36143F" w14:textId="77777777" w:rsidR="00281389" w:rsidRPr="00281389" w:rsidRDefault="00281389" w:rsidP="00C044B8">
      <w:pPr>
        <w:spacing w:line="360" w:lineRule="auto"/>
        <w:jc w:val="center"/>
        <w:rPr>
          <w:rFonts w:ascii="Arial" w:hAnsi="Arial" w:cs="Arial"/>
          <w:noProof/>
          <w:sz w:val="20"/>
          <w:szCs w:val="22"/>
        </w:rPr>
      </w:pPr>
      <w:r w:rsidRPr="00281389">
        <w:rPr>
          <w:rFonts w:ascii="Arial" w:hAnsi="Arial" w:cs="Arial"/>
          <w:b/>
          <w:bCs/>
          <w:noProof/>
          <w:sz w:val="20"/>
          <w:szCs w:val="22"/>
        </w:rPr>
        <w:t>Fig 2:</w:t>
      </w:r>
      <w:r w:rsidRPr="00281389">
        <w:rPr>
          <w:rFonts w:ascii="Arial" w:hAnsi="Arial" w:cs="Arial"/>
          <w:noProof/>
          <w:sz w:val="20"/>
          <w:szCs w:val="22"/>
        </w:rPr>
        <w:t xml:space="preserve"> Actinomycetes isolated from marine samples on Bennett’s medium.</w:t>
      </w:r>
    </w:p>
    <w:p w14:paraId="442424F1" w14:textId="320DB757" w:rsidR="003C3926" w:rsidRPr="003C3926" w:rsidRDefault="003C3926" w:rsidP="00C044B8">
      <w:pPr>
        <w:pStyle w:val="ListParagraph"/>
        <w:numPr>
          <w:ilvl w:val="1"/>
          <w:numId w:val="1"/>
        </w:numPr>
        <w:spacing w:line="360" w:lineRule="auto"/>
        <w:ind w:left="360" w:hanging="360"/>
        <w:jc w:val="both"/>
        <w:rPr>
          <w:rFonts w:ascii="Arial" w:hAnsi="Arial" w:cs="Arial"/>
          <w:b/>
          <w:bCs/>
          <w:sz w:val="22"/>
          <w:szCs w:val="24"/>
        </w:rPr>
      </w:pPr>
      <w:r w:rsidRPr="003C3926">
        <w:rPr>
          <w:rFonts w:ascii="Arial" w:hAnsi="Arial" w:cs="Arial"/>
          <w:b/>
          <w:bCs/>
          <w:sz w:val="22"/>
          <w:szCs w:val="24"/>
        </w:rPr>
        <w:t>Antimicrobial activity:</w:t>
      </w:r>
    </w:p>
    <w:p w14:paraId="39AA1CC6" w14:textId="77777777" w:rsidR="003C3926" w:rsidRDefault="003C3926" w:rsidP="00C044B8">
      <w:pPr>
        <w:spacing w:line="360" w:lineRule="auto"/>
        <w:jc w:val="both"/>
        <w:rPr>
          <w:rFonts w:ascii="Arial" w:hAnsi="Arial" w:cs="Arial"/>
          <w:sz w:val="20"/>
          <w:szCs w:val="22"/>
        </w:rPr>
      </w:pPr>
      <w:r w:rsidRPr="003C3926">
        <w:rPr>
          <w:rFonts w:ascii="Arial" w:hAnsi="Arial" w:cs="Arial"/>
          <w:sz w:val="20"/>
          <w:szCs w:val="22"/>
        </w:rPr>
        <w:t xml:space="preserve">The antimicrobial potential of the actinomycetes isolates was evaluated using the agar overlay method against a panel of test organisms, including </w:t>
      </w:r>
      <w:r w:rsidRPr="003C3926">
        <w:rPr>
          <w:rFonts w:ascii="Arial" w:hAnsi="Arial" w:cs="Arial"/>
          <w:i/>
          <w:iCs/>
          <w:sz w:val="20"/>
          <w:szCs w:val="22"/>
        </w:rPr>
        <w:t xml:space="preserve">Staphylococcus aureus, Pseudomonas aeruginosa, Escherichia coli, </w:t>
      </w:r>
      <w:r w:rsidRPr="003C3926">
        <w:rPr>
          <w:rFonts w:ascii="Arial" w:hAnsi="Arial" w:cs="Arial"/>
          <w:sz w:val="20"/>
          <w:szCs w:val="22"/>
        </w:rPr>
        <w:t>and</w:t>
      </w:r>
      <w:r w:rsidRPr="003C3926">
        <w:rPr>
          <w:rFonts w:ascii="Arial" w:hAnsi="Arial" w:cs="Arial"/>
          <w:i/>
          <w:iCs/>
          <w:sz w:val="20"/>
          <w:szCs w:val="22"/>
        </w:rPr>
        <w:t xml:space="preserve"> Candida albicans</w:t>
      </w:r>
      <w:r w:rsidRPr="003C3926">
        <w:rPr>
          <w:rFonts w:ascii="Arial" w:hAnsi="Arial" w:cs="Arial"/>
          <w:sz w:val="20"/>
          <w:szCs w:val="22"/>
        </w:rPr>
        <w:t xml:space="preserve">. The isolate RB8 exhibited strong antibacterial activity against </w:t>
      </w:r>
      <w:r w:rsidRPr="003C3926">
        <w:rPr>
          <w:rFonts w:ascii="Arial" w:hAnsi="Arial" w:cs="Arial"/>
          <w:i/>
          <w:iCs/>
          <w:sz w:val="20"/>
          <w:szCs w:val="22"/>
        </w:rPr>
        <w:t>S. aureus</w:t>
      </w:r>
      <w:r w:rsidRPr="003C3926">
        <w:rPr>
          <w:rFonts w:ascii="Arial" w:hAnsi="Arial" w:cs="Arial"/>
          <w:sz w:val="20"/>
          <w:szCs w:val="22"/>
        </w:rPr>
        <w:t xml:space="preserve"> and moderate inhibition against </w:t>
      </w:r>
      <w:r w:rsidRPr="003C3926">
        <w:rPr>
          <w:rFonts w:ascii="Arial" w:hAnsi="Arial" w:cs="Arial"/>
          <w:i/>
          <w:iCs/>
          <w:sz w:val="20"/>
          <w:szCs w:val="22"/>
        </w:rPr>
        <w:t>E. coli,</w:t>
      </w:r>
      <w:r w:rsidRPr="003C3926">
        <w:rPr>
          <w:rFonts w:ascii="Arial" w:hAnsi="Arial" w:cs="Arial"/>
          <w:sz w:val="20"/>
          <w:szCs w:val="22"/>
        </w:rPr>
        <w:t xml:space="preserve"> as indicated by clear zones of inhibition around the wells. In contrast, </w:t>
      </w:r>
      <w:r w:rsidRPr="003C3926">
        <w:rPr>
          <w:rFonts w:ascii="Arial" w:hAnsi="Arial" w:cs="Arial"/>
          <w:i/>
          <w:iCs/>
          <w:sz w:val="20"/>
          <w:szCs w:val="22"/>
        </w:rPr>
        <w:t>P. aeruginosa</w:t>
      </w:r>
      <w:r w:rsidRPr="003C3926">
        <w:rPr>
          <w:rFonts w:ascii="Arial" w:hAnsi="Arial" w:cs="Arial"/>
          <w:sz w:val="20"/>
          <w:szCs w:val="22"/>
        </w:rPr>
        <w:t xml:space="preserve"> showed weak sensitivity, with very narrow inhibition zones. The isolate also displayed strong antifungal activity against </w:t>
      </w:r>
      <w:r w:rsidRPr="003C3926">
        <w:rPr>
          <w:rFonts w:ascii="Arial" w:hAnsi="Arial" w:cs="Arial"/>
          <w:i/>
          <w:iCs/>
          <w:sz w:val="20"/>
          <w:szCs w:val="22"/>
        </w:rPr>
        <w:t>C. albicans</w:t>
      </w:r>
      <w:r w:rsidRPr="003C3926">
        <w:rPr>
          <w:rFonts w:ascii="Arial" w:hAnsi="Arial" w:cs="Arial"/>
          <w:sz w:val="20"/>
          <w:szCs w:val="22"/>
        </w:rPr>
        <w:t xml:space="preserve">, with distinct zone of growth inhibition observed (Fig 3 &amp; 4). From these results we can say that isolate RB8 produces bioactive secondary metabolites effective </w:t>
      </w:r>
      <w:r w:rsidRPr="003C3926">
        <w:rPr>
          <w:rFonts w:ascii="Arial" w:hAnsi="Arial" w:cs="Arial"/>
          <w:sz w:val="20"/>
          <w:szCs w:val="22"/>
        </w:rPr>
        <w:lastRenderedPageBreak/>
        <w:t>primarily against Gram-positive bacteria, fungi and to a lesser extent against Gram-negative bacteria, supporting its potential as a source of novel antimicrobial compounds.</w:t>
      </w:r>
    </w:p>
    <w:p w14:paraId="41462317" w14:textId="77777777" w:rsidR="003C3926" w:rsidRPr="003C3926" w:rsidRDefault="003C3926" w:rsidP="00C044B8">
      <w:pPr>
        <w:spacing w:line="360" w:lineRule="auto"/>
        <w:jc w:val="both"/>
        <w:rPr>
          <w:rFonts w:ascii="Arial" w:hAnsi="Arial" w:cs="Arial"/>
          <w:sz w:val="20"/>
          <w:szCs w:val="22"/>
        </w:rPr>
      </w:pPr>
    </w:p>
    <w:p w14:paraId="22AFC9CB" w14:textId="77777777" w:rsidR="003C3926" w:rsidRPr="00A50933" w:rsidRDefault="003C3926" w:rsidP="00C044B8">
      <w:pPr>
        <w:spacing w:after="0" w:line="360" w:lineRule="auto"/>
        <w:jc w:val="center"/>
        <w:rPr>
          <w:rFonts w:ascii="Times New Roman" w:hAnsi="Times New Roman" w:cs="Times New Roman"/>
          <w:noProof/>
          <w:szCs w:val="28"/>
        </w:rPr>
      </w:pPr>
      <w:r>
        <w:rPr>
          <w:rFonts w:ascii="Times New Roman" w:hAnsi="Times New Roman" w:cs="Times New Roman"/>
          <w:noProof/>
          <w:szCs w:val="28"/>
        </w:rPr>
        <mc:AlternateContent>
          <mc:Choice Requires="wps">
            <w:drawing>
              <wp:anchor distT="0" distB="0" distL="114300" distR="114300" simplePos="0" relativeHeight="251678720" behindDoc="0" locked="0" layoutInCell="1" allowOverlap="1" wp14:anchorId="5DF3CBA6" wp14:editId="6CD88B93">
                <wp:simplePos x="0" y="0"/>
                <wp:positionH relativeFrom="column">
                  <wp:posOffset>4380913</wp:posOffset>
                </wp:positionH>
                <wp:positionV relativeFrom="paragraph">
                  <wp:posOffset>21590</wp:posOffset>
                </wp:positionV>
                <wp:extent cx="211015" cy="224741"/>
                <wp:effectExtent l="0" t="0" r="17780" b="23495"/>
                <wp:wrapNone/>
                <wp:docPr id="1859455198" name="Text Box 18"/>
                <wp:cNvGraphicFramePr/>
                <a:graphic xmlns:a="http://schemas.openxmlformats.org/drawingml/2006/main">
                  <a:graphicData uri="http://schemas.microsoft.com/office/word/2010/wordprocessingShape">
                    <wps:wsp>
                      <wps:cNvSpPr txBox="1"/>
                      <wps:spPr>
                        <a:xfrm>
                          <a:off x="0" y="0"/>
                          <a:ext cx="211015" cy="224741"/>
                        </a:xfrm>
                        <a:prstGeom prst="rect">
                          <a:avLst/>
                        </a:prstGeom>
                        <a:solidFill>
                          <a:sysClr val="window" lastClr="FFFFFF"/>
                        </a:solidFill>
                        <a:ln w="6350">
                          <a:solidFill>
                            <a:prstClr val="black"/>
                          </a:solidFill>
                        </a:ln>
                      </wps:spPr>
                      <wps:txbx>
                        <w:txbxContent>
                          <w:p w14:paraId="2CF46F60" w14:textId="77777777" w:rsidR="003C3926" w:rsidRPr="008D34E9" w:rsidRDefault="003C3926" w:rsidP="003C3926">
                            <w:pPr>
                              <w:rPr>
                                <w:rFonts w:ascii="Times New Roman" w:hAnsi="Times New Roman" w:cs="Times New Roman"/>
                                <w:b/>
                                <w:bCs/>
                                <w:sz w:val="20"/>
                                <w:szCs w:val="24"/>
                              </w:rPr>
                            </w:pPr>
                            <w:r w:rsidRPr="008D34E9">
                              <w:rPr>
                                <w:rFonts w:ascii="Times New Roman" w:hAnsi="Times New Roman" w:cs="Times New Roman"/>
                                <w:b/>
                                <w:bCs/>
                                <w:sz w:val="20"/>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CBA6" id="Text Box 18" o:spid="_x0000_s1040" type="#_x0000_t202" style="position:absolute;left:0;text-align:left;margin-left:344.95pt;margin-top:1.7pt;width:16.6pt;height:1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" fillcolor="window" strokeweight=".5pt">
                <v:textbox>
                  <w:txbxContent>
                    <w:p w14:paraId="2CF46F60" w14:textId="77777777" w:rsidR="003C3926" w:rsidRPr="008D34E9" w:rsidRDefault="003C3926" w:rsidP="003C3926">
                      <w:pPr>
                        <w:rPr>
                          <w:rFonts w:ascii="Times New Roman" w:hAnsi="Times New Roman" w:cs="Times New Roman"/>
                          <w:b/>
                          <w:bCs/>
                          <w:sz w:val="20"/>
                          <w:szCs w:val="24"/>
                        </w:rPr>
                      </w:pPr>
                      <w:r w:rsidRPr="008D34E9">
                        <w:rPr>
                          <w:rFonts w:ascii="Times New Roman" w:hAnsi="Times New Roman" w:cs="Times New Roman"/>
                          <w:b/>
                          <w:bCs/>
                          <w:sz w:val="20"/>
                          <w:szCs w:val="24"/>
                        </w:rPr>
                        <w:t>d</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77696" behindDoc="0" locked="0" layoutInCell="1" allowOverlap="1" wp14:anchorId="4A6F724C" wp14:editId="3080BD07">
                <wp:simplePos x="0" y="0"/>
                <wp:positionH relativeFrom="column">
                  <wp:posOffset>2967843</wp:posOffset>
                </wp:positionH>
                <wp:positionV relativeFrom="paragraph">
                  <wp:posOffset>14019</wp:posOffset>
                </wp:positionV>
                <wp:extent cx="218049" cy="232117"/>
                <wp:effectExtent l="0" t="0" r="10795" b="15875"/>
                <wp:wrapNone/>
                <wp:docPr id="1397473832" name="Text Box 18"/>
                <wp:cNvGraphicFramePr/>
                <a:graphic xmlns:a="http://schemas.openxmlformats.org/drawingml/2006/main">
                  <a:graphicData uri="http://schemas.microsoft.com/office/word/2010/wordprocessingShape">
                    <wps:wsp>
                      <wps:cNvSpPr txBox="1"/>
                      <wps:spPr>
                        <a:xfrm>
                          <a:off x="0" y="0"/>
                          <a:ext cx="218049" cy="232117"/>
                        </a:xfrm>
                        <a:prstGeom prst="rect">
                          <a:avLst/>
                        </a:prstGeom>
                        <a:solidFill>
                          <a:sysClr val="window" lastClr="FFFFFF"/>
                        </a:solidFill>
                        <a:ln w="6350">
                          <a:solidFill>
                            <a:prstClr val="black"/>
                          </a:solidFill>
                        </a:ln>
                      </wps:spPr>
                      <wps:txbx>
                        <w:txbxContent>
                          <w:p w14:paraId="0EDF332B" w14:textId="77777777" w:rsidR="003C3926" w:rsidRPr="008D34E9" w:rsidRDefault="003C3926" w:rsidP="003C3926">
                            <w:pPr>
                              <w:rPr>
                                <w:rFonts w:ascii="Times New Roman" w:hAnsi="Times New Roman" w:cs="Times New Roman"/>
                                <w:b/>
                                <w:bCs/>
                                <w:sz w:val="20"/>
                                <w:szCs w:val="24"/>
                              </w:rPr>
                            </w:pPr>
                            <w:r w:rsidRPr="008D34E9">
                              <w:rPr>
                                <w:rFonts w:ascii="Times New Roman" w:hAnsi="Times New Roman" w:cs="Times New Roman"/>
                                <w:b/>
                                <w:bCs/>
                                <w:sz w:val="20"/>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F724C" id="_x0000_s1041" type="#_x0000_t202" style="position:absolute;left:0;text-align:left;margin-left:233.7pt;margin-top:1.1pt;width:17.15pt;height:1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" fillcolor="window" strokeweight=".5pt">
                <v:textbox>
                  <w:txbxContent>
                    <w:p w14:paraId="0EDF332B" w14:textId="77777777" w:rsidR="003C3926" w:rsidRPr="008D34E9" w:rsidRDefault="003C3926" w:rsidP="003C3926">
                      <w:pPr>
                        <w:rPr>
                          <w:rFonts w:ascii="Times New Roman" w:hAnsi="Times New Roman" w:cs="Times New Roman"/>
                          <w:b/>
                          <w:bCs/>
                          <w:sz w:val="20"/>
                          <w:szCs w:val="24"/>
                        </w:rPr>
                      </w:pPr>
                      <w:r w:rsidRPr="008D34E9">
                        <w:rPr>
                          <w:rFonts w:ascii="Times New Roman" w:hAnsi="Times New Roman" w:cs="Times New Roman"/>
                          <w:b/>
                          <w:bCs/>
                          <w:sz w:val="20"/>
                          <w:szCs w:val="24"/>
                        </w:rPr>
                        <w:t>c</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76672" behindDoc="0" locked="0" layoutInCell="1" allowOverlap="1" wp14:anchorId="55E09334" wp14:editId="237C0DAE">
                <wp:simplePos x="0" y="0"/>
                <wp:positionH relativeFrom="column">
                  <wp:posOffset>1583104</wp:posOffset>
                </wp:positionH>
                <wp:positionV relativeFrom="paragraph">
                  <wp:posOffset>14556</wp:posOffset>
                </wp:positionV>
                <wp:extent cx="238467" cy="224741"/>
                <wp:effectExtent l="0" t="0" r="28575" b="23495"/>
                <wp:wrapNone/>
                <wp:docPr id="1345373963" name="Text Box 18"/>
                <wp:cNvGraphicFramePr/>
                <a:graphic xmlns:a="http://schemas.openxmlformats.org/drawingml/2006/main">
                  <a:graphicData uri="http://schemas.microsoft.com/office/word/2010/wordprocessingShape">
                    <wps:wsp>
                      <wps:cNvSpPr txBox="1"/>
                      <wps:spPr>
                        <a:xfrm>
                          <a:off x="0" y="0"/>
                          <a:ext cx="238467" cy="224741"/>
                        </a:xfrm>
                        <a:prstGeom prst="rect">
                          <a:avLst/>
                        </a:prstGeom>
                        <a:solidFill>
                          <a:sysClr val="window" lastClr="FFFFFF"/>
                        </a:solidFill>
                        <a:ln w="6350">
                          <a:solidFill>
                            <a:prstClr val="black"/>
                          </a:solidFill>
                        </a:ln>
                      </wps:spPr>
                      <wps:txbx>
                        <w:txbxContent>
                          <w:p w14:paraId="4CCA9CD9" w14:textId="77777777" w:rsidR="003C3926" w:rsidRPr="00EE2874" w:rsidRDefault="003C3926" w:rsidP="003C3926">
                            <w:pPr>
                              <w:rPr>
                                <w:rFonts w:ascii="Times New Roman" w:hAnsi="Times New Roman" w:cs="Times New Roman"/>
                                <w:b/>
                                <w:bCs/>
                                <w:sz w:val="20"/>
                                <w:szCs w:val="24"/>
                              </w:rPr>
                            </w:pPr>
                            <w:r w:rsidRPr="00EE2874">
                              <w:rPr>
                                <w:rFonts w:ascii="Times New Roman" w:hAnsi="Times New Roman" w:cs="Times New Roman"/>
                                <w:b/>
                                <w:bCs/>
                                <w:sz w:val="20"/>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9334" id="_x0000_s1042" type="#_x0000_t202" style="position:absolute;left:0;text-align:left;margin-left:124.65pt;margin-top:1.15pt;width:18.8pt;height:1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" fillcolor="window" strokeweight=".5pt">
                <v:textbox>
                  <w:txbxContent>
                    <w:p w14:paraId="4CCA9CD9" w14:textId="77777777" w:rsidR="003C3926" w:rsidRPr="00EE2874" w:rsidRDefault="003C3926" w:rsidP="003C3926">
                      <w:pPr>
                        <w:rPr>
                          <w:rFonts w:ascii="Times New Roman" w:hAnsi="Times New Roman" w:cs="Times New Roman"/>
                          <w:b/>
                          <w:bCs/>
                          <w:sz w:val="20"/>
                          <w:szCs w:val="24"/>
                        </w:rPr>
                      </w:pPr>
                      <w:r w:rsidRPr="00EE2874">
                        <w:rPr>
                          <w:rFonts w:ascii="Times New Roman" w:hAnsi="Times New Roman" w:cs="Times New Roman"/>
                          <w:b/>
                          <w:bCs/>
                          <w:sz w:val="20"/>
                          <w:szCs w:val="24"/>
                        </w:rPr>
                        <w:t>b</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75648" behindDoc="0" locked="0" layoutInCell="1" allowOverlap="1" wp14:anchorId="6925933E" wp14:editId="618E92DB">
                <wp:simplePos x="0" y="0"/>
                <wp:positionH relativeFrom="column">
                  <wp:posOffset>196704</wp:posOffset>
                </wp:positionH>
                <wp:positionV relativeFrom="paragraph">
                  <wp:posOffset>14556</wp:posOffset>
                </wp:positionV>
                <wp:extent cx="224790" cy="224741"/>
                <wp:effectExtent l="0" t="0" r="22860" b="23495"/>
                <wp:wrapNone/>
                <wp:docPr id="2041119854" name="Text Box 18"/>
                <wp:cNvGraphicFramePr/>
                <a:graphic xmlns:a="http://schemas.openxmlformats.org/drawingml/2006/main">
                  <a:graphicData uri="http://schemas.microsoft.com/office/word/2010/wordprocessingShape">
                    <wps:wsp>
                      <wps:cNvSpPr txBox="1"/>
                      <wps:spPr>
                        <a:xfrm>
                          <a:off x="0" y="0"/>
                          <a:ext cx="224790" cy="224741"/>
                        </a:xfrm>
                        <a:prstGeom prst="rect">
                          <a:avLst/>
                        </a:prstGeom>
                        <a:solidFill>
                          <a:sysClr val="window" lastClr="FFFFFF"/>
                        </a:solidFill>
                        <a:ln w="6350">
                          <a:solidFill>
                            <a:prstClr val="black"/>
                          </a:solidFill>
                        </a:ln>
                      </wps:spPr>
                      <wps:txbx>
                        <w:txbxContent>
                          <w:p w14:paraId="798BA907" w14:textId="77777777" w:rsidR="003C3926" w:rsidRPr="00EE2874" w:rsidRDefault="003C3926" w:rsidP="003C3926">
                            <w:pPr>
                              <w:rPr>
                                <w:rFonts w:ascii="Times New Roman" w:hAnsi="Times New Roman" w:cs="Times New Roman"/>
                                <w:b/>
                                <w:bCs/>
                                <w:sz w:val="20"/>
                                <w:szCs w:val="24"/>
                              </w:rPr>
                            </w:pPr>
                            <w:r w:rsidRPr="00EE2874">
                              <w:rPr>
                                <w:rFonts w:ascii="Times New Roman" w:hAnsi="Times New Roman" w:cs="Times New Roman"/>
                                <w:b/>
                                <w:bCs/>
                                <w:sz w:val="20"/>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5933E" id="_x0000_s1043" type="#_x0000_t202" style="position:absolute;left:0;text-align:left;margin-left:15.5pt;margin-top:1.15pt;width:17.7pt;height:1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" fillcolor="window" strokeweight=".5pt">
                <v:textbox>
                  <w:txbxContent>
                    <w:p w14:paraId="798BA907" w14:textId="77777777" w:rsidR="003C3926" w:rsidRPr="00EE2874" w:rsidRDefault="003C3926" w:rsidP="003C3926">
                      <w:pPr>
                        <w:rPr>
                          <w:rFonts w:ascii="Times New Roman" w:hAnsi="Times New Roman" w:cs="Times New Roman"/>
                          <w:b/>
                          <w:bCs/>
                          <w:sz w:val="20"/>
                          <w:szCs w:val="24"/>
                        </w:rPr>
                      </w:pPr>
                      <w:r w:rsidRPr="00EE2874">
                        <w:rPr>
                          <w:rFonts w:ascii="Times New Roman" w:hAnsi="Times New Roman" w:cs="Times New Roman"/>
                          <w:b/>
                          <w:bCs/>
                          <w:sz w:val="20"/>
                          <w:szCs w:val="24"/>
                        </w:rPr>
                        <w:t>a</w:t>
                      </w:r>
                    </w:p>
                  </w:txbxContent>
                </v:textbox>
              </v:shape>
            </w:pict>
          </mc:Fallback>
        </mc:AlternateContent>
      </w:r>
      <w:r>
        <w:rPr>
          <w:rFonts w:ascii="Times New Roman" w:hAnsi="Times New Roman" w:cs="Times New Roman"/>
          <w:noProof/>
          <w:szCs w:val="28"/>
        </w:rPr>
        <w:drawing>
          <wp:inline distT="0" distB="0" distL="0" distR="0" wp14:anchorId="35A4B386" wp14:editId="0A87FEF7">
            <wp:extent cx="1386777" cy="1406769"/>
            <wp:effectExtent l="0" t="0" r="4445" b="3175"/>
            <wp:docPr id="15147866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86612"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7761" cy="1417911"/>
                    </a:xfrm>
                    <a:prstGeom prst="rect">
                      <a:avLst/>
                    </a:prstGeom>
                  </pic:spPr>
                </pic:pic>
              </a:graphicData>
            </a:graphic>
          </wp:inline>
        </w:drawing>
      </w:r>
      <w:r>
        <w:rPr>
          <w:rFonts w:ascii="Times New Roman" w:hAnsi="Times New Roman" w:cs="Times New Roman"/>
          <w:noProof/>
          <w:szCs w:val="28"/>
        </w:rPr>
        <w:drawing>
          <wp:inline distT="0" distB="0" distL="0" distR="0" wp14:anchorId="1E4CF0B2" wp14:editId="08BAA187">
            <wp:extent cx="1377849" cy="1413803"/>
            <wp:effectExtent l="0" t="0" r="0" b="0"/>
            <wp:docPr id="1776846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4685"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5539" cy="1421694"/>
                    </a:xfrm>
                    <a:prstGeom prst="rect">
                      <a:avLst/>
                    </a:prstGeom>
                  </pic:spPr>
                </pic:pic>
              </a:graphicData>
            </a:graphic>
          </wp:inline>
        </w:drawing>
      </w:r>
      <w:r>
        <w:rPr>
          <w:rFonts w:ascii="Times New Roman" w:hAnsi="Times New Roman" w:cs="Times New Roman"/>
          <w:noProof/>
          <w:szCs w:val="28"/>
        </w:rPr>
        <w:drawing>
          <wp:inline distT="0" distB="0" distL="0" distR="0" wp14:anchorId="7AD368BE" wp14:editId="1B6643C7">
            <wp:extent cx="1399329" cy="1402568"/>
            <wp:effectExtent l="0" t="0" r="0" b="7620"/>
            <wp:docPr id="21213016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01619" name="Picture 16"/>
                    <pic:cNvPicPr/>
                  </pic:nvPicPr>
                  <pic:blipFill>
                    <a:blip r:embed="rId23" cstate="print">
                      <a:extLst>
                        <a:ext uri="{28A0092B-C50C-407E-A947-70E740481C1C}">
                          <a14:useLocalDpi xmlns:a14="http://schemas.microsoft.com/office/drawing/2010/main" val="0"/>
                        </a:ext>
                      </a:extLst>
                    </a:blip>
                    <a:srcRect t="1924" b="1924"/>
                    <a:stretch>
                      <a:fillRect/>
                    </a:stretch>
                  </pic:blipFill>
                  <pic:spPr bwMode="auto">
                    <a:xfrm>
                      <a:off x="0" y="0"/>
                      <a:ext cx="1427619" cy="143092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Cs w:val="28"/>
        </w:rPr>
        <w:drawing>
          <wp:inline distT="0" distB="0" distL="0" distR="0" wp14:anchorId="3D42DB6C" wp14:editId="48E88591">
            <wp:extent cx="1377950" cy="1413244"/>
            <wp:effectExtent l="0" t="0" r="0" b="0"/>
            <wp:docPr id="10153196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19669" name="Picture 17"/>
                    <pic:cNvPicPr/>
                  </pic:nvPicPr>
                  <pic:blipFill>
                    <a:blip r:embed="rId24" cstate="print">
                      <a:extLst>
                        <a:ext uri="{28A0092B-C50C-407E-A947-70E740481C1C}">
                          <a14:useLocalDpi xmlns:a14="http://schemas.microsoft.com/office/drawing/2010/main" val="0"/>
                        </a:ext>
                      </a:extLst>
                    </a:blip>
                    <a:srcRect t="2948" b="2948"/>
                    <a:stretch>
                      <a:fillRect/>
                    </a:stretch>
                  </pic:blipFill>
                  <pic:spPr bwMode="auto">
                    <a:xfrm>
                      <a:off x="0" y="0"/>
                      <a:ext cx="1412333" cy="1448507"/>
                    </a:xfrm>
                    <a:prstGeom prst="rect">
                      <a:avLst/>
                    </a:prstGeom>
                    <a:ln>
                      <a:noFill/>
                    </a:ln>
                    <a:extLst>
                      <a:ext uri="{53640926-AAD7-44D8-BBD7-CCE9431645EC}">
                        <a14:shadowObscured xmlns:a14="http://schemas.microsoft.com/office/drawing/2010/main"/>
                      </a:ext>
                    </a:extLst>
                  </pic:spPr>
                </pic:pic>
              </a:graphicData>
            </a:graphic>
          </wp:inline>
        </w:drawing>
      </w:r>
    </w:p>
    <w:p w14:paraId="4CDD3980" w14:textId="77777777" w:rsidR="003C3926" w:rsidRPr="003C3926" w:rsidRDefault="003C3926" w:rsidP="00C044B8">
      <w:pPr>
        <w:spacing w:line="360" w:lineRule="auto"/>
        <w:jc w:val="center"/>
        <w:rPr>
          <w:rFonts w:ascii="Arial" w:hAnsi="Arial" w:cs="Arial"/>
          <w:i/>
          <w:iCs/>
          <w:sz w:val="20"/>
          <w:szCs w:val="22"/>
        </w:rPr>
      </w:pPr>
      <w:r w:rsidRPr="003C3926">
        <w:rPr>
          <w:rFonts w:ascii="Arial" w:hAnsi="Arial" w:cs="Arial"/>
          <w:b/>
          <w:bCs/>
          <w:sz w:val="20"/>
          <w:szCs w:val="22"/>
        </w:rPr>
        <w:t>Fig 3:</w:t>
      </w:r>
      <w:r w:rsidRPr="003C3926">
        <w:rPr>
          <w:rFonts w:ascii="Arial" w:hAnsi="Arial" w:cs="Arial"/>
          <w:sz w:val="20"/>
          <w:szCs w:val="22"/>
        </w:rPr>
        <w:t xml:space="preserve"> Actinomycetes isolate RB 8 tested against test organisms- (a) </w:t>
      </w:r>
      <w:r w:rsidRPr="003C3926">
        <w:rPr>
          <w:rFonts w:ascii="Arial" w:hAnsi="Arial" w:cs="Arial"/>
          <w:i/>
          <w:iCs/>
          <w:sz w:val="20"/>
          <w:szCs w:val="22"/>
        </w:rPr>
        <w:t>Staphylococcus aureus</w:t>
      </w:r>
      <w:r w:rsidRPr="003C3926">
        <w:rPr>
          <w:rFonts w:ascii="Arial" w:hAnsi="Arial" w:cs="Arial"/>
          <w:sz w:val="20"/>
          <w:szCs w:val="22"/>
        </w:rPr>
        <w:t xml:space="preserve">, (b) </w:t>
      </w:r>
      <w:r w:rsidRPr="003C3926">
        <w:rPr>
          <w:rFonts w:ascii="Arial" w:hAnsi="Arial" w:cs="Arial"/>
          <w:i/>
          <w:iCs/>
          <w:sz w:val="20"/>
          <w:szCs w:val="22"/>
        </w:rPr>
        <w:t>Escherichia coli</w:t>
      </w:r>
      <w:r w:rsidRPr="003C3926">
        <w:rPr>
          <w:rFonts w:ascii="Arial" w:hAnsi="Arial" w:cs="Arial"/>
          <w:sz w:val="20"/>
          <w:szCs w:val="22"/>
        </w:rPr>
        <w:t xml:space="preserve">, (c) </w:t>
      </w:r>
      <w:r w:rsidRPr="003C3926">
        <w:rPr>
          <w:rFonts w:ascii="Arial" w:hAnsi="Arial" w:cs="Arial"/>
          <w:i/>
          <w:iCs/>
          <w:sz w:val="20"/>
          <w:szCs w:val="22"/>
        </w:rPr>
        <w:t xml:space="preserve">Pseudomonas aeruginosa, </w:t>
      </w:r>
      <w:r w:rsidRPr="003C3926">
        <w:rPr>
          <w:rFonts w:ascii="Arial" w:hAnsi="Arial" w:cs="Arial"/>
          <w:sz w:val="20"/>
          <w:szCs w:val="22"/>
        </w:rPr>
        <w:t xml:space="preserve">(d) </w:t>
      </w:r>
      <w:r w:rsidRPr="003C3926">
        <w:rPr>
          <w:rFonts w:ascii="Arial" w:hAnsi="Arial" w:cs="Arial"/>
          <w:i/>
          <w:iCs/>
          <w:sz w:val="20"/>
          <w:szCs w:val="22"/>
        </w:rPr>
        <w:t>Candida albicans</w:t>
      </w:r>
    </w:p>
    <w:p w14:paraId="0D588F69" w14:textId="77777777" w:rsidR="003C3926" w:rsidRDefault="003C3926" w:rsidP="00C044B8">
      <w:pPr>
        <w:spacing w:line="360" w:lineRule="auto"/>
        <w:jc w:val="center"/>
        <w:rPr>
          <w:rFonts w:ascii="Times New Roman" w:hAnsi="Times New Roman" w:cs="Times New Roman"/>
          <w:szCs w:val="28"/>
        </w:rPr>
      </w:pPr>
      <w:r>
        <w:rPr>
          <w:noProof/>
        </w:rPr>
        <w:drawing>
          <wp:inline distT="0" distB="0" distL="0" distR="0" wp14:anchorId="3D473A51" wp14:editId="3C12C2BF">
            <wp:extent cx="4572000" cy="2743200"/>
            <wp:effectExtent l="0" t="0" r="0" b="0"/>
            <wp:docPr id="1866110309" name="Chart 1">
              <a:extLst xmlns:a="http://schemas.openxmlformats.org/drawingml/2006/main">
                <a:ext uri="{FF2B5EF4-FFF2-40B4-BE49-F238E27FC236}">
                  <a16:creationId xmlns:a16="http://schemas.microsoft.com/office/drawing/2014/main" id="{B770D6C9-C510-A9F6-A167-6EBECB2C9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827821" w14:textId="77777777" w:rsidR="003C3926" w:rsidRDefault="003C3926" w:rsidP="00C044B8">
      <w:pPr>
        <w:spacing w:line="360" w:lineRule="auto"/>
        <w:jc w:val="center"/>
        <w:rPr>
          <w:rFonts w:ascii="Arial" w:hAnsi="Arial" w:cs="Arial"/>
          <w:sz w:val="20"/>
          <w:szCs w:val="22"/>
        </w:rPr>
      </w:pPr>
      <w:r w:rsidRPr="003C3926">
        <w:rPr>
          <w:rFonts w:ascii="Arial" w:hAnsi="Arial" w:cs="Arial"/>
          <w:b/>
          <w:bCs/>
          <w:sz w:val="20"/>
          <w:szCs w:val="22"/>
        </w:rPr>
        <w:t>Fig 4:</w:t>
      </w:r>
      <w:r w:rsidRPr="003C3926">
        <w:rPr>
          <w:rFonts w:ascii="Arial" w:hAnsi="Arial" w:cs="Arial"/>
          <w:sz w:val="20"/>
          <w:szCs w:val="22"/>
        </w:rPr>
        <w:t xml:space="preserve"> Antimicrobial activity of Isolated </w:t>
      </w:r>
      <w:r w:rsidRPr="003C3926">
        <w:rPr>
          <w:rFonts w:ascii="Arial" w:hAnsi="Arial" w:cs="Arial"/>
          <w:i/>
          <w:iCs/>
          <w:sz w:val="20"/>
          <w:szCs w:val="22"/>
        </w:rPr>
        <w:t>Nocardiopsis</w:t>
      </w:r>
      <w:r w:rsidRPr="003C3926">
        <w:rPr>
          <w:rFonts w:ascii="Arial" w:hAnsi="Arial" w:cs="Arial"/>
          <w:sz w:val="20"/>
          <w:szCs w:val="22"/>
        </w:rPr>
        <w:t xml:space="preserve"> sp. RB8 against human pathogens (zone of inhibition is measured in mm).</w:t>
      </w:r>
    </w:p>
    <w:p w14:paraId="5FB83048" w14:textId="77777777" w:rsidR="003C3926" w:rsidRPr="003C3926" w:rsidRDefault="003C3926" w:rsidP="00C044B8">
      <w:pPr>
        <w:spacing w:line="360" w:lineRule="auto"/>
        <w:jc w:val="center"/>
        <w:rPr>
          <w:rFonts w:ascii="Arial" w:hAnsi="Arial" w:cs="Arial"/>
          <w:sz w:val="22"/>
          <w:szCs w:val="24"/>
        </w:rPr>
      </w:pPr>
    </w:p>
    <w:p w14:paraId="33A63E5B" w14:textId="143589D2" w:rsidR="003C3926" w:rsidRPr="003C3926" w:rsidRDefault="003C3926" w:rsidP="00C044B8">
      <w:pPr>
        <w:pStyle w:val="ListParagraph"/>
        <w:numPr>
          <w:ilvl w:val="1"/>
          <w:numId w:val="1"/>
        </w:numPr>
        <w:spacing w:line="360" w:lineRule="auto"/>
        <w:ind w:left="360" w:hanging="360"/>
        <w:jc w:val="both"/>
        <w:rPr>
          <w:rFonts w:ascii="Arial" w:hAnsi="Arial" w:cs="Arial"/>
          <w:b/>
          <w:bCs/>
          <w:noProof/>
          <w:sz w:val="22"/>
          <w:szCs w:val="24"/>
        </w:rPr>
      </w:pPr>
      <w:r w:rsidRPr="003C3926">
        <w:rPr>
          <w:rFonts w:ascii="Arial" w:hAnsi="Arial" w:cs="Arial"/>
          <w:b/>
          <w:bCs/>
          <w:noProof/>
          <w:sz w:val="22"/>
          <w:szCs w:val="24"/>
        </w:rPr>
        <w:t xml:space="preserve">Phenotypic characterization of </w:t>
      </w:r>
      <w:r w:rsidRPr="003C3926">
        <w:rPr>
          <w:rFonts w:ascii="Arial" w:hAnsi="Arial" w:cs="Arial"/>
          <w:b/>
          <w:bCs/>
          <w:i/>
          <w:iCs/>
          <w:noProof/>
          <w:sz w:val="22"/>
          <w:szCs w:val="24"/>
        </w:rPr>
        <w:t>Nocardiopsis</w:t>
      </w:r>
      <w:r w:rsidRPr="003C3926">
        <w:rPr>
          <w:rFonts w:ascii="Arial" w:hAnsi="Arial" w:cs="Arial"/>
          <w:b/>
          <w:bCs/>
          <w:noProof/>
          <w:sz w:val="22"/>
          <w:szCs w:val="24"/>
        </w:rPr>
        <w:t xml:space="preserve"> strain:</w:t>
      </w:r>
    </w:p>
    <w:p w14:paraId="0BB3036D" w14:textId="20DD9C9A" w:rsidR="003C3926" w:rsidRPr="003C3926" w:rsidRDefault="003C3926" w:rsidP="00C044B8">
      <w:pPr>
        <w:spacing w:line="360" w:lineRule="auto"/>
        <w:jc w:val="both"/>
        <w:rPr>
          <w:rFonts w:ascii="Arial" w:hAnsi="Arial" w:cs="Arial"/>
          <w:noProof/>
          <w:sz w:val="20"/>
          <w:szCs w:val="22"/>
        </w:rPr>
      </w:pPr>
      <w:r w:rsidRPr="003C3926">
        <w:rPr>
          <w:rFonts w:ascii="Arial" w:hAnsi="Arial" w:cs="Arial"/>
          <w:noProof/>
          <w:sz w:val="20"/>
          <w:szCs w:val="22"/>
        </w:rPr>
        <w:t xml:space="preserve">Colony morphology of the isolated </w:t>
      </w:r>
      <w:r w:rsidRPr="003C3926">
        <w:rPr>
          <w:rFonts w:ascii="Arial" w:hAnsi="Arial" w:cs="Arial"/>
          <w:i/>
          <w:iCs/>
          <w:noProof/>
          <w:sz w:val="20"/>
          <w:szCs w:val="22"/>
        </w:rPr>
        <w:t>Nocardiopsis</w:t>
      </w:r>
      <w:r w:rsidRPr="003C3926">
        <w:rPr>
          <w:rFonts w:ascii="Arial" w:hAnsi="Arial" w:cs="Arial"/>
          <w:noProof/>
          <w:sz w:val="20"/>
          <w:szCs w:val="22"/>
        </w:rPr>
        <w:t xml:space="preserve"> strain RB8 was observed on different media and also noted the biomass of the strain on each media. The organism produced strong earthy odor with reddish brown pigment in SCA media (Fig 5 &amp; Table </w:t>
      </w:r>
      <w:r>
        <w:rPr>
          <w:rFonts w:ascii="Arial" w:hAnsi="Arial" w:cs="Arial"/>
          <w:noProof/>
          <w:sz w:val="20"/>
          <w:szCs w:val="22"/>
        </w:rPr>
        <w:t>1</w:t>
      </w:r>
      <w:r w:rsidRPr="003C3926">
        <w:rPr>
          <w:rFonts w:ascii="Arial" w:hAnsi="Arial" w:cs="Arial"/>
          <w:noProof/>
          <w:sz w:val="20"/>
          <w:szCs w:val="22"/>
        </w:rPr>
        <w:t xml:space="preserve">) . The </w:t>
      </w:r>
      <w:r w:rsidRPr="003C3926">
        <w:rPr>
          <w:rFonts w:ascii="Arial" w:hAnsi="Arial" w:cs="Arial"/>
          <w:i/>
          <w:iCs/>
          <w:noProof/>
          <w:sz w:val="20"/>
          <w:szCs w:val="22"/>
        </w:rPr>
        <w:t>Nocardiopsis</w:t>
      </w:r>
      <w:r w:rsidRPr="003C3926">
        <w:rPr>
          <w:rFonts w:ascii="Arial" w:hAnsi="Arial" w:cs="Arial"/>
          <w:noProof/>
          <w:sz w:val="20"/>
          <w:szCs w:val="22"/>
        </w:rPr>
        <w:t xml:space="preserve"> strain RB8 exhibited slow growth, requiring more than 7 days of incubation to develop visible colonies on selective media. This extended incubation period is characteristic of certain slow-growing actinomycetes, particularly those within the genus </w:t>
      </w:r>
      <w:r w:rsidRPr="003C3926">
        <w:rPr>
          <w:rFonts w:ascii="Arial" w:hAnsi="Arial" w:cs="Arial"/>
          <w:i/>
          <w:iCs/>
          <w:noProof/>
          <w:sz w:val="20"/>
          <w:szCs w:val="22"/>
        </w:rPr>
        <w:lastRenderedPageBreak/>
        <w:t>Nocardiopsis</w:t>
      </w:r>
      <w:r w:rsidRPr="003C3926">
        <w:rPr>
          <w:rFonts w:ascii="Arial" w:hAnsi="Arial" w:cs="Arial"/>
          <w:noProof/>
          <w:sz w:val="20"/>
          <w:szCs w:val="22"/>
        </w:rPr>
        <w:t xml:space="preserve">, which often require specific nutritional and environmental conditions to initiate and sustain growth. Colony morphology of the isolated showed distict features on each media (Table </w:t>
      </w:r>
      <w:r>
        <w:rPr>
          <w:rFonts w:ascii="Arial" w:hAnsi="Arial" w:cs="Arial"/>
          <w:noProof/>
          <w:sz w:val="20"/>
          <w:szCs w:val="22"/>
        </w:rPr>
        <w:t>2</w:t>
      </w:r>
      <w:r w:rsidRPr="003C3926">
        <w:rPr>
          <w:rFonts w:ascii="Arial" w:hAnsi="Arial" w:cs="Arial"/>
          <w:noProof/>
          <w:sz w:val="20"/>
          <w:szCs w:val="22"/>
        </w:rPr>
        <w:t>) and same with the growth on different media.</w:t>
      </w:r>
    </w:p>
    <w:p w14:paraId="6D972252" w14:textId="51024F2C" w:rsidR="003C3926" w:rsidRPr="003C3926" w:rsidRDefault="003C3926" w:rsidP="00C044B8">
      <w:pPr>
        <w:spacing w:line="360" w:lineRule="auto"/>
        <w:ind w:firstLine="720"/>
        <w:jc w:val="both"/>
        <w:rPr>
          <w:rFonts w:ascii="Arial" w:hAnsi="Arial" w:cs="Arial"/>
          <w:noProof/>
          <w:sz w:val="20"/>
          <w:szCs w:val="22"/>
        </w:rPr>
      </w:pPr>
      <w:r w:rsidRPr="003C3926">
        <w:rPr>
          <w:rFonts w:ascii="Arial" w:hAnsi="Arial" w:cs="Arial"/>
          <w:noProof/>
          <w:sz w:val="20"/>
          <w:szCs w:val="22"/>
        </w:rPr>
        <w:t xml:space="preserve">The mycelial structure of </w:t>
      </w:r>
      <w:r w:rsidRPr="003C3926">
        <w:rPr>
          <w:rFonts w:ascii="Arial" w:hAnsi="Arial" w:cs="Arial"/>
          <w:i/>
          <w:iCs/>
          <w:noProof/>
          <w:sz w:val="20"/>
          <w:szCs w:val="22"/>
        </w:rPr>
        <w:t>Nocardiopsis</w:t>
      </w:r>
      <w:r w:rsidRPr="003C3926">
        <w:rPr>
          <w:rFonts w:ascii="Arial" w:hAnsi="Arial" w:cs="Arial"/>
          <w:noProof/>
          <w:sz w:val="20"/>
          <w:szCs w:val="22"/>
        </w:rPr>
        <w:t xml:space="preserve"> sp. was examined microscopically using both the cover slip method and the slide culture method (Fig 6). Microscopic observation revealed the presence of well-developed, branched, and septate mycelia, characteristic of actinomycetes. The aerial mycelium appeared abundant and filamentous, while the substrate mycelium was dense and penetrated the agar surface. The scanning electron micrograph of </w:t>
      </w:r>
      <w:r w:rsidRPr="003C3926">
        <w:rPr>
          <w:rFonts w:ascii="Arial" w:hAnsi="Arial" w:cs="Arial"/>
          <w:i/>
          <w:iCs/>
          <w:noProof/>
          <w:sz w:val="20"/>
          <w:szCs w:val="22"/>
        </w:rPr>
        <w:t>Nocardiopsis</w:t>
      </w:r>
      <w:r w:rsidRPr="003C3926">
        <w:rPr>
          <w:rFonts w:ascii="Arial" w:hAnsi="Arial" w:cs="Arial"/>
          <w:noProof/>
          <w:sz w:val="20"/>
          <w:szCs w:val="22"/>
        </w:rPr>
        <w:t xml:space="preserve"> sp. reveals a complex and well</w:t>
      </w:r>
      <w:r w:rsidR="0019164A">
        <w:rPr>
          <w:rFonts w:ascii="Arial" w:hAnsi="Arial" w:cs="Arial"/>
          <w:noProof/>
          <w:sz w:val="20"/>
          <w:szCs w:val="22"/>
        </w:rPr>
        <w:t xml:space="preserve"> </w:t>
      </w:r>
      <w:r w:rsidRPr="003C3926">
        <w:rPr>
          <w:rFonts w:ascii="Arial" w:hAnsi="Arial" w:cs="Arial"/>
          <w:noProof/>
          <w:sz w:val="20"/>
          <w:szCs w:val="22"/>
        </w:rPr>
        <w:t xml:space="preserve">organized mycelial network. The image (Fig 6c) shows extensively branched, filamentous hyphae with a distinct surface texture, indicative of mature aerial mycelium. The hyphae appear rugged and intertwined, forming a dense mat, which is typical of actinomycete morphology. Notably, spore chains are observed on the aerial hyphae, arranged in spiral to irregular patterns, suggesting sporulation, a key taxonomic feature of </w:t>
      </w:r>
      <w:r w:rsidRPr="003C3926">
        <w:rPr>
          <w:rFonts w:ascii="Arial" w:hAnsi="Arial" w:cs="Arial"/>
          <w:i/>
          <w:iCs/>
          <w:noProof/>
          <w:sz w:val="20"/>
          <w:szCs w:val="22"/>
        </w:rPr>
        <w:t>Nocardiopsis</w:t>
      </w:r>
      <w:r w:rsidRPr="003C3926">
        <w:rPr>
          <w:rFonts w:ascii="Arial" w:hAnsi="Arial" w:cs="Arial"/>
          <w:noProof/>
          <w:sz w:val="20"/>
          <w:szCs w:val="22"/>
        </w:rPr>
        <w:t xml:space="preserve">. The spore surfaces appear smooth to slightly wrinkled, with no ornamentation, consistent with previously described </w:t>
      </w:r>
      <w:r w:rsidRPr="003C3926">
        <w:rPr>
          <w:rFonts w:ascii="Arial" w:hAnsi="Arial" w:cs="Arial"/>
          <w:i/>
          <w:iCs/>
          <w:noProof/>
          <w:sz w:val="20"/>
          <w:szCs w:val="22"/>
        </w:rPr>
        <w:t>Nocardiopsis</w:t>
      </w:r>
      <w:r w:rsidRPr="003C3926">
        <w:rPr>
          <w:rFonts w:ascii="Arial" w:hAnsi="Arial" w:cs="Arial"/>
          <w:noProof/>
          <w:sz w:val="20"/>
          <w:szCs w:val="22"/>
        </w:rPr>
        <w:t xml:space="preserve"> species (</w:t>
      </w:r>
      <w:r w:rsidRPr="003C3926">
        <w:rPr>
          <w:rFonts w:ascii="Arial" w:hAnsi="Arial" w:cs="Arial"/>
          <w:sz w:val="20"/>
          <w:szCs w:val="22"/>
        </w:rPr>
        <w:t xml:space="preserve">Chen </w:t>
      </w:r>
      <w:r w:rsidRPr="003C3926">
        <w:rPr>
          <w:rFonts w:ascii="Arial" w:hAnsi="Arial" w:cs="Arial"/>
          <w:i/>
          <w:iCs/>
          <w:sz w:val="20"/>
          <w:szCs w:val="22"/>
        </w:rPr>
        <w:t>et al</w:t>
      </w:r>
      <w:r w:rsidRPr="003C3926">
        <w:rPr>
          <w:rFonts w:ascii="Arial" w:hAnsi="Arial" w:cs="Arial"/>
          <w:sz w:val="20"/>
          <w:szCs w:val="22"/>
        </w:rPr>
        <w:t xml:space="preserve">., 2008; Hamedi </w:t>
      </w:r>
      <w:r w:rsidRPr="003C3926">
        <w:rPr>
          <w:rFonts w:ascii="Arial" w:hAnsi="Arial" w:cs="Arial"/>
          <w:i/>
          <w:iCs/>
          <w:sz w:val="20"/>
          <w:szCs w:val="22"/>
        </w:rPr>
        <w:t>et al</w:t>
      </w:r>
      <w:r w:rsidRPr="003C3926">
        <w:rPr>
          <w:rFonts w:ascii="Arial" w:hAnsi="Arial" w:cs="Arial"/>
          <w:sz w:val="20"/>
          <w:szCs w:val="22"/>
        </w:rPr>
        <w:t>., 2010</w:t>
      </w:r>
      <w:r w:rsidRPr="003C3926">
        <w:rPr>
          <w:rFonts w:ascii="Arial" w:hAnsi="Arial" w:cs="Arial"/>
          <w:noProof/>
          <w:sz w:val="20"/>
          <w:szCs w:val="22"/>
        </w:rPr>
        <w:t>).</w:t>
      </w:r>
    </w:p>
    <w:p w14:paraId="5A0C86B1" w14:textId="2B6E90A3" w:rsidR="003C3926" w:rsidRPr="003C3926" w:rsidRDefault="003C3926" w:rsidP="00C044B8">
      <w:pPr>
        <w:spacing w:line="360" w:lineRule="auto"/>
        <w:ind w:firstLine="720"/>
        <w:jc w:val="both"/>
        <w:rPr>
          <w:rFonts w:ascii="Arial" w:hAnsi="Arial" w:cs="Arial"/>
          <w:noProof/>
          <w:sz w:val="20"/>
          <w:szCs w:val="22"/>
        </w:rPr>
      </w:pPr>
      <w:r w:rsidRPr="003C3926">
        <w:rPr>
          <w:rFonts w:ascii="Arial" w:hAnsi="Arial" w:cs="Arial"/>
          <w:noProof/>
          <w:sz w:val="20"/>
          <w:szCs w:val="22"/>
        </w:rPr>
        <w:t xml:space="preserve">The biochemical characterization of the </w:t>
      </w:r>
      <w:r w:rsidRPr="003C3926">
        <w:rPr>
          <w:rFonts w:ascii="Arial" w:hAnsi="Arial" w:cs="Arial"/>
          <w:i/>
          <w:iCs/>
          <w:noProof/>
          <w:sz w:val="20"/>
          <w:szCs w:val="22"/>
        </w:rPr>
        <w:t>Nocardiopsis</w:t>
      </w:r>
      <w:r w:rsidRPr="003C3926">
        <w:rPr>
          <w:rFonts w:ascii="Arial" w:hAnsi="Arial" w:cs="Arial"/>
          <w:noProof/>
          <w:sz w:val="20"/>
          <w:szCs w:val="22"/>
        </w:rPr>
        <w:t xml:space="preserve"> isolate was carried out using a series of standard tests by standard protocols. The results of various tests are shown in Table </w:t>
      </w:r>
      <w:r w:rsidR="003C4A2F">
        <w:rPr>
          <w:rFonts w:ascii="Arial" w:hAnsi="Arial" w:cs="Arial"/>
          <w:noProof/>
          <w:sz w:val="20"/>
          <w:szCs w:val="22"/>
        </w:rPr>
        <w:t>3</w:t>
      </w:r>
      <w:r w:rsidRPr="003C3926">
        <w:rPr>
          <w:rFonts w:ascii="Arial" w:hAnsi="Arial" w:cs="Arial"/>
          <w:noProof/>
          <w:sz w:val="20"/>
          <w:szCs w:val="22"/>
        </w:rPr>
        <w:t xml:space="preserve"> and these   biochemical profiles contribute to the phenotypic identification and metabolic characterization of the </w:t>
      </w:r>
      <w:r w:rsidRPr="003C3926">
        <w:rPr>
          <w:rFonts w:ascii="Arial" w:hAnsi="Arial" w:cs="Arial"/>
          <w:i/>
          <w:iCs/>
          <w:noProof/>
          <w:sz w:val="20"/>
          <w:szCs w:val="22"/>
        </w:rPr>
        <w:t>Nocardiopsis</w:t>
      </w:r>
      <w:r w:rsidRPr="003C3926">
        <w:rPr>
          <w:rFonts w:ascii="Arial" w:hAnsi="Arial" w:cs="Arial"/>
          <w:noProof/>
          <w:sz w:val="20"/>
          <w:szCs w:val="22"/>
        </w:rPr>
        <w:t xml:space="preserve"> strains. The results of antibitic sensitivity test indicated variable sensitivity among the antibiotics tested. </w:t>
      </w:r>
      <w:r w:rsidRPr="003C3926">
        <w:rPr>
          <w:rFonts w:ascii="Arial" w:hAnsi="Arial" w:cs="Arial"/>
          <w:i/>
          <w:iCs/>
          <w:noProof/>
          <w:sz w:val="20"/>
          <w:szCs w:val="22"/>
        </w:rPr>
        <w:t>Nocardiopsis</w:t>
      </w:r>
      <w:r w:rsidRPr="003C3926">
        <w:rPr>
          <w:rFonts w:ascii="Arial" w:hAnsi="Arial" w:cs="Arial"/>
          <w:noProof/>
          <w:sz w:val="20"/>
          <w:szCs w:val="22"/>
        </w:rPr>
        <w:t xml:space="preserve"> sp. showed clear zones of inhibition around vancomycin, amikacin, ciprofloxacin, ceftizoxime, cefoxitin, and gemifloxacin indicating susceptibility to these antibiotics. In contrast, the strain exhibited resistance to ampicillin, amoxicillin, piperacillin Tazobactam and oxacillin, with no visible inhibition zones formed around the discs (Table </w:t>
      </w:r>
      <w:r w:rsidR="003C4A2F">
        <w:rPr>
          <w:rFonts w:ascii="Arial" w:hAnsi="Arial" w:cs="Arial"/>
          <w:noProof/>
          <w:sz w:val="20"/>
          <w:szCs w:val="22"/>
        </w:rPr>
        <w:t>3</w:t>
      </w:r>
      <w:r w:rsidRPr="003C3926">
        <w:rPr>
          <w:rFonts w:ascii="Arial" w:hAnsi="Arial" w:cs="Arial"/>
          <w:noProof/>
          <w:sz w:val="20"/>
          <w:szCs w:val="22"/>
        </w:rPr>
        <w:t>).</w:t>
      </w:r>
    </w:p>
    <w:p w14:paraId="2D982B83" w14:textId="68A5A1CF" w:rsidR="003C3926" w:rsidRDefault="003C3926" w:rsidP="00C044B8">
      <w:pPr>
        <w:spacing w:line="360" w:lineRule="auto"/>
        <w:ind w:firstLine="720"/>
        <w:jc w:val="both"/>
        <w:rPr>
          <w:rFonts w:ascii="Arial" w:hAnsi="Arial" w:cs="Arial"/>
          <w:noProof/>
          <w:sz w:val="20"/>
          <w:szCs w:val="22"/>
        </w:rPr>
      </w:pPr>
      <w:r w:rsidRPr="003C3926">
        <w:rPr>
          <w:rFonts w:ascii="Arial" w:hAnsi="Arial" w:cs="Arial"/>
          <w:noProof/>
          <w:sz w:val="20"/>
          <w:szCs w:val="22"/>
        </w:rPr>
        <w:t xml:space="preserve">Molecular identification of the isolated </w:t>
      </w:r>
      <w:r w:rsidRPr="003C3926">
        <w:rPr>
          <w:rFonts w:ascii="Arial" w:hAnsi="Arial" w:cs="Arial"/>
          <w:i/>
          <w:iCs/>
          <w:noProof/>
          <w:sz w:val="20"/>
          <w:szCs w:val="22"/>
        </w:rPr>
        <w:t>Nocardiopsis</w:t>
      </w:r>
      <w:r w:rsidRPr="003C3926">
        <w:rPr>
          <w:rFonts w:ascii="Arial" w:hAnsi="Arial" w:cs="Arial"/>
          <w:noProof/>
          <w:sz w:val="20"/>
          <w:szCs w:val="22"/>
        </w:rPr>
        <w:t xml:space="preserve"> sp. was carried out through 16S rRNA gene sequencing, a widely accepted method for bacterial taxonomy and phylogenetic analysis. The partial 16S rRNA gene sequence of the actinomycete isolate was subjected to BLAST analysis using the NCBI GenBank database. The isolate showed 95.72% and 94.84% sequence similarity to its closest related type strains within the genus </w:t>
      </w:r>
      <w:r w:rsidRPr="003C3926">
        <w:rPr>
          <w:rFonts w:ascii="Arial" w:hAnsi="Arial" w:cs="Arial"/>
          <w:i/>
          <w:iCs/>
          <w:noProof/>
          <w:sz w:val="20"/>
          <w:szCs w:val="22"/>
        </w:rPr>
        <w:t>Nocardiopsis</w:t>
      </w:r>
      <w:r w:rsidRPr="003C3926">
        <w:rPr>
          <w:rFonts w:ascii="Arial" w:hAnsi="Arial" w:cs="Arial"/>
          <w:noProof/>
          <w:sz w:val="20"/>
          <w:szCs w:val="22"/>
        </w:rPr>
        <w:t>. As the observed sequence similarity is below the commonly accepted threshold of 98.7% for species-level identification based on 16S rRNA gene sequences (</w:t>
      </w:r>
      <w:r w:rsidRPr="003C3926">
        <w:rPr>
          <w:rFonts w:ascii="Arial" w:hAnsi="Arial" w:cs="Arial"/>
          <w:sz w:val="20"/>
          <w:szCs w:val="22"/>
        </w:rPr>
        <w:t>Stackebrandt, &amp; Goebel.</w:t>
      </w:r>
      <w:r w:rsidRPr="003C3926">
        <w:rPr>
          <w:rFonts w:ascii="Arial" w:hAnsi="Arial" w:cs="Arial"/>
          <w:noProof/>
          <w:sz w:val="20"/>
          <w:szCs w:val="22"/>
        </w:rPr>
        <w:t xml:space="preserve">, 1994) the results suggest that the isolate may represent a novel species within the genus </w:t>
      </w:r>
      <w:r w:rsidRPr="003C3926">
        <w:rPr>
          <w:rFonts w:ascii="Arial" w:hAnsi="Arial" w:cs="Arial"/>
          <w:i/>
          <w:iCs/>
          <w:noProof/>
          <w:sz w:val="20"/>
          <w:szCs w:val="22"/>
        </w:rPr>
        <w:t>Nocardiopsis</w:t>
      </w:r>
      <w:r w:rsidRPr="003C3926">
        <w:rPr>
          <w:rFonts w:ascii="Arial" w:hAnsi="Arial" w:cs="Arial"/>
          <w:noProof/>
          <w:sz w:val="20"/>
          <w:szCs w:val="22"/>
        </w:rPr>
        <w:t xml:space="preserve">. Further phylogenetic analysis confirmed that the isolate clusters within the </w:t>
      </w:r>
      <w:r w:rsidRPr="003C3926">
        <w:rPr>
          <w:rFonts w:ascii="Arial" w:hAnsi="Arial" w:cs="Arial"/>
          <w:i/>
          <w:iCs/>
          <w:noProof/>
          <w:sz w:val="20"/>
          <w:szCs w:val="22"/>
        </w:rPr>
        <w:t>Nocardiopsis</w:t>
      </w:r>
      <w:r w:rsidRPr="003C3926">
        <w:rPr>
          <w:rFonts w:ascii="Arial" w:hAnsi="Arial" w:cs="Arial"/>
          <w:noProof/>
          <w:sz w:val="20"/>
          <w:szCs w:val="22"/>
        </w:rPr>
        <w:t xml:space="preserve"> clade but forms a distinct lineage (Fig 7), supporting its potential novelty.</w:t>
      </w:r>
    </w:p>
    <w:p w14:paraId="11C9302A" w14:textId="7EB9C33A" w:rsidR="003C3926" w:rsidRDefault="003C3926" w:rsidP="00C044B8">
      <w:pPr>
        <w:spacing w:line="360" w:lineRule="auto"/>
        <w:jc w:val="center"/>
        <w:rPr>
          <w:rFonts w:ascii="Times New Roman" w:hAnsi="Times New Roman" w:cs="Times New Roman"/>
          <w:noProof/>
          <w:szCs w:val="28"/>
        </w:rPr>
      </w:pPr>
      <w:r>
        <w:rPr>
          <w:rFonts w:ascii="Times New Roman" w:hAnsi="Times New Roman" w:cs="Times New Roman"/>
          <w:noProof/>
          <w:szCs w:val="28"/>
        </w:rPr>
        <w:lastRenderedPageBreak/>
        <mc:AlternateContent>
          <mc:Choice Requires="wps">
            <w:drawing>
              <wp:anchor distT="0" distB="0" distL="114300" distR="114300" simplePos="0" relativeHeight="251682816" behindDoc="0" locked="0" layoutInCell="1" allowOverlap="1" wp14:anchorId="115DDD27" wp14:editId="58F9EC52">
                <wp:simplePos x="0" y="0"/>
                <wp:positionH relativeFrom="column">
                  <wp:posOffset>181903</wp:posOffset>
                </wp:positionH>
                <wp:positionV relativeFrom="paragraph">
                  <wp:posOffset>7620</wp:posOffset>
                </wp:positionV>
                <wp:extent cx="914400" cy="273050"/>
                <wp:effectExtent l="0" t="0" r="19685" b="12700"/>
                <wp:wrapNone/>
                <wp:docPr id="1057538583" name="Text Box 7"/>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ysClr val="window" lastClr="FFFFFF"/>
                        </a:solidFill>
                        <a:ln w="6350">
                          <a:solidFill>
                            <a:prstClr val="black"/>
                          </a:solidFill>
                        </a:ln>
                      </wps:spPr>
                      <wps:txbx>
                        <w:txbxContent>
                          <w:p w14:paraId="1E513AAA"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DDD27" id="Text Box 7" o:spid="_x0000_s1044" type="#_x0000_t202" style="position:absolute;left:0;text-align:left;margin-left:14.3pt;margin-top:.6pt;width:1in;height:21.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" fillcolor="window" strokeweight=".5pt">
                <v:textbox>
                  <w:txbxContent>
                    <w:p w14:paraId="1E513AAA"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a</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83840" behindDoc="0" locked="0" layoutInCell="1" allowOverlap="1" wp14:anchorId="06EBE6C0" wp14:editId="230008E0">
                <wp:simplePos x="0" y="0"/>
                <wp:positionH relativeFrom="column">
                  <wp:posOffset>2101850</wp:posOffset>
                </wp:positionH>
                <wp:positionV relativeFrom="paragraph">
                  <wp:posOffset>1270</wp:posOffset>
                </wp:positionV>
                <wp:extent cx="914400" cy="273050"/>
                <wp:effectExtent l="0" t="0" r="19685" b="12700"/>
                <wp:wrapNone/>
                <wp:docPr id="244028408" name="Text Box 7"/>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ysClr val="window" lastClr="FFFFFF"/>
                        </a:solidFill>
                        <a:ln w="6350">
                          <a:solidFill>
                            <a:prstClr val="black"/>
                          </a:solidFill>
                        </a:ln>
                      </wps:spPr>
                      <wps:txbx>
                        <w:txbxContent>
                          <w:p w14:paraId="323CE44D"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EBE6C0" id="_x0000_s1045" type="#_x0000_t202" style="position:absolute;left:0;text-align:left;margin-left:165.5pt;margin-top:.1pt;width:1in;height:21.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" fillcolor="window" strokeweight=".5pt">
                <v:textbox>
                  <w:txbxContent>
                    <w:p w14:paraId="323CE44D"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b</w:t>
                      </w:r>
                    </w:p>
                  </w:txbxContent>
                </v:textbox>
              </v:shape>
            </w:pict>
          </mc:Fallback>
        </mc:AlternateContent>
      </w:r>
      <w:r>
        <w:rPr>
          <w:rFonts w:ascii="Times New Roman" w:hAnsi="Times New Roman" w:cs="Times New Roman"/>
          <w:noProof/>
          <w:szCs w:val="28"/>
        </w:rPr>
        <w:drawing>
          <wp:inline distT="0" distB="0" distL="0" distR="0" wp14:anchorId="53614AE5" wp14:editId="56832502">
            <wp:extent cx="1924050" cy="1897452"/>
            <wp:effectExtent l="0" t="0" r="0" b="7620"/>
            <wp:docPr id="308832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32576" name="Picture 308832576"/>
                    <pic:cNvPicPr/>
                  </pic:nvPicPr>
                  <pic:blipFill rotWithShape="1">
                    <a:blip r:embed="rId26" cstate="print">
                      <a:extLst>
                        <a:ext uri="{28A0092B-C50C-407E-A947-70E740481C1C}">
                          <a14:useLocalDpi xmlns:a14="http://schemas.microsoft.com/office/drawing/2010/main" val="0"/>
                        </a:ext>
                      </a:extLst>
                    </a:blip>
                    <a:srcRect l="4880" t="17621" r="6402" b="16687"/>
                    <a:stretch>
                      <a:fillRect/>
                    </a:stretch>
                  </pic:blipFill>
                  <pic:spPr bwMode="auto">
                    <a:xfrm>
                      <a:off x="0" y="0"/>
                      <a:ext cx="1929835" cy="190315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Cs w:val="28"/>
        </w:rPr>
        <w:drawing>
          <wp:inline distT="0" distB="0" distL="0" distR="0" wp14:anchorId="002F9433" wp14:editId="3C550D2B">
            <wp:extent cx="1943100" cy="1903954"/>
            <wp:effectExtent l="0" t="0" r="0" b="1270"/>
            <wp:docPr id="21073935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93503" name="Picture 210739350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1163" cy="1911855"/>
                    </a:xfrm>
                    <a:prstGeom prst="rect">
                      <a:avLst/>
                    </a:prstGeom>
                  </pic:spPr>
                </pic:pic>
              </a:graphicData>
            </a:graphic>
          </wp:inline>
        </w:drawing>
      </w:r>
      <w:r w:rsidRPr="003C3926">
        <w:rPr>
          <w:rFonts w:ascii="Arial" w:hAnsi="Arial" w:cs="Arial"/>
          <w:noProof/>
          <w:sz w:val="20"/>
          <w:szCs w:val="22"/>
        </w:rPr>
        <mc:AlternateContent>
          <mc:Choice Requires="wps">
            <w:drawing>
              <wp:anchor distT="0" distB="0" distL="114300" distR="114300" simplePos="0" relativeHeight="251685888" behindDoc="0" locked="0" layoutInCell="1" allowOverlap="1" wp14:anchorId="378372D8" wp14:editId="48D99C2A">
                <wp:simplePos x="0" y="0"/>
                <wp:positionH relativeFrom="column">
                  <wp:posOffset>4044950</wp:posOffset>
                </wp:positionH>
                <wp:positionV relativeFrom="paragraph">
                  <wp:posOffset>0</wp:posOffset>
                </wp:positionV>
                <wp:extent cx="914400" cy="273050"/>
                <wp:effectExtent l="0" t="0" r="19685" b="12700"/>
                <wp:wrapNone/>
                <wp:docPr id="439030599" name="Text Box 7"/>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ysClr val="window" lastClr="FFFFFF"/>
                        </a:solidFill>
                        <a:ln w="6350">
                          <a:solidFill>
                            <a:prstClr val="black"/>
                          </a:solidFill>
                        </a:ln>
                      </wps:spPr>
                      <wps:txbx>
                        <w:txbxContent>
                          <w:p w14:paraId="66DB1B78"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372D8" id="_x0000_s1046" type="#_x0000_t202" style="position:absolute;left:0;text-align:left;margin-left:318.5pt;margin-top:0;width:1in;height:21.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" fillcolor="window" strokeweight=".5pt">
                <v:textbox>
                  <w:txbxContent>
                    <w:p w14:paraId="66DB1B78"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c</w:t>
                      </w:r>
                    </w:p>
                  </w:txbxContent>
                </v:textbox>
              </v:shape>
            </w:pict>
          </mc:Fallback>
        </mc:AlternateContent>
      </w:r>
      <w:r>
        <w:rPr>
          <w:rFonts w:ascii="Times New Roman" w:hAnsi="Times New Roman" w:cs="Times New Roman"/>
          <w:noProof/>
          <w:szCs w:val="28"/>
        </w:rPr>
        <w:drawing>
          <wp:inline distT="0" distB="0" distL="0" distR="0" wp14:anchorId="25E6FDA5" wp14:editId="299D6EB2">
            <wp:extent cx="1716203" cy="1904414"/>
            <wp:effectExtent l="0" t="0" r="0" b="635"/>
            <wp:docPr id="2101775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75342" name="Picture 2101775342"/>
                    <pic:cNvPicPr/>
                  </pic:nvPicPr>
                  <pic:blipFill rotWithShape="1">
                    <a:blip r:embed="rId28" cstate="print">
                      <a:extLst>
                        <a:ext uri="{28A0092B-C50C-407E-A947-70E740481C1C}">
                          <a14:useLocalDpi xmlns:a14="http://schemas.microsoft.com/office/drawing/2010/main" val="0"/>
                        </a:ext>
                      </a:extLst>
                    </a:blip>
                    <a:srcRect t="22562" r="7058"/>
                    <a:stretch>
                      <a:fillRect/>
                    </a:stretch>
                  </pic:blipFill>
                  <pic:spPr bwMode="auto">
                    <a:xfrm>
                      <a:off x="0" y="0"/>
                      <a:ext cx="1730876" cy="1920696"/>
                    </a:xfrm>
                    <a:prstGeom prst="rect">
                      <a:avLst/>
                    </a:prstGeom>
                    <a:ln>
                      <a:noFill/>
                    </a:ln>
                    <a:extLst>
                      <a:ext uri="{53640926-AAD7-44D8-BBD7-CCE9431645EC}">
                        <a14:shadowObscured xmlns:a14="http://schemas.microsoft.com/office/drawing/2010/main"/>
                      </a:ext>
                    </a:extLst>
                  </pic:spPr>
                </pic:pic>
              </a:graphicData>
            </a:graphic>
          </wp:inline>
        </w:drawing>
      </w:r>
    </w:p>
    <w:p w14:paraId="6E496969" w14:textId="77777777" w:rsidR="003C3926" w:rsidRDefault="003C3926" w:rsidP="00C044B8">
      <w:pPr>
        <w:spacing w:line="360" w:lineRule="auto"/>
        <w:jc w:val="center"/>
        <w:rPr>
          <w:rFonts w:ascii="Arial" w:hAnsi="Arial" w:cs="Arial"/>
          <w:noProof/>
          <w:sz w:val="20"/>
          <w:szCs w:val="22"/>
        </w:rPr>
      </w:pPr>
      <w:r w:rsidRPr="003C3926">
        <w:rPr>
          <w:rFonts w:ascii="Arial" w:hAnsi="Arial" w:cs="Arial"/>
          <w:b/>
          <w:bCs/>
          <w:noProof/>
          <w:sz w:val="20"/>
          <w:szCs w:val="22"/>
        </w:rPr>
        <w:t xml:space="preserve">Fig 5: </w:t>
      </w:r>
      <w:r w:rsidRPr="003C3926">
        <w:rPr>
          <w:rFonts w:ascii="Arial" w:hAnsi="Arial" w:cs="Arial"/>
          <w:i/>
          <w:iCs/>
          <w:noProof/>
          <w:sz w:val="20"/>
          <w:szCs w:val="22"/>
        </w:rPr>
        <w:t>Nocardiopsis</w:t>
      </w:r>
      <w:r w:rsidRPr="003C3926">
        <w:rPr>
          <w:rFonts w:ascii="Arial" w:hAnsi="Arial" w:cs="Arial"/>
          <w:noProof/>
          <w:sz w:val="20"/>
          <w:szCs w:val="22"/>
        </w:rPr>
        <w:t xml:space="preserve"> sp. RB8 isolated from marine sample- (a) </w:t>
      </w:r>
      <w:r w:rsidRPr="003C3926">
        <w:rPr>
          <w:rFonts w:ascii="Arial" w:hAnsi="Arial" w:cs="Arial"/>
          <w:i/>
          <w:iCs/>
          <w:noProof/>
          <w:sz w:val="20"/>
          <w:szCs w:val="22"/>
        </w:rPr>
        <w:t>Nocardiopsis</w:t>
      </w:r>
      <w:r w:rsidRPr="003C3926">
        <w:rPr>
          <w:rFonts w:ascii="Arial" w:hAnsi="Arial" w:cs="Arial"/>
          <w:noProof/>
          <w:sz w:val="20"/>
          <w:szCs w:val="22"/>
        </w:rPr>
        <w:t xml:space="preserve"> sp. RB8 on SCA medium, (b) The substrate mycelia of </w:t>
      </w:r>
      <w:r w:rsidRPr="003C3926">
        <w:rPr>
          <w:rFonts w:ascii="Arial" w:hAnsi="Arial" w:cs="Arial"/>
          <w:i/>
          <w:iCs/>
          <w:noProof/>
          <w:sz w:val="20"/>
          <w:szCs w:val="22"/>
        </w:rPr>
        <w:t>Nocardiopsis</w:t>
      </w:r>
      <w:r w:rsidRPr="003C3926">
        <w:rPr>
          <w:rFonts w:ascii="Arial" w:hAnsi="Arial" w:cs="Arial"/>
          <w:noProof/>
          <w:sz w:val="20"/>
          <w:szCs w:val="22"/>
        </w:rPr>
        <w:t xml:space="preserve"> sp. producing diffusible pigment on SCA medium, (c) Colony observation under Stereomicroscope with magnification of 2x.</w:t>
      </w:r>
    </w:p>
    <w:p w14:paraId="16757507" w14:textId="77777777" w:rsidR="003C3926" w:rsidRPr="003C3926" w:rsidRDefault="003C3926" w:rsidP="00C044B8">
      <w:pPr>
        <w:spacing w:line="360" w:lineRule="auto"/>
        <w:jc w:val="center"/>
        <w:rPr>
          <w:rFonts w:ascii="Arial" w:hAnsi="Arial" w:cs="Arial"/>
          <w:noProof/>
          <w:sz w:val="20"/>
          <w:szCs w:val="22"/>
        </w:rPr>
      </w:pPr>
    </w:p>
    <w:p w14:paraId="56DA5108" w14:textId="25C75403" w:rsidR="003C3926" w:rsidRPr="003C3926" w:rsidRDefault="003C3926" w:rsidP="00C044B8">
      <w:pPr>
        <w:spacing w:line="360" w:lineRule="auto"/>
        <w:jc w:val="center"/>
        <w:rPr>
          <w:rFonts w:ascii="Arial" w:hAnsi="Arial" w:cs="Arial"/>
          <w:noProof/>
          <w:sz w:val="20"/>
          <w:szCs w:val="22"/>
        </w:rPr>
      </w:pPr>
      <w:r w:rsidRPr="003C3926">
        <w:rPr>
          <w:rFonts w:ascii="Arial" w:hAnsi="Arial" w:cs="Arial"/>
          <w:b/>
          <w:bCs/>
          <w:noProof/>
          <w:sz w:val="20"/>
          <w:szCs w:val="22"/>
        </w:rPr>
        <w:t xml:space="preserve">Table </w:t>
      </w:r>
      <w:r>
        <w:rPr>
          <w:rFonts w:ascii="Arial" w:hAnsi="Arial" w:cs="Arial"/>
          <w:b/>
          <w:bCs/>
          <w:noProof/>
          <w:sz w:val="20"/>
          <w:szCs w:val="22"/>
        </w:rPr>
        <w:t>1</w:t>
      </w:r>
      <w:r w:rsidRPr="003C3926">
        <w:rPr>
          <w:rFonts w:ascii="Arial" w:hAnsi="Arial" w:cs="Arial"/>
          <w:b/>
          <w:bCs/>
          <w:noProof/>
          <w:sz w:val="20"/>
          <w:szCs w:val="22"/>
        </w:rPr>
        <w:t>:</w:t>
      </w:r>
      <w:r w:rsidRPr="003C3926">
        <w:rPr>
          <w:rFonts w:ascii="Arial" w:hAnsi="Arial" w:cs="Arial"/>
          <w:noProof/>
          <w:sz w:val="20"/>
          <w:szCs w:val="22"/>
        </w:rPr>
        <w:t xml:space="preserve"> Colony character of </w:t>
      </w:r>
      <w:r w:rsidRPr="003C3926">
        <w:rPr>
          <w:rFonts w:ascii="Arial" w:hAnsi="Arial" w:cs="Arial"/>
          <w:i/>
          <w:iCs/>
          <w:noProof/>
          <w:sz w:val="20"/>
          <w:szCs w:val="22"/>
        </w:rPr>
        <w:t>Nocardiopsis</w:t>
      </w:r>
      <w:r w:rsidRPr="003C3926">
        <w:rPr>
          <w:rFonts w:ascii="Arial" w:hAnsi="Arial" w:cs="Arial"/>
          <w:noProof/>
          <w:sz w:val="20"/>
          <w:szCs w:val="22"/>
        </w:rPr>
        <w:t xml:space="preserve"> sp. on SCA medium</w:t>
      </w:r>
    </w:p>
    <w:tbl>
      <w:tblPr>
        <w:tblStyle w:val="PlainTable2"/>
        <w:tblW w:w="0" w:type="auto"/>
        <w:jc w:val="center"/>
        <w:tblLook w:val="04A0" w:firstRow="1" w:lastRow="0" w:firstColumn="1" w:lastColumn="0" w:noHBand="0" w:noVBand="1"/>
      </w:tblPr>
      <w:tblGrid>
        <w:gridCol w:w="3965"/>
        <w:gridCol w:w="3965"/>
      </w:tblGrid>
      <w:tr w:rsidR="003C3926" w:rsidRPr="003C3926" w14:paraId="5030D9F2" w14:textId="77777777" w:rsidTr="009932E6">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106395C6" w14:textId="77777777" w:rsidR="003C3926" w:rsidRPr="003C3926" w:rsidRDefault="003C3926" w:rsidP="00C044B8">
            <w:pPr>
              <w:spacing w:line="360" w:lineRule="auto"/>
              <w:jc w:val="center"/>
              <w:rPr>
                <w:rFonts w:ascii="Arial" w:hAnsi="Arial" w:cs="Arial"/>
                <w:noProof/>
                <w:sz w:val="20"/>
                <w:szCs w:val="22"/>
              </w:rPr>
            </w:pPr>
            <w:r w:rsidRPr="003C3926">
              <w:rPr>
                <w:rFonts w:ascii="Arial" w:hAnsi="Arial" w:cs="Arial"/>
                <w:noProof/>
                <w:sz w:val="20"/>
                <w:szCs w:val="22"/>
              </w:rPr>
              <w:t>Colony features</w:t>
            </w:r>
          </w:p>
        </w:tc>
        <w:tc>
          <w:tcPr>
            <w:tcW w:w="3965" w:type="dxa"/>
          </w:tcPr>
          <w:p w14:paraId="577575B1" w14:textId="77777777" w:rsidR="003C3926" w:rsidRPr="003C3926" w:rsidRDefault="003C3926" w:rsidP="00C044B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2"/>
              </w:rPr>
            </w:pPr>
            <w:r w:rsidRPr="003C3926">
              <w:rPr>
                <w:rFonts w:ascii="Arial" w:hAnsi="Arial" w:cs="Arial"/>
                <w:i/>
                <w:iCs/>
                <w:noProof/>
                <w:sz w:val="20"/>
                <w:szCs w:val="22"/>
              </w:rPr>
              <w:t>Ncordiopsis</w:t>
            </w:r>
            <w:r w:rsidRPr="003C3926">
              <w:rPr>
                <w:rFonts w:ascii="Arial" w:hAnsi="Arial" w:cs="Arial"/>
                <w:noProof/>
                <w:sz w:val="20"/>
                <w:szCs w:val="22"/>
              </w:rPr>
              <w:t xml:space="preserve"> sp. character</w:t>
            </w:r>
          </w:p>
        </w:tc>
      </w:tr>
      <w:tr w:rsidR="003C3926" w:rsidRPr="003C3926" w14:paraId="1B13ADEA" w14:textId="77777777" w:rsidTr="009932E6">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3965" w:type="dxa"/>
          </w:tcPr>
          <w:p w14:paraId="7D260029" w14:textId="77777777" w:rsidR="003C3926" w:rsidRPr="003C3926" w:rsidRDefault="003C3926" w:rsidP="00C044B8">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Aerial mycelia</w:t>
            </w:r>
          </w:p>
        </w:tc>
        <w:tc>
          <w:tcPr>
            <w:tcW w:w="3965" w:type="dxa"/>
          </w:tcPr>
          <w:p w14:paraId="35E130A3" w14:textId="77777777" w:rsidR="003C3926" w:rsidRPr="003C3926"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White</w:t>
            </w:r>
          </w:p>
        </w:tc>
      </w:tr>
      <w:tr w:rsidR="003C3926" w:rsidRPr="003C3926" w14:paraId="3ABE8623" w14:textId="77777777" w:rsidTr="009932E6">
        <w:trPr>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5D03B589" w14:textId="77777777" w:rsidR="003C3926" w:rsidRPr="003C3926" w:rsidRDefault="003C3926" w:rsidP="00C044B8">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Substrate mycelia</w:t>
            </w:r>
          </w:p>
        </w:tc>
        <w:tc>
          <w:tcPr>
            <w:tcW w:w="3965" w:type="dxa"/>
          </w:tcPr>
          <w:p w14:paraId="72582634" w14:textId="77777777" w:rsidR="003C3926" w:rsidRPr="003C3926"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Brown</w:t>
            </w:r>
          </w:p>
        </w:tc>
      </w:tr>
      <w:tr w:rsidR="003C3926" w:rsidRPr="003C3926" w14:paraId="4C6A898D" w14:textId="77777777" w:rsidTr="009932E6">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3965" w:type="dxa"/>
          </w:tcPr>
          <w:p w14:paraId="3A2CC043" w14:textId="77777777" w:rsidR="003C3926" w:rsidRPr="003C3926" w:rsidRDefault="003C3926" w:rsidP="00C044B8">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Elevation</w:t>
            </w:r>
          </w:p>
        </w:tc>
        <w:tc>
          <w:tcPr>
            <w:tcW w:w="3965" w:type="dxa"/>
          </w:tcPr>
          <w:p w14:paraId="61D8921F" w14:textId="77777777" w:rsidR="003C3926" w:rsidRPr="003C3926"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Slightly raised/ convex</w:t>
            </w:r>
          </w:p>
        </w:tc>
      </w:tr>
      <w:tr w:rsidR="003C3926" w:rsidRPr="003C3926" w14:paraId="5B961A53" w14:textId="77777777" w:rsidTr="009932E6">
        <w:trPr>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2E2BBB58" w14:textId="77777777" w:rsidR="003C3926" w:rsidRPr="003C3926" w:rsidRDefault="003C3926" w:rsidP="00C044B8">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Margin</w:t>
            </w:r>
          </w:p>
        </w:tc>
        <w:tc>
          <w:tcPr>
            <w:tcW w:w="3965" w:type="dxa"/>
          </w:tcPr>
          <w:p w14:paraId="5EBEDFA1" w14:textId="77777777" w:rsidR="003C3926" w:rsidRPr="003C3926"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Slightly undulated</w:t>
            </w:r>
          </w:p>
        </w:tc>
      </w:tr>
      <w:tr w:rsidR="003C3926" w:rsidRPr="003C3926" w14:paraId="069E0CB7" w14:textId="77777777" w:rsidTr="009932E6">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287CBF24" w14:textId="77777777" w:rsidR="003C3926" w:rsidRPr="003C3926" w:rsidRDefault="003C3926" w:rsidP="00C044B8">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Texture</w:t>
            </w:r>
          </w:p>
        </w:tc>
        <w:tc>
          <w:tcPr>
            <w:tcW w:w="3965" w:type="dxa"/>
          </w:tcPr>
          <w:p w14:paraId="54BD8B83" w14:textId="77777777" w:rsidR="003C3926" w:rsidRPr="003C3926"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Chalky</w:t>
            </w:r>
          </w:p>
        </w:tc>
      </w:tr>
      <w:tr w:rsidR="003C3926" w:rsidRPr="003C3926" w14:paraId="184F814D" w14:textId="77777777" w:rsidTr="009932E6">
        <w:trPr>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785A8013" w14:textId="77777777" w:rsidR="003C3926" w:rsidRPr="003C3926" w:rsidRDefault="003C3926" w:rsidP="00C044B8">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Odor</w:t>
            </w:r>
          </w:p>
        </w:tc>
        <w:tc>
          <w:tcPr>
            <w:tcW w:w="3965" w:type="dxa"/>
          </w:tcPr>
          <w:p w14:paraId="42F05090" w14:textId="77777777" w:rsidR="003C3926" w:rsidRPr="003C3926"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Earthy</w:t>
            </w:r>
          </w:p>
        </w:tc>
      </w:tr>
      <w:tr w:rsidR="003C3926" w:rsidRPr="003C3926" w14:paraId="42F352E1" w14:textId="77777777" w:rsidTr="009932E6">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3D202A69" w14:textId="77777777" w:rsidR="003C3926" w:rsidRPr="003C3926" w:rsidRDefault="003C3926" w:rsidP="00C044B8">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Diffusiable pigment</w:t>
            </w:r>
          </w:p>
        </w:tc>
        <w:tc>
          <w:tcPr>
            <w:tcW w:w="3965" w:type="dxa"/>
          </w:tcPr>
          <w:p w14:paraId="1607C3E8" w14:textId="77777777" w:rsidR="003C3926" w:rsidRPr="003C3926"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Reddish brown</w:t>
            </w:r>
          </w:p>
        </w:tc>
      </w:tr>
      <w:tr w:rsidR="003C3926" w:rsidRPr="003C3926" w14:paraId="71C0908A" w14:textId="77777777" w:rsidTr="009932E6">
        <w:trPr>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0BBF530A" w14:textId="77777777" w:rsidR="003C3926" w:rsidRPr="003C3926" w:rsidRDefault="003C3926" w:rsidP="00C044B8">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Gram staining</w:t>
            </w:r>
          </w:p>
        </w:tc>
        <w:tc>
          <w:tcPr>
            <w:tcW w:w="3965" w:type="dxa"/>
          </w:tcPr>
          <w:p w14:paraId="45E15D2E" w14:textId="77777777" w:rsidR="003C3926" w:rsidRPr="003C3926"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Gram positive</w:t>
            </w:r>
          </w:p>
        </w:tc>
      </w:tr>
    </w:tbl>
    <w:p w14:paraId="0375EE61" w14:textId="77777777" w:rsidR="003C3926" w:rsidRDefault="003C3926" w:rsidP="00C044B8">
      <w:pPr>
        <w:spacing w:line="360" w:lineRule="auto"/>
        <w:jc w:val="center"/>
        <w:rPr>
          <w:rFonts w:ascii="Times New Roman" w:hAnsi="Times New Roman" w:cs="Times New Roman"/>
          <w:noProof/>
          <w:szCs w:val="28"/>
        </w:rPr>
      </w:pPr>
    </w:p>
    <w:p w14:paraId="75DABFAA" w14:textId="574AD300" w:rsidR="003C3926" w:rsidRDefault="003C3926" w:rsidP="00C044B8">
      <w:pPr>
        <w:spacing w:after="0" w:line="360" w:lineRule="auto"/>
        <w:jc w:val="center"/>
        <w:rPr>
          <w:rFonts w:ascii="Times New Roman" w:hAnsi="Times New Roman" w:cs="Times New Roman"/>
          <w:noProof/>
          <w:szCs w:val="28"/>
        </w:rPr>
      </w:pPr>
      <w:r>
        <w:rPr>
          <w:rFonts w:ascii="Times New Roman" w:hAnsi="Times New Roman" w:cs="Times New Roman"/>
          <w:noProof/>
          <w:szCs w:val="28"/>
        </w:rPr>
        <w:lastRenderedPageBreak/>
        <mc:AlternateContent>
          <mc:Choice Requires="wps">
            <w:drawing>
              <wp:anchor distT="0" distB="0" distL="114300" distR="114300" simplePos="0" relativeHeight="251689984" behindDoc="0" locked="0" layoutInCell="1" allowOverlap="1" wp14:anchorId="33A3009F" wp14:editId="38048D4F">
                <wp:simplePos x="0" y="0"/>
                <wp:positionH relativeFrom="column">
                  <wp:posOffset>1714500</wp:posOffset>
                </wp:positionH>
                <wp:positionV relativeFrom="paragraph">
                  <wp:posOffset>1974850</wp:posOffset>
                </wp:positionV>
                <wp:extent cx="241300" cy="273050"/>
                <wp:effectExtent l="0" t="0" r="25400" b="12700"/>
                <wp:wrapNone/>
                <wp:docPr id="2049530978" name="Text Box 7"/>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ysClr val="window" lastClr="FFFFFF"/>
                        </a:solidFill>
                        <a:ln w="6350">
                          <a:solidFill>
                            <a:prstClr val="black"/>
                          </a:solidFill>
                        </a:ln>
                      </wps:spPr>
                      <wps:txbx>
                        <w:txbxContent>
                          <w:p w14:paraId="6A6D5D74"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3009F" id="_x0000_s1047" type="#_x0000_t202" style="position:absolute;left:0;text-align:left;margin-left:135pt;margin-top:155.5pt;width:19pt;height: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" fillcolor="window" strokeweight=".5pt">
                <v:textbox>
                  <w:txbxContent>
                    <w:p w14:paraId="6A6D5D74"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c</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87936" behindDoc="0" locked="0" layoutInCell="1" allowOverlap="1" wp14:anchorId="18153940" wp14:editId="4D574E04">
                <wp:simplePos x="0" y="0"/>
                <wp:positionH relativeFrom="column">
                  <wp:posOffset>1092200</wp:posOffset>
                </wp:positionH>
                <wp:positionV relativeFrom="paragraph">
                  <wp:posOffset>19050</wp:posOffset>
                </wp:positionV>
                <wp:extent cx="914400" cy="273050"/>
                <wp:effectExtent l="0" t="0" r="19685" b="12700"/>
                <wp:wrapNone/>
                <wp:docPr id="1106130185" name="Text Box 7"/>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ysClr val="window" lastClr="FFFFFF"/>
                        </a:solidFill>
                        <a:ln w="6350">
                          <a:solidFill>
                            <a:prstClr val="black"/>
                          </a:solidFill>
                        </a:ln>
                      </wps:spPr>
                      <wps:txbx>
                        <w:txbxContent>
                          <w:p w14:paraId="26ADC5DE"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53940" id="_x0000_s1048" type="#_x0000_t202" style="position:absolute;left:0;text-align:left;margin-left:86pt;margin-top:1.5pt;width:1in;height:21.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" fillcolor="window" strokeweight=".5pt">
                <v:textbox>
                  <w:txbxContent>
                    <w:p w14:paraId="26ADC5DE"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a</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88960" behindDoc="0" locked="0" layoutInCell="1" allowOverlap="1" wp14:anchorId="473A4B7E" wp14:editId="1F78CB85">
                <wp:simplePos x="0" y="0"/>
                <wp:positionH relativeFrom="column">
                  <wp:posOffset>3022600</wp:posOffset>
                </wp:positionH>
                <wp:positionV relativeFrom="paragraph">
                  <wp:posOffset>0</wp:posOffset>
                </wp:positionV>
                <wp:extent cx="914400" cy="273050"/>
                <wp:effectExtent l="0" t="0" r="19685" b="12700"/>
                <wp:wrapNone/>
                <wp:docPr id="544894545" name="Text Box 7"/>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ysClr val="window" lastClr="FFFFFF"/>
                        </a:solidFill>
                        <a:ln w="6350">
                          <a:solidFill>
                            <a:prstClr val="black"/>
                          </a:solidFill>
                        </a:ln>
                      </wps:spPr>
                      <wps:txbx>
                        <w:txbxContent>
                          <w:p w14:paraId="26C6B132"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3A4B7E" id="_x0000_s1049" type="#_x0000_t202" style="position:absolute;left:0;text-align:left;margin-left:238pt;margin-top:0;width:1in;height:21.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" fillcolor="window" strokeweight=".5pt">
                <v:textbox>
                  <w:txbxContent>
                    <w:p w14:paraId="26C6B132"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b</w:t>
                      </w:r>
                    </w:p>
                  </w:txbxContent>
                </v:textbox>
              </v:shape>
            </w:pict>
          </mc:Fallback>
        </mc:AlternateContent>
      </w:r>
      <w:r>
        <w:rPr>
          <w:rFonts w:ascii="Times New Roman" w:hAnsi="Times New Roman" w:cs="Times New Roman"/>
          <w:noProof/>
          <w:szCs w:val="28"/>
        </w:rPr>
        <w:drawing>
          <wp:inline distT="0" distB="0" distL="0" distR="0" wp14:anchorId="5EC8140A" wp14:editId="3CB5A6B1">
            <wp:extent cx="1898015" cy="1860550"/>
            <wp:effectExtent l="0" t="0" r="6985" b="6350"/>
            <wp:docPr id="13572741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74117" name="Picture 1357274117"/>
                    <pic:cNvPicPr/>
                  </pic:nvPicPr>
                  <pic:blipFill rotWithShape="1">
                    <a:blip r:embed="rId29" cstate="print">
                      <a:extLst>
                        <a:ext uri="{28A0092B-C50C-407E-A947-70E740481C1C}">
                          <a14:useLocalDpi xmlns:a14="http://schemas.microsoft.com/office/drawing/2010/main" val="0"/>
                        </a:ext>
                      </a:extLst>
                    </a:blip>
                    <a:srcRect l="12596" r="17678" b="8970"/>
                    <a:stretch>
                      <a:fillRect/>
                    </a:stretch>
                  </pic:blipFill>
                  <pic:spPr bwMode="auto">
                    <a:xfrm>
                      <a:off x="0" y="0"/>
                      <a:ext cx="1901455" cy="186392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Cs w:val="28"/>
        </w:rPr>
        <w:drawing>
          <wp:inline distT="0" distB="0" distL="0" distR="0" wp14:anchorId="1FC89830" wp14:editId="34B8C1EA">
            <wp:extent cx="1851240" cy="1862455"/>
            <wp:effectExtent l="0" t="0" r="0" b="4445"/>
            <wp:docPr id="1934786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86149" name="Picture 9"/>
                    <pic:cNvPicPr/>
                  </pic:nvPicPr>
                  <pic:blipFill>
                    <a:blip r:embed="rId30" cstate="print">
                      <a:extLst>
                        <a:ext uri="{28A0092B-C50C-407E-A947-70E740481C1C}">
                          <a14:useLocalDpi xmlns:a14="http://schemas.microsoft.com/office/drawing/2010/main" val="0"/>
                        </a:ext>
                      </a:extLst>
                    </a:blip>
                    <a:srcRect t="1444" b="1444"/>
                    <a:stretch>
                      <a:fillRect/>
                    </a:stretch>
                  </pic:blipFill>
                  <pic:spPr bwMode="auto">
                    <a:xfrm>
                      <a:off x="0" y="0"/>
                      <a:ext cx="1852853" cy="186407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Cs w:val="28"/>
        </w:rPr>
        <w:t xml:space="preserve"> </w:t>
      </w:r>
      <w:r>
        <w:rPr>
          <w:rFonts w:ascii="Times New Roman" w:hAnsi="Times New Roman" w:cs="Times New Roman"/>
          <w:noProof/>
          <w:szCs w:val="28"/>
        </w:rPr>
        <w:drawing>
          <wp:inline distT="0" distB="0" distL="0" distR="0" wp14:anchorId="5D3AA92C" wp14:editId="2E78F6E5">
            <wp:extent cx="2520950" cy="1890714"/>
            <wp:effectExtent l="0" t="0" r="0" b="0"/>
            <wp:docPr id="7013635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63509" name="Picture 70136350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4114" cy="1900587"/>
                    </a:xfrm>
                    <a:prstGeom prst="rect">
                      <a:avLst/>
                    </a:prstGeom>
                  </pic:spPr>
                </pic:pic>
              </a:graphicData>
            </a:graphic>
          </wp:inline>
        </w:drawing>
      </w:r>
    </w:p>
    <w:p w14:paraId="1F49E154" w14:textId="7056063D" w:rsidR="009731FC" w:rsidRPr="003C3926" w:rsidRDefault="003C3926" w:rsidP="00C044B8">
      <w:pPr>
        <w:spacing w:line="360" w:lineRule="auto"/>
        <w:jc w:val="center"/>
        <w:rPr>
          <w:rFonts w:ascii="Arial" w:hAnsi="Arial" w:cs="Arial"/>
          <w:noProof/>
          <w:sz w:val="20"/>
          <w:szCs w:val="22"/>
        </w:rPr>
      </w:pPr>
      <w:r w:rsidRPr="003C3926">
        <w:rPr>
          <w:rFonts w:ascii="Arial" w:hAnsi="Arial" w:cs="Arial"/>
          <w:b/>
          <w:bCs/>
          <w:noProof/>
          <w:sz w:val="20"/>
          <w:szCs w:val="22"/>
        </w:rPr>
        <w:t>Fig 6:</w:t>
      </w:r>
      <w:r w:rsidRPr="003C3926">
        <w:rPr>
          <w:rFonts w:ascii="Arial" w:hAnsi="Arial" w:cs="Arial"/>
          <w:noProof/>
          <w:sz w:val="20"/>
          <w:szCs w:val="22"/>
        </w:rPr>
        <w:t xml:space="preserve"> The aerial mycelia of </w:t>
      </w:r>
      <w:r w:rsidRPr="003C3926">
        <w:rPr>
          <w:rFonts w:ascii="Arial" w:hAnsi="Arial" w:cs="Arial"/>
          <w:i/>
          <w:iCs/>
          <w:noProof/>
          <w:sz w:val="20"/>
          <w:szCs w:val="22"/>
        </w:rPr>
        <w:t>Nocardiopsis</w:t>
      </w:r>
      <w:r w:rsidRPr="003C3926">
        <w:rPr>
          <w:rFonts w:ascii="Arial" w:hAnsi="Arial" w:cs="Arial"/>
          <w:noProof/>
          <w:sz w:val="20"/>
          <w:szCs w:val="22"/>
        </w:rPr>
        <w:t xml:space="preserve"> sp. RB8 observed under microscope- (a) By coverslip method (40x), (b) By slide culture method (100x), (c) . Aerial mycelia observed under SEM at 3µm scale bar .</w:t>
      </w:r>
    </w:p>
    <w:p w14:paraId="0CB7CDF6" w14:textId="6B4B6D65" w:rsidR="003C3926" w:rsidRPr="009731FC" w:rsidRDefault="003C3926" w:rsidP="00C044B8">
      <w:pPr>
        <w:spacing w:line="360" w:lineRule="auto"/>
        <w:jc w:val="center"/>
        <w:rPr>
          <w:rFonts w:ascii="Arial" w:hAnsi="Arial" w:cs="Arial"/>
          <w:noProof/>
          <w:sz w:val="20"/>
          <w:szCs w:val="20"/>
        </w:rPr>
      </w:pPr>
      <w:r w:rsidRPr="009731FC">
        <w:rPr>
          <w:rFonts w:ascii="Arial" w:hAnsi="Arial" w:cs="Arial"/>
          <w:b/>
          <w:bCs/>
          <w:noProof/>
          <w:sz w:val="20"/>
          <w:szCs w:val="20"/>
        </w:rPr>
        <w:t xml:space="preserve">Table </w:t>
      </w:r>
      <w:r w:rsidR="009731FC">
        <w:rPr>
          <w:rFonts w:ascii="Arial" w:hAnsi="Arial" w:cs="Arial"/>
          <w:b/>
          <w:bCs/>
          <w:noProof/>
          <w:sz w:val="20"/>
          <w:szCs w:val="20"/>
        </w:rPr>
        <w:t>2</w:t>
      </w:r>
      <w:r w:rsidRPr="009731FC">
        <w:rPr>
          <w:rFonts w:ascii="Arial" w:hAnsi="Arial" w:cs="Arial"/>
          <w:b/>
          <w:bCs/>
          <w:noProof/>
          <w:sz w:val="20"/>
          <w:szCs w:val="20"/>
        </w:rPr>
        <w:t>:</w:t>
      </w:r>
      <w:r w:rsidRPr="009731FC">
        <w:rPr>
          <w:rFonts w:ascii="Arial" w:hAnsi="Arial" w:cs="Arial"/>
          <w:noProof/>
          <w:sz w:val="20"/>
          <w:szCs w:val="20"/>
        </w:rPr>
        <w:t xml:space="preserve"> Colony morphology of </w:t>
      </w:r>
      <w:r w:rsidRPr="009731FC">
        <w:rPr>
          <w:rFonts w:ascii="Arial" w:hAnsi="Arial" w:cs="Arial"/>
          <w:i/>
          <w:iCs/>
          <w:noProof/>
          <w:sz w:val="20"/>
          <w:szCs w:val="20"/>
        </w:rPr>
        <w:t>Nocardiopsis</w:t>
      </w:r>
      <w:r w:rsidRPr="009731FC">
        <w:rPr>
          <w:rFonts w:ascii="Arial" w:hAnsi="Arial" w:cs="Arial"/>
          <w:noProof/>
          <w:sz w:val="20"/>
          <w:szCs w:val="20"/>
        </w:rPr>
        <w:t xml:space="preserve"> sp. RB8 on different media</w:t>
      </w:r>
    </w:p>
    <w:tbl>
      <w:tblPr>
        <w:tblStyle w:val="PlainTable2"/>
        <w:tblW w:w="0" w:type="auto"/>
        <w:jc w:val="center"/>
        <w:tblLook w:val="04A0" w:firstRow="1" w:lastRow="0" w:firstColumn="1" w:lastColumn="0" w:noHBand="0" w:noVBand="1"/>
      </w:tblPr>
      <w:tblGrid>
        <w:gridCol w:w="3995"/>
        <w:gridCol w:w="1997"/>
        <w:gridCol w:w="1998"/>
      </w:tblGrid>
      <w:tr w:rsidR="003C3926" w:rsidRPr="009731FC" w14:paraId="40F82EC6" w14:textId="77777777" w:rsidTr="009932E6">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995" w:type="dxa"/>
            <w:vMerge w:val="restart"/>
          </w:tcPr>
          <w:p w14:paraId="02650DE5" w14:textId="77777777" w:rsidR="003C3926" w:rsidRPr="009731FC" w:rsidRDefault="003C3926" w:rsidP="00C044B8">
            <w:pPr>
              <w:spacing w:line="360" w:lineRule="auto"/>
              <w:jc w:val="center"/>
              <w:rPr>
                <w:rFonts w:ascii="Arial" w:hAnsi="Arial" w:cs="Arial"/>
                <w:b w:val="0"/>
                <w:bCs w:val="0"/>
                <w:sz w:val="20"/>
                <w:szCs w:val="20"/>
              </w:rPr>
            </w:pPr>
          </w:p>
          <w:p w14:paraId="79D2AE27" w14:textId="77777777" w:rsidR="003C3926" w:rsidRPr="009731FC" w:rsidRDefault="003C3926" w:rsidP="00C044B8">
            <w:pPr>
              <w:spacing w:line="360" w:lineRule="auto"/>
              <w:jc w:val="center"/>
              <w:rPr>
                <w:rFonts w:ascii="Arial" w:hAnsi="Arial" w:cs="Arial"/>
                <w:b w:val="0"/>
                <w:bCs w:val="0"/>
                <w:sz w:val="20"/>
                <w:szCs w:val="20"/>
              </w:rPr>
            </w:pPr>
            <w:r w:rsidRPr="009731FC">
              <w:rPr>
                <w:rFonts w:ascii="Arial" w:hAnsi="Arial" w:cs="Arial"/>
                <w:b w:val="0"/>
                <w:bCs w:val="0"/>
                <w:sz w:val="20"/>
                <w:szCs w:val="20"/>
              </w:rPr>
              <w:t>Media</w:t>
            </w:r>
          </w:p>
        </w:tc>
        <w:tc>
          <w:tcPr>
            <w:tcW w:w="3995" w:type="dxa"/>
            <w:gridSpan w:val="2"/>
          </w:tcPr>
          <w:p w14:paraId="22701591" w14:textId="77777777" w:rsidR="003C3926" w:rsidRPr="009731FC" w:rsidRDefault="003C3926" w:rsidP="00C044B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731FC">
              <w:rPr>
                <w:rFonts w:ascii="Arial" w:hAnsi="Arial" w:cs="Arial"/>
                <w:b w:val="0"/>
                <w:bCs w:val="0"/>
                <w:i/>
                <w:iCs/>
                <w:sz w:val="20"/>
                <w:szCs w:val="20"/>
              </w:rPr>
              <w:t>Nocardiopsis</w:t>
            </w:r>
            <w:r w:rsidRPr="009731FC">
              <w:rPr>
                <w:rFonts w:ascii="Arial" w:hAnsi="Arial" w:cs="Arial"/>
                <w:b w:val="0"/>
                <w:bCs w:val="0"/>
                <w:sz w:val="20"/>
                <w:szCs w:val="20"/>
              </w:rPr>
              <w:t xml:space="preserve"> sp. RB8</w:t>
            </w:r>
          </w:p>
        </w:tc>
      </w:tr>
      <w:tr w:rsidR="003C3926" w:rsidRPr="009731FC" w14:paraId="06746442" w14:textId="77777777" w:rsidTr="009932E6">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995" w:type="dxa"/>
            <w:vMerge/>
          </w:tcPr>
          <w:p w14:paraId="0C272645" w14:textId="77777777" w:rsidR="003C3926" w:rsidRPr="009731FC" w:rsidRDefault="003C3926" w:rsidP="00C044B8">
            <w:pPr>
              <w:spacing w:line="360" w:lineRule="auto"/>
              <w:jc w:val="center"/>
              <w:rPr>
                <w:rFonts w:ascii="Arial" w:hAnsi="Arial" w:cs="Arial"/>
                <w:b w:val="0"/>
                <w:bCs w:val="0"/>
                <w:sz w:val="20"/>
                <w:szCs w:val="20"/>
              </w:rPr>
            </w:pPr>
          </w:p>
        </w:tc>
        <w:tc>
          <w:tcPr>
            <w:tcW w:w="1997" w:type="dxa"/>
          </w:tcPr>
          <w:p w14:paraId="54F3CB5B"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731FC">
              <w:rPr>
                <w:rFonts w:ascii="Arial" w:hAnsi="Arial" w:cs="Arial"/>
                <w:b/>
                <w:bCs/>
                <w:sz w:val="20"/>
                <w:szCs w:val="20"/>
              </w:rPr>
              <w:t>Aerial mycelium</w:t>
            </w:r>
          </w:p>
        </w:tc>
        <w:tc>
          <w:tcPr>
            <w:tcW w:w="1998" w:type="dxa"/>
          </w:tcPr>
          <w:p w14:paraId="27CD34EE"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731FC">
              <w:rPr>
                <w:rFonts w:ascii="Arial" w:hAnsi="Arial" w:cs="Arial"/>
                <w:b/>
                <w:bCs/>
                <w:sz w:val="20"/>
                <w:szCs w:val="20"/>
              </w:rPr>
              <w:t>Substrate mycelium</w:t>
            </w:r>
          </w:p>
        </w:tc>
      </w:tr>
      <w:tr w:rsidR="003C3926" w:rsidRPr="009731FC" w14:paraId="3D8702A3" w14:textId="77777777" w:rsidTr="009932E6">
        <w:trPr>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3A36EAA1"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Kuster’s Agar</w:t>
            </w:r>
          </w:p>
        </w:tc>
        <w:tc>
          <w:tcPr>
            <w:tcW w:w="1997" w:type="dxa"/>
          </w:tcPr>
          <w:p w14:paraId="67D3F43C"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White colony</w:t>
            </w:r>
          </w:p>
        </w:tc>
        <w:tc>
          <w:tcPr>
            <w:tcW w:w="1998" w:type="dxa"/>
          </w:tcPr>
          <w:p w14:paraId="494D8228" w14:textId="571ECAB5" w:rsidR="003C3926" w:rsidRPr="009731FC" w:rsidRDefault="00521C8D"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3C3926" w:rsidRPr="009731FC" w14:paraId="2770BBB7" w14:textId="77777777" w:rsidTr="009932E6">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3995" w:type="dxa"/>
          </w:tcPr>
          <w:p w14:paraId="7F7CF357"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Chitin Agar</w:t>
            </w:r>
          </w:p>
        </w:tc>
        <w:tc>
          <w:tcPr>
            <w:tcW w:w="1997" w:type="dxa"/>
          </w:tcPr>
          <w:p w14:paraId="77903F6C"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Dark grey colony</w:t>
            </w:r>
          </w:p>
        </w:tc>
        <w:tc>
          <w:tcPr>
            <w:tcW w:w="1998" w:type="dxa"/>
          </w:tcPr>
          <w:p w14:paraId="73DE04F2" w14:textId="79842CD9" w:rsidR="003C3926" w:rsidRPr="009731FC" w:rsidRDefault="00521C8D"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3C3926" w:rsidRPr="009731FC" w14:paraId="51A3631B" w14:textId="77777777" w:rsidTr="009932E6">
        <w:trPr>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2ADE2270"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Humic acid-Vitamin Agar</w:t>
            </w:r>
          </w:p>
        </w:tc>
        <w:tc>
          <w:tcPr>
            <w:tcW w:w="1997" w:type="dxa"/>
          </w:tcPr>
          <w:p w14:paraId="26DBFD0E"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Dark grey colony</w:t>
            </w:r>
          </w:p>
        </w:tc>
        <w:tc>
          <w:tcPr>
            <w:tcW w:w="1998" w:type="dxa"/>
          </w:tcPr>
          <w:p w14:paraId="6087B7CF" w14:textId="15374902" w:rsidR="003C3926" w:rsidRPr="009731FC" w:rsidRDefault="00521C8D"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3C3926" w:rsidRPr="009731FC" w14:paraId="5830A282" w14:textId="77777777" w:rsidTr="009932E6">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041DD3A9"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Glycerol-Asparagine Agar</w:t>
            </w:r>
          </w:p>
        </w:tc>
        <w:tc>
          <w:tcPr>
            <w:tcW w:w="1997" w:type="dxa"/>
          </w:tcPr>
          <w:p w14:paraId="074DAD80"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Whitish grey colony</w:t>
            </w:r>
          </w:p>
        </w:tc>
        <w:tc>
          <w:tcPr>
            <w:tcW w:w="1998" w:type="dxa"/>
          </w:tcPr>
          <w:p w14:paraId="4A05B654" w14:textId="678E6D0D" w:rsidR="003C3926" w:rsidRPr="009731FC" w:rsidRDefault="00521C8D"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3C3926" w:rsidRPr="009731FC" w14:paraId="21217241" w14:textId="77777777" w:rsidTr="009932E6">
        <w:trPr>
          <w:trHeight w:val="429"/>
          <w:jc w:val="center"/>
        </w:trPr>
        <w:tc>
          <w:tcPr>
            <w:cnfStyle w:val="001000000000" w:firstRow="0" w:lastRow="0" w:firstColumn="1" w:lastColumn="0" w:oddVBand="0" w:evenVBand="0" w:oddHBand="0" w:evenHBand="0" w:firstRowFirstColumn="0" w:firstRowLastColumn="0" w:lastRowFirstColumn="0" w:lastRowLastColumn="0"/>
            <w:tcW w:w="3995" w:type="dxa"/>
          </w:tcPr>
          <w:p w14:paraId="5CD747F1"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Soyabean-Casein Agar</w:t>
            </w:r>
          </w:p>
        </w:tc>
        <w:tc>
          <w:tcPr>
            <w:tcW w:w="1997" w:type="dxa"/>
          </w:tcPr>
          <w:p w14:paraId="49EFC5E9"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White colony</w:t>
            </w:r>
          </w:p>
        </w:tc>
        <w:tc>
          <w:tcPr>
            <w:tcW w:w="1998" w:type="dxa"/>
          </w:tcPr>
          <w:p w14:paraId="0E8861ED"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Light brown</w:t>
            </w:r>
          </w:p>
        </w:tc>
      </w:tr>
      <w:tr w:rsidR="003C3926" w:rsidRPr="009731FC" w14:paraId="78F18B44" w14:textId="77777777" w:rsidTr="009932E6">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1B28E116"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Tryptic Soy Agar</w:t>
            </w:r>
          </w:p>
        </w:tc>
        <w:tc>
          <w:tcPr>
            <w:tcW w:w="1997" w:type="dxa"/>
          </w:tcPr>
          <w:p w14:paraId="0A4FC8AF"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White colony</w:t>
            </w:r>
          </w:p>
        </w:tc>
        <w:tc>
          <w:tcPr>
            <w:tcW w:w="1998" w:type="dxa"/>
          </w:tcPr>
          <w:p w14:paraId="31D2A430"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Brown</w:t>
            </w:r>
          </w:p>
        </w:tc>
      </w:tr>
      <w:tr w:rsidR="003C3926" w:rsidRPr="009731FC" w14:paraId="4D92B308" w14:textId="77777777" w:rsidTr="009932E6">
        <w:trPr>
          <w:trHeight w:val="429"/>
          <w:jc w:val="center"/>
        </w:trPr>
        <w:tc>
          <w:tcPr>
            <w:cnfStyle w:val="001000000000" w:firstRow="0" w:lastRow="0" w:firstColumn="1" w:lastColumn="0" w:oddVBand="0" w:evenVBand="0" w:oddHBand="0" w:evenHBand="0" w:firstRowFirstColumn="0" w:firstRowLastColumn="0" w:lastRowFirstColumn="0" w:lastRowLastColumn="0"/>
            <w:tcW w:w="3995" w:type="dxa"/>
          </w:tcPr>
          <w:p w14:paraId="6578BAFE"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Bennett’s Agar</w:t>
            </w:r>
          </w:p>
        </w:tc>
        <w:tc>
          <w:tcPr>
            <w:tcW w:w="1997" w:type="dxa"/>
          </w:tcPr>
          <w:p w14:paraId="63AA95E3"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White colony</w:t>
            </w:r>
          </w:p>
        </w:tc>
        <w:tc>
          <w:tcPr>
            <w:tcW w:w="1998" w:type="dxa"/>
          </w:tcPr>
          <w:p w14:paraId="224509B9" w14:textId="35B1359F" w:rsidR="003C3926" w:rsidRPr="009731FC" w:rsidRDefault="00521C8D"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3C3926" w:rsidRPr="009731FC" w14:paraId="6743EC35" w14:textId="77777777" w:rsidTr="009932E6">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0FEB15EC"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Actinomycetes Isolation Agar</w:t>
            </w:r>
          </w:p>
        </w:tc>
        <w:tc>
          <w:tcPr>
            <w:tcW w:w="1997" w:type="dxa"/>
          </w:tcPr>
          <w:p w14:paraId="48B4B44F"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White</w:t>
            </w:r>
          </w:p>
        </w:tc>
        <w:tc>
          <w:tcPr>
            <w:tcW w:w="1998" w:type="dxa"/>
          </w:tcPr>
          <w:p w14:paraId="57760FAB"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Dark brown</w:t>
            </w:r>
          </w:p>
        </w:tc>
      </w:tr>
      <w:tr w:rsidR="003C3926" w:rsidRPr="009731FC" w14:paraId="2A9753D8" w14:textId="77777777" w:rsidTr="009932E6">
        <w:trPr>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33C9AC55"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Oatmeal Agar</w:t>
            </w:r>
          </w:p>
        </w:tc>
        <w:tc>
          <w:tcPr>
            <w:tcW w:w="1997" w:type="dxa"/>
          </w:tcPr>
          <w:p w14:paraId="5AE5151D"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Dark grey colony</w:t>
            </w:r>
          </w:p>
        </w:tc>
        <w:tc>
          <w:tcPr>
            <w:tcW w:w="1998" w:type="dxa"/>
          </w:tcPr>
          <w:p w14:paraId="2167EA61" w14:textId="31A82619" w:rsidR="003C3926" w:rsidRPr="009731FC" w:rsidRDefault="00521C8D"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bl>
    <w:p w14:paraId="46FB8AB9" w14:textId="77777777" w:rsidR="003C3926" w:rsidRPr="009731FC" w:rsidRDefault="003C3926" w:rsidP="00C044B8">
      <w:pPr>
        <w:spacing w:line="360" w:lineRule="auto"/>
        <w:jc w:val="center"/>
        <w:rPr>
          <w:rFonts w:ascii="Arial" w:hAnsi="Arial" w:cs="Arial"/>
          <w:sz w:val="20"/>
          <w:szCs w:val="20"/>
        </w:rPr>
      </w:pPr>
    </w:p>
    <w:p w14:paraId="3B05C65B" w14:textId="50B546EE" w:rsidR="003C3926" w:rsidRPr="009731FC" w:rsidRDefault="003C3926" w:rsidP="00C044B8">
      <w:pPr>
        <w:spacing w:line="360" w:lineRule="auto"/>
        <w:jc w:val="center"/>
        <w:rPr>
          <w:rFonts w:ascii="Arial" w:hAnsi="Arial" w:cs="Arial"/>
          <w:sz w:val="20"/>
          <w:szCs w:val="20"/>
        </w:rPr>
      </w:pPr>
      <w:r w:rsidRPr="009731FC">
        <w:rPr>
          <w:rFonts w:ascii="Arial" w:hAnsi="Arial" w:cs="Arial"/>
          <w:b/>
          <w:bCs/>
          <w:sz w:val="20"/>
          <w:szCs w:val="20"/>
        </w:rPr>
        <w:lastRenderedPageBreak/>
        <w:t xml:space="preserve">Table </w:t>
      </w:r>
      <w:r w:rsidR="009731FC">
        <w:rPr>
          <w:rFonts w:ascii="Arial" w:hAnsi="Arial" w:cs="Arial"/>
          <w:b/>
          <w:bCs/>
          <w:sz w:val="20"/>
          <w:szCs w:val="20"/>
        </w:rPr>
        <w:t>3</w:t>
      </w:r>
      <w:r w:rsidRPr="009731FC">
        <w:rPr>
          <w:rFonts w:ascii="Arial" w:hAnsi="Arial" w:cs="Arial"/>
          <w:b/>
          <w:bCs/>
          <w:sz w:val="20"/>
          <w:szCs w:val="20"/>
        </w:rPr>
        <w:t>:</w:t>
      </w:r>
      <w:r w:rsidRPr="009731FC">
        <w:rPr>
          <w:rFonts w:ascii="Arial" w:hAnsi="Arial" w:cs="Arial"/>
          <w:sz w:val="20"/>
          <w:szCs w:val="20"/>
        </w:rPr>
        <w:t xml:space="preserve"> Biochemical characteristics of </w:t>
      </w:r>
      <w:r w:rsidRPr="009731FC">
        <w:rPr>
          <w:rFonts w:ascii="Arial" w:hAnsi="Arial" w:cs="Arial"/>
          <w:i/>
          <w:iCs/>
          <w:sz w:val="20"/>
          <w:szCs w:val="20"/>
        </w:rPr>
        <w:t>Nocardiopsis</w:t>
      </w:r>
      <w:r w:rsidRPr="009731FC">
        <w:rPr>
          <w:rFonts w:ascii="Arial" w:hAnsi="Arial" w:cs="Arial"/>
          <w:sz w:val="20"/>
          <w:szCs w:val="20"/>
        </w:rPr>
        <w:t xml:space="preserve"> sp.</w:t>
      </w:r>
    </w:p>
    <w:tbl>
      <w:tblPr>
        <w:tblStyle w:val="PlainTable2"/>
        <w:tblW w:w="0" w:type="auto"/>
        <w:jc w:val="center"/>
        <w:tblLook w:val="04A0" w:firstRow="1" w:lastRow="0" w:firstColumn="1" w:lastColumn="0" w:noHBand="0" w:noVBand="1"/>
      </w:tblPr>
      <w:tblGrid>
        <w:gridCol w:w="3725"/>
        <w:gridCol w:w="3725"/>
      </w:tblGrid>
      <w:tr w:rsidR="003C3926" w:rsidRPr="009731FC" w14:paraId="357B83AD" w14:textId="77777777" w:rsidTr="009932E6">
        <w:trPr>
          <w:cnfStyle w:val="100000000000" w:firstRow="1" w:lastRow="0" w:firstColumn="0" w:lastColumn="0" w:oddVBand="0" w:evenVBand="0" w:oddHBand="0"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3725" w:type="dxa"/>
          </w:tcPr>
          <w:p w14:paraId="67976128" w14:textId="77777777" w:rsidR="003C3926" w:rsidRPr="009731FC" w:rsidRDefault="003C3926" w:rsidP="00C044B8">
            <w:pPr>
              <w:spacing w:line="360" w:lineRule="auto"/>
              <w:jc w:val="center"/>
              <w:rPr>
                <w:rFonts w:ascii="Arial" w:hAnsi="Arial" w:cs="Arial"/>
                <w:b w:val="0"/>
                <w:bCs w:val="0"/>
                <w:sz w:val="20"/>
                <w:szCs w:val="20"/>
              </w:rPr>
            </w:pPr>
            <w:r w:rsidRPr="009731FC">
              <w:rPr>
                <w:rFonts w:ascii="Arial" w:hAnsi="Arial" w:cs="Arial"/>
                <w:sz w:val="20"/>
                <w:szCs w:val="20"/>
              </w:rPr>
              <w:t>Tests</w:t>
            </w:r>
          </w:p>
        </w:tc>
        <w:tc>
          <w:tcPr>
            <w:tcW w:w="3725" w:type="dxa"/>
          </w:tcPr>
          <w:p w14:paraId="35771C0A" w14:textId="77777777" w:rsidR="003C3926" w:rsidRPr="009731FC" w:rsidRDefault="003C3926" w:rsidP="00C044B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731FC">
              <w:rPr>
                <w:rFonts w:ascii="Arial" w:hAnsi="Arial" w:cs="Arial"/>
                <w:sz w:val="20"/>
                <w:szCs w:val="20"/>
              </w:rPr>
              <w:t>Results</w:t>
            </w:r>
          </w:p>
        </w:tc>
      </w:tr>
      <w:tr w:rsidR="003C3926" w:rsidRPr="009731FC" w14:paraId="4170DA19"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5E7747BB"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Citrate utilization</w:t>
            </w:r>
          </w:p>
        </w:tc>
        <w:tc>
          <w:tcPr>
            <w:tcW w:w="3725" w:type="dxa"/>
          </w:tcPr>
          <w:p w14:paraId="2107C081"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7B405D5A"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216BC4A1"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Triple sugar iron test</w:t>
            </w:r>
          </w:p>
        </w:tc>
        <w:tc>
          <w:tcPr>
            <w:tcW w:w="3725" w:type="dxa"/>
          </w:tcPr>
          <w:p w14:paraId="3E631C45"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0E062D6D"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F4A412D"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Urease utilization</w:t>
            </w:r>
          </w:p>
        </w:tc>
        <w:tc>
          <w:tcPr>
            <w:tcW w:w="3725" w:type="dxa"/>
          </w:tcPr>
          <w:p w14:paraId="0EB34261"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0AE96C09"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1E096C31"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Catalase</w:t>
            </w:r>
          </w:p>
        </w:tc>
        <w:tc>
          <w:tcPr>
            <w:tcW w:w="3725" w:type="dxa"/>
          </w:tcPr>
          <w:p w14:paraId="6A88531D"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39E8FCF7"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7E24958"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KOH</w:t>
            </w:r>
          </w:p>
        </w:tc>
        <w:tc>
          <w:tcPr>
            <w:tcW w:w="3725" w:type="dxa"/>
          </w:tcPr>
          <w:p w14:paraId="7F249805"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699012F8"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A3D6107"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H</w:t>
            </w:r>
            <w:r w:rsidRPr="009731FC">
              <w:rPr>
                <w:rFonts w:ascii="Arial" w:hAnsi="Arial" w:cs="Arial"/>
                <w:sz w:val="20"/>
                <w:szCs w:val="20"/>
                <w:vertAlign w:val="subscript"/>
              </w:rPr>
              <w:t>2</w:t>
            </w:r>
            <w:r w:rsidRPr="009731FC">
              <w:rPr>
                <w:rFonts w:ascii="Arial" w:hAnsi="Arial" w:cs="Arial"/>
                <w:sz w:val="20"/>
                <w:szCs w:val="20"/>
              </w:rPr>
              <w:t>S production</w:t>
            </w:r>
          </w:p>
        </w:tc>
        <w:tc>
          <w:tcPr>
            <w:tcW w:w="3725" w:type="dxa"/>
          </w:tcPr>
          <w:p w14:paraId="5FC02674"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5292E339" w14:textId="77777777" w:rsidTr="009932E6">
        <w:trPr>
          <w:cnfStyle w:val="000000100000" w:firstRow="0" w:lastRow="0" w:firstColumn="0" w:lastColumn="0" w:oddVBand="0" w:evenVBand="0" w:oddHBand="1" w:evenHBand="0" w:firstRowFirstColumn="0" w:firstRowLastColumn="0" w:lastRowFirstColumn="0" w:lastRowLastColumn="0"/>
          <w:trHeight w:val="838"/>
          <w:jc w:val="center"/>
        </w:trPr>
        <w:tc>
          <w:tcPr>
            <w:cnfStyle w:val="001000000000" w:firstRow="0" w:lastRow="0" w:firstColumn="1" w:lastColumn="0" w:oddVBand="0" w:evenVBand="0" w:oddHBand="0" w:evenHBand="0" w:firstRowFirstColumn="0" w:firstRowLastColumn="0" w:lastRowFirstColumn="0" w:lastRowLastColumn="0"/>
            <w:tcW w:w="3725" w:type="dxa"/>
          </w:tcPr>
          <w:p w14:paraId="5734A456" w14:textId="77777777" w:rsidR="003C3926" w:rsidRPr="009731FC" w:rsidRDefault="003C3926" w:rsidP="00C044B8">
            <w:pPr>
              <w:spacing w:line="360" w:lineRule="auto"/>
              <w:jc w:val="center"/>
              <w:rPr>
                <w:rFonts w:ascii="Arial" w:hAnsi="Arial" w:cs="Arial"/>
                <w:color w:val="C00000"/>
                <w:sz w:val="20"/>
                <w:szCs w:val="20"/>
              </w:rPr>
            </w:pPr>
            <w:r w:rsidRPr="009731FC">
              <w:rPr>
                <w:rFonts w:ascii="Arial" w:hAnsi="Arial" w:cs="Arial"/>
                <w:color w:val="C00000"/>
                <w:sz w:val="20"/>
                <w:szCs w:val="20"/>
              </w:rPr>
              <w:t>Carbon sources</w:t>
            </w:r>
          </w:p>
          <w:p w14:paraId="199154D5" w14:textId="77777777" w:rsidR="003C3926" w:rsidRPr="009731FC" w:rsidRDefault="003C3926" w:rsidP="00C044B8">
            <w:pPr>
              <w:spacing w:line="360" w:lineRule="auto"/>
              <w:jc w:val="center"/>
              <w:rPr>
                <w:rFonts w:ascii="Arial" w:hAnsi="Arial" w:cs="Arial"/>
                <w:b w:val="0"/>
                <w:bCs w:val="0"/>
                <w:sz w:val="20"/>
                <w:szCs w:val="20"/>
              </w:rPr>
            </w:pPr>
            <w:r w:rsidRPr="009731FC">
              <w:rPr>
                <w:rFonts w:ascii="Arial" w:hAnsi="Arial" w:cs="Arial"/>
                <w:sz w:val="20"/>
                <w:szCs w:val="20"/>
              </w:rPr>
              <w:t>Maltose</w:t>
            </w:r>
          </w:p>
        </w:tc>
        <w:tc>
          <w:tcPr>
            <w:tcW w:w="3725" w:type="dxa"/>
          </w:tcPr>
          <w:p w14:paraId="77701DD5"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33565E6"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2627DB39"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823E429"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Sucrose</w:t>
            </w:r>
          </w:p>
        </w:tc>
        <w:tc>
          <w:tcPr>
            <w:tcW w:w="3725" w:type="dxa"/>
          </w:tcPr>
          <w:p w14:paraId="43F4ECA9"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66E113DA"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211ECA7"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Xylose</w:t>
            </w:r>
          </w:p>
        </w:tc>
        <w:tc>
          <w:tcPr>
            <w:tcW w:w="3725" w:type="dxa"/>
          </w:tcPr>
          <w:p w14:paraId="64B09F6D"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673D3238"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3C38AAE"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Raffinose</w:t>
            </w:r>
          </w:p>
        </w:tc>
        <w:tc>
          <w:tcPr>
            <w:tcW w:w="3725" w:type="dxa"/>
          </w:tcPr>
          <w:p w14:paraId="5FAC120C"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1F1C7A13"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1BC82B5"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Rhamnose</w:t>
            </w:r>
          </w:p>
        </w:tc>
        <w:tc>
          <w:tcPr>
            <w:tcW w:w="3725" w:type="dxa"/>
          </w:tcPr>
          <w:p w14:paraId="27EF36F7"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7CB85909" w14:textId="77777777" w:rsidTr="009932E6">
        <w:trPr>
          <w:trHeight w:val="838"/>
          <w:jc w:val="center"/>
        </w:trPr>
        <w:tc>
          <w:tcPr>
            <w:cnfStyle w:val="001000000000" w:firstRow="0" w:lastRow="0" w:firstColumn="1" w:lastColumn="0" w:oddVBand="0" w:evenVBand="0" w:oddHBand="0" w:evenHBand="0" w:firstRowFirstColumn="0" w:firstRowLastColumn="0" w:lastRowFirstColumn="0" w:lastRowLastColumn="0"/>
            <w:tcW w:w="3725" w:type="dxa"/>
          </w:tcPr>
          <w:p w14:paraId="2283E44D" w14:textId="77777777" w:rsidR="003C3926" w:rsidRPr="009731FC" w:rsidRDefault="003C3926" w:rsidP="00C044B8">
            <w:pPr>
              <w:spacing w:line="360" w:lineRule="auto"/>
              <w:jc w:val="center"/>
              <w:rPr>
                <w:rFonts w:ascii="Arial" w:hAnsi="Arial" w:cs="Arial"/>
                <w:color w:val="C00000"/>
                <w:sz w:val="20"/>
                <w:szCs w:val="20"/>
              </w:rPr>
            </w:pPr>
            <w:r w:rsidRPr="009731FC">
              <w:rPr>
                <w:rFonts w:ascii="Arial" w:hAnsi="Arial" w:cs="Arial"/>
                <w:color w:val="C00000"/>
                <w:sz w:val="20"/>
                <w:szCs w:val="20"/>
              </w:rPr>
              <w:t>Degradation of</w:t>
            </w:r>
          </w:p>
          <w:p w14:paraId="38DA16B2" w14:textId="77777777" w:rsidR="003C3926" w:rsidRPr="009731FC" w:rsidRDefault="003C3926" w:rsidP="00C044B8">
            <w:pPr>
              <w:spacing w:line="360" w:lineRule="auto"/>
              <w:jc w:val="center"/>
              <w:rPr>
                <w:rFonts w:ascii="Arial" w:hAnsi="Arial" w:cs="Arial"/>
                <w:b w:val="0"/>
                <w:bCs w:val="0"/>
                <w:sz w:val="20"/>
                <w:szCs w:val="20"/>
              </w:rPr>
            </w:pPr>
            <w:r w:rsidRPr="009731FC">
              <w:rPr>
                <w:rFonts w:ascii="Arial" w:hAnsi="Arial" w:cs="Arial"/>
                <w:sz w:val="20"/>
                <w:szCs w:val="20"/>
              </w:rPr>
              <w:t>Tyrosine</w:t>
            </w:r>
          </w:p>
        </w:tc>
        <w:tc>
          <w:tcPr>
            <w:tcW w:w="3725" w:type="dxa"/>
          </w:tcPr>
          <w:p w14:paraId="21A57166"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2FC1B83"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43BA9729"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473CB66A"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Xylan</w:t>
            </w:r>
          </w:p>
        </w:tc>
        <w:tc>
          <w:tcPr>
            <w:tcW w:w="3725" w:type="dxa"/>
          </w:tcPr>
          <w:p w14:paraId="7F2EDBFE"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30E0E27A"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845CB58"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Adenine</w:t>
            </w:r>
          </w:p>
        </w:tc>
        <w:tc>
          <w:tcPr>
            <w:tcW w:w="3725" w:type="dxa"/>
          </w:tcPr>
          <w:p w14:paraId="5896EBCC"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1F026A04"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E5D3557"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Guanine</w:t>
            </w:r>
          </w:p>
        </w:tc>
        <w:tc>
          <w:tcPr>
            <w:tcW w:w="3725" w:type="dxa"/>
          </w:tcPr>
          <w:p w14:paraId="18D42E56"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225EFA7A"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AA9EDF3"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Starch</w:t>
            </w:r>
          </w:p>
        </w:tc>
        <w:tc>
          <w:tcPr>
            <w:tcW w:w="3725" w:type="dxa"/>
          </w:tcPr>
          <w:p w14:paraId="241A5C98"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09133F19" w14:textId="77777777" w:rsidTr="009932E6">
        <w:trPr>
          <w:cnfStyle w:val="000000100000" w:firstRow="0" w:lastRow="0" w:firstColumn="0" w:lastColumn="0" w:oddVBand="0" w:evenVBand="0" w:oddHBand="1" w:evenHBand="0" w:firstRowFirstColumn="0" w:firstRowLastColumn="0" w:lastRowFirstColumn="0" w:lastRowLastColumn="0"/>
          <w:trHeight w:val="838"/>
          <w:jc w:val="center"/>
        </w:trPr>
        <w:tc>
          <w:tcPr>
            <w:cnfStyle w:val="001000000000" w:firstRow="0" w:lastRow="0" w:firstColumn="1" w:lastColumn="0" w:oddVBand="0" w:evenVBand="0" w:oddHBand="0" w:evenHBand="0" w:firstRowFirstColumn="0" w:firstRowLastColumn="0" w:lastRowFirstColumn="0" w:lastRowLastColumn="0"/>
            <w:tcW w:w="3725" w:type="dxa"/>
          </w:tcPr>
          <w:p w14:paraId="30BBEA32" w14:textId="77777777" w:rsidR="003C3926" w:rsidRPr="009731FC" w:rsidRDefault="003C3926" w:rsidP="00C044B8">
            <w:pPr>
              <w:spacing w:line="360" w:lineRule="auto"/>
              <w:jc w:val="center"/>
              <w:rPr>
                <w:rFonts w:ascii="Arial" w:hAnsi="Arial" w:cs="Arial"/>
                <w:color w:val="C00000"/>
                <w:sz w:val="20"/>
                <w:szCs w:val="20"/>
              </w:rPr>
            </w:pPr>
            <w:r w:rsidRPr="009731FC">
              <w:rPr>
                <w:rFonts w:ascii="Arial" w:hAnsi="Arial" w:cs="Arial"/>
                <w:color w:val="C00000"/>
                <w:sz w:val="20"/>
                <w:szCs w:val="20"/>
              </w:rPr>
              <w:t>Antibiotic sensitivity</w:t>
            </w:r>
          </w:p>
          <w:p w14:paraId="34144BC5" w14:textId="77777777" w:rsidR="003C3926" w:rsidRPr="009731FC" w:rsidRDefault="003C3926" w:rsidP="00C044B8">
            <w:pPr>
              <w:spacing w:line="360" w:lineRule="auto"/>
              <w:jc w:val="center"/>
              <w:rPr>
                <w:rFonts w:ascii="Arial" w:hAnsi="Arial" w:cs="Arial"/>
                <w:b w:val="0"/>
                <w:bCs w:val="0"/>
                <w:sz w:val="20"/>
                <w:szCs w:val="20"/>
              </w:rPr>
            </w:pPr>
            <w:r w:rsidRPr="009731FC">
              <w:rPr>
                <w:rFonts w:ascii="Arial" w:hAnsi="Arial" w:cs="Arial"/>
                <w:sz w:val="20"/>
                <w:szCs w:val="20"/>
              </w:rPr>
              <w:t>Vancomycin (30mcg)</w:t>
            </w:r>
          </w:p>
        </w:tc>
        <w:tc>
          <w:tcPr>
            <w:tcW w:w="3725" w:type="dxa"/>
          </w:tcPr>
          <w:p w14:paraId="09AB829C"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3BE5D70"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000F0500"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42685868"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Ampicillin (10mcg)</w:t>
            </w:r>
          </w:p>
        </w:tc>
        <w:tc>
          <w:tcPr>
            <w:tcW w:w="3725" w:type="dxa"/>
          </w:tcPr>
          <w:p w14:paraId="38145BB5"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R</w:t>
            </w:r>
          </w:p>
        </w:tc>
      </w:tr>
      <w:tr w:rsidR="003C3926" w:rsidRPr="009731FC" w14:paraId="2C282A79"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5B3F8719"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Amikacin (30mcg)</w:t>
            </w:r>
          </w:p>
        </w:tc>
        <w:tc>
          <w:tcPr>
            <w:tcW w:w="3725" w:type="dxa"/>
          </w:tcPr>
          <w:p w14:paraId="2F2EA978"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3F9B5C94"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1BF2418C"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Amoxicillin (10mcg)</w:t>
            </w:r>
          </w:p>
        </w:tc>
        <w:tc>
          <w:tcPr>
            <w:tcW w:w="3725" w:type="dxa"/>
          </w:tcPr>
          <w:p w14:paraId="37C94651"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R</w:t>
            </w:r>
          </w:p>
        </w:tc>
      </w:tr>
      <w:tr w:rsidR="003C3926" w:rsidRPr="009731FC" w14:paraId="12A20C30"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463B7AB9"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Ciprofloxacin (5mcg)</w:t>
            </w:r>
          </w:p>
        </w:tc>
        <w:tc>
          <w:tcPr>
            <w:tcW w:w="3725" w:type="dxa"/>
          </w:tcPr>
          <w:p w14:paraId="72DFE6B1"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5798A3C3"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DBA58E3"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Ceftizoxime (30mcg)</w:t>
            </w:r>
          </w:p>
        </w:tc>
        <w:tc>
          <w:tcPr>
            <w:tcW w:w="3725" w:type="dxa"/>
          </w:tcPr>
          <w:p w14:paraId="20F0F94C"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49EE281B"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15CF50CD"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Cefoxitin (30mcg)</w:t>
            </w:r>
          </w:p>
        </w:tc>
        <w:tc>
          <w:tcPr>
            <w:tcW w:w="3725" w:type="dxa"/>
          </w:tcPr>
          <w:p w14:paraId="4D5B7D99"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6895C733"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50855F43"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Gemifloxacin (5mcg)</w:t>
            </w:r>
          </w:p>
        </w:tc>
        <w:tc>
          <w:tcPr>
            <w:tcW w:w="3725" w:type="dxa"/>
          </w:tcPr>
          <w:p w14:paraId="27A463CF"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458A31A6"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5507E8E9"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Piperacillin Tazobactam (100/10mcg)</w:t>
            </w:r>
          </w:p>
        </w:tc>
        <w:tc>
          <w:tcPr>
            <w:tcW w:w="3725" w:type="dxa"/>
          </w:tcPr>
          <w:p w14:paraId="2B7F1660" w14:textId="77777777" w:rsidR="003C3926" w:rsidRPr="009731FC" w:rsidRDefault="003C3926"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R</w:t>
            </w:r>
          </w:p>
        </w:tc>
      </w:tr>
      <w:tr w:rsidR="003C3926" w:rsidRPr="009731FC" w14:paraId="198270A4"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19F7FCD" w14:textId="77777777" w:rsidR="003C3926" w:rsidRPr="009731FC" w:rsidRDefault="003C3926" w:rsidP="00C044B8">
            <w:pPr>
              <w:spacing w:line="360" w:lineRule="auto"/>
              <w:jc w:val="center"/>
              <w:rPr>
                <w:rFonts w:ascii="Arial" w:hAnsi="Arial" w:cs="Arial"/>
                <w:sz w:val="20"/>
                <w:szCs w:val="20"/>
              </w:rPr>
            </w:pPr>
            <w:r w:rsidRPr="009731FC">
              <w:rPr>
                <w:rFonts w:ascii="Arial" w:hAnsi="Arial" w:cs="Arial"/>
                <w:sz w:val="20"/>
                <w:szCs w:val="20"/>
              </w:rPr>
              <w:t>Oxacillin (1mcg)</w:t>
            </w:r>
          </w:p>
        </w:tc>
        <w:tc>
          <w:tcPr>
            <w:tcW w:w="3725" w:type="dxa"/>
          </w:tcPr>
          <w:p w14:paraId="3EF6B4CA" w14:textId="77777777" w:rsidR="003C3926" w:rsidRPr="009731FC" w:rsidRDefault="003C3926"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R</w:t>
            </w:r>
          </w:p>
        </w:tc>
      </w:tr>
    </w:tbl>
    <w:p w14:paraId="1D6BB952" w14:textId="64F7ABF4" w:rsidR="009731FC" w:rsidRDefault="0083033C" w:rsidP="00C044B8">
      <w:pPr>
        <w:spacing w:line="360" w:lineRule="auto"/>
        <w:jc w:val="center"/>
        <w:rPr>
          <w:rFonts w:ascii="Arial" w:hAnsi="Arial" w:cs="Arial"/>
          <w:sz w:val="20"/>
          <w:szCs w:val="24"/>
        </w:rPr>
      </w:pPr>
      <w:r w:rsidRPr="0083033C">
        <w:rPr>
          <w:rFonts w:ascii="Arial" w:hAnsi="Arial" w:cs="Arial"/>
          <w:sz w:val="20"/>
          <w:szCs w:val="24"/>
        </w:rPr>
        <w:t>‘+’- Positive result; ‘-’-Negative result; S- Sensitive; R- Resistant</w:t>
      </w:r>
    </w:p>
    <w:p w14:paraId="39B16795" w14:textId="77777777" w:rsidR="009731FC" w:rsidRPr="009731FC" w:rsidRDefault="009731FC" w:rsidP="00C044B8">
      <w:pPr>
        <w:spacing w:line="360" w:lineRule="auto"/>
        <w:jc w:val="center"/>
        <w:rPr>
          <w:rFonts w:ascii="Arial" w:hAnsi="Arial" w:cs="Arial"/>
          <w:sz w:val="20"/>
          <w:szCs w:val="20"/>
        </w:rPr>
      </w:pPr>
    </w:p>
    <w:p w14:paraId="0DE48A53" w14:textId="60ECD096" w:rsidR="00595642" w:rsidRDefault="009731FC" w:rsidP="00C044B8">
      <w:pPr>
        <w:spacing w:line="360" w:lineRule="auto"/>
        <w:jc w:val="both"/>
        <w:rPr>
          <w:rFonts w:ascii="Arial" w:hAnsi="Arial" w:cs="Arial"/>
          <w:sz w:val="16"/>
          <w:szCs w:val="20"/>
        </w:rPr>
      </w:pPr>
      <w:r>
        <w:rPr>
          <w:rFonts w:ascii="Times New Roman" w:hAnsi="Times New Roman" w:cs="Times New Roman"/>
          <w:noProof/>
          <w:szCs w:val="28"/>
        </w:rPr>
        <w:lastRenderedPageBreak/>
        <mc:AlternateContent>
          <mc:Choice Requires="wps">
            <w:drawing>
              <wp:anchor distT="0" distB="0" distL="114300" distR="114300" simplePos="0" relativeHeight="251691008" behindDoc="0" locked="0" layoutInCell="1" allowOverlap="1" wp14:anchorId="780AFF3A" wp14:editId="5A172C53">
                <wp:simplePos x="0" y="0"/>
                <wp:positionH relativeFrom="column">
                  <wp:posOffset>2616200</wp:posOffset>
                </wp:positionH>
                <wp:positionV relativeFrom="paragraph">
                  <wp:posOffset>443230</wp:posOffset>
                </wp:positionV>
                <wp:extent cx="1060450" cy="171450"/>
                <wp:effectExtent l="0" t="0" r="25400" b="19050"/>
                <wp:wrapNone/>
                <wp:docPr id="1737504902" name="Text Box 1"/>
                <wp:cNvGraphicFramePr/>
                <a:graphic xmlns:a="http://schemas.openxmlformats.org/drawingml/2006/main">
                  <a:graphicData uri="http://schemas.microsoft.com/office/word/2010/wordprocessingShape">
                    <wps:wsp>
                      <wps:cNvSpPr txBox="1"/>
                      <wps:spPr>
                        <a:xfrm>
                          <a:off x="0" y="0"/>
                          <a:ext cx="1060450" cy="171450"/>
                        </a:xfrm>
                        <a:prstGeom prst="rect">
                          <a:avLst/>
                        </a:prstGeom>
                        <a:noFill/>
                        <a:ln w="6350">
                          <a:solidFill>
                            <a:srgbClr val="EE0000"/>
                          </a:solidFill>
                        </a:ln>
                      </wps:spPr>
                      <wps:txbx>
                        <w:txbxContent>
                          <w:p w14:paraId="7EDC71EC" w14:textId="77777777" w:rsidR="009731FC" w:rsidRDefault="00973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AFF3A" id="Text Box 1" o:spid="_x0000_s1050" type="#_x0000_t202" style="position:absolute;left:0;text-align:left;margin-left:206pt;margin-top:34.9pt;width:83.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" filled="f" strokecolor="#e00" strokeweight=".5pt">
                <v:textbox>
                  <w:txbxContent>
                    <w:p w14:paraId="7EDC71EC" w14:textId="77777777" w:rsidR="009731FC" w:rsidRDefault="009731FC"/>
                  </w:txbxContent>
                </v:textbox>
              </v:shape>
            </w:pict>
          </mc:Fallback>
        </mc:AlternateContent>
      </w:r>
      <w:r w:rsidRPr="009731FC">
        <w:rPr>
          <w:rFonts w:ascii="Times New Roman" w:hAnsi="Times New Roman" w:cs="Times New Roman"/>
          <w:noProof/>
          <w:szCs w:val="28"/>
          <w:highlight w:val="yellow"/>
        </w:rPr>
        <w:drawing>
          <wp:inline distT="0" distB="0" distL="0" distR="0" wp14:anchorId="5F1B3D79" wp14:editId="438AA6DE">
            <wp:extent cx="6097669" cy="3568700"/>
            <wp:effectExtent l="0" t="0" r="0" b="0"/>
            <wp:docPr id="19534348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8068" cy="3574786"/>
                    </a:xfrm>
                    <a:prstGeom prst="rect">
                      <a:avLst/>
                    </a:prstGeom>
                    <a:noFill/>
                    <a:ln>
                      <a:noFill/>
                    </a:ln>
                  </pic:spPr>
                </pic:pic>
              </a:graphicData>
            </a:graphic>
          </wp:inline>
        </w:drawing>
      </w:r>
    </w:p>
    <w:p w14:paraId="47A18AAE" w14:textId="77777777" w:rsidR="009731FC" w:rsidRPr="009731FC" w:rsidRDefault="009731FC" w:rsidP="00C044B8">
      <w:pPr>
        <w:spacing w:line="360" w:lineRule="auto"/>
        <w:jc w:val="center"/>
        <w:rPr>
          <w:rFonts w:ascii="Arial" w:hAnsi="Arial" w:cs="Arial"/>
          <w:sz w:val="20"/>
          <w:szCs w:val="22"/>
        </w:rPr>
      </w:pPr>
      <w:r w:rsidRPr="009731FC">
        <w:rPr>
          <w:rFonts w:ascii="Arial" w:hAnsi="Arial" w:cs="Arial"/>
          <w:b/>
          <w:bCs/>
          <w:sz w:val="20"/>
          <w:szCs w:val="22"/>
        </w:rPr>
        <w:t>Fig 7:</w:t>
      </w:r>
      <w:r w:rsidRPr="009731FC">
        <w:rPr>
          <w:rFonts w:ascii="Arial" w:hAnsi="Arial" w:cs="Arial"/>
          <w:sz w:val="20"/>
          <w:szCs w:val="22"/>
        </w:rPr>
        <w:t xml:space="preserve"> Phylogenetic tree showing the distinct lineage of the isolated marine actinomycetes.</w:t>
      </w:r>
    </w:p>
    <w:p w14:paraId="4C050039" w14:textId="1308ABCA" w:rsidR="009731FC" w:rsidRPr="00B14923" w:rsidRDefault="009731FC" w:rsidP="00C044B8">
      <w:pPr>
        <w:pStyle w:val="ListParagraph"/>
        <w:numPr>
          <w:ilvl w:val="1"/>
          <w:numId w:val="1"/>
        </w:numPr>
        <w:spacing w:line="360" w:lineRule="auto"/>
        <w:ind w:left="360" w:hanging="360"/>
        <w:jc w:val="both"/>
        <w:rPr>
          <w:rFonts w:ascii="Arial" w:hAnsi="Arial" w:cs="Arial"/>
          <w:b/>
          <w:bCs/>
          <w:sz w:val="22"/>
          <w:szCs w:val="24"/>
        </w:rPr>
      </w:pPr>
      <w:r w:rsidRPr="00B14923">
        <w:rPr>
          <w:rFonts w:ascii="Arial" w:hAnsi="Arial" w:cs="Arial"/>
          <w:b/>
          <w:bCs/>
          <w:sz w:val="22"/>
          <w:szCs w:val="24"/>
        </w:rPr>
        <w:t>Screening of hydrolytic enzyme production:</w:t>
      </w:r>
    </w:p>
    <w:p w14:paraId="23930C78" w14:textId="1ACA6546" w:rsidR="009731FC" w:rsidRPr="00521C8D" w:rsidRDefault="009731FC" w:rsidP="00C044B8">
      <w:pPr>
        <w:spacing w:line="360" w:lineRule="auto"/>
        <w:jc w:val="both"/>
        <w:rPr>
          <w:rFonts w:ascii="Arial" w:hAnsi="Arial" w:cs="Arial"/>
          <w:sz w:val="20"/>
          <w:szCs w:val="22"/>
        </w:rPr>
      </w:pPr>
      <w:r w:rsidRPr="00521C8D">
        <w:rPr>
          <w:rFonts w:ascii="Arial" w:hAnsi="Arial" w:cs="Arial"/>
          <w:sz w:val="20"/>
          <w:szCs w:val="22"/>
        </w:rPr>
        <w:t xml:space="preserve">The </w:t>
      </w:r>
      <w:r w:rsidRPr="00521C8D">
        <w:rPr>
          <w:rFonts w:ascii="Arial" w:hAnsi="Arial" w:cs="Arial"/>
          <w:i/>
          <w:iCs/>
          <w:sz w:val="20"/>
          <w:szCs w:val="22"/>
        </w:rPr>
        <w:t>Nocardiopsis</w:t>
      </w:r>
      <w:r w:rsidRPr="00521C8D">
        <w:rPr>
          <w:rFonts w:ascii="Arial" w:hAnsi="Arial" w:cs="Arial"/>
          <w:sz w:val="20"/>
          <w:szCs w:val="22"/>
        </w:rPr>
        <w:t xml:space="preserve"> sp. isolate was screened for the production of various hydrolytic enzymes, including amylase, protease, lipase, cellulase, xylanase, tyrosinase, and L-asparaginase, using specific substrate-based agar media. The isolate showed clear zones of hydrolysis around the colonies on starch agar, skim milk agar, tributyrin agar, and CMC (carboxymethyl cellulose) agar, indicating positive production of amylase, protease, lipase, and cellulase, respectively. Similarly, a pronounced zone of clearance on xylan agar confirmed the production of xylanase. On tyrosine agar, brown to black pigmentation was observed around the colony, indicating positive tyrosinase activity due to melanin formation. The production of L-asparaginase was confirmed on L-asparagine agar by the formation of a pink zone around the colonies after addition of phenol red indicator, suggesting a positive result. These findings revealed that </w:t>
      </w:r>
      <w:r w:rsidRPr="00521C8D">
        <w:rPr>
          <w:rFonts w:ascii="Arial" w:hAnsi="Arial" w:cs="Arial"/>
          <w:i/>
          <w:iCs/>
          <w:sz w:val="20"/>
          <w:szCs w:val="22"/>
        </w:rPr>
        <w:t>Nocardiopsis</w:t>
      </w:r>
      <w:r w:rsidRPr="00521C8D">
        <w:rPr>
          <w:rFonts w:ascii="Arial" w:hAnsi="Arial" w:cs="Arial"/>
          <w:sz w:val="20"/>
          <w:szCs w:val="22"/>
        </w:rPr>
        <w:t xml:space="preserve"> sp. possesses a broad spectrum of hydrolytic enzyme activities (Table 4).</w:t>
      </w:r>
    </w:p>
    <w:p w14:paraId="1CA02806" w14:textId="77777777" w:rsidR="009731FC" w:rsidRPr="009731FC" w:rsidRDefault="009731FC" w:rsidP="00C044B8">
      <w:pPr>
        <w:spacing w:line="360" w:lineRule="auto"/>
        <w:jc w:val="center"/>
        <w:rPr>
          <w:rFonts w:ascii="Arial" w:hAnsi="Arial" w:cs="Arial"/>
          <w:sz w:val="20"/>
          <w:szCs w:val="24"/>
        </w:rPr>
      </w:pPr>
      <w:r w:rsidRPr="009731FC">
        <w:rPr>
          <w:rFonts w:ascii="Arial" w:hAnsi="Arial" w:cs="Arial"/>
          <w:b/>
          <w:bCs/>
          <w:sz w:val="20"/>
          <w:szCs w:val="24"/>
        </w:rPr>
        <w:t>Table 4:</w:t>
      </w:r>
      <w:r w:rsidRPr="009731FC">
        <w:rPr>
          <w:rFonts w:ascii="Arial" w:hAnsi="Arial" w:cs="Arial"/>
          <w:sz w:val="20"/>
          <w:szCs w:val="24"/>
        </w:rPr>
        <w:t xml:space="preserve"> Different Enzyme hydrolysis by isolate </w:t>
      </w:r>
      <w:r w:rsidRPr="009731FC">
        <w:rPr>
          <w:rFonts w:ascii="Arial" w:hAnsi="Arial" w:cs="Arial"/>
          <w:i/>
          <w:iCs/>
          <w:sz w:val="20"/>
          <w:szCs w:val="24"/>
        </w:rPr>
        <w:t>Nocardiopsis</w:t>
      </w:r>
      <w:r w:rsidRPr="009731FC">
        <w:rPr>
          <w:rFonts w:ascii="Arial" w:hAnsi="Arial" w:cs="Arial"/>
          <w:sz w:val="20"/>
          <w:szCs w:val="24"/>
        </w:rPr>
        <w:t xml:space="preserve"> sp.</w:t>
      </w:r>
    </w:p>
    <w:tbl>
      <w:tblPr>
        <w:tblStyle w:val="PlainTable2"/>
        <w:tblW w:w="0" w:type="auto"/>
        <w:jc w:val="center"/>
        <w:tblLook w:val="04A0" w:firstRow="1" w:lastRow="0" w:firstColumn="1" w:lastColumn="0" w:noHBand="0" w:noVBand="1"/>
      </w:tblPr>
      <w:tblGrid>
        <w:gridCol w:w="3725"/>
        <w:gridCol w:w="3725"/>
      </w:tblGrid>
      <w:tr w:rsidR="009731FC" w:rsidRPr="009731FC" w14:paraId="48894BFB" w14:textId="77777777" w:rsidTr="0083033C">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725" w:type="dxa"/>
          </w:tcPr>
          <w:p w14:paraId="7F92A311" w14:textId="26B498ED" w:rsidR="009731FC" w:rsidRPr="009731FC" w:rsidRDefault="0083033C" w:rsidP="00C044B8">
            <w:pPr>
              <w:spacing w:line="360" w:lineRule="auto"/>
              <w:jc w:val="center"/>
              <w:rPr>
                <w:rFonts w:ascii="Arial" w:hAnsi="Arial" w:cs="Arial"/>
                <w:color w:val="C00000"/>
                <w:sz w:val="20"/>
                <w:szCs w:val="20"/>
              </w:rPr>
            </w:pPr>
            <w:r>
              <w:rPr>
                <w:rFonts w:ascii="Arial" w:hAnsi="Arial" w:cs="Arial"/>
                <w:color w:val="C00000"/>
                <w:sz w:val="20"/>
                <w:szCs w:val="20"/>
              </w:rPr>
              <w:t>Enzymes</w:t>
            </w:r>
          </w:p>
        </w:tc>
        <w:tc>
          <w:tcPr>
            <w:tcW w:w="3725" w:type="dxa"/>
          </w:tcPr>
          <w:p w14:paraId="3786C6E7" w14:textId="5818E166" w:rsidR="009731FC" w:rsidRPr="009731FC" w:rsidRDefault="0083033C" w:rsidP="00C044B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3033C">
              <w:rPr>
                <w:rFonts w:ascii="Arial" w:hAnsi="Arial" w:cs="Arial"/>
                <w:color w:val="C00000"/>
                <w:sz w:val="20"/>
                <w:szCs w:val="20"/>
              </w:rPr>
              <w:t>Activity</w:t>
            </w:r>
          </w:p>
        </w:tc>
      </w:tr>
      <w:tr w:rsidR="009731FC" w:rsidRPr="009731FC" w14:paraId="73FF6E0D" w14:textId="77777777" w:rsidTr="0083033C">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725" w:type="dxa"/>
          </w:tcPr>
          <w:p w14:paraId="05F99A57" w14:textId="77777777" w:rsidR="009731FC" w:rsidRPr="009731FC" w:rsidRDefault="009731FC" w:rsidP="00C044B8">
            <w:pPr>
              <w:spacing w:line="360" w:lineRule="auto"/>
              <w:jc w:val="center"/>
              <w:rPr>
                <w:rFonts w:ascii="Arial" w:hAnsi="Arial" w:cs="Arial"/>
                <w:b w:val="0"/>
                <w:bCs w:val="0"/>
                <w:sz w:val="20"/>
                <w:szCs w:val="20"/>
              </w:rPr>
            </w:pPr>
            <w:r w:rsidRPr="009731FC">
              <w:rPr>
                <w:rFonts w:ascii="Arial" w:hAnsi="Arial" w:cs="Arial"/>
                <w:sz w:val="20"/>
                <w:szCs w:val="20"/>
              </w:rPr>
              <w:t>Amylase</w:t>
            </w:r>
          </w:p>
        </w:tc>
        <w:tc>
          <w:tcPr>
            <w:tcW w:w="3725" w:type="dxa"/>
          </w:tcPr>
          <w:p w14:paraId="24B5F832" w14:textId="75F0CD8B" w:rsidR="009731FC" w:rsidRPr="009731FC" w:rsidRDefault="009731FC"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r w:rsidR="00521C8D">
              <w:rPr>
                <w:rFonts w:ascii="Arial" w:hAnsi="Arial" w:cs="Arial"/>
                <w:sz w:val="20"/>
                <w:szCs w:val="20"/>
              </w:rPr>
              <w:t>+</w:t>
            </w:r>
          </w:p>
        </w:tc>
      </w:tr>
      <w:tr w:rsidR="009731FC" w:rsidRPr="009731FC" w14:paraId="30BE0E59"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292DEB66" w14:textId="77777777" w:rsidR="009731FC" w:rsidRPr="009731FC" w:rsidRDefault="009731FC" w:rsidP="00C044B8">
            <w:pPr>
              <w:spacing w:line="360" w:lineRule="auto"/>
              <w:jc w:val="center"/>
              <w:rPr>
                <w:rFonts w:ascii="Arial" w:hAnsi="Arial" w:cs="Arial"/>
                <w:sz w:val="20"/>
                <w:szCs w:val="20"/>
              </w:rPr>
            </w:pPr>
            <w:r w:rsidRPr="009731FC">
              <w:rPr>
                <w:rFonts w:ascii="Arial" w:hAnsi="Arial" w:cs="Arial"/>
                <w:sz w:val="20"/>
                <w:szCs w:val="20"/>
              </w:rPr>
              <w:t>Lipase</w:t>
            </w:r>
          </w:p>
        </w:tc>
        <w:tc>
          <w:tcPr>
            <w:tcW w:w="3725" w:type="dxa"/>
          </w:tcPr>
          <w:p w14:paraId="61AC7980" w14:textId="77777777" w:rsidR="009731FC" w:rsidRPr="009731FC" w:rsidRDefault="009731FC"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9731FC" w:rsidRPr="009731FC" w14:paraId="072F4455"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063946ED" w14:textId="77777777" w:rsidR="009731FC" w:rsidRPr="009731FC" w:rsidRDefault="009731FC" w:rsidP="00C044B8">
            <w:pPr>
              <w:spacing w:line="360" w:lineRule="auto"/>
              <w:jc w:val="center"/>
              <w:rPr>
                <w:rFonts w:ascii="Arial" w:hAnsi="Arial" w:cs="Arial"/>
                <w:sz w:val="20"/>
                <w:szCs w:val="20"/>
              </w:rPr>
            </w:pPr>
            <w:r w:rsidRPr="009731FC">
              <w:rPr>
                <w:rFonts w:ascii="Arial" w:hAnsi="Arial" w:cs="Arial"/>
                <w:sz w:val="20"/>
                <w:szCs w:val="20"/>
              </w:rPr>
              <w:t>Protease</w:t>
            </w:r>
          </w:p>
        </w:tc>
        <w:tc>
          <w:tcPr>
            <w:tcW w:w="3725" w:type="dxa"/>
          </w:tcPr>
          <w:p w14:paraId="5E62965D" w14:textId="77777777" w:rsidR="009731FC" w:rsidRPr="009731FC" w:rsidRDefault="009731FC"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9731FC" w:rsidRPr="009731FC" w14:paraId="61D0D8CD"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B5D1C7D" w14:textId="77777777" w:rsidR="009731FC" w:rsidRPr="009731FC" w:rsidRDefault="009731FC" w:rsidP="00C044B8">
            <w:pPr>
              <w:spacing w:line="360" w:lineRule="auto"/>
              <w:jc w:val="center"/>
              <w:rPr>
                <w:rFonts w:ascii="Arial" w:hAnsi="Arial" w:cs="Arial"/>
                <w:sz w:val="20"/>
                <w:szCs w:val="20"/>
              </w:rPr>
            </w:pPr>
            <w:r w:rsidRPr="009731FC">
              <w:rPr>
                <w:rFonts w:ascii="Arial" w:hAnsi="Arial" w:cs="Arial"/>
                <w:sz w:val="20"/>
                <w:szCs w:val="20"/>
              </w:rPr>
              <w:lastRenderedPageBreak/>
              <w:t>Cellulase</w:t>
            </w:r>
          </w:p>
        </w:tc>
        <w:tc>
          <w:tcPr>
            <w:tcW w:w="3725" w:type="dxa"/>
          </w:tcPr>
          <w:p w14:paraId="7E1AB64E" w14:textId="50A8C740" w:rsidR="009731FC" w:rsidRPr="009731FC" w:rsidRDefault="009731FC"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r w:rsidR="00521C8D">
              <w:rPr>
                <w:rFonts w:ascii="Arial" w:hAnsi="Arial" w:cs="Arial"/>
                <w:sz w:val="20"/>
                <w:szCs w:val="20"/>
              </w:rPr>
              <w:t>+</w:t>
            </w:r>
          </w:p>
        </w:tc>
      </w:tr>
      <w:tr w:rsidR="009731FC" w:rsidRPr="009731FC" w14:paraId="58320013"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241A2417" w14:textId="77777777" w:rsidR="009731FC" w:rsidRPr="009731FC" w:rsidRDefault="009731FC" w:rsidP="00C044B8">
            <w:pPr>
              <w:spacing w:line="360" w:lineRule="auto"/>
              <w:jc w:val="center"/>
              <w:rPr>
                <w:rFonts w:ascii="Arial" w:hAnsi="Arial" w:cs="Arial"/>
                <w:sz w:val="20"/>
                <w:szCs w:val="20"/>
              </w:rPr>
            </w:pPr>
            <w:r w:rsidRPr="009731FC">
              <w:rPr>
                <w:rFonts w:ascii="Arial" w:hAnsi="Arial" w:cs="Arial"/>
                <w:sz w:val="20"/>
                <w:szCs w:val="20"/>
              </w:rPr>
              <w:t>Tyrosinase</w:t>
            </w:r>
          </w:p>
        </w:tc>
        <w:tc>
          <w:tcPr>
            <w:tcW w:w="3725" w:type="dxa"/>
          </w:tcPr>
          <w:p w14:paraId="19E74440" w14:textId="77777777" w:rsidR="009731FC" w:rsidRPr="009731FC" w:rsidRDefault="009731FC"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9731FC" w:rsidRPr="009731FC" w14:paraId="04D428E3"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1139B4EB" w14:textId="77777777" w:rsidR="009731FC" w:rsidRPr="009731FC" w:rsidRDefault="009731FC" w:rsidP="00C044B8">
            <w:pPr>
              <w:spacing w:line="360" w:lineRule="auto"/>
              <w:jc w:val="center"/>
              <w:rPr>
                <w:rFonts w:ascii="Arial" w:hAnsi="Arial" w:cs="Arial"/>
                <w:sz w:val="20"/>
                <w:szCs w:val="20"/>
              </w:rPr>
            </w:pPr>
            <w:r w:rsidRPr="009731FC">
              <w:rPr>
                <w:rFonts w:ascii="Arial" w:hAnsi="Arial" w:cs="Arial"/>
                <w:sz w:val="20"/>
                <w:szCs w:val="20"/>
              </w:rPr>
              <w:t>Xylanase</w:t>
            </w:r>
          </w:p>
        </w:tc>
        <w:tc>
          <w:tcPr>
            <w:tcW w:w="3725" w:type="dxa"/>
          </w:tcPr>
          <w:p w14:paraId="6DDE50F1" w14:textId="187EB9C0" w:rsidR="009731FC" w:rsidRPr="009731FC" w:rsidRDefault="009731FC" w:rsidP="00C044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r w:rsidR="00521C8D">
              <w:rPr>
                <w:rFonts w:ascii="Arial" w:hAnsi="Arial" w:cs="Arial"/>
                <w:sz w:val="20"/>
                <w:szCs w:val="20"/>
              </w:rPr>
              <w:t>+</w:t>
            </w:r>
          </w:p>
        </w:tc>
      </w:tr>
      <w:tr w:rsidR="009731FC" w:rsidRPr="009731FC" w14:paraId="7A505EF8"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5A313F57" w14:textId="77777777" w:rsidR="009731FC" w:rsidRPr="009731FC" w:rsidRDefault="009731FC" w:rsidP="00C044B8">
            <w:pPr>
              <w:spacing w:line="360" w:lineRule="auto"/>
              <w:jc w:val="center"/>
              <w:rPr>
                <w:rFonts w:ascii="Arial" w:hAnsi="Arial" w:cs="Arial"/>
                <w:sz w:val="20"/>
                <w:szCs w:val="20"/>
              </w:rPr>
            </w:pPr>
            <w:r w:rsidRPr="009731FC">
              <w:rPr>
                <w:rFonts w:ascii="Arial" w:hAnsi="Arial" w:cs="Arial"/>
                <w:sz w:val="20"/>
                <w:szCs w:val="20"/>
              </w:rPr>
              <w:t>L-Asparaginase</w:t>
            </w:r>
          </w:p>
        </w:tc>
        <w:tc>
          <w:tcPr>
            <w:tcW w:w="3725" w:type="dxa"/>
          </w:tcPr>
          <w:p w14:paraId="2E57D342" w14:textId="38C27E94" w:rsidR="009731FC" w:rsidRPr="009731FC" w:rsidRDefault="009731FC" w:rsidP="00C044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r w:rsidR="00521C8D">
              <w:rPr>
                <w:rFonts w:ascii="Arial" w:hAnsi="Arial" w:cs="Arial"/>
                <w:sz w:val="20"/>
                <w:szCs w:val="20"/>
              </w:rPr>
              <w:t>++</w:t>
            </w:r>
          </w:p>
        </w:tc>
      </w:tr>
    </w:tbl>
    <w:p w14:paraId="06300160" w14:textId="5D9AC675" w:rsidR="009731FC" w:rsidRDefault="0083033C" w:rsidP="00C044B8">
      <w:pPr>
        <w:spacing w:line="360" w:lineRule="auto"/>
        <w:jc w:val="center"/>
        <w:rPr>
          <w:rFonts w:ascii="Arial" w:hAnsi="Arial" w:cs="Arial"/>
          <w:sz w:val="16"/>
          <w:szCs w:val="20"/>
        </w:rPr>
      </w:pPr>
      <w:r w:rsidRPr="00521C8D">
        <w:rPr>
          <w:rFonts w:ascii="Arial" w:hAnsi="Arial" w:cs="Arial"/>
          <w:b/>
          <w:bCs/>
          <w:sz w:val="20"/>
          <w:szCs w:val="24"/>
        </w:rPr>
        <w:t>+</w:t>
      </w:r>
      <w:r w:rsidR="00521C8D">
        <w:rPr>
          <w:rFonts w:ascii="Arial" w:hAnsi="Arial" w:cs="Arial"/>
          <w:b/>
          <w:bCs/>
          <w:sz w:val="20"/>
          <w:szCs w:val="24"/>
        </w:rPr>
        <w:t>++</w:t>
      </w:r>
      <w:r w:rsidRPr="00521C8D">
        <w:rPr>
          <w:rFonts w:ascii="Arial" w:hAnsi="Arial" w:cs="Arial"/>
          <w:b/>
          <w:bCs/>
          <w:sz w:val="20"/>
          <w:szCs w:val="24"/>
        </w:rPr>
        <w:t xml:space="preserve"> :</w:t>
      </w:r>
      <w:r w:rsidR="00CA7016">
        <w:rPr>
          <w:rFonts w:ascii="Arial" w:hAnsi="Arial" w:cs="Arial"/>
          <w:b/>
          <w:bCs/>
          <w:sz w:val="20"/>
          <w:szCs w:val="24"/>
        </w:rPr>
        <w:t xml:space="preserve"> </w:t>
      </w:r>
      <w:r w:rsidR="00521C8D">
        <w:rPr>
          <w:rFonts w:ascii="Arial" w:hAnsi="Arial" w:cs="Arial"/>
          <w:sz w:val="20"/>
          <w:szCs w:val="24"/>
        </w:rPr>
        <w:t>Strong activity</w:t>
      </w:r>
      <w:r w:rsidRPr="00521C8D">
        <w:rPr>
          <w:rFonts w:ascii="Arial" w:hAnsi="Arial" w:cs="Arial"/>
          <w:sz w:val="20"/>
          <w:szCs w:val="24"/>
        </w:rPr>
        <w:t>;</w:t>
      </w:r>
      <w:r w:rsidR="00521C8D">
        <w:rPr>
          <w:rFonts w:ascii="Arial" w:hAnsi="Arial" w:cs="Arial"/>
          <w:sz w:val="20"/>
          <w:szCs w:val="24"/>
        </w:rPr>
        <w:t xml:space="preserve"> </w:t>
      </w:r>
      <w:r w:rsidR="00521C8D" w:rsidRPr="00B14923">
        <w:rPr>
          <w:rFonts w:ascii="Arial" w:hAnsi="Arial" w:cs="Arial"/>
          <w:b/>
          <w:bCs/>
          <w:sz w:val="20"/>
          <w:szCs w:val="24"/>
        </w:rPr>
        <w:t>++ :</w:t>
      </w:r>
      <w:r w:rsidR="00521C8D">
        <w:rPr>
          <w:rFonts w:ascii="Arial" w:hAnsi="Arial" w:cs="Arial"/>
          <w:sz w:val="20"/>
          <w:szCs w:val="24"/>
        </w:rPr>
        <w:t xml:space="preserve"> Moderate activity; </w:t>
      </w:r>
      <w:r w:rsidR="00521C8D" w:rsidRPr="00B14923">
        <w:rPr>
          <w:rFonts w:ascii="Arial" w:hAnsi="Arial" w:cs="Arial"/>
          <w:b/>
          <w:bCs/>
          <w:sz w:val="20"/>
          <w:szCs w:val="24"/>
        </w:rPr>
        <w:t>+ :</w:t>
      </w:r>
      <w:r w:rsidR="00521C8D">
        <w:rPr>
          <w:rFonts w:ascii="Arial" w:hAnsi="Arial" w:cs="Arial"/>
          <w:sz w:val="20"/>
          <w:szCs w:val="24"/>
        </w:rPr>
        <w:t xml:space="preserve"> Weak activity</w:t>
      </w:r>
      <w:r w:rsidR="00B14923">
        <w:rPr>
          <w:rFonts w:ascii="Arial" w:hAnsi="Arial" w:cs="Arial"/>
          <w:sz w:val="20"/>
          <w:szCs w:val="24"/>
        </w:rPr>
        <w:t>;</w:t>
      </w:r>
      <w:r w:rsidRPr="00521C8D">
        <w:rPr>
          <w:rFonts w:ascii="Arial" w:hAnsi="Arial" w:cs="Arial"/>
          <w:sz w:val="20"/>
          <w:szCs w:val="24"/>
        </w:rPr>
        <w:t xml:space="preserve"> </w:t>
      </w:r>
      <w:r w:rsidRPr="00521C8D">
        <w:rPr>
          <w:rFonts w:ascii="Arial" w:hAnsi="Arial" w:cs="Arial"/>
          <w:b/>
          <w:bCs/>
          <w:sz w:val="20"/>
          <w:szCs w:val="24"/>
        </w:rPr>
        <w:t>- :</w:t>
      </w:r>
      <w:r w:rsidRPr="00521C8D">
        <w:rPr>
          <w:rFonts w:ascii="Arial" w:hAnsi="Arial" w:cs="Arial"/>
          <w:sz w:val="20"/>
          <w:szCs w:val="24"/>
        </w:rPr>
        <w:t xml:space="preserve"> enzyme is not hydrolyzed by the isolate.</w:t>
      </w:r>
    </w:p>
    <w:p w14:paraId="740C1D52" w14:textId="77777777" w:rsidR="00521C8D" w:rsidRPr="00B14923" w:rsidRDefault="00521C8D" w:rsidP="00C044B8">
      <w:pPr>
        <w:spacing w:line="360" w:lineRule="auto"/>
        <w:jc w:val="both"/>
        <w:rPr>
          <w:rFonts w:ascii="Arial" w:hAnsi="Arial" w:cs="Arial"/>
          <w:sz w:val="22"/>
          <w:szCs w:val="28"/>
        </w:rPr>
      </w:pPr>
    </w:p>
    <w:p w14:paraId="37197B97" w14:textId="65A0FD38" w:rsidR="00B14923" w:rsidRPr="00B14923" w:rsidRDefault="00B14923" w:rsidP="00C044B8">
      <w:pPr>
        <w:pStyle w:val="ListParagraph"/>
        <w:numPr>
          <w:ilvl w:val="0"/>
          <w:numId w:val="1"/>
        </w:numPr>
        <w:spacing w:line="360" w:lineRule="auto"/>
        <w:ind w:left="360"/>
        <w:jc w:val="both"/>
        <w:rPr>
          <w:rFonts w:ascii="Arial" w:hAnsi="Arial" w:cs="Arial"/>
          <w:b/>
          <w:bCs/>
          <w:sz w:val="22"/>
          <w:szCs w:val="24"/>
        </w:rPr>
      </w:pPr>
      <w:r w:rsidRPr="00B14923">
        <w:rPr>
          <w:rFonts w:ascii="Arial" w:hAnsi="Arial" w:cs="Arial"/>
          <w:b/>
          <w:bCs/>
          <w:sz w:val="22"/>
          <w:szCs w:val="24"/>
        </w:rPr>
        <w:t>DISCUSSION</w:t>
      </w:r>
    </w:p>
    <w:p w14:paraId="67A725B9" w14:textId="388BF394" w:rsidR="00B14923" w:rsidRPr="00B14923" w:rsidRDefault="00B14923" w:rsidP="00C044B8">
      <w:pPr>
        <w:spacing w:line="360" w:lineRule="auto"/>
        <w:jc w:val="both"/>
        <w:rPr>
          <w:rFonts w:ascii="Arial" w:hAnsi="Arial" w:cs="Arial"/>
          <w:sz w:val="20"/>
          <w:szCs w:val="22"/>
        </w:rPr>
      </w:pPr>
      <w:r w:rsidRPr="00B14923">
        <w:rPr>
          <w:rFonts w:ascii="Arial" w:hAnsi="Arial" w:cs="Arial"/>
          <w:sz w:val="20"/>
          <w:szCs w:val="22"/>
        </w:rPr>
        <w:t xml:space="preserve">Actinomycetes which also known as ‘ray fungi’ are found abundantly in different types of soil and environments. They also produce wide range of bioactive compounds such as antibiotics, antifungal agents, enzyme inhibitors, antitumor agents etc. (Jagannathan </w:t>
      </w:r>
      <w:r w:rsidRPr="00B14923">
        <w:rPr>
          <w:rFonts w:ascii="Arial" w:hAnsi="Arial" w:cs="Arial"/>
          <w:i/>
          <w:iCs/>
          <w:sz w:val="20"/>
          <w:szCs w:val="22"/>
        </w:rPr>
        <w:t>et al</w:t>
      </w:r>
      <w:r w:rsidRPr="00B14923">
        <w:rPr>
          <w:rFonts w:ascii="Arial" w:hAnsi="Arial" w:cs="Arial"/>
          <w:sz w:val="20"/>
          <w:szCs w:val="22"/>
        </w:rPr>
        <w:t>., 2021). The current interest of the researchers is on exploring the immense number of biogenic bioactive compounds from marine ecosystem.  Thirteen (13) actinomycetes colonies were observed on the SCA plates and analyzed. The phenotypic, biochemical, molecular, and functional characterization of the isolated strain </w:t>
      </w:r>
      <w:r w:rsidRPr="00B14923">
        <w:rPr>
          <w:rFonts w:ascii="Arial" w:hAnsi="Arial" w:cs="Arial"/>
          <w:i/>
          <w:iCs/>
          <w:sz w:val="20"/>
          <w:szCs w:val="22"/>
        </w:rPr>
        <w:t>Nocardiopsis</w:t>
      </w:r>
      <w:r w:rsidRPr="00B14923">
        <w:rPr>
          <w:rFonts w:ascii="Arial" w:hAnsi="Arial" w:cs="Arial"/>
          <w:sz w:val="20"/>
          <w:szCs w:val="22"/>
        </w:rPr>
        <w:t> sp. RB8 highlights its distinct taxonomic and biotechnological potential. The extended incubation period required for visible colony development (&gt;7 days) and the characteristic earthy odor, along with the production of reddish-brown diffusible pigment on starch casein agar (SCA), are consistent with the general features of the genus </w:t>
      </w:r>
      <w:r w:rsidRPr="00B14923">
        <w:rPr>
          <w:rFonts w:ascii="Arial" w:hAnsi="Arial" w:cs="Arial"/>
          <w:i/>
          <w:iCs/>
          <w:sz w:val="20"/>
          <w:szCs w:val="22"/>
        </w:rPr>
        <w:t>Nocardiopsis</w:t>
      </w:r>
      <w:r w:rsidRPr="00B14923">
        <w:rPr>
          <w:rFonts w:ascii="Arial" w:hAnsi="Arial" w:cs="Arial"/>
          <w:sz w:val="20"/>
          <w:szCs w:val="22"/>
        </w:rPr>
        <w:t>, which are known for their slow growth and production of geosmin and secondary metabolites (Goodfellow &amp; Fiedler, 2010). The colony and mycelial morphologies of RB8, exhibiting chalky texture, branched septate mycelia, and extensive aerial hyphae with spore chains, reaffirm its placement within the actinomycetes. The presence of smooth to slightly wrinkled spores arranged in spiral to irregular chains, as observed under SEM, further supports its taxonomic affinity to </w:t>
      </w:r>
      <w:r w:rsidRPr="00B14923">
        <w:rPr>
          <w:rFonts w:ascii="Arial" w:hAnsi="Arial" w:cs="Arial"/>
          <w:i/>
          <w:iCs/>
          <w:sz w:val="20"/>
          <w:szCs w:val="22"/>
        </w:rPr>
        <w:t>Nocardiopsis</w:t>
      </w:r>
      <w:r w:rsidRPr="00B14923">
        <w:rPr>
          <w:rFonts w:ascii="Arial" w:hAnsi="Arial" w:cs="Arial"/>
          <w:sz w:val="20"/>
          <w:szCs w:val="22"/>
        </w:rPr>
        <w:t xml:space="preserve"> (Hamedi </w:t>
      </w:r>
      <w:r w:rsidRPr="00B14923">
        <w:rPr>
          <w:rFonts w:ascii="Arial" w:hAnsi="Arial" w:cs="Arial"/>
          <w:i/>
          <w:iCs/>
          <w:sz w:val="20"/>
          <w:szCs w:val="22"/>
        </w:rPr>
        <w:t>et al</w:t>
      </w:r>
      <w:r w:rsidRPr="00B14923">
        <w:rPr>
          <w:rFonts w:ascii="Arial" w:hAnsi="Arial" w:cs="Arial"/>
          <w:sz w:val="20"/>
          <w:szCs w:val="22"/>
        </w:rPr>
        <w:t>., 2010).</w:t>
      </w:r>
      <w:r w:rsidR="007E14EF">
        <w:rPr>
          <w:rFonts w:ascii="Arial" w:hAnsi="Arial" w:cs="Arial"/>
          <w:sz w:val="20"/>
          <w:szCs w:val="22"/>
        </w:rPr>
        <w:t xml:space="preserve"> </w:t>
      </w:r>
      <w:r w:rsidR="007E14EF" w:rsidRPr="007E14EF">
        <w:rPr>
          <w:rFonts w:ascii="Arial" w:hAnsi="Arial" w:cs="Arial"/>
          <w:sz w:val="20"/>
          <w:szCs w:val="22"/>
          <w:highlight w:val="yellow"/>
        </w:rPr>
        <w:t xml:space="preserve">Similar characteristics of the actinomycetes strain were observed in the isolates previously reported by </w:t>
      </w:r>
      <w:r w:rsidR="007E14EF" w:rsidRPr="007E14EF">
        <w:rPr>
          <w:rFonts w:ascii="Arial" w:hAnsi="Arial" w:cs="Arial"/>
          <w:sz w:val="20"/>
          <w:szCs w:val="22"/>
          <w:highlight w:val="yellow"/>
        </w:rPr>
        <w:t>Muthukrishnana</w:t>
      </w:r>
      <w:r w:rsidR="007E14EF" w:rsidRPr="007E14EF">
        <w:rPr>
          <w:rFonts w:ascii="Arial" w:hAnsi="Arial" w:cs="Arial"/>
          <w:sz w:val="20"/>
          <w:szCs w:val="22"/>
          <w:highlight w:val="yellow"/>
        </w:rPr>
        <w:t xml:space="preserve"> </w:t>
      </w:r>
      <w:r w:rsidR="007E14EF" w:rsidRPr="007E14EF">
        <w:rPr>
          <w:rFonts w:ascii="Arial" w:hAnsi="Arial" w:cs="Arial"/>
          <w:i/>
          <w:iCs/>
          <w:sz w:val="20"/>
          <w:szCs w:val="22"/>
          <w:highlight w:val="yellow"/>
        </w:rPr>
        <w:t>et al</w:t>
      </w:r>
      <w:r w:rsidR="007E14EF" w:rsidRPr="007E14EF">
        <w:rPr>
          <w:rFonts w:ascii="Arial" w:hAnsi="Arial" w:cs="Arial"/>
          <w:sz w:val="20"/>
          <w:szCs w:val="22"/>
          <w:highlight w:val="yellow"/>
        </w:rPr>
        <w:t>., (202</w:t>
      </w:r>
      <w:r w:rsidR="007E14EF">
        <w:rPr>
          <w:rFonts w:ascii="Arial" w:hAnsi="Arial" w:cs="Arial"/>
          <w:sz w:val="20"/>
          <w:szCs w:val="22"/>
          <w:highlight w:val="yellow"/>
        </w:rPr>
        <w:t>0</w:t>
      </w:r>
      <w:r w:rsidR="007E14EF" w:rsidRPr="007E14EF">
        <w:rPr>
          <w:rFonts w:ascii="Arial" w:hAnsi="Arial" w:cs="Arial"/>
          <w:sz w:val="20"/>
          <w:szCs w:val="22"/>
          <w:highlight w:val="yellow"/>
        </w:rPr>
        <w:t>).</w:t>
      </w:r>
    </w:p>
    <w:p w14:paraId="125F0A31" w14:textId="77777777" w:rsidR="00B14923" w:rsidRPr="00B14923" w:rsidRDefault="00B14923" w:rsidP="00C044B8">
      <w:pPr>
        <w:spacing w:line="360" w:lineRule="auto"/>
        <w:ind w:firstLine="720"/>
        <w:jc w:val="both"/>
        <w:rPr>
          <w:rFonts w:ascii="Arial" w:hAnsi="Arial" w:cs="Arial"/>
          <w:sz w:val="20"/>
          <w:szCs w:val="22"/>
        </w:rPr>
      </w:pPr>
      <w:r w:rsidRPr="00B14923">
        <w:rPr>
          <w:rFonts w:ascii="Arial" w:hAnsi="Arial" w:cs="Arial"/>
          <w:sz w:val="20"/>
          <w:szCs w:val="22"/>
        </w:rPr>
        <w:t>The biochemical and physiological characteristics of RB8 reveal enzymatic versatility. The production of a broad spectrum of hydrolytic enzymes, including amylase, protease, lipase, cellulase, xylanase, tyrosinase, and L-asparaginase, suggests its ecological role in the degradation of diverse organic polymers and bioconversion processes. Such enzyme secretion capabilities are consistent with earlier reports describing </w:t>
      </w:r>
      <w:r w:rsidRPr="00B14923">
        <w:rPr>
          <w:rFonts w:ascii="Arial" w:hAnsi="Arial" w:cs="Arial"/>
          <w:i/>
          <w:iCs/>
          <w:sz w:val="20"/>
          <w:szCs w:val="22"/>
        </w:rPr>
        <w:t>Nocardiopsis</w:t>
      </w:r>
      <w:r w:rsidRPr="00B14923">
        <w:rPr>
          <w:rFonts w:ascii="Arial" w:hAnsi="Arial" w:cs="Arial"/>
          <w:sz w:val="20"/>
          <w:szCs w:val="22"/>
        </w:rPr>
        <w:t xml:space="preserve"> as an efficient degrader of complex biomaterials (El-Sayed </w:t>
      </w:r>
      <w:r w:rsidRPr="00B14923">
        <w:rPr>
          <w:rFonts w:ascii="Arial" w:hAnsi="Arial" w:cs="Arial"/>
          <w:i/>
          <w:iCs/>
          <w:sz w:val="20"/>
          <w:szCs w:val="22"/>
        </w:rPr>
        <w:t>et al</w:t>
      </w:r>
      <w:r w:rsidRPr="00B14923">
        <w:rPr>
          <w:rFonts w:ascii="Arial" w:hAnsi="Arial" w:cs="Arial"/>
          <w:sz w:val="20"/>
          <w:szCs w:val="22"/>
        </w:rPr>
        <w:t xml:space="preserve">., 2024). Notably, the observed tyrosinase activity and melanin formation signify possible stress-protection mechanisms, while the positive L-asparaginase activity highlights its potential in anticancer applications, as microbial L-asparaginases remain important in leukemia treatment (Egler </w:t>
      </w:r>
      <w:r w:rsidRPr="00B14923">
        <w:rPr>
          <w:rFonts w:ascii="Arial" w:hAnsi="Arial" w:cs="Arial"/>
          <w:i/>
          <w:iCs/>
          <w:sz w:val="20"/>
          <w:szCs w:val="22"/>
        </w:rPr>
        <w:t>et al</w:t>
      </w:r>
      <w:r w:rsidRPr="00B14923">
        <w:rPr>
          <w:rFonts w:ascii="Arial" w:hAnsi="Arial" w:cs="Arial"/>
          <w:sz w:val="20"/>
          <w:szCs w:val="22"/>
        </w:rPr>
        <w:t>., 2016).</w:t>
      </w:r>
    </w:p>
    <w:p w14:paraId="6316C76D" w14:textId="77777777" w:rsidR="00B14923" w:rsidRPr="00B14923" w:rsidRDefault="00B14923" w:rsidP="00C044B8">
      <w:pPr>
        <w:spacing w:line="360" w:lineRule="auto"/>
        <w:ind w:firstLine="720"/>
        <w:jc w:val="both"/>
        <w:rPr>
          <w:rFonts w:ascii="Arial" w:hAnsi="Arial" w:cs="Arial"/>
          <w:sz w:val="20"/>
          <w:szCs w:val="22"/>
        </w:rPr>
      </w:pPr>
      <w:r w:rsidRPr="00B14923">
        <w:rPr>
          <w:rFonts w:ascii="Arial" w:hAnsi="Arial" w:cs="Arial"/>
          <w:sz w:val="20"/>
          <w:szCs w:val="22"/>
        </w:rPr>
        <w:t xml:space="preserve">The antibiotic sensitivity profile of RB8 demonstrated susceptibility to several clinically relevant antibiotics, such as vancomycin, amikacin, ciprofloxacin, and gemifloxacin, while showing marked resistance to β-lactam antibiotics like ampicillin and oxacillin. Such resistance patterns are commonly </w:t>
      </w:r>
      <w:r w:rsidRPr="00B14923">
        <w:rPr>
          <w:rFonts w:ascii="Arial" w:hAnsi="Arial" w:cs="Arial"/>
          <w:sz w:val="20"/>
          <w:szCs w:val="22"/>
        </w:rPr>
        <w:lastRenderedPageBreak/>
        <w:t>observed among actinomycetes, likely due to intrinsic β-lactamase production or structural features of their peptidoglycan, and may provide adaptive advantages in natural environments (Ogawara., 2015).</w:t>
      </w:r>
    </w:p>
    <w:p w14:paraId="7BED8154" w14:textId="77777777" w:rsidR="00B14923" w:rsidRPr="00B14923" w:rsidRDefault="00B14923" w:rsidP="00C044B8">
      <w:pPr>
        <w:spacing w:line="360" w:lineRule="auto"/>
        <w:jc w:val="both"/>
        <w:rPr>
          <w:rFonts w:ascii="Arial" w:hAnsi="Arial" w:cs="Arial"/>
          <w:sz w:val="20"/>
          <w:szCs w:val="22"/>
        </w:rPr>
      </w:pPr>
      <w:r w:rsidRPr="00B14923">
        <w:rPr>
          <w:rFonts w:ascii="Arial" w:hAnsi="Arial" w:cs="Arial"/>
          <w:sz w:val="20"/>
          <w:szCs w:val="22"/>
        </w:rPr>
        <w:t>Importantly, </w:t>
      </w:r>
      <w:r w:rsidRPr="00B14923">
        <w:rPr>
          <w:rFonts w:ascii="Arial" w:hAnsi="Arial" w:cs="Arial"/>
          <w:i/>
          <w:iCs/>
          <w:sz w:val="20"/>
          <w:szCs w:val="22"/>
        </w:rPr>
        <w:t>Nocardiopsis</w:t>
      </w:r>
      <w:r w:rsidRPr="00B14923">
        <w:rPr>
          <w:rFonts w:ascii="Arial" w:hAnsi="Arial" w:cs="Arial"/>
          <w:sz w:val="20"/>
          <w:szCs w:val="22"/>
        </w:rPr>
        <w:t> sp. RB8 exhibited notable antimicrobial activity, particularly against </w:t>
      </w:r>
      <w:r w:rsidRPr="00B14923">
        <w:rPr>
          <w:rFonts w:ascii="Arial" w:hAnsi="Arial" w:cs="Arial"/>
          <w:i/>
          <w:iCs/>
          <w:sz w:val="20"/>
          <w:szCs w:val="22"/>
        </w:rPr>
        <w:t>Staphylococcus aureus</w:t>
      </w:r>
      <w:r w:rsidRPr="00B14923">
        <w:rPr>
          <w:rFonts w:ascii="Arial" w:hAnsi="Arial" w:cs="Arial"/>
          <w:sz w:val="20"/>
          <w:szCs w:val="22"/>
        </w:rPr>
        <w:t> and </w:t>
      </w:r>
      <w:r w:rsidRPr="00B14923">
        <w:rPr>
          <w:rFonts w:ascii="Arial" w:hAnsi="Arial" w:cs="Arial"/>
          <w:i/>
          <w:iCs/>
          <w:sz w:val="20"/>
          <w:szCs w:val="22"/>
        </w:rPr>
        <w:t>Candida albicans</w:t>
      </w:r>
      <w:r w:rsidRPr="00B14923">
        <w:rPr>
          <w:rFonts w:ascii="Arial" w:hAnsi="Arial" w:cs="Arial"/>
          <w:sz w:val="20"/>
          <w:szCs w:val="22"/>
        </w:rPr>
        <w:t>, alongside moderate activity against </w:t>
      </w:r>
      <w:r w:rsidRPr="00B14923">
        <w:rPr>
          <w:rFonts w:ascii="Arial" w:hAnsi="Arial" w:cs="Arial"/>
          <w:i/>
          <w:iCs/>
          <w:sz w:val="20"/>
          <w:szCs w:val="22"/>
        </w:rPr>
        <w:t>Escherichia coli</w:t>
      </w:r>
      <w:r w:rsidRPr="00B14923">
        <w:rPr>
          <w:rFonts w:ascii="Arial" w:hAnsi="Arial" w:cs="Arial"/>
          <w:sz w:val="20"/>
          <w:szCs w:val="22"/>
        </w:rPr>
        <w:t>. The limited effect on </w:t>
      </w:r>
      <w:r w:rsidRPr="00B14923">
        <w:rPr>
          <w:rFonts w:ascii="Arial" w:hAnsi="Arial" w:cs="Arial"/>
          <w:i/>
          <w:iCs/>
          <w:sz w:val="20"/>
          <w:szCs w:val="22"/>
        </w:rPr>
        <w:t>Pseudomonas aeruginosa</w:t>
      </w:r>
      <w:r w:rsidRPr="00B14923">
        <w:rPr>
          <w:rFonts w:ascii="Arial" w:hAnsi="Arial" w:cs="Arial"/>
          <w:sz w:val="20"/>
          <w:szCs w:val="22"/>
        </w:rPr>
        <w:t> aligns with the inherent resistance of many Gram-negative bacteria to actinomycete-derived metabolites, owing to outer membrane permeability barriers (Zgurskaya, &amp; Rybenkov., 2020). The activity against both bacterial and fungal test strains underscores the potential of RB8 as a source of novel bioactive secondary metabolites, expanding the repertoire of antimicrobial-producing actinomycetes. These findings are consistent with previous reports describing species of </w:t>
      </w:r>
      <w:r w:rsidRPr="00B14923">
        <w:rPr>
          <w:rFonts w:ascii="Arial" w:hAnsi="Arial" w:cs="Arial"/>
          <w:i/>
          <w:iCs/>
          <w:sz w:val="20"/>
          <w:szCs w:val="22"/>
        </w:rPr>
        <w:t>Nocardiopsis</w:t>
      </w:r>
      <w:r w:rsidRPr="00B14923">
        <w:rPr>
          <w:rFonts w:ascii="Arial" w:hAnsi="Arial" w:cs="Arial"/>
          <w:sz w:val="20"/>
          <w:szCs w:val="22"/>
        </w:rPr>
        <w:t xml:space="preserve"> as prolific producers of antibacterial, antifungal, and even anticancer compounds (Barka </w:t>
      </w:r>
      <w:r w:rsidRPr="00B14923">
        <w:rPr>
          <w:rFonts w:ascii="Arial" w:hAnsi="Arial" w:cs="Arial"/>
          <w:i/>
          <w:iCs/>
          <w:sz w:val="20"/>
          <w:szCs w:val="22"/>
        </w:rPr>
        <w:t>et al</w:t>
      </w:r>
      <w:r w:rsidRPr="00B14923">
        <w:rPr>
          <w:rFonts w:ascii="Arial" w:hAnsi="Arial" w:cs="Arial"/>
          <w:sz w:val="20"/>
          <w:szCs w:val="22"/>
        </w:rPr>
        <w:t xml:space="preserve">., 2016; Rateb </w:t>
      </w:r>
      <w:r w:rsidRPr="00B14923">
        <w:rPr>
          <w:rFonts w:ascii="Arial" w:hAnsi="Arial" w:cs="Arial"/>
          <w:i/>
          <w:iCs/>
          <w:sz w:val="20"/>
          <w:szCs w:val="22"/>
        </w:rPr>
        <w:t>et al</w:t>
      </w:r>
      <w:r w:rsidRPr="00B14923">
        <w:rPr>
          <w:rFonts w:ascii="Arial" w:hAnsi="Arial" w:cs="Arial"/>
          <w:sz w:val="20"/>
          <w:szCs w:val="22"/>
        </w:rPr>
        <w:t>., 2011).</w:t>
      </w:r>
    </w:p>
    <w:p w14:paraId="61876076" w14:textId="77777777" w:rsidR="00B14923" w:rsidRDefault="00B14923" w:rsidP="00C044B8">
      <w:pPr>
        <w:spacing w:line="360" w:lineRule="auto"/>
        <w:ind w:firstLine="720"/>
        <w:jc w:val="both"/>
        <w:rPr>
          <w:rFonts w:ascii="Arial" w:hAnsi="Arial" w:cs="Arial"/>
          <w:sz w:val="20"/>
          <w:szCs w:val="22"/>
        </w:rPr>
      </w:pPr>
      <w:r w:rsidRPr="00B14923">
        <w:rPr>
          <w:rFonts w:ascii="Arial" w:hAnsi="Arial" w:cs="Arial"/>
          <w:sz w:val="20"/>
          <w:szCs w:val="22"/>
        </w:rPr>
        <w:t>Molecular identification through 16S rRNA gene sequencing revealed sequence similarity values below the established species-level cut-off (98.7%), with the highest matches being 95.72% and 94.84% to closest type strains in the genus </w:t>
      </w:r>
      <w:r w:rsidRPr="00B14923">
        <w:rPr>
          <w:rFonts w:ascii="Arial" w:hAnsi="Arial" w:cs="Arial"/>
          <w:i/>
          <w:iCs/>
          <w:sz w:val="20"/>
          <w:szCs w:val="22"/>
        </w:rPr>
        <w:t>Nocardiopsis</w:t>
      </w:r>
      <w:r w:rsidRPr="00B14923">
        <w:rPr>
          <w:rFonts w:ascii="Arial" w:hAnsi="Arial" w:cs="Arial"/>
          <w:sz w:val="20"/>
          <w:szCs w:val="22"/>
        </w:rPr>
        <w:t>. Together with phylogenetic analysis demonstrating a distinct lineage, these results strongly suggest that strain RB8 represents a potential novel species of </w:t>
      </w:r>
      <w:r w:rsidRPr="00B14923">
        <w:rPr>
          <w:rFonts w:ascii="Arial" w:hAnsi="Arial" w:cs="Arial"/>
          <w:i/>
          <w:iCs/>
          <w:sz w:val="20"/>
          <w:szCs w:val="22"/>
        </w:rPr>
        <w:t>Nocardiopsis</w:t>
      </w:r>
      <w:r w:rsidRPr="00B14923">
        <w:rPr>
          <w:rFonts w:ascii="Arial" w:hAnsi="Arial" w:cs="Arial"/>
          <w:sz w:val="20"/>
          <w:szCs w:val="22"/>
        </w:rPr>
        <w:t xml:space="preserve">. Such findings are significant given the genus’ recognized capacity to yield novel bioactive natural products from rare actinomycetes, particularly those representing underexplored taxa (Stackebrandt &amp; Goebel, 1994; Hamedi </w:t>
      </w:r>
      <w:r w:rsidRPr="00B14923">
        <w:rPr>
          <w:rFonts w:ascii="Arial" w:hAnsi="Arial" w:cs="Arial"/>
          <w:i/>
          <w:iCs/>
          <w:sz w:val="20"/>
          <w:szCs w:val="22"/>
        </w:rPr>
        <w:t>et al.,</w:t>
      </w:r>
      <w:r w:rsidRPr="00B14923">
        <w:rPr>
          <w:rFonts w:ascii="Arial" w:hAnsi="Arial" w:cs="Arial"/>
          <w:sz w:val="20"/>
          <w:szCs w:val="22"/>
        </w:rPr>
        <w:t xml:space="preserve"> 2010).</w:t>
      </w:r>
    </w:p>
    <w:p w14:paraId="35A40DC6" w14:textId="070D6FF5" w:rsidR="00B24FA2" w:rsidRPr="00B14923" w:rsidRDefault="00B24FA2" w:rsidP="00C044B8">
      <w:pPr>
        <w:spacing w:line="360" w:lineRule="auto"/>
        <w:ind w:firstLine="720"/>
        <w:jc w:val="both"/>
        <w:rPr>
          <w:rFonts w:ascii="Arial" w:hAnsi="Arial" w:cs="Arial"/>
          <w:sz w:val="20"/>
          <w:szCs w:val="22"/>
        </w:rPr>
      </w:pPr>
      <w:r w:rsidRPr="00462AB5">
        <w:rPr>
          <w:rFonts w:ascii="Arial" w:hAnsi="Arial" w:cs="Arial"/>
          <w:sz w:val="20"/>
          <w:szCs w:val="22"/>
          <w:highlight w:val="yellow"/>
        </w:rPr>
        <w:t>The polyphasic characterization of strain RB8 highlights its distinct taxonomic novelty and significant biotechnological potential. The strain demonstrates robust production of multiple</w:t>
      </w:r>
      <w:r w:rsidR="00E66DB6" w:rsidRPr="00462AB5">
        <w:rPr>
          <w:rFonts w:ascii="Arial" w:hAnsi="Arial" w:cs="Arial"/>
          <w:sz w:val="20"/>
          <w:szCs w:val="22"/>
          <w:highlight w:val="yellow"/>
        </w:rPr>
        <w:t xml:space="preserve"> hydrolytic enzymes and exhibits strong antimicrobial activity, particularly against Gram-positive bacteria and fungi, positioning it as a promising candidate for future bioprospecting initiatives. To validate its novelty at the species level and to comprehensively characterize the spectrum and mechanisms of its bioactive secondary metabolites, further investigations including whole-genome sequencing, metabolic profiling, and purification of active compounds are indispensable</w:t>
      </w:r>
      <w:r w:rsidR="00B4583A" w:rsidRPr="00462AB5">
        <w:rPr>
          <w:rFonts w:ascii="Arial" w:hAnsi="Arial" w:cs="Arial"/>
          <w:sz w:val="20"/>
          <w:szCs w:val="22"/>
          <w:highlight w:val="yellow"/>
        </w:rPr>
        <w:t xml:space="preserve"> (Govindan </w:t>
      </w:r>
      <w:r w:rsidR="00B4583A" w:rsidRPr="00462AB5">
        <w:rPr>
          <w:rFonts w:ascii="Arial" w:hAnsi="Arial" w:cs="Arial"/>
          <w:i/>
          <w:iCs/>
          <w:sz w:val="20"/>
          <w:szCs w:val="22"/>
          <w:highlight w:val="yellow"/>
        </w:rPr>
        <w:t>et al</w:t>
      </w:r>
      <w:r w:rsidR="00B4583A" w:rsidRPr="00462AB5">
        <w:rPr>
          <w:rFonts w:ascii="Arial" w:hAnsi="Arial" w:cs="Arial"/>
          <w:sz w:val="20"/>
          <w:szCs w:val="22"/>
          <w:highlight w:val="yellow"/>
        </w:rPr>
        <w:t xml:space="preserve">., 2024; </w:t>
      </w:r>
      <w:r w:rsidR="00462AB5" w:rsidRPr="00462AB5">
        <w:rPr>
          <w:rFonts w:ascii="Arial" w:hAnsi="Arial" w:cs="Arial"/>
          <w:sz w:val="20"/>
          <w:szCs w:val="22"/>
          <w:highlight w:val="yellow"/>
        </w:rPr>
        <w:t>Kanchanasin</w:t>
      </w:r>
      <w:r w:rsidR="00462AB5" w:rsidRPr="00462AB5">
        <w:rPr>
          <w:rFonts w:ascii="Arial" w:hAnsi="Arial" w:cs="Arial"/>
          <w:sz w:val="20"/>
          <w:szCs w:val="22"/>
          <w:highlight w:val="yellow"/>
        </w:rPr>
        <w:t xml:space="preserve"> </w:t>
      </w:r>
      <w:r w:rsidR="00462AB5" w:rsidRPr="00462AB5">
        <w:rPr>
          <w:rFonts w:ascii="Arial" w:hAnsi="Arial" w:cs="Arial"/>
          <w:i/>
          <w:iCs/>
          <w:sz w:val="20"/>
          <w:szCs w:val="22"/>
          <w:highlight w:val="yellow"/>
        </w:rPr>
        <w:t>et al.,</w:t>
      </w:r>
      <w:r w:rsidR="00462AB5" w:rsidRPr="00462AB5">
        <w:rPr>
          <w:rFonts w:ascii="Arial" w:hAnsi="Arial" w:cs="Arial"/>
          <w:sz w:val="20"/>
          <w:szCs w:val="22"/>
          <w:highlight w:val="yellow"/>
        </w:rPr>
        <w:t xml:space="preserve"> 2024;</w:t>
      </w:r>
      <w:r w:rsidR="00462AB5" w:rsidRPr="00462AB5">
        <w:rPr>
          <w:rFonts w:ascii="Arial" w:hAnsi="Arial" w:cs="Arial"/>
          <w:color w:val="222222"/>
          <w:sz w:val="20"/>
          <w:szCs w:val="20"/>
          <w:highlight w:val="yellow"/>
          <w:shd w:val="clear" w:color="auto" w:fill="FFFFFF"/>
        </w:rPr>
        <w:t xml:space="preserve"> </w:t>
      </w:r>
      <w:r w:rsidR="00B4583A" w:rsidRPr="00462AB5">
        <w:rPr>
          <w:rFonts w:ascii="Arial" w:hAnsi="Arial" w:cs="Arial"/>
          <w:color w:val="222222"/>
          <w:sz w:val="20"/>
          <w:szCs w:val="20"/>
          <w:highlight w:val="yellow"/>
          <w:shd w:val="clear" w:color="auto" w:fill="FFFFFF"/>
        </w:rPr>
        <w:t>Pradhan</w:t>
      </w:r>
      <w:r w:rsidR="00B4583A" w:rsidRPr="00462AB5">
        <w:rPr>
          <w:rFonts w:ascii="Arial" w:hAnsi="Arial" w:cs="Arial"/>
          <w:color w:val="222222"/>
          <w:sz w:val="20"/>
          <w:szCs w:val="20"/>
          <w:highlight w:val="yellow"/>
          <w:shd w:val="clear" w:color="auto" w:fill="FFFFFF"/>
        </w:rPr>
        <w:t xml:space="preserve"> </w:t>
      </w:r>
      <w:r w:rsidR="00B4583A" w:rsidRPr="00462AB5">
        <w:rPr>
          <w:rFonts w:ascii="Arial" w:hAnsi="Arial" w:cs="Arial"/>
          <w:color w:val="222222"/>
          <w:sz w:val="20"/>
          <w:szCs w:val="20"/>
          <w:highlight w:val="yellow"/>
          <w:shd w:val="clear" w:color="auto" w:fill="FFFFFF"/>
        </w:rPr>
        <w:t>&amp; Das</w:t>
      </w:r>
      <w:r w:rsidR="00B4583A" w:rsidRPr="00462AB5">
        <w:rPr>
          <w:rFonts w:ascii="Arial" w:hAnsi="Arial" w:cs="Arial"/>
          <w:color w:val="222222"/>
          <w:sz w:val="20"/>
          <w:szCs w:val="20"/>
          <w:highlight w:val="yellow"/>
          <w:shd w:val="clear" w:color="auto" w:fill="FFFFFF"/>
        </w:rPr>
        <w:t xml:space="preserve">., </w:t>
      </w:r>
      <w:r w:rsidR="00B4583A" w:rsidRPr="00462AB5">
        <w:rPr>
          <w:rFonts w:ascii="Arial" w:hAnsi="Arial" w:cs="Arial"/>
          <w:color w:val="222222"/>
          <w:sz w:val="20"/>
          <w:szCs w:val="20"/>
          <w:highlight w:val="yellow"/>
          <w:shd w:val="clear" w:color="auto" w:fill="FFFFFF"/>
        </w:rPr>
        <w:t>2025</w:t>
      </w:r>
      <w:r w:rsidR="00B4583A" w:rsidRPr="00462AB5">
        <w:rPr>
          <w:rFonts w:ascii="Arial" w:hAnsi="Arial" w:cs="Arial"/>
          <w:sz w:val="20"/>
          <w:szCs w:val="22"/>
          <w:highlight w:val="yellow"/>
        </w:rPr>
        <w:t>)</w:t>
      </w:r>
      <w:r w:rsidR="00E66DB6" w:rsidRPr="00462AB5">
        <w:rPr>
          <w:rFonts w:ascii="Arial" w:hAnsi="Arial" w:cs="Arial"/>
          <w:sz w:val="20"/>
          <w:szCs w:val="22"/>
          <w:highlight w:val="yellow"/>
        </w:rPr>
        <w:t>.</w:t>
      </w:r>
    </w:p>
    <w:p w14:paraId="69D38B2D" w14:textId="32F66B38" w:rsidR="00B14923" w:rsidRPr="00B14923" w:rsidRDefault="00B14923" w:rsidP="00C044B8">
      <w:pPr>
        <w:pStyle w:val="ListParagraph"/>
        <w:numPr>
          <w:ilvl w:val="0"/>
          <w:numId w:val="1"/>
        </w:numPr>
        <w:tabs>
          <w:tab w:val="left" w:pos="630"/>
        </w:tabs>
        <w:spacing w:line="360" w:lineRule="auto"/>
        <w:ind w:left="360"/>
        <w:jc w:val="both"/>
        <w:rPr>
          <w:rFonts w:ascii="Arial" w:hAnsi="Arial" w:cs="Arial"/>
          <w:b/>
          <w:bCs/>
          <w:sz w:val="22"/>
          <w:szCs w:val="24"/>
        </w:rPr>
      </w:pPr>
      <w:r w:rsidRPr="00B14923">
        <w:rPr>
          <w:rFonts w:ascii="Arial" w:hAnsi="Arial" w:cs="Arial"/>
          <w:b/>
          <w:bCs/>
          <w:sz w:val="22"/>
          <w:szCs w:val="24"/>
        </w:rPr>
        <w:t>CONCLUSION</w:t>
      </w:r>
    </w:p>
    <w:p w14:paraId="738F36CE" w14:textId="2ECF4F9C" w:rsidR="00B14923" w:rsidRDefault="00B14923" w:rsidP="00C044B8">
      <w:pPr>
        <w:spacing w:line="360" w:lineRule="auto"/>
        <w:jc w:val="both"/>
        <w:rPr>
          <w:rFonts w:ascii="Arial" w:hAnsi="Arial" w:cs="Arial"/>
          <w:sz w:val="20"/>
          <w:szCs w:val="22"/>
        </w:rPr>
      </w:pPr>
      <w:r w:rsidRPr="00B14923">
        <w:rPr>
          <w:rFonts w:ascii="Arial" w:hAnsi="Arial" w:cs="Arial"/>
          <w:sz w:val="20"/>
          <w:szCs w:val="22"/>
        </w:rPr>
        <w:t>The present study highlights the isolation and characterization of </w:t>
      </w:r>
      <w:r w:rsidRPr="00B14923">
        <w:rPr>
          <w:rFonts w:ascii="Arial" w:hAnsi="Arial" w:cs="Arial"/>
          <w:i/>
          <w:iCs/>
          <w:sz w:val="20"/>
          <w:szCs w:val="22"/>
        </w:rPr>
        <w:t>Nocardiopsis</w:t>
      </w:r>
      <w:r w:rsidRPr="00B14923">
        <w:rPr>
          <w:rFonts w:ascii="Arial" w:hAnsi="Arial" w:cs="Arial"/>
          <w:sz w:val="20"/>
          <w:szCs w:val="22"/>
        </w:rPr>
        <w:t> sp. RB8, a slow-growing actinomycete with distinct colony morphology, robust mycelial development, and pigment production. The strain demonstrated broad hydrolytic enzyme activity and notable antimicrobial potential, particularly against </w:t>
      </w:r>
      <w:r w:rsidRPr="00B14923">
        <w:rPr>
          <w:rFonts w:ascii="Arial" w:hAnsi="Arial" w:cs="Arial"/>
          <w:i/>
          <w:iCs/>
          <w:sz w:val="20"/>
          <w:szCs w:val="22"/>
        </w:rPr>
        <w:t>Staphylococcus aureus</w:t>
      </w:r>
      <w:r w:rsidRPr="00B14923">
        <w:rPr>
          <w:rFonts w:ascii="Arial" w:hAnsi="Arial" w:cs="Arial"/>
          <w:sz w:val="20"/>
          <w:szCs w:val="22"/>
        </w:rPr>
        <w:t> and </w:t>
      </w:r>
      <w:r w:rsidRPr="00B14923">
        <w:rPr>
          <w:rFonts w:ascii="Arial" w:hAnsi="Arial" w:cs="Arial"/>
          <w:i/>
          <w:iCs/>
          <w:sz w:val="20"/>
          <w:szCs w:val="22"/>
        </w:rPr>
        <w:t>Candida albicans</w:t>
      </w:r>
      <w:r w:rsidRPr="00B14923">
        <w:rPr>
          <w:rFonts w:ascii="Arial" w:hAnsi="Arial" w:cs="Arial"/>
          <w:sz w:val="20"/>
          <w:szCs w:val="22"/>
        </w:rPr>
        <w:t>, underscoring its industrial and therapeutic relevance. Molecular analysis of the 16S rRNA gene indicated sequence similarity values below the accepted species-level threshold, suggesting that RB8 may represent a novel species within the genus </w:t>
      </w:r>
      <w:r w:rsidRPr="00B14923">
        <w:rPr>
          <w:rFonts w:ascii="Arial" w:hAnsi="Arial" w:cs="Arial"/>
          <w:i/>
          <w:iCs/>
          <w:sz w:val="20"/>
          <w:szCs w:val="22"/>
        </w:rPr>
        <w:t>Nocardiopsis</w:t>
      </w:r>
      <w:r w:rsidRPr="00B14923">
        <w:rPr>
          <w:rFonts w:ascii="Arial" w:hAnsi="Arial" w:cs="Arial"/>
          <w:sz w:val="20"/>
          <w:szCs w:val="22"/>
        </w:rPr>
        <w:t xml:space="preserve">. Taken together, these findings establish RB8 as a promising candidate for natural </w:t>
      </w:r>
      <w:r w:rsidRPr="00B14923">
        <w:rPr>
          <w:rFonts w:ascii="Arial" w:hAnsi="Arial" w:cs="Arial"/>
          <w:sz w:val="20"/>
          <w:szCs w:val="22"/>
        </w:rPr>
        <w:lastRenderedPageBreak/>
        <w:t>product discovery and enzyme-based applications, warranting further genomic and metabolomic investigations to confirm its novelty and explore its biotechnological potential.</w:t>
      </w:r>
    </w:p>
    <w:p w14:paraId="622DE498" w14:textId="15A77BA8" w:rsidR="002A7486" w:rsidRDefault="002A7486" w:rsidP="00C044B8">
      <w:pPr>
        <w:spacing w:line="360" w:lineRule="auto"/>
        <w:jc w:val="both"/>
        <w:rPr>
          <w:rFonts w:ascii="Arial" w:hAnsi="Arial" w:cs="Arial"/>
          <w:sz w:val="20"/>
          <w:szCs w:val="22"/>
        </w:rPr>
      </w:pPr>
    </w:p>
    <w:p w14:paraId="553F86BD" w14:textId="0120EF09" w:rsidR="002A7486" w:rsidRDefault="002A7486" w:rsidP="00C044B8">
      <w:pPr>
        <w:spacing w:line="360" w:lineRule="auto"/>
        <w:jc w:val="both"/>
        <w:rPr>
          <w:rFonts w:ascii="Arial" w:hAnsi="Arial" w:cs="Arial"/>
          <w:sz w:val="20"/>
          <w:szCs w:val="22"/>
        </w:rPr>
      </w:pPr>
    </w:p>
    <w:p w14:paraId="06CDF16C" w14:textId="305D630E" w:rsidR="002A7486" w:rsidRPr="0070043E" w:rsidRDefault="0077611F" w:rsidP="0070043E">
      <w:pPr>
        <w:spacing w:line="360" w:lineRule="auto"/>
        <w:jc w:val="both"/>
        <w:rPr>
          <w:rFonts w:ascii="Arial" w:hAnsi="Arial" w:cs="Arial"/>
          <w:b/>
          <w:bCs/>
          <w:sz w:val="22"/>
          <w:szCs w:val="28"/>
          <w:highlight w:val="yellow"/>
        </w:rPr>
      </w:pPr>
      <w:bookmarkStart w:id="0" w:name="_Hlk190852809"/>
      <w:r w:rsidRPr="0070043E">
        <w:rPr>
          <w:rFonts w:ascii="Arial" w:hAnsi="Arial" w:cs="Arial"/>
          <w:b/>
          <w:bCs/>
          <w:sz w:val="22"/>
          <w:szCs w:val="28"/>
          <w:highlight w:val="yellow"/>
        </w:rPr>
        <w:t>DISCLAIMER (ARTIFICIAL INTELLIGENCE)</w:t>
      </w:r>
    </w:p>
    <w:p w14:paraId="6DEE8083" w14:textId="2DB7AB8B" w:rsidR="002A7486" w:rsidRPr="0070043E" w:rsidRDefault="002A7486" w:rsidP="0070043E">
      <w:pPr>
        <w:spacing w:line="360" w:lineRule="auto"/>
        <w:jc w:val="both"/>
        <w:rPr>
          <w:rFonts w:ascii="Arial" w:hAnsi="Arial" w:cs="Arial"/>
          <w:sz w:val="20"/>
          <w:szCs w:val="24"/>
          <w:highlight w:val="yellow"/>
        </w:rPr>
      </w:pPr>
      <w:r w:rsidRPr="0070043E">
        <w:rPr>
          <w:rFonts w:ascii="Arial" w:hAnsi="Arial" w:cs="Arial"/>
          <w:sz w:val="20"/>
          <w:szCs w:val="24"/>
          <w:highlight w:val="yellow"/>
        </w:rPr>
        <w:t xml:space="preserve">Author(s) hereby </w:t>
      </w:r>
      <w:r w:rsidR="0070043E" w:rsidRPr="0070043E">
        <w:rPr>
          <w:rFonts w:ascii="Arial" w:hAnsi="Arial" w:cs="Arial"/>
          <w:sz w:val="20"/>
          <w:szCs w:val="24"/>
          <w:highlight w:val="yellow"/>
        </w:rPr>
        <w:t>declares</w:t>
      </w:r>
      <w:r w:rsidRPr="0070043E">
        <w:rPr>
          <w:rFonts w:ascii="Arial" w:hAnsi="Arial" w:cs="Arial"/>
          <w:sz w:val="20"/>
          <w:szCs w:val="24"/>
          <w:highlight w:val="yellow"/>
        </w:rPr>
        <w:t xml:space="preserve"> that NO generative AI technologies such as Large Language Models (ChatGPT, COPILOT, etc.) and text-to-image generators have been used during the writing or editing of this manuscript. </w:t>
      </w:r>
    </w:p>
    <w:bookmarkEnd w:id="0"/>
    <w:p w14:paraId="3C7BE220" w14:textId="77777777" w:rsidR="002A7486" w:rsidRPr="00D047BB" w:rsidRDefault="002A7486" w:rsidP="00C044B8">
      <w:pPr>
        <w:spacing w:line="360" w:lineRule="auto"/>
      </w:pPr>
    </w:p>
    <w:p w14:paraId="677ECEBC" w14:textId="77777777" w:rsidR="002A7486" w:rsidRDefault="002A7486" w:rsidP="00C044B8">
      <w:pPr>
        <w:spacing w:line="360" w:lineRule="auto"/>
        <w:jc w:val="both"/>
        <w:rPr>
          <w:rFonts w:ascii="Arial" w:hAnsi="Arial" w:cs="Arial"/>
          <w:sz w:val="20"/>
          <w:szCs w:val="22"/>
        </w:rPr>
      </w:pPr>
    </w:p>
    <w:p w14:paraId="7134D862" w14:textId="2B850E56" w:rsidR="00B14923" w:rsidRPr="00B14923" w:rsidRDefault="00B14923" w:rsidP="00C044B8">
      <w:pPr>
        <w:pStyle w:val="ListParagraph"/>
        <w:numPr>
          <w:ilvl w:val="0"/>
          <w:numId w:val="1"/>
        </w:numPr>
        <w:spacing w:line="360" w:lineRule="auto"/>
        <w:ind w:left="360"/>
        <w:jc w:val="both"/>
        <w:rPr>
          <w:rFonts w:ascii="Arial" w:hAnsi="Arial" w:cs="Arial"/>
          <w:b/>
          <w:bCs/>
          <w:sz w:val="22"/>
          <w:szCs w:val="24"/>
        </w:rPr>
      </w:pPr>
      <w:r w:rsidRPr="00B14923">
        <w:rPr>
          <w:rFonts w:ascii="Arial" w:hAnsi="Arial" w:cs="Arial"/>
          <w:b/>
          <w:bCs/>
          <w:sz w:val="22"/>
          <w:szCs w:val="24"/>
        </w:rPr>
        <w:t>REFERENCES</w:t>
      </w:r>
    </w:p>
    <w:p w14:paraId="0F593547" w14:textId="0D4A0C7B"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Bala, M., Kaur, C., Kaur, I., Khan, F., &amp; Mayilraj, S. (2012). </w:t>
      </w:r>
      <w:r w:rsidRPr="00B14923">
        <w:rPr>
          <w:rFonts w:ascii="Arial" w:hAnsi="Arial" w:cs="Arial"/>
          <w:i/>
          <w:iCs/>
          <w:sz w:val="20"/>
          <w:szCs w:val="22"/>
        </w:rPr>
        <w:t>Kocuria</w:t>
      </w:r>
      <w:r w:rsidRPr="00B14923">
        <w:rPr>
          <w:rFonts w:ascii="Arial" w:hAnsi="Arial" w:cs="Arial"/>
          <w:sz w:val="20"/>
          <w:szCs w:val="22"/>
        </w:rPr>
        <w:t xml:space="preserve"> </w:t>
      </w:r>
      <w:r w:rsidRPr="00B14923">
        <w:rPr>
          <w:rFonts w:ascii="Arial" w:hAnsi="Arial" w:cs="Arial"/>
          <w:i/>
          <w:iCs/>
          <w:sz w:val="20"/>
          <w:szCs w:val="22"/>
        </w:rPr>
        <w:t>sediminis</w:t>
      </w:r>
      <w:r w:rsidRPr="00B14923">
        <w:rPr>
          <w:rFonts w:ascii="Arial" w:hAnsi="Arial" w:cs="Arial"/>
          <w:sz w:val="20"/>
          <w:szCs w:val="22"/>
        </w:rPr>
        <w:t xml:space="preserve"> sp. nov., isolated from a marine sediment sample. </w:t>
      </w:r>
      <w:r w:rsidRPr="00B14923">
        <w:rPr>
          <w:rFonts w:ascii="Arial" w:hAnsi="Arial" w:cs="Arial"/>
          <w:i/>
          <w:iCs/>
          <w:sz w:val="20"/>
          <w:szCs w:val="22"/>
        </w:rPr>
        <w:t>Antonie Van Leeuwenhoek</w:t>
      </w:r>
      <w:r w:rsidRPr="00B14923">
        <w:rPr>
          <w:rFonts w:ascii="Arial" w:hAnsi="Arial" w:cs="Arial"/>
          <w:sz w:val="20"/>
          <w:szCs w:val="22"/>
        </w:rPr>
        <w:t>, </w:t>
      </w:r>
      <w:r w:rsidRPr="00B14923">
        <w:rPr>
          <w:rFonts w:ascii="Arial" w:hAnsi="Arial" w:cs="Arial"/>
          <w:i/>
          <w:iCs/>
          <w:sz w:val="20"/>
          <w:szCs w:val="22"/>
        </w:rPr>
        <w:t>101</w:t>
      </w:r>
      <w:r w:rsidRPr="00B14923">
        <w:rPr>
          <w:rFonts w:ascii="Arial" w:hAnsi="Arial" w:cs="Arial"/>
          <w:sz w:val="20"/>
          <w:szCs w:val="22"/>
        </w:rPr>
        <w:t>(3), 469-478.</w:t>
      </w:r>
      <w:r>
        <w:rPr>
          <w:rFonts w:ascii="Arial" w:hAnsi="Arial" w:cs="Arial"/>
          <w:sz w:val="20"/>
          <w:szCs w:val="22"/>
        </w:rPr>
        <w:t xml:space="preserve"> </w:t>
      </w:r>
      <w:hyperlink r:id="rId33" w:history="1">
        <w:r w:rsidRPr="006D0DA8">
          <w:rPr>
            <w:rStyle w:val="Hyperlink"/>
            <w:rFonts w:ascii="Arial" w:hAnsi="Arial" w:cs="Arial"/>
            <w:sz w:val="20"/>
            <w:szCs w:val="22"/>
          </w:rPr>
          <w:t>https://doi.org/10.1007/s10482-011-9654-2</w:t>
        </w:r>
      </w:hyperlink>
      <w:r>
        <w:rPr>
          <w:rFonts w:ascii="Arial" w:hAnsi="Arial" w:cs="Arial"/>
          <w:sz w:val="20"/>
          <w:szCs w:val="22"/>
        </w:rPr>
        <w:t xml:space="preserve"> </w:t>
      </w:r>
    </w:p>
    <w:p w14:paraId="6C5DA8E7" w14:textId="4444B85A"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Barka, E. A., Vatsa, P., Sanchez, L., Gaveau-Vaillant, N., Jacquard, C., Klenk, H. P.,</w:t>
      </w:r>
      <w:r>
        <w:rPr>
          <w:rFonts w:ascii="Arial" w:hAnsi="Arial" w:cs="Arial"/>
          <w:sz w:val="20"/>
          <w:szCs w:val="22"/>
        </w:rPr>
        <w:t xml:space="preserve"> </w:t>
      </w:r>
      <w:r w:rsidR="00C044B8" w:rsidRPr="00C044B8">
        <w:rPr>
          <w:rFonts w:ascii="Arial" w:hAnsi="Arial" w:cs="Arial"/>
          <w:i/>
          <w:iCs/>
          <w:sz w:val="20"/>
          <w:szCs w:val="22"/>
        </w:rPr>
        <w:t>et al</w:t>
      </w:r>
      <w:r w:rsidRPr="00B14923">
        <w:rPr>
          <w:rFonts w:ascii="Arial" w:hAnsi="Arial" w:cs="Arial"/>
          <w:sz w:val="20"/>
          <w:szCs w:val="22"/>
        </w:rPr>
        <w:t>.</w:t>
      </w:r>
      <w:r w:rsidR="00C044B8">
        <w:rPr>
          <w:rFonts w:ascii="Arial" w:hAnsi="Arial" w:cs="Arial"/>
          <w:sz w:val="20"/>
          <w:szCs w:val="22"/>
        </w:rPr>
        <w:t>,</w:t>
      </w:r>
      <w:r w:rsidRPr="00B14923">
        <w:rPr>
          <w:rFonts w:ascii="Arial" w:hAnsi="Arial" w:cs="Arial"/>
          <w:sz w:val="20"/>
          <w:szCs w:val="22"/>
        </w:rPr>
        <w:t xml:space="preserve"> (2016). Taxonomy, physiology, and natural products of Actinobacteria. </w:t>
      </w:r>
      <w:r w:rsidRPr="00B14923">
        <w:rPr>
          <w:rFonts w:ascii="Arial" w:hAnsi="Arial" w:cs="Arial"/>
          <w:i/>
          <w:iCs/>
          <w:sz w:val="20"/>
          <w:szCs w:val="22"/>
        </w:rPr>
        <w:t>Microbiology and molecular biology reviews</w:t>
      </w:r>
      <w:r w:rsidRPr="00B14923">
        <w:rPr>
          <w:rFonts w:ascii="Arial" w:hAnsi="Arial" w:cs="Arial"/>
          <w:sz w:val="20"/>
          <w:szCs w:val="22"/>
        </w:rPr>
        <w:t>, 80(1), 1-43.</w:t>
      </w:r>
      <w:r>
        <w:rPr>
          <w:rFonts w:ascii="Arial" w:hAnsi="Arial" w:cs="Arial"/>
          <w:sz w:val="20"/>
          <w:szCs w:val="22"/>
        </w:rPr>
        <w:t xml:space="preserve"> </w:t>
      </w:r>
      <w:hyperlink r:id="rId34" w:history="1">
        <w:r w:rsidRPr="006D0DA8">
          <w:rPr>
            <w:rStyle w:val="Hyperlink"/>
            <w:rFonts w:ascii="Arial" w:hAnsi="Arial" w:cs="Arial"/>
            <w:sz w:val="20"/>
            <w:szCs w:val="22"/>
          </w:rPr>
          <w:t>https://doi.org/10.1128/mmbr.00019-15</w:t>
        </w:r>
      </w:hyperlink>
      <w:r>
        <w:rPr>
          <w:rFonts w:ascii="Arial" w:hAnsi="Arial" w:cs="Arial"/>
          <w:sz w:val="20"/>
          <w:szCs w:val="22"/>
        </w:rPr>
        <w:t xml:space="preserve"> </w:t>
      </w:r>
    </w:p>
    <w:p w14:paraId="60258407" w14:textId="52C3379F"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Bennur, T., Kumar, A. R., Zinjarde, S., &amp; Javdekar, V. (2015). </w:t>
      </w:r>
      <w:r w:rsidRPr="00B14923">
        <w:rPr>
          <w:rFonts w:ascii="Arial" w:hAnsi="Arial" w:cs="Arial"/>
          <w:i/>
          <w:iCs/>
          <w:sz w:val="20"/>
          <w:szCs w:val="22"/>
        </w:rPr>
        <w:t>Nocardiopsis</w:t>
      </w:r>
      <w:r w:rsidRPr="00B14923">
        <w:rPr>
          <w:rFonts w:ascii="Arial" w:hAnsi="Arial" w:cs="Arial"/>
          <w:sz w:val="20"/>
          <w:szCs w:val="22"/>
        </w:rPr>
        <w:t xml:space="preserve"> species: Incidence, ecological roles and adaptations. </w:t>
      </w:r>
      <w:r w:rsidRPr="00B14923">
        <w:rPr>
          <w:rFonts w:ascii="Arial" w:hAnsi="Arial" w:cs="Arial"/>
          <w:i/>
          <w:iCs/>
          <w:sz w:val="20"/>
          <w:szCs w:val="22"/>
        </w:rPr>
        <w:t>Microbiological Research</w:t>
      </w:r>
      <w:r w:rsidRPr="00B14923">
        <w:rPr>
          <w:rFonts w:ascii="Arial" w:hAnsi="Arial" w:cs="Arial"/>
          <w:sz w:val="20"/>
          <w:szCs w:val="22"/>
        </w:rPr>
        <w:t>, </w:t>
      </w:r>
      <w:r w:rsidRPr="00B14923">
        <w:rPr>
          <w:rFonts w:ascii="Arial" w:hAnsi="Arial" w:cs="Arial"/>
          <w:i/>
          <w:iCs/>
          <w:sz w:val="20"/>
          <w:szCs w:val="22"/>
        </w:rPr>
        <w:t>174</w:t>
      </w:r>
      <w:r w:rsidRPr="00B14923">
        <w:rPr>
          <w:rFonts w:ascii="Arial" w:hAnsi="Arial" w:cs="Arial"/>
          <w:sz w:val="20"/>
          <w:szCs w:val="22"/>
        </w:rPr>
        <w:t>, 33-47.</w:t>
      </w:r>
      <w:r>
        <w:rPr>
          <w:rFonts w:ascii="Arial" w:hAnsi="Arial" w:cs="Arial"/>
          <w:sz w:val="20"/>
          <w:szCs w:val="22"/>
        </w:rPr>
        <w:t xml:space="preserve"> </w:t>
      </w:r>
      <w:hyperlink r:id="rId35" w:history="1">
        <w:r w:rsidRPr="006D0DA8">
          <w:rPr>
            <w:rStyle w:val="Hyperlink"/>
            <w:rFonts w:ascii="Arial" w:hAnsi="Arial" w:cs="Arial"/>
            <w:sz w:val="20"/>
            <w:szCs w:val="22"/>
          </w:rPr>
          <w:t>https://doi.org/10.1016/j.micres.2015.03.010</w:t>
        </w:r>
      </w:hyperlink>
      <w:r>
        <w:rPr>
          <w:rFonts w:ascii="Arial" w:hAnsi="Arial" w:cs="Arial"/>
          <w:sz w:val="20"/>
          <w:szCs w:val="22"/>
        </w:rPr>
        <w:t xml:space="preserve"> </w:t>
      </w:r>
    </w:p>
    <w:p w14:paraId="1A46DFC8" w14:textId="388B474A"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Chen, Y. G., Cui, X. L., Kroppenstedt, R. M., Stackebrandt, E., Wen, M. L., Xu, L. H.,</w:t>
      </w:r>
      <w:r w:rsidR="00C044B8">
        <w:rPr>
          <w:rFonts w:ascii="Arial" w:hAnsi="Arial" w:cs="Arial"/>
          <w:sz w:val="20"/>
          <w:szCs w:val="22"/>
        </w:rPr>
        <w:t xml:space="preserve"> </w:t>
      </w:r>
      <w:r w:rsidR="00C044B8" w:rsidRPr="00C044B8">
        <w:rPr>
          <w:rFonts w:ascii="Arial" w:hAnsi="Arial" w:cs="Arial"/>
          <w:i/>
          <w:iCs/>
          <w:sz w:val="20"/>
          <w:szCs w:val="22"/>
        </w:rPr>
        <w:t>et al.,</w:t>
      </w:r>
      <w:r w:rsidRPr="00B14923">
        <w:rPr>
          <w:rFonts w:ascii="Arial" w:hAnsi="Arial" w:cs="Arial"/>
          <w:sz w:val="20"/>
          <w:szCs w:val="22"/>
        </w:rPr>
        <w:t xml:space="preserve"> (2008). </w:t>
      </w:r>
      <w:r w:rsidRPr="00B14923">
        <w:rPr>
          <w:rFonts w:ascii="Arial" w:hAnsi="Arial" w:cs="Arial"/>
          <w:i/>
          <w:iCs/>
          <w:sz w:val="20"/>
          <w:szCs w:val="22"/>
        </w:rPr>
        <w:t>Nocardiopsis</w:t>
      </w:r>
      <w:r w:rsidRPr="00B14923">
        <w:rPr>
          <w:rFonts w:ascii="Arial" w:hAnsi="Arial" w:cs="Arial"/>
          <w:sz w:val="20"/>
          <w:szCs w:val="22"/>
        </w:rPr>
        <w:t xml:space="preserve"> </w:t>
      </w:r>
      <w:r w:rsidRPr="00B14923">
        <w:rPr>
          <w:rFonts w:ascii="Arial" w:hAnsi="Arial" w:cs="Arial"/>
          <w:i/>
          <w:iCs/>
          <w:sz w:val="20"/>
          <w:szCs w:val="22"/>
        </w:rPr>
        <w:t>quinghaiensis</w:t>
      </w:r>
      <w:r w:rsidRPr="00B14923">
        <w:rPr>
          <w:rFonts w:ascii="Arial" w:hAnsi="Arial" w:cs="Arial"/>
          <w:sz w:val="20"/>
          <w:szCs w:val="22"/>
        </w:rPr>
        <w:t xml:space="preserve"> sp. nov., isolated from saline soil in China. </w:t>
      </w:r>
      <w:r w:rsidRPr="00B14923">
        <w:rPr>
          <w:rFonts w:ascii="Arial" w:hAnsi="Arial" w:cs="Arial"/>
          <w:i/>
          <w:iCs/>
          <w:sz w:val="20"/>
          <w:szCs w:val="22"/>
        </w:rPr>
        <w:t>International Journal of Systematic and Evolutionary Microbiology</w:t>
      </w:r>
      <w:r w:rsidRPr="00B14923">
        <w:rPr>
          <w:rFonts w:ascii="Arial" w:hAnsi="Arial" w:cs="Arial"/>
          <w:sz w:val="20"/>
          <w:szCs w:val="22"/>
        </w:rPr>
        <w:t>, </w:t>
      </w:r>
      <w:r w:rsidRPr="00B14923">
        <w:rPr>
          <w:rFonts w:ascii="Arial" w:hAnsi="Arial" w:cs="Arial"/>
          <w:i/>
          <w:iCs/>
          <w:sz w:val="20"/>
          <w:szCs w:val="22"/>
        </w:rPr>
        <w:t>58</w:t>
      </w:r>
      <w:r w:rsidRPr="00B14923">
        <w:rPr>
          <w:rFonts w:ascii="Arial" w:hAnsi="Arial" w:cs="Arial"/>
          <w:sz w:val="20"/>
          <w:szCs w:val="22"/>
        </w:rPr>
        <w:t>(3), 699-705.</w:t>
      </w:r>
      <w:r>
        <w:rPr>
          <w:rFonts w:ascii="Arial" w:hAnsi="Arial" w:cs="Arial"/>
          <w:sz w:val="20"/>
          <w:szCs w:val="22"/>
        </w:rPr>
        <w:t xml:space="preserve"> </w:t>
      </w:r>
      <w:hyperlink r:id="rId36" w:history="1">
        <w:r w:rsidRPr="006D0DA8">
          <w:rPr>
            <w:rStyle w:val="Hyperlink"/>
            <w:rFonts w:ascii="Arial" w:hAnsi="Arial" w:cs="Arial"/>
            <w:sz w:val="20"/>
            <w:szCs w:val="22"/>
          </w:rPr>
          <w:t>https://doi.org/10.1099/ijs.0.65441-0</w:t>
        </w:r>
      </w:hyperlink>
      <w:r>
        <w:rPr>
          <w:rFonts w:ascii="Arial" w:hAnsi="Arial" w:cs="Arial"/>
          <w:sz w:val="20"/>
          <w:szCs w:val="22"/>
        </w:rPr>
        <w:t xml:space="preserve"> </w:t>
      </w:r>
    </w:p>
    <w:p w14:paraId="2C03A9F7" w14:textId="05DB1393"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Egler, R. A., Ahuja, S. P., &amp; Matloub, Y. (2016). L-asparaginase in the treatment of patients with acute lymphoblastic leukemia. </w:t>
      </w:r>
      <w:r w:rsidRPr="00B14923">
        <w:rPr>
          <w:rFonts w:ascii="Arial" w:hAnsi="Arial" w:cs="Arial"/>
          <w:i/>
          <w:iCs/>
          <w:sz w:val="20"/>
          <w:szCs w:val="22"/>
        </w:rPr>
        <w:t>Journal of Pharmacology and Pharmacotherapeutics</w:t>
      </w:r>
      <w:r w:rsidRPr="00B14923">
        <w:rPr>
          <w:rFonts w:ascii="Arial" w:hAnsi="Arial" w:cs="Arial"/>
          <w:sz w:val="20"/>
          <w:szCs w:val="22"/>
        </w:rPr>
        <w:t>, 7(2), 62-71.</w:t>
      </w:r>
      <w:r w:rsidR="005E5C12">
        <w:rPr>
          <w:rFonts w:ascii="Arial" w:hAnsi="Arial" w:cs="Arial"/>
          <w:sz w:val="20"/>
          <w:szCs w:val="22"/>
        </w:rPr>
        <w:t xml:space="preserve"> </w:t>
      </w:r>
      <w:hyperlink r:id="rId37" w:history="1">
        <w:r w:rsidR="005E5C12" w:rsidRPr="006D0DA8">
          <w:rPr>
            <w:rStyle w:val="Hyperlink"/>
            <w:rFonts w:ascii="Arial" w:hAnsi="Arial" w:cs="Arial"/>
            <w:sz w:val="20"/>
            <w:szCs w:val="22"/>
          </w:rPr>
          <w:t>https://doi.org/10.4103/0976-500X.184769</w:t>
        </w:r>
      </w:hyperlink>
      <w:r w:rsidR="005E5C12">
        <w:rPr>
          <w:rFonts w:ascii="Arial" w:hAnsi="Arial" w:cs="Arial"/>
          <w:sz w:val="20"/>
          <w:szCs w:val="22"/>
        </w:rPr>
        <w:t xml:space="preserve"> </w:t>
      </w:r>
    </w:p>
    <w:p w14:paraId="239C25F3" w14:textId="5CC4D503" w:rsid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El-Sayed, M. H., Elsayed, D. A., &amp; Gomaa, A. E. R. F. (2024). </w:t>
      </w:r>
      <w:r w:rsidRPr="00B14923">
        <w:rPr>
          <w:rFonts w:ascii="Arial" w:hAnsi="Arial" w:cs="Arial"/>
          <w:i/>
          <w:iCs/>
          <w:sz w:val="20"/>
          <w:szCs w:val="22"/>
        </w:rPr>
        <w:t>Nocardiopsis synnemataformans</w:t>
      </w:r>
      <w:r w:rsidRPr="00B14923">
        <w:rPr>
          <w:rFonts w:ascii="Arial" w:hAnsi="Arial" w:cs="Arial"/>
          <w:sz w:val="20"/>
          <w:szCs w:val="22"/>
        </w:rPr>
        <w:t xml:space="preserve"> NBRM9, an extremophilic actinomycete producing extremozyme cellulase, using lignocellulosic agro-wastes and its biotechnological applications. </w:t>
      </w:r>
      <w:r w:rsidRPr="00B14923">
        <w:rPr>
          <w:rFonts w:ascii="Arial" w:hAnsi="Arial" w:cs="Arial"/>
          <w:i/>
          <w:iCs/>
          <w:sz w:val="20"/>
          <w:szCs w:val="22"/>
        </w:rPr>
        <w:t>AIMS microbiology,</w:t>
      </w:r>
      <w:r w:rsidRPr="00B14923">
        <w:rPr>
          <w:rFonts w:ascii="Arial" w:hAnsi="Arial" w:cs="Arial"/>
          <w:sz w:val="20"/>
          <w:szCs w:val="22"/>
        </w:rPr>
        <w:t xml:space="preserve"> 10(1), 187.</w:t>
      </w:r>
      <w:r w:rsidR="005E5C12">
        <w:rPr>
          <w:rFonts w:ascii="Arial" w:hAnsi="Arial" w:cs="Arial"/>
          <w:sz w:val="20"/>
          <w:szCs w:val="22"/>
        </w:rPr>
        <w:t xml:space="preserve"> </w:t>
      </w:r>
      <w:hyperlink r:id="rId38" w:history="1">
        <w:r w:rsidR="005E5C12" w:rsidRPr="006D0DA8">
          <w:rPr>
            <w:rStyle w:val="Hyperlink"/>
            <w:rFonts w:ascii="Arial" w:hAnsi="Arial" w:cs="Arial"/>
            <w:sz w:val="20"/>
            <w:szCs w:val="22"/>
          </w:rPr>
          <w:t>https://doi.org/10.3934/microbiol.2024010</w:t>
        </w:r>
      </w:hyperlink>
      <w:r w:rsidR="005E5C12">
        <w:rPr>
          <w:rFonts w:ascii="Arial" w:hAnsi="Arial" w:cs="Arial"/>
          <w:sz w:val="20"/>
          <w:szCs w:val="22"/>
        </w:rPr>
        <w:t xml:space="preserve"> </w:t>
      </w:r>
    </w:p>
    <w:p w14:paraId="2BB7F6A5" w14:textId="1EC4F850" w:rsidR="008521EF" w:rsidRPr="004F6E44" w:rsidRDefault="008521EF" w:rsidP="00C044B8">
      <w:pPr>
        <w:pStyle w:val="ListParagraph"/>
        <w:numPr>
          <w:ilvl w:val="0"/>
          <w:numId w:val="2"/>
        </w:numPr>
        <w:spacing w:line="360" w:lineRule="auto"/>
        <w:ind w:left="360"/>
        <w:jc w:val="both"/>
        <w:rPr>
          <w:rFonts w:ascii="Arial" w:hAnsi="Arial" w:cs="Arial"/>
          <w:sz w:val="20"/>
          <w:szCs w:val="22"/>
          <w:highlight w:val="yellow"/>
        </w:rPr>
      </w:pPr>
      <w:bookmarkStart w:id="1" w:name="_Hlk211370754"/>
      <w:r w:rsidRPr="004F6E44">
        <w:rPr>
          <w:rFonts w:ascii="Arial" w:hAnsi="Arial" w:cs="Arial"/>
          <w:sz w:val="20"/>
          <w:szCs w:val="22"/>
          <w:highlight w:val="yellow"/>
        </w:rPr>
        <w:t>Fonseca</w:t>
      </w:r>
      <w:bookmarkEnd w:id="1"/>
      <w:r w:rsidRPr="004F6E44">
        <w:rPr>
          <w:rFonts w:ascii="Arial" w:hAnsi="Arial" w:cs="Arial"/>
          <w:sz w:val="20"/>
          <w:szCs w:val="22"/>
          <w:highlight w:val="yellow"/>
        </w:rPr>
        <w:t>, A. C., Ribeiro, I., Girão, M., Regueiras, A., Urbatzka, R., Leão, P.,</w:t>
      </w:r>
      <w:r w:rsidR="00C044B8">
        <w:rPr>
          <w:rFonts w:ascii="Arial" w:hAnsi="Arial" w:cs="Arial"/>
          <w:sz w:val="20"/>
          <w:szCs w:val="22"/>
          <w:highlight w:val="yellow"/>
        </w:rPr>
        <w:t xml:space="preserve"> </w:t>
      </w:r>
      <w:r w:rsidR="00C044B8" w:rsidRPr="00C044B8">
        <w:rPr>
          <w:rFonts w:ascii="Arial" w:hAnsi="Arial" w:cs="Arial"/>
          <w:i/>
          <w:iCs/>
          <w:sz w:val="20"/>
          <w:szCs w:val="22"/>
          <w:highlight w:val="yellow"/>
        </w:rPr>
        <w:t>et al</w:t>
      </w:r>
      <w:r w:rsidR="00C044B8">
        <w:rPr>
          <w:rFonts w:ascii="Arial" w:hAnsi="Arial" w:cs="Arial"/>
          <w:sz w:val="20"/>
          <w:szCs w:val="22"/>
          <w:highlight w:val="yellow"/>
        </w:rPr>
        <w:t>.,</w:t>
      </w:r>
      <w:r w:rsidRPr="004F6E44">
        <w:rPr>
          <w:rFonts w:ascii="Arial" w:hAnsi="Arial" w:cs="Arial"/>
          <w:sz w:val="20"/>
          <w:szCs w:val="22"/>
          <w:highlight w:val="yellow"/>
        </w:rPr>
        <w:t xml:space="preserve"> (2025). Actinomycetota isolated from the sponge </w:t>
      </w:r>
      <w:r w:rsidRPr="004F6E44">
        <w:rPr>
          <w:rFonts w:ascii="Arial" w:hAnsi="Arial" w:cs="Arial"/>
          <w:i/>
          <w:iCs/>
          <w:sz w:val="20"/>
          <w:szCs w:val="22"/>
          <w:highlight w:val="yellow"/>
        </w:rPr>
        <w:t>Hymeniacidon perlevis</w:t>
      </w:r>
      <w:r w:rsidRPr="004F6E44">
        <w:rPr>
          <w:rFonts w:ascii="Arial" w:hAnsi="Arial" w:cs="Arial"/>
          <w:sz w:val="20"/>
          <w:szCs w:val="22"/>
          <w:highlight w:val="yellow"/>
        </w:rPr>
        <w:t xml:space="preserve"> as a source of novel compounds with pharmacological applications: diversity, bioactivity screening, and metabolomic analysis. </w:t>
      </w:r>
      <w:r w:rsidRPr="004F6E44">
        <w:rPr>
          <w:rFonts w:ascii="Arial" w:hAnsi="Arial" w:cs="Arial"/>
          <w:i/>
          <w:iCs/>
          <w:sz w:val="20"/>
          <w:szCs w:val="22"/>
          <w:highlight w:val="yellow"/>
        </w:rPr>
        <w:t>Journal of Applied Microbiology</w:t>
      </w:r>
      <w:r w:rsidRPr="004F6E44">
        <w:rPr>
          <w:rFonts w:ascii="Arial" w:hAnsi="Arial" w:cs="Arial"/>
          <w:sz w:val="20"/>
          <w:szCs w:val="22"/>
          <w:highlight w:val="yellow"/>
        </w:rPr>
        <w:t>, </w:t>
      </w:r>
      <w:r w:rsidRPr="004F6E44">
        <w:rPr>
          <w:rFonts w:ascii="Arial" w:hAnsi="Arial" w:cs="Arial"/>
          <w:i/>
          <w:iCs/>
          <w:sz w:val="20"/>
          <w:szCs w:val="22"/>
          <w:highlight w:val="yellow"/>
        </w:rPr>
        <w:t>136</w:t>
      </w:r>
      <w:r w:rsidRPr="004F6E44">
        <w:rPr>
          <w:rFonts w:ascii="Arial" w:hAnsi="Arial" w:cs="Arial"/>
          <w:sz w:val="20"/>
          <w:szCs w:val="22"/>
          <w:highlight w:val="yellow"/>
        </w:rPr>
        <w:t>(3), lxaf044.</w:t>
      </w:r>
      <w:r w:rsidR="004F6E44" w:rsidRPr="004F6E44">
        <w:rPr>
          <w:highlight w:val="yellow"/>
        </w:rPr>
        <w:t xml:space="preserve"> </w:t>
      </w:r>
      <w:hyperlink r:id="rId39" w:history="1">
        <w:r w:rsidR="004F6E44" w:rsidRPr="004F6E44">
          <w:rPr>
            <w:rStyle w:val="Hyperlink"/>
            <w:rFonts w:ascii="Arial" w:hAnsi="Arial" w:cs="Arial"/>
            <w:sz w:val="20"/>
            <w:szCs w:val="22"/>
            <w:highlight w:val="yellow"/>
          </w:rPr>
          <w:t>https://doi.org/10.1093/jambio/lxaf044</w:t>
        </w:r>
      </w:hyperlink>
      <w:r w:rsidR="004F6E44" w:rsidRPr="004F6E44">
        <w:rPr>
          <w:rFonts w:ascii="Arial" w:hAnsi="Arial" w:cs="Arial"/>
          <w:sz w:val="20"/>
          <w:szCs w:val="22"/>
          <w:highlight w:val="yellow"/>
        </w:rPr>
        <w:t xml:space="preserve"> </w:t>
      </w:r>
    </w:p>
    <w:p w14:paraId="38689E1D" w14:textId="1D481D84"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lastRenderedPageBreak/>
        <w:t>Goodfellow, M. (1971). Numerical taxonomy of some nocardioform bacteria. </w:t>
      </w:r>
      <w:r w:rsidRPr="00B14923">
        <w:rPr>
          <w:rFonts w:ascii="Arial" w:hAnsi="Arial" w:cs="Arial"/>
          <w:i/>
          <w:iCs/>
          <w:sz w:val="20"/>
          <w:szCs w:val="22"/>
        </w:rPr>
        <w:t>Microbiology</w:t>
      </w:r>
      <w:r w:rsidRPr="00B14923">
        <w:rPr>
          <w:rFonts w:ascii="Arial" w:hAnsi="Arial" w:cs="Arial"/>
          <w:sz w:val="20"/>
          <w:szCs w:val="22"/>
        </w:rPr>
        <w:t>, </w:t>
      </w:r>
      <w:r w:rsidRPr="00B14923">
        <w:rPr>
          <w:rFonts w:ascii="Arial" w:hAnsi="Arial" w:cs="Arial"/>
          <w:i/>
          <w:iCs/>
          <w:sz w:val="20"/>
          <w:szCs w:val="22"/>
        </w:rPr>
        <w:t>69</w:t>
      </w:r>
      <w:r w:rsidRPr="00B14923">
        <w:rPr>
          <w:rFonts w:ascii="Arial" w:hAnsi="Arial" w:cs="Arial"/>
          <w:sz w:val="20"/>
          <w:szCs w:val="22"/>
        </w:rPr>
        <w:t>(1), 33-80.</w:t>
      </w:r>
      <w:r w:rsidR="005E5C12">
        <w:rPr>
          <w:rFonts w:ascii="Arial" w:hAnsi="Arial" w:cs="Arial"/>
          <w:sz w:val="20"/>
          <w:szCs w:val="22"/>
        </w:rPr>
        <w:t xml:space="preserve"> </w:t>
      </w:r>
      <w:hyperlink r:id="rId40" w:history="1">
        <w:r w:rsidR="005E5C12" w:rsidRPr="006D0DA8">
          <w:rPr>
            <w:rStyle w:val="Hyperlink"/>
            <w:rFonts w:ascii="Arial" w:hAnsi="Arial" w:cs="Arial"/>
            <w:sz w:val="20"/>
            <w:szCs w:val="22"/>
          </w:rPr>
          <w:t>https://doi.org/10.1099/00221287-69-1-33</w:t>
        </w:r>
      </w:hyperlink>
      <w:r w:rsidR="005E5C12">
        <w:rPr>
          <w:rFonts w:ascii="Arial" w:hAnsi="Arial" w:cs="Arial"/>
          <w:sz w:val="20"/>
          <w:szCs w:val="22"/>
        </w:rPr>
        <w:t xml:space="preserve"> </w:t>
      </w:r>
    </w:p>
    <w:p w14:paraId="6B5D9CCE" w14:textId="64C4A14C" w:rsidR="00B24FA2"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Goodfellow, M., &amp; Fiedler, H. P. (2010). A guide to successful bioprospecting: informed by actinobacterial systematics. </w:t>
      </w:r>
      <w:r w:rsidRPr="00B14923">
        <w:rPr>
          <w:rFonts w:ascii="Arial" w:hAnsi="Arial" w:cs="Arial"/>
          <w:i/>
          <w:iCs/>
          <w:sz w:val="20"/>
          <w:szCs w:val="22"/>
        </w:rPr>
        <w:t>Antonie Van Leeuwenhoek</w:t>
      </w:r>
      <w:r w:rsidRPr="00B14923">
        <w:rPr>
          <w:rFonts w:ascii="Arial" w:hAnsi="Arial" w:cs="Arial"/>
          <w:sz w:val="20"/>
          <w:szCs w:val="22"/>
        </w:rPr>
        <w:t>, 98(2), 119-142.</w:t>
      </w:r>
      <w:r w:rsidR="005E5C12">
        <w:rPr>
          <w:rFonts w:ascii="Arial" w:hAnsi="Arial" w:cs="Arial"/>
          <w:sz w:val="20"/>
          <w:szCs w:val="22"/>
        </w:rPr>
        <w:t xml:space="preserve"> </w:t>
      </w:r>
      <w:hyperlink r:id="rId41" w:history="1">
        <w:r w:rsidR="005E5C12" w:rsidRPr="006D0DA8">
          <w:rPr>
            <w:rStyle w:val="Hyperlink"/>
            <w:rFonts w:ascii="Arial" w:hAnsi="Arial" w:cs="Arial"/>
            <w:sz w:val="20"/>
            <w:szCs w:val="22"/>
          </w:rPr>
          <w:t>https://doi.org/10.1007/s10482-010-9460-2</w:t>
        </w:r>
      </w:hyperlink>
      <w:r w:rsidR="005E5C12">
        <w:rPr>
          <w:rFonts w:ascii="Arial" w:hAnsi="Arial" w:cs="Arial"/>
          <w:sz w:val="20"/>
          <w:szCs w:val="22"/>
        </w:rPr>
        <w:t xml:space="preserve"> </w:t>
      </w:r>
    </w:p>
    <w:p w14:paraId="661CEA91" w14:textId="09ED14B7" w:rsidR="00B24FA2" w:rsidRPr="00B24FA2" w:rsidRDefault="00B24FA2" w:rsidP="00C044B8">
      <w:pPr>
        <w:pStyle w:val="ListParagraph"/>
        <w:numPr>
          <w:ilvl w:val="0"/>
          <w:numId w:val="2"/>
        </w:numPr>
        <w:spacing w:line="360" w:lineRule="auto"/>
        <w:ind w:left="360"/>
        <w:jc w:val="both"/>
        <w:rPr>
          <w:rFonts w:ascii="Arial" w:hAnsi="Arial" w:cs="Arial"/>
          <w:sz w:val="20"/>
          <w:szCs w:val="22"/>
          <w:highlight w:val="yellow"/>
        </w:rPr>
      </w:pPr>
      <w:r w:rsidRPr="00B24FA2">
        <w:rPr>
          <w:rFonts w:ascii="Arial" w:hAnsi="Arial" w:cs="Arial"/>
          <w:sz w:val="20"/>
          <w:szCs w:val="22"/>
          <w:highlight w:val="yellow"/>
        </w:rPr>
        <w:t>Govindan, R., Gnanasekaran, C., Govindan, R., Muthuchamy, M., Quero, F., Jothi, A.,</w:t>
      </w:r>
      <w:r w:rsidR="00C044B8">
        <w:rPr>
          <w:rFonts w:ascii="Arial" w:hAnsi="Arial" w:cs="Arial"/>
          <w:sz w:val="20"/>
          <w:szCs w:val="22"/>
          <w:highlight w:val="yellow"/>
        </w:rPr>
        <w:t xml:space="preserve"> </w:t>
      </w:r>
      <w:r w:rsidR="00C044B8" w:rsidRPr="00C044B8">
        <w:rPr>
          <w:rFonts w:ascii="Arial" w:hAnsi="Arial" w:cs="Arial"/>
          <w:i/>
          <w:iCs/>
          <w:sz w:val="20"/>
          <w:szCs w:val="22"/>
          <w:highlight w:val="yellow"/>
        </w:rPr>
        <w:t>et al.,</w:t>
      </w:r>
      <w:r w:rsidRPr="00B24FA2">
        <w:rPr>
          <w:rFonts w:ascii="Arial" w:hAnsi="Arial" w:cs="Arial"/>
          <w:sz w:val="20"/>
          <w:szCs w:val="22"/>
          <w:highlight w:val="yellow"/>
        </w:rPr>
        <w:t xml:space="preserve"> (2024). Anti-quorum Sensing and Anti-biofilm Effect of </w:t>
      </w:r>
      <w:r w:rsidRPr="00B24FA2">
        <w:rPr>
          <w:rFonts w:ascii="Arial" w:hAnsi="Arial" w:cs="Arial"/>
          <w:i/>
          <w:iCs/>
          <w:sz w:val="20"/>
          <w:szCs w:val="22"/>
          <w:highlight w:val="yellow"/>
        </w:rPr>
        <w:t>Nocardiopsis synnemataformans</w:t>
      </w:r>
      <w:r w:rsidRPr="00B24FA2">
        <w:rPr>
          <w:rFonts w:ascii="Arial" w:hAnsi="Arial" w:cs="Arial"/>
          <w:sz w:val="20"/>
          <w:szCs w:val="22"/>
          <w:highlight w:val="yellow"/>
        </w:rPr>
        <w:t xml:space="preserve"> RMN 4 (MN061002) Compound 2, 6-Di-tert-butyl, 1, 4-Benzoquinone Against Biofilm-Producing Bacteria. </w:t>
      </w:r>
      <w:r w:rsidRPr="00B24FA2">
        <w:rPr>
          <w:rFonts w:ascii="Arial" w:hAnsi="Arial" w:cs="Arial"/>
          <w:i/>
          <w:iCs/>
          <w:sz w:val="20"/>
          <w:szCs w:val="22"/>
          <w:highlight w:val="yellow"/>
        </w:rPr>
        <w:t>Applied Biochemistry and Biotechnology</w:t>
      </w:r>
      <w:r w:rsidRPr="00B24FA2">
        <w:rPr>
          <w:rFonts w:ascii="Arial" w:hAnsi="Arial" w:cs="Arial"/>
          <w:sz w:val="20"/>
          <w:szCs w:val="22"/>
          <w:highlight w:val="yellow"/>
        </w:rPr>
        <w:t>, 196(7), 3914-3948.</w:t>
      </w:r>
      <w:r w:rsidRPr="00B24FA2">
        <w:rPr>
          <w:rFonts w:ascii="Arial" w:hAnsi="Arial" w:cs="Arial"/>
          <w:sz w:val="20"/>
          <w:szCs w:val="22"/>
          <w:highlight w:val="yellow"/>
        </w:rPr>
        <w:t xml:space="preserve"> </w:t>
      </w:r>
      <w:hyperlink r:id="rId42" w:history="1">
        <w:r w:rsidRPr="00B24FA2">
          <w:rPr>
            <w:rStyle w:val="Hyperlink"/>
            <w:rFonts w:ascii="Arial" w:hAnsi="Arial" w:cs="Arial"/>
            <w:sz w:val="20"/>
            <w:szCs w:val="22"/>
            <w:highlight w:val="yellow"/>
          </w:rPr>
          <w:t>https://doi.org/10.1007/s12010-023-04738-w</w:t>
        </w:r>
      </w:hyperlink>
      <w:r w:rsidRPr="00B24FA2">
        <w:rPr>
          <w:rFonts w:ascii="Arial" w:hAnsi="Arial" w:cs="Arial"/>
          <w:sz w:val="20"/>
          <w:szCs w:val="22"/>
          <w:highlight w:val="yellow"/>
        </w:rPr>
        <w:t xml:space="preserve"> </w:t>
      </w:r>
    </w:p>
    <w:p w14:paraId="66B2EAFE" w14:textId="2350F074"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Hamedi, J., Mohammadipanah, F., von Jan, M., Pötter, G., Schumann, P., Sproer, C.,</w:t>
      </w:r>
      <w:r w:rsidR="00C044B8">
        <w:rPr>
          <w:rFonts w:ascii="Arial" w:hAnsi="Arial" w:cs="Arial"/>
          <w:sz w:val="20"/>
          <w:szCs w:val="22"/>
        </w:rPr>
        <w:t xml:space="preserve"> </w:t>
      </w:r>
      <w:r w:rsidR="00C044B8" w:rsidRPr="00C044B8">
        <w:rPr>
          <w:rFonts w:ascii="Arial" w:hAnsi="Arial" w:cs="Arial"/>
          <w:i/>
          <w:iCs/>
          <w:sz w:val="20"/>
          <w:szCs w:val="22"/>
        </w:rPr>
        <w:t>et al.,</w:t>
      </w:r>
      <w:r w:rsidRPr="00B14923">
        <w:rPr>
          <w:rFonts w:ascii="Arial" w:hAnsi="Arial" w:cs="Arial"/>
          <w:sz w:val="20"/>
          <w:szCs w:val="22"/>
        </w:rPr>
        <w:t xml:space="preserve"> (2010). </w:t>
      </w:r>
      <w:r w:rsidRPr="00B14923">
        <w:rPr>
          <w:rFonts w:ascii="Arial" w:hAnsi="Arial" w:cs="Arial"/>
          <w:i/>
          <w:iCs/>
          <w:sz w:val="20"/>
          <w:szCs w:val="22"/>
        </w:rPr>
        <w:t>Nocardiopsis</w:t>
      </w:r>
      <w:r w:rsidRPr="00B14923">
        <w:rPr>
          <w:rFonts w:ascii="Arial" w:hAnsi="Arial" w:cs="Arial"/>
          <w:sz w:val="20"/>
          <w:szCs w:val="22"/>
        </w:rPr>
        <w:t xml:space="preserve"> </w:t>
      </w:r>
      <w:r w:rsidRPr="00B14923">
        <w:rPr>
          <w:rFonts w:ascii="Arial" w:hAnsi="Arial" w:cs="Arial"/>
          <w:i/>
          <w:iCs/>
          <w:sz w:val="20"/>
          <w:szCs w:val="22"/>
        </w:rPr>
        <w:t>sinuspersici</w:t>
      </w:r>
      <w:r w:rsidRPr="00B14923">
        <w:rPr>
          <w:rFonts w:ascii="Arial" w:hAnsi="Arial" w:cs="Arial"/>
          <w:sz w:val="20"/>
          <w:szCs w:val="22"/>
        </w:rPr>
        <w:t xml:space="preserve"> sp. nov., isolated from sandy rhizospheric soil. </w:t>
      </w:r>
      <w:r w:rsidRPr="00B14923">
        <w:rPr>
          <w:rFonts w:ascii="Arial" w:hAnsi="Arial" w:cs="Arial"/>
          <w:i/>
          <w:iCs/>
          <w:sz w:val="20"/>
          <w:szCs w:val="22"/>
        </w:rPr>
        <w:t>International journal of systematic and evolutionary microbiology</w:t>
      </w:r>
      <w:r w:rsidRPr="00B14923">
        <w:rPr>
          <w:rFonts w:ascii="Arial" w:hAnsi="Arial" w:cs="Arial"/>
          <w:sz w:val="20"/>
          <w:szCs w:val="22"/>
        </w:rPr>
        <w:t>, </w:t>
      </w:r>
      <w:r w:rsidRPr="00B14923">
        <w:rPr>
          <w:rFonts w:ascii="Arial" w:hAnsi="Arial" w:cs="Arial"/>
          <w:i/>
          <w:iCs/>
          <w:sz w:val="20"/>
          <w:szCs w:val="22"/>
        </w:rPr>
        <w:t>60</w:t>
      </w:r>
      <w:r w:rsidRPr="00B14923">
        <w:rPr>
          <w:rFonts w:ascii="Arial" w:hAnsi="Arial" w:cs="Arial"/>
          <w:sz w:val="20"/>
          <w:szCs w:val="22"/>
        </w:rPr>
        <w:t>(10), 2346-2352.</w:t>
      </w:r>
      <w:r w:rsidR="005E5C12">
        <w:rPr>
          <w:rFonts w:ascii="Arial" w:hAnsi="Arial" w:cs="Arial"/>
          <w:sz w:val="20"/>
          <w:szCs w:val="22"/>
        </w:rPr>
        <w:t xml:space="preserve"> </w:t>
      </w:r>
      <w:hyperlink r:id="rId43" w:history="1">
        <w:r w:rsidR="005E5C12" w:rsidRPr="006D0DA8">
          <w:rPr>
            <w:rStyle w:val="Hyperlink"/>
            <w:rFonts w:ascii="Arial" w:hAnsi="Arial" w:cs="Arial"/>
            <w:sz w:val="20"/>
            <w:szCs w:val="22"/>
          </w:rPr>
          <w:t>https://doi.org/10.1099/ijs.0.018366-0</w:t>
        </w:r>
      </w:hyperlink>
      <w:r w:rsidR="005E5C12">
        <w:rPr>
          <w:rFonts w:ascii="Arial" w:hAnsi="Arial" w:cs="Arial"/>
          <w:sz w:val="20"/>
          <w:szCs w:val="22"/>
        </w:rPr>
        <w:t xml:space="preserve"> </w:t>
      </w:r>
    </w:p>
    <w:p w14:paraId="339B0912" w14:textId="54A0711B" w:rsidR="0070043E" w:rsidRDefault="00B14923" w:rsidP="0070043E">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Hayakawa, M., &amp; Nonomura, H. (1987). Humic acid-vitamin agar, a new medium for the selective isolation of soil actinomycetes. </w:t>
      </w:r>
      <w:r w:rsidRPr="00B14923">
        <w:rPr>
          <w:rFonts w:ascii="Arial" w:hAnsi="Arial" w:cs="Arial"/>
          <w:i/>
          <w:iCs/>
          <w:sz w:val="20"/>
          <w:szCs w:val="22"/>
        </w:rPr>
        <w:t>Journal of Fermentation Technology</w:t>
      </w:r>
      <w:r w:rsidRPr="00B14923">
        <w:rPr>
          <w:rFonts w:ascii="Arial" w:hAnsi="Arial" w:cs="Arial"/>
          <w:sz w:val="20"/>
          <w:szCs w:val="22"/>
        </w:rPr>
        <w:t>, </w:t>
      </w:r>
      <w:r w:rsidRPr="00B14923">
        <w:rPr>
          <w:rFonts w:ascii="Arial" w:hAnsi="Arial" w:cs="Arial"/>
          <w:i/>
          <w:iCs/>
          <w:sz w:val="20"/>
          <w:szCs w:val="22"/>
        </w:rPr>
        <w:t>65</w:t>
      </w:r>
      <w:r w:rsidRPr="00B14923">
        <w:rPr>
          <w:rFonts w:ascii="Arial" w:hAnsi="Arial" w:cs="Arial"/>
          <w:sz w:val="20"/>
          <w:szCs w:val="22"/>
        </w:rPr>
        <w:t>(5), 501-509.</w:t>
      </w:r>
      <w:r w:rsidR="005E5C12">
        <w:rPr>
          <w:rFonts w:ascii="Arial" w:hAnsi="Arial" w:cs="Arial"/>
          <w:sz w:val="20"/>
          <w:szCs w:val="22"/>
        </w:rPr>
        <w:t xml:space="preserve"> </w:t>
      </w:r>
      <w:hyperlink r:id="rId44" w:history="1">
        <w:r w:rsidR="005E5C12" w:rsidRPr="006D0DA8">
          <w:rPr>
            <w:rStyle w:val="Hyperlink"/>
            <w:rFonts w:ascii="Arial" w:hAnsi="Arial" w:cs="Arial"/>
            <w:sz w:val="20"/>
            <w:szCs w:val="22"/>
          </w:rPr>
          <w:t>https://doi.org/10.1016/0385-6380(87)90108-7</w:t>
        </w:r>
      </w:hyperlink>
      <w:r w:rsidR="005E5C12">
        <w:rPr>
          <w:rFonts w:ascii="Arial" w:hAnsi="Arial" w:cs="Arial"/>
          <w:sz w:val="20"/>
          <w:szCs w:val="22"/>
        </w:rPr>
        <w:t xml:space="preserve"> </w:t>
      </w:r>
    </w:p>
    <w:p w14:paraId="2631018A" w14:textId="655ED2A8" w:rsidR="0070043E" w:rsidRPr="0070043E" w:rsidRDefault="0070043E" w:rsidP="0070043E">
      <w:pPr>
        <w:pStyle w:val="ListParagraph"/>
        <w:numPr>
          <w:ilvl w:val="0"/>
          <w:numId w:val="2"/>
        </w:numPr>
        <w:spacing w:line="360" w:lineRule="auto"/>
        <w:ind w:left="360"/>
        <w:jc w:val="both"/>
        <w:rPr>
          <w:rFonts w:ascii="Arial" w:hAnsi="Arial" w:cs="Arial"/>
          <w:sz w:val="20"/>
          <w:szCs w:val="22"/>
          <w:highlight w:val="yellow"/>
        </w:rPr>
      </w:pPr>
      <w:r w:rsidRPr="0070043E">
        <w:rPr>
          <w:rFonts w:ascii="Arial" w:hAnsi="Arial" w:cs="Arial"/>
          <w:sz w:val="20"/>
          <w:szCs w:val="22"/>
          <w:highlight w:val="yellow"/>
        </w:rPr>
        <w:t xml:space="preserve">Hegazy, G. E., Olama, Z. A., Abou-Elela, G. M., Ramadan, H. S., Ibrahim, W. M., &amp; El Badan, D. E. S. (2023). Biodiversity and biological applications of marine actinomycetes—Abu-Qir bay, mediterranean sea, Egypt. </w:t>
      </w:r>
      <w:r w:rsidRPr="0070043E">
        <w:rPr>
          <w:rFonts w:ascii="Arial" w:hAnsi="Arial" w:cs="Arial"/>
          <w:i/>
          <w:iCs/>
          <w:sz w:val="20"/>
          <w:szCs w:val="22"/>
          <w:highlight w:val="yellow"/>
        </w:rPr>
        <w:t>Journal of Genetic Engineering and Biotechnology</w:t>
      </w:r>
      <w:r w:rsidRPr="0070043E">
        <w:rPr>
          <w:rFonts w:ascii="Arial" w:hAnsi="Arial" w:cs="Arial"/>
          <w:sz w:val="20"/>
          <w:szCs w:val="22"/>
          <w:highlight w:val="yellow"/>
        </w:rPr>
        <w:t>, 21(1), 150.</w:t>
      </w:r>
      <w:r w:rsidRPr="0070043E">
        <w:rPr>
          <w:rFonts w:ascii="Arial" w:hAnsi="Arial" w:cs="Arial"/>
          <w:sz w:val="20"/>
          <w:szCs w:val="22"/>
          <w:highlight w:val="yellow"/>
        </w:rPr>
        <w:t xml:space="preserve"> </w:t>
      </w:r>
      <w:hyperlink r:id="rId45" w:history="1">
        <w:r w:rsidRPr="0070043E">
          <w:rPr>
            <w:rStyle w:val="Hyperlink"/>
            <w:rFonts w:ascii="Arial" w:hAnsi="Arial" w:cs="Arial"/>
            <w:sz w:val="20"/>
            <w:szCs w:val="22"/>
            <w:highlight w:val="yellow"/>
          </w:rPr>
          <w:t>https://doi.org/10.1186/s43141-023-00612-8</w:t>
        </w:r>
      </w:hyperlink>
      <w:r w:rsidRPr="0070043E">
        <w:rPr>
          <w:rFonts w:ascii="Arial" w:hAnsi="Arial" w:cs="Arial"/>
          <w:sz w:val="20"/>
          <w:szCs w:val="22"/>
          <w:highlight w:val="yellow"/>
        </w:rPr>
        <w:t xml:space="preserve"> </w:t>
      </w:r>
    </w:p>
    <w:p w14:paraId="5E8CF7E8" w14:textId="315F3B61"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Hirsch, C. F., &amp; Christensen, D. L. (1983). Novel method for selective isolation of actinomycetes. </w:t>
      </w:r>
      <w:r w:rsidRPr="00B14923">
        <w:rPr>
          <w:rFonts w:ascii="Arial" w:hAnsi="Arial" w:cs="Arial"/>
          <w:i/>
          <w:iCs/>
          <w:sz w:val="20"/>
          <w:szCs w:val="22"/>
        </w:rPr>
        <w:t>Applied and environmental microbiology</w:t>
      </w:r>
      <w:r w:rsidRPr="00B14923">
        <w:rPr>
          <w:rFonts w:ascii="Arial" w:hAnsi="Arial" w:cs="Arial"/>
          <w:sz w:val="20"/>
          <w:szCs w:val="22"/>
        </w:rPr>
        <w:t>, </w:t>
      </w:r>
      <w:r w:rsidRPr="00B14923">
        <w:rPr>
          <w:rFonts w:ascii="Arial" w:hAnsi="Arial" w:cs="Arial"/>
          <w:i/>
          <w:iCs/>
          <w:sz w:val="20"/>
          <w:szCs w:val="22"/>
        </w:rPr>
        <w:t>46</w:t>
      </w:r>
      <w:r w:rsidRPr="00B14923">
        <w:rPr>
          <w:rFonts w:ascii="Arial" w:hAnsi="Arial" w:cs="Arial"/>
          <w:sz w:val="20"/>
          <w:szCs w:val="22"/>
        </w:rPr>
        <w:t>(4), 925-929.</w:t>
      </w:r>
      <w:r w:rsidR="005E5C12">
        <w:rPr>
          <w:rFonts w:ascii="Arial" w:hAnsi="Arial" w:cs="Arial"/>
          <w:sz w:val="20"/>
          <w:szCs w:val="22"/>
        </w:rPr>
        <w:t xml:space="preserve"> </w:t>
      </w:r>
      <w:hyperlink r:id="rId46" w:history="1">
        <w:r w:rsidR="005E5C12" w:rsidRPr="006D0DA8">
          <w:rPr>
            <w:rStyle w:val="Hyperlink"/>
            <w:rFonts w:ascii="Arial" w:hAnsi="Arial" w:cs="Arial"/>
            <w:sz w:val="20"/>
            <w:szCs w:val="22"/>
          </w:rPr>
          <w:t>https://doi.org/10.1128/aem.46.4.925-929.1983</w:t>
        </w:r>
      </w:hyperlink>
      <w:r w:rsidR="005E5C12">
        <w:rPr>
          <w:rFonts w:ascii="Arial" w:hAnsi="Arial" w:cs="Arial"/>
          <w:sz w:val="20"/>
          <w:szCs w:val="22"/>
        </w:rPr>
        <w:t xml:space="preserve"> </w:t>
      </w:r>
    </w:p>
    <w:p w14:paraId="610F6D80" w14:textId="0E9E83B4" w:rsid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Jagannathan, S. V., Manemann, E. M., Rowe, S. E., Callender, M. C., &amp; Soto, W. (2021). Marine actinomycetes, new sources of biotechnological products. </w:t>
      </w:r>
      <w:r w:rsidRPr="00B14923">
        <w:rPr>
          <w:rFonts w:ascii="Arial" w:hAnsi="Arial" w:cs="Arial"/>
          <w:i/>
          <w:iCs/>
          <w:sz w:val="20"/>
          <w:szCs w:val="22"/>
        </w:rPr>
        <w:t>Marine Drugs</w:t>
      </w:r>
      <w:r w:rsidRPr="00B14923">
        <w:rPr>
          <w:rFonts w:ascii="Arial" w:hAnsi="Arial" w:cs="Arial"/>
          <w:sz w:val="20"/>
          <w:szCs w:val="22"/>
        </w:rPr>
        <w:t>, </w:t>
      </w:r>
      <w:r w:rsidRPr="00B14923">
        <w:rPr>
          <w:rFonts w:ascii="Arial" w:hAnsi="Arial" w:cs="Arial"/>
          <w:i/>
          <w:iCs/>
          <w:sz w:val="20"/>
          <w:szCs w:val="22"/>
        </w:rPr>
        <w:t>19</w:t>
      </w:r>
      <w:r w:rsidRPr="00B14923">
        <w:rPr>
          <w:rFonts w:ascii="Arial" w:hAnsi="Arial" w:cs="Arial"/>
          <w:sz w:val="20"/>
          <w:szCs w:val="22"/>
        </w:rPr>
        <w:t>(7), 365.</w:t>
      </w:r>
      <w:r w:rsidR="005E5C12">
        <w:rPr>
          <w:rFonts w:ascii="Arial" w:hAnsi="Arial" w:cs="Arial"/>
          <w:sz w:val="20"/>
          <w:szCs w:val="22"/>
        </w:rPr>
        <w:t xml:space="preserve"> </w:t>
      </w:r>
      <w:hyperlink r:id="rId47" w:history="1">
        <w:r w:rsidR="005E5C12" w:rsidRPr="006D0DA8">
          <w:rPr>
            <w:rStyle w:val="Hyperlink"/>
            <w:rFonts w:ascii="Arial" w:hAnsi="Arial" w:cs="Arial"/>
            <w:sz w:val="20"/>
            <w:szCs w:val="22"/>
          </w:rPr>
          <w:t>https://doi.org/10.3390/md19070365</w:t>
        </w:r>
      </w:hyperlink>
      <w:r w:rsidR="005E5C12">
        <w:rPr>
          <w:rFonts w:ascii="Arial" w:hAnsi="Arial" w:cs="Arial"/>
          <w:sz w:val="20"/>
          <w:szCs w:val="22"/>
        </w:rPr>
        <w:t xml:space="preserve"> </w:t>
      </w:r>
    </w:p>
    <w:p w14:paraId="2479DF25" w14:textId="7D735157" w:rsidR="00462AB5" w:rsidRPr="00462AB5" w:rsidRDefault="00462AB5" w:rsidP="00C044B8">
      <w:pPr>
        <w:pStyle w:val="ListParagraph"/>
        <w:numPr>
          <w:ilvl w:val="0"/>
          <w:numId w:val="2"/>
        </w:numPr>
        <w:spacing w:line="360" w:lineRule="auto"/>
        <w:ind w:left="360"/>
        <w:jc w:val="both"/>
        <w:rPr>
          <w:rFonts w:ascii="Arial" w:hAnsi="Arial" w:cs="Arial"/>
          <w:sz w:val="20"/>
          <w:szCs w:val="22"/>
          <w:highlight w:val="yellow"/>
        </w:rPr>
      </w:pPr>
      <w:bookmarkStart w:id="2" w:name="_Hlk211380688"/>
      <w:r w:rsidRPr="00462AB5">
        <w:rPr>
          <w:rFonts w:ascii="Arial" w:hAnsi="Arial" w:cs="Arial"/>
          <w:sz w:val="20"/>
          <w:szCs w:val="22"/>
          <w:highlight w:val="yellow"/>
        </w:rPr>
        <w:t>Kanchanasin</w:t>
      </w:r>
      <w:bookmarkEnd w:id="2"/>
      <w:r w:rsidRPr="00462AB5">
        <w:rPr>
          <w:rFonts w:ascii="Arial" w:hAnsi="Arial" w:cs="Arial"/>
          <w:sz w:val="20"/>
          <w:szCs w:val="22"/>
          <w:highlight w:val="yellow"/>
        </w:rPr>
        <w:t xml:space="preserve">, P., Salahong, T., Sripreechasak, P., Suriyachadkun, C., Harunari, E., Igarashi, Y., </w:t>
      </w:r>
      <w:r w:rsidR="00C044B8" w:rsidRPr="00C044B8">
        <w:rPr>
          <w:rFonts w:ascii="Arial" w:hAnsi="Arial" w:cs="Arial"/>
          <w:i/>
          <w:iCs/>
          <w:sz w:val="20"/>
          <w:szCs w:val="22"/>
          <w:highlight w:val="yellow"/>
        </w:rPr>
        <w:t>et al.,</w:t>
      </w:r>
      <w:r w:rsidRPr="00462AB5">
        <w:rPr>
          <w:rFonts w:ascii="Arial" w:hAnsi="Arial" w:cs="Arial"/>
          <w:sz w:val="20"/>
          <w:szCs w:val="22"/>
          <w:highlight w:val="yellow"/>
        </w:rPr>
        <w:t xml:space="preserve"> (2024). Discovery of two new actinobacteria, </w:t>
      </w:r>
      <w:bookmarkStart w:id="3" w:name="_Hlk211380447"/>
      <w:r w:rsidRPr="00462AB5">
        <w:rPr>
          <w:rFonts w:ascii="Arial" w:hAnsi="Arial" w:cs="Arial"/>
          <w:i/>
          <w:iCs/>
          <w:sz w:val="20"/>
          <w:szCs w:val="22"/>
          <w:highlight w:val="yellow"/>
        </w:rPr>
        <w:t>Micromonospora palythoicola</w:t>
      </w:r>
      <w:r w:rsidRPr="00462AB5">
        <w:rPr>
          <w:rFonts w:ascii="Arial" w:hAnsi="Arial" w:cs="Arial"/>
          <w:sz w:val="20"/>
          <w:szCs w:val="22"/>
          <w:highlight w:val="yellow"/>
        </w:rPr>
        <w:t xml:space="preserve"> </w:t>
      </w:r>
      <w:bookmarkEnd w:id="3"/>
      <w:r w:rsidRPr="00462AB5">
        <w:rPr>
          <w:rFonts w:ascii="Arial" w:hAnsi="Arial" w:cs="Arial"/>
          <w:sz w:val="20"/>
          <w:szCs w:val="22"/>
          <w:highlight w:val="yellow"/>
        </w:rPr>
        <w:t xml:space="preserve">sp. nov. and </w:t>
      </w:r>
      <w:r w:rsidRPr="00462AB5">
        <w:rPr>
          <w:rFonts w:ascii="Arial" w:hAnsi="Arial" w:cs="Arial"/>
          <w:i/>
          <w:iCs/>
          <w:sz w:val="20"/>
          <w:szCs w:val="22"/>
          <w:highlight w:val="yellow"/>
        </w:rPr>
        <w:t>Streptomyces poriticola</w:t>
      </w:r>
      <w:r w:rsidRPr="00462AB5">
        <w:rPr>
          <w:rFonts w:ascii="Arial" w:hAnsi="Arial" w:cs="Arial"/>
          <w:sz w:val="20"/>
          <w:szCs w:val="22"/>
          <w:highlight w:val="yellow"/>
        </w:rPr>
        <w:t xml:space="preserve"> sp. nov., isolated from marine invertebrates. Scientific Reports, 14(1), 22140.</w:t>
      </w:r>
      <w:r w:rsidRPr="00462AB5">
        <w:rPr>
          <w:rFonts w:ascii="Segoe UI" w:eastAsia="Times New Roman" w:hAnsi="Segoe UI" w:cs="Segoe UI"/>
          <w:color w:val="222222"/>
          <w:kern w:val="0"/>
          <w:sz w:val="27"/>
          <w:szCs w:val="27"/>
          <w:highlight w:val="yellow"/>
          <w:lang w:bidi="ar-SA"/>
          <w14:ligatures w14:val="none"/>
        </w:rPr>
        <w:t xml:space="preserve"> </w:t>
      </w:r>
      <w:hyperlink r:id="rId48" w:history="1">
        <w:r w:rsidRPr="00462AB5">
          <w:rPr>
            <w:rStyle w:val="Hyperlink"/>
            <w:rFonts w:ascii="Arial" w:hAnsi="Arial" w:cs="Arial"/>
            <w:sz w:val="20"/>
            <w:szCs w:val="22"/>
            <w:highlight w:val="yellow"/>
          </w:rPr>
          <w:t>https://doi.org/10.1038/s41598-024-73040-4</w:t>
        </w:r>
      </w:hyperlink>
      <w:r w:rsidRPr="00462AB5">
        <w:rPr>
          <w:rFonts w:ascii="Arial" w:hAnsi="Arial" w:cs="Arial"/>
          <w:sz w:val="20"/>
          <w:szCs w:val="22"/>
          <w:highlight w:val="yellow"/>
        </w:rPr>
        <w:t xml:space="preserve"> </w:t>
      </w:r>
    </w:p>
    <w:p w14:paraId="27E8A8C2" w14:textId="09CE5DC6"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Lingappa, Y., &amp; Lockwood, J. L. (1961). A chitin medium for isolation, growth and maintenance of actinomycetes. </w:t>
      </w:r>
      <w:r w:rsidRPr="00B14923">
        <w:rPr>
          <w:rFonts w:ascii="Arial" w:hAnsi="Arial" w:cs="Arial"/>
          <w:i/>
          <w:iCs/>
          <w:sz w:val="20"/>
          <w:szCs w:val="22"/>
        </w:rPr>
        <w:t>Nature</w:t>
      </w:r>
      <w:r w:rsidRPr="00B14923">
        <w:rPr>
          <w:rFonts w:ascii="Arial" w:hAnsi="Arial" w:cs="Arial"/>
          <w:sz w:val="20"/>
          <w:szCs w:val="22"/>
        </w:rPr>
        <w:t>, </w:t>
      </w:r>
      <w:r w:rsidRPr="00B14923">
        <w:rPr>
          <w:rFonts w:ascii="Arial" w:hAnsi="Arial" w:cs="Arial"/>
          <w:i/>
          <w:iCs/>
          <w:sz w:val="20"/>
          <w:szCs w:val="22"/>
        </w:rPr>
        <w:t>189</w:t>
      </w:r>
      <w:r w:rsidRPr="00B14923">
        <w:rPr>
          <w:rFonts w:ascii="Arial" w:hAnsi="Arial" w:cs="Arial"/>
          <w:sz w:val="20"/>
          <w:szCs w:val="22"/>
        </w:rPr>
        <w:t>(4759), 158-159.</w:t>
      </w:r>
      <w:r w:rsidR="005E5C12">
        <w:rPr>
          <w:rFonts w:ascii="Arial" w:hAnsi="Arial" w:cs="Arial"/>
          <w:sz w:val="20"/>
          <w:szCs w:val="22"/>
        </w:rPr>
        <w:t xml:space="preserve"> </w:t>
      </w:r>
      <w:hyperlink r:id="rId49" w:history="1">
        <w:r w:rsidR="005E5C12" w:rsidRPr="006D0DA8">
          <w:rPr>
            <w:rStyle w:val="Hyperlink"/>
            <w:rFonts w:ascii="Arial" w:hAnsi="Arial" w:cs="Arial"/>
            <w:sz w:val="20"/>
            <w:szCs w:val="22"/>
          </w:rPr>
          <w:t>https://doi.org/10.1038/189158a0</w:t>
        </w:r>
      </w:hyperlink>
      <w:r w:rsidR="005E5C12">
        <w:rPr>
          <w:rFonts w:ascii="Arial" w:hAnsi="Arial" w:cs="Arial"/>
          <w:sz w:val="20"/>
          <w:szCs w:val="22"/>
        </w:rPr>
        <w:t xml:space="preserve"> </w:t>
      </w:r>
    </w:p>
    <w:p w14:paraId="239EEB7A" w14:textId="4C1CC4F6"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Manivasagan, P., Venkatesan, J., Sivakumar, K., &amp; Kim, S. K. (2014). Pharmaceutically active secondary metabolites of marine actinobacteria. </w:t>
      </w:r>
      <w:r w:rsidRPr="00B14923">
        <w:rPr>
          <w:rFonts w:ascii="Arial" w:hAnsi="Arial" w:cs="Arial"/>
          <w:i/>
          <w:iCs/>
          <w:sz w:val="20"/>
          <w:szCs w:val="22"/>
        </w:rPr>
        <w:t>Microbiological research</w:t>
      </w:r>
      <w:r w:rsidRPr="00B14923">
        <w:rPr>
          <w:rFonts w:ascii="Arial" w:hAnsi="Arial" w:cs="Arial"/>
          <w:sz w:val="20"/>
          <w:szCs w:val="22"/>
        </w:rPr>
        <w:t>, </w:t>
      </w:r>
      <w:r w:rsidRPr="00B14923">
        <w:rPr>
          <w:rFonts w:ascii="Arial" w:hAnsi="Arial" w:cs="Arial"/>
          <w:i/>
          <w:iCs/>
          <w:sz w:val="20"/>
          <w:szCs w:val="22"/>
        </w:rPr>
        <w:t>169</w:t>
      </w:r>
      <w:r w:rsidRPr="00B14923">
        <w:rPr>
          <w:rFonts w:ascii="Arial" w:hAnsi="Arial" w:cs="Arial"/>
          <w:sz w:val="20"/>
          <w:szCs w:val="22"/>
        </w:rPr>
        <w:t>(4), 262-278.</w:t>
      </w:r>
      <w:r w:rsidR="005E5C12">
        <w:rPr>
          <w:rFonts w:ascii="Arial" w:hAnsi="Arial" w:cs="Arial"/>
          <w:sz w:val="20"/>
          <w:szCs w:val="22"/>
        </w:rPr>
        <w:t xml:space="preserve"> </w:t>
      </w:r>
      <w:hyperlink r:id="rId50" w:history="1">
        <w:r w:rsidR="005E5C12" w:rsidRPr="006D0DA8">
          <w:rPr>
            <w:rStyle w:val="Hyperlink"/>
            <w:rFonts w:ascii="Arial" w:hAnsi="Arial" w:cs="Arial"/>
            <w:sz w:val="20"/>
            <w:szCs w:val="22"/>
          </w:rPr>
          <w:t>https://doi.org/10.1016/j.micres.2013.07.014</w:t>
        </w:r>
      </w:hyperlink>
      <w:r w:rsidR="005E5C12">
        <w:rPr>
          <w:rFonts w:ascii="Arial" w:hAnsi="Arial" w:cs="Arial"/>
          <w:sz w:val="20"/>
          <w:szCs w:val="22"/>
        </w:rPr>
        <w:t xml:space="preserve"> </w:t>
      </w:r>
    </w:p>
    <w:p w14:paraId="22BC685C" w14:textId="77777777" w:rsidR="00B14923" w:rsidRDefault="00B14923" w:rsidP="00C044B8">
      <w:pPr>
        <w:pStyle w:val="ListParagraph"/>
        <w:numPr>
          <w:ilvl w:val="0"/>
          <w:numId w:val="2"/>
        </w:numPr>
        <w:spacing w:line="360" w:lineRule="auto"/>
        <w:ind w:left="360"/>
        <w:jc w:val="both"/>
        <w:rPr>
          <w:rFonts w:ascii="Arial" w:hAnsi="Arial" w:cs="Arial"/>
          <w:sz w:val="20"/>
          <w:szCs w:val="22"/>
        </w:rPr>
      </w:pPr>
      <w:bookmarkStart w:id="4" w:name="_Hlk204113413"/>
      <w:r w:rsidRPr="00B14923">
        <w:rPr>
          <w:rFonts w:ascii="Arial" w:hAnsi="Arial" w:cs="Arial"/>
          <w:sz w:val="20"/>
          <w:szCs w:val="22"/>
        </w:rPr>
        <w:t>Mohseni</w:t>
      </w:r>
      <w:bookmarkEnd w:id="4"/>
      <w:r w:rsidRPr="00B14923">
        <w:rPr>
          <w:rFonts w:ascii="Arial" w:hAnsi="Arial" w:cs="Arial"/>
          <w:sz w:val="20"/>
          <w:szCs w:val="22"/>
        </w:rPr>
        <w:t>, M., Norouzi, H., Hamedi, J., &amp; Roohi, A. (2013). Screening of antibacterial producing actinomycetes from sediments of the Caspian Sea. </w:t>
      </w:r>
      <w:r w:rsidRPr="00B14923">
        <w:rPr>
          <w:rFonts w:ascii="Arial" w:hAnsi="Arial" w:cs="Arial"/>
          <w:i/>
          <w:iCs/>
          <w:sz w:val="20"/>
          <w:szCs w:val="22"/>
        </w:rPr>
        <w:t>International journal of molecular and cellular medicine</w:t>
      </w:r>
      <w:r w:rsidRPr="00B14923">
        <w:rPr>
          <w:rFonts w:ascii="Arial" w:hAnsi="Arial" w:cs="Arial"/>
          <w:sz w:val="20"/>
          <w:szCs w:val="22"/>
        </w:rPr>
        <w:t>, </w:t>
      </w:r>
      <w:r w:rsidRPr="00B14923">
        <w:rPr>
          <w:rFonts w:ascii="Arial" w:hAnsi="Arial" w:cs="Arial"/>
          <w:i/>
          <w:iCs/>
          <w:sz w:val="20"/>
          <w:szCs w:val="22"/>
        </w:rPr>
        <w:t>2</w:t>
      </w:r>
      <w:r w:rsidRPr="00B14923">
        <w:rPr>
          <w:rFonts w:ascii="Arial" w:hAnsi="Arial" w:cs="Arial"/>
          <w:sz w:val="20"/>
          <w:szCs w:val="22"/>
        </w:rPr>
        <w:t>(2), 64.</w:t>
      </w:r>
    </w:p>
    <w:p w14:paraId="46044B79" w14:textId="5D20D45C" w:rsidR="007E14EF" w:rsidRPr="007E14EF" w:rsidRDefault="007E14EF" w:rsidP="00C044B8">
      <w:pPr>
        <w:pStyle w:val="ListParagraph"/>
        <w:numPr>
          <w:ilvl w:val="0"/>
          <w:numId w:val="2"/>
        </w:numPr>
        <w:spacing w:line="360" w:lineRule="auto"/>
        <w:ind w:left="360"/>
        <w:jc w:val="both"/>
        <w:rPr>
          <w:rFonts w:ascii="Arial" w:hAnsi="Arial" w:cs="Arial"/>
          <w:sz w:val="20"/>
          <w:szCs w:val="22"/>
          <w:highlight w:val="yellow"/>
        </w:rPr>
      </w:pPr>
      <w:r w:rsidRPr="007E14EF">
        <w:rPr>
          <w:rFonts w:ascii="Arial" w:hAnsi="Arial" w:cs="Arial"/>
          <w:sz w:val="20"/>
          <w:szCs w:val="22"/>
          <w:highlight w:val="yellow"/>
        </w:rPr>
        <w:lastRenderedPageBreak/>
        <w:t xml:space="preserve">Muthukrishnan, P., Mostafa, A. A., Alsamhary, K. I., Abdel-Raouf, N., &amp; Sholkamy, E. N. (2020). Antimicrobial efficacy of </w:t>
      </w:r>
      <w:r w:rsidRPr="007E14EF">
        <w:rPr>
          <w:rFonts w:ascii="Arial" w:hAnsi="Arial" w:cs="Arial"/>
          <w:i/>
          <w:iCs/>
          <w:sz w:val="20"/>
          <w:szCs w:val="22"/>
          <w:highlight w:val="yellow"/>
        </w:rPr>
        <w:t>Nocardiopsis</w:t>
      </w:r>
      <w:r w:rsidRPr="007E14EF">
        <w:rPr>
          <w:rFonts w:ascii="Arial" w:hAnsi="Arial" w:cs="Arial"/>
          <w:sz w:val="20"/>
          <w:szCs w:val="22"/>
          <w:highlight w:val="yellow"/>
        </w:rPr>
        <w:t xml:space="preserve"> sp. MK_MSt033 against selected multidrug resistant clinical microbial pathogens. </w:t>
      </w:r>
      <w:r w:rsidRPr="007E14EF">
        <w:rPr>
          <w:rFonts w:ascii="Arial" w:hAnsi="Arial" w:cs="Arial"/>
          <w:i/>
          <w:iCs/>
          <w:sz w:val="20"/>
          <w:szCs w:val="22"/>
          <w:highlight w:val="yellow"/>
        </w:rPr>
        <w:t>Journal of Infection and Public Health</w:t>
      </w:r>
      <w:r w:rsidRPr="007E14EF">
        <w:rPr>
          <w:rFonts w:ascii="Arial" w:hAnsi="Arial" w:cs="Arial"/>
          <w:sz w:val="20"/>
          <w:szCs w:val="22"/>
          <w:highlight w:val="yellow"/>
        </w:rPr>
        <w:t>, 13(10), 1522-1532.</w:t>
      </w:r>
      <w:r w:rsidRPr="007E14EF">
        <w:rPr>
          <w:highlight w:val="yellow"/>
        </w:rPr>
        <w:t xml:space="preserve"> </w:t>
      </w:r>
      <w:hyperlink r:id="rId51" w:history="1">
        <w:r w:rsidRPr="007E14EF">
          <w:rPr>
            <w:rStyle w:val="Hyperlink"/>
            <w:rFonts w:ascii="Arial" w:hAnsi="Arial" w:cs="Arial"/>
            <w:sz w:val="20"/>
            <w:szCs w:val="22"/>
            <w:highlight w:val="yellow"/>
          </w:rPr>
          <w:t>https://doi.org/10.1016/j.jiph.2020.06.025</w:t>
        </w:r>
      </w:hyperlink>
      <w:r w:rsidRPr="007E14EF">
        <w:rPr>
          <w:rFonts w:ascii="Arial" w:hAnsi="Arial" w:cs="Arial"/>
          <w:sz w:val="20"/>
          <w:szCs w:val="22"/>
          <w:highlight w:val="yellow"/>
        </w:rPr>
        <w:t xml:space="preserve"> </w:t>
      </w:r>
    </w:p>
    <w:p w14:paraId="30FC5E60" w14:textId="0F3CF1D1" w:rsid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Ogawara, H. (2015). Penicillin-binding proteins in Actinobacteria. </w:t>
      </w:r>
      <w:r w:rsidRPr="00B14923">
        <w:rPr>
          <w:rFonts w:ascii="Arial" w:hAnsi="Arial" w:cs="Arial"/>
          <w:i/>
          <w:iCs/>
          <w:sz w:val="20"/>
          <w:szCs w:val="22"/>
        </w:rPr>
        <w:t>The Journal of antibiotics</w:t>
      </w:r>
      <w:r w:rsidRPr="00B14923">
        <w:rPr>
          <w:rFonts w:ascii="Arial" w:hAnsi="Arial" w:cs="Arial"/>
          <w:sz w:val="20"/>
          <w:szCs w:val="22"/>
        </w:rPr>
        <w:t>, </w:t>
      </w:r>
      <w:r w:rsidRPr="00B14923">
        <w:rPr>
          <w:rFonts w:ascii="Arial" w:hAnsi="Arial" w:cs="Arial"/>
          <w:i/>
          <w:iCs/>
          <w:sz w:val="20"/>
          <w:szCs w:val="22"/>
        </w:rPr>
        <w:t>68</w:t>
      </w:r>
      <w:r w:rsidRPr="00B14923">
        <w:rPr>
          <w:rFonts w:ascii="Arial" w:hAnsi="Arial" w:cs="Arial"/>
          <w:sz w:val="20"/>
          <w:szCs w:val="22"/>
        </w:rPr>
        <w:t>(4), 223-245.</w:t>
      </w:r>
      <w:r w:rsidR="00496805">
        <w:rPr>
          <w:rFonts w:ascii="Arial" w:hAnsi="Arial" w:cs="Arial"/>
          <w:sz w:val="20"/>
          <w:szCs w:val="22"/>
        </w:rPr>
        <w:t xml:space="preserve"> </w:t>
      </w:r>
      <w:hyperlink r:id="rId52" w:history="1">
        <w:r w:rsidR="00496805" w:rsidRPr="006D0DA8">
          <w:rPr>
            <w:rStyle w:val="Hyperlink"/>
            <w:rFonts w:ascii="Arial" w:hAnsi="Arial" w:cs="Arial"/>
            <w:sz w:val="20"/>
            <w:szCs w:val="22"/>
          </w:rPr>
          <w:t>https://doi.org/10.1038/ja.2014.148</w:t>
        </w:r>
      </w:hyperlink>
      <w:r w:rsidR="00496805">
        <w:rPr>
          <w:rFonts w:ascii="Arial" w:hAnsi="Arial" w:cs="Arial"/>
          <w:sz w:val="20"/>
          <w:szCs w:val="22"/>
        </w:rPr>
        <w:t xml:space="preserve"> </w:t>
      </w:r>
    </w:p>
    <w:p w14:paraId="002AE845" w14:textId="535EE28B" w:rsidR="00B4583A" w:rsidRPr="00B4583A" w:rsidRDefault="00B4583A" w:rsidP="00C044B8">
      <w:pPr>
        <w:pStyle w:val="ListParagraph"/>
        <w:numPr>
          <w:ilvl w:val="0"/>
          <w:numId w:val="2"/>
        </w:numPr>
        <w:spacing w:line="360" w:lineRule="auto"/>
        <w:ind w:left="360"/>
        <w:jc w:val="both"/>
        <w:rPr>
          <w:rFonts w:ascii="Arial" w:hAnsi="Arial" w:cs="Arial"/>
          <w:color w:val="222222"/>
          <w:sz w:val="20"/>
          <w:szCs w:val="20"/>
          <w:highlight w:val="yellow"/>
          <w:shd w:val="clear" w:color="auto" w:fill="FFFFFF"/>
        </w:rPr>
      </w:pPr>
      <w:r w:rsidRPr="00B4583A">
        <w:rPr>
          <w:rFonts w:ascii="Arial" w:hAnsi="Arial" w:cs="Arial"/>
          <w:color w:val="222222"/>
          <w:sz w:val="20"/>
          <w:szCs w:val="20"/>
          <w:highlight w:val="yellow"/>
          <w:shd w:val="clear" w:color="auto" w:fill="FFFFFF"/>
        </w:rPr>
        <w:t xml:space="preserve">Pradhan, D., &amp; Das, M. T. (2025). Antimicrobial potential and extracellular metabolite profiling of bichitrapur mangrove sediment derived Micromonospora sp. BSS-D-04 and </w:t>
      </w:r>
      <w:r w:rsidRPr="00B4583A">
        <w:rPr>
          <w:rFonts w:ascii="Arial" w:hAnsi="Arial" w:cs="Arial"/>
          <w:i/>
          <w:iCs/>
          <w:color w:val="222222"/>
          <w:sz w:val="20"/>
          <w:szCs w:val="20"/>
          <w:highlight w:val="yellow"/>
          <w:shd w:val="clear" w:color="auto" w:fill="FFFFFF"/>
        </w:rPr>
        <w:t>Streptomyces</w:t>
      </w:r>
      <w:r w:rsidRPr="00B4583A">
        <w:rPr>
          <w:rFonts w:ascii="Arial" w:hAnsi="Arial" w:cs="Arial"/>
          <w:color w:val="222222"/>
          <w:sz w:val="20"/>
          <w:szCs w:val="20"/>
          <w:highlight w:val="yellow"/>
          <w:shd w:val="clear" w:color="auto" w:fill="FFFFFF"/>
        </w:rPr>
        <w:t xml:space="preserve"> sp. BSS-D-05 using LC–MS/MS and GC–MS analysis. </w:t>
      </w:r>
      <w:r w:rsidRPr="00B4583A">
        <w:rPr>
          <w:rFonts w:ascii="Arial" w:hAnsi="Arial" w:cs="Arial"/>
          <w:i/>
          <w:iCs/>
          <w:color w:val="222222"/>
          <w:sz w:val="20"/>
          <w:szCs w:val="20"/>
          <w:highlight w:val="yellow"/>
          <w:shd w:val="clear" w:color="auto" w:fill="FFFFFF"/>
        </w:rPr>
        <w:t>Brazilian Journal of Microbiology</w:t>
      </w:r>
      <w:r w:rsidRPr="00B4583A">
        <w:rPr>
          <w:rFonts w:ascii="Arial" w:hAnsi="Arial" w:cs="Arial"/>
          <w:color w:val="222222"/>
          <w:sz w:val="20"/>
          <w:szCs w:val="20"/>
          <w:highlight w:val="yellow"/>
          <w:shd w:val="clear" w:color="auto" w:fill="FFFFFF"/>
        </w:rPr>
        <w:t>, 1-17.</w:t>
      </w:r>
      <w:r w:rsidRPr="00B4583A">
        <w:rPr>
          <w:rFonts w:ascii="Arial" w:hAnsi="Arial" w:cs="Arial"/>
          <w:color w:val="222222"/>
          <w:sz w:val="20"/>
          <w:szCs w:val="20"/>
          <w:highlight w:val="yellow"/>
          <w:shd w:val="clear" w:color="auto" w:fill="FFFFFF"/>
        </w:rPr>
        <w:t xml:space="preserve"> </w:t>
      </w:r>
      <w:hyperlink r:id="rId53" w:history="1">
        <w:r w:rsidRPr="00B4583A">
          <w:rPr>
            <w:rStyle w:val="Hyperlink"/>
            <w:rFonts w:ascii="Arial" w:hAnsi="Arial" w:cs="Arial"/>
            <w:sz w:val="20"/>
            <w:szCs w:val="20"/>
            <w:highlight w:val="yellow"/>
            <w:shd w:val="clear" w:color="auto" w:fill="FFFFFF"/>
          </w:rPr>
          <w:t>https://doi.org/10.1007/s42770-025-01710-0</w:t>
        </w:r>
      </w:hyperlink>
      <w:r w:rsidRPr="00B4583A">
        <w:rPr>
          <w:rFonts w:ascii="Arial" w:hAnsi="Arial" w:cs="Arial"/>
          <w:color w:val="222222"/>
          <w:sz w:val="20"/>
          <w:szCs w:val="20"/>
          <w:highlight w:val="yellow"/>
          <w:shd w:val="clear" w:color="auto" w:fill="FFFFFF"/>
        </w:rPr>
        <w:t xml:space="preserve"> </w:t>
      </w:r>
    </w:p>
    <w:p w14:paraId="5CBD5141" w14:textId="1BE68236" w:rsidR="00B14923" w:rsidRPr="00496805"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Putri, A. L., &amp; Setiawan, R. (2019, August). Isolation and screening of actinomycetes producing cellulase and xylanase from Mamasa soil, West Sulawesi. In </w:t>
      </w:r>
      <w:r w:rsidRPr="00B14923">
        <w:rPr>
          <w:rFonts w:ascii="Arial" w:hAnsi="Arial" w:cs="Arial"/>
          <w:i/>
          <w:iCs/>
          <w:sz w:val="20"/>
          <w:szCs w:val="22"/>
        </w:rPr>
        <w:t>IOP conference series: earth and environmental science</w:t>
      </w:r>
      <w:r w:rsidRPr="00B14923">
        <w:rPr>
          <w:rFonts w:ascii="Arial" w:hAnsi="Arial" w:cs="Arial"/>
          <w:sz w:val="20"/>
          <w:szCs w:val="22"/>
        </w:rPr>
        <w:t> (Vol. 308, No. 1, p. 012035). IOP Publishing.</w:t>
      </w:r>
      <w:r w:rsidR="00496805">
        <w:rPr>
          <w:rFonts w:ascii="Arial" w:hAnsi="Arial" w:cs="Arial"/>
          <w:sz w:val="20"/>
          <w:szCs w:val="22"/>
        </w:rPr>
        <w:t xml:space="preserve"> </w:t>
      </w:r>
    </w:p>
    <w:p w14:paraId="65E31649" w14:textId="2E71F1CB"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Rainey, F. A., Ward-Rainey, N., Kroppenstedt, R. M., &amp; Stackebrandt, E. (1996). The genus </w:t>
      </w:r>
      <w:r w:rsidRPr="00B14923">
        <w:rPr>
          <w:rFonts w:ascii="Arial" w:hAnsi="Arial" w:cs="Arial"/>
          <w:i/>
          <w:iCs/>
          <w:sz w:val="20"/>
          <w:szCs w:val="22"/>
        </w:rPr>
        <w:t>Nocardiopsis</w:t>
      </w:r>
      <w:r w:rsidRPr="00B14923">
        <w:rPr>
          <w:rFonts w:ascii="Arial" w:hAnsi="Arial" w:cs="Arial"/>
          <w:sz w:val="20"/>
          <w:szCs w:val="22"/>
        </w:rPr>
        <w:t xml:space="preserve"> represents a phylogenetically coherent taxon and a distinct actinomycete lineage: proposal of Nocardiopsaceae fam. nov. </w:t>
      </w:r>
      <w:r w:rsidRPr="00B14923">
        <w:rPr>
          <w:rFonts w:ascii="Arial" w:hAnsi="Arial" w:cs="Arial"/>
          <w:i/>
          <w:iCs/>
          <w:sz w:val="20"/>
          <w:szCs w:val="22"/>
        </w:rPr>
        <w:t>International Journal of Systematic and Evolutionary Microbiology</w:t>
      </w:r>
      <w:r w:rsidRPr="00B14923">
        <w:rPr>
          <w:rFonts w:ascii="Arial" w:hAnsi="Arial" w:cs="Arial"/>
          <w:sz w:val="20"/>
          <w:szCs w:val="22"/>
        </w:rPr>
        <w:t>, </w:t>
      </w:r>
      <w:r w:rsidRPr="00B14923">
        <w:rPr>
          <w:rFonts w:ascii="Arial" w:hAnsi="Arial" w:cs="Arial"/>
          <w:i/>
          <w:iCs/>
          <w:sz w:val="20"/>
          <w:szCs w:val="22"/>
        </w:rPr>
        <w:t>46</w:t>
      </w:r>
      <w:r w:rsidRPr="00B14923">
        <w:rPr>
          <w:rFonts w:ascii="Arial" w:hAnsi="Arial" w:cs="Arial"/>
          <w:sz w:val="20"/>
          <w:szCs w:val="22"/>
        </w:rPr>
        <w:t>(4), 1088-1092.</w:t>
      </w:r>
      <w:r w:rsidR="00496805">
        <w:rPr>
          <w:rFonts w:ascii="Arial" w:hAnsi="Arial" w:cs="Arial"/>
          <w:sz w:val="20"/>
          <w:szCs w:val="22"/>
        </w:rPr>
        <w:t xml:space="preserve"> </w:t>
      </w:r>
      <w:hyperlink r:id="rId54" w:history="1">
        <w:r w:rsidR="00496805" w:rsidRPr="006D0DA8">
          <w:rPr>
            <w:rStyle w:val="Hyperlink"/>
            <w:rFonts w:ascii="Arial" w:hAnsi="Arial" w:cs="Arial"/>
            <w:sz w:val="20"/>
            <w:szCs w:val="22"/>
          </w:rPr>
          <w:t>https://doi.org/10.1099/00207713-46-4-1088</w:t>
        </w:r>
      </w:hyperlink>
      <w:r w:rsidR="00496805">
        <w:rPr>
          <w:rFonts w:ascii="Arial" w:hAnsi="Arial" w:cs="Arial"/>
          <w:sz w:val="20"/>
          <w:szCs w:val="22"/>
        </w:rPr>
        <w:t xml:space="preserve"> </w:t>
      </w:r>
    </w:p>
    <w:p w14:paraId="0B5F21EF" w14:textId="356ED56B"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Rateb, M. E., Houssen, W. E., Arnold, M., Abdelrahman, M. H., Deng, H., Harrison, W. T., </w:t>
      </w:r>
      <w:r w:rsidR="00C044B8" w:rsidRPr="00C044B8">
        <w:rPr>
          <w:rFonts w:ascii="Arial" w:hAnsi="Arial" w:cs="Arial"/>
          <w:i/>
          <w:iCs/>
          <w:sz w:val="20"/>
          <w:szCs w:val="22"/>
        </w:rPr>
        <w:t>et al</w:t>
      </w:r>
      <w:r w:rsidR="00C044B8">
        <w:rPr>
          <w:rFonts w:ascii="Arial" w:hAnsi="Arial" w:cs="Arial"/>
          <w:sz w:val="20"/>
          <w:szCs w:val="22"/>
        </w:rPr>
        <w:t>.,</w:t>
      </w:r>
      <w:r w:rsidRPr="00B14923">
        <w:rPr>
          <w:rFonts w:ascii="Arial" w:hAnsi="Arial" w:cs="Arial"/>
          <w:sz w:val="20"/>
          <w:szCs w:val="22"/>
        </w:rPr>
        <w:t xml:space="preserve"> (2011). Chaxamycins A–D, bioactive ansamycins from a hyper-arid desert </w:t>
      </w:r>
      <w:r w:rsidRPr="00B14923">
        <w:rPr>
          <w:rFonts w:ascii="Arial" w:hAnsi="Arial" w:cs="Arial"/>
          <w:i/>
          <w:iCs/>
          <w:sz w:val="20"/>
          <w:szCs w:val="22"/>
        </w:rPr>
        <w:t>Streptomyces</w:t>
      </w:r>
      <w:r w:rsidRPr="00B14923">
        <w:rPr>
          <w:rFonts w:ascii="Arial" w:hAnsi="Arial" w:cs="Arial"/>
          <w:sz w:val="20"/>
          <w:szCs w:val="22"/>
        </w:rPr>
        <w:t xml:space="preserve"> sp. </w:t>
      </w:r>
      <w:r w:rsidRPr="00B14923">
        <w:rPr>
          <w:rFonts w:ascii="Arial" w:hAnsi="Arial" w:cs="Arial"/>
          <w:i/>
          <w:iCs/>
          <w:sz w:val="20"/>
          <w:szCs w:val="22"/>
        </w:rPr>
        <w:t>Journal of Natural products</w:t>
      </w:r>
      <w:r w:rsidRPr="00B14923">
        <w:rPr>
          <w:rFonts w:ascii="Arial" w:hAnsi="Arial" w:cs="Arial"/>
          <w:sz w:val="20"/>
          <w:szCs w:val="22"/>
        </w:rPr>
        <w:t>, </w:t>
      </w:r>
      <w:r w:rsidRPr="00B14923">
        <w:rPr>
          <w:rFonts w:ascii="Arial" w:hAnsi="Arial" w:cs="Arial"/>
          <w:i/>
          <w:iCs/>
          <w:sz w:val="20"/>
          <w:szCs w:val="22"/>
        </w:rPr>
        <w:t>74</w:t>
      </w:r>
      <w:r w:rsidRPr="00B14923">
        <w:rPr>
          <w:rFonts w:ascii="Arial" w:hAnsi="Arial" w:cs="Arial"/>
          <w:sz w:val="20"/>
          <w:szCs w:val="22"/>
        </w:rPr>
        <w:t>(6), 1491-1499.</w:t>
      </w:r>
    </w:p>
    <w:p w14:paraId="5BA5821F" w14:textId="3A19F3FD"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Rudrappa, M., Kumar, S., Kumar, R. S., Almansour, A. I., Perumal, K., &amp; Nayaka, S. (2022). Bioproduction, purification and physicochemical characterization of melanin from Streptomyces sp. strain MR28. </w:t>
      </w:r>
      <w:r w:rsidRPr="00B14923">
        <w:rPr>
          <w:rFonts w:ascii="Arial" w:hAnsi="Arial" w:cs="Arial"/>
          <w:i/>
          <w:iCs/>
          <w:sz w:val="20"/>
          <w:szCs w:val="22"/>
        </w:rPr>
        <w:t>Microbiological Research</w:t>
      </w:r>
      <w:r w:rsidRPr="00B14923">
        <w:rPr>
          <w:rFonts w:ascii="Arial" w:hAnsi="Arial" w:cs="Arial"/>
          <w:sz w:val="20"/>
          <w:szCs w:val="22"/>
        </w:rPr>
        <w:t>, </w:t>
      </w:r>
      <w:r w:rsidRPr="00B14923">
        <w:rPr>
          <w:rFonts w:ascii="Arial" w:hAnsi="Arial" w:cs="Arial"/>
          <w:i/>
          <w:iCs/>
          <w:sz w:val="20"/>
          <w:szCs w:val="22"/>
        </w:rPr>
        <w:t>263</w:t>
      </w:r>
      <w:r w:rsidRPr="00B14923">
        <w:rPr>
          <w:rFonts w:ascii="Arial" w:hAnsi="Arial" w:cs="Arial"/>
          <w:sz w:val="20"/>
          <w:szCs w:val="22"/>
        </w:rPr>
        <w:t>, 127130.</w:t>
      </w:r>
      <w:r w:rsidR="00496805">
        <w:rPr>
          <w:rFonts w:ascii="Arial" w:hAnsi="Arial" w:cs="Arial"/>
          <w:sz w:val="20"/>
          <w:szCs w:val="22"/>
        </w:rPr>
        <w:t xml:space="preserve"> </w:t>
      </w:r>
      <w:hyperlink r:id="rId55" w:history="1">
        <w:r w:rsidR="00496805" w:rsidRPr="006D0DA8">
          <w:rPr>
            <w:rStyle w:val="Hyperlink"/>
            <w:rFonts w:ascii="Arial" w:hAnsi="Arial" w:cs="Arial"/>
            <w:sz w:val="20"/>
            <w:szCs w:val="22"/>
          </w:rPr>
          <w:t>https://doi.org/10.1016/j.micres.2022.127130</w:t>
        </w:r>
      </w:hyperlink>
      <w:r w:rsidR="00496805">
        <w:rPr>
          <w:rFonts w:ascii="Arial" w:hAnsi="Arial" w:cs="Arial"/>
          <w:sz w:val="20"/>
          <w:szCs w:val="22"/>
        </w:rPr>
        <w:t xml:space="preserve"> </w:t>
      </w:r>
    </w:p>
    <w:p w14:paraId="777DD738" w14:textId="6D768D38" w:rsidR="00B14923" w:rsidRPr="00496805"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Salehghamari, E., Moradi, M., Sardabi, M., Etesami, S. A., Hassani, G. H., Hosseini, M.,</w:t>
      </w:r>
      <w:r w:rsidR="00C044B8">
        <w:rPr>
          <w:rFonts w:ascii="Arial" w:hAnsi="Arial" w:cs="Arial"/>
          <w:sz w:val="20"/>
          <w:szCs w:val="22"/>
        </w:rPr>
        <w:t xml:space="preserve"> </w:t>
      </w:r>
      <w:r w:rsidR="00C044B8" w:rsidRPr="00C044B8">
        <w:rPr>
          <w:rFonts w:ascii="Arial" w:hAnsi="Arial" w:cs="Arial"/>
          <w:i/>
          <w:iCs/>
          <w:sz w:val="20"/>
          <w:szCs w:val="22"/>
        </w:rPr>
        <w:t>et al</w:t>
      </w:r>
      <w:r w:rsidR="00C044B8">
        <w:rPr>
          <w:rFonts w:ascii="Arial" w:hAnsi="Arial" w:cs="Arial"/>
          <w:sz w:val="20"/>
          <w:szCs w:val="22"/>
        </w:rPr>
        <w:t>.,</w:t>
      </w:r>
      <w:r w:rsidRPr="00B14923">
        <w:rPr>
          <w:rFonts w:ascii="Arial" w:hAnsi="Arial" w:cs="Arial"/>
          <w:sz w:val="20"/>
          <w:szCs w:val="22"/>
        </w:rPr>
        <w:t xml:space="preserve"> (2023). Diversity of actinomycete and their metabolites isolated from Howz Soltan Lake, Iran. </w:t>
      </w:r>
      <w:r w:rsidRPr="00B14923">
        <w:rPr>
          <w:rFonts w:ascii="Arial" w:hAnsi="Arial" w:cs="Arial"/>
          <w:i/>
          <w:iCs/>
          <w:sz w:val="20"/>
          <w:szCs w:val="22"/>
        </w:rPr>
        <w:t>Archives of Microbiology</w:t>
      </w:r>
      <w:r w:rsidRPr="00B14923">
        <w:rPr>
          <w:rFonts w:ascii="Arial" w:hAnsi="Arial" w:cs="Arial"/>
          <w:sz w:val="20"/>
          <w:szCs w:val="22"/>
        </w:rPr>
        <w:t>, </w:t>
      </w:r>
      <w:r w:rsidRPr="00B14923">
        <w:rPr>
          <w:rFonts w:ascii="Arial" w:hAnsi="Arial" w:cs="Arial"/>
          <w:i/>
          <w:iCs/>
          <w:sz w:val="20"/>
          <w:szCs w:val="22"/>
        </w:rPr>
        <w:t>205</w:t>
      </w:r>
      <w:r w:rsidRPr="00B14923">
        <w:rPr>
          <w:rFonts w:ascii="Arial" w:hAnsi="Arial" w:cs="Arial"/>
          <w:sz w:val="20"/>
          <w:szCs w:val="22"/>
        </w:rPr>
        <w:t>(1), 24.</w:t>
      </w:r>
      <w:r w:rsidR="00496805">
        <w:rPr>
          <w:rFonts w:ascii="Arial" w:hAnsi="Arial" w:cs="Arial"/>
          <w:sz w:val="20"/>
          <w:szCs w:val="22"/>
        </w:rPr>
        <w:t xml:space="preserve"> </w:t>
      </w:r>
      <w:hyperlink r:id="rId56" w:history="1">
        <w:r w:rsidR="00496805" w:rsidRPr="006D0DA8">
          <w:rPr>
            <w:rStyle w:val="Hyperlink"/>
            <w:rFonts w:ascii="Arial" w:hAnsi="Arial" w:cs="Arial"/>
            <w:sz w:val="20"/>
            <w:szCs w:val="22"/>
          </w:rPr>
          <w:t>https://doi.org/10.1007/s00203-022-03364-0</w:t>
        </w:r>
      </w:hyperlink>
      <w:r w:rsidR="00496805">
        <w:rPr>
          <w:rFonts w:ascii="Arial" w:hAnsi="Arial" w:cs="Arial"/>
          <w:sz w:val="20"/>
          <w:szCs w:val="22"/>
        </w:rPr>
        <w:t xml:space="preserve"> </w:t>
      </w:r>
    </w:p>
    <w:p w14:paraId="31B67821" w14:textId="35D20AFD" w:rsidR="00B14923" w:rsidRPr="00496805"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Sarkar, G., &amp; Suthindhiran, K. (2022). Diversity and biotechnological potential of marine actinomycetes from India. </w:t>
      </w:r>
      <w:r w:rsidRPr="00B14923">
        <w:rPr>
          <w:rFonts w:ascii="Arial" w:hAnsi="Arial" w:cs="Arial"/>
          <w:i/>
          <w:iCs/>
          <w:sz w:val="20"/>
          <w:szCs w:val="22"/>
        </w:rPr>
        <w:t>Indian Journal of Microbiology</w:t>
      </w:r>
      <w:r w:rsidRPr="00B14923">
        <w:rPr>
          <w:rFonts w:ascii="Arial" w:hAnsi="Arial" w:cs="Arial"/>
          <w:sz w:val="20"/>
          <w:szCs w:val="22"/>
        </w:rPr>
        <w:t>, </w:t>
      </w:r>
      <w:r w:rsidRPr="00B14923">
        <w:rPr>
          <w:rFonts w:ascii="Arial" w:hAnsi="Arial" w:cs="Arial"/>
          <w:i/>
          <w:iCs/>
          <w:sz w:val="20"/>
          <w:szCs w:val="22"/>
        </w:rPr>
        <w:t>62</w:t>
      </w:r>
      <w:r w:rsidRPr="00B14923">
        <w:rPr>
          <w:rFonts w:ascii="Arial" w:hAnsi="Arial" w:cs="Arial"/>
          <w:sz w:val="20"/>
          <w:szCs w:val="22"/>
        </w:rPr>
        <w:t>(4), 475-493.</w:t>
      </w:r>
      <w:r w:rsidR="00496805">
        <w:rPr>
          <w:rFonts w:ascii="Arial" w:hAnsi="Arial" w:cs="Arial"/>
          <w:sz w:val="20"/>
          <w:szCs w:val="22"/>
        </w:rPr>
        <w:t xml:space="preserve"> </w:t>
      </w:r>
      <w:hyperlink r:id="rId57" w:history="1">
        <w:r w:rsidR="00496805" w:rsidRPr="006D0DA8">
          <w:rPr>
            <w:rStyle w:val="Hyperlink"/>
            <w:rFonts w:ascii="Arial" w:hAnsi="Arial" w:cs="Arial"/>
            <w:sz w:val="20"/>
            <w:szCs w:val="22"/>
          </w:rPr>
          <w:t>https://doi.org/10.1007/s12088-022-01024-x</w:t>
        </w:r>
      </w:hyperlink>
      <w:r w:rsidR="00496805">
        <w:rPr>
          <w:rFonts w:ascii="Arial" w:hAnsi="Arial" w:cs="Arial"/>
          <w:sz w:val="20"/>
          <w:szCs w:val="22"/>
        </w:rPr>
        <w:t xml:space="preserve"> </w:t>
      </w:r>
    </w:p>
    <w:p w14:paraId="402B5C56" w14:textId="11AD154E" w:rsid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Sharma, A. K., Kikani, B. A., &amp; Singh, S. P. (2021). Diversity and phylogeny of actinomycetes of Arabian Sea along the Gujarat Coast. </w:t>
      </w:r>
      <w:r w:rsidRPr="00B14923">
        <w:rPr>
          <w:rFonts w:ascii="Arial" w:hAnsi="Arial" w:cs="Arial"/>
          <w:i/>
          <w:iCs/>
          <w:sz w:val="20"/>
          <w:szCs w:val="22"/>
        </w:rPr>
        <w:t>Geomicrobiology Journal</w:t>
      </w:r>
      <w:r w:rsidRPr="00B14923">
        <w:rPr>
          <w:rFonts w:ascii="Arial" w:hAnsi="Arial" w:cs="Arial"/>
          <w:sz w:val="20"/>
          <w:szCs w:val="22"/>
        </w:rPr>
        <w:t>, </w:t>
      </w:r>
      <w:r w:rsidRPr="00B14923">
        <w:rPr>
          <w:rFonts w:ascii="Arial" w:hAnsi="Arial" w:cs="Arial"/>
          <w:i/>
          <w:iCs/>
          <w:sz w:val="20"/>
          <w:szCs w:val="22"/>
        </w:rPr>
        <w:t>38</w:t>
      </w:r>
      <w:r w:rsidRPr="00B14923">
        <w:rPr>
          <w:rFonts w:ascii="Arial" w:hAnsi="Arial" w:cs="Arial"/>
          <w:sz w:val="20"/>
          <w:szCs w:val="22"/>
        </w:rPr>
        <w:t>(4), 347-364.</w:t>
      </w:r>
      <w:r w:rsidR="002C2B76">
        <w:rPr>
          <w:rFonts w:ascii="Arial" w:hAnsi="Arial" w:cs="Arial"/>
          <w:sz w:val="20"/>
          <w:szCs w:val="22"/>
        </w:rPr>
        <w:t xml:space="preserve"> </w:t>
      </w:r>
      <w:hyperlink r:id="rId58" w:history="1">
        <w:r w:rsidR="002C2B76" w:rsidRPr="006D0DA8">
          <w:rPr>
            <w:rStyle w:val="Hyperlink"/>
            <w:rFonts w:ascii="Arial" w:hAnsi="Arial" w:cs="Arial"/>
            <w:sz w:val="20"/>
            <w:szCs w:val="22"/>
          </w:rPr>
          <w:t>https://doi.org/10.1080/01490451.2020.1860165</w:t>
        </w:r>
      </w:hyperlink>
      <w:r w:rsidR="002C2B76">
        <w:rPr>
          <w:rFonts w:ascii="Arial" w:hAnsi="Arial" w:cs="Arial"/>
          <w:sz w:val="20"/>
          <w:szCs w:val="22"/>
        </w:rPr>
        <w:t xml:space="preserve"> </w:t>
      </w:r>
    </w:p>
    <w:p w14:paraId="3E351DC0" w14:textId="41863D0A" w:rsidR="004F6E44" w:rsidRPr="004F6E44" w:rsidRDefault="004F6E44" w:rsidP="00C044B8">
      <w:pPr>
        <w:pStyle w:val="ListParagraph"/>
        <w:numPr>
          <w:ilvl w:val="0"/>
          <w:numId w:val="2"/>
        </w:numPr>
        <w:spacing w:line="360" w:lineRule="auto"/>
        <w:ind w:left="360"/>
        <w:jc w:val="both"/>
        <w:rPr>
          <w:rFonts w:ascii="Arial" w:hAnsi="Arial" w:cs="Arial"/>
          <w:sz w:val="20"/>
          <w:szCs w:val="22"/>
          <w:highlight w:val="yellow"/>
        </w:rPr>
      </w:pPr>
      <w:r w:rsidRPr="004F6E44">
        <w:rPr>
          <w:rFonts w:ascii="Arial" w:hAnsi="Arial" w:cs="Arial"/>
          <w:sz w:val="20"/>
          <w:szCs w:val="22"/>
          <w:highlight w:val="yellow"/>
        </w:rPr>
        <w:t xml:space="preserve">Sibero, M. T., Frederick, E. H., Wijayanti, D. P., Haryanti, D., Siswanto, A. P., &amp; Igarashi, Y. (2024). Antimicrobial and cytotoxic properties of actinobacteria associated with a stony coral </w:t>
      </w:r>
      <w:r w:rsidRPr="004F6E44">
        <w:rPr>
          <w:rFonts w:ascii="Arial" w:hAnsi="Arial" w:cs="Arial"/>
          <w:i/>
          <w:iCs/>
          <w:sz w:val="20"/>
          <w:szCs w:val="22"/>
          <w:highlight w:val="yellow"/>
        </w:rPr>
        <w:t>Fungia</w:t>
      </w:r>
      <w:r w:rsidRPr="004F6E44">
        <w:rPr>
          <w:rFonts w:ascii="Arial" w:hAnsi="Arial" w:cs="Arial"/>
          <w:sz w:val="20"/>
          <w:szCs w:val="22"/>
          <w:highlight w:val="yellow"/>
        </w:rPr>
        <w:t xml:space="preserve"> sp. from Karimunjawa National Park, Indonesia. </w:t>
      </w:r>
      <w:r w:rsidRPr="004F6E44">
        <w:rPr>
          <w:rFonts w:ascii="Arial" w:hAnsi="Arial" w:cs="Arial"/>
          <w:i/>
          <w:iCs/>
          <w:sz w:val="20"/>
          <w:szCs w:val="22"/>
          <w:highlight w:val="yellow"/>
        </w:rPr>
        <w:t>Journal of Applied Pharmaceutical Science</w:t>
      </w:r>
      <w:r w:rsidRPr="004F6E44">
        <w:rPr>
          <w:rFonts w:ascii="Arial" w:hAnsi="Arial" w:cs="Arial"/>
          <w:sz w:val="20"/>
          <w:szCs w:val="22"/>
          <w:highlight w:val="yellow"/>
        </w:rPr>
        <w:t>, </w:t>
      </w:r>
      <w:r w:rsidRPr="004F6E44">
        <w:rPr>
          <w:rFonts w:ascii="Arial" w:hAnsi="Arial" w:cs="Arial"/>
          <w:i/>
          <w:iCs/>
          <w:sz w:val="20"/>
          <w:szCs w:val="22"/>
          <w:highlight w:val="yellow"/>
        </w:rPr>
        <w:t>14</w:t>
      </w:r>
      <w:r w:rsidRPr="004F6E44">
        <w:rPr>
          <w:rFonts w:ascii="Arial" w:hAnsi="Arial" w:cs="Arial"/>
          <w:sz w:val="20"/>
          <w:szCs w:val="22"/>
          <w:highlight w:val="yellow"/>
        </w:rPr>
        <w:t>(1), 132-140.</w:t>
      </w:r>
      <w:r w:rsidRPr="004F6E44">
        <w:rPr>
          <w:highlight w:val="yellow"/>
        </w:rPr>
        <w:t xml:space="preserve"> </w:t>
      </w:r>
      <w:hyperlink r:id="rId59" w:history="1">
        <w:r w:rsidRPr="004F6E44">
          <w:rPr>
            <w:rStyle w:val="Hyperlink"/>
            <w:rFonts w:ascii="Arial" w:hAnsi="Arial" w:cs="Arial"/>
            <w:sz w:val="20"/>
            <w:szCs w:val="22"/>
            <w:highlight w:val="yellow"/>
          </w:rPr>
          <w:t>https://dx.doi.org/10.7324/JAPS.2024.139056</w:t>
        </w:r>
      </w:hyperlink>
      <w:r w:rsidRPr="004F6E44">
        <w:rPr>
          <w:rFonts w:ascii="Arial" w:hAnsi="Arial" w:cs="Arial"/>
          <w:sz w:val="20"/>
          <w:szCs w:val="22"/>
          <w:highlight w:val="yellow"/>
        </w:rPr>
        <w:t xml:space="preserve"> </w:t>
      </w:r>
    </w:p>
    <w:p w14:paraId="5A821A9E" w14:textId="4C39AFFB"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lastRenderedPageBreak/>
        <w:t xml:space="preserve">Somasundaram, S., Arulmani, S. R. B., &amp; Ganesan, G. (2024). Screening and characterization of antagonistic </w:t>
      </w:r>
      <w:r w:rsidRPr="00B14923">
        <w:rPr>
          <w:rFonts w:ascii="Arial" w:hAnsi="Arial" w:cs="Arial"/>
          <w:i/>
          <w:iCs/>
          <w:sz w:val="20"/>
          <w:szCs w:val="22"/>
        </w:rPr>
        <w:t>Streptomyces</w:t>
      </w:r>
      <w:r w:rsidRPr="00B14923">
        <w:rPr>
          <w:rFonts w:ascii="Arial" w:hAnsi="Arial" w:cs="Arial"/>
          <w:sz w:val="20"/>
          <w:szCs w:val="22"/>
        </w:rPr>
        <w:t xml:space="preserve"> sp. JS20 from marine sediment in Vaan Island. </w:t>
      </w:r>
      <w:r w:rsidRPr="00B14923">
        <w:rPr>
          <w:rFonts w:ascii="Arial" w:hAnsi="Arial" w:cs="Arial"/>
          <w:i/>
          <w:iCs/>
          <w:sz w:val="20"/>
          <w:szCs w:val="22"/>
        </w:rPr>
        <w:t>The Microbe</w:t>
      </w:r>
      <w:r w:rsidRPr="00B14923">
        <w:rPr>
          <w:rFonts w:ascii="Arial" w:hAnsi="Arial" w:cs="Arial"/>
          <w:sz w:val="20"/>
          <w:szCs w:val="22"/>
        </w:rPr>
        <w:t>, </w:t>
      </w:r>
      <w:r w:rsidRPr="00B14923">
        <w:rPr>
          <w:rFonts w:ascii="Arial" w:hAnsi="Arial" w:cs="Arial"/>
          <w:i/>
          <w:iCs/>
          <w:sz w:val="20"/>
          <w:szCs w:val="22"/>
        </w:rPr>
        <w:t>4</w:t>
      </w:r>
      <w:r w:rsidRPr="00B14923">
        <w:rPr>
          <w:rFonts w:ascii="Arial" w:hAnsi="Arial" w:cs="Arial"/>
          <w:sz w:val="20"/>
          <w:szCs w:val="22"/>
        </w:rPr>
        <w:t>, 100106.</w:t>
      </w:r>
      <w:r w:rsidR="002C2B76">
        <w:rPr>
          <w:rFonts w:ascii="Arial" w:hAnsi="Arial" w:cs="Arial"/>
          <w:sz w:val="20"/>
          <w:szCs w:val="22"/>
        </w:rPr>
        <w:t xml:space="preserve"> </w:t>
      </w:r>
      <w:hyperlink r:id="rId60" w:history="1">
        <w:r w:rsidR="002C2B76" w:rsidRPr="006D0DA8">
          <w:rPr>
            <w:rStyle w:val="Hyperlink"/>
            <w:rFonts w:ascii="Arial" w:hAnsi="Arial" w:cs="Arial"/>
            <w:sz w:val="20"/>
            <w:szCs w:val="22"/>
          </w:rPr>
          <w:t>https://doi.org/10.1016/j.microb.2024.100106</w:t>
        </w:r>
      </w:hyperlink>
      <w:r w:rsidR="002C2B76">
        <w:rPr>
          <w:rFonts w:ascii="Arial" w:hAnsi="Arial" w:cs="Arial"/>
          <w:sz w:val="20"/>
          <w:szCs w:val="22"/>
        </w:rPr>
        <w:t xml:space="preserve"> </w:t>
      </w:r>
    </w:p>
    <w:p w14:paraId="4C441543" w14:textId="0CAD6822" w:rsid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Stackebrandt, E., &amp; Goebel, B. M. (1994). Taxonomic note: a place for DNA-DNA reassociation and 16S rRNA sequence analysis in the present species definition in bacteriology. </w:t>
      </w:r>
      <w:r w:rsidRPr="00B14923">
        <w:rPr>
          <w:rFonts w:ascii="Arial" w:hAnsi="Arial" w:cs="Arial"/>
          <w:i/>
          <w:iCs/>
          <w:sz w:val="20"/>
          <w:szCs w:val="22"/>
        </w:rPr>
        <w:t>International journal of systematic and evolutionary microbiology</w:t>
      </w:r>
      <w:r w:rsidRPr="00B14923">
        <w:rPr>
          <w:rFonts w:ascii="Arial" w:hAnsi="Arial" w:cs="Arial"/>
          <w:sz w:val="20"/>
          <w:szCs w:val="22"/>
        </w:rPr>
        <w:t>, </w:t>
      </w:r>
      <w:r w:rsidRPr="00B14923">
        <w:rPr>
          <w:rFonts w:ascii="Arial" w:hAnsi="Arial" w:cs="Arial"/>
          <w:i/>
          <w:iCs/>
          <w:sz w:val="20"/>
          <w:szCs w:val="22"/>
        </w:rPr>
        <w:t>44</w:t>
      </w:r>
      <w:r w:rsidRPr="00B14923">
        <w:rPr>
          <w:rFonts w:ascii="Arial" w:hAnsi="Arial" w:cs="Arial"/>
          <w:sz w:val="20"/>
          <w:szCs w:val="22"/>
        </w:rPr>
        <w:t>(4), 846-849.</w:t>
      </w:r>
      <w:r w:rsidR="002C2B76">
        <w:rPr>
          <w:rFonts w:ascii="Arial" w:hAnsi="Arial" w:cs="Arial"/>
          <w:sz w:val="20"/>
          <w:szCs w:val="22"/>
        </w:rPr>
        <w:t xml:space="preserve"> </w:t>
      </w:r>
      <w:hyperlink r:id="rId61" w:history="1">
        <w:r w:rsidR="002C2B76" w:rsidRPr="006D0DA8">
          <w:rPr>
            <w:rStyle w:val="Hyperlink"/>
            <w:rFonts w:ascii="Arial" w:hAnsi="Arial" w:cs="Arial"/>
            <w:sz w:val="20"/>
            <w:szCs w:val="22"/>
          </w:rPr>
          <w:t>https://doi.org/10.1099/00207713-44-4-846</w:t>
        </w:r>
      </w:hyperlink>
      <w:r w:rsidR="002C2B76">
        <w:rPr>
          <w:rFonts w:ascii="Arial" w:hAnsi="Arial" w:cs="Arial"/>
          <w:sz w:val="20"/>
          <w:szCs w:val="22"/>
        </w:rPr>
        <w:t xml:space="preserve"> </w:t>
      </w:r>
    </w:p>
    <w:p w14:paraId="25A570BA" w14:textId="22417CC9" w:rsidR="007B4BDE" w:rsidRPr="007B4BDE" w:rsidRDefault="007B4BDE" w:rsidP="00C044B8">
      <w:pPr>
        <w:pStyle w:val="ListParagraph"/>
        <w:numPr>
          <w:ilvl w:val="0"/>
          <w:numId w:val="2"/>
        </w:numPr>
        <w:spacing w:line="360" w:lineRule="auto"/>
        <w:ind w:left="360"/>
        <w:jc w:val="both"/>
        <w:rPr>
          <w:rFonts w:ascii="Arial" w:hAnsi="Arial" w:cs="Arial"/>
          <w:sz w:val="20"/>
          <w:szCs w:val="22"/>
          <w:highlight w:val="yellow"/>
        </w:rPr>
      </w:pPr>
      <w:r w:rsidRPr="007B4BDE">
        <w:rPr>
          <w:rFonts w:ascii="Arial" w:hAnsi="Arial" w:cs="Arial"/>
          <w:sz w:val="20"/>
          <w:szCs w:val="22"/>
          <w:highlight w:val="yellow"/>
        </w:rPr>
        <w:t xml:space="preserve">Subash, H. A., Santhosh, K., Kannan, K., &amp; Pitchiah, S. (2024). Extraction of Keratin degrading enzyme from marine Actinobacteria of </w:t>
      </w:r>
      <w:r w:rsidRPr="007B4BDE">
        <w:rPr>
          <w:rFonts w:ascii="Arial" w:hAnsi="Arial" w:cs="Arial"/>
          <w:i/>
          <w:iCs/>
          <w:sz w:val="20"/>
          <w:szCs w:val="22"/>
          <w:highlight w:val="yellow"/>
        </w:rPr>
        <w:t>Nocardia</w:t>
      </w:r>
      <w:r w:rsidRPr="007B4BDE">
        <w:rPr>
          <w:rFonts w:ascii="Arial" w:hAnsi="Arial" w:cs="Arial"/>
          <w:sz w:val="20"/>
          <w:szCs w:val="22"/>
          <w:highlight w:val="yellow"/>
        </w:rPr>
        <w:t xml:space="preserve"> sp and their antibacterial potential against oral pathogens. Oral Oncology Reports, 9, 100184.</w:t>
      </w:r>
      <w:r w:rsidRPr="007B4BDE">
        <w:rPr>
          <w:rFonts w:ascii="Arial" w:hAnsi="Arial" w:cs="Arial"/>
          <w:sz w:val="20"/>
          <w:szCs w:val="22"/>
          <w:highlight w:val="yellow"/>
        </w:rPr>
        <w:t xml:space="preserve"> </w:t>
      </w:r>
      <w:hyperlink r:id="rId62" w:history="1">
        <w:r w:rsidRPr="007B4BDE">
          <w:rPr>
            <w:rStyle w:val="Hyperlink"/>
            <w:rFonts w:ascii="Arial" w:hAnsi="Arial" w:cs="Arial"/>
            <w:sz w:val="20"/>
            <w:szCs w:val="22"/>
            <w:highlight w:val="yellow"/>
          </w:rPr>
          <w:t>https://doi.org/10.1016/j.oor.2024.100184</w:t>
        </w:r>
      </w:hyperlink>
      <w:r w:rsidRPr="007B4BDE">
        <w:rPr>
          <w:rFonts w:ascii="Arial" w:hAnsi="Arial" w:cs="Arial"/>
          <w:sz w:val="20"/>
          <w:szCs w:val="22"/>
          <w:highlight w:val="yellow"/>
        </w:rPr>
        <w:t xml:space="preserve"> </w:t>
      </w:r>
    </w:p>
    <w:p w14:paraId="6AF07A76" w14:textId="6224B257" w:rsidR="00B14923" w:rsidRPr="002C2B76"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Subramani, R., &amp; Aalbersberg, W. (2013). Culturable rare Actinomycetes: diversity, isolation and marine natural product discovery. </w:t>
      </w:r>
      <w:r w:rsidRPr="00B14923">
        <w:rPr>
          <w:rFonts w:ascii="Arial" w:hAnsi="Arial" w:cs="Arial"/>
          <w:i/>
          <w:iCs/>
          <w:sz w:val="20"/>
          <w:szCs w:val="22"/>
        </w:rPr>
        <w:t>Applied microbiology and biotechnology</w:t>
      </w:r>
      <w:r w:rsidRPr="00B14923">
        <w:rPr>
          <w:rFonts w:ascii="Arial" w:hAnsi="Arial" w:cs="Arial"/>
          <w:sz w:val="20"/>
          <w:szCs w:val="22"/>
        </w:rPr>
        <w:t>, </w:t>
      </w:r>
      <w:r w:rsidRPr="00B14923">
        <w:rPr>
          <w:rFonts w:ascii="Arial" w:hAnsi="Arial" w:cs="Arial"/>
          <w:i/>
          <w:iCs/>
          <w:sz w:val="20"/>
          <w:szCs w:val="22"/>
        </w:rPr>
        <w:t>97</w:t>
      </w:r>
      <w:r w:rsidRPr="00B14923">
        <w:rPr>
          <w:rFonts w:ascii="Arial" w:hAnsi="Arial" w:cs="Arial"/>
          <w:sz w:val="20"/>
          <w:szCs w:val="22"/>
        </w:rPr>
        <w:t>(21), 9291-9321.</w:t>
      </w:r>
      <w:r w:rsidR="002C2B76">
        <w:rPr>
          <w:rFonts w:ascii="Arial" w:hAnsi="Arial" w:cs="Arial"/>
          <w:sz w:val="20"/>
          <w:szCs w:val="22"/>
        </w:rPr>
        <w:t xml:space="preserve"> </w:t>
      </w:r>
      <w:hyperlink r:id="rId63" w:history="1">
        <w:r w:rsidR="002C2B76" w:rsidRPr="006D0DA8">
          <w:rPr>
            <w:rStyle w:val="Hyperlink"/>
            <w:rFonts w:ascii="Arial" w:hAnsi="Arial" w:cs="Arial"/>
            <w:sz w:val="20"/>
            <w:szCs w:val="22"/>
          </w:rPr>
          <w:t>https://doi.org/10.1007/s00253-013-5229-7</w:t>
        </w:r>
      </w:hyperlink>
      <w:r w:rsidR="002C2B76">
        <w:rPr>
          <w:rFonts w:ascii="Arial" w:hAnsi="Arial" w:cs="Arial"/>
          <w:sz w:val="20"/>
          <w:szCs w:val="22"/>
        </w:rPr>
        <w:t xml:space="preserve"> </w:t>
      </w:r>
    </w:p>
    <w:p w14:paraId="2696F9E1" w14:textId="77777777"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Usha, R., Mala, K. K., Venil, C. K., &amp; Palaniswamy, M. (2011). Screening of actinomycetes from mangrove ecosystem for L-asparaginase activity and optimization by response surface methodology. </w:t>
      </w:r>
      <w:r w:rsidRPr="00B14923">
        <w:rPr>
          <w:rFonts w:ascii="Arial" w:hAnsi="Arial" w:cs="Arial"/>
          <w:i/>
          <w:iCs/>
          <w:sz w:val="20"/>
          <w:szCs w:val="22"/>
        </w:rPr>
        <w:t>Pol J Microbiol</w:t>
      </w:r>
      <w:r w:rsidRPr="00B14923">
        <w:rPr>
          <w:rFonts w:ascii="Arial" w:hAnsi="Arial" w:cs="Arial"/>
          <w:sz w:val="20"/>
          <w:szCs w:val="22"/>
        </w:rPr>
        <w:t>, </w:t>
      </w:r>
      <w:r w:rsidRPr="00B14923">
        <w:rPr>
          <w:rFonts w:ascii="Arial" w:hAnsi="Arial" w:cs="Arial"/>
          <w:i/>
          <w:iCs/>
          <w:sz w:val="20"/>
          <w:szCs w:val="22"/>
        </w:rPr>
        <w:t>60</w:t>
      </w:r>
      <w:r w:rsidRPr="00B14923">
        <w:rPr>
          <w:rFonts w:ascii="Arial" w:hAnsi="Arial" w:cs="Arial"/>
          <w:sz w:val="20"/>
          <w:szCs w:val="22"/>
        </w:rPr>
        <w:t>(3), 213-221.</w:t>
      </w:r>
    </w:p>
    <w:p w14:paraId="08FCEDB4" w14:textId="78DB2C07"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Williams, S. T., Goodfellow, M., Alderson, G., Wellington, E. M. H., Sneath, P. H. A., &amp; Sackin, M. J. (1983). Numerical classification of </w:t>
      </w:r>
      <w:r w:rsidRPr="00B14923">
        <w:rPr>
          <w:rFonts w:ascii="Arial" w:hAnsi="Arial" w:cs="Arial"/>
          <w:i/>
          <w:iCs/>
          <w:sz w:val="20"/>
          <w:szCs w:val="22"/>
        </w:rPr>
        <w:t>Streptomyces</w:t>
      </w:r>
      <w:r w:rsidRPr="00B14923">
        <w:rPr>
          <w:rFonts w:ascii="Arial" w:hAnsi="Arial" w:cs="Arial"/>
          <w:sz w:val="20"/>
          <w:szCs w:val="22"/>
        </w:rPr>
        <w:t xml:space="preserve"> and related genera. </w:t>
      </w:r>
      <w:r w:rsidRPr="00B14923">
        <w:rPr>
          <w:rFonts w:ascii="Arial" w:hAnsi="Arial" w:cs="Arial"/>
          <w:i/>
          <w:iCs/>
          <w:sz w:val="20"/>
          <w:szCs w:val="22"/>
        </w:rPr>
        <w:t>Microbiology</w:t>
      </w:r>
      <w:r w:rsidRPr="00B14923">
        <w:rPr>
          <w:rFonts w:ascii="Arial" w:hAnsi="Arial" w:cs="Arial"/>
          <w:sz w:val="20"/>
          <w:szCs w:val="22"/>
        </w:rPr>
        <w:t>, </w:t>
      </w:r>
      <w:r w:rsidRPr="00B14923">
        <w:rPr>
          <w:rFonts w:ascii="Arial" w:hAnsi="Arial" w:cs="Arial"/>
          <w:i/>
          <w:iCs/>
          <w:sz w:val="20"/>
          <w:szCs w:val="22"/>
        </w:rPr>
        <w:t>129</w:t>
      </w:r>
      <w:r w:rsidRPr="00B14923">
        <w:rPr>
          <w:rFonts w:ascii="Arial" w:hAnsi="Arial" w:cs="Arial"/>
          <w:sz w:val="20"/>
          <w:szCs w:val="22"/>
        </w:rPr>
        <w:t>(6), 1743-1813.</w:t>
      </w:r>
      <w:r w:rsidR="002C2B76">
        <w:rPr>
          <w:rFonts w:ascii="Arial" w:hAnsi="Arial" w:cs="Arial"/>
          <w:sz w:val="20"/>
          <w:szCs w:val="22"/>
        </w:rPr>
        <w:t xml:space="preserve"> </w:t>
      </w:r>
      <w:hyperlink r:id="rId64" w:history="1">
        <w:r w:rsidR="002C2B76" w:rsidRPr="006D0DA8">
          <w:rPr>
            <w:rStyle w:val="Hyperlink"/>
            <w:rFonts w:ascii="Arial" w:hAnsi="Arial" w:cs="Arial"/>
            <w:sz w:val="20"/>
            <w:szCs w:val="22"/>
          </w:rPr>
          <w:t>https://doi.org/10.1099/00221287-129-6-1743</w:t>
        </w:r>
      </w:hyperlink>
      <w:r w:rsidR="002C2B76">
        <w:rPr>
          <w:rFonts w:ascii="Arial" w:hAnsi="Arial" w:cs="Arial"/>
          <w:sz w:val="20"/>
          <w:szCs w:val="22"/>
        </w:rPr>
        <w:t xml:space="preserve"> </w:t>
      </w:r>
    </w:p>
    <w:p w14:paraId="6A37D85F" w14:textId="31B01663"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Xi, L., Zhang, L., Ruan, J., &amp; Huang, Y. (2011). </w:t>
      </w:r>
      <w:r w:rsidRPr="00B14923">
        <w:rPr>
          <w:rFonts w:ascii="Arial" w:hAnsi="Arial" w:cs="Arial"/>
          <w:i/>
          <w:iCs/>
          <w:sz w:val="20"/>
          <w:szCs w:val="22"/>
        </w:rPr>
        <w:t>Nonomuraea</w:t>
      </w:r>
      <w:r w:rsidRPr="00B14923">
        <w:rPr>
          <w:rFonts w:ascii="Arial" w:hAnsi="Arial" w:cs="Arial"/>
          <w:sz w:val="20"/>
          <w:szCs w:val="22"/>
        </w:rPr>
        <w:t xml:space="preserve"> </w:t>
      </w:r>
      <w:r w:rsidRPr="00B14923">
        <w:rPr>
          <w:rFonts w:ascii="Arial" w:hAnsi="Arial" w:cs="Arial"/>
          <w:i/>
          <w:iCs/>
          <w:sz w:val="20"/>
          <w:szCs w:val="22"/>
        </w:rPr>
        <w:t>maritima</w:t>
      </w:r>
      <w:r w:rsidRPr="00B14923">
        <w:rPr>
          <w:rFonts w:ascii="Arial" w:hAnsi="Arial" w:cs="Arial"/>
          <w:sz w:val="20"/>
          <w:szCs w:val="22"/>
        </w:rPr>
        <w:t xml:space="preserve"> sp. nov., isolated from coastal sediment. </w:t>
      </w:r>
      <w:r w:rsidRPr="00B14923">
        <w:rPr>
          <w:rFonts w:ascii="Arial" w:hAnsi="Arial" w:cs="Arial"/>
          <w:i/>
          <w:iCs/>
          <w:sz w:val="20"/>
          <w:szCs w:val="22"/>
        </w:rPr>
        <w:t>International journal of systematic and evolutionary microbiology</w:t>
      </w:r>
      <w:r w:rsidRPr="00B14923">
        <w:rPr>
          <w:rFonts w:ascii="Arial" w:hAnsi="Arial" w:cs="Arial"/>
          <w:sz w:val="20"/>
          <w:szCs w:val="22"/>
        </w:rPr>
        <w:t>, </w:t>
      </w:r>
      <w:r w:rsidRPr="00B14923">
        <w:rPr>
          <w:rFonts w:ascii="Arial" w:hAnsi="Arial" w:cs="Arial"/>
          <w:i/>
          <w:iCs/>
          <w:sz w:val="20"/>
          <w:szCs w:val="22"/>
        </w:rPr>
        <w:t>61</w:t>
      </w:r>
      <w:r w:rsidRPr="00B14923">
        <w:rPr>
          <w:rFonts w:ascii="Arial" w:hAnsi="Arial" w:cs="Arial"/>
          <w:sz w:val="20"/>
          <w:szCs w:val="22"/>
        </w:rPr>
        <w:t>(11), 2740-2744.</w:t>
      </w:r>
      <w:r w:rsidR="002C2B76">
        <w:rPr>
          <w:rFonts w:ascii="Arial" w:hAnsi="Arial" w:cs="Arial"/>
          <w:sz w:val="20"/>
          <w:szCs w:val="22"/>
        </w:rPr>
        <w:t xml:space="preserve"> </w:t>
      </w:r>
      <w:hyperlink r:id="rId65" w:history="1">
        <w:r w:rsidR="002C2B76" w:rsidRPr="006D0DA8">
          <w:rPr>
            <w:rStyle w:val="Hyperlink"/>
            <w:rFonts w:ascii="Arial" w:hAnsi="Arial" w:cs="Arial"/>
            <w:sz w:val="20"/>
            <w:szCs w:val="22"/>
          </w:rPr>
          <w:t>https://doi.org/10.1099/ijs.0.028266-0</w:t>
        </w:r>
      </w:hyperlink>
      <w:r w:rsidR="002C2B76">
        <w:rPr>
          <w:rFonts w:ascii="Arial" w:hAnsi="Arial" w:cs="Arial"/>
          <w:sz w:val="20"/>
          <w:szCs w:val="22"/>
        </w:rPr>
        <w:t xml:space="preserve"> </w:t>
      </w:r>
    </w:p>
    <w:p w14:paraId="7B74A760" w14:textId="3E7B9A3C" w:rsidR="00B14923" w:rsidRPr="00B14923"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Zgurskaya, H. I., &amp; Rybenkov, V. V. (2020). Permeability barriers of Gram</w:t>
      </w:r>
      <w:r w:rsidRPr="00B14923">
        <w:rPr>
          <w:rFonts w:ascii="Cambria Math" w:hAnsi="Cambria Math" w:cs="Cambria Math"/>
          <w:sz w:val="20"/>
          <w:szCs w:val="22"/>
        </w:rPr>
        <w:t>‐</w:t>
      </w:r>
      <w:r w:rsidRPr="00B14923">
        <w:rPr>
          <w:rFonts w:ascii="Arial" w:hAnsi="Arial" w:cs="Arial"/>
          <w:sz w:val="20"/>
          <w:szCs w:val="22"/>
        </w:rPr>
        <w:t>negative pathogens. </w:t>
      </w:r>
      <w:r w:rsidRPr="00B14923">
        <w:rPr>
          <w:rFonts w:ascii="Arial" w:hAnsi="Arial" w:cs="Arial"/>
          <w:i/>
          <w:iCs/>
          <w:sz w:val="20"/>
          <w:szCs w:val="22"/>
        </w:rPr>
        <w:t>Annals of the New York Academy of Sciences</w:t>
      </w:r>
      <w:r w:rsidRPr="00B14923">
        <w:rPr>
          <w:rFonts w:ascii="Arial" w:hAnsi="Arial" w:cs="Arial"/>
          <w:sz w:val="20"/>
          <w:szCs w:val="22"/>
        </w:rPr>
        <w:t>, </w:t>
      </w:r>
      <w:r w:rsidRPr="00B14923">
        <w:rPr>
          <w:rFonts w:ascii="Arial" w:hAnsi="Arial" w:cs="Arial"/>
          <w:i/>
          <w:iCs/>
          <w:sz w:val="20"/>
          <w:szCs w:val="22"/>
        </w:rPr>
        <w:t>1459</w:t>
      </w:r>
      <w:r w:rsidRPr="00B14923">
        <w:rPr>
          <w:rFonts w:ascii="Arial" w:hAnsi="Arial" w:cs="Arial"/>
          <w:sz w:val="20"/>
          <w:szCs w:val="22"/>
        </w:rPr>
        <w:t>(1), 5-18.</w:t>
      </w:r>
      <w:r w:rsidR="002C2B76">
        <w:rPr>
          <w:rFonts w:ascii="Arial" w:hAnsi="Arial" w:cs="Arial"/>
          <w:sz w:val="20"/>
          <w:szCs w:val="22"/>
        </w:rPr>
        <w:t xml:space="preserve"> </w:t>
      </w:r>
      <w:hyperlink r:id="rId66" w:history="1">
        <w:r w:rsidR="002C2B76" w:rsidRPr="006D0DA8">
          <w:rPr>
            <w:rStyle w:val="Hyperlink"/>
            <w:rFonts w:ascii="Arial" w:hAnsi="Arial" w:cs="Arial"/>
            <w:sz w:val="20"/>
            <w:szCs w:val="22"/>
          </w:rPr>
          <w:t>https://doi.org/10.1111/nyas.14134</w:t>
        </w:r>
      </w:hyperlink>
      <w:r w:rsidR="002C2B76">
        <w:rPr>
          <w:rFonts w:ascii="Arial" w:hAnsi="Arial" w:cs="Arial"/>
          <w:sz w:val="20"/>
          <w:szCs w:val="22"/>
        </w:rPr>
        <w:t xml:space="preserve"> </w:t>
      </w:r>
    </w:p>
    <w:p w14:paraId="4545F92C" w14:textId="1835CC19" w:rsidR="00B14923" w:rsidRPr="002C2B76" w:rsidRDefault="00B14923" w:rsidP="00C044B8">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Zhang, X. Y., He, F., Wang, G. H., Bao, J., Xu, X. Y., &amp; Qi, S. H. (2013). Diversity and antibacterial activity of culturable actinobacteria isolated from five species of the South China Sea gorgonian corals. </w:t>
      </w:r>
      <w:r w:rsidRPr="00B14923">
        <w:rPr>
          <w:rFonts w:ascii="Arial" w:hAnsi="Arial" w:cs="Arial"/>
          <w:i/>
          <w:iCs/>
          <w:sz w:val="20"/>
          <w:szCs w:val="22"/>
        </w:rPr>
        <w:t>World Journal of Microbiology and Biotechnology</w:t>
      </w:r>
      <w:r w:rsidRPr="00B14923">
        <w:rPr>
          <w:rFonts w:ascii="Arial" w:hAnsi="Arial" w:cs="Arial"/>
          <w:sz w:val="20"/>
          <w:szCs w:val="22"/>
        </w:rPr>
        <w:t>, </w:t>
      </w:r>
      <w:r w:rsidRPr="00B14923">
        <w:rPr>
          <w:rFonts w:ascii="Arial" w:hAnsi="Arial" w:cs="Arial"/>
          <w:i/>
          <w:iCs/>
          <w:sz w:val="20"/>
          <w:szCs w:val="22"/>
        </w:rPr>
        <w:t>29</w:t>
      </w:r>
      <w:r w:rsidRPr="00B14923">
        <w:rPr>
          <w:rFonts w:ascii="Arial" w:hAnsi="Arial" w:cs="Arial"/>
          <w:sz w:val="20"/>
          <w:szCs w:val="22"/>
        </w:rPr>
        <w:t>(6), 1107-1116.</w:t>
      </w:r>
      <w:r w:rsidR="002C2B76">
        <w:rPr>
          <w:rFonts w:ascii="Arial" w:hAnsi="Arial" w:cs="Arial"/>
          <w:sz w:val="20"/>
          <w:szCs w:val="22"/>
        </w:rPr>
        <w:t xml:space="preserve"> </w:t>
      </w:r>
      <w:hyperlink r:id="rId67" w:history="1">
        <w:r w:rsidR="002C2B76" w:rsidRPr="006D0DA8">
          <w:rPr>
            <w:rStyle w:val="Hyperlink"/>
            <w:rFonts w:ascii="Arial" w:hAnsi="Arial" w:cs="Arial"/>
            <w:sz w:val="20"/>
            <w:szCs w:val="22"/>
          </w:rPr>
          <w:t>https://doi.org/10.1007/s11274-013-1279-3</w:t>
        </w:r>
      </w:hyperlink>
      <w:r w:rsidR="002C2B76">
        <w:rPr>
          <w:rFonts w:ascii="Arial" w:hAnsi="Arial" w:cs="Arial"/>
          <w:sz w:val="20"/>
          <w:szCs w:val="22"/>
        </w:rPr>
        <w:t xml:space="preserve"> </w:t>
      </w:r>
    </w:p>
    <w:p w14:paraId="181BC745" w14:textId="77777777" w:rsidR="00B14923" w:rsidRPr="00B14923" w:rsidRDefault="00B14923" w:rsidP="00C044B8">
      <w:pPr>
        <w:spacing w:line="360" w:lineRule="auto"/>
        <w:jc w:val="both"/>
        <w:rPr>
          <w:rFonts w:ascii="Arial" w:hAnsi="Arial" w:cs="Arial"/>
          <w:sz w:val="20"/>
          <w:szCs w:val="22"/>
        </w:rPr>
      </w:pPr>
    </w:p>
    <w:p w14:paraId="21EFE8E8" w14:textId="77777777" w:rsidR="00B14923" w:rsidRPr="00B14923" w:rsidRDefault="00B14923" w:rsidP="00C044B8">
      <w:pPr>
        <w:spacing w:line="360" w:lineRule="auto"/>
        <w:jc w:val="both"/>
        <w:rPr>
          <w:rFonts w:ascii="Arial" w:hAnsi="Arial" w:cs="Arial"/>
          <w:sz w:val="20"/>
          <w:szCs w:val="24"/>
        </w:rPr>
      </w:pPr>
    </w:p>
    <w:sectPr w:rsidR="00B14923" w:rsidRPr="00B14923">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AA024" w14:textId="77777777" w:rsidR="000B7EE6" w:rsidRDefault="000B7EE6" w:rsidP="004F4DC2">
      <w:pPr>
        <w:spacing w:after="0" w:line="240" w:lineRule="auto"/>
      </w:pPr>
      <w:r>
        <w:separator/>
      </w:r>
    </w:p>
  </w:endnote>
  <w:endnote w:type="continuationSeparator" w:id="0">
    <w:p w14:paraId="78C5F2EB" w14:textId="77777777" w:rsidR="000B7EE6" w:rsidRDefault="000B7EE6" w:rsidP="004F4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88346" w14:textId="77777777" w:rsidR="00C12C0A" w:rsidRDefault="00C12C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CCD5A" w14:textId="77777777" w:rsidR="00C12C0A" w:rsidRDefault="00C12C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5AE75" w14:textId="77777777" w:rsidR="00C12C0A" w:rsidRDefault="00C12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BD8B6" w14:textId="77777777" w:rsidR="000B7EE6" w:rsidRDefault="000B7EE6" w:rsidP="004F4DC2">
      <w:pPr>
        <w:spacing w:after="0" w:line="240" w:lineRule="auto"/>
      </w:pPr>
      <w:r>
        <w:separator/>
      </w:r>
    </w:p>
  </w:footnote>
  <w:footnote w:type="continuationSeparator" w:id="0">
    <w:p w14:paraId="3775DDE0" w14:textId="77777777" w:rsidR="000B7EE6" w:rsidRDefault="000B7EE6" w:rsidP="004F4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6B39D" w14:textId="312D7DD4" w:rsidR="00C12C0A" w:rsidRDefault="00000000">
    <w:pPr>
      <w:pStyle w:val="Header"/>
    </w:pPr>
    <w:r>
      <w:rPr>
        <w:noProof/>
      </w:rPr>
      <w:pict w14:anchorId="115CD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78128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35AA5" w14:textId="5A056768" w:rsidR="004F4DC2" w:rsidRDefault="00000000">
    <w:pPr>
      <w:pStyle w:val="Header"/>
    </w:pPr>
    <w:r>
      <w:rPr>
        <w:noProof/>
      </w:rPr>
      <w:pict w14:anchorId="3B3778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78128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6D0D2CF9" w14:textId="77777777" w:rsidR="004F4DC2" w:rsidRDefault="004F4D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7640A" w14:textId="3C3009FE" w:rsidR="00C12C0A" w:rsidRDefault="00000000">
    <w:pPr>
      <w:pStyle w:val="Header"/>
    </w:pPr>
    <w:r>
      <w:rPr>
        <w:noProof/>
      </w:rPr>
      <w:pict w14:anchorId="4C2B8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78128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E6F49"/>
    <w:multiLevelType w:val="multilevel"/>
    <w:tmpl w:val="2BDE2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C5CF0"/>
    <w:multiLevelType w:val="multilevel"/>
    <w:tmpl w:val="5AA6E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215FA"/>
    <w:multiLevelType w:val="multilevel"/>
    <w:tmpl w:val="9802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162A8"/>
    <w:multiLevelType w:val="multilevel"/>
    <w:tmpl w:val="12AA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8A02C5"/>
    <w:multiLevelType w:val="multilevel"/>
    <w:tmpl w:val="BB12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77327C"/>
    <w:multiLevelType w:val="hybridMultilevel"/>
    <w:tmpl w:val="19286C20"/>
    <w:lvl w:ilvl="0" w:tplc="0409000F">
      <w:start w:val="1"/>
      <w:numFmt w:val="decimal"/>
      <w:lvlText w:val="%1."/>
      <w:lvlJc w:val="left"/>
      <w:pPr>
        <w:ind w:left="35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25650E"/>
    <w:multiLevelType w:val="multilevel"/>
    <w:tmpl w:val="33F8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F81921"/>
    <w:multiLevelType w:val="multilevel"/>
    <w:tmpl w:val="9248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EF6564"/>
    <w:multiLevelType w:val="multilevel"/>
    <w:tmpl w:val="FA567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711792"/>
    <w:multiLevelType w:val="multilevel"/>
    <w:tmpl w:val="DE42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DC1F62"/>
    <w:multiLevelType w:val="multilevel"/>
    <w:tmpl w:val="4776D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D978E7"/>
    <w:multiLevelType w:val="multilevel"/>
    <w:tmpl w:val="63BC90AE"/>
    <w:lvl w:ilvl="0">
      <w:start w:val="1"/>
      <w:numFmt w:val="decimal"/>
      <w:lvlText w:val="%1."/>
      <w:lvlJc w:val="left"/>
      <w:pPr>
        <w:ind w:left="720" w:hanging="360"/>
      </w:pPr>
      <w:rPr>
        <w:rFonts w:hint="default"/>
      </w:rPr>
    </w:lvl>
    <w:lvl w:ilvl="1">
      <w:start w:val="1"/>
      <w:numFmt w:val="decimal"/>
      <w:isLgl/>
      <w:lvlText w:val="%1.%2."/>
      <w:lvlJc w:val="left"/>
      <w:pPr>
        <w:ind w:left="261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780293197">
    <w:abstractNumId w:val="11"/>
  </w:num>
  <w:num w:numId="2" w16cid:durableId="246114748">
    <w:abstractNumId w:val="5"/>
  </w:num>
  <w:num w:numId="3" w16cid:durableId="1589191805">
    <w:abstractNumId w:val="10"/>
  </w:num>
  <w:num w:numId="4" w16cid:durableId="220294778">
    <w:abstractNumId w:val="4"/>
  </w:num>
  <w:num w:numId="5" w16cid:durableId="1954438745">
    <w:abstractNumId w:val="3"/>
  </w:num>
  <w:num w:numId="6" w16cid:durableId="620503505">
    <w:abstractNumId w:val="9"/>
  </w:num>
  <w:num w:numId="7" w16cid:durableId="1210655007">
    <w:abstractNumId w:val="8"/>
  </w:num>
  <w:num w:numId="8" w16cid:durableId="1547644073">
    <w:abstractNumId w:val="7"/>
  </w:num>
  <w:num w:numId="9" w16cid:durableId="1560675776">
    <w:abstractNumId w:val="6"/>
  </w:num>
  <w:num w:numId="10" w16cid:durableId="1684892239">
    <w:abstractNumId w:val="0"/>
  </w:num>
  <w:num w:numId="11" w16cid:durableId="1852067108">
    <w:abstractNumId w:val="1"/>
  </w:num>
  <w:num w:numId="12" w16cid:durableId="7816123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A19"/>
    <w:rsid w:val="00083995"/>
    <w:rsid w:val="00096E23"/>
    <w:rsid w:val="000B7EE6"/>
    <w:rsid w:val="00116466"/>
    <w:rsid w:val="00122642"/>
    <w:rsid w:val="00176D0E"/>
    <w:rsid w:val="0019164A"/>
    <w:rsid w:val="00245EA4"/>
    <w:rsid w:val="00261FB8"/>
    <w:rsid w:val="00281389"/>
    <w:rsid w:val="002A49B0"/>
    <w:rsid w:val="002A7486"/>
    <w:rsid w:val="002C2B76"/>
    <w:rsid w:val="002F1FB6"/>
    <w:rsid w:val="00373786"/>
    <w:rsid w:val="003C3926"/>
    <w:rsid w:val="003C3EF4"/>
    <w:rsid w:val="003C4A2F"/>
    <w:rsid w:val="00411BF6"/>
    <w:rsid w:val="00421F7E"/>
    <w:rsid w:val="00462AB5"/>
    <w:rsid w:val="00486C5F"/>
    <w:rsid w:val="00496805"/>
    <w:rsid w:val="004F4DC2"/>
    <w:rsid w:val="004F6E44"/>
    <w:rsid w:val="00521C8D"/>
    <w:rsid w:val="00531216"/>
    <w:rsid w:val="00540CB6"/>
    <w:rsid w:val="00595642"/>
    <w:rsid w:val="005D5243"/>
    <w:rsid w:val="005E5C12"/>
    <w:rsid w:val="005E73E4"/>
    <w:rsid w:val="00627A19"/>
    <w:rsid w:val="006A4D82"/>
    <w:rsid w:val="006D2BE1"/>
    <w:rsid w:val="0070043E"/>
    <w:rsid w:val="00747090"/>
    <w:rsid w:val="0077611F"/>
    <w:rsid w:val="007770AB"/>
    <w:rsid w:val="007B4BDE"/>
    <w:rsid w:val="007E14EF"/>
    <w:rsid w:val="0082257B"/>
    <w:rsid w:val="0083033C"/>
    <w:rsid w:val="008521EF"/>
    <w:rsid w:val="008A183E"/>
    <w:rsid w:val="008B1AAF"/>
    <w:rsid w:val="009731FC"/>
    <w:rsid w:val="009801CC"/>
    <w:rsid w:val="009A33E0"/>
    <w:rsid w:val="00AB1CEB"/>
    <w:rsid w:val="00AC30C2"/>
    <w:rsid w:val="00AD0129"/>
    <w:rsid w:val="00B14923"/>
    <w:rsid w:val="00B24FA2"/>
    <w:rsid w:val="00B4583A"/>
    <w:rsid w:val="00BE079F"/>
    <w:rsid w:val="00C044B8"/>
    <w:rsid w:val="00C12C0A"/>
    <w:rsid w:val="00C30E00"/>
    <w:rsid w:val="00C7729F"/>
    <w:rsid w:val="00CA7016"/>
    <w:rsid w:val="00CD35EE"/>
    <w:rsid w:val="00D36F8B"/>
    <w:rsid w:val="00DA1748"/>
    <w:rsid w:val="00DD2761"/>
    <w:rsid w:val="00DE3F73"/>
    <w:rsid w:val="00E66DB6"/>
    <w:rsid w:val="00F163E8"/>
    <w:rsid w:val="00F26BA9"/>
    <w:rsid w:val="00F91CF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6277FF"/>
  <w15:chartTrackingRefBased/>
  <w15:docId w15:val="{8AECA047-958E-4351-A92A-76AD2CE0B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A19"/>
  </w:style>
  <w:style w:type="paragraph" w:styleId="Heading1">
    <w:name w:val="heading 1"/>
    <w:basedOn w:val="Normal"/>
    <w:next w:val="Normal"/>
    <w:link w:val="Heading1Char"/>
    <w:uiPriority w:val="9"/>
    <w:qFormat/>
    <w:rsid w:val="00627A19"/>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627A19"/>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627A19"/>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627A1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27A1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27A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7A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7A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7A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A19"/>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627A19"/>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627A19"/>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627A1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7A1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7A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7A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7A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7A19"/>
    <w:rPr>
      <w:rFonts w:eastAsiaTheme="majorEastAsia" w:cstheme="majorBidi"/>
      <w:color w:val="272727" w:themeColor="text1" w:themeTint="D8"/>
    </w:rPr>
  </w:style>
  <w:style w:type="paragraph" w:styleId="Title">
    <w:name w:val="Title"/>
    <w:basedOn w:val="Normal"/>
    <w:next w:val="Normal"/>
    <w:link w:val="TitleChar"/>
    <w:uiPriority w:val="10"/>
    <w:qFormat/>
    <w:rsid w:val="00627A19"/>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627A19"/>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627A19"/>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627A19"/>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627A19"/>
    <w:pPr>
      <w:spacing w:before="160"/>
      <w:jc w:val="center"/>
    </w:pPr>
    <w:rPr>
      <w:i/>
      <w:iCs/>
      <w:color w:val="404040" w:themeColor="text1" w:themeTint="BF"/>
    </w:rPr>
  </w:style>
  <w:style w:type="character" w:customStyle="1" w:styleId="QuoteChar">
    <w:name w:val="Quote Char"/>
    <w:basedOn w:val="DefaultParagraphFont"/>
    <w:link w:val="Quote"/>
    <w:uiPriority w:val="29"/>
    <w:rsid w:val="00627A19"/>
    <w:rPr>
      <w:i/>
      <w:iCs/>
      <w:color w:val="404040" w:themeColor="text1" w:themeTint="BF"/>
    </w:rPr>
  </w:style>
  <w:style w:type="paragraph" w:styleId="ListParagraph">
    <w:name w:val="List Paragraph"/>
    <w:basedOn w:val="Normal"/>
    <w:uiPriority w:val="34"/>
    <w:qFormat/>
    <w:rsid w:val="00627A19"/>
    <w:pPr>
      <w:ind w:left="720"/>
      <w:contextualSpacing/>
    </w:pPr>
  </w:style>
  <w:style w:type="character" w:styleId="IntenseEmphasis">
    <w:name w:val="Intense Emphasis"/>
    <w:basedOn w:val="DefaultParagraphFont"/>
    <w:uiPriority w:val="21"/>
    <w:qFormat/>
    <w:rsid w:val="00627A19"/>
    <w:rPr>
      <w:i/>
      <w:iCs/>
      <w:color w:val="2F5496" w:themeColor="accent1" w:themeShade="BF"/>
    </w:rPr>
  </w:style>
  <w:style w:type="paragraph" w:styleId="IntenseQuote">
    <w:name w:val="Intense Quote"/>
    <w:basedOn w:val="Normal"/>
    <w:next w:val="Normal"/>
    <w:link w:val="IntenseQuoteChar"/>
    <w:uiPriority w:val="30"/>
    <w:qFormat/>
    <w:rsid w:val="00627A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27A19"/>
    <w:rPr>
      <w:i/>
      <w:iCs/>
      <w:color w:val="2F5496" w:themeColor="accent1" w:themeShade="BF"/>
    </w:rPr>
  </w:style>
  <w:style w:type="character" w:styleId="IntenseReference">
    <w:name w:val="Intense Reference"/>
    <w:basedOn w:val="DefaultParagraphFont"/>
    <w:uiPriority w:val="32"/>
    <w:qFormat/>
    <w:rsid w:val="00627A19"/>
    <w:rPr>
      <w:b/>
      <w:bCs/>
      <w:smallCaps/>
      <w:color w:val="2F5496" w:themeColor="accent1" w:themeShade="BF"/>
      <w:spacing w:val="5"/>
    </w:rPr>
  </w:style>
  <w:style w:type="paragraph" w:styleId="Header">
    <w:name w:val="header"/>
    <w:basedOn w:val="Normal"/>
    <w:link w:val="HeaderChar"/>
    <w:uiPriority w:val="99"/>
    <w:unhideWhenUsed/>
    <w:rsid w:val="004F4D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DC2"/>
  </w:style>
  <w:style w:type="paragraph" w:styleId="Footer">
    <w:name w:val="footer"/>
    <w:basedOn w:val="Normal"/>
    <w:link w:val="FooterChar"/>
    <w:uiPriority w:val="99"/>
    <w:unhideWhenUsed/>
    <w:rsid w:val="004F4D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DC2"/>
  </w:style>
  <w:style w:type="character" w:styleId="Hyperlink">
    <w:name w:val="Hyperlink"/>
    <w:basedOn w:val="DefaultParagraphFont"/>
    <w:uiPriority w:val="99"/>
    <w:unhideWhenUsed/>
    <w:rsid w:val="004F4DC2"/>
    <w:rPr>
      <w:color w:val="0563C1" w:themeColor="hyperlink"/>
      <w:u w:val="single"/>
    </w:rPr>
  </w:style>
  <w:style w:type="table" w:styleId="PlainTable2">
    <w:name w:val="Plain Table 2"/>
    <w:basedOn w:val="TableNormal"/>
    <w:uiPriority w:val="42"/>
    <w:rsid w:val="003C39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B14923"/>
    <w:rPr>
      <w:rFonts w:ascii="Times New Roman" w:hAnsi="Times New Roman" w:cs="Angsana New"/>
    </w:rPr>
  </w:style>
  <w:style w:type="character" w:styleId="UnresolvedMention">
    <w:name w:val="Unresolved Mention"/>
    <w:basedOn w:val="DefaultParagraphFont"/>
    <w:uiPriority w:val="99"/>
    <w:semiHidden/>
    <w:unhideWhenUsed/>
    <w:rsid w:val="00B14923"/>
    <w:rPr>
      <w:color w:val="605E5C"/>
      <w:shd w:val="clear" w:color="auto" w:fill="E1DFDD"/>
    </w:rPr>
  </w:style>
  <w:style w:type="paragraph" w:customStyle="1" w:styleId="ReferHead">
    <w:name w:val="Refer Head"/>
    <w:basedOn w:val="Normal"/>
    <w:rsid w:val="00D36F8B"/>
    <w:pPr>
      <w:keepNext/>
      <w:spacing w:after="240" w:line="240" w:lineRule="auto"/>
    </w:pPr>
    <w:rPr>
      <w:rFonts w:ascii="Helvetica" w:eastAsia="Times New Roman" w:hAnsi="Helvetica" w:cs="Times New Roman"/>
      <w:b/>
      <w:caps/>
      <w:kern w:val="0"/>
      <w:sz w:val="22"/>
      <w:szCs w:val="20"/>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5.jpeg"/><Relationship Id="rId42" Type="http://schemas.openxmlformats.org/officeDocument/2006/relationships/hyperlink" Target="https://doi.org/10.1007/s12010-023-04738-w" TargetMode="External"/><Relationship Id="rId47" Type="http://schemas.openxmlformats.org/officeDocument/2006/relationships/hyperlink" Target="https://doi.org/10.3390/md19070365" TargetMode="External"/><Relationship Id="rId63" Type="http://schemas.openxmlformats.org/officeDocument/2006/relationships/hyperlink" Target="https://doi.org/10.1007/s00253-013-5229-7" TargetMode="External"/><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hyperlink" Target="https://doi.org/10.4103/0976-500X.184769" TargetMode="External"/><Relationship Id="rId40" Type="http://schemas.openxmlformats.org/officeDocument/2006/relationships/hyperlink" Target="https://doi.org/10.1099/00221287-69-1-33" TargetMode="External"/><Relationship Id="rId45" Type="http://schemas.openxmlformats.org/officeDocument/2006/relationships/hyperlink" Target="https://doi.org/10.1186/s43141-023-00612-8" TargetMode="External"/><Relationship Id="rId53" Type="http://schemas.openxmlformats.org/officeDocument/2006/relationships/hyperlink" Target="https://doi.org/10.1007/s42770-025-01710-0" TargetMode="External"/><Relationship Id="rId58" Type="http://schemas.openxmlformats.org/officeDocument/2006/relationships/hyperlink" Target="https://doi.org/10.1080/01490451.2020.1860165" TargetMode="External"/><Relationship Id="rId66" Type="http://schemas.openxmlformats.org/officeDocument/2006/relationships/hyperlink" Target="https://doi.org/10.1111/nyas.14134"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1099/00207713-44-4-846"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doi.org/10.1016/j.micres.2015.03.010" TargetMode="External"/><Relationship Id="rId43" Type="http://schemas.openxmlformats.org/officeDocument/2006/relationships/hyperlink" Target="https://doi.org/10.1099/ijs.0.018366-0" TargetMode="External"/><Relationship Id="rId48" Type="http://schemas.openxmlformats.org/officeDocument/2006/relationships/hyperlink" Target="https://doi.org/10.1038/s41598-024-73040-4" TargetMode="External"/><Relationship Id="rId56" Type="http://schemas.openxmlformats.org/officeDocument/2006/relationships/hyperlink" Target="https://doi.org/10.1007/s00203-022-03364-0" TargetMode="External"/><Relationship Id="rId64" Type="http://schemas.openxmlformats.org/officeDocument/2006/relationships/hyperlink" Target="https://doi.org/10.1099/00221287-129-6-1743" TargetMode="External"/><Relationship Id="rId69"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yperlink" Target="https://doi.org/10.1016/j.jiph.2020.06.025" TargetMode="Externa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1.xml"/><Relationship Id="rId33" Type="http://schemas.openxmlformats.org/officeDocument/2006/relationships/hyperlink" Target="https://doi.org/10.1007/s10482-011-9654-2" TargetMode="External"/><Relationship Id="rId38" Type="http://schemas.openxmlformats.org/officeDocument/2006/relationships/hyperlink" Target="https://doi.org/10.3934/microbiol.2024010" TargetMode="External"/><Relationship Id="rId46" Type="http://schemas.openxmlformats.org/officeDocument/2006/relationships/hyperlink" Target="https://doi.org/10.1128/aem.46.4.925-929.1983" TargetMode="External"/><Relationship Id="rId59" Type="http://schemas.openxmlformats.org/officeDocument/2006/relationships/hyperlink" Target="https://dx.doi.org/10.7324/JAPS.2024.139056" TargetMode="External"/><Relationship Id="rId67" Type="http://schemas.openxmlformats.org/officeDocument/2006/relationships/hyperlink" Target="https://doi.org/10.1007/s11274-013-1279-3" TargetMode="External"/><Relationship Id="rId20" Type="http://schemas.openxmlformats.org/officeDocument/2006/relationships/image" Target="media/image14.jpeg"/><Relationship Id="rId41" Type="http://schemas.openxmlformats.org/officeDocument/2006/relationships/hyperlink" Target="https://doi.org/10.1007/s10482-010-9460-2" TargetMode="External"/><Relationship Id="rId54" Type="http://schemas.openxmlformats.org/officeDocument/2006/relationships/hyperlink" Target="https://doi.org/10.1099/00207713-46-4-1088" TargetMode="External"/><Relationship Id="rId62" Type="http://schemas.openxmlformats.org/officeDocument/2006/relationships/hyperlink" Target="https://doi.org/10.1016/j.oor.2024.100184"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hyperlink" Target="https://doi.org/10.1099/ijs.0.65441-0" TargetMode="External"/><Relationship Id="rId49" Type="http://schemas.openxmlformats.org/officeDocument/2006/relationships/hyperlink" Target="https://doi.org/10.1038/189158a0" TargetMode="External"/><Relationship Id="rId57" Type="http://schemas.openxmlformats.org/officeDocument/2006/relationships/hyperlink" Target="https://doi.org/10.1007/s12088-022-01024-x" TargetMode="External"/><Relationship Id="rId10" Type="http://schemas.openxmlformats.org/officeDocument/2006/relationships/image" Target="media/image4.jpeg"/><Relationship Id="rId31" Type="http://schemas.openxmlformats.org/officeDocument/2006/relationships/image" Target="media/image24.tiff"/><Relationship Id="rId44" Type="http://schemas.openxmlformats.org/officeDocument/2006/relationships/hyperlink" Target="https://doi.org/10.1016/0385-6380(87)90108-7" TargetMode="External"/><Relationship Id="rId52" Type="http://schemas.openxmlformats.org/officeDocument/2006/relationships/hyperlink" Target="https://doi.org/10.1038/ja.2014.148" TargetMode="External"/><Relationship Id="rId60" Type="http://schemas.openxmlformats.org/officeDocument/2006/relationships/hyperlink" Target="https://doi.org/10.1016/j.microb.2024.100106" TargetMode="External"/><Relationship Id="rId65" Type="http://schemas.openxmlformats.org/officeDocument/2006/relationships/hyperlink" Target="https://doi.org/10.1099/ijs.0.028266-0" TargetMode="External"/><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doi.org/10.1093/jambio/lxaf044" TargetMode="External"/><Relationship Id="rId34" Type="http://schemas.openxmlformats.org/officeDocument/2006/relationships/hyperlink" Target="https://doi.org/10.1128/mmbr.00019-15" TargetMode="External"/><Relationship Id="rId50" Type="http://schemas.openxmlformats.org/officeDocument/2006/relationships/hyperlink" Target="https://doi.org/10.1016/j.micres.2013.07.014" TargetMode="External"/><Relationship Id="rId55" Type="http://schemas.openxmlformats.org/officeDocument/2006/relationships/hyperlink" Target="https://doi.org/10.1016/j.micres.2022.127130" TargetMode="External"/><Relationship Id="rId7" Type="http://schemas.openxmlformats.org/officeDocument/2006/relationships/image" Target="media/image1.jpeg"/><Relationship Id="rId7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335b737c4bd8a407/Documents/RB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'[RB8.xlsx]Sheet1'!$B$1</c:f>
              <c:strCache>
                <c:ptCount val="1"/>
                <c:pt idx="0">
                  <c:v>Staphylococcus aureus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'[RB8.xlsx]Sheet1'!$A$2:$A$14</c:f>
              <c:strCache>
                <c:ptCount val="13"/>
                <c:pt idx="0">
                  <c:v>RB1</c:v>
                </c:pt>
                <c:pt idx="1">
                  <c:v>RB2</c:v>
                </c:pt>
                <c:pt idx="2">
                  <c:v>RB3</c:v>
                </c:pt>
                <c:pt idx="3">
                  <c:v>RB4</c:v>
                </c:pt>
                <c:pt idx="4">
                  <c:v>RB5</c:v>
                </c:pt>
                <c:pt idx="5">
                  <c:v>RB6</c:v>
                </c:pt>
                <c:pt idx="6">
                  <c:v>RB7</c:v>
                </c:pt>
                <c:pt idx="7">
                  <c:v>RB8</c:v>
                </c:pt>
                <c:pt idx="8">
                  <c:v>RB9</c:v>
                </c:pt>
                <c:pt idx="9">
                  <c:v>RB10</c:v>
                </c:pt>
                <c:pt idx="10">
                  <c:v>RB11</c:v>
                </c:pt>
                <c:pt idx="11">
                  <c:v>RB12</c:v>
                </c:pt>
                <c:pt idx="12">
                  <c:v>RB13</c:v>
                </c:pt>
              </c:strCache>
            </c:strRef>
          </c:cat>
          <c:val>
            <c:numRef>
              <c:f>'[RB8.xlsx]Sheet1'!$B$2:$B$14</c:f>
              <c:numCache>
                <c:formatCode>General</c:formatCode>
                <c:ptCount val="13"/>
                <c:pt idx="0">
                  <c:v>23</c:v>
                </c:pt>
                <c:pt idx="1">
                  <c:v>13</c:v>
                </c:pt>
                <c:pt idx="2">
                  <c:v>20</c:v>
                </c:pt>
                <c:pt idx="3">
                  <c:v>0</c:v>
                </c:pt>
                <c:pt idx="4">
                  <c:v>19</c:v>
                </c:pt>
                <c:pt idx="5">
                  <c:v>20</c:v>
                </c:pt>
                <c:pt idx="6">
                  <c:v>16</c:v>
                </c:pt>
                <c:pt idx="7">
                  <c:v>34</c:v>
                </c:pt>
                <c:pt idx="8">
                  <c:v>25</c:v>
                </c:pt>
                <c:pt idx="9">
                  <c:v>30</c:v>
                </c:pt>
                <c:pt idx="10">
                  <c:v>0</c:v>
                </c:pt>
                <c:pt idx="11">
                  <c:v>14</c:v>
                </c:pt>
                <c:pt idx="12">
                  <c:v>19</c:v>
                </c:pt>
              </c:numCache>
            </c:numRef>
          </c:val>
          <c:extLst>
            <c:ext xmlns:c16="http://schemas.microsoft.com/office/drawing/2014/chart" uri="{C3380CC4-5D6E-409C-BE32-E72D297353CC}">
              <c16:uniqueId val="{00000000-6862-4056-A060-00F723468BDA}"/>
            </c:ext>
          </c:extLst>
        </c:ser>
        <c:ser>
          <c:idx val="1"/>
          <c:order val="1"/>
          <c:tx>
            <c:strRef>
              <c:f>'[RB8.xlsx]Sheet1'!$C$1</c:f>
              <c:strCache>
                <c:ptCount val="1"/>
                <c:pt idx="0">
                  <c:v>Escherichia coli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'[RB8.xlsx]Sheet1'!$A$2:$A$14</c:f>
              <c:strCache>
                <c:ptCount val="13"/>
                <c:pt idx="0">
                  <c:v>RB1</c:v>
                </c:pt>
                <c:pt idx="1">
                  <c:v>RB2</c:v>
                </c:pt>
                <c:pt idx="2">
                  <c:v>RB3</c:v>
                </c:pt>
                <c:pt idx="3">
                  <c:v>RB4</c:v>
                </c:pt>
                <c:pt idx="4">
                  <c:v>RB5</c:v>
                </c:pt>
                <c:pt idx="5">
                  <c:v>RB6</c:v>
                </c:pt>
                <c:pt idx="6">
                  <c:v>RB7</c:v>
                </c:pt>
                <c:pt idx="7">
                  <c:v>RB8</c:v>
                </c:pt>
                <c:pt idx="8">
                  <c:v>RB9</c:v>
                </c:pt>
                <c:pt idx="9">
                  <c:v>RB10</c:v>
                </c:pt>
                <c:pt idx="10">
                  <c:v>RB11</c:v>
                </c:pt>
                <c:pt idx="11">
                  <c:v>RB12</c:v>
                </c:pt>
                <c:pt idx="12">
                  <c:v>RB13</c:v>
                </c:pt>
              </c:strCache>
            </c:strRef>
          </c:cat>
          <c:val>
            <c:numRef>
              <c:f>'[RB8.xlsx]Sheet1'!$C$2:$C$14</c:f>
              <c:numCache>
                <c:formatCode>General</c:formatCode>
                <c:ptCount val="13"/>
                <c:pt idx="0">
                  <c:v>14</c:v>
                </c:pt>
                <c:pt idx="1">
                  <c:v>20</c:v>
                </c:pt>
                <c:pt idx="2">
                  <c:v>0</c:v>
                </c:pt>
                <c:pt idx="3">
                  <c:v>11</c:v>
                </c:pt>
                <c:pt idx="4">
                  <c:v>17</c:v>
                </c:pt>
                <c:pt idx="5">
                  <c:v>0</c:v>
                </c:pt>
                <c:pt idx="6">
                  <c:v>20</c:v>
                </c:pt>
                <c:pt idx="7">
                  <c:v>30</c:v>
                </c:pt>
                <c:pt idx="8">
                  <c:v>23</c:v>
                </c:pt>
                <c:pt idx="9">
                  <c:v>17</c:v>
                </c:pt>
                <c:pt idx="10">
                  <c:v>0</c:v>
                </c:pt>
                <c:pt idx="11">
                  <c:v>11</c:v>
                </c:pt>
                <c:pt idx="12">
                  <c:v>10</c:v>
                </c:pt>
              </c:numCache>
            </c:numRef>
          </c:val>
          <c:extLst>
            <c:ext xmlns:c16="http://schemas.microsoft.com/office/drawing/2014/chart" uri="{C3380CC4-5D6E-409C-BE32-E72D297353CC}">
              <c16:uniqueId val="{00000001-6862-4056-A060-00F723468BDA}"/>
            </c:ext>
          </c:extLst>
        </c:ser>
        <c:ser>
          <c:idx val="2"/>
          <c:order val="2"/>
          <c:tx>
            <c:strRef>
              <c:f>'[RB8.xlsx]Sheet1'!$D$1</c:f>
              <c:strCache>
                <c:ptCount val="1"/>
                <c:pt idx="0">
                  <c:v>Pseudomonas aeruginosa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'[RB8.xlsx]Sheet1'!$A$2:$A$14</c:f>
              <c:strCache>
                <c:ptCount val="13"/>
                <c:pt idx="0">
                  <c:v>RB1</c:v>
                </c:pt>
                <c:pt idx="1">
                  <c:v>RB2</c:v>
                </c:pt>
                <c:pt idx="2">
                  <c:v>RB3</c:v>
                </c:pt>
                <c:pt idx="3">
                  <c:v>RB4</c:v>
                </c:pt>
                <c:pt idx="4">
                  <c:v>RB5</c:v>
                </c:pt>
                <c:pt idx="5">
                  <c:v>RB6</c:v>
                </c:pt>
                <c:pt idx="6">
                  <c:v>RB7</c:v>
                </c:pt>
                <c:pt idx="7">
                  <c:v>RB8</c:v>
                </c:pt>
                <c:pt idx="8">
                  <c:v>RB9</c:v>
                </c:pt>
                <c:pt idx="9">
                  <c:v>RB10</c:v>
                </c:pt>
                <c:pt idx="10">
                  <c:v>RB11</c:v>
                </c:pt>
                <c:pt idx="11">
                  <c:v>RB12</c:v>
                </c:pt>
                <c:pt idx="12">
                  <c:v>RB13</c:v>
                </c:pt>
              </c:strCache>
            </c:strRef>
          </c:cat>
          <c:val>
            <c:numRef>
              <c:f>'[RB8.xlsx]Sheet1'!$D$2:$D$14</c:f>
              <c:numCache>
                <c:formatCode>General</c:formatCode>
                <c:ptCount val="13"/>
                <c:pt idx="0">
                  <c:v>11</c:v>
                </c:pt>
                <c:pt idx="1">
                  <c:v>25</c:v>
                </c:pt>
                <c:pt idx="2">
                  <c:v>18</c:v>
                </c:pt>
                <c:pt idx="3">
                  <c:v>17</c:v>
                </c:pt>
                <c:pt idx="4">
                  <c:v>12</c:v>
                </c:pt>
                <c:pt idx="5">
                  <c:v>15</c:v>
                </c:pt>
                <c:pt idx="6">
                  <c:v>19</c:v>
                </c:pt>
                <c:pt idx="7">
                  <c:v>15</c:v>
                </c:pt>
                <c:pt idx="8">
                  <c:v>20</c:v>
                </c:pt>
                <c:pt idx="9">
                  <c:v>24</c:v>
                </c:pt>
                <c:pt idx="10">
                  <c:v>14</c:v>
                </c:pt>
                <c:pt idx="11">
                  <c:v>15</c:v>
                </c:pt>
                <c:pt idx="12">
                  <c:v>19</c:v>
                </c:pt>
              </c:numCache>
            </c:numRef>
          </c:val>
          <c:extLst>
            <c:ext xmlns:c16="http://schemas.microsoft.com/office/drawing/2014/chart" uri="{C3380CC4-5D6E-409C-BE32-E72D297353CC}">
              <c16:uniqueId val="{00000002-6862-4056-A060-00F723468BDA}"/>
            </c:ext>
          </c:extLst>
        </c:ser>
        <c:ser>
          <c:idx val="3"/>
          <c:order val="3"/>
          <c:tx>
            <c:strRef>
              <c:f>'[RB8.xlsx]Sheet1'!$E$1</c:f>
              <c:strCache>
                <c:ptCount val="1"/>
                <c:pt idx="0">
                  <c:v>Candida albicans</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cat>
            <c:strRef>
              <c:f>'[RB8.xlsx]Sheet1'!$A$2:$A$14</c:f>
              <c:strCache>
                <c:ptCount val="13"/>
                <c:pt idx="0">
                  <c:v>RB1</c:v>
                </c:pt>
                <c:pt idx="1">
                  <c:v>RB2</c:v>
                </c:pt>
                <c:pt idx="2">
                  <c:v>RB3</c:v>
                </c:pt>
                <c:pt idx="3">
                  <c:v>RB4</c:v>
                </c:pt>
                <c:pt idx="4">
                  <c:v>RB5</c:v>
                </c:pt>
                <c:pt idx="5">
                  <c:v>RB6</c:v>
                </c:pt>
                <c:pt idx="6">
                  <c:v>RB7</c:v>
                </c:pt>
                <c:pt idx="7">
                  <c:v>RB8</c:v>
                </c:pt>
                <c:pt idx="8">
                  <c:v>RB9</c:v>
                </c:pt>
                <c:pt idx="9">
                  <c:v>RB10</c:v>
                </c:pt>
                <c:pt idx="10">
                  <c:v>RB11</c:v>
                </c:pt>
                <c:pt idx="11">
                  <c:v>RB12</c:v>
                </c:pt>
                <c:pt idx="12">
                  <c:v>RB13</c:v>
                </c:pt>
              </c:strCache>
            </c:strRef>
          </c:cat>
          <c:val>
            <c:numRef>
              <c:f>'[RB8.xlsx]Sheet1'!$E$2:$E$14</c:f>
              <c:numCache>
                <c:formatCode>General</c:formatCode>
                <c:ptCount val="13"/>
                <c:pt idx="0">
                  <c:v>0</c:v>
                </c:pt>
                <c:pt idx="1">
                  <c:v>0</c:v>
                </c:pt>
                <c:pt idx="2">
                  <c:v>11</c:v>
                </c:pt>
                <c:pt idx="3">
                  <c:v>16</c:v>
                </c:pt>
                <c:pt idx="4">
                  <c:v>20</c:v>
                </c:pt>
                <c:pt idx="5">
                  <c:v>13</c:v>
                </c:pt>
                <c:pt idx="6">
                  <c:v>15</c:v>
                </c:pt>
                <c:pt idx="7">
                  <c:v>28</c:v>
                </c:pt>
                <c:pt idx="8">
                  <c:v>22</c:v>
                </c:pt>
                <c:pt idx="9">
                  <c:v>20</c:v>
                </c:pt>
                <c:pt idx="10">
                  <c:v>16</c:v>
                </c:pt>
                <c:pt idx="11">
                  <c:v>19</c:v>
                </c:pt>
                <c:pt idx="12">
                  <c:v>21</c:v>
                </c:pt>
              </c:numCache>
            </c:numRef>
          </c:val>
          <c:extLst>
            <c:ext xmlns:c16="http://schemas.microsoft.com/office/drawing/2014/chart" uri="{C3380CC4-5D6E-409C-BE32-E72D297353CC}">
              <c16:uniqueId val="{00000003-6862-4056-A060-00F723468BDA}"/>
            </c:ext>
          </c:extLst>
        </c:ser>
        <c:dLbls>
          <c:showLegendKey val="0"/>
          <c:showVal val="0"/>
          <c:showCatName val="0"/>
          <c:showSerName val="0"/>
          <c:showPercent val="0"/>
          <c:showBubbleSize val="0"/>
        </c:dLbls>
        <c:gapWidth val="100"/>
        <c:overlap val="-24"/>
        <c:axId val="2101500384"/>
        <c:axId val="2101501344"/>
      </c:barChart>
      <c:catAx>
        <c:axId val="21015003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r>
                  <a:rPr lang="en-US"/>
                  <a:t>Actinomyctes isolates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2101501344"/>
        <c:crosses val="autoZero"/>
        <c:auto val="1"/>
        <c:lblAlgn val="ctr"/>
        <c:lblOffset val="100"/>
        <c:noMultiLvlLbl val="0"/>
      </c:catAx>
      <c:valAx>
        <c:axId val="210150134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r>
                  <a:rPr lang="en-US"/>
                  <a:t>Zone of inhibition (in mm)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21015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6D2C28-FBBE-4B2B-B87C-8A3B47ACD3B9}">
  <we:reference id="wa200001361" version="2.129.3.0" store="en-US" storeType="OMEX"/>
  <we:alternateReferences>
    <we:reference id="WA200001361" version="2.129.3.0" store="" storeType="OMEX"/>
  </we:alternateReferences>
  <we:properties>
    <we:property name="paperpal-document-id" value="&quot;2270e625-09a4-4b3e-b776-21a71d2f5e2a&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1029</TotalTime>
  <Pages>18</Pages>
  <Words>5420</Words>
  <Characters>34038</Characters>
  <Application>Microsoft Office Word</Application>
  <DocSecurity>0</DocSecurity>
  <Lines>618</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bhagya shree</dc:creator>
  <cp:keywords/>
  <dc:description/>
  <cp:lastModifiedBy>bhagya shree</cp:lastModifiedBy>
  <cp:revision>25</cp:revision>
  <dcterms:created xsi:type="dcterms:W3CDTF">2025-10-09T16:17:00Z</dcterms:created>
  <dcterms:modified xsi:type="dcterms:W3CDTF">2025-10-15T07:10:00Z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3d39a0b7-0fd0-44f0-86c8-59c67c02a499</vt:lpwstr>
  </property>
</Properties>
</file>