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FA1" w:rsidRPr="00403C34" w:rsidRDefault="00402FA1" w:rsidP="00441B6F">
      <w:pPr>
        <w:pStyle w:val="Author"/>
        <w:spacing w:line="240" w:lineRule="auto"/>
        <w:jc w:val="both"/>
        <w:rPr>
          <w:rFonts w:ascii="Arial" w:hAnsi="Arial" w:cs="Arial"/>
          <w:bCs/>
          <w:iCs/>
          <w:color w:val="000000" w:themeColor="text1"/>
          <w:kern w:val="28"/>
          <w:sz w:val="36"/>
        </w:rPr>
      </w:pPr>
      <w:r w:rsidRPr="00403C34">
        <w:rPr>
          <w:rFonts w:ascii="Arial" w:hAnsi="Arial" w:cs="Arial"/>
          <w:noProof/>
          <w:color w:val="000000" w:themeColor="text1"/>
          <w:lang w:val="en-IN" w:eastAsia="en-IN"/>
        </w:rPr>
        <mc:AlternateContent>
          <mc:Choice Requires="wps">
            <w:drawing>
              <wp:anchor distT="0" distB="0" distL="114300" distR="114300" simplePos="0" relativeHeight="251661312" behindDoc="0" locked="0" layoutInCell="1" allowOverlap="1" wp14:anchorId="249B61FA" wp14:editId="780A68CB">
                <wp:simplePos x="0" y="0"/>
                <wp:positionH relativeFrom="margin">
                  <wp:posOffset>-412211</wp:posOffset>
                </wp:positionH>
                <wp:positionV relativeFrom="paragraph">
                  <wp:posOffset>-211028</wp:posOffset>
                </wp:positionV>
                <wp:extent cx="1803400" cy="245534"/>
                <wp:effectExtent l="0" t="0" r="25400" b="21590"/>
                <wp:wrapNone/>
                <wp:docPr id="6" name="Rectangle 6"/>
                <wp:cNvGraphicFramePr/>
                <a:graphic xmlns:a="http://schemas.openxmlformats.org/drawingml/2006/main">
                  <a:graphicData uri="http://schemas.microsoft.com/office/word/2010/wordprocessingShape">
                    <wps:wsp>
                      <wps:cNvSpPr/>
                      <wps:spPr>
                        <a:xfrm>
                          <a:off x="0" y="0"/>
                          <a:ext cx="1803400" cy="24553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3800" w:rsidRPr="00231846" w:rsidRDefault="00D63800" w:rsidP="00402FA1">
                            <w:pPr>
                              <w:jc w:val="center"/>
                              <w:rPr>
                                <w:b/>
                                <w:i/>
                              </w:rPr>
                            </w:pPr>
                            <w:r w:rsidRPr="00231846">
                              <w:rPr>
                                <w:rFonts w:ascii="Arial" w:hAnsi="Arial" w:cs="Arial"/>
                                <w:b/>
                                <w:i/>
                                <w:color w:val="000000" w:themeColor="text1"/>
                              </w:rPr>
                              <w:t>Original 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B61FA" id="Rectangle 6" o:spid="_x0000_s1026" style="position:absolute;left:0;text-align:left;margin-left:-32.45pt;margin-top:-16.6pt;width:142pt;height:1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zsnwIAAJkFAAAOAAAAZHJzL2Uyb0RvYy54bWysVMFu2zAMvQ/YPwi6r47TpOuMOkXQosOA&#10;oi3aDj0rshQbkEVNUmJnXz9Kst2sK3YYloNCmuSj+ETy4rJvFdkL6xrQJc1PZpQIzaFq9Lak359v&#10;Pp1T4jzTFVOgRUkPwtHL1ccPF50pxBxqUJWwBEG0KzpT0tp7U2SZ47VomTsBIzQaJdiWeVTtNqss&#10;6xC9Vdl8NjvLOrCVscCFc/j1OhnpKuJLKbi/l9IJT1RJ8W4+njaem3BmqwtWbC0zdcOHa7B/uEXL&#10;Go1JJ6hr5hnZ2eYPqLbhFhxIf8KhzUDKhotYA1aTz95U81QzI2ItSI4zE03u/8Hyu/2DJU1V0jNK&#10;NGvxiR6RNKa3SpCzQE9nXIFeT+bBDppDMdTaS9uGf6yC9JHSw0Sp6D3h+DE/n50uZsg8R9t8sVye&#10;LgJo9hptrPNfBbQkCCW1mD0yyfa3zifX0SUk03DTKIXfWaE06TDD/DPiB92BaqpgjUroIHGlLNkz&#10;fHvf50PeIy+8hdJ4mVBiKipK/qBEwn8UErnBMuYpwe+YjHOhfZ5MNatESrWc4W9MNkbEkpVGwIAs&#10;8ZIT9gAweiaQETsRMPiHUBGbegoeKv9b8BQRM4P2U3DbaLDvVaawqiFz8h9JStQElny/6dEliBuo&#10;DthEFtJ0OcNvGnzLW+b8A7M4Tvj8uCL8PR5SAb4ZDBIlNdif730P/tjlaKWkw/EsqfuxY1ZQor5p&#10;7P8v+WIR5jkqi+XnOSr22LI5tuhdewXYBTkuI8OjGPy9GkVpoX3BTbIOWdHENMfcJeXejsqVT2sD&#10;dxEX63V0wxk2zN/qJ8MDeCA49Opz/8KsGRra4yjcwTjKrHjT18k3RGpY7zzIJjb9K68D9Tj/sYeG&#10;XRUWzLEevV436uoXAAAA//8DAFBLAwQUAAYACAAAACEADqC4FOIAAAAJAQAADwAAAGRycy9kb3du&#10;cmV2LnhtbEyPwU7DMAyG70i8Q2QkLtOWtmPTVppOCATaASExxoFb2pimrHGqJtvK22NOcLPlT7+/&#10;v9iMrhMnHELrSUE6S0Ag1d601CjYvz1OVyBC1GR05wkVfGOATXl5Uejc+DO94mkXG8EhFHKtwMbY&#10;51KG2qLTYeZ7JL59+sHpyOvQSDPoM4e7TmZJspROt8QfrO7x3mJ92B2dgo/tGJuv9Ck+H/TkfbK1&#10;Vf3yUCl1fTXe3YKIOMY/GH71WR1Kdqr8kUwQnYLp8mbNKA/zeQaCiSxdpyAqBYsFyLKQ/xuUPwAA&#10;AP//AwBQSwECLQAUAAYACAAAACEAtoM4kv4AAADhAQAAEwAAAAAAAAAAAAAAAAAAAAAAW0NvbnRl&#10;bnRfVHlwZXNdLnhtbFBLAQItABQABgAIAAAAIQA4/SH/1gAAAJQBAAALAAAAAAAAAAAAAAAAAC8B&#10;AABfcmVscy8ucmVsc1BLAQItABQABgAIAAAAIQBxH1zsnwIAAJkFAAAOAAAAAAAAAAAAAAAAAC4C&#10;AABkcnMvZTJvRG9jLnhtbFBLAQItABQABgAIAAAAIQAOoLgU4gAAAAkBAAAPAAAAAAAAAAAAAAAA&#10;APkEAABkcnMvZG93bnJldi54bWxQSwUGAAAAAAQABADzAAAACAYAAAAA&#10;" filled="f" strokecolor="black [3213]" strokeweight="1pt">
                <v:textbox>
                  <w:txbxContent>
                    <w:p w:rsidR="00D63800" w:rsidRPr="00231846" w:rsidRDefault="00D63800" w:rsidP="00402FA1">
                      <w:pPr>
                        <w:jc w:val="center"/>
                        <w:rPr>
                          <w:b/>
                          <w:i/>
                        </w:rPr>
                      </w:pPr>
                      <w:r w:rsidRPr="00231846">
                        <w:rPr>
                          <w:rFonts w:ascii="Arial" w:hAnsi="Arial" w:cs="Arial"/>
                          <w:b/>
                          <w:i/>
                          <w:color w:val="000000" w:themeColor="text1"/>
                        </w:rPr>
                        <w:t>Original Research Article</w:t>
                      </w:r>
                    </w:p>
                  </w:txbxContent>
                </v:textbox>
                <w10:wrap anchorx="margin"/>
              </v:rect>
            </w:pict>
          </mc:Fallback>
        </mc:AlternateContent>
      </w:r>
    </w:p>
    <w:p w:rsidR="00402FA1" w:rsidRPr="00403C34" w:rsidRDefault="00402FA1" w:rsidP="00441B6F">
      <w:pPr>
        <w:pStyle w:val="Author"/>
        <w:spacing w:line="240" w:lineRule="auto"/>
        <w:jc w:val="both"/>
        <w:rPr>
          <w:rFonts w:ascii="Arial" w:hAnsi="Arial" w:cs="Arial"/>
          <w:bCs/>
          <w:iCs/>
          <w:color w:val="000000" w:themeColor="text1"/>
          <w:kern w:val="28"/>
          <w:sz w:val="36"/>
        </w:rPr>
      </w:pPr>
    </w:p>
    <w:p w:rsidR="00794385" w:rsidRPr="00403C34" w:rsidRDefault="00D35211" w:rsidP="00441B6F">
      <w:pPr>
        <w:pStyle w:val="Author"/>
        <w:spacing w:line="240" w:lineRule="auto"/>
        <w:jc w:val="both"/>
        <w:rPr>
          <w:rFonts w:ascii="Arial" w:hAnsi="Arial" w:cs="Arial"/>
          <w:bCs/>
          <w:iCs/>
          <w:color w:val="000000" w:themeColor="text1"/>
          <w:kern w:val="28"/>
          <w:sz w:val="36"/>
        </w:rPr>
      </w:pPr>
      <w:r w:rsidRPr="00403C34">
        <w:rPr>
          <w:rFonts w:ascii="Arial" w:hAnsi="Arial" w:cs="Arial"/>
          <w:bCs/>
          <w:iCs/>
          <w:color w:val="000000" w:themeColor="text1"/>
          <w:kern w:val="28"/>
          <w:sz w:val="36"/>
        </w:rPr>
        <w:t>Constraints in Popularizing Nutri-Sensitive Agriculture in Home Gardens of Kerala: A Regional Comparative Study</w:t>
      </w:r>
    </w:p>
    <w:p w:rsidR="00D35211" w:rsidRPr="00403C34" w:rsidRDefault="00D35211" w:rsidP="00441B6F">
      <w:pPr>
        <w:pStyle w:val="Author"/>
        <w:spacing w:line="240" w:lineRule="auto"/>
        <w:jc w:val="both"/>
        <w:rPr>
          <w:rFonts w:ascii="Arial" w:hAnsi="Arial" w:cs="Arial"/>
          <w:color w:val="000000" w:themeColor="text1"/>
          <w:sz w:val="36"/>
        </w:rPr>
      </w:pPr>
    </w:p>
    <w:p w:rsidR="003E045E" w:rsidRPr="00403C34" w:rsidRDefault="003E045E" w:rsidP="003E045E">
      <w:pPr>
        <w:pStyle w:val="Affiliation"/>
        <w:tabs>
          <w:tab w:val="left" w:pos="1520"/>
          <w:tab w:val="right" w:pos="8208"/>
        </w:tabs>
        <w:spacing w:after="0" w:line="240" w:lineRule="auto"/>
        <w:jc w:val="left"/>
        <w:rPr>
          <w:rFonts w:ascii="Arial" w:hAnsi="Arial" w:cs="Arial"/>
          <w:color w:val="000000" w:themeColor="text1"/>
        </w:rPr>
      </w:pPr>
      <w:r w:rsidRPr="00403C34">
        <w:rPr>
          <w:rFonts w:ascii="Arial" w:hAnsi="Arial" w:cs="Arial"/>
          <w:color w:val="000000" w:themeColor="text1"/>
        </w:rPr>
        <w:tab/>
      </w:r>
    </w:p>
    <w:p w:rsidR="003E045E" w:rsidRPr="00403C34" w:rsidRDefault="003E045E" w:rsidP="003E045E">
      <w:pPr>
        <w:pStyle w:val="Affiliation"/>
        <w:spacing w:after="0" w:line="240" w:lineRule="auto"/>
        <w:rPr>
          <w:rFonts w:ascii="Arial" w:hAnsi="Arial" w:cs="Arial"/>
          <w:b/>
          <w:color w:val="000000" w:themeColor="text1"/>
        </w:rPr>
      </w:pPr>
    </w:p>
    <w:p w:rsidR="00B01FCD" w:rsidRPr="00403C34" w:rsidRDefault="0052153A" w:rsidP="00441B6F">
      <w:pPr>
        <w:pStyle w:val="Copyright"/>
        <w:spacing w:after="0" w:line="240" w:lineRule="auto"/>
        <w:jc w:val="both"/>
        <w:rPr>
          <w:rFonts w:ascii="Arial" w:hAnsi="Arial" w:cs="Arial"/>
          <w:color w:val="000000" w:themeColor="text1"/>
        </w:rPr>
        <w:sectPr w:rsidR="00B01FCD" w:rsidRPr="00403C34" w:rsidSect="0087550A">
          <w:headerReference w:type="even" r:id="rId8"/>
          <w:headerReference w:type="default" r:id="rId9"/>
          <w:headerReference w:type="first" r:id="rId10"/>
          <w:footerReference w:type="first" r:id="rId11"/>
          <w:pgSz w:w="12240" w:h="15840" w:code="1"/>
          <w:pgMar w:top="1440" w:right="2016" w:bottom="2016" w:left="2016" w:header="720" w:footer="1296" w:gutter="0"/>
          <w:cols w:space="720"/>
          <w:titlePg/>
          <w:docGrid w:linePitch="272"/>
        </w:sectPr>
      </w:pPr>
      <w:r w:rsidRPr="00403C34">
        <w:rPr>
          <w:rFonts w:ascii="Arial" w:hAnsi="Arial" w:cs="Arial"/>
          <w:noProof/>
          <w:color w:val="000000" w:themeColor="text1"/>
          <w:lang w:val="en-IN" w:eastAsia="en-IN"/>
        </w:rPr>
        <mc:AlternateContent>
          <mc:Choice Requires="wps">
            <w:drawing>
              <wp:inline distT="0" distB="0" distL="0" distR="0">
                <wp:extent cx="5303520" cy="0"/>
                <wp:effectExtent l="13335" t="13335" r="17145" b="1524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A75AAD0" id="_x0000_t32" coordsize="21600,21600" o:spt="32" o:oned="t" path="m,l21600,21600e" filled="f">
                <v:path arrowok="t" fillok="f" o:connecttype="none"/>
                <o:lock v:ext="edit" shapetype="t"/>
              </v:shapetype>
              <v:shape id="AutoShape 5"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pk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W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x8r6ZB8CAAA8BAAADgAAAAAAAAAAAAAAAAAuAgAAZHJzL2Uyb0RvYy54bWxQSwECLQAUAAYA&#10;CAAAACEAEUgwYNYAAAACAQAADwAAAAAAAAAAAAAAAAB5BAAAZHJzL2Rvd25yZXYueG1sUEsFBgAA&#10;AAAEAAQA8wAAAHwFAAAAAA==&#10;" strokeweight="1.5pt">
                <w10:anchorlock/>
              </v:shape>
            </w:pict>
          </mc:Fallback>
        </mc:AlternateContent>
      </w:r>
      <w:r w:rsidR="00FB3A86" w:rsidRPr="00403C34">
        <w:rPr>
          <w:rFonts w:ascii="Arial" w:hAnsi="Arial" w:cs="Arial"/>
          <w:color w:val="000000" w:themeColor="text1"/>
        </w:rPr>
        <w:t>.</w:t>
      </w:r>
    </w:p>
    <w:p w:rsidR="00B01FCD" w:rsidRPr="00403C34" w:rsidRDefault="00B01FCD" w:rsidP="00441B6F">
      <w:pPr>
        <w:pStyle w:val="AbstHead"/>
        <w:spacing w:after="0"/>
        <w:jc w:val="both"/>
        <w:rPr>
          <w:rFonts w:ascii="Arial" w:hAnsi="Arial" w:cs="Arial"/>
          <w:color w:val="000000" w:themeColor="text1"/>
        </w:rPr>
      </w:pPr>
      <w:r w:rsidRPr="00403C34">
        <w:rPr>
          <w:rFonts w:ascii="Arial" w:hAnsi="Arial" w:cs="Arial"/>
          <w:color w:val="000000" w:themeColor="text1"/>
        </w:rPr>
        <w:t>ABSTRACT</w:t>
      </w:r>
    </w:p>
    <w:p w:rsidR="00790ADA" w:rsidRPr="00403C34"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30"/>
      </w:tblGrid>
      <w:tr w:rsidR="00296529" w:rsidRPr="00403C34" w:rsidTr="001E44FE">
        <w:tc>
          <w:tcPr>
            <w:tcW w:w="9576" w:type="dxa"/>
            <w:shd w:val="clear" w:color="auto" w:fill="F2F2F2"/>
          </w:tcPr>
          <w:p w:rsidR="00E3114E" w:rsidRPr="00403C34" w:rsidRDefault="00E3114E" w:rsidP="00441B6F">
            <w:pPr>
              <w:pStyle w:val="Body"/>
              <w:spacing w:after="0"/>
              <w:rPr>
                <w:rFonts w:ascii="Arial" w:eastAsia="Calibri" w:hAnsi="Arial" w:cs="Arial"/>
                <w:b/>
                <w:color w:val="000000" w:themeColor="text1"/>
                <w:szCs w:val="22"/>
              </w:rPr>
            </w:pPr>
          </w:p>
          <w:p w:rsidR="00505F06" w:rsidRPr="00F319E9" w:rsidRDefault="005E731C" w:rsidP="00441B6F">
            <w:pPr>
              <w:pStyle w:val="Body"/>
              <w:spacing w:after="0"/>
              <w:rPr>
                <w:rFonts w:ascii="Arial" w:hAnsi="Arial" w:cs="Arial"/>
              </w:rPr>
            </w:pPr>
            <w:r w:rsidRPr="00F319E9">
              <w:rPr>
                <w:rFonts w:ascii="Arial" w:hAnsi="Arial" w:cs="Arial"/>
              </w:rPr>
              <w:t>This study aimed to identify and prioritize the key constraints hindering the adoption of Nutri-Sensitive Agriculture (NSA) in home gardens across Kerala. An ex-post facto research design was used, and data were collected from 180 farm households in Kasaragod, Thrissur, and Thiruvananthapuram using a multistage random sampling method. A structured, pre-tested interview schedule gathered information on twenty potential constraints categorized under ecological, economic, institutional, and socio-personal domains, which were ranked using Garrett’s ranking technique. The findings revealed notable re</w:t>
            </w:r>
            <w:r w:rsidR="00D63800">
              <w:rPr>
                <w:rFonts w:ascii="Arial" w:hAnsi="Arial" w:cs="Arial"/>
              </w:rPr>
              <w:t>gional variations. I</w:t>
            </w:r>
            <w:r w:rsidRPr="00F319E9">
              <w:rPr>
                <w:rFonts w:ascii="Arial" w:hAnsi="Arial" w:cs="Arial"/>
              </w:rPr>
              <w:t>n Kasaragod, lack of financial support</w:t>
            </w:r>
            <w:r w:rsidR="009505EE" w:rsidRPr="00F319E9">
              <w:rPr>
                <w:rFonts w:ascii="Arial" w:hAnsi="Arial" w:cs="Arial"/>
              </w:rPr>
              <w:t xml:space="preserve"> (mean score 53.98)</w:t>
            </w:r>
            <w:r w:rsidRPr="00F319E9">
              <w:rPr>
                <w:rFonts w:ascii="Arial" w:hAnsi="Arial" w:cs="Arial"/>
              </w:rPr>
              <w:t xml:space="preserve"> and climatic variability</w:t>
            </w:r>
            <w:r w:rsidR="009505EE" w:rsidRPr="00F319E9">
              <w:rPr>
                <w:rFonts w:ascii="Arial" w:hAnsi="Arial" w:cs="Arial"/>
              </w:rPr>
              <w:t xml:space="preserve"> (53.35)</w:t>
            </w:r>
            <w:r w:rsidRPr="00F319E9">
              <w:rPr>
                <w:rFonts w:ascii="Arial" w:hAnsi="Arial" w:cs="Arial"/>
              </w:rPr>
              <w:t xml:space="preserve"> were most critical; in Thrissur, wild animal attacks</w:t>
            </w:r>
            <w:r w:rsidR="009505EE" w:rsidRPr="00F319E9">
              <w:rPr>
                <w:rFonts w:ascii="Arial" w:hAnsi="Arial" w:cs="Arial"/>
              </w:rPr>
              <w:t xml:space="preserve"> (72.77)</w:t>
            </w:r>
            <w:r w:rsidRPr="00F319E9">
              <w:rPr>
                <w:rFonts w:ascii="Arial" w:hAnsi="Arial" w:cs="Arial"/>
              </w:rPr>
              <w:t xml:space="preserve"> and climatic stress</w:t>
            </w:r>
            <w:r w:rsidR="009505EE" w:rsidRPr="00F319E9">
              <w:rPr>
                <w:rFonts w:ascii="Arial" w:hAnsi="Arial" w:cs="Arial"/>
              </w:rPr>
              <w:t xml:space="preserve"> (58.25)</w:t>
            </w:r>
            <w:r w:rsidRPr="00F319E9">
              <w:rPr>
                <w:rFonts w:ascii="Arial" w:hAnsi="Arial" w:cs="Arial"/>
              </w:rPr>
              <w:t xml:space="preserve"> prevailed; and in Thiruvananthapuram, financial constraints</w:t>
            </w:r>
            <w:r w:rsidR="009505EE" w:rsidRPr="00F319E9">
              <w:rPr>
                <w:rFonts w:ascii="Arial" w:hAnsi="Arial" w:cs="Arial"/>
              </w:rPr>
              <w:t xml:space="preserve"> (65.18)</w:t>
            </w:r>
            <w:r w:rsidRPr="00F319E9">
              <w:rPr>
                <w:rFonts w:ascii="Arial" w:hAnsi="Arial" w:cs="Arial"/>
              </w:rPr>
              <w:t>, climatic variability</w:t>
            </w:r>
            <w:r w:rsidR="009505EE" w:rsidRPr="00F319E9">
              <w:rPr>
                <w:rFonts w:ascii="Arial" w:hAnsi="Arial" w:cs="Arial"/>
              </w:rPr>
              <w:t xml:space="preserve"> (64.85)</w:t>
            </w:r>
            <w:r w:rsidRPr="00F319E9">
              <w:rPr>
                <w:rFonts w:ascii="Arial" w:hAnsi="Arial" w:cs="Arial"/>
              </w:rPr>
              <w:t>, and land fragmentation</w:t>
            </w:r>
            <w:r w:rsidR="009505EE" w:rsidRPr="00F319E9">
              <w:rPr>
                <w:rFonts w:ascii="Arial" w:hAnsi="Arial" w:cs="Arial"/>
              </w:rPr>
              <w:t xml:space="preserve"> (64.37)</w:t>
            </w:r>
            <w:r w:rsidRPr="00F319E9">
              <w:rPr>
                <w:rFonts w:ascii="Arial" w:hAnsi="Arial" w:cs="Arial"/>
              </w:rPr>
              <w:t xml:space="preserve"> were most severe. Farmers’ interest in adopting NSA may vary depending on income from other crops, highlighting that the adoption of nutrition-sensitive practices is context-specific. At the state level, lack of financial support</w:t>
            </w:r>
            <w:r w:rsidR="009505EE" w:rsidRPr="00F319E9">
              <w:rPr>
                <w:rFonts w:ascii="Arial" w:hAnsi="Arial" w:cs="Arial"/>
              </w:rPr>
              <w:t xml:space="preserve"> (58.94)</w:t>
            </w:r>
            <w:r w:rsidRPr="00F319E9">
              <w:rPr>
                <w:rFonts w:ascii="Arial" w:hAnsi="Arial" w:cs="Arial"/>
              </w:rPr>
              <w:t>, climatic variability</w:t>
            </w:r>
            <w:r w:rsidR="009505EE" w:rsidRPr="00F319E9">
              <w:rPr>
                <w:rFonts w:ascii="Arial" w:hAnsi="Arial" w:cs="Arial"/>
              </w:rPr>
              <w:t xml:space="preserve"> (58.82)</w:t>
            </w:r>
            <w:r w:rsidRPr="00F319E9">
              <w:rPr>
                <w:rFonts w:ascii="Arial" w:hAnsi="Arial" w:cs="Arial"/>
              </w:rPr>
              <w:t>, and wild animal menace</w:t>
            </w:r>
            <w:r w:rsidR="009505EE" w:rsidRPr="00F319E9">
              <w:rPr>
                <w:rFonts w:ascii="Arial" w:hAnsi="Arial" w:cs="Arial"/>
              </w:rPr>
              <w:t xml:space="preserve"> (57.26)</w:t>
            </w:r>
            <w:r w:rsidRPr="00F319E9">
              <w:rPr>
                <w:rFonts w:ascii="Arial" w:hAnsi="Arial" w:cs="Arial"/>
              </w:rPr>
              <w:t xml:space="preserve"> were identified as top constraints, while socio-personal factors such as literacy, irrigation, and family support were less influential. The study emphasizes the role of ecological pressures, financial barriers, and knowledge gaps in hindering NSA adoption, and recommends region-specific interventions, including irrigation support in the north, wildlife management in the central region, and land-use planning in the south, alongside statewide efforts to improve credit access, reduce input costs, and promote climate-resilient farming practices. These findings provide valuable insights for policymakers, extension workers, and researchers to strengthen home gardens and support nutrition-sensitive farming across Kerala</w:t>
            </w:r>
          </w:p>
          <w:p w:rsidR="005E731C" w:rsidRPr="00403C34" w:rsidRDefault="005E731C" w:rsidP="00441B6F">
            <w:pPr>
              <w:pStyle w:val="Body"/>
              <w:spacing w:after="0"/>
              <w:rPr>
                <w:rFonts w:ascii="Arial" w:eastAsia="Calibri" w:hAnsi="Arial" w:cs="Arial"/>
                <w:color w:val="000000" w:themeColor="text1"/>
                <w:szCs w:val="22"/>
              </w:rPr>
            </w:pPr>
          </w:p>
        </w:tc>
      </w:tr>
    </w:tbl>
    <w:p w:rsidR="00636EB2" w:rsidRPr="00403C34" w:rsidRDefault="00636EB2" w:rsidP="00441B6F">
      <w:pPr>
        <w:pStyle w:val="Body"/>
        <w:spacing w:after="0"/>
        <w:rPr>
          <w:rFonts w:ascii="Arial" w:hAnsi="Arial" w:cs="Arial"/>
          <w:i/>
          <w:color w:val="000000" w:themeColor="text1"/>
        </w:rPr>
      </w:pPr>
    </w:p>
    <w:p w:rsidR="000F1BF1" w:rsidRPr="00403C34" w:rsidRDefault="00A24E7E" w:rsidP="008330CA">
      <w:pPr>
        <w:pStyle w:val="Body"/>
        <w:spacing w:after="0"/>
        <w:rPr>
          <w:rFonts w:ascii="Arial" w:hAnsi="Arial" w:cs="Arial"/>
          <w:i/>
          <w:color w:val="000000" w:themeColor="text1"/>
        </w:rPr>
      </w:pPr>
      <w:r w:rsidRPr="00403C34">
        <w:rPr>
          <w:rFonts w:ascii="Arial" w:hAnsi="Arial" w:cs="Arial"/>
          <w:i/>
          <w:color w:val="000000" w:themeColor="text1"/>
        </w:rPr>
        <w:t xml:space="preserve">Keywords: </w:t>
      </w:r>
      <w:r w:rsidR="002E1277" w:rsidRPr="00403C34">
        <w:rPr>
          <w:rFonts w:ascii="Arial" w:hAnsi="Arial" w:cs="Arial"/>
          <w:i/>
          <w:color w:val="000000" w:themeColor="text1"/>
        </w:rPr>
        <w:t>Nutri-Sensitive Agriculture, Home Gardens, Kerala, Constraints, Regional Variations, Financial Support, Climatic Variability, Sustainable Agriculture</w:t>
      </w:r>
    </w:p>
    <w:p w:rsidR="008330CA" w:rsidRPr="00403C34" w:rsidRDefault="008330CA" w:rsidP="008330CA">
      <w:pPr>
        <w:pStyle w:val="Body"/>
        <w:spacing w:after="0"/>
        <w:rPr>
          <w:rFonts w:ascii="Arial" w:hAnsi="Arial" w:cs="Arial"/>
          <w:i/>
          <w:color w:val="000000" w:themeColor="text1"/>
        </w:rPr>
      </w:pPr>
    </w:p>
    <w:p w:rsidR="008330CA" w:rsidRPr="00403C34" w:rsidRDefault="008330CA" w:rsidP="008330CA">
      <w:pPr>
        <w:pStyle w:val="Body"/>
        <w:spacing w:after="0"/>
        <w:rPr>
          <w:rFonts w:ascii="Arial" w:hAnsi="Arial" w:cs="Arial"/>
          <w:i/>
          <w:color w:val="000000" w:themeColor="text1"/>
        </w:rPr>
        <w:sectPr w:rsidR="008330CA" w:rsidRPr="00403C34" w:rsidSect="002C1F1C">
          <w:type w:val="continuous"/>
          <w:pgSz w:w="12240" w:h="15840"/>
          <w:pgMar w:top="1440" w:right="1800" w:bottom="1440" w:left="1800" w:header="720" w:footer="720" w:gutter="0"/>
          <w:cols w:space="720"/>
          <w:docGrid w:linePitch="360"/>
        </w:sectPr>
      </w:pPr>
    </w:p>
    <w:p w:rsidR="007F7B32" w:rsidRPr="00403C34" w:rsidRDefault="00902823" w:rsidP="00441B6F">
      <w:pPr>
        <w:pStyle w:val="AbstHead"/>
        <w:spacing w:after="0"/>
        <w:jc w:val="both"/>
        <w:rPr>
          <w:rFonts w:ascii="Arial" w:hAnsi="Arial" w:cs="Arial"/>
          <w:color w:val="000000" w:themeColor="text1"/>
        </w:rPr>
      </w:pPr>
      <w:r w:rsidRPr="00403C34">
        <w:rPr>
          <w:rFonts w:ascii="Arial" w:hAnsi="Arial" w:cs="Arial"/>
          <w:color w:val="000000" w:themeColor="text1"/>
        </w:rPr>
        <w:t xml:space="preserve">1. </w:t>
      </w:r>
      <w:r w:rsidR="00B01FCD" w:rsidRPr="00403C34">
        <w:rPr>
          <w:rFonts w:ascii="Arial" w:hAnsi="Arial" w:cs="Arial"/>
          <w:color w:val="000000" w:themeColor="text1"/>
        </w:rPr>
        <w:t>INTRODUCTION</w:t>
      </w:r>
      <w:r w:rsidR="007F7B32" w:rsidRPr="00403C34">
        <w:rPr>
          <w:rFonts w:ascii="Arial" w:hAnsi="Arial" w:cs="Arial"/>
          <w:color w:val="000000" w:themeColor="text1"/>
        </w:rPr>
        <w:t xml:space="preserve"> </w:t>
      </w:r>
    </w:p>
    <w:p w:rsidR="00790ADA" w:rsidRPr="00403C34" w:rsidRDefault="00790ADA" w:rsidP="00441B6F">
      <w:pPr>
        <w:pStyle w:val="AbstHead"/>
        <w:spacing w:after="0"/>
        <w:jc w:val="both"/>
        <w:rPr>
          <w:rFonts w:ascii="Arial" w:hAnsi="Arial" w:cs="Arial"/>
          <w:color w:val="000000" w:themeColor="text1"/>
        </w:rPr>
      </w:pPr>
    </w:p>
    <w:p w:rsidR="002E1277" w:rsidRPr="00403C34" w:rsidRDefault="002E1277" w:rsidP="002E1277">
      <w:pPr>
        <w:pStyle w:val="Body"/>
        <w:rPr>
          <w:rFonts w:ascii="Arial" w:hAnsi="Arial" w:cs="Arial"/>
          <w:color w:val="000000" w:themeColor="text1"/>
        </w:rPr>
      </w:pPr>
      <w:r w:rsidRPr="00403C34">
        <w:rPr>
          <w:rFonts w:ascii="Arial" w:hAnsi="Arial" w:cs="Arial"/>
          <w:color w:val="000000" w:themeColor="text1"/>
        </w:rPr>
        <w:t>Agriculture is fundamental to food and nutrition security, especially in regions facing malnutrition and dietary imbalances. Nutri-</w:t>
      </w:r>
      <w:r w:rsidRPr="00403C34">
        <w:rPr>
          <w:rFonts w:ascii="Arial" w:hAnsi="Arial" w:cs="Arial"/>
          <w:color w:val="000000" w:themeColor="text1"/>
        </w:rPr>
        <w:t xml:space="preserve">Sensitive Agriculture (NSA) focuses on linking agricultural production with improved dietary outcomes, emphasizing diversification, year-round availability of nutrient-rich foods, and farming practices that </w:t>
      </w:r>
      <w:r w:rsidRPr="00403C34">
        <w:rPr>
          <w:rFonts w:ascii="Arial" w:hAnsi="Arial" w:cs="Arial"/>
          <w:color w:val="000000" w:themeColor="text1"/>
        </w:rPr>
        <w:lastRenderedPageBreak/>
        <w:t xml:space="preserve">enhance resilience (FAO, 2017; </w:t>
      </w:r>
      <w:proofErr w:type="spellStart"/>
      <w:r w:rsidRPr="00403C34">
        <w:rPr>
          <w:rFonts w:ascii="Arial" w:hAnsi="Arial" w:cs="Arial"/>
          <w:color w:val="000000" w:themeColor="text1"/>
        </w:rPr>
        <w:t>Pingali</w:t>
      </w:r>
      <w:proofErr w:type="spellEnd"/>
      <w:r w:rsidRPr="00403C34">
        <w:rPr>
          <w:rFonts w:ascii="Arial" w:hAnsi="Arial" w:cs="Arial"/>
          <w:color w:val="000000" w:themeColor="text1"/>
        </w:rPr>
        <w:t>, 2015).</w:t>
      </w:r>
    </w:p>
    <w:p w:rsidR="002E1277" w:rsidRPr="00403C34" w:rsidRDefault="002E1277" w:rsidP="002E1277">
      <w:pPr>
        <w:pStyle w:val="Body"/>
        <w:rPr>
          <w:rFonts w:ascii="Arial" w:hAnsi="Arial" w:cs="Arial"/>
          <w:color w:val="000000" w:themeColor="text1"/>
        </w:rPr>
      </w:pPr>
      <w:r w:rsidRPr="00403C34">
        <w:rPr>
          <w:rFonts w:ascii="Arial" w:hAnsi="Arial" w:cs="Arial"/>
          <w:color w:val="000000" w:themeColor="text1"/>
        </w:rPr>
        <w:t>Home gardens are a practical approach to NSA, integrating vegetables, fruits, tubers, spices, and small livestock within limited spaces to ensure a continuous food supply and ecological benefits (</w:t>
      </w:r>
      <w:proofErr w:type="spellStart"/>
      <w:r w:rsidRPr="00403C34">
        <w:rPr>
          <w:rFonts w:ascii="Arial" w:hAnsi="Arial" w:cs="Arial"/>
          <w:color w:val="000000" w:themeColor="text1"/>
        </w:rPr>
        <w:t>Galhena</w:t>
      </w:r>
      <w:proofErr w:type="spellEnd"/>
      <w:r w:rsidRPr="00403C34">
        <w:rPr>
          <w:rFonts w:ascii="Arial" w:hAnsi="Arial" w:cs="Arial"/>
          <w:color w:val="000000" w:themeColor="text1"/>
        </w:rPr>
        <w:t xml:space="preserve"> et al., 2013). In Kerala, home gardens are a long-standing cultural feature, supporting household nutrition and supplementing farm income (Jose &amp; </w:t>
      </w:r>
      <w:proofErr w:type="spellStart"/>
      <w:r w:rsidRPr="00403C34">
        <w:rPr>
          <w:rFonts w:ascii="Arial" w:hAnsi="Arial" w:cs="Arial"/>
          <w:color w:val="000000" w:themeColor="text1"/>
        </w:rPr>
        <w:t>Shanmugaratnam</w:t>
      </w:r>
      <w:proofErr w:type="spellEnd"/>
      <w:r w:rsidRPr="00403C34">
        <w:rPr>
          <w:rFonts w:ascii="Arial" w:hAnsi="Arial" w:cs="Arial"/>
          <w:color w:val="000000" w:themeColor="text1"/>
        </w:rPr>
        <w:t>, 1993).</w:t>
      </w:r>
    </w:p>
    <w:p w:rsidR="00B615D3" w:rsidRPr="00403C34" w:rsidRDefault="00350EA3" w:rsidP="00B615D3">
      <w:pPr>
        <w:pStyle w:val="Body"/>
        <w:rPr>
          <w:rFonts w:ascii="Arial" w:hAnsi="Arial" w:cs="Arial"/>
          <w:color w:val="000000" w:themeColor="text1"/>
        </w:rPr>
      </w:pPr>
      <w:r w:rsidRPr="00403C34">
        <w:rPr>
          <w:rFonts w:ascii="Arial" w:hAnsi="Arial" w:cs="Arial"/>
          <w:color w:val="000000" w:themeColor="text1"/>
        </w:rPr>
        <w:t>Despite their benefits, several challenges impede the sustainability of home gardens. Climatic variability and water scarcity reduce productivity (</w:t>
      </w:r>
      <w:proofErr w:type="spellStart"/>
      <w:r w:rsidRPr="00403C34">
        <w:rPr>
          <w:rFonts w:ascii="Arial" w:hAnsi="Arial" w:cs="Arial"/>
          <w:color w:val="000000" w:themeColor="text1"/>
        </w:rPr>
        <w:t>Tomatis</w:t>
      </w:r>
      <w:proofErr w:type="spellEnd"/>
      <w:r w:rsidRPr="00403C34">
        <w:rPr>
          <w:rFonts w:ascii="Arial" w:hAnsi="Arial" w:cs="Arial"/>
          <w:color w:val="000000" w:themeColor="text1"/>
        </w:rPr>
        <w:t xml:space="preserve">, Leal </w:t>
      </w:r>
      <w:proofErr w:type="spellStart"/>
      <w:r w:rsidRPr="00403C34">
        <w:rPr>
          <w:rFonts w:ascii="Arial" w:hAnsi="Arial" w:cs="Arial"/>
          <w:color w:val="000000" w:themeColor="text1"/>
        </w:rPr>
        <w:t>Filho</w:t>
      </w:r>
      <w:proofErr w:type="spellEnd"/>
      <w:r w:rsidRPr="00403C34">
        <w:rPr>
          <w:rFonts w:ascii="Arial" w:hAnsi="Arial" w:cs="Arial"/>
          <w:color w:val="000000" w:themeColor="text1"/>
        </w:rPr>
        <w:t xml:space="preserve">, &amp; </w:t>
      </w:r>
      <w:proofErr w:type="spellStart"/>
      <w:r w:rsidRPr="00403C34">
        <w:rPr>
          <w:rFonts w:ascii="Arial" w:hAnsi="Arial" w:cs="Arial"/>
          <w:color w:val="000000" w:themeColor="text1"/>
        </w:rPr>
        <w:t>Pauleit</w:t>
      </w:r>
      <w:proofErr w:type="spellEnd"/>
      <w:r w:rsidRPr="00403C34">
        <w:rPr>
          <w:rFonts w:ascii="Arial" w:hAnsi="Arial" w:cs="Arial"/>
          <w:color w:val="000000" w:themeColor="text1"/>
        </w:rPr>
        <w:t>, 2023), and wild animal damage and pest pressures further constrain yield (Du Toit et al</w:t>
      </w:r>
      <w:r w:rsidR="005E731C" w:rsidRPr="00403C34">
        <w:rPr>
          <w:rFonts w:ascii="Arial" w:hAnsi="Arial" w:cs="Arial"/>
          <w:color w:val="000000" w:themeColor="text1"/>
        </w:rPr>
        <w:t xml:space="preserve">., 2022). Moreover, farmers’ adoption of NSA may vary depending on the income they earn from other crops, meaning that nutrition-sensitive practices are not always their primary focus. </w:t>
      </w:r>
      <w:r w:rsidR="00B615D3" w:rsidRPr="00403C34">
        <w:rPr>
          <w:rFonts w:ascii="Arial" w:hAnsi="Arial" w:cs="Arial"/>
          <w:color w:val="000000" w:themeColor="text1"/>
        </w:rPr>
        <w:t xml:space="preserve">Economic barriers, such as high input costs and limited credit access, further restrict improved practices </w:t>
      </w:r>
      <w:r w:rsidR="003D3350" w:rsidRPr="00403C34">
        <w:rPr>
          <w:rFonts w:ascii="Arial" w:hAnsi="Arial" w:cs="Arial"/>
          <w:color w:val="000000" w:themeColor="text1"/>
        </w:rPr>
        <w:t>(Kumar, Turvey, &amp; Kropp, 2013)</w:t>
      </w:r>
      <w:r w:rsidR="00B615D3" w:rsidRPr="00403C34">
        <w:rPr>
          <w:rFonts w:ascii="Arial" w:hAnsi="Arial" w:cs="Arial"/>
          <w:color w:val="000000" w:themeColor="text1"/>
        </w:rPr>
        <w:t xml:space="preserve">. Weak integration of policies and limited extension support remain major barriers to the wider adoption of NSA. In addition, increasing urban development and the gradual fragmentation of homestead lands reduce the scope for maintaining </w:t>
      </w:r>
      <w:r w:rsidR="00B615D3" w:rsidRPr="00403C34">
        <w:rPr>
          <w:rFonts w:ascii="Arial" w:hAnsi="Arial" w:cs="Arial"/>
          <w:color w:val="000000" w:themeColor="text1"/>
        </w:rPr>
        <w:t>diverse and resilient garden systems (Andrews &amp; Kannan, 2016).</w:t>
      </w:r>
    </w:p>
    <w:p w:rsidR="002E1277" w:rsidRPr="00403C34" w:rsidRDefault="002E1277" w:rsidP="00155DF8">
      <w:pPr>
        <w:pStyle w:val="Body"/>
        <w:rPr>
          <w:rFonts w:ascii="Arial" w:hAnsi="Arial" w:cs="Arial"/>
          <w:color w:val="000000" w:themeColor="text1"/>
        </w:rPr>
      </w:pPr>
      <w:r w:rsidRPr="00403C34">
        <w:rPr>
          <w:rFonts w:ascii="Arial" w:hAnsi="Arial" w:cs="Arial"/>
          <w:color w:val="000000" w:themeColor="text1"/>
        </w:rPr>
        <w:t>Kerala's ecological diversity means the impact of these constraints varies regionally. The northern, central, and southern districts differ in climate, landholding structures, and institutional support. This study aims to identify and prioritize the key constraints hindering NSA adoption in Kerala’s home gardens, providing evidence for region-specific and statewide interventions.</w:t>
      </w:r>
    </w:p>
    <w:p w:rsidR="002E1277" w:rsidRPr="00403C34" w:rsidRDefault="00902823" w:rsidP="00441B6F">
      <w:pPr>
        <w:pStyle w:val="AbstHead"/>
        <w:spacing w:after="0"/>
        <w:jc w:val="both"/>
        <w:rPr>
          <w:rFonts w:ascii="Arial" w:hAnsi="Arial" w:cs="Arial"/>
          <w:color w:val="000000" w:themeColor="text1"/>
        </w:rPr>
      </w:pPr>
      <w:r w:rsidRPr="00403C34">
        <w:rPr>
          <w:rFonts w:ascii="Arial" w:hAnsi="Arial" w:cs="Arial"/>
          <w:color w:val="000000" w:themeColor="text1"/>
        </w:rPr>
        <w:t>2. material and method</w:t>
      </w:r>
      <w:r w:rsidR="00000F8F" w:rsidRPr="00403C34">
        <w:rPr>
          <w:rFonts w:ascii="Arial" w:hAnsi="Arial" w:cs="Arial"/>
          <w:color w:val="000000" w:themeColor="text1"/>
        </w:rPr>
        <w:t xml:space="preserve">s </w:t>
      </w:r>
    </w:p>
    <w:p w:rsidR="00155DF8" w:rsidRPr="00403C34" w:rsidRDefault="00155DF8" w:rsidP="00441B6F">
      <w:pPr>
        <w:pStyle w:val="AbstHead"/>
        <w:spacing w:after="0"/>
        <w:jc w:val="both"/>
        <w:rPr>
          <w:rFonts w:ascii="Arial" w:hAnsi="Arial" w:cs="Arial"/>
          <w:color w:val="000000" w:themeColor="text1"/>
        </w:rPr>
      </w:pPr>
    </w:p>
    <w:p w:rsidR="002E1277" w:rsidRPr="00403C34" w:rsidRDefault="002E1277" w:rsidP="002E1277">
      <w:pPr>
        <w:pStyle w:val="Body"/>
        <w:rPr>
          <w:rFonts w:ascii="Arial" w:hAnsi="Arial" w:cs="Arial"/>
          <w:b/>
          <w:color w:val="000000" w:themeColor="text1"/>
          <w:sz w:val="22"/>
        </w:rPr>
      </w:pPr>
      <w:r w:rsidRPr="00403C34">
        <w:rPr>
          <w:rFonts w:ascii="Arial" w:hAnsi="Arial" w:cs="Arial"/>
          <w:b/>
          <w:color w:val="000000" w:themeColor="text1"/>
          <w:sz w:val="22"/>
        </w:rPr>
        <w:t>2.1 Locale of the Study</w:t>
      </w:r>
    </w:p>
    <w:p w:rsidR="002E1277" w:rsidRPr="00403C34" w:rsidRDefault="002E1277" w:rsidP="002E1277">
      <w:pPr>
        <w:pStyle w:val="Body"/>
        <w:rPr>
          <w:rFonts w:ascii="Arial" w:hAnsi="Arial" w:cs="Arial"/>
          <w:color w:val="000000" w:themeColor="text1"/>
        </w:rPr>
      </w:pPr>
      <w:r w:rsidRPr="00403C34">
        <w:rPr>
          <w:rFonts w:ascii="Arial" w:hAnsi="Arial" w:cs="Arial"/>
          <w:color w:val="000000" w:themeColor="text1"/>
        </w:rPr>
        <w:t>The study was conducted across three districts in Kerala, each representing a different agro-ecological zone. Kasaragod, located in the north, was chosen for its diverse cropping systems and exposure to climatic variations. Thrissur, in central Kerala, represents a region with traditional homestead farming practices. Thiruvananthapuram, in the southern part of Kerala, was selected for its higher population density, urban pressures, and fragmented landholdings, which challenge the sustainability of home gardens. The geographical coverage of the study districts is presented in Figure 1.</w:t>
      </w:r>
    </w:p>
    <w:p w:rsidR="000F1BF1" w:rsidRPr="00403C34" w:rsidRDefault="000F1BF1" w:rsidP="000F1BF1">
      <w:pPr>
        <w:pStyle w:val="NormalWeb"/>
        <w:ind w:left="1134" w:right="-1800"/>
        <w:rPr>
          <w:rFonts w:ascii="Arial" w:hAnsi="Arial" w:cs="Arial"/>
          <w:color w:val="000000" w:themeColor="text1"/>
        </w:rPr>
        <w:sectPr w:rsidR="000F1BF1" w:rsidRPr="00403C34" w:rsidSect="000F1BF1">
          <w:type w:val="continuous"/>
          <w:pgSz w:w="12240" w:h="15840"/>
          <w:pgMar w:top="1440" w:right="1800" w:bottom="1440" w:left="1800" w:header="720" w:footer="720" w:gutter="0"/>
          <w:cols w:num="2" w:space="720"/>
          <w:docGrid w:linePitch="360"/>
        </w:sectPr>
      </w:pPr>
    </w:p>
    <w:p w:rsidR="002E1277" w:rsidRPr="00403C34" w:rsidRDefault="000F1BF1" w:rsidP="006A5ABB">
      <w:pPr>
        <w:pStyle w:val="NormalWeb"/>
        <w:tabs>
          <w:tab w:val="left" w:pos="1276"/>
        </w:tabs>
        <w:ind w:left="1276" w:right="-1800" w:firstLine="142"/>
        <w:rPr>
          <w:rFonts w:ascii="Arial" w:hAnsi="Arial" w:cs="Arial"/>
          <w:color w:val="000000" w:themeColor="text1"/>
        </w:rPr>
      </w:pPr>
      <w:r w:rsidRPr="00403C34">
        <w:rPr>
          <w:rFonts w:ascii="Arial" w:hAnsi="Arial" w:cs="Arial"/>
          <w:noProof/>
          <w:color w:val="000000" w:themeColor="text1"/>
        </w:rPr>
        <w:lastRenderedPageBreak/>
        <w:drawing>
          <wp:inline distT="0" distB="0" distL="0" distR="0">
            <wp:extent cx="3545412" cy="3873500"/>
            <wp:effectExtent l="19050" t="19050" r="17145" b="12700"/>
            <wp:docPr id="9" name="Picture 9" descr="C:\Users\user\AppData\Local\Microsoft\Windows\INetCache\IE\VBG5X6CH\InShot_20250930_1137312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IE\VBG5X6CH\InShot_20250930_113731284[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9137" cy="3899421"/>
                    </a:xfrm>
                    <a:prstGeom prst="rect">
                      <a:avLst/>
                    </a:prstGeom>
                    <a:noFill/>
                    <a:ln>
                      <a:solidFill>
                        <a:schemeClr val="tx1"/>
                      </a:solidFill>
                    </a:ln>
                  </pic:spPr>
                </pic:pic>
              </a:graphicData>
            </a:graphic>
          </wp:inline>
        </w:drawing>
      </w:r>
    </w:p>
    <w:p w:rsidR="002E1277" w:rsidRPr="00403C34" w:rsidRDefault="002E1277" w:rsidP="002E1277">
      <w:pPr>
        <w:jc w:val="center"/>
        <w:rPr>
          <w:rFonts w:ascii="Arial" w:hAnsi="Arial" w:cs="Arial"/>
          <w:b/>
          <w:color w:val="000000" w:themeColor="text1"/>
        </w:rPr>
      </w:pPr>
      <w:r w:rsidRPr="00403C34">
        <w:rPr>
          <w:rFonts w:ascii="Arial" w:hAnsi="Arial" w:cs="Arial"/>
          <w:b/>
          <w:color w:val="000000" w:themeColor="text1"/>
        </w:rPr>
        <w:t>Fig. 1. Map of Kerala showing the selected study districts: Kasaragod (north), Thrissur (central), and Thiruvananthapuram (south).</w:t>
      </w:r>
    </w:p>
    <w:p w:rsidR="002E1277" w:rsidRPr="00403C34" w:rsidRDefault="002E1277" w:rsidP="002E1277">
      <w:pPr>
        <w:jc w:val="both"/>
        <w:rPr>
          <w:rFonts w:ascii="Arial" w:hAnsi="Arial" w:cs="Arial"/>
          <w:b/>
          <w:color w:val="000000" w:themeColor="text1"/>
        </w:rPr>
        <w:sectPr w:rsidR="002E1277" w:rsidRPr="00403C34" w:rsidSect="002C1F1C">
          <w:type w:val="continuous"/>
          <w:pgSz w:w="12240" w:h="15840"/>
          <w:pgMar w:top="1440" w:right="1800" w:bottom="1440" w:left="1800" w:header="720" w:footer="720" w:gutter="0"/>
          <w:cols w:space="720"/>
          <w:docGrid w:linePitch="360"/>
        </w:sectPr>
      </w:pPr>
    </w:p>
    <w:p w:rsidR="002E1277" w:rsidRPr="00403C34" w:rsidRDefault="002E1277" w:rsidP="002E1277">
      <w:pPr>
        <w:pStyle w:val="Body"/>
        <w:ind w:left="2127"/>
        <w:rPr>
          <w:rFonts w:ascii="Arial" w:hAnsi="Arial" w:cs="Arial"/>
          <w:color w:val="000000" w:themeColor="text1"/>
        </w:rPr>
      </w:pPr>
    </w:p>
    <w:p w:rsidR="000F1BF1" w:rsidRPr="00403C34" w:rsidRDefault="000F1BF1" w:rsidP="002E1277">
      <w:pPr>
        <w:jc w:val="both"/>
        <w:rPr>
          <w:rFonts w:ascii="Arial" w:hAnsi="Arial" w:cs="Arial"/>
          <w:b/>
          <w:color w:val="000000" w:themeColor="text1"/>
          <w:sz w:val="22"/>
        </w:rPr>
        <w:sectPr w:rsidR="000F1BF1" w:rsidRPr="00403C34" w:rsidSect="002C1F1C">
          <w:type w:val="continuous"/>
          <w:pgSz w:w="12240" w:h="15840"/>
          <w:pgMar w:top="1440" w:right="1800" w:bottom="1440" w:left="1800" w:header="720" w:footer="720" w:gutter="0"/>
          <w:cols w:space="720"/>
          <w:docGrid w:linePitch="360"/>
        </w:sectPr>
      </w:pPr>
    </w:p>
    <w:p w:rsidR="002E1277" w:rsidRPr="00403C34" w:rsidRDefault="002E1277" w:rsidP="002E1277">
      <w:pPr>
        <w:jc w:val="both"/>
        <w:rPr>
          <w:rFonts w:ascii="Arial" w:hAnsi="Arial" w:cs="Arial"/>
          <w:b/>
          <w:color w:val="000000" w:themeColor="text1"/>
          <w:sz w:val="22"/>
        </w:rPr>
      </w:pPr>
      <w:r w:rsidRPr="00403C34">
        <w:rPr>
          <w:rFonts w:ascii="Arial" w:hAnsi="Arial" w:cs="Arial"/>
          <w:b/>
          <w:color w:val="000000" w:themeColor="text1"/>
          <w:sz w:val="22"/>
        </w:rPr>
        <w:t>2.2 Study Design</w:t>
      </w:r>
    </w:p>
    <w:p w:rsidR="002E1277" w:rsidRPr="00403C34" w:rsidRDefault="002E1277" w:rsidP="002E1277">
      <w:pPr>
        <w:jc w:val="both"/>
        <w:rPr>
          <w:rFonts w:ascii="Arial" w:hAnsi="Arial" w:cs="Arial"/>
          <w:b/>
          <w:color w:val="000000" w:themeColor="text1"/>
          <w:sz w:val="22"/>
        </w:rPr>
      </w:pPr>
    </w:p>
    <w:p w:rsidR="002E1277" w:rsidRPr="00403C34" w:rsidRDefault="002E1277" w:rsidP="002E1277">
      <w:pPr>
        <w:jc w:val="both"/>
        <w:rPr>
          <w:rFonts w:ascii="Arial" w:hAnsi="Arial" w:cs="Arial"/>
          <w:color w:val="000000" w:themeColor="text1"/>
        </w:rPr>
      </w:pPr>
      <w:r w:rsidRPr="00403C34">
        <w:rPr>
          <w:rFonts w:ascii="Arial" w:hAnsi="Arial" w:cs="Arial"/>
          <w:color w:val="000000" w:themeColor="text1"/>
        </w:rPr>
        <w:t>An ex-post facto research design was adopted, since the variables of interest had already occurred and were beyond the researcher’s control. This design was well-suited for understanding the constraints farmers face in adopting N</w:t>
      </w:r>
      <w:r w:rsidR="00920095" w:rsidRPr="00403C34">
        <w:rPr>
          <w:rFonts w:ascii="Arial" w:hAnsi="Arial" w:cs="Arial"/>
          <w:color w:val="000000" w:themeColor="text1"/>
        </w:rPr>
        <w:t>utri-Sensitive Agriculture</w:t>
      </w:r>
      <w:r w:rsidRPr="00403C34">
        <w:rPr>
          <w:rFonts w:ascii="Arial" w:hAnsi="Arial" w:cs="Arial"/>
          <w:color w:val="000000" w:themeColor="text1"/>
        </w:rPr>
        <w:t>, particularly when those constraints are perceived after they’ve already impacted the farming systems (Kothari, 2017).</w:t>
      </w:r>
    </w:p>
    <w:p w:rsidR="002E1277" w:rsidRPr="00403C34" w:rsidRDefault="002E1277" w:rsidP="002E1277">
      <w:pPr>
        <w:jc w:val="both"/>
        <w:rPr>
          <w:rFonts w:ascii="Arial" w:hAnsi="Arial" w:cs="Arial"/>
          <w:color w:val="000000" w:themeColor="text1"/>
        </w:rPr>
      </w:pPr>
    </w:p>
    <w:p w:rsidR="002E1277" w:rsidRPr="00403C34" w:rsidRDefault="002E1277" w:rsidP="002E1277">
      <w:pPr>
        <w:rPr>
          <w:rFonts w:ascii="Arial" w:hAnsi="Arial" w:cs="Arial"/>
          <w:b/>
          <w:color w:val="000000" w:themeColor="text1"/>
          <w:sz w:val="22"/>
        </w:rPr>
      </w:pPr>
      <w:r w:rsidRPr="00403C34">
        <w:rPr>
          <w:rFonts w:ascii="Arial" w:hAnsi="Arial" w:cs="Arial"/>
          <w:b/>
          <w:color w:val="000000" w:themeColor="text1"/>
          <w:sz w:val="22"/>
        </w:rPr>
        <w:t>2.3 Sampling Procedure</w:t>
      </w:r>
    </w:p>
    <w:p w:rsidR="002E1277" w:rsidRPr="00403C34" w:rsidRDefault="002E1277" w:rsidP="002E1277">
      <w:pPr>
        <w:rPr>
          <w:rFonts w:ascii="Arial" w:hAnsi="Arial" w:cs="Arial"/>
          <w:b/>
          <w:color w:val="000000" w:themeColor="text1"/>
          <w:sz w:val="22"/>
        </w:rPr>
      </w:pPr>
    </w:p>
    <w:p w:rsidR="002E1277" w:rsidRPr="00403C34" w:rsidRDefault="002E1277" w:rsidP="002E1277">
      <w:pPr>
        <w:jc w:val="both"/>
        <w:rPr>
          <w:rFonts w:ascii="Arial" w:hAnsi="Arial" w:cs="Arial"/>
          <w:color w:val="000000" w:themeColor="text1"/>
        </w:rPr>
      </w:pPr>
      <w:r w:rsidRPr="00403C34">
        <w:rPr>
          <w:rFonts w:ascii="Arial" w:hAnsi="Arial" w:cs="Arial"/>
          <w:color w:val="000000" w:themeColor="text1"/>
        </w:rPr>
        <w:t xml:space="preserve">A multistage random sampling technique was employed for the study. Two blocks were purposively chosen from each district, and within each block, 30 farm households were randomly selected. This resulted in 60 respondents per district and a total of 180 across the three regions. The sample size was deemed adequate to capture regional </w:t>
      </w:r>
      <w:r w:rsidRPr="00403C34">
        <w:rPr>
          <w:rFonts w:ascii="Arial" w:hAnsi="Arial" w:cs="Arial"/>
          <w:color w:val="000000" w:themeColor="text1"/>
        </w:rPr>
        <w:t>variability, consistent with established sampling principles (Cochran, 1977).</w:t>
      </w:r>
    </w:p>
    <w:p w:rsidR="002E1277" w:rsidRPr="00403C34" w:rsidRDefault="002E1277" w:rsidP="002E1277">
      <w:pPr>
        <w:jc w:val="both"/>
        <w:rPr>
          <w:rFonts w:ascii="Arial" w:hAnsi="Arial" w:cs="Arial"/>
          <w:color w:val="000000" w:themeColor="text1"/>
        </w:rPr>
      </w:pPr>
    </w:p>
    <w:p w:rsidR="002E1277" w:rsidRPr="00403C34" w:rsidRDefault="002E1277" w:rsidP="002E1277">
      <w:pPr>
        <w:jc w:val="both"/>
        <w:rPr>
          <w:rFonts w:ascii="Arial" w:hAnsi="Arial" w:cs="Arial"/>
          <w:b/>
          <w:color w:val="000000" w:themeColor="text1"/>
          <w:sz w:val="22"/>
        </w:rPr>
      </w:pPr>
      <w:r w:rsidRPr="00403C34">
        <w:rPr>
          <w:rFonts w:ascii="Arial" w:hAnsi="Arial" w:cs="Arial"/>
          <w:b/>
          <w:color w:val="000000" w:themeColor="text1"/>
          <w:sz w:val="22"/>
        </w:rPr>
        <w:t>2.4 Data Collection</w:t>
      </w:r>
    </w:p>
    <w:p w:rsidR="00920095" w:rsidRPr="00403C34" w:rsidRDefault="00920095" w:rsidP="002E1277">
      <w:pPr>
        <w:jc w:val="both"/>
        <w:rPr>
          <w:rFonts w:ascii="Arial" w:hAnsi="Arial" w:cs="Arial"/>
          <w:b/>
          <w:color w:val="000000" w:themeColor="text1"/>
          <w:sz w:val="22"/>
        </w:rPr>
      </w:pPr>
    </w:p>
    <w:p w:rsidR="002E1277" w:rsidRPr="00403C34" w:rsidRDefault="002E1277" w:rsidP="002E1277">
      <w:pPr>
        <w:jc w:val="both"/>
        <w:rPr>
          <w:rFonts w:ascii="Arial" w:hAnsi="Arial" w:cs="Arial"/>
          <w:color w:val="000000" w:themeColor="text1"/>
        </w:rPr>
      </w:pPr>
      <w:r w:rsidRPr="00403C34">
        <w:rPr>
          <w:rFonts w:ascii="Arial" w:hAnsi="Arial" w:cs="Arial"/>
          <w:color w:val="000000" w:themeColor="text1"/>
        </w:rPr>
        <w:t>Primary data were collected during 2024–2025 using a structured and pre-tested interview schedule. The instrument was developed based on literature review, consultation with subject experts, and pilot testing. It included socio-economic characteristics of respondents and twenty potential constraints grouped into ecological, economic, institutional, and socio-personal categories. Pre-testing with 15 households outside the sample area ensured clarity and reliability of the tool.</w:t>
      </w:r>
    </w:p>
    <w:p w:rsidR="002E1277" w:rsidRPr="00403C34" w:rsidRDefault="002E1277" w:rsidP="002E1277">
      <w:pPr>
        <w:jc w:val="both"/>
        <w:rPr>
          <w:rFonts w:ascii="Arial" w:hAnsi="Arial" w:cs="Arial"/>
          <w:color w:val="000000" w:themeColor="text1"/>
        </w:rPr>
      </w:pPr>
    </w:p>
    <w:p w:rsidR="002E1277" w:rsidRPr="00403C34" w:rsidRDefault="002E1277" w:rsidP="002E1277">
      <w:pPr>
        <w:jc w:val="both"/>
        <w:rPr>
          <w:rFonts w:ascii="Arial" w:hAnsi="Arial" w:cs="Arial"/>
          <w:b/>
          <w:color w:val="000000" w:themeColor="text1"/>
          <w:sz w:val="22"/>
        </w:rPr>
      </w:pPr>
      <w:r w:rsidRPr="00403C34">
        <w:rPr>
          <w:rFonts w:ascii="Arial" w:hAnsi="Arial" w:cs="Arial"/>
          <w:b/>
          <w:color w:val="000000" w:themeColor="text1"/>
          <w:sz w:val="22"/>
        </w:rPr>
        <w:t>2.5 Analytical framework</w:t>
      </w:r>
    </w:p>
    <w:p w:rsidR="002E1277" w:rsidRPr="00403C34" w:rsidRDefault="002E1277" w:rsidP="002E1277">
      <w:pPr>
        <w:jc w:val="both"/>
        <w:rPr>
          <w:rFonts w:ascii="Arial" w:hAnsi="Arial" w:cs="Arial"/>
          <w:b/>
          <w:color w:val="000000" w:themeColor="text1"/>
          <w:sz w:val="22"/>
        </w:rPr>
      </w:pPr>
    </w:p>
    <w:p w:rsidR="002E1277" w:rsidRPr="00403C34" w:rsidRDefault="002E1277" w:rsidP="002E1277">
      <w:pPr>
        <w:jc w:val="both"/>
        <w:rPr>
          <w:rFonts w:ascii="Arial" w:hAnsi="Arial" w:cs="Arial"/>
          <w:color w:val="000000" w:themeColor="text1"/>
        </w:rPr>
      </w:pPr>
      <w:r w:rsidRPr="00403C34">
        <w:rPr>
          <w:rFonts w:ascii="Arial" w:hAnsi="Arial" w:cs="Arial"/>
          <w:color w:val="000000" w:themeColor="text1"/>
        </w:rPr>
        <w:t xml:space="preserve">Constraints were prioritized using Garrett’s Ranking Technique, which allows farmers’ perceptions to be systematically quantified </w:t>
      </w:r>
      <w:r w:rsidRPr="00403C34">
        <w:rPr>
          <w:rFonts w:ascii="Arial" w:hAnsi="Arial" w:cs="Arial"/>
          <w:color w:val="000000" w:themeColor="text1"/>
        </w:rPr>
        <w:lastRenderedPageBreak/>
        <w:t>(Garrett &amp; Woodworth, 1969). Respondents ranked the constraints based on severity, and these ranks were then converted into percent positions using the following formula:</w:t>
      </w:r>
    </w:p>
    <w:p w:rsidR="006A5ABB" w:rsidRDefault="006A5ABB" w:rsidP="002E1277">
      <w:pPr>
        <w:rPr>
          <w:rFonts w:ascii="Arial" w:hAnsi="Arial" w:cs="Arial"/>
          <w:color w:val="000000" w:themeColor="text1"/>
        </w:rPr>
      </w:pPr>
    </w:p>
    <w:p w:rsidR="002E1277" w:rsidRPr="00403C34" w:rsidRDefault="002E1277" w:rsidP="002E1277">
      <w:pPr>
        <w:rPr>
          <w:rFonts w:ascii="Arial" w:hAnsi="Arial" w:cs="Arial"/>
          <w:color w:val="000000" w:themeColor="text1"/>
        </w:rPr>
      </w:pPr>
      <w:r w:rsidRPr="00403C34">
        <w:rPr>
          <w:rFonts w:ascii="Arial" w:hAnsi="Arial" w:cs="Arial"/>
          <w:color w:val="000000" w:themeColor="text1"/>
        </w:rPr>
        <w:t>Percent Position = 100 (</w:t>
      </w:r>
      <w:proofErr w:type="spellStart"/>
      <w:r w:rsidRPr="00403C34">
        <w:rPr>
          <w:rFonts w:ascii="Arial" w:hAnsi="Arial" w:cs="Arial"/>
          <w:i/>
          <w:color w:val="000000" w:themeColor="text1"/>
        </w:rPr>
        <w:t>Rij</w:t>
      </w:r>
      <w:proofErr w:type="spellEnd"/>
      <w:r w:rsidRPr="00403C34">
        <w:rPr>
          <w:rFonts w:ascii="Arial" w:hAnsi="Arial" w:cs="Arial"/>
          <w:color w:val="000000" w:themeColor="text1"/>
        </w:rPr>
        <w:t xml:space="preserve"> - 0.5) </w:t>
      </w:r>
    </w:p>
    <w:p w:rsidR="002E1277" w:rsidRPr="00403C34" w:rsidRDefault="0052153A" w:rsidP="002E1277">
      <w:pPr>
        <w:rPr>
          <w:rFonts w:ascii="Arial" w:hAnsi="Arial" w:cs="Arial"/>
          <w:i/>
          <w:color w:val="000000" w:themeColor="text1"/>
        </w:rPr>
      </w:pPr>
      <w:r w:rsidRPr="00403C34">
        <w:rPr>
          <w:rFonts w:ascii="Arial" w:hAnsi="Arial" w:cs="Arial"/>
          <w:noProof/>
          <w:color w:val="000000" w:themeColor="text1"/>
          <w:lang w:val="en-IN" w:eastAsia="en-IN"/>
        </w:rPr>
        <mc:AlternateContent>
          <mc:Choice Requires="wps">
            <w:drawing>
              <wp:anchor distT="4294967295" distB="4294967295" distL="114300" distR="114300" simplePos="0" relativeHeight="251659264" behindDoc="0" locked="0" layoutInCell="1" allowOverlap="1">
                <wp:simplePos x="0" y="0"/>
                <wp:positionH relativeFrom="column">
                  <wp:posOffset>1057275</wp:posOffset>
                </wp:positionH>
                <wp:positionV relativeFrom="paragraph">
                  <wp:posOffset>53974</wp:posOffset>
                </wp:positionV>
                <wp:extent cx="749935"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9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AC8DEB3"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25pt,4.25pt" to="142.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MKygEAANwDAAAOAAAAZHJzL2Uyb0RvYy54bWysU01v2zAMvQ/YfxB0X+w0+6oRp4cU26XY&#10;gqXbXZWlWKgkCpQWO/9+lJy4+wSGYRfBEh8f3yPp9c3oLDsqjAZ8y5eLmjPlJXTGH1r++f7di7ec&#10;xSR8Jyx41fKTivxm8/zZegiNuoIebKeQEYmPzRBa3qcUmqqKsldOxAUE5SmoAZ1IdMVD1aEYiN3Z&#10;6qquX1cDYBcQpIqRXm+nIN8Ufq2VTB+1jiox23LSlsqJ5XzIZ7VZi+aAIvRGnmWIf1DhhPFUdKa6&#10;FUmwr2h+oXJGIkTQaSHBVaC1kap4IDfL+ic3+14EVbxQc2KY2xT/H638cNwhM13LV5x54WhE+4TC&#10;HPrEtuA9NRCQrXKfhhAbgm/9DrNTOfp9uAP5GClW/RDMlxgm2KjRMW1N+ELrUVpEptlYJnCaJ6DG&#10;xCQ9vnl5fb16xZm8hCrRZIZcMGBM7xU4lj9abo3PvRGNON7FlDU8Qc6CJg1FTTpZlcHWf1Ka/FKt&#10;SU3ZNLW1yI6CdqR7XGavxFWQOUUba+ekupT8Y9IZm9NU2b6/TZzRpSL4NCc64wF/VzWNF6l6wl9c&#10;T16z7QfoTju8zIdWqDg7r3ve0e/vJf3pp9x8AwAA//8DAFBLAwQUAAYACAAAACEARusf7doAAAAH&#10;AQAADwAAAGRycy9kb3ducmV2LnhtbEyOQU7DMBBF90jcwRokNhV1iGiIQpwKVWIDC6BwACcekgh7&#10;HGI3dW/PwAZWo6f/9efV2+SsWHAOoycF1+sMBFLnzUi9gve3h6sSRIiajLaeUMEJA2yb87NaV8Yf&#10;6RWXfewFj1CotIIhxqmSMnQDOh3WfkLi7MPPTkfGuZdm1kced1bmWVZIp0fiD4OecDdg97k/OAWP&#10;zy+rU56K1dftpt2lpbTpKVilLi/S/R2IiCn+leFHn9WhYafWH8gEYZmLYsNVBSUfzvPypgDR/rJs&#10;avnfv/kGAAD//wMAUEsBAi0AFAAGAAgAAAAhALaDOJL+AAAA4QEAABMAAAAAAAAAAAAAAAAAAAAA&#10;AFtDb250ZW50X1R5cGVzXS54bWxQSwECLQAUAAYACAAAACEAOP0h/9YAAACUAQAACwAAAAAAAAAA&#10;AAAAAAAvAQAAX3JlbHMvLnJlbHNQSwECLQAUAAYACAAAACEAdCWzCsoBAADcAwAADgAAAAAAAAAA&#10;AAAAAAAuAgAAZHJzL2Uyb0RvYy54bWxQSwECLQAUAAYACAAAACEARusf7doAAAAHAQAADwAAAAAA&#10;AAAAAAAAAAAkBAAAZHJzL2Rvd25yZXYueG1sUEsFBgAAAAAEAAQA8wAAACsFAAAAAA==&#10;" strokecolor="black [3040]">
                <o:lock v:ext="edit" shapetype="f"/>
              </v:line>
            </w:pict>
          </mc:Fallback>
        </mc:AlternateContent>
      </w:r>
      <w:r w:rsidR="002E1277" w:rsidRPr="00403C34">
        <w:rPr>
          <w:rFonts w:ascii="Arial" w:hAnsi="Arial" w:cs="Arial"/>
          <w:i/>
          <w:color w:val="000000" w:themeColor="text1"/>
        </w:rPr>
        <w:t xml:space="preserve">                                 </w:t>
      </w:r>
    </w:p>
    <w:p w:rsidR="002E1277" w:rsidRPr="00403C34" w:rsidRDefault="002E1277" w:rsidP="002E1277">
      <w:pPr>
        <w:rPr>
          <w:rFonts w:ascii="Arial" w:hAnsi="Arial" w:cs="Arial"/>
          <w:color w:val="000000" w:themeColor="text1"/>
        </w:rPr>
      </w:pPr>
      <w:r w:rsidRPr="00403C34">
        <w:rPr>
          <w:rFonts w:ascii="Arial" w:hAnsi="Arial" w:cs="Arial"/>
          <w:i/>
          <w:color w:val="000000" w:themeColor="text1"/>
        </w:rPr>
        <w:t xml:space="preserve">                                        </w:t>
      </w:r>
      <w:proofErr w:type="spellStart"/>
      <w:r w:rsidRPr="00403C34">
        <w:rPr>
          <w:rFonts w:ascii="Arial" w:hAnsi="Arial" w:cs="Arial"/>
          <w:i/>
          <w:color w:val="000000" w:themeColor="text1"/>
        </w:rPr>
        <w:t>Nj</w:t>
      </w:r>
      <w:proofErr w:type="spellEnd"/>
      <w:r w:rsidRPr="00403C34">
        <w:rPr>
          <w:rFonts w:ascii="Arial" w:hAnsi="Arial" w:cs="Arial"/>
          <w:color w:val="000000" w:themeColor="text1"/>
        </w:rPr>
        <w:br/>
      </w:r>
      <w:r w:rsidRPr="00403C34">
        <w:rPr>
          <w:rFonts w:ascii="Arial" w:hAnsi="Arial" w:cs="Arial"/>
          <w:color w:val="000000" w:themeColor="text1"/>
        </w:rPr>
        <w:br/>
      </w:r>
      <w:proofErr w:type="spellStart"/>
      <w:r w:rsidRPr="00403C34">
        <w:rPr>
          <w:rFonts w:ascii="Arial" w:hAnsi="Arial" w:cs="Arial"/>
          <w:i/>
          <w:color w:val="000000" w:themeColor="text1"/>
        </w:rPr>
        <w:t>Rij</w:t>
      </w:r>
      <w:proofErr w:type="spellEnd"/>
      <w:r w:rsidRPr="00403C34">
        <w:rPr>
          <w:rFonts w:ascii="Arial" w:hAnsi="Arial" w:cs="Arial"/>
          <w:color w:val="000000" w:themeColor="text1"/>
        </w:rPr>
        <w:t xml:space="preserve"> = rank given for the </w:t>
      </w:r>
      <w:r w:rsidR="00FF24A0" w:rsidRPr="00403C34">
        <w:rPr>
          <w:rFonts w:ascii="Arial" w:hAnsi="Arial" w:cs="Arial"/>
          <w:i/>
          <w:color w:val="000000" w:themeColor="text1"/>
        </w:rPr>
        <w:t>I</w:t>
      </w:r>
      <w:r w:rsidR="00FF24A0" w:rsidRPr="00403C34">
        <w:rPr>
          <w:rFonts w:ascii="Arial" w:hAnsi="Arial" w:cs="Arial"/>
          <w:color w:val="000000" w:themeColor="text1"/>
        </w:rPr>
        <w:t xml:space="preserve"> </w:t>
      </w:r>
      <w:proofErr w:type="spellStart"/>
      <w:r w:rsidRPr="00403C34">
        <w:rPr>
          <w:rFonts w:ascii="Arial" w:hAnsi="Arial" w:cs="Arial"/>
          <w:color w:val="000000" w:themeColor="text1"/>
        </w:rPr>
        <w:t>th</w:t>
      </w:r>
      <w:proofErr w:type="spellEnd"/>
      <w:r w:rsidRPr="00403C34">
        <w:rPr>
          <w:rFonts w:ascii="Arial" w:hAnsi="Arial" w:cs="Arial"/>
          <w:color w:val="000000" w:themeColor="text1"/>
        </w:rPr>
        <w:t xml:space="preserve"> factor by the </w:t>
      </w:r>
      <w:r w:rsidRPr="00403C34">
        <w:rPr>
          <w:rFonts w:ascii="Arial" w:hAnsi="Arial" w:cs="Arial"/>
          <w:i/>
          <w:color w:val="000000" w:themeColor="text1"/>
        </w:rPr>
        <w:t>j</w:t>
      </w:r>
      <w:r w:rsidRPr="00403C34">
        <w:rPr>
          <w:rFonts w:ascii="Arial" w:hAnsi="Arial" w:cs="Arial"/>
          <w:color w:val="000000" w:themeColor="text1"/>
        </w:rPr>
        <w:t xml:space="preserve"> </w:t>
      </w:r>
      <w:proofErr w:type="spellStart"/>
      <w:r w:rsidRPr="00403C34">
        <w:rPr>
          <w:rFonts w:ascii="Arial" w:hAnsi="Arial" w:cs="Arial"/>
          <w:color w:val="000000" w:themeColor="text1"/>
        </w:rPr>
        <w:t>th</w:t>
      </w:r>
      <w:proofErr w:type="spellEnd"/>
      <w:r w:rsidRPr="00403C34">
        <w:rPr>
          <w:rFonts w:ascii="Arial" w:hAnsi="Arial" w:cs="Arial"/>
          <w:color w:val="000000" w:themeColor="text1"/>
        </w:rPr>
        <w:t xml:space="preserve"> respondent</w:t>
      </w:r>
    </w:p>
    <w:p w:rsidR="002E1277" w:rsidRPr="00403C34" w:rsidRDefault="002E1277" w:rsidP="002E1277">
      <w:pPr>
        <w:rPr>
          <w:rFonts w:ascii="Arial" w:hAnsi="Arial" w:cs="Arial"/>
          <w:color w:val="000000" w:themeColor="text1"/>
        </w:rPr>
      </w:pPr>
      <w:r w:rsidRPr="00403C34">
        <w:rPr>
          <w:rFonts w:ascii="Arial" w:hAnsi="Arial" w:cs="Arial"/>
          <w:i/>
          <w:color w:val="000000" w:themeColor="text1"/>
        </w:rPr>
        <w:t>Nj</w:t>
      </w:r>
      <w:r w:rsidRPr="00403C34">
        <w:rPr>
          <w:rFonts w:ascii="Arial" w:hAnsi="Arial" w:cs="Arial"/>
          <w:color w:val="000000" w:themeColor="text1"/>
        </w:rPr>
        <w:t xml:space="preserve"> = total number of factors ranked by the </w:t>
      </w:r>
      <w:proofErr w:type="spellStart"/>
      <w:r w:rsidRPr="00403C34">
        <w:rPr>
          <w:rFonts w:ascii="Arial" w:hAnsi="Arial" w:cs="Arial"/>
          <w:i/>
          <w:color w:val="000000" w:themeColor="text1"/>
        </w:rPr>
        <w:t>j’</w:t>
      </w:r>
      <w:r w:rsidRPr="00403C34">
        <w:rPr>
          <w:rFonts w:ascii="Arial" w:hAnsi="Arial" w:cs="Arial"/>
          <w:color w:val="000000" w:themeColor="text1"/>
        </w:rPr>
        <w:t>th</w:t>
      </w:r>
      <w:proofErr w:type="spellEnd"/>
      <w:r w:rsidRPr="00403C34">
        <w:rPr>
          <w:rFonts w:ascii="Arial" w:hAnsi="Arial" w:cs="Arial"/>
          <w:color w:val="000000" w:themeColor="text1"/>
        </w:rPr>
        <w:t xml:space="preserve"> respondent</w:t>
      </w:r>
    </w:p>
    <w:p w:rsidR="002E1277" w:rsidRPr="00403C34" w:rsidRDefault="002E1277" w:rsidP="002E1277">
      <w:pPr>
        <w:rPr>
          <w:rFonts w:ascii="Arial" w:hAnsi="Arial" w:cs="Arial"/>
          <w:color w:val="000000" w:themeColor="text1"/>
        </w:rPr>
      </w:pPr>
    </w:p>
    <w:p w:rsidR="002E1277" w:rsidRPr="00403C34" w:rsidRDefault="002E1277" w:rsidP="002E1277">
      <w:pPr>
        <w:jc w:val="both"/>
        <w:rPr>
          <w:rFonts w:ascii="Arial" w:hAnsi="Arial" w:cs="Arial"/>
          <w:color w:val="000000" w:themeColor="text1"/>
        </w:rPr>
      </w:pPr>
      <w:r w:rsidRPr="00403C34">
        <w:rPr>
          <w:rFonts w:ascii="Arial" w:hAnsi="Arial" w:cs="Arial"/>
          <w:color w:val="000000" w:themeColor="text1"/>
        </w:rPr>
        <w:t>The percent positions were then converted into Garrett scores using a standard conversion table. The mean score for each constraint was calculated, and constraints were ranked accordingly. Higher mean scores indicated greater severity as perceived by respondents.</w:t>
      </w:r>
    </w:p>
    <w:p w:rsidR="00790ADA" w:rsidRPr="00403C34" w:rsidRDefault="00790ADA" w:rsidP="00794385">
      <w:pPr>
        <w:jc w:val="both"/>
        <w:rPr>
          <w:rFonts w:ascii="Arial" w:hAnsi="Arial" w:cs="Arial"/>
          <w:color w:val="000000" w:themeColor="text1"/>
        </w:rPr>
      </w:pPr>
    </w:p>
    <w:p w:rsidR="00902823" w:rsidRPr="00403C34" w:rsidRDefault="00000F8F" w:rsidP="00441B6F">
      <w:pPr>
        <w:pStyle w:val="Head1"/>
        <w:spacing w:after="0"/>
        <w:jc w:val="both"/>
        <w:rPr>
          <w:rFonts w:ascii="Arial" w:hAnsi="Arial" w:cs="Arial"/>
          <w:color w:val="000000" w:themeColor="text1"/>
        </w:rPr>
      </w:pPr>
      <w:r w:rsidRPr="00403C34">
        <w:rPr>
          <w:rFonts w:ascii="Arial" w:hAnsi="Arial" w:cs="Arial"/>
          <w:color w:val="000000" w:themeColor="text1"/>
        </w:rPr>
        <w:t>3</w:t>
      </w:r>
      <w:r w:rsidR="00902823" w:rsidRPr="00403C34">
        <w:rPr>
          <w:rFonts w:ascii="Arial" w:hAnsi="Arial" w:cs="Arial"/>
          <w:color w:val="000000" w:themeColor="text1"/>
        </w:rPr>
        <w:t xml:space="preserve">. </w:t>
      </w:r>
      <w:r w:rsidRPr="00403C34">
        <w:rPr>
          <w:rFonts w:ascii="Arial" w:hAnsi="Arial" w:cs="Arial"/>
          <w:color w:val="000000" w:themeColor="text1"/>
        </w:rPr>
        <w:t>results and discussion</w:t>
      </w:r>
    </w:p>
    <w:p w:rsidR="00790ADA" w:rsidRPr="00403C34" w:rsidRDefault="00790ADA" w:rsidP="00441B6F">
      <w:pPr>
        <w:pStyle w:val="Head1"/>
        <w:spacing w:after="0"/>
        <w:jc w:val="both"/>
        <w:rPr>
          <w:rFonts w:ascii="Arial" w:hAnsi="Arial" w:cs="Arial"/>
          <w:color w:val="000000" w:themeColor="text1"/>
        </w:rPr>
      </w:pPr>
    </w:p>
    <w:p w:rsidR="00776782" w:rsidRPr="00403C34" w:rsidRDefault="00776782" w:rsidP="00776782">
      <w:pPr>
        <w:jc w:val="both"/>
        <w:rPr>
          <w:rFonts w:ascii="Arial" w:hAnsi="Arial" w:cs="Arial"/>
          <w:b/>
          <w:color w:val="000000" w:themeColor="text1"/>
          <w:sz w:val="22"/>
        </w:rPr>
      </w:pPr>
      <w:r w:rsidRPr="00403C34">
        <w:rPr>
          <w:rFonts w:ascii="Arial" w:hAnsi="Arial" w:cs="Arial"/>
          <w:b/>
          <w:color w:val="000000" w:themeColor="text1"/>
          <w:sz w:val="22"/>
        </w:rPr>
        <w:t>3.1 Constraints in NSA Adoption in Kasaragod (North Kerala)</w:t>
      </w:r>
    </w:p>
    <w:p w:rsidR="00776782" w:rsidRPr="00403C34" w:rsidRDefault="00776782" w:rsidP="00776782">
      <w:pPr>
        <w:jc w:val="both"/>
        <w:rPr>
          <w:rFonts w:ascii="Arial" w:hAnsi="Arial" w:cs="Arial"/>
          <w:b/>
          <w:color w:val="000000" w:themeColor="text1"/>
          <w:sz w:val="22"/>
        </w:rPr>
      </w:pPr>
    </w:p>
    <w:p w:rsidR="00776782" w:rsidRPr="00403C34" w:rsidRDefault="00776782" w:rsidP="00776782">
      <w:pPr>
        <w:spacing w:after="120"/>
        <w:jc w:val="both"/>
        <w:rPr>
          <w:rFonts w:ascii="Arial" w:hAnsi="Arial" w:cs="Arial"/>
          <w:color w:val="000000" w:themeColor="text1"/>
        </w:rPr>
      </w:pPr>
      <w:r w:rsidRPr="00403C34">
        <w:rPr>
          <w:rFonts w:ascii="Arial" w:hAnsi="Arial" w:cs="Arial"/>
          <w:color w:val="000000" w:themeColor="text1"/>
        </w:rPr>
        <w:t xml:space="preserve">The analysis revealed that in Kasaragod, lack of financial support (mean score 53.98) was perceived as the most pressing constraint. Farmers reported that limited access to institutional credit reduced their capacity to diversify crops and invest in inputs for home gardens. </w:t>
      </w:r>
      <w:r w:rsidR="00AC2BE5" w:rsidRPr="00403C34">
        <w:rPr>
          <w:rFonts w:ascii="Arial" w:hAnsi="Arial" w:cs="Arial"/>
          <w:color w:val="000000" w:themeColor="text1"/>
        </w:rPr>
        <w:t xml:space="preserve">Similar evidence was reported by Jacob et al. (2021), who highlighted that financial exclusion remains a serious challenge for smallholders in Kerala. In line </w:t>
      </w:r>
      <w:r w:rsidR="00AC2BE5" w:rsidRPr="00403C34">
        <w:rPr>
          <w:rFonts w:ascii="Arial" w:hAnsi="Arial" w:cs="Arial"/>
          <w:color w:val="000000" w:themeColor="text1"/>
        </w:rPr>
        <w:t xml:space="preserve">with this, </w:t>
      </w:r>
      <w:r w:rsidR="00451C94" w:rsidRPr="00403C34">
        <w:rPr>
          <w:rFonts w:ascii="Arial" w:hAnsi="Arial" w:cs="Arial"/>
          <w:color w:val="000000" w:themeColor="text1"/>
        </w:rPr>
        <w:t xml:space="preserve">Kumar (2012) </w:t>
      </w:r>
      <w:r w:rsidR="00AC2BE5" w:rsidRPr="00403C34">
        <w:rPr>
          <w:rFonts w:ascii="Arial" w:hAnsi="Arial" w:cs="Arial"/>
          <w:color w:val="000000" w:themeColor="text1"/>
        </w:rPr>
        <w:t>observed that limited access to formal credit constrains farm investment and slows down the adoption of improved agricultural practices</w:t>
      </w:r>
      <w:r w:rsidR="00451C94" w:rsidRPr="00403C34">
        <w:rPr>
          <w:rFonts w:ascii="Arial" w:hAnsi="Arial" w:cs="Arial"/>
          <w:color w:val="000000" w:themeColor="text1"/>
        </w:rPr>
        <w:t xml:space="preserve"> among rural households in </w:t>
      </w:r>
      <w:r w:rsidR="00AC2BE5" w:rsidRPr="00403C34">
        <w:rPr>
          <w:rFonts w:ascii="Arial" w:hAnsi="Arial" w:cs="Arial"/>
          <w:color w:val="000000" w:themeColor="text1"/>
        </w:rPr>
        <w:t>India.</w:t>
      </w:r>
    </w:p>
    <w:p w:rsidR="00C23CA9" w:rsidRPr="00403C34" w:rsidRDefault="00776782" w:rsidP="00776782">
      <w:pPr>
        <w:spacing w:after="120"/>
        <w:jc w:val="both"/>
        <w:rPr>
          <w:rFonts w:ascii="Arial" w:hAnsi="Arial" w:cs="Arial"/>
          <w:color w:val="000000" w:themeColor="text1"/>
        </w:rPr>
      </w:pPr>
      <w:r w:rsidRPr="00403C34">
        <w:rPr>
          <w:rFonts w:ascii="Arial" w:hAnsi="Arial" w:cs="Arial"/>
          <w:color w:val="000000" w:themeColor="text1"/>
        </w:rPr>
        <w:t>Climatic variability (53.35) emerged as the second most severe issue</w:t>
      </w:r>
      <w:r w:rsidR="00FB2978" w:rsidRPr="00403C34">
        <w:rPr>
          <w:rFonts w:ascii="Arial" w:hAnsi="Arial" w:cs="Arial"/>
          <w:color w:val="000000" w:themeColor="text1"/>
        </w:rPr>
        <w:t>. Erratic rainfall and extended dry periods pose serious threats to home garden productivity. Fox et al. (2017) observed that, even as home gardens remain widespread in Kerala, their crop diversity and productivity are declining under the pressure of climate variability and land-use change</w:t>
      </w:r>
      <w:r w:rsidRPr="00403C34">
        <w:rPr>
          <w:rFonts w:ascii="Arial" w:hAnsi="Arial" w:cs="Arial"/>
          <w:color w:val="000000" w:themeColor="text1"/>
        </w:rPr>
        <w:t>. Small-scale farming systems in humid tropics face heightened risks from unpredictable monsoon patterns.</w:t>
      </w:r>
    </w:p>
    <w:p w:rsidR="00776782" w:rsidRPr="00403C34" w:rsidRDefault="00776782" w:rsidP="00776782">
      <w:pPr>
        <w:spacing w:after="120"/>
        <w:jc w:val="both"/>
        <w:rPr>
          <w:rFonts w:ascii="Arial" w:hAnsi="Arial" w:cs="Arial"/>
          <w:color w:val="000000" w:themeColor="text1"/>
        </w:rPr>
      </w:pPr>
      <w:r w:rsidRPr="00403C34">
        <w:rPr>
          <w:rFonts w:ascii="Arial" w:hAnsi="Arial" w:cs="Arial"/>
          <w:color w:val="000000" w:themeColor="text1"/>
        </w:rPr>
        <w:t>Limited integration of agricultural and nutrition policies (51.88) wa</w:t>
      </w:r>
      <w:r w:rsidR="007A539F" w:rsidRPr="00403C34">
        <w:rPr>
          <w:rFonts w:ascii="Arial" w:hAnsi="Arial" w:cs="Arial"/>
          <w:color w:val="000000" w:themeColor="text1"/>
        </w:rPr>
        <w:t xml:space="preserve">s another significant challenge, Farmers frequently observed that government </w:t>
      </w:r>
      <w:proofErr w:type="spellStart"/>
      <w:r w:rsidR="007A539F" w:rsidRPr="00403C34">
        <w:rPr>
          <w:rFonts w:ascii="Arial" w:hAnsi="Arial" w:cs="Arial"/>
          <w:color w:val="000000" w:themeColor="text1"/>
        </w:rPr>
        <w:t>programmes</w:t>
      </w:r>
      <w:proofErr w:type="spellEnd"/>
      <w:r w:rsidR="007A539F" w:rsidRPr="00403C34">
        <w:rPr>
          <w:rFonts w:ascii="Arial" w:hAnsi="Arial" w:cs="Arial"/>
          <w:color w:val="000000" w:themeColor="text1"/>
        </w:rPr>
        <w:t xml:space="preserve"> tend to emphasize production rather than nutrition, leaving gaps in achieving intended dietary outcomes. This observation is consistent with broader Indian policy analyses, where Dev and </w:t>
      </w:r>
      <w:proofErr w:type="spellStart"/>
      <w:r w:rsidR="007A539F" w:rsidRPr="00403C34">
        <w:rPr>
          <w:rFonts w:ascii="Arial" w:hAnsi="Arial" w:cs="Arial"/>
          <w:color w:val="000000" w:themeColor="text1"/>
        </w:rPr>
        <w:t>Kadiyala</w:t>
      </w:r>
      <w:proofErr w:type="spellEnd"/>
      <w:r w:rsidR="007A539F" w:rsidRPr="00403C34">
        <w:rPr>
          <w:rFonts w:ascii="Arial" w:hAnsi="Arial" w:cs="Arial"/>
          <w:color w:val="000000" w:themeColor="text1"/>
        </w:rPr>
        <w:t xml:space="preserve"> (2019) argue that weak convergence between agricultural and nutrition sectors constrains the effectiveness of nutrition-sensitive initiatives at the national level</w:t>
      </w:r>
      <w:r w:rsidRPr="00403C34">
        <w:rPr>
          <w:rFonts w:ascii="Arial" w:hAnsi="Arial" w:cs="Arial"/>
          <w:color w:val="000000" w:themeColor="text1"/>
        </w:rPr>
        <w:t>. Farmers also reported inadequate guidance on pest and disease management, which reduced yields. Earlier studies have shown that lack of technical knowledge is one of the key reasons for yield reduction in diversified homestead farming systems (Prasad et al., 2020).</w:t>
      </w:r>
    </w:p>
    <w:p w:rsidR="000F1BF1" w:rsidRPr="00403C34" w:rsidRDefault="000F1BF1" w:rsidP="00776782">
      <w:pPr>
        <w:jc w:val="both"/>
        <w:rPr>
          <w:rFonts w:ascii="Arial" w:hAnsi="Arial" w:cs="Arial"/>
          <w:b/>
          <w:color w:val="000000" w:themeColor="text1"/>
        </w:rPr>
        <w:sectPr w:rsidR="000F1BF1" w:rsidRPr="00403C34" w:rsidSect="000F1BF1">
          <w:type w:val="continuous"/>
          <w:pgSz w:w="12240" w:h="15840"/>
          <w:pgMar w:top="1440" w:right="1800" w:bottom="1440" w:left="1800" w:header="720" w:footer="720" w:gutter="0"/>
          <w:cols w:num="2" w:space="720"/>
          <w:docGrid w:linePitch="360"/>
        </w:sectPr>
      </w:pPr>
    </w:p>
    <w:p w:rsidR="000F1BF1" w:rsidRPr="00403C34" w:rsidRDefault="000F1BF1" w:rsidP="00776782">
      <w:pPr>
        <w:jc w:val="both"/>
        <w:rPr>
          <w:rFonts w:ascii="Arial" w:hAnsi="Arial" w:cs="Arial"/>
          <w:b/>
          <w:color w:val="000000" w:themeColor="text1"/>
        </w:rPr>
      </w:pPr>
    </w:p>
    <w:p w:rsidR="00776782" w:rsidRPr="00403C34" w:rsidRDefault="00776782" w:rsidP="00155DF8">
      <w:pPr>
        <w:jc w:val="center"/>
        <w:rPr>
          <w:rFonts w:ascii="Arial" w:hAnsi="Arial" w:cs="Arial"/>
          <w:b/>
          <w:color w:val="000000" w:themeColor="text1"/>
        </w:rPr>
      </w:pPr>
      <w:r w:rsidRPr="00403C34">
        <w:rPr>
          <w:rFonts w:ascii="Arial" w:hAnsi="Arial" w:cs="Arial"/>
          <w:b/>
          <w:color w:val="000000" w:themeColor="text1"/>
        </w:rPr>
        <w:t>Table 1. Ranking of Constraints in NSA Adoption in Kasaragod</w:t>
      </w:r>
    </w:p>
    <w:tbl>
      <w:tblPr>
        <w:tblW w:w="10808" w:type="dxa"/>
        <w:tblInd w:w="-885" w:type="dxa"/>
        <w:tblBorders>
          <w:insideH w:val="single" w:sz="4" w:space="0" w:color="auto"/>
        </w:tblBorders>
        <w:tblLook w:val="04A0" w:firstRow="1" w:lastRow="0" w:firstColumn="1" w:lastColumn="0" w:noHBand="0" w:noVBand="1"/>
      </w:tblPr>
      <w:tblGrid>
        <w:gridCol w:w="718"/>
        <w:gridCol w:w="7675"/>
        <w:gridCol w:w="1101"/>
        <w:gridCol w:w="1314"/>
      </w:tblGrid>
      <w:tr w:rsidR="004D75F3" w:rsidRPr="00403C34" w:rsidTr="0082271E">
        <w:trPr>
          <w:trHeight w:val="403"/>
        </w:trPr>
        <w:tc>
          <w:tcPr>
            <w:tcW w:w="718" w:type="dxa"/>
            <w:vAlign w:val="center"/>
            <w:hideMark/>
          </w:tcPr>
          <w:p w:rsidR="00776782" w:rsidRPr="00403C34" w:rsidRDefault="00776782" w:rsidP="002C1F1C">
            <w:pPr>
              <w:rPr>
                <w:rFonts w:ascii="Arial" w:hAnsi="Arial" w:cs="Arial"/>
                <w:b/>
                <w:bCs/>
                <w:color w:val="000000" w:themeColor="text1"/>
                <w:lang w:eastAsia="en-IN"/>
              </w:rPr>
            </w:pPr>
            <w:proofErr w:type="spellStart"/>
            <w:r w:rsidRPr="00403C34">
              <w:rPr>
                <w:rFonts w:ascii="Arial" w:hAnsi="Arial" w:cs="Arial"/>
                <w:b/>
                <w:bCs/>
                <w:color w:val="000000" w:themeColor="text1"/>
                <w:lang w:eastAsia="en-IN"/>
              </w:rPr>
              <w:t>Sl</w:t>
            </w:r>
            <w:proofErr w:type="spellEnd"/>
            <w:r w:rsidRPr="00403C34">
              <w:rPr>
                <w:rFonts w:ascii="Arial" w:hAnsi="Arial" w:cs="Arial"/>
                <w:b/>
                <w:bCs/>
                <w:color w:val="000000" w:themeColor="text1"/>
                <w:lang w:eastAsia="en-IN"/>
              </w:rPr>
              <w:t xml:space="preserve"> No.</w:t>
            </w:r>
          </w:p>
        </w:tc>
        <w:tc>
          <w:tcPr>
            <w:tcW w:w="7675" w:type="dxa"/>
            <w:noWrap/>
            <w:vAlign w:val="bottom"/>
            <w:hideMark/>
          </w:tcPr>
          <w:p w:rsidR="00776782" w:rsidRPr="00403C34" w:rsidRDefault="00776782" w:rsidP="002C1F1C">
            <w:pPr>
              <w:jc w:val="center"/>
              <w:rPr>
                <w:rFonts w:ascii="Arial" w:hAnsi="Arial" w:cs="Arial"/>
                <w:b/>
                <w:bCs/>
                <w:color w:val="000000" w:themeColor="text1"/>
                <w:lang w:eastAsia="en-IN"/>
              </w:rPr>
            </w:pPr>
            <w:r w:rsidRPr="00403C34">
              <w:rPr>
                <w:rFonts w:ascii="Arial" w:hAnsi="Arial" w:cs="Arial"/>
                <w:b/>
                <w:bCs/>
                <w:color w:val="000000" w:themeColor="text1"/>
                <w:lang w:eastAsia="en-IN"/>
              </w:rPr>
              <w:t>Statements</w:t>
            </w:r>
          </w:p>
        </w:tc>
        <w:tc>
          <w:tcPr>
            <w:tcW w:w="1101" w:type="dxa"/>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Mean score</w:t>
            </w:r>
          </w:p>
        </w:tc>
        <w:tc>
          <w:tcPr>
            <w:tcW w:w="1314"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Rank</w:t>
            </w:r>
          </w:p>
        </w:tc>
      </w:tr>
      <w:tr w:rsidR="004D75F3" w:rsidRPr="00403C34" w:rsidTr="0082271E">
        <w:trPr>
          <w:trHeight w:val="263"/>
        </w:trPr>
        <w:tc>
          <w:tcPr>
            <w:tcW w:w="10808" w:type="dxa"/>
            <w:gridSpan w:val="4"/>
            <w:noWrap/>
            <w:vAlign w:val="bottom"/>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A. Operational Constraints</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Insufficient land holding for adoption of NSA</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49.53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13</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2</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irrigation facilities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51.4</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4</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3</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Wild animal attack</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50.73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8</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4</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Climatic factors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53.35</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2</w:t>
            </w:r>
          </w:p>
        </w:tc>
      </w:tr>
      <w:tr w:rsidR="004D75F3" w:rsidRPr="00403C34" w:rsidTr="0082271E">
        <w:trPr>
          <w:trHeight w:val="263"/>
        </w:trPr>
        <w:tc>
          <w:tcPr>
            <w:tcW w:w="10808" w:type="dxa"/>
            <w:gridSpan w:val="4"/>
            <w:noWrap/>
            <w:vAlign w:val="bottom"/>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B. Socio- Personal Constraints</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5</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Low literacy of the farmer</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48.33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16</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6</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networking among NSA farmers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48.33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15</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7</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family support in adopting NSA</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49.13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14</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8</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priority to NSA than other farm activities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46.13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20</w:t>
            </w:r>
          </w:p>
        </w:tc>
      </w:tr>
      <w:tr w:rsidR="004D75F3" w:rsidRPr="00403C34" w:rsidTr="0082271E">
        <w:trPr>
          <w:trHeight w:val="263"/>
        </w:trPr>
        <w:tc>
          <w:tcPr>
            <w:tcW w:w="10808" w:type="dxa"/>
            <w:gridSpan w:val="4"/>
            <w:noWrap/>
            <w:vAlign w:val="bottom"/>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C. Technological Constraints</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lastRenderedPageBreak/>
              <w:t>9</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adequate sensitization about nutritional security among key persons in the village</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47.9</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18</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10</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dietary diversification</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49.93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11</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11</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pest and disease identification and their management</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50.98</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7</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12</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extension agent support</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50.62</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9</w:t>
            </w:r>
          </w:p>
        </w:tc>
      </w:tr>
      <w:tr w:rsidR="004D75F3" w:rsidRPr="00403C34" w:rsidTr="0082271E">
        <w:trPr>
          <w:trHeight w:val="263"/>
        </w:trPr>
        <w:tc>
          <w:tcPr>
            <w:tcW w:w="10808" w:type="dxa"/>
            <w:gridSpan w:val="4"/>
            <w:noWrap/>
            <w:vAlign w:val="bottom"/>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D. Economic Constraints</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13</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marketing at village level</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49.88</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12</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14</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Poor economic condition of people</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51.33</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5</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15</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reasonable support price for farm produce</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48.28</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17</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16</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High cost of agricultural inputs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51.2</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6</w:t>
            </w:r>
          </w:p>
        </w:tc>
      </w:tr>
      <w:tr w:rsidR="004D75F3" w:rsidRPr="00403C34" w:rsidTr="0082271E">
        <w:trPr>
          <w:trHeight w:val="263"/>
        </w:trPr>
        <w:tc>
          <w:tcPr>
            <w:tcW w:w="10808" w:type="dxa"/>
            <w:gridSpan w:val="4"/>
            <w:noWrap/>
            <w:vAlign w:val="bottom"/>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E. Policy gap and institutional constraints</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17</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Limited integration of agricultural and nutrition policies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51.88</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3</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18</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Negative attitude towards  government programs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50.2</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10</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19</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financial support for smallholder farmers to adopt nutrition-sensitive practices</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53.98</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w:t>
            </w:r>
          </w:p>
        </w:tc>
      </w:tr>
      <w:tr w:rsidR="004D75F3" w:rsidRPr="00403C34" w:rsidTr="0082271E">
        <w:trPr>
          <w:trHeight w:val="263"/>
        </w:trPr>
        <w:tc>
          <w:tcPr>
            <w:tcW w:w="718" w:type="dxa"/>
            <w:noWrap/>
            <w:vAlign w:val="bottom"/>
            <w:hideMark/>
          </w:tcPr>
          <w:p w:rsidR="00776782" w:rsidRPr="00403C34" w:rsidRDefault="00776782" w:rsidP="002C1F1C">
            <w:pPr>
              <w:rPr>
                <w:rFonts w:ascii="Arial" w:hAnsi="Arial" w:cs="Arial"/>
                <w:b/>
                <w:color w:val="000000" w:themeColor="text1"/>
                <w:lang w:eastAsia="en-IN"/>
              </w:rPr>
            </w:pPr>
            <w:r w:rsidRPr="00403C34">
              <w:rPr>
                <w:rFonts w:ascii="Arial" w:hAnsi="Arial" w:cs="Arial"/>
                <w:b/>
                <w:color w:val="000000" w:themeColor="text1"/>
                <w:lang w:eastAsia="en-IN"/>
              </w:rPr>
              <w:t>20</w:t>
            </w:r>
          </w:p>
        </w:tc>
        <w:tc>
          <w:tcPr>
            <w:tcW w:w="7675"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 xml:space="preserve">Lack of adequate publicity </w:t>
            </w:r>
            <w:proofErr w:type="spellStart"/>
            <w:r w:rsidRPr="00403C34">
              <w:rPr>
                <w:rFonts w:ascii="Arial" w:hAnsi="Arial" w:cs="Arial"/>
                <w:color w:val="000000" w:themeColor="text1"/>
                <w:lang w:eastAsia="en-IN"/>
              </w:rPr>
              <w:t>programmes</w:t>
            </w:r>
            <w:proofErr w:type="spellEnd"/>
            <w:r w:rsidRPr="00403C34">
              <w:rPr>
                <w:rFonts w:ascii="Arial" w:hAnsi="Arial" w:cs="Arial"/>
                <w:color w:val="000000" w:themeColor="text1"/>
                <w:lang w:eastAsia="en-IN"/>
              </w:rPr>
              <w:t xml:space="preserve"> on NSA</w:t>
            </w:r>
          </w:p>
        </w:tc>
        <w:tc>
          <w:tcPr>
            <w:tcW w:w="1101"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46.85</w:t>
            </w:r>
          </w:p>
        </w:tc>
        <w:tc>
          <w:tcPr>
            <w:tcW w:w="1314" w:type="dxa"/>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19</w:t>
            </w:r>
          </w:p>
        </w:tc>
      </w:tr>
    </w:tbl>
    <w:p w:rsidR="002C0587" w:rsidRPr="00403C34" w:rsidRDefault="002C0587" w:rsidP="00393D7A">
      <w:pPr>
        <w:pStyle w:val="ListParagraph"/>
        <w:ind w:left="-414" w:right="-1141"/>
        <w:jc w:val="both"/>
        <w:rPr>
          <w:rFonts w:ascii="Arial" w:hAnsi="Arial" w:cs="Arial"/>
          <w:i/>
          <w:color w:val="000000" w:themeColor="text1"/>
        </w:rPr>
      </w:pPr>
    </w:p>
    <w:p w:rsidR="00776782" w:rsidRPr="00403C34" w:rsidRDefault="004216B6" w:rsidP="00393D7A">
      <w:pPr>
        <w:pStyle w:val="ListParagraph"/>
        <w:ind w:left="-414" w:right="-1141"/>
        <w:jc w:val="both"/>
        <w:rPr>
          <w:rFonts w:ascii="Arial" w:hAnsi="Arial" w:cs="Arial"/>
          <w:color w:val="000000" w:themeColor="text1"/>
        </w:rPr>
      </w:pPr>
      <w:r w:rsidRPr="00403C34">
        <w:rPr>
          <w:rFonts w:ascii="Arial" w:hAnsi="Arial" w:cs="Arial"/>
          <w:i/>
          <w:color w:val="000000" w:themeColor="text1"/>
        </w:rPr>
        <w:t>*</w:t>
      </w:r>
      <w:r w:rsidR="00393D7A" w:rsidRPr="00403C34">
        <w:rPr>
          <w:rFonts w:ascii="Arial" w:hAnsi="Arial" w:cs="Arial"/>
          <w:i/>
          <w:color w:val="000000" w:themeColor="text1"/>
        </w:rPr>
        <w:t xml:space="preserve"> Greater Garrett mean shows higher severity; top score gets Rank 1, o</w:t>
      </w:r>
      <w:r w:rsidR="00393D7A" w:rsidRPr="00403C34">
        <w:rPr>
          <w:rFonts w:ascii="Arial" w:hAnsi="Arial" w:cs="Arial"/>
          <w:color w:val="000000" w:themeColor="text1"/>
        </w:rPr>
        <w:t>thers in descending order.</w:t>
      </w:r>
    </w:p>
    <w:p w:rsidR="00393D7A" w:rsidRPr="00403C34" w:rsidRDefault="00393D7A" w:rsidP="00393D7A">
      <w:pPr>
        <w:pStyle w:val="ListParagraph"/>
        <w:ind w:left="-414" w:right="-1141"/>
        <w:jc w:val="both"/>
        <w:rPr>
          <w:rFonts w:ascii="Arial" w:hAnsi="Arial" w:cs="Arial"/>
          <w:color w:val="000000" w:themeColor="text1"/>
        </w:rPr>
      </w:pPr>
    </w:p>
    <w:p w:rsidR="000F1BF1" w:rsidRPr="00403C34" w:rsidRDefault="000F1BF1" w:rsidP="00393D7A">
      <w:pPr>
        <w:pStyle w:val="ListParagraph"/>
        <w:ind w:left="-414" w:right="-1141"/>
        <w:jc w:val="both"/>
        <w:rPr>
          <w:rFonts w:ascii="Arial" w:hAnsi="Arial" w:cs="Arial"/>
          <w:b/>
          <w:color w:val="000000" w:themeColor="text1"/>
        </w:rPr>
        <w:sectPr w:rsidR="000F1BF1" w:rsidRPr="00403C34" w:rsidSect="002C1F1C">
          <w:type w:val="continuous"/>
          <w:pgSz w:w="12240" w:h="15840"/>
          <w:pgMar w:top="1440" w:right="1800" w:bottom="1440" w:left="1800" w:header="720" w:footer="720" w:gutter="0"/>
          <w:cols w:space="720"/>
          <w:docGrid w:linePitch="360"/>
        </w:sectPr>
      </w:pPr>
    </w:p>
    <w:p w:rsidR="00393D7A" w:rsidRPr="00403C34" w:rsidRDefault="00393D7A" w:rsidP="00393D7A">
      <w:pPr>
        <w:pStyle w:val="ListParagraph"/>
        <w:ind w:left="-414" w:right="-1141"/>
        <w:jc w:val="both"/>
        <w:rPr>
          <w:rFonts w:ascii="Arial" w:hAnsi="Arial" w:cs="Arial"/>
          <w:b/>
          <w:color w:val="000000" w:themeColor="text1"/>
        </w:rPr>
        <w:sectPr w:rsidR="00393D7A" w:rsidRPr="00403C34" w:rsidSect="000F1BF1">
          <w:type w:val="continuous"/>
          <w:pgSz w:w="12240" w:h="15840"/>
          <w:pgMar w:top="1440" w:right="1800" w:bottom="1440" w:left="1800" w:header="720" w:footer="720" w:gutter="0"/>
          <w:cols w:num="2" w:space="720"/>
          <w:docGrid w:linePitch="360"/>
        </w:sectPr>
      </w:pPr>
    </w:p>
    <w:p w:rsidR="00776782" w:rsidRPr="00403C34" w:rsidRDefault="00776782" w:rsidP="00776782">
      <w:pPr>
        <w:jc w:val="both"/>
        <w:rPr>
          <w:rFonts w:ascii="Arial" w:hAnsi="Arial" w:cs="Arial"/>
          <w:b/>
          <w:color w:val="000000" w:themeColor="text1"/>
          <w:sz w:val="22"/>
        </w:rPr>
      </w:pPr>
      <w:r w:rsidRPr="00403C34">
        <w:rPr>
          <w:rFonts w:ascii="Arial" w:hAnsi="Arial" w:cs="Arial"/>
          <w:b/>
          <w:color w:val="000000" w:themeColor="text1"/>
          <w:sz w:val="22"/>
        </w:rPr>
        <w:t>3.2 Constraints in NSA Adoption in Thrissur (Central Kerala)</w:t>
      </w:r>
    </w:p>
    <w:p w:rsidR="00776782" w:rsidRPr="00403C34" w:rsidRDefault="00776782" w:rsidP="00776782">
      <w:pPr>
        <w:jc w:val="both"/>
        <w:rPr>
          <w:rFonts w:ascii="Arial" w:hAnsi="Arial" w:cs="Arial"/>
          <w:color w:val="000000" w:themeColor="text1"/>
          <w:sz w:val="22"/>
        </w:rPr>
      </w:pPr>
    </w:p>
    <w:p w:rsidR="00BD3421" w:rsidRPr="00403C34" w:rsidRDefault="00776782" w:rsidP="00776782">
      <w:pPr>
        <w:jc w:val="both"/>
        <w:rPr>
          <w:rFonts w:ascii="Arial" w:hAnsi="Arial" w:cs="Arial"/>
          <w:color w:val="000000" w:themeColor="text1"/>
        </w:rPr>
      </w:pPr>
      <w:r w:rsidRPr="00403C34">
        <w:rPr>
          <w:rFonts w:ascii="Arial" w:hAnsi="Arial" w:cs="Arial"/>
          <w:color w:val="000000" w:themeColor="text1"/>
        </w:rPr>
        <w:t xml:space="preserve">In Thrissur, wild animal depredation (mean score 72.77) was the most serious constraint. Farmers frequently reported crop damage by wild boars, monkeys, and porcupines. </w:t>
      </w:r>
      <w:r w:rsidR="00BD3421" w:rsidRPr="00403C34">
        <w:rPr>
          <w:rFonts w:ascii="Arial" w:hAnsi="Arial" w:cs="Arial"/>
          <w:color w:val="000000" w:themeColor="text1"/>
        </w:rPr>
        <w:t>In central Kerala, frequent crop damage caused by wild animals has become a pressing concern, and many small-scale homestead farmers are giving up cultivation as a result of ongoing human–wildlife conflicts (</w:t>
      </w:r>
      <w:proofErr w:type="spellStart"/>
      <w:r w:rsidR="00BD3421" w:rsidRPr="00403C34">
        <w:rPr>
          <w:rFonts w:ascii="Arial" w:hAnsi="Arial" w:cs="Arial"/>
          <w:color w:val="000000" w:themeColor="text1"/>
        </w:rPr>
        <w:t>Greeshma</w:t>
      </w:r>
      <w:proofErr w:type="spellEnd"/>
      <w:r w:rsidR="00BD3421" w:rsidRPr="00403C34">
        <w:rPr>
          <w:rFonts w:ascii="Arial" w:hAnsi="Arial" w:cs="Arial"/>
          <w:color w:val="000000" w:themeColor="text1"/>
        </w:rPr>
        <w:t xml:space="preserve">, Jayson, &amp; </w:t>
      </w:r>
      <w:proofErr w:type="spellStart"/>
      <w:r w:rsidR="00BD3421" w:rsidRPr="00403C34">
        <w:rPr>
          <w:rFonts w:ascii="Arial" w:hAnsi="Arial" w:cs="Arial"/>
          <w:color w:val="000000" w:themeColor="text1"/>
        </w:rPr>
        <w:t>Govind</w:t>
      </w:r>
      <w:proofErr w:type="spellEnd"/>
      <w:r w:rsidR="00BD3421" w:rsidRPr="00403C34">
        <w:rPr>
          <w:rFonts w:ascii="Arial" w:hAnsi="Arial" w:cs="Arial"/>
          <w:color w:val="000000" w:themeColor="text1"/>
        </w:rPr>
        <w:t>, 2016).</w:t>
      </w:r>
    </w:p>
    <w:p w:rsidR="00155DF8" w:rsidRPr="00403C34" w:rsidRDefault="00155DF8" w:rsidP="00155DF8">
      <w:pPr>
        <w:jc w:val="both"/>
        <w:rPr>
          <w:rFonts w:ascii="Arial" w:hAnsi="Arial" w:cs="Arial"/>
          <w:color w:val="000000" w:themeColor="text1"/>
        </w:rPr>
      </w:pPr>
    </w:p>
    <w:p w:rsidR="00776782" w:rsidRPr="00403C34" w:rsidRDefault="00776782" w:rsidP="00776782">
      <w:pPr>
        <w:spacing w:after="120"/>
        <w:jc w:val="both"/>
        <w:rPr>
          <w:rFonts w:ascii="Arial" w:hAnsi="Arial" w:cs="Arial"/>
          <w:color w:val="000000" w:themeColor="text1"/>
        </w:rPr>
      </w:pPr>
      <w:r w:rsidRPr="00403C34">
        <w:rPr>
          <w:rFonts w:ascii="Arial" w:hAnsi="Arial" w:cs="Arial"/>
          <w:color w:val="000000" w:themeColor="text1"/>
        </w:rPr>
        <w:t xml:space="preserve">Climatic variability (58.25) was another critical factor, as Thrissur is highly exposed to both floods and droughts. </w:t>
      </w:r>
      <w:r w:rsidR="00E92C57" w:rsidRPr="00403C34">
        <w:rPr>
          <w:rFonts w:ascii="Arial" w:hAnsi="Arial" w:cs="Arial"/>
          <w:color w:val="000000" w:themeColor="text1"/>
        </w:rPr>
        <w:t>Evidence from Kerala shows that the 2018 floods had long-</w:t>
      </w:r>
      <w:r w:rsidR="00E92C57" w:rsidRPr="00403C34">
        <w:rPr>
          <w:rFonts w:ascii="Arial" w:hAnsi="Arial" w:cs="Arial"/>
          <w:color w:val="000000" w:themeColor="text1"/>
        </w:rPr>
        <w:t>lasting effects on farm resilience and household livelihoods (Beyer et al., 2022). At the same time, farmers emphasize that access to timely credit is crucial—when credit is limited, they are less able to invest in resilient practices, but when it is available, households can sustain more diverse and productive home gardens.</w:t>
      </w:r>
    </w:p>
    <w:p w:rsidR="000F1BF1" w:rsidRPr="00403C34" w:rsidRDefault="00776782" w:rsidP="00776782">
      <w:pPr>
        <w:jc w:val="both"/>
        <w:rPr>
          <w:rFonts w:ascii="Arial" w:hAnsi="Arial" w:cs="Arial"/>
          <w:color w:val="000000" w:themeColor="text1"/>
        </w:rPr>
        <w:sectPr w:rsidR="000F1BF1" w:rsidRPr="00403C34" w:rsidSect="000F1BF1">
          <w:type w:val="continuous"/>
          <w:pgSz w:w="12240" w:h="15840"/>
          <w:pgMar w:top="1440" w:right="1800" w:bottom="1440" w:left="1800" w:header="720" w:footer="720" w:gutter="0"/>
          <w:cols w:num="2" w:space="720"/>
          <w:docGrid w:linePitch="360"/>
        </w:sectPr>
      </w:pPr>
      <w:r w:rsidRPr="00403C34">
        <w:rPr>
          <w:rFonts w:ascii="Arial" w:hAnsi="Arial" w:cs="Arial"/>
          <w:color w:val="000000" w:themeColor="text1"/>
        </w:rPr>
        <w:t xml:space="preserve">Farmers further noted that pest and disease management gaps (56.95) reduced yields. </w:t>
      </w:r>
      <w:r w:rsidR="001F5A75" w:rsidRPr="00403C34">
        <w:rPr>
          <w:rFonts w:ascii="Arial" w:hAnsi="Arial" w:cs="Arial"/>
          <w:color w:val="000000" w:themeColor="text1"/>
        </w:rPr>
        <w:t xml:space="preserve">Diversified farming systems face challenges when farmers lack technical expertise. In Kerala, Thomas and </w:t>
      </w:r>
      <w:proofErr w:type="spellStart"/>
      <w:r w:rsidR="001F5A75" w:rsidRPr="00403C34">
        <w:rPr>
          <w:rFonts w:ascii="Arial" w:hAnsi="Arial" w:cs="Arial"/>
          <w:color w:val="000000" w:themeColor="text1"/>
        </w:rPr>
        <w:t>Nithish</w:t>
      </w:r>
      <w:proofErr w:type="spellEnd"/>
      <w:r w:rsidR="001F5A75" w:rsidRPr="00403C34">
        <w:rPr>
          <w:rFonts w:ascii="Arial" w:hAnsi="Arial" w:cs="Arial"/>
          <w:color w:val="000000" w:themeColor="text1"/>
        </w:rPr>
        <w:t xml:space="preserve"> </w:t>
      </w:r>
      <w:proofErr w:type="spellStart"/>
      <w:r w:rsidR="001F5A75" w:rsidRPr="00403C34">
        <w:rPr>
          <w:rFonts w:ascii="Arial" w:hAnsi="Arial" w:cs="Arial"/>
          <w:color w:val="000000" w:themeColor="text1"/>
        </w:rPr>
        <w:t>Babu</w:t>
      </w:r>
      <w:proofErr w:type="spellEnd"/>
      <w:r w:rsidR="001F5A75" w:rsidRPr="00403C34">
        <w:rPr>
          <w:rFonts w:ascii="Arial" w:hAnsi="Arial" w:cs="Arial"/>
          <w:color w:val="000000" w:themeColor="text1"/>
        </w:rPr>
        <w:t xml:space="preserve"> (2020) showed that innovative extension approaches, including crowdsourced advisory services, strengthened home garden farming and helped </w:t>
      </w:r>
      <w:r w:rsidR="00155DF8" w:rsidRPr="00403C34">
        <w:rPr>
          <w:rFonts w:ascii="Arial" w:hAnsi="Arial" w:cs="Arial"/>
          <w:color w:val="000000" w:themeColor="text1"/>
        </w:rPr>
        <w:t>address pest and disease problems.</w:t>
      </w:r>
    </w:p>
    <w:p w:rsidR="00776782" w:rsidRPr="00403C34" w:rsidRDefault="00776782" w:rsidP="00776782">
      <w:pPr>
        <w:jc w:val="both"/>
        <w:rPr>
          <w:rFonts w:ascii="Arial" w:hAnsi="Arial" w:cs="Arial"/>
          <w:color w:val="000000" w:themeColor="text1"/>
        </w:rPr>
        <w:sectPr w:rsidR="00776782" w:rsidRPr="00403C34" w:rsidSect="002C1F1C">
          <w:type w:val="continuous"/>
          <w:pgSz w:w="12240" w:h="15840"/>
          <w:pgMar w:top="1440" w:right="1800" w:bottom="1440" w:left="1800" w:header="720" w:footer="720" w:gutter="0"/>
          <w:cols w:space="720"/>
          <w:docGrid w:linePitch="360"/>
        </w:sectPr>
      </w:pPr>
    </w:p>
    <w:p w:rsidR="00776782" w:rsidRPr="00403C34" w:rsidRDefault="00776782" w:rsidP="00776782">
      <w:pPr>
        <w:jc w:val="center"/>
        <w:rPr>
          <w:rFonts w:ascii="Arial" w:hAnsi="Arial" w:cs="Arial"/>
          <w:b/>
          <w:color w:val="000000" w:themeColor="text1"/>
        </w:rPr>
      </w:pPr>
      <w:r w:rsidRPr="00403C34">
        <w:rPr>
          <w:rFonts w:ascii="Arial" w:hAnsi="Arial" w:cs="Arial"/>
          <w:b/>
          <w:color w:val="000000" w:themeColor="text1"/>
        </w:rPr>
        <w:t>Table 2. Ranking of Constraints in NSA Adoption in Thrissur</w:t>
      </w:r>
    </w:p>
    <w:p w:rsidR="00776782" w:rsidRPr="00403C34" w:rsidRDefault="00776782" w:rsidP="00776782">
      <w:pPr>
        <w:jc w:val="center"/>
        <w:rPr>
          <w:rFonts w:ascii="Arial" w:hAnsi="Arial" w:cs="Arial"/>
          <w:b/>
          <w:color w:val="000000" w:themeColor="text1"/>
        </w:rPr>
      </w:pPr>
    </w:p>
    <w:tbl>
      <w:tblPr>
        <w:tblW w:w="10873" w:type="dxa"/>
        <w:tblInd w:w="-851" w:type="dxa"/>
        <w:tblBorders>
          <w:insideH w:val="single" w:sz="4" w:space="0" w:color="auto"/>
        </w:tblBorders>
        <w:tblLook w:val="04A0" w:firstRow="1" w:lastRow="0" w:firstColumn="1" w:lastColumn="0" w:noHBand="0" w:noVBand="1"/>
      </w:tblPr>
      <w:tblGrid>
        <w:gridCol w:w="1249"/>
        <w:gridCol w:w="8168"/>
        <w:gridCol w:w="750"/>
        <w:gridCol w:w="706"/>
      </w:tblGrid>
      <w:tr w:rsidR="004D75F3" w:rsidRPr="00403C34" w:rsidTr="0082271E">
        <w:trPr>
          <w:trHeight w:val="653"/>
        </w:trPr>
        <w:tc>
          <w:tcPr>
            <w:tcW w:w="1249" w:type="dxa"/>
            <w:vAlign w:val="center"/>
            <w:hideMark/>
          </w:tcPr>
          <w:p w:rsidR="00776782" w:rsidRPr="00403C34" w:rsidRDefault="00776782" w:rsidP="002C1F1C">
            <w:pPr>
              <w:jc w:val="both"/>
              <w:rPr>
                <w:rFonts w:ascii="Arial" w:hAnsi="Arial" w:cs="Arial"/>
                <w:b/>
                <w:bCs/>
                <w:color w:val="000000" w:themeColor="text1"/>
                <w:lang w:eastAsia="en-IN"/>
              </w:rPr>
            </w:pPr>
            <w:proofErr w:type="spellStart"/>
            <w:r w:rsidRPr="00403C34">
              <w:rPr>
                <w:rFonts w:ascii="Arial" w:hAnsi="Arial" w:cs="Arial"/>
                <w:b/>
                <w:bCs/>
                <w:color w:val="000000" w:themeColor="text1"/>
                <w:lang w:eastAsia="en-IN"/>
              </w:rPr>
              <w:t>Sl</w:t>
            </w:r>
            <w:proofErr w:type="spellEnd"/>
            <w:r w:rsidRPr="00403C34">
              <w:rPr>
                <w:rFonts w:ascii="Arial" w:hAnsi="Arial" w:cs="Arial"/>
                <w:b/>
                <w:bCs/>
                <w:color w:val="000000" w:themeColor="text1"/>
                <w:lang w:eastAsia="en-IN"/>
              </w:rPr>
              <w:t xml:space="preserve"> No.</w:t>
            </w:r>
          </w:p>
        </w:tc>
        <w:tc>
          <w:tcPr>
            <w:tcW w:w="8168"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Statements</w:t>
            </w:r>
          </w:p>
        </w:tc>
        <w:tc>
          <w:tcPr>
            <w:tcW w:w="750" w:type="dxa"/>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Mean score</w:t>
            </w:r>
          </w:p>
        </w:tc>
        <w:tc>
          <w:tcPr>
            <w:tcW w:w="706"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Rank</w:t>
            </w:r>
          </w:p>
        </w:tc>
      </w:tr>
      <w:tr w:rsidR="004D75F3" w:rsidRPr="00403C34" w:rsidTr="0082271E">
        <w:trPr>
          <w:trHeight w:val="295"/>
        </w:trPr>
        <w:tc>
          <w:tcPr>
            <w:tcW w:w="10873" w:type="dxa"/>
            <w:gridSpan w:val="4"/>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A. Operational Constraints</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Insufficient land holding for adoption of NSA</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50.92</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10</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2</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irrigation facilities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35.22</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20</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3</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Wild animal attack</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72.77</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Climatic factors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58.25</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2</w:t>
            </w:r>
          </w:p>
        </w:tc>
      </w:tr>
      <w:tr w:rsidR="004D75F3" w:rsidRPr="00403C34" w:rsidTr="0082271E">
        <w:trPr>
          <w:trHeight w:val="295"/>
        </w:trPr>
        <w:tc>
          <w:tcPr>
            <w:tcW w:w="10873" w:type="dxa"/>
            <w:gridSpan w:val="4"/>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B. Socio- Personal Constraints</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Low literacy of the farmer</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38.12</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19</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lastRenderedPageBreak/>
              <w:t>6</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networking among NSA farmers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48.7</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13</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7</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family support in adopting NSA</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41.85</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17</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8</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priority to NSA than other farm activities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46.48</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14</w:t>
            </w:r>
          </w:p>
        </w:tc>
      </w:tr>
      <w:tr w:rsidR="004D75F3" w:rsidRPr="00403C34" w:rsidTr="0082271E">
        <w:trPr>
          <w:trHeight w:val="295"/>
        </w:trPr>
        <w:tc>
          <w:tcPr>
            <w:tcW w:w="10873" w:type="dxa"/>
            <w:gridSpan w:val="4"/>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 xml:space="preserve">C. Technological Constraints </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9</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adequate sensitization about nutritional security among key persons in the village</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53.23</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6</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10</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dietary diversification</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49.1</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12</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11</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pest and disease identification and their management</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56.95</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4</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12</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extension agent support</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46.33</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15</w:t>
            </w:r>
          </w:p>
        </w:tc>
      </w:tr>
      <w:tr w:rsidR="004D75F3" w:rsidRPr="00403C34" w:rsidTr="0082271E">
        <w:trPr>
          <w:trHeight w:val="295"/>
        </w:trPr>
        <w:tc>
          <w:tcPr>
            <w:tcW w:w="10873" w:type="dxa"/>
            <w:gridSpan w:val="4"/>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D. Economic Constraints</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13</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marketing at village level</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44.58</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16</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14</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Poor economic condition of people</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51.33</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9</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15</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reasonable support price for farm produce</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51.73</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8</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16</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High cost of agricultural inputs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49.15</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11</w:t>
            </w:r>
          </w:p>
        </w:tc>
      </w:tr>
      <w:tr w:rsidR="004D75F3" w:rsidRPr="00403C34" w:rsidTr="0082271E">
        <w:trPr>
          <w:trHeight w:val="295"/>
        </w:trPr>
        <w:tc>
          <w:tcPr>
            <w:tcW w:w="10873" w:type="dxa"/>
            <w:gridSpan w:val="4"/>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E. Policy gap and institutional constraints</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17</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Limited integration of agricultural and nutrition policies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54.75</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5</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18</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Negative attitude towards  government programs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41.22</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18</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19</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financial support for smallholder farmers to adopt nutrition-sensitive practices</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57.65</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3</w:t>
            </w:r>
          </w:p>
        </w:tc>
      </w:tr>
      <w:tr w:rsidR="004D75F3" w:rsidRPr="00403C34" w:rsidTr="0082271E">
        <w:trPr>
          <w:trHeight w:val="320"/>
        </w:trPr>
        <w:tc>
          <w:tcPr>
            <w:tcW w:w="1249"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20</w:t>
            </w:r>
          </w:p>
        </w:tc>
        <w:tc>
          <w:tcPr>
            <w:tcW w:w="8168"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 xml:space="preserve">Lack of adequate publicity </w:t>
            </w:r>
            <w:proofErr w:type="spellStart"/>
            <w:r w:rsidRPr="00403C34">
              <w:rPr>
                <w:rFonts w:ascii="Arial" w:hAnsi="Arial" w:cs="Arial"/>
                <w:color w:val="000000" w:themeColor="text1"/>
                <w:lang w:eastAsia="en-IN"/>
              </w:rPr>
              <w:t>programmes</w:t>
            </w:r>
            <w:proofErr w:type="spellEnd"/>
            <w:r w:rsidRPr="00403C34">
              <w:rPr>
                <w:rFonts w:ascii="Arial" w:hAnsi="Arial" w:cs="Arial"/>
                <w:color w:val="000000" w:themeColor="text1"/>
                <w:lang w:eastAsia="en-IN"/>
              </w:rPr>
              <w:t xml:space="preserve"> on NSA</w:t>
            </w:r>
          </w:p>
        </w:tc>
        <w:tc>
          <w:tcPr>
            <w:tcW w:w="750" w:type="dxa"/>
            <w:shd w:val="clear" w:color="auto" w:fill="FFFFFF"/>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53.1</w:t>
            </w:r>
          </w:p>
        </w:tc>
        <w:tc>
          <w:tcPr>
            <w:tcW w:w="706" w:type="dxa"/>
            <w:noWrap/>
            <w:vAlign w:val="center"/>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7</w:t>
            </w:r>
          </w:p>
        </w:tc>
      </w:tr>
    </w:tbl>
    <w:p w:rsidR="002C0587" w:rsidRPr="00403C34" w:rsidRDefault="002C0587" w:rsidP="00393D7A">
      <w:pPr>
        <w:pStyle w:val="ListParagraph"/>
        <w:ind w:left="-414" w:right="-1141"/>
        <w:jc w:val="both"/>
        <w:rPr>
          <w:rFonts w:ascii="Arial" w:hAnsi="Arial" w:cs="Arial"/>
          <w:i/>
          <w:color w:val="000000" w:themeColor="text1"/>
        </w:rPr>
      </w:pPr>
    </w:p>
    <w:p w:rsidR="00776782" w:rsidRPr="00403C34" w:rsidRDefault="00393D7A" w:rsidP="00393D7A">
      <w:pPr>
        <w:pStyle w:val="ListParagraph"/>
        <w:ind w:left="-414" w:right="-1141"/>
        <w:jc w:val="both"/>
        <w:rPr>
          <w:rFonts w:ascii="Arial" w:hAnsi="Arial" w:cs="Arial"/>
          <w:color w:val="000000" w:themeColor="text1"/>
        </w:rPr>
      </w:pPr>
      <w:r w:rsidRPr="00403C34">
        <w:rPr>
          <w:rFonts w:ascii="Arial" w:hAnsi="Arial" w:cs="Arial"/>
          <w:i/>
          <w:color w:val="000000" w:themeColor="text1"/>
        </w:rPr>
        <w:t>* Greater Garrett mean shows higher severity; top score gets Rank 1, o</w:t>
      </w:r>
      <w:r w:rsidRPr="00403C34">
        <w:rPr>
          <w:rFonts w:ascii="Arial" w:hAnsi="Arial" w:cs="Arial"/>
          <w:color w:val="000000" w:themeColor="text1"/>
        </w:rPr>
        <w:t>thers in descending order.</w:t>
      </w:r>
    </w:p>
    <w:p w:rsidR="00393D7A" w:rsidRPr="00403C34" w:rsidRDefault="00393D7A" w:rsidP="00393D7A">
      <w:pPr>
        <w:pStyle w:val="ListParagraph"/>
        <w:ind w:left="-414" w:right="-1141"/>
        <w:jc w:val="both"/>
        <w:rPr>
          <w:rFonts w:ascii="Arial" w:hAnsi="Arial" w:cs="Arial"/>
          <w:color w:val="000000" w:themeColor="text1"/>
        </w:rPr>
      </w:pPr>
    </w:p>
    <w:p w:rsidR="00776782" w:rsidRPr="00403C34" w:rsidRDefault="00776782" w:rsidP="00776782">
      <w:pPr>
        <w:jc w:val="both"/>
        <w:rPr>
          <w:rFonts w:ascii="Arial" w:hAnsi="Arial" w:cs="Arial"/>
          <w:b/>
          <w:color w:val="000000" w:themeColor="text1"/>
        </w:rPr>
        <w:sectPr w:rsidR="00776782" w:rsidRPr="00403C34" w:rsidSect="002C1F1C">
          <w:type w:val="continuous"/>
          <w:pgSz w:w="12240" w:h="15840"/>
          <w:pgMar w:top="1440" w:right="1800" w:bottom="1440" w:left="1800" w:header="720" w:footer="720" w:gutter="0"/>
          <w:cols w:space="720"/>
          <w:docGrid w:linePitch="360"/>
        </w:sectPr>
      </w:pPr>
    </w:p>
    <w:p w:rsidR="00776782" w:rsidRPr="00403C34" w:rsidRDefault="00776782" w:rsidP="00776782">
      <w:pPr>
        <w:jc w:val="both"/>
        <w:rPr>
          <w:rFonts w:ascii="Arial" w:hAnsi="Arial" w:cs="Arial"/>
          <w:b/>
          <w:color w:val="000000" w:themeColor="text1"/>
          <w:sz w:val="22"/>
        </w:rPr>
      </w:pPr>
      <w:r w:rsidRPr="00403C34">
        <w:rPr>
          <w:rFonts w:ascii="Arial" w:hAnsi="Arial" w:cs="Arial"/>
          <w:b/>
          <w:color w:val="000000" w:themeColor="text1"/>
          <w:sz w:val="22"/>
        </w:rPr>
        <w:t>3.3 Constraints in NSA Adoption in Thiruvananthapuram (South Kerala)</w:t>
      </w:r>
    </w:p>
    <w:p w:rsidR="00155DF8" w:rsidRPr="00403C34" w:rsidRDefault="00155DF8" w:rsidP="00776782">
      <w:pPr>
        <w:jc w:val="both"/>
        <w:rPr>
          <w:rFonts w:ascii="Arial" w:hAnsi="Arial" w:cs="Arial"/>
          <w:b/>
          <w:color w:val="000000" w:themeColor="text1"/>
          <w:sz w:val="22"/>
        </w:rPr>
      </w:pPr>
    </w:p>
    <w:p w:rsidR="00F21A33" w:rsidRPr="00403C34" w:rsidRDefault="00776782" w:rsidP="00F21A33">
      <w:pPr>
        <w:spacing w:after="120"/>
        <w:jc w:val="both"/>
        <w:rPr>
          <w:rFonts w:ascii="Arial" w:hAnsi="Arial" w:cs="Arial"/>
          <w:color w:val="000000" w:themeColor="text1"/>
        </w:rPr>
      </w:pPr>
      <w:r w:rsidRPr="00403C34">
        <w:rPr>
          <w:rFonts w:ascii="Arial" w:hAnsi="Arial" w:cs="Arial"/>
          <w:color w:val="000000" w:themeColor="text1"/>
        </w:rPr>
        <w:t xml:space="preserve">The findings from Thiruvananthapuram revealed lack of financial support (mean score 65.18) and climatic variability (64.85) as the most severe constraints. Land fragmentation (64.37) was also identified as a key challenge. </w:t>
      </w:r>
      <w:r w:rsidR="001F5A75" w:rsidRPr="00403C34">
        <w:rPr>
          <w:rFonts w:ascii="Arial" w:hAnsi="Arial" w:cs="Arial"/>
          <w:color w:val="000000" w:themeColor="text1"/>
        </w:rPr>
        <w:t>Aslam and</w:t>
      </w:r>
      <w:r w:rsidR="003D3350" w:rsidRPr="00403C34">
        <w:rPr>
          <w:rFonts w:ascii="Arial" w:hAnsi="Arial" w:cs="Arial"/>
          <w:color w:val="000000" w:themeColor="text1"/>
        </w:rPr>
        <w:t xml:space="preserve"> Fazal </w:t>
      </w:r>
      <w:r w:rsidR="00F21A33" w:rsidRPr="00403C34">
        <w:rPr>
          <w:rFonts w:ascii="Arial" w:hAnsi="Arial" w:cs="Arial"/>
          <w:color w:val="000000" w:themeColor="text1"/>
        </w:rPr>
        <w:t>(</w:t>
      </w:r>
      <w:r w:rsidR="001F5A75" w:rsidRPr="00403C34">
        <w:rPr>
          <w:rFonts w:ascii="Arial" w:hAnsi="Arial" w:cs="Arial"/>
          <w:color w:val="000000" w:themeColor="text1"/>
        </w:rPr>
        <w:t>2025)</w:t>
      </w:r>
      <w:r w:rsidRPr="00403C34">
        <w:rPr>
          <w:rFonts w:ascii="Arial" w:hAnsi="Arial" w:cs="Arial"/>
          <w:color w:val="000000" w:themeColor="text1"/>
        </w:rPr>
        <w:t xml:space="preserve"> reported that fragmented holdings reduce farm efficiency and discourage investment in household farming. </w:t>
      </w:r>
      <w:r w:rsidR="00F21A33" w:rsidRPr="00403C34">
        <w:rPr>
          <w:rFonts w:ascii="Arial" w:hAnsi="Arial" w:cs="Arial"/>
          <w:color w:val="000000" w:themeColor="text1"/>
        </w:rPr>
        <w:t>This finding is echoed by Deininger et al. (2014), who argued that small and fragmented plots are one of the biggest structural bottlenecks in Indian agriculture.</w:t>
      </w:r>
    </w:p>
    <w:p w:rsidR="000F1BF1" w:rsidRPr="00403C34" w:rsidRDefault="00776782" w:rsidP="00A17BBE">
      <w:pPr>
        <w:spacing w:after="120"/>
        <w:jc w:val="both"/>
        <w:rPr>
          <w:rFonts w:ascii="Arial" w:hAnsi="Arial" w:cs="Arial"/>
          <w:color w:val="000000" w:themeColor="text1"/>
        </w:rPr>
      </w:pPr>
      <w:r w:rsidRPr="00403C34">
        <w:rPr>
          <w:rFonts w:ascii="Arial" w:hAnsi="Arial" w:cs="Arial"/>
          <w:color w:val="000000" w:themeColor="text1"/>
        </w:rPr>
        <w:t xml:space="preserve">Pest and disease management issues (61.53) were another major concern. </w:t>
      </w:r>
      <w:r w:rsidRPr="00403C34">
        <w:rPr>
          <w:rFonts w:ascii="Arial" w:hAnsi="Arial" w:cs="Arial"/>
          <w:color w:val="000000" w:themeColor="text1"/>
        </w:rPr>
        <w:t xml:space="preserve">Farmers also expressed negative perceptions of government </w:t>
      </w:r>
      <w:proofErr w:type="spellStart"/>
      <w:r w:rsidRPr="00403C34">
        <w:rPr>
          <w:rFonts w:ascii="Arial" w:hAnsi="Arial" w:cs="Arial"/>
          <w:color w:val="000000" w:themeColor="text1"/>
        </w:rPr>
        <w:t>programmes</w:t>
      </w:r>
      <w:proofErr w:type="spellEnd"/>
      <w:r w:rsidRPr="00403C34">
        <w:rPr>
          <w:rFonts w:ascii="Arial" w:hAnsi="Arial" w:cs="Arial"/>
          <w:color w:val="000000" w:themeColor="text1"/>
        </w:rPr>
        <w:t xml:space="preserve"> (56.00), stating that schemes often do not reach smallholder households. This lack of effective outreach often prevents farmers from accessing critical support and resources needed for sustainable agricultural practices. Rising input costs (55.80) added to the strain. </w:t>
      </w:r>
      <w:r w:rsidR="00517D43" w:rsidRPr="00403C34">
        <w:rPr>
          <w:rFonts w:ascii="Arial" w:hAnsi="Arial" w:cs="Arial"/>
          <w:color w:val="000000" w:themeColor="text1"/>
        </w:rPr>
        <w:t xml:space="preserve">High costs of seeds, fertilizers, and </w:t>
      </w:r>
      <w:proofErr w:type="spellStart"/>
      <w:r w:rsidR="00517D43" w:rsidRPr="00403C34">
        <w:rPr>
          <w:rFonts w:ascii="Arial" w:hAnsi="Arial" w:cs="Arial"/>
          <w:color w:val="000000" w:themeColor="text1"/>
        </w:rPr>
        <w:t>labour</w:t>
      </w:r>
      <w:proofErr w:type="spellEnd"/>
      <w:r w:rsidR="00517D43" w:rsidRPr="00403C34">
        <w:rPr>
          <w:rFonts w:ascii="Arial" w:hAnsi="Arial" w:cs="Arial"/>
          <w:color w:val="000000" w:themeColor="text1"/>
        </w:rPr>
        <w:t xml:space="preserve"> have been identified as major barriers that discourage diversification in homestead farming systems (Srivastava, Chand, &amp; Singh, 2017)</w:t>
      </w:r>
      <w:r w:rsidRPr="00403C34">
        <w:rPr>
          <w:rFonts w:ascii="Arial" w:hAnsi="Arial" w:cs="Arial"/>
          <w:color w:val="000000" w:themeColor="text1"/>
        </w:rPr>
        <w:t>. Further evidence from FAO (2020) also confirms that rising production costs have been a persistent barrier to sustainable smallholder agriculture worldwide.</w:t>
      </w:r>
    </w:p>
    <w:p w:rsidR="00A17BBE" w:rsidRPr="00403C34" w:rsidRDefault="00A17BBE" w:rsidP="00A17BBE">
      <w:pPr>
        <w:spacing w:after="120"/>
        <w:jc w:val="both"/>
        <w:rPr>
          <w:rFonts w:ascii="Arial" w:hAnsi="Arial" w:cs="Arial"/>
          <w:color w:val="000000" w:themeColor="text1"/>
        </w:rPr>
        <w:sectPr w:rsidR="00A17BBE" w:rsidRPr="00403C34" w:rsidSect="000F1BF1">
          <w:type w:val="continuous"/>
          <w:pgSz w:w="12240" w:h="15840"/>
          <w:pgMar w:top="1440" w:right="1800" w:bottom="1440" w:left="1800" w:header="720" w:footer="720" w:gutter="0"/>
          <w:cols w:num="2" w:space="720"/>
          <w:docGrid w:linePitch="360"/>
        </w:sectPr>
      </w:pPr>
    </w:p>
    <w:p w:rsidR="00776782" w:rsidRPr="00403C34" w:rsidRDefault="00776782" w:rsidP="00776782">
      <w:pPr>
        <w:jc w:val="both"/>
        <w:rPr>
          <w:rFonts w:ascii="Arial" w:hAnsi="Arial" w:cs="Arial"/>
          <w:color w:val="000000" w:themeColor="text1"/>
        </w:rPr>
        <w:sectPr w:rsidR="00776782" w:rsidRPr="00403C34" w:rsidSect="002C1F1C">
          <w:type w:val="continuous"/>
          <w:pgSz w:w="12240" w:h="15840"/>
          <w:pgMar w:top="1440" w:right="1800" w:bottom="1440" w:left="1800" w:header="720" w:footer="720" w:gutter="0"/>
          <w:cols w:space="720"/>
          <w:docGrid w:linePitch="360"/>
        </w:sectPr>
      </w:pPr>
    </w:p>
    <w:p w:rsidR="00776782" w:rsidRPr="00403C34" w:rsidRDefault="00776782" w:rsidP="00776782">
      <w:pPr>
        <w:jc w:val="center"/>
        <w:rPr>
          <w:rFonts w:ascii="Arial" w:hAnsi="Arial" w:cs="Arial"/>
          <w:b/>
          <w:color w:val="000000" w:themeColor="text1"/>
        </w:rPr>
      </w:pPr>
      <w:r w:rsidRPr="00403C34">
        <w:rPr>
          <w:rFonts w:ascii="Arial" w:hAnsi="Arial" w:cs="Arial"/>
          <w:b/>
          <w:color w:val="000000" w:themeColor="text1"/>
        </w:rPr>
        <w:t xml:space="preserve">Table 3. Ranking of Constraints in NSA Adoption in Thiruvananthapuram </w:t>
      </w:r>
    </w:p>
    <w:p w:rsidR="00776782" w:rsidRPr="00403C34" w:rsidRDefault="00776782" w:rsidP="00776782">
      <w:pPr>
        <w:jc w:val="center"/>
        <w:rPr>
          <w:rFonts w:ascii="Arial" w:hAnsi="Arial" w:cs="Arial"/>
          <w:b/>
          <w:color w:val="000000" w:themeColor="text1"/>
        </w:rPr>
      </w:pPr>
    </w:p>
    <w:tbl>
      <w:tblPr>
        <w:tblW w:w="10916" w:type="dxa"/>
        <w:tblInd w:w="-851" w:type="dxa"/>
        <w:tblBorders>
          <w:insideH w:val="single" w:sz="4" w:space="0" w:color="auto"/>
        </w:tblBorders>
        <w:tblLook w:val="04A0" w:firstRow="1" w:lastRow="0" w:firstColumn="1" w:lastColumn="0" w:noHBand="0" w:noVBand="1"/>
      </w:tblPr>
      <w:tblGrid>
        <w:gridCol w:w="1170"/>
        <w:gridCol w:w="7931"/>
        <w:gridCol w:w="1109"/>
        <w:gridCol w:w="706"/>
      </w:tblGrid>
      <w:tr w:rsidR="004D75F3" w:rsidRPr="00403C34" w:rsidTr="0082271E">
        <w:trPr>
          <w:trHeight w:val="634"/>
        </w:trPr>
        <w:tc>
          <w:tcPr>
            <w:tcW w:w="1170" w:type="dxa"/>
            <w:vAlign w:val="center"/>
            <w:hideMark/>
          </w:tcPr>
          <w:p w:rsidR="00776782" w:rsidRPr="00403C34" w:rsidRDefault="00776782" w:rsidP="002C1F1C">
            <w:pPr>
              <w:jc w:val="both"/>
              <w:rPr>
                <w:rFonts w:ascii="Arial" w:hAnsi="Arial" w:cs="Arial"/>
                <w:b/>
                <w:bCs/>
                <w:color w:val="000000" w:themeColor="text1"/>
                <w:lang w:eastAsia="en-IN"/>
              </w:rPr>
            </w:pPr>
            <w:proofErr w:type="spellStart"/>
            <w:r w:rsidRPr="00403C34">
              <w:rPr>
                <w:rFonts w:ascii="Arial" w:hAnsi="Arial" w:cs="Arial"/>
                <w:b/>
                <w:bCs/>
                <w:color w:val="000000" w:themeColor="text1"/>
                <w:lang w:eastAsia="en-IN"/>
              </w:rPr>
              <w:t>Sl</w:t>
            </w:r>
            <w:proofErr w:type="spellEnd"/>
            <w:r w:rsidRPr="00403C34">
              <w:rPr>
                <w:rFonts w:ascii="Arial" w:hAnsi="Arial" w:cs="Arial"/>
                <w:b/>
                <w:bCs/>
                <w:color w:val="000000" w:themeColor="text1"/>
                <w:lang w:eastAsia="en-IN"/>
              </w:rPr>
              <w:t xml:space="preserve"> No.</w:t>
            </w:r>
          </w:p>
        </w:tc>
        <w:tc>
          <w:tcPr>
            <w:tcW w:w="7931"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Statements</w:t>
            </w:r>
          </w:p>
        </w:tc>
        <w:tc>
          <w:tcPr>
            <w:tcW w:w="1232" w:type="dxa"/>
            <w:vAlign w:val="center"/>
            <w:hideMark/>
          </w:tcPr>
          <w:p w:rsidR="00776782" w:rsidRPr="00403C34" w:rsidRDefault="00776782" w:rsidP="00F9683A">
            <w:pPr>
              <w:jc w:val="center"/>
              <w:rPr>
                <w:rFonts w:ascii="Arial" w:hAnsi="Arial" w:cs="Arial"/>
                <w:b/>
                <w:bCs/>
                <w:color w:val="000000" w:themeColor="text1"/>
                <w:lang w:eastAsia="en-IN"/>
              </w:rPr>
            </w:pPr>
            <w:r w:rsidRPr="00403C34">
              <w:rPr>
                <w:rFonts w:ascii="Arial" w:hAnsi="Arial" w:cs="Arial"/>
                <w:b/>
                <w:bCs/>
                <w:color w:val="000000" w:themeColor="text1"/>
                <w:lang w:eastAsia="en-IN"/>
              </w:rPr>
              <w:t>Mean score</w:t>
            </w:r>
          </w:p>
        </w:tc>
        <w:tc>
          <w:tcPr>
            <w:tcW w:w="583"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Rank</w:t>
            </w:r>
          </w:p>
        </w:tc>
      </w:tr>
      <w:tr w:rsidR="004D75F3" w:rsidRPr="00403C34" w:rsidTr="0082271E">
        <w:trPr>
          <w:trHeight w:val="287"/>
        </w:trPr>
        <w:tc>
          <w:tcPr>
            <w:tcW w:w="10916" w:type="dxa"/>
            <w:gridSpan w:val="4"/>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A. Operational Constraints</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Insufficient land holding for adoption of NSA</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64.37</w:t>
            </w:r>
          </w:p>
        </w:tc>
        <w:tc>
          <w:tcPr>
            <w:tcW w:w="583" w:type="dxa"/>
            <w:noWrap/>
            <w:vAlign w:val="bottom"/>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3</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2</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irrigation facilities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40.88</w:t>
            </w:r>
          </w:p>
        </w:tc>
        <w:tc>
          <w:tcPr>
            <w:tcW w:w="583" w:type="dxa"/>
            <w:noWrap/>
            <w:vAlign w:val="bottom"/>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19</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lastRenderedPageBreak/>
              <w:t>3</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Wild animal attack</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48.27</w:t>
            </w:r>
          </w:p>
        </w:tc>
        <w:tc>
          <w:tcPr>
            <w:tcW w:w="583" w:type="dxa"/>
            <w:noWrap/>
            <w:vAlign w:val="bottom"/>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7</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Climatic factors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64.85</w:t>
            </w:r>
          </w:p>
        </w:tc>
        <w:tc>
          <w:tcPr>
            <w:tcW w:w="583" w:type="dxa"/>
            <w:noWrap/>
            <w:vAlign w:val="bottom"/>
            <w:hideMark/>
          </w:tcPr>
          <w:p w:rsidR="00776782" w:rsidRPr="00403C34" w:rsidRDefault="00776782" w:rsidP="001E2949">
            <w:pPr>
              <w:jc w:val="center"/>
              <w:rPr>
                <w:rFonts w:ascii="Arial" w:hAnsi="Arial" w:cs="Arial"/>
                <w:color w:val="000000" w:themeColor="text1"/>
                <w:lang w:eastAsia="en-IN"/>
              </w:rPr>
            </w:pPr>
            <w:r w:rsidRPr="00403C34">
              <w:rPr>
                <w:rFonts w:ascii="Arial" w:hAnsi="Arial" w:cs="Arial"/>
                <w:color w:val="000000" w:themeColor="text1"/>
                <w:lang w:eastAsia="en-IN"/>
              </w:rPr>
              <w:t>2</w:t>
            </w:r>
          </w:p>
        </w:tc>
      </w:tr>
      <w:tr w:rsidR="004D75F3" w:rsidRPr="00403C34" w:rsidTr="0082271E">
        <w:trPr>
          <w:trHeight w:val="287"/>
        </w:trPr>
        <w:tc>
          <w:tcPr>
            <w:tcW w:w="10916"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B. Socio- Personal Constraints</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Low literacy of the farmer</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47.48</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10</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6</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networking among NSA farmers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44.53</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17</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7</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family support in adopting NSA</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45.48</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15</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8</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priority to NSA than other farm activities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48.98</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6</w:t>
            </w:r>
          </w:p>
        </w:tc>
      </w:tr>
      <w:tr w:rsidR="004D75F3" w:rsidRPr="00403C34" w:rsidTr="0082271E">
        <w:trPr>
          <w:trHeight w:val="287"/>
        </w:trPr>
        <w:tc>
          <w:tcPr>
            <w:tcW w:w="10916"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C. Technological Constraints</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9</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adequate sensitization about nutritional security among key persons in the village</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47.72</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9</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10</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dietary diversification</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46.82</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12</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11</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pest and disease identification and their management</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61.53</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4</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12</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extension agent support</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46.52</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13</w:t>
            </w:r>
          </w:p>
        </w:tc>
      </w:tr>
      <w:tr w:rsidR="004D75F3" w:rsidRPr="00403C34" w:rsidTr="0082271E">
        <w:trPr>
          <w:trHeight w:val="287"/>
        </w:trPr>
        <w:tc>
          <w:tcPr>
            <w:tcW w:w="10916"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D. Economic Constraints</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13</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marketing at village level</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45.17</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16</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14</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Poor economic condition of people</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47.97</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8</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15</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reasonable support price for farm produce</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47.23</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11</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16</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High cost of agricultural inputs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45.75</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14</w:t>
            </w:r>
          </w:p>
        </w:tc>
      </w:tr>
      <w:tr w:rsidR="004D75F3" w:rsidRPr="00403C34" w:rsidTr="0082271E">
        <w:trPr>
          <w:trHeight w:val="287"/>
        </w:trPr>
        <w:tc>
          <w:tcPr>
            <w:tcW w:w="10916"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E. Policy gap and institutional constraints</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17</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Limited integration of agricultural and nutrition policies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44</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18</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18</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Negative attitude towards  government programs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56</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5</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19</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financial support for smallholder farmers to adopt nutrition-sensitive practices</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65.18</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w:t>
            </w:r>
          </w:p>
        </w:tc>
      </w:tr>
      <w:tr w:rsidR="004D75F3" w:rsidRPr="00403C34" w:rsidTr="0082271E">
        <w:trPr>
          <w:trHeight w:val="311"/>
        </w:trPr>
        <w:tc>
          <w:tcPr>
            <w:tcW w:w="1170"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20</w:t>
            </w:r>
          </w:p>
        </w:tc>
        <w:tc>
          <w:tcPr>
            <w:tcW w:w="7931"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 xml:space="preserve">Lack of adequate publicity </w:t>
            </w:r>
            <w:proofErr w:type="spellStart"/>
            <w:r w:rsidRPr="00403C34">
              <w:rPr>
                <w:rFonts w:ascii="Arial" w:hAnsi="Arial" w:cs="Arial"/>
                <w:color w:val="000000" w:themeColor="text1"/>
                <w:lang w:eastAsia="en-IN"/>
              </w:rPr>
              <w:t>programmes</w:t>
            </w:r>
            <w:proofErr w:type="spellEnd"/>
            <w:r w:rsidRPr="00403C34">
              <w:rPr>
                <w:rFonts w:ascii="Arial" w:hAnsi="Arial" w:cs="Arial"/>
                <w:color w:val="000000" w:themeColor="text1"/>
                <w:lang w:eastAsia="en-IN"/>
              </w:rPr>
              <w:t xml:space="preserve"> on NSA</w:t>
            </w:r>
          </w:p>
        </w:tc>
        <w:tc>
          <w:tcPr>
            <w:tcW w:w="1232" w:type="dxa"/>
            <w:shd w:val="clear" w:color="auto" w:fill="FFFFFF"/>
            <w:vAlign w:val="center"/>
            <w:hideMark/>
          </w:tcPr>
          <w:p w:rsidR="00776782" w:rsidRPr="00403C34" w:rsidRDefault="00776782" w:rsidP="002C1F1C">
            <w:pPr>
              <w:ind w:firstLineChars="100" w:firstLine="200"/>
              <w:jc w:val="both"/>
              <w:rPr>
                <w:rFonts w:ascii="Arial" w:hAnsi="Arial" w:cs="Arial"/>
                <w:color w:val="000000" w:themeColor="text1"/>
                <w:lang w:eastAsia="en-IN"/>
              </w:rPr>
            </w:pPr>
            <w:r w:rsidRPr="00403C34">
              <w:rPr>
                <w:rFonts w:ascii="Arial" w:hAnsi="Arial" w:cs="Arial"/>
                <w:color w:val="000000" w:themeColor="text1"/>
                <w:lang w:eastAsia="en-IN"/>
              </w:rPr>
              <w:t>39.42</w:t>
            </w:r>
          </w:p>
        </w:tc>
        <w:tc>
          <w:tcPr>
            <w:tcW w:w="583" w:type="dxa"/>
            <w:noWrap/>
            <w:vAlign w:val="bottom"/>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20</w:t>
            </w:r>
          </w:p>
        </w:tc>
      </w:tr>
    </w:tbl>
    <w:p w:rsidR="002C0587" w:rsidRPr="00403C34" w:rsidRDefault="002C0587" w:rsidP="00776782">
      <w:pPr>
        <w:jc w:val="both"/>
        <w:rPr>
          <w:rFonts w:ascii="Arial" w:hAnsi="Arial" w:cs="Arial"/>
          <w:i/>
          <w:color w:val="000000" w:themeColor="text1"/>
        </w:rPr>
      </w:pPr>
    </w:p>
    <w:p w:rsidR="00776782" w:rsidRPr="00403C34" w:rsidRDefault="00393D7A" w:rsidP="00776782">
      <w:pPr>
        <w:jc w:val="both"/>
        <w:rPr>
          <w:rFonts w:ascii="Arial" w:hAnsi="Arial" w:cs="Arial"/>
          <w:i/>
          <w:color w:val="000000" w:themeColor="text1"/>
        </w:rPr>
      </w:pPr>
      <w:r w:rsidRPr="00403C34">
        <w:rPr>
          <w:rFonts w:ascii="Arial" w:hAnsi="Arial" w:cs="Arial"/>
          <w:i/>
          <w:color w:val="000000" w:themeColor="text1"/>
        </w:rPr>
        <w:t>* Greater Garrett mean shows higher severity; top score gets Rank 1, others in descending order.</w:t>
      </w:r>
    </w:p>
    <w:p w:rsidR="00393D7A" w:rsidRPr="00403C34" w:rsidRDefault="00393D7A" w:rsidP="00776782">
      <w:pPr>
        <w:jc w:val="both"/>
        <w:rPr>
          <w:rFonts w:ascii="Arial" w:hAnsi="Arial" w:cs="Arial"/>
          <w:b/>
          <w:color w:val="000000" w:themeColor="text1"/>
        </w:rPr>
      </w:pPr>
    </w:p>
    <w:p w:rsidR="00776782" w:rsidRPr="00403C34" w:rsidRDefault="00776782" w:rsidP="00776782">
      <w:pPr>
        <w:jc w:val="both"/>
        <w:rPr>
          <w:rFonts w:ascii="Arial" w:hAnsi="Arial" w:cs="Arial"/>
          <w:b/>
          <w:color w:val="000000" w:themeColor="text1"/>
        </w:rPr>
        <w:sectPr w:rsidR="00776782" w:rsidRPr="00403C34" w:rsidSect="002C1F1C">
          <w:type w:val="continuous"/>
          <w:pgSz w:w="12240" w:h="15840"/>
          <w:pgMar w:top="1440" w:right="1800" w:bottom="1440" w:left="1800" w:header="720" w:footer="720" w:gutter="0"/>
          <w:cols w:space="720"/>
          <w:docGrid w:linePitch="360"/>
        </w:sectPr>
      </w:pPr>
    </w:p>
    <w:p w:rsidR="00776782" w:rsidRPr="00403C34" w:rsidRDefault="00776782" w:rsidP="00776782">
      <w:pPr>
        <w:jc w:val="both"/>
        <w:rPr>
          <w:rFonts w:ascii="Arial" w:hAnsi="Arial" w:cs="Arial"/>
          <w:b/>
          <w:color w:val="000000" w:themeColor="text1"/>
          <w:sz w:val="22"/>
        </w:rPr>
      </w:pPr>
      <w:r w:rsidRPr="00403C34">
        <w:rPr>
          <w:rFonts w:ascii="Arial" w:hAnsi="Arial" w:cs="Arial"/>
          <w:b/>
          <w:color w:val="000000" w:themeColor="text1"/>
          <w:sz w:val="22"/>
        </w:rPr>
        <w:t>3.4 Statewide Synthesis of NSA Adoption in Kerala</w:t>
      </w:r>
    </w:p>
    <w:p w:rsidR="00776782" w:rsidRPr="00403C34" w:rsidRDefault="00776782" w:rsidP="00776782">
      <w:pPr>
        <w:jc w:val="both"/>
        <w:rPr>
          <w:rFonts w:ascii="Arial" w:hAnsi="Arial" w:cs="Arial"/>
          <w:b/>
          <w:color w:val="000000" w:themeColor="text1"/>
        </w:rPr>
      </w:pPr>
    </w:p>
    <w:p w:rsidR="00776782" w:rsidRPr="00403C34" w:rsidRDefault="00776782" w:rsidP="00776782">
      <w:pPr>
        <w:jc w:val="both"/>
        <w:rPr>
          <w:rFonts w:ascii="Arial" w:hAnsi="Arial" w:cs="Arial"/>
          <w:color w:val="000000" w:themeColor="text1"/>
        </w:rPr>
      </w:pPr>
      <w:r w:rsidRPr="00403C34">
        <w:rPr>
          <w:rFonts w:ascii="Arial" w:hAnsi="Arial" w:cs="Arial"/>
          <w:color w:val="000000" w:themeColor="text1"/>
        </w:rPr>
        <w:t xml:space="preserve">At the state level, the analysis showed that lack of financial support (58.94), climatic variability (58.82), wild animal </w:t>
      </w:r>
      <w:r w:rsidR="009643CD" w:rsidRPr="00403C34">
        <w:rPr>
          <w:rFonts w:ascii="Arial" w:hAnsi="Arial" w:cs="Arial"/>
          <w:color w:val="000000" w:themeColor="text1"/>
        </w:rPr>
        <w:t>attack</w:t>
      </w:r>
      <w:r w:rsidRPr="00403C34">
        <w:rPr>
          <w:rFonts w:ascii="Arial" w:hAnsi="Arial" w:cs="Arial"/>
          <w:color w:val="000000" w:themeColor="text1"/>
        </w:rPr>
        <w:t xml:space="preserve"> (57.26), and pest and disease management gaps (56.49) were the most critical barriers. Land fragmentation (54.94) and high input costs (54.25) also ranked highly. These findings suggest that ecological and economic pressures are more significant than socio-personal constraints like literacy or family support.</w:t>
      </w:r>
    </w:p>
    <w:p w:rsidR="00776782" w:rsidRPr="00403C34" w:rsidRDefault="00776782" w:rsidP="00776782">
      <w:pPr>
        <w:jc w:val="both"/>
        <w:rPr>
          <w:rFonts w:ascii="Arial" w:hAnsi="Arial" w:cs="Arial"/>
          <w:color w:val="000000" w:themeColor="text1"/>
        </w:rPr>
      </w:pPr>
    </w:p>
    <w:p w:rsidR="000F1BF1" w:rsidRPr="00C23CA9" w:rsidRDefault="00776782" w:rsidP="00C23CA9">
      <w:pPr>
        <w:jc w:val="both"/>
        <w:rPr>
          <w:rFonts w:ascii="Arial" w:hAnsi="Arial" w:cs="Arial"/>
          <w:color w:val="000000" w:themeColor="text1"/>
        </w:rPr>
        <w:sectPr w:rsidR="000F1BF1" w:rsidRPr="00C23CA9" w:rsidSect="008A1F80">
          <w:type w:val="continuous"/>
          <w:pgSz w:w="12240" w:h="15840"/>
          <w:pgMar w:top="1440" w:right="1750" w:bottom="1440" w:left="1800" w:header="720" w:footer="720" w:gutter="0"/>
          <w:cols w:num="2" w:space="720"/>
          <w:docGrid w:linePitch="360"/>
        </w:sectPr>
      </w:pPr>
      <w:r w:rsidRPr="00403C34">
        <w:rPr>
          <w:rFonts w:ascii="Arial" w:hAnsi="Arial" w:cs="Arial"/>
          <w:color w:val="000000" w:themeColor="text1"/>
        </w:rPr>
        <w:t xml:space="preserve">The challenges of unpredictable weather and financial struggles resonate deeply with many smallholder farmers. </w:t>
      </w:r>
      <w:r w:rsidR="009643CD" w:rsidRPr="00403C34">
        <w:rPr>
          <w:rFonts w:ascii="Arial" w:hAnsi="Arial" w:cs="Arial"/>
          <w:color w:val="000000" w:themeColor="text1"/>
        </w:rPr>
        <w:t>Studies have shown that small-scale farming systems, especially in vulnerable regions, face increasingly severe risks from climate change (</w:t>
      </w:r>
      <w:proofErr w:type="spellStart"/>
      <w:r w:rsidR="009643CD" w:rsidRPr="00403C34">
        <w:rPr>
          <w:rFonts w:ascii="Arial" w:hAnsi="Arial" w:cs="Arial"/>
          <w:color w:val="000000" w:themeColor="text1"/>
        </w:rPr>
        <w:t>Sathyan</w:t>
      </w:r>
      <w:proofErr w:type="spellEnd"/>
      <w:r w:rsidR="009643CD" w:rsidRPr="00403C34">
        <w:rPr>
          <w:rFonts w:ascii="Arial" w:hAnsi="Arial" w:cs="Arial"/>
          <w:color w:val="000000" w:themeColor="text1"/>
        </w:rPr>
        <w:t xml:space="preserve"> &amp; Prasad, 2018)</w:t>
      </w:r>
      <w:r w:rsidRPr="00403C34">
        <w:rPr>
          <w:rFonts w:ascii="Arial" w:hAnsi="Arial" w:cs="Arial"/>
          <w:color w:val="000000" w:themeColor="text1"/>
        </w:rPr>
        <w:t xml:space="preserve">. </w:t>
      </w:r>
      <w:r w:rsidR="009643CD" w:rsidRPr="00403C34">
        <w:rPr>
          <w:rFonts w:ascii="Arial" w:hAnsi="Arial" w:cs="Arial"/>
          <w:color w:val="000000" w:themeColor="text1"/>
        </w:rPr>
        <w:t>Financial instability further limits many households’ ability to absorb shocks, making it difficult for farmers to sustain home gardens, even though these systems have proven potential to enhance household nutrition (</w:t>
      </w:r>
      <w:r w:rsidR="0083636C" w:rsidRPr="00403C34">
        <w:rPr>
          <w:rFonts w:ascii="Arial" w:hAnsi="Arial" w:cs="Arial"/>
          <w:color w:val="000000" w:themeColor="text1"/>
        </w:rPr>
        <w:t>Sharma, Mina, &amp; Kumar, 2022)</w:t>
      </w:r>
      <w:r w:rsidR="009643CD" w:rsidRPr="00403C34">
        <w:rPr>
          <w:rFonts w:ascii="Arial" w:hAnsi="Arial" w:cs="Arial"/>
          <w:color w:val="000000" w:themeColor="text1"/>
        </w:rPr>
        <w:t>.</w:t>
      </w:r>
    </w:p>
    <w:p w:rsidR="00776782" w:rsidRPr="00403C34" w:rsidRDefault="00776782" w:rsidP="00776782">
      <w:pPr>
        <w:jc w:val="center"/>
        <w:rPr>
          <w:rFonts w:ascii="Arial" w:hAnsi="Arial" w:cs="Arial"/>
          <w:b/>
          <w:color w:val="000000" w:themeColor="text1"/>
        </w:rPr>
      </w:pPr>
      <w:r w:rsidRPr="00403C34">
        <w:rPr>
          <w:rFonts w:ascii="Arial" w:hAnsi="Arial" w:cs="Arial"/>
          <w:b/>
          <w:color w:val="000000" w:themeColor="text1"/>
        </w:rPr>
        <w:t xml:space="preserve">Table 4. </w:t>
      </w:r>
      <w:r w:rsidR="002C1F1C" w:rsidRPr="00403C34">
        <w:rPr>
          <w:rFonts w:ascii="Arial" w:hAnsi="Arial" w:cs="Arial"/>
          <w:b/>
          <w:color w:val="000000" w:themeColor="text1"/>
        </w:rPr>
        <w:t>O</w:t>
      </w:r>
      <w:r w:rsidRPr="00403C34">
        <w:rPr>
          <w:rFonts w:ascii="Arial" w:hAnsi="Arial" w:cs="Arial"/>
          <w:b/>
          <w:color w:val="000000" w:themeColor="text1"/>
        </w:rPr>
        <w:t>verall ranking of constraints across Kerala</w:t>
      </w:r>
    </w:p>
    <w:p w:rsidR="00776782" w:rsidRPr="00403C34" w:rsidRDefault="00776782" w:rsidP="00776782">
      <w:pPr>
        <w:jc w:val="center"/>
        <w:rPr>
          <w:rFonts w:ascii="Arial" w:hAnsi="Arial" w:cs="Arial"/>
          <w:b/>
          <w:color w:val="000000" w:themeColor="text1"/>
        </w:rPr>
      </w:pPr>
    </w:p>
    <w:tbl>
      <w:tblPr>
        <w:tblW w:w="11091" w:type="dxa"/>
        <w:tblInd w:w="-851" w:type="dxa"/>
        <w:tblBorders>
          <w:insideH w:val="single" w:sz="4" w:space="0" w:color="auto"/>
        </w:tblBorders>
        <w:tblLook w:val="04A0" w:firstRow="1" w:lastRow="0" w:firstColumn="1" w:lastColumn="0" w:noHBand="0" w:noVBand="1"/>
      </w:tblPr>
      <w:tblGrid>
        <w:gridCol w:w="1272"/>
        <w:gridCol w:w="7370"/>
        <w:gridCol w:w="1272"/>
        <w:gridCol w:w="1177"/>
      </w:tblGrid>
      <w:tr w:rsidR="004D75F3" w:rsidRPr="00403C34" w:rsidTr="0082271E">
        <w:trPr>
          <w:trHeight w:val="636"/>
        </w:trPr>
        <w:tc>
          <w:tcPr>
            <w:tcW w:w="1272" w:type="dxa"/>
            <w:vAlign w:val="center"/>
            <w:hideMark/>
          </w:tcPr>
          <w:p w:rsidR="00776782" w:rsidRPr="00403C34" w:rsidRDefault="00776782" w:rsidP="002C1F1C">
            <w:pPr>
              <w:jc w:val="both"/>
              <w:rPr>
                <w:rFonts w:ascii="Arial" w:hAnsi="Arial" w:cs="Arial"/>
                <w:b/>
                <w:bCs/>
                <w:color w:val="000000" w:themeColor="text1"/>
                <w:lang w:eastAsia="en-IN"/>
              </w:rPr>
            </w:pPr>
            <w:proofErr w:type="spellStart"/>
            <w:r w:rsidRPr="00403C34">
              <w:rPr>
                <w:rFonts w:ascii="Arial" w:hAnsi="Arial" w:cs="Arial"/>
                <w:b/>
                <w:bCs/>
                <w:color w:val="000000" w:themeColor="text1"/>
                <w:lang w:eastAsia="en-IN"/>
              </w:rPr>
              <w:t>Sl</w:t>
            </w:r>
            <w:proofErr w:type="spellEnd"/>
            <w:r w:rsidRPr="00403C34">
              <w:rPr>
                <w:rFonts w:ascii="Arial" w:hAnsi="Arial" w:cs="Arial"/>
                <w:b/>
                <w:bCs/>
                <w:color w:val="000000" w:themeColor="text1"/>
                <w:lang w:eastAsia="en-IN"/>
              </w:rPr>
              <w:t xml:space="preserve"> No.</w:t>
            </w:r>
          </w:p>
        </w:tc>
        <w:tc>
          <w:tcPr>
            <w:tcW w:w="7370"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Statements</w:t>
            </w:r>
          </w:p>
        </w:tc>
        <w:tc>
          <w:tcPr>
            <w:tcW w:w="1272" w:type="dxa"/>
            <w:vAlign w:val="center"/>
            <w:hideMark/>
          </w:tcPr>
          <w:p w:rsidR="00776782" w:rsidRPr="00403C34" w:rsidRDefault="00776782" w:rsidP="00F9683A">
            <w:pPr>
              <w:jc w:val="center"/>
              <w:rPr>
                <w:rFonts w:ascii="Arial" w:hAnsi="Arial" w:cs="Arial"/>
                <w:b/>
                <w:bCs/>
                <w:color w:val="000000" w:themeColor="text1"/>
                <w:lang w:eastAsia="en-IN"/>
              </w:rPr>
            </w:pPr>
            <w:r w:rsidRPr="00403C34">
              <w:rPr>
                <w:rFonts w:ascii="Arial" w:hAnsi="Arial" w:cs="Arial"/>
                <w:b/>
                <w:bCs/>
                <w:color w:val="000000" w:themeColor="text1"/>
                <w:lang w:eastAsia="en-IN"/>
              </w:rPr>
              <w:t xml:space="preserve">Mean </w:t>
            </w:r>
            <w:r w:rsidR="00F9683A" w:rsidRPr="00403C34">
              <w:rPr>
                <w:rFonts w:ascii="Arial" w:hAnsi="Arial" w:cs="Arial"/>
                <w:b/>
                <w:bCs/>
                <w:color w:val="000000" w:themeColor="text1"/>
                <w:lang w:eastAsia="en-IN"/>
              </w:rPr>
              <w:t xml:space="preserve">            </w:t>
            </w:r>
            <w:r w:rsidRPr="00403C34">
              <w:rPr>
                <w:rFonts w:ascii="Arial" w:hAnsi="Arial" w:cs="Arial"/>
                <w:b/>
                <w:bCs/>
                <w:color w:val="000000" w:themeColor="text1"/>
                <w:lang w:eastAsia="en-IN"/>
              </w:rPr>
              <w:t>score</w:t>
            </w:r>
          </w:p>
        </w:tc>
        <w:tc>
          <w:tcPr>
            <w:tcW w:w="1177" w:type="dxa"/>
            <w:noWrap/>
            <w:vAlign w:val="center"/>
            <w:hideMark/>
          </w:tcPr>
          <w:p w:rsidR="00776782" w:rsidRPr="00403C34" w:rsidRDefault="00776782" w:rsidP="002C1F1C">
            <w:pPr>
              <w:jc w:val="both"/>
              <w:rPr>
                <w:rFonts w:ascii="Arial" w:hAnsi="Arial" w:cs="Arial"/>
                <w:b/>
                <w:bCs/>
                <w:color w:val="000000" w:themeColor="text1"/>
                <w:lang w:eastAsia="en-IN"/>
              </w:rPr>
            </w:pPr>
            <w:r w:rsidRPr="00403C34">
              <w:rPr>
                <w:rFonts w:ascii="Arial" w:hAnsi="Arial" w:cs="Arial"/>
                <w:b/>
                <w:bCs/>
                <w:color w:val="000000" w:themeColor="text1"/>
                <w:lang w:eastAsia="en-IN"/>
              </w:rPr>
              <w:t>Rank</w:t>
            </w:r>
          </w:p>
        </w:tc>
      </w:tr>
      <w:tr w:rsidR="004D75F3" w:rsidRPr="00403C34" w:rsidTr="0082271E">
        <w:trPr>
          <w:trHeight w:val="288"/>
        </w:trPr>
        <w:tc>
          <w:tcPr>
            <w:tcW w:w="11091" w:type="dxa"/>
            <w:gridSpan w:val="4"/>
            <w:noWrap/>
            <w:vAlign w:val="center"/>
            <w:hideMark/>
          </w:tcPr>
          <w:p w:rsidR="00776782" w:rsidRPr="00403C34" w:rsidRDefault="00776782" w:rsidP="002C1F1C">
            <w:pPr>
              <w:jc w:val="both"/>
              <w:rPr>
                <w:rFonts w:ascii="Arial" w:hAnsi="Arial" w:cs="Arial"/>
                <w:bCs/>
                <w:color w:val="000000" w:themeColor="text1"/>
                <w:lang w:eastAsia="en-IN"/>
              </w:rPr>
            </w:pPr>
            <w:r w:rsidRPr="00403C34">
              <w:rPr>
                <w:rFonts w:ascii="Arial" w:hAnsi="Arial" w:cs="Arial"/>
                <w:bCs/>
                <w:color w:val="000000" w:themeColor="text1"/>
                <w:lang w:eastAsia="en-IN"/>
              </w:rPr>
              <w:t>A. Operational Constraints</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Insufficient land holding for adoption of NSA</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54.94</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5</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lastRenderedPageBreak/>
              <w:t>2</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irrigation facilities</w:t>
            </w:r>
            <w:bookmarkStart w:id="0" w:name="_GoBack"/>
            <w:bookmarkEnd w:id="0"/>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42.5</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20</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3</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Wild animal attack</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57.26</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3</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4</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Climatic factors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58.82</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2</w:t>
            </w:r>
          </w:p>
        </w:tc>
      </w:tr>
      <w:tr w:rsidR="004D75F3" w:rsidRPr="00403C34" w:rsidTr="0082271E">
        <w:trPr>
          <w:trHeight w:val="288"/>
        </w:trPr>
        <w:tc>
          <w:tcPr>
            <w:tcW w:w="11091"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B. Socio- Personal Constraints</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5</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Low literacy of the farmer</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44.64</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19</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6</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networking among NSA farmers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47.19</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14</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7</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family support in adopting NSA</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45.49</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18</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8</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Less priority to NSA than other farm activities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47.2</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13</w:t>
            </w:r>
          </w:p>
        </w:tc>
      </w:tr>
      <w:tr w:rsidR="004D75F3" w:rsidRPr="00403C34" w:rsidTr="0082271E">
        <w:trPr>
          <w:trHeight w:val="288"/>
        </w:trPr>
        <w:tc>
          <w:tcPr>
            <w:tcW w:w="11091"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C. Technological Constraints</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9</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adequate sensitization about nutritional security among key persons in the village</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49.62</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8</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10</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dietary diversification</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48.62</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11</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11</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knowledge on pest and disease identification and their management</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56.49</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4</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12</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extension agent support</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47.82</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12</w:t>
            </w:r>
          </w:p>
        </w:tc>
      </w:tr>
      <w:tr w:rsidR="004D75F3" w:rsidRPr="00403C34" w:rsidTr="0082271E">
        <w:trPr>
          <w:trHeight w:val="288"/>
        </w:trPr>
        <w:tc>
          <w:tcPr>
            <w:tcW w:w="11091"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D. Economic Constraints</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13</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marketing at village level</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46.54</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16</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14</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Poor economic condition of people</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50.21</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7</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15</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reasonable support price for farm produce</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49.08</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9</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16</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High cost of agricultural inputs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48.7</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10</w:t>
            </w:r>
          </w:p>
        </w:tc>
      </w:tr>
      <w:tr w:rsidR="004D75F3" w:rsidRPr="00403C34" w:rsidTr="0082271E">
        <w:trPr>
          <w:trHeight w:val="288"/>
        </w:trPr>
        <w:tc>
          <w:tcPr>
            <w:tcW w:w="11091" w:type="dxa"/>
            <w:gridSpan w:val="4"/>
            <w:noWrap/>
            <w:vAlign w:val="center"/>
            <w:hideMark/>
          </w:tcPr>
          <w:p w:rsidR="00776782" w:rsidRPr="00403C34" w:rsidRDefault="00776782" w:rsidP="002C1F1C">
            <w:pPr>
              <w:rPr>
                <w:rFonts w:ascii="Arial" w:hAnsi="Arial" w:cs="Arial"/>
                <w:b/>
                <w:bCs/>
                <w:color w:val="000000" w:themeColor="text1"/>
                <w:lang w:eastAsia="en-IN"/>
              </w:rPr>
            </w:pPr>
            <w:r w:rsidRPr="00403C34">
              <w:rPr>
                <w:rFonts w:ascii="Arial" w:hAnsi="Arial" w:cs="Arial"/>
                <w:b/>
                <w:bCs/>
                <w:color w:val="000000" w:themeColor="text1"/>
                <w:lang w:eastAsia="en-IN"/>
              </w:rPr>
              <w:t>E. Policy gap and institutional constraints</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17</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Limited integration of agricultural and nutrition policies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50.21</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6</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18</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Negative attitude towards  government programs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49.14</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15</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19</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Lack of financial support for smallholder farmers to adopt nutrition-sensitive practices</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58.94</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w:t>
            </w:r>
          </w:p>
        </w:tc>
      </w:tr>
      <w:tr w:rsidR="004D75F3" w:rsidRPr="00403C34" w:rsidTr="0082271E">
        <w:trPr>
          <w:trHeight w:val="312"/>
        </w:trPr>
        <w:tc>
          <w:tcPr>
            <w:tcW w:w="1272" w:type="dxa"/>
            <w:noWrap/>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20</w:t>
            </w:r>
          </w:p>
        </w:tc>
        <w:tc>
          <w:tcPr>
            <w:tcW w:w="7370" w:type="dxa"/>
            <w:vAlign w:val="center"/>
            <w:hideMark/>
          </w:tcPr>
          <w:p w:rsidR="00776782" w:rsidRPr="00403C34" w:rsidRDefault="00776782" w:rsidP="002C1F1C">
            <w:pPr>
              <w:jc w:val="both"/>
              <w:rPr>
                <w:rFonts w:ascii="Arial" w:hAnsi="Arial" w:cs="Arial"/>
                <w:color w:val="000000" w:themeColor="text1"/>
                <w:lang w:eastAsia="en-IN"/>
              </w:rPr>
            </w:pPr>
            <w:r w:rsidRPr="00403C34">
              <w:rPr>
                <w:rFonts w:ascii="Arial" w:hAnsi="Arial" w:cs="Arial"/>
                <w:color w:val="000000" w:themeColor="text1"/>
                <w:lang w:eastAsia="en-IN"/>
              </w:rPr>
              <w:t xml:space="preserve">Lack of adequate publicity </w:t>
            </w:r>
            <w:proofErr w:type="spellStart"/>
            <w:r w:rsidRPr="00403C34">
              <w:rPr>
                <w:rFonts w:ascii="Arial" w:hAnsi="Arial" w:cs="Arial"/>
                <w:color w:val="000000" w:themeColor="text1"/>
                <w:lang w:eastAsia="en-IN"/>
              </w:rPr>
              <w:t>programmes</w:t>
            </w:r>
            <w:proofErr w:type="spellEnd"/>
            <w:r w:rsidRPr="00403C34">
              <w:rPr>
                <w:rFonts w:ascii="Arial" w:hAnsi="Arial" w:cs="Arial"/>
                <w:color w:val="000000" w:themeColor="text1"/>
                <w:lang w:eastAsia="en-IN"/>
              </w:rPr>
              <w:t xml:space="preserve"> on NSA</w:t>
            </w:r>
          </w:p>
        </w:tc>
        <w:tc>
          <w:tcPr>
            <w:tcW w:w="1272" w:type="dxa"/>
            <w:shd w:val="clear" w:color="auto" w:fill="FFFFFF"/>
            <w:vAlign w:val="center"/>
            <w:hideMark/>
          </w:tcPr>
          <w:p w:rsidR="00776782" w:rsidRPr="00403C34" w:rsidRDefault="00776782" w:rsidP="002C1F1C">
            <w:pPr>
              <w:ind w:firstLineChars="100" w:firstLine="200"/>
              <w:jc w:val="center"/>
              <w:rPr>
                <w:rFonts w:ascii="Arial" w:hAnsi="Arial" w:cs="Arial"/>
                <w:color w:val="000000" w:themeColor="text1"/>
                <w:lang w:eastAsia="en-IN"/>
              </w:rPr>
            </w:pPr>
            <w:r w:rsidRPr="00403C34">
              <w:rPr>
                <w:rFonts w:ascii="Arial" w:hAnsi="Arial" w:cs="Arial"/>
                <w:color w:val="000000" w:themeColor="text1"/>
                <w:lang w:eastAsia="en-IN"/>
              </w:rPr>
              <w:t>46.46</w:t>
            </w:r>
          </w:p>
        </w:tc>
        <w:tc>
          <w:tcPr>
            <w:tcW w:w="1177" w:type="dxa"/>
            <w:noWrap/>
            <w:vAlign w:val="center"/>
            <w:hideMark/>
          </w:tcPr>
          <w:p w:rsidR="00776782" w:rsidRPr="00403C34" w:rsidRDefault="00776782" w:rsidP="002C1F1C">
            <w:pPr>
              <w:jc w:val="center"/>
              <w:rPr>
                <w:rFonts w:ascii="Arial" w:hAnsi="Arial" w:cs="Arial"/>
                <w:color w:val="000000" w:themeColor="text1"/>
                <w:lang w:eastAsia="en-IN"/>
              </w:rPr>
            </w:pPr>
            <w:r w:rsidRPr="00403C34">
              <w:rPr>
                <w:rFonts w:ascii="Arial" w:hAnsi="Arial" w:cs="Arial"/>
                <w:color w:val="000000" w:themeColor="text1"/>
                <w:lang w:eastAsia="en-IN"/>
              </w:rPr>
              <w:t>17</w:t>
            </w:r>
          </w:p>
        </w:tc>
      </w:tr>
    </w:tbl>
    <w:p w:rsidR="002C0587" w:rsidRPr="00403C34" w:rsidRDefault="002C0587" w:rsidP="00776782">
      <w:pPr>
        <w:jc w:val="both"/>
        <w:rPr>
          <w:rFonts w:ascii="Arial" w:hAnsi="Arial" w:cs="Arial"/>
          <w:i/>
          <w:color w:val="000000" w:themeColor="text1"/>
        </w:rPr>
      </w:pPr>
    </w:p>
    <w:p w:rsidR="00776782" w:rsidRPr="00403C34" w:rsidRDefault="00393D7A" w:rsidP="00776782">
      <w:pPr>
        <w:jc w:val="both"/>
        <w:rPr>
          <w:rFonts w:ascii="Arial" w:hAnsi="Arial" w:cs="Arial"/>
          <w:i/>
          <w:color w:val="000000" w:themeColor="text1"/>
        </w:rPr>
      </w:pPr>
      <w:r w:rsidRPr="00403C34">
        <w:rPr>
          <w:rFonts w:ascii="Arial" w:hAnsi="Arial" w:cs="Arial"/>
          <w:i/>
          <w:color w:val="000000" w:themeColor="text1"/>
        </w:rPr>
        <w:t>* Greater Garrett mean shows higher severity; top score gets Rank 1, others in descending order.</w:t>
      </w:r>
    </w:p>
    <w:p w:rsidR="00393D7A" w:rsidRPr="00403C34" w:rsidRDefault="00393D7A" w:rsidP="00776782">
      <w:pPr>
        <w:jc w:val="both"/>
        <w:rPr>
          <w:rFonts w:ascii="Arial" w:hAnsi="Arial" w:cs="Arial"/>
          <w:b/>
          <w:color w:val="000000" w:themeColor="text1"/>
        </w:rPr>
      </w:pPr>
    </w:p>
    <w:p w:rsidR="00776782" w:rsidRPr="00403C34" w:rsidRDefault="00776782" w:rsidP="00776782">
      <w:pPr>
        <w:jc w:val="both"/>
        <w:rPr>
          <w:rFonts w:ascii="Arial" w:hAnsi="Arial" w:cs="Arial"/>
          <w:b/>
          <w:color w:val="000000" w:themeColor="text1"/>
        </w:rPr>
        <w:sectPr w:rsidR="00776782" w:rsidRPr="00403C34" w:rsidSect="002C1F1C">
          <w:type w:val="continuous"/>
          <w:pgSz w:w="12240" w:h="15840"/>
          <w:pgMar w:top="1440" w:right="1800" w:bottom="1440" w:left="1800" w:header="720" w:footer="720" w:gutter="0"/>
          <w:cols w:space="720"/>
          <w:docGrid w:linePitch="360"/>
        </w:sectPr>
      </w:pPr>
    </w:p>
    <w:p w:rsidR="00776782" w:rsidRPr="00403C34" w:rsidRDefault="00776782" w:rsidP="00E13B16">
      <w:pPr>
        <w:ind w:left="-284" w:right="-432"/>
        <w:rPr>
          <w:rFonts w:ascii="Arial" w:hAnsi="Arial" w:cs="Arial"/>
          <w:b/>
          <w:color w:val="000000" w:themeColor="text1"/>
          <w:sz w:val="22"/>
        </w:rPr>
      </w:pPr>
      <w:r w:rsidRPr="00403C34">
        <w:rPr>
          <w:rFonts w:ascii="Arial" w:hAnsi="Arial" w:cs="Arial"/>
          <w:b/>
          <w:color w:val="000000" w:themeColor="text1"/>
          <w:sz w:val="22"/>
        </w:rPr>
        <w:t>3.5 Comparative Analysis of Regional Constraints in Kerala</w:t>
      </w:r>
    </w:p>
    <w:p w:rsidR="00776782" w:rsidRPr="00403C34" w:rsidRDefault="00776782" w:rsidP="00776782">
      <w:pPr>
        <w:ind w:left="-567" w:right="-432"/>
        <w:jc w:val="both"/>
        <w:rPr>
          <w:rFonts w:ascii="Arial" w:hAnsi="Arial" w:cs="Arial"/>
          <w:b/>
          <w:color w:val="000000" w:themeColor="text1"/>
        </w:rPr>
      </w:pPr>
    </w:p>
    <w:p w:rsidR="00776782" w:rsidRPr="00403C34" w:rsidRDefault="00776782" w:rsidP="00776782">
      <w:pPr>
        <w:ind w:left="-284" w:right="-7"/>
        <w:jc w:val="both"/>
        <w:rPr>
          <w:rFonts w:ascii="Arial" w:hAnsi="Arial" w:cs="Arial"/>
          <w:color w:val="000000" w:themeColor="text1"/>
        </w:rPr>
      </w:pPr>
      <w:r w:rsidRPr="00403C34">
        <w:rPr>
          <w:rFonts w:ascii="Arial" w:hAnsi="Arial" w:cs="Arial"/>
          <w:color w:val="000000" w:themeColor="text1"/>
        </w:rPr>
        <w:t>A comparative view of the three districts revealed both common and region-specific issues. Financial exclusion and climatic variability were consistently identified as major constraints, underscoring their importance across the state. However, each region showed unique challenges. In Kasaragod, irrigation scarcity was more pronounced, impacting crop production significantly. In Thrissur, wild animal attacks were a major concern, causing severe damage to crops. In Thiruvananthapuram, land fragmentation stood out as the most pressing issue, hindering efficient farm management.</w:t>
      </w:r>
    </w:p>
    <w:p w:rsidR="00AD5FD8" w:rsidRPr="00403C34" w:rsidRDefault="00776782" w:rsidP="00776782">
      <w:pPr>
        <w:ind w:left="-284" w:right="-7"/>
        <w:jc w:val="both"/>
        <w:rPr>
          <w:rFonts w:ascii="Arial" w:hAnsi="Arial" w:cs="Arial"/>
          <w:color w:val="000000" w:themeColor="text1"/>
        </w:rPr>
      </w:pPr>
      <w:r w:rsidRPr="00403C34">
        <w:rPr>
          <w:rFonts w:ascii="Arial" w:hAnsi="Arial" w:cs="Arial"/>
          <w:color w:val="000000" w:themeColor="text1"/>
        </w:rPr>
        <w:t>These differences make it clear that solutions need to be tailore</w:t>
      </w:r>
      <w:r w:rsidR="00E13B16" w:rsidRPr="00403C34">
        <w:rPr>
          <w:rFonts w:ascii="Arial" w:hAnsi="Arial" w:cs="Arial"/>
          <w:color w:val="000000" w:themeColor="text1"/>
        </w:rPr>
        <w:t xml:space="preserve">d to each region. Strengthening </w:t>
      </w:r>
    </w:p>
    <w:p w:rsidR="00776782" w:rsidRPr="00403C34" w:rsidRDefault="00776782" w:rsidP="00776782">
      <w:pPr>
        <w:ind w:left="-284" w:right="-7"/>
        <w:jc w:val="both"/>
        <w:rPr>
          <w:rFonts w:ascii="Arial" w:hAnsi="Arial" w:cs="Arial"/>
          <w:color w:val="000000" w:themeColor="text1"/>
        </w:rPr>
      </w:pPr>
      <w:r w:rsidRPr="00403C34">
        <w:rPr>
          <w:rFonts w:ascii="Arial" w:hAnsi="Arial" w:cs="Arial"/>
          <w:color w:val="000000" w:themeColor="text1"/>
        </w:rPr>
        <w:t>irrigation infrastructure and providing technical support are critical for northern Kerala</w:t>
      </w:r>
      <w:r w:rsidR="000B0F9F">
        <w:rPr>
          <w:rFonts w:ascii="Arial" w:hAnsi="Arial" w:cs="Arial"/>
          <w:color w:val="000000" w:themeColor="text1"/>
        </w:rPr>
        <w:t xml:space="preserve">, </w:t>
      </w:r>
      <w:r w:rsidR="000B0F9F" w:rsidRPr="000B0F9F">
        <w:rPr>
          <w:rFonts w:ascii="Arial" w:hAnsi="Arial" w:cs="Arial"/>
          <w:color w:val="000000" w:themeColor="text1"/>
        </w:rPr>
        <w:t xml:space="preserve">while </w:t>
      </w:r>
      <w:r w:rsidR="000B0F9F" w:rsidRPr="000B0F9F">
        <w:rPr>
          <w:rFonts w:ascii="Arial" w:hAnsi="Arial" w:cs="Arial"/>
          <w:color w:val="000000" w:themeColor="text1"/>
        </w:rPr>
        <w:t>effective wildlife management and farmer-friendly insurance schemes are essential in the central region so as to address the challenges posed by climate change, helping farmers manage risks from climate variability such as erratic rainfall, floods, or pest outbreaks, are also important to support the sustainability of home gardens and adoption of NSA practices</w:t>
      </w:r>
      <w:r w:rsidRPr="00403C34">
        <w:rPr>
          <w:rFonts w:ascii="Arial" w:hAnsi="Arial" w:cs="Arial"/>
          <w:color w:val="000000" w:themeColor="text1"/>
        </w:rPr>
        <w:t>. In the south, addressing land fragmentation through better land-use planning and consolidation strategies is urgently needed. Alongside these targeted efforts, statewide actions like expanding institutional credit, stabilizing farm prices, and promoting climate-resilient farming practices are essential. This combination of local and state-level interventions reflects the growing consensus that nutrition-sensitive farming must be adapted to specific local contexts while also supported by broader reforms (WHO, 2020).</w:t>
      </w:r>
    </w:p>
    <w:p w:rsidR="000F1BF1" w:rsidRPr="00403C34" w:rsidRDefault="000F1BF1" w:rsidP="005E1412">
      <w:pPr>
        <w:ind w:left="-993" w:right="-1425"/>
        <w:rPr>
          <w:rFonts w:ascii="Arial" w:hAnsi="Arial" w:cs="Arial"/>
          <w:b/>
          <w:color w:val="000000" w:themeColor="text1"/>
        </w:rPr>
      </w:pPr>
    </w:p>
    <w:p w:rsidR="000F1BF1" w:rsidRPr="00403C34" w:rsidRDefault="000F1BF1" w:rsidP="005E1412">
      <w:pPr>
        <w:ind w:left="-993" w:right="-1425"/>
        <w:rPr>
          <w:rFonts w:ascii="Arial" w:hAnsi="Arial" w:cs="Arial"/>
          <w:b/>
          <w:color w:val="000000" w:themeColor="text1"/>
        </w:rPr>
        <w:sectPr w:rsidR="000F1BF1" w:rsidRPr="00403C34" w:rsidSect="000F1BF1">
          <w:type w:val="continuous"/>
          <w:pgSz w:w="12240" w:h="15840"/>
          <w:pgMar w:top="1440" w:right="1800" w:bottom="1440" w:left="1800" w:header="720" w:footer="720" w:gutter="0"/>
          <w:cols w:num="2" w:space="720"/>
          <w:docGrid w:linePitch="360"/>
        </w:sectPr>
      </w:pPr>
    </w:p>
    <w:p w:rsidR="000F1BF1" w:rsidRPr="00403C34" w:rsidRDefault="000F1BF1" w:rsidP="000F1BF1">
      <w:pPr>
        <w:ind w:left="-426" w:right="-1425"/>
        <w:rPr>
          <w:rFonts w:ascii="Arial" w:hAnsi="Arial" w:cs="Arial"/>
          <w:noProof/>
          <w:color w:val="000000" w:themeColor="text1"/>
          <w:lang w:val="en-IN" w:eastAsia="en-IN"/>
        </w:rPr>
      </w:pPr>
    </w:p>
    <w:p w:rsidR="00435ED4" w:rsidRDefault="00B73930" w:rsidP="00435ED4">
      <w:pPr>
        <w:pStyle w:val="NormalWeb"/>
        <w:ind w:hanging="284"/>
        <w:rPr>
          <w:rFonts w:ascii="Arial" w:hAnsi="Arial" w:cs="Arial"/>
        </w:rPr>
      </w:pPr>
      <w:r w:rsidRPr="00403C34">
        <w:rPr>
          <w:rFonts w:ascii="Arial" w:hAnsi="Arial" w:cs="Arial"/>
          <w:noProof/>
        </w:rPr>
        <w:drawing>
          <wp:inline distT="0" distB="0" distL="0" distR="0">
            <wp:extent cx="5829300" cy="3345971"/>
            <wp:effectExtent l="0" t="0" r="0" b="0"/>
            <wp:docPr id="7" name="Picture 7" descr="C:\Users\user\Pictures\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icture4.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 b="1475"/>
                    <a:stretch/>
                  </pic:blipFill>
                  <pic:spPr bwMode="auto">
                    <a:xfrm>
                      <a:off x="0" y="0"/>
                      <a:ext cx="5829300" cy="3345971"/>
                    </a:xfrm>
                    <a:prstGeom prst="rect">
                      <a:avLst/>
                    </a:prstGeom>
                    <a:noFill/>
                    <a:ln>
                      <a:noFill/>
                    </a:ln>
                    <a:extLst>
                      <a:ext uri="{53640926-AAD7-44D8-BBD7-CCE9431645EC}">
                        <a14:shadowObscured xmlns:a14="http://schemas.microsoft.com/office/drawing/2010/main"/>
                      </a:ext>
                    </a:extLst>
                  </pic:spPr>
                </pic:pic>
              </a:graphicData>
            </a:graphic>
          </wp:inline>
        </w:drawing>
      </w:r>
    </w:p>
    <w:p w:rsidR="00910119" w:rsidRPr="00435ED4" w:rsidRDefault="00776782" w:rsidP="00435ED4">
      <w:pPr>
        <w:pStyle w:val="NormalWeb"/>
        <w:ind w:hanging="284"/>
        <w:rPr>
          <w:rFonts w:ascii="Arial" w:hAnsi="Arial" w:cs="Arial"/>
        </w:rPr>
        <w:sectPr w:rsidR="00910119" w:rsidRPr="00435ED4" w:rsidSect="002C1F1C">
          <w:type w:val="continuous"/>
          <w:pgSz w:w="12240" w:h="15840"/>
          <w:pgMar w:top="1440" w:right="1800" w:bottom="1440" w:left="1800" w:header="720" w:footer="720" w:gutter="0"/>
          <w:cols w:space="720"/>
          <w:docGrid w:linePitch="360"/>
        </w:sectPr>
      </w:pPr>
      <w:r w:rsidRPr="00403C34">
        <w:rPr>
          <w:rFonts w:ascii="Arial" w:hAnsi="Arial" w:cs="Arial"/>
          <w:b/>
          <w:color w:val="000000" w:themeColor="text1"/>
          <w:sz w:val="20"/>
        </w:rPr>
        <w:t xml:space="preserve">Figure 2. Comparative mean Garrett scores of NSA constraints across Kerala </w:t>
      </w:r>
      <w:r w:rsidR="00B73930" w:rsidRPr="00403C34">
        <w:rPr>
          <w:rFonts w:ascii="Arial" w:hAnsi="Arial" w:cs="Arial"/>
          <w:b/>
          <w:color w:val="000000" w:themeColor="text1"/>
          <w:sz w:val="20"/>
        </w:rPr>
        <w:t>region</w:t>
      </w:r>
    </w:p>
    <w:p w:rsidR="000F1BF1" w:rsidRPr="00403C34" w:rsidRDefault="000F1BF1" w:rsidP="00BD03E9">
      <w:pPr>
        <w:pStyle w:val="ConcHead"/>
        <w:spacing w:after="0"/>
        <w:ind w:left="851" w:right="1019"/>
        <w:jc w:val="both"/>
        <w:rPr>
          <w:rFonts w:ascii="Arial" w:hAnsi="Arial" w:cs="Arial"/>
          <w:color w:val="000000" w:themeColor="text1"/>
        </w:rPr>
        <w:sectPr w:rsidR="000F1BF1" w:rsidRPr="00403C34" w:rsidSect="0052153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rsidR="00B01FCD" w:rsidRPr="00403C34" w:rsidRDefault="00000F8F" w:rsidP="000F1BF1">
      <w:pPr>
        <w:pStyle w:val="ConcHead"/>
        <w:spacing w:after="0"/>
        <w:ind w:right="1019"/>
        <w:jc w:val="both"/>
        <w:rPr>
          <w:rFonts w:ascii="Arial" w:hAnsi="Arial" w:cs="Arial"/>
          <w:color w:val="000000" w:themeColor="text1"/>
        </w:rPr>
      </w:pPr>
      <w:r w:rsidRPr="00403C34">
        <w:rPr>
          <w:rFonts w:ascii="Arial" w:hAnsi="Arial" w:cs="Arial"/>
          <w:color w:val="000000" w:themeColor="text1"/>
        </w:rPr>
        <w:t xml:space="preserve">4. </w:t>
      </w:r>
      <w:r w:rsidR="00B01FCD" w:rsidRPr="00403C34">
        <w:rPr>
          <w:rFonts w:ascii="Arial" w:hAnsi="Arial" w:cs="Arial"/>
          <w:color w:val="000000" w:themeColor="text1"/>
        </w:rPr>
        <w:t>Conclusion</w:t>
      </w:r>
    </w:p>
    <w:p w:rsidR="00790ADA" w:rsidRPr="00403C34" w:rsidRDefault="00790ADA" w:rsidP="000F1BF1">
      <w:pPr>
        <w:pStyle w:val="ConcHead"/>
        <w:spacing w:after="0"/>
        <w:ind w:right="1019"/>
        <w:jc w:val="both"/>
        <w:rPr>
          <w:rFonts w:ascii="Arial" w:hAnsi="Arial" w:cs="Arial"/>
          <w:color w:val="000000" w:themeColor="text1"/>
        </w:rPr>
      </w:pPr>
    </w:p>
    <w:p w:rsidR="00776782" w:rsidRPr="00403C34" w:rsidRDefault="00776782" w:rsidP="000F1BF1">
      <w:pPr>
        <w:ind w:right="1019"/>
        <w:jc w:val="both"/>
        <w:rPr>
          <w:rFonts w:ascii="Arial" w:hAnsi="Arial" w:cs="Arial"/>
          <w:color w:val="000000" w:themeColor="text1"/>
        </w:rPr>
      </w:pPr>
      <w:r w:rsidRPr="00403C34">
        <w:rPr>
          <w:rFonts w:ascii="Arial" w:hAnsi="Arial" w:cs="Arial"/>
          <w:color w:val="000000" w:themeColor="text1"/>
        </w:rPr>
        <w:t>This study identified the key constraints hindering the adoption of Nu</w:t>
      </w:r>
      <w:r w:rsidR="006C5754" w:rsidRPr="00403C34">
        <w:rPr>
          <w:rFonts w:ascii="Arial" w:hAnsi="Arial" w:cs="Arial"/>
          <w:color w:val="000000" w:themeColor="text1"/>
        </w:rPr>
        <w:t>tri-Sensitive Agriculture</w:t>
      </w:r>
      <w:r w:rsidRPr="00403C34">
        <w:rPr>
          <w:rFonts w:ascii="Arial" w:hAnsi="Arial" w:cs="Arial"/>
          <w:color w:val="000000" w:themeColor="text1"/>
        </w:rPr>
        <w:t xml:space="preserve"> in home gardens across Kerala. The most significant barriers included lack of financial support</w:t>
      </w:r>
      <w:r w:rsidR="006C5754" w:rsidRPr="00403C34">
        <w:rPr>
          <w:rFonts w:ascii="Arial" w:hAnsi="Arial" w:cs="Arial"/>
          <w:color w:val="000000" w:themeColor="text1"/>
        </w:rPr>
        <w:t xml:space="preserve"> for farmers</w:t>
      </w:r>
      <w:r w:rsidRPr="00403C34">
        <w:rPr>
          <w:rFonts w:ascii="Arial" w:hAnsi="Arial" w:cs="Arial"/>
          <w:color w:val="000000" w:themeColor="text1"/>
        </w:rPr>
        <w:t>, climatic variability, and wild animal depredation, with regional variations observed in the north, central, and southern districts of Kerala.</w:t>
      </w:r>
    </w:p>
    <w:p w:rsidR="00776782" w:rsidRPr="00403C34" w:rsidRDefault="00776782" w:rsidP="000F1BF1">
      <w:pPr>
        <w:ind w:right="1019"/>
        <w:jc w:val="both"/>
        <w:rPr>
          <w:rFonts w:ascii="Arial" w:hAnsi="Arial" w:cs="Arial"/>
          <w:color w:val="000000" w:themeColor="text1"/>
        </w:rPr>
      </w:pPr>
    </w:p>
    <w:p w:rsidR="00776782" w:rsidRPr="00403C34" w:rsidRDefault="00776782" w:rsidP="000F1BF1">
      <w:pPr>
        <w:ind w:right="1019"/>
        <w:jc w:val="both"/>
        <w:rPr>
          <w:rFonts w:ascii="Arial" w:hAnsi="Arial" w:cs="Arial"/>
          <w:color w:val="000000" w:themeColor="text1"/>
        </w:rPr>
      </w:pPr>
      <w:r w:rsidRPr="00403C34">
        <w:rPr>
          <w:rFonts w:ascii="Arial" w:hAnsi="Arial" w:cs="Arial"/>
          <w:color w:val="000000" w:themeColor="text1"/>
        </w:rPr>
        <w:t>In northern Kerala, limited access to irrigation and financial exclusion emerged as critical factors, making it difficult for farmers to diversify their agricultural practices. In central Kerala, wild animal attacks were a major threat to the sustainability of home gardens, while in southern Kerala, land fragmentation reduced the efficiency of farming systems.</w:t>
      </w:r>
      <w:r w:rsidR="006C5754" w:rsidRPr="00403C34">
        <w:rPr>
          <w:rFonts w:ascii="Arial" w:hAnsi="Arial" w:cs="Arial"/>
          <w:color w:val="000000" w:themeColor="text1"/>
        </w:rPr>
        <w:t xml:space="preserve"> Limited integration of agricultural and nutrition policies further weakens the scope of </w:t>
      </w:r>
      <w:proofErr w:type="spellStart"/>
      <w:r w:rsidR="006C5754" w:rsidRPr="00403C34">
        <w:rPr>
          <w:rFonts w:ascii="Arial" w:hAnsi="Arial" w:cs="Arial"/>
          <w:color w:val="000000" w:themeColor="text1"/>
        </w:rPr>
        <w:t>nutri</w:t>
      </w:r>
      <w:proofErr w:type="spellEnd"/>
      <w:r w:rsidR="007709A6" w:rsidRPr="00403C34">
        <w:rPr>
          <w:rFonts w:ascii="Arial" w:hAnsi="Arial" w:cs="Arial"/>
          <w:color w:val="000000" w:themeColor="text1"/>
        </w:rPr>
        <w:t xml:space="preserve"> </w:t>
      </w:r>
      <w:r w:rsidR="006C5754" w:rsidRPr="00403C34">
        <w:rPr>
          <w:rFonts w:ascii="Arial" w:hAnsi="Arial" w:cs="Arial"/>
          <w:color w:val="000000" w:themeColor="text1"/>
        </w:rPr>
        <w:t>sensitive interventions across regions</w:t>
      </w:r>
      <w:r w:rsidR="007709A6" w:rsidRPr="00403C34">
        <w:rPr>
          <w:rFonts w:ascii="Arial" w:hAnsi="Arial" w:cs="Arial"/>
          <w:color w:val="000000" w:themeColor="text1"/>
        </w:rPr>
        <w:t>.</w:t>
      </w:r>
    </w:p>
    <w:p w:rsidR="00776782" w:rsidRPr="00403C34" w:rsidRDefault="00776782" w:rsidP="000F1BF1">
      <w:pPr>
        <w:ind w:right="1019"/>
        <w:jc w:val="both"/>
        <w:rPr>
          <w:rFonts w:ascii="Arial" w:hAnsi="Arial" w:cs="Arial"/>
          <w:color w:val="000000" w:themeColor="text1"/>
        </w:rPr>
      </w:pPr>
      <w:r w:rsidRPr="00403C34">
        <w:rPr>
          <w:rFonts w:ascii="Arial" w:hAnsi="Arial" w:cs="Arial"/>
          <w:color w:val="000000" w:themeColor="text1"/>
        </w:rPr>
        <w:t xml:space="preserve">To address these challenges, this study recommends region-specific strategies: improving irrigation infrastructure and credit </w:t>
      </w:r>
      <w:r w:rsidRPr="00403C34">
        <w:rPr>
          <w:rFonts w:ascii="Arial" w:hAnsi="Arial" w:cs="Arial"/>
          <w:color w:val="000000" w:themeColor="text1"/>
        </w:rPr>
        <w:t>access in the north, focusing on wildlife management in the central region, and implementing land-use planning and consolidation strategies in the south. At the statewide level, policies that improve access to finance, reduce input costs, and promote climate-resilient farming practices are essential for enhancing the adoption of NSA.</w:t>
      </w:r>
    </w:p>
    <w:p w:rsidR="00776782" w:rsidRPr="00403C34" w:rsidRDefault="00776782" w:rsidP="000F1BF1">
      <w:pPr>
        <w:ind w:right="1019"/>
        <w:jc w:val="both"/>
        <w:rPr>
          <w:rFonts w:ascii="Arial" w:hAnsi="Arial" w:cs="Arial"/>
          <w:color w:val="000000" w:themeColor="text1"/>
        </w:rPr>
      </w:pPr>
    </w:p>
    <w:p w:rsidR="00E13B16" w:rsidRPr="00403C34" w:rsidRDefault="00776782" w:rsidP="004707E7">
      <w:pPr>
        <w:ind w:right="1019"/>
        <w:jc w:val="both"/>
        <w:rPr>
          <w:rFonts w:ascii="Arial" w:hAnsi="Arial" w:cs="Arial"/>
          <w:color w:val="000000" w:themeColor="text1"/>
        </w:rPr>
        <w:sectPr w:rsidR="00E13B16" w:rsidRPr="00403C34" w:rsidSect="000B0F9F">
          <w:type w:val="continuous"/>
          <w:pgSz w:w="12240" w:h="15840"/>
          <w:pgMar w:top="720" w:right="720" w:bottom="720" w:left="1560" w:header="720" w:footer="720" w:gutter="0"/>
          <w:cols w:num="2" w:space="48"/>
          <w:docGrid w:linePitch="360"/>
        </w:sectPr>
      </w:pPr>
      <w:r w:rsidRPr="00403C34">
        <w:rPr>
          <w:rFonts w:ascii="Arial" w:hAnsi="Arial" w:cs="Arial"/>
          <w:color w:val="000000" w:themeColor="text1"/>
        </w:rPr>
        <w:t>This research provides valuable insights for policy makers, extension agents, and farmers to develop targeted interventions that can improve the sustainability of home gardens and contribute to food security and nutrition in Kerala. Further research is needed to explore climate-smart agricultural practices and alternative sources of income for farmers, especially in the context of climate change and economic challenges. By tackling these multi-dimensional constraints, home gardens in Kerala can be strengthened to contribute more effectively to dietary diversity, household food security, and resilience against climate and market shocks, thereby advancing progress toward the Sustainable Development Goals.</w:t>
      </w:r>
    </w:p>
    <w:p w:rsidR="004707E7" w:rsidRPr="00403C34" w:rsidRDefault="004707E7" w:rsidP="00A5303C">
      <w:pPr>
        <w:pStyle w:val="AcknHead"/>
        <w:spacing w:after="0"/>
        <w:ind w:right="119"/>
        <w:rPr>
          <w:rFonts w:ascii="Arial" w:hAnsi="Arial" w:cs="Arial"/>
          <w:color w:val="000000" w:themeColor="text1"/>
        </w:rPr>
        <w:sectPr w:rsidR="004707E7" w:rsidRPr="00403C34" w:rsidSect="000B0F9F">
          <w:type w:val="continuous"/>
          <w:pgSz w:w="12240" w:h="15840"/>
          <w:pgMar w:top="720" w:right="720" w:bottom="720" w:left="1560" w:header="720" w:footer="720" w:gutter="0"/>
          <w:cols w:num="2" w:space="48"/>
          <w:docGrid w:linePitch="360"/>
        </w:sectPr>
      </w:pPr>
    </w:p>
    <w:p w:rsidR="005E731C" w:rsidRPr="00403C34" w:rsidRDefault="005E731C" w:rsidP="005E731C">
      <w:pPr>
        <w:jc w:val="both"/>
        <w:rPr>
          <w:rFonts w:ascii="Arial" w:eastAsia="Calibri" w:hAnsi="Arial" w:cs="Arial"/>
          <w:b/>
          <w:kern w:val="2"/>
          <w:sz w:val="22"/>
        </w:rPr>
      </w:pPr>
      <w:r w:rsidRPr="00403C34">
        <w:rPr>
          <w:rFonts w:ascii="Arial" w:eastAsia="Calibri" w:hAnsi="Arial" w:cs="Arial"/>
          <w:b/>
          <w:kern w:val="2"/>
          <w:sz w:val="22"/>
        </w:rPr>
        <w:lastRenderedPageBreak/>
        <w:t>DISCLAIMER (ARTIFICIAL INTELLIGENCE)</w:t>
      </w:r>
    </w:p>
    <w:p w:rsidR="005E731C" w:rsidRPr="00403C34" w:rsidRDefault="005E731C" w:rsidP="005E731C">
      <w:pPr>
        <w:jc w:val="both"/>
        <w:rPr>
          <w:rFonts w:ascii="Arial" w:eastAsia="Calibri" w:hAnsi="Arial" w:cs="Arial"/>
          <w:kern w:val="2"/>
        </w:rPr>
      </w:pPr>
    </w:p>
    <w:p w:rsidR="00BF44B5" w:rsidRDefault="005E731C" w:rsidP="000B0F9F">
      <w:pPr>
        <w:jc w:val="both"/>
        <w:rPr>
          <w:rFonts w:ascii="Arial" w:eastAsia="Calibri" w:hAnsi="Arial" w:cs="Arial"/>
          <w:kern w:val="2"/>
        </w:rPr>
      </w:pPr>
      <w:r w:rsidRPr="00403C34">
        <w:rPr>
          <w:rFonts w:ascii="Arial" w:eastAsia="Calibri" w:hAnsi="Arial" w:cs="Arial"/>
          <w:kern w:val="2"/>
        </w:rPr>
        <w:t>Author(s) hereby declare that NO generative AI technologies such as Large Language Models (</w:t>
      </w:r>
      <w:proofErr w:type="spellStart"/>
      <w:r w:rsidRPr="00403C34">
        <w:rPr>
          <w:rFonts w:ascii="Arial" w:eastAsia="Calibri" w:hAnsi="Arial" w:cs="Arial"/>
          <w:kern w:val="2"/>
        </w:rPr>
        <w:t>ChatGPT</w:t>
      </w:r>
      <w:proofErr w:type="spellEnd"/>
      <w:r w:rsidRPr="00403C34">
        <w:rPr>
          <w:rFonts w:ascii="Arial" w:eastAsia="Calibri" w:hAnsi="Arial" w:cs="Arial"/>
          <w:kern w:val="2"/>
        </w:rPr>
        <w:t xml:space="preserve">, COPILOT, etc.) and text-to-image generators have been used during the writing or editing of this manuscript. </w:t>
      </w:r>
    </w:p>
    <w:p w:rsidR="000B0F9F" w:rsidRPr="000B0F9F" w:rsidRDefault="000B0F9F" w:rsidP="000B0F9F">
      <w:pPr>
        <w:jc w:val="both"/>
        <w:rPr>
          <w:rFonts w:ascii="Arial" w:eastAsia="Calibri" w:hAnsi="Arial" w:cs="Arial"/>
          <w:kern w:val="2"/>
        </w:rPr>
      </w:pPr>
    </w:p>
    <w:p w:rsidR="002A6E4D" w:rsidRPr="00403C34" w:rsidRDefault="008E38D5" w:rsidP="0082271E">
      <w:pPr>
        <w:spacing w:after="120"/>
        <w:ind w:right="288" w:firstLine="1"/>
        <w:jc w:val="both"/>
        <w:rPr>
          <w:rFonts w:ascii="Arial" w:hAnsi="Arial" w:cs="Arial"/>
          <w:b/>
          <w:color w:val="000000" w:themeColor="text1"/>
          <w:sz w:val="24"/>
        </w:rPr>
      </w:pPr>
      <w:r w:rsidRPr="00403C34">
        <w:rPr>
          <w:rFonts w:ascii="Arial" w:hAnsi="Arial" w:cs="Arial"/>
          <w:b/>
          <w:color w:val="000000" w:themeColor="text1"/>
          <w:sz w:val="24"/>
        </w:rPr>
        <w:t>REFERENCES</w:t>
      </w:r>
    </w:p>
    <w:p w:rsidR="0082271E"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FAO. (2017). </w:t>
      </w:r>
      <w:r w:rsidRPr="00403C34">
        <w:rPr>
          <w:rStyle w:val="Emphasis"/>
          <w:rFonts w:ascii="Arial" w:hAnsi="Arial" w:cs="Arial"/>
          <w:color w:val="000000" w:themeColor="text1"/>
          <w:sz w:val="20"/>
        </w:rPr>
        <w:t>Nutrition-sensitive agriculture and food systems in practice: Options for intervention</w:t>
      </w:r>
      <w:r w:rsidRPr="00403C34">
        <w:rPr>
          <w:rFonts w:ascii="Arial" w:hAnsi="Arial" w:cs="Arial"/>
          <w:color w:val="000000" w:themeColor="text1"/>
          <w:sz w:val="20"/>
        </w:rPr>
        <w:t xml:space="preserve">. Food and Agriculture Organization of the United Nations. Available from: </w:t>
      </w:r>
      <w:hyperlink r:id="rId18" w:tgtFrame="_new" w:history="1">
        <w:r w:rsidRPr="00403C34">
          <w:rPr>
            <w:rStyle w:val="Hyperlink"/>
            <w:rFonts w:ascii="Arial" w:hAnsi="Arial" w:cs="Arial"/>
            <w:color w:val="000000" w:themeColor="text1"/>
            <w:sz w:val="20"/>
            <w:u w:val="none"/>
          </w:rPr>
          <w:t>https://www.fao.org/3/i7848e/i7848e.pdf</w:t>
        </w:r>
      </w:hyperlink>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Pingali, P. (2015). Agricultural policy and nutrition outcomes: Getting beyond the preoccupation with staple grains. </w:t>
      </w:r>
      <w:r w:rsidRPr="00403C34">
        <w:rPr>
          <w:rStyle w:val="Emphasis"/>
          <w:rFonts w:ascii="Arial" w:hAnsi="Arial" w:cs="Arial"/>
          <w:color w:val="000000" w:themeColor="text1"/>
          <w:sz w:val="20"/>
        </w:rPr>
        <w:t>Food Security</w:t>
      </w:r>
      <w:r w:rsidRPr="00403C34">
        <w:rPr>
          <w:rFonts w:ascii="Arial" w:hAnsi="Arial" w:cs="Arial"/>
          <w:color w:val="000000" w:themeColor="text1"/>
          <w:sz w:val="20"/>
        </w:rPr>
        <w:t xml:space="preserve">, 7(3), 583–591. </w:t>
      </w:r>
      <w:hyperlink r:id="rId19" w:tgtFrame="_new" w:history="1">
        <w:r w:rsidRPr="00403C34">
          <w:rPr>
            <w:rStyle w:val="Hyperlink"/>
            <w:rFonts w:ascii="Arial" w:hAnsi="Arial" w:cs="Arial"/>
            <w:color w:val="000000" w:themeColor="text1"/>
            <w:sz w:val="20"/>
            <w:u w:val="none"/>
          </w:rPr>
          <w:t>https://doi.org/10.1007/s12571-015-0461-x</w:t>
        </w:r>
      </w:hyperlink>
      <w:r w:rsidR="00EE2E95"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Galhena, D. H., Freed, R., &amp; </w:t>
      </w:r>
      <w:proofErr w:type="spellStart"/>
      <w:r w:rsidRPr="00403C34">
        <w:rPr>
          <w:rFonts w:ascii="Arial" w:hAnsi="Arial" w:cs="Arial"/>
          <w:color w:val="000000" w:themeColor="text1"/>
          <w:sz w:val="20"/>
        </w:rPr>
        <w:t>Maredia</w:t>
      </w:r>
      <w:proofErr w:type="spellEnd"/>
      <w:r w:rsidRPr="00403C34">
        <w:rPr>
          <w:rFonts w:ascii="Arial" w:hAnsi="Arial" w:cs="Arial"/>
          <w:color w:val="000000" w:themeColor="text1"/>
          <w:sz w:val="20"/>
        </w:rPr>
        <w:t xml:space="preserve">, K. M. (2013). Home gardens: A promising approach to enhance household food security and wellbeing. </w:t>
      </w:r>
      <w:r w:rsidRPr="00403C34">
        <w:rPr>
          <w:rStyle w:val="Emphasis"/>
          <w:rFonts w:ascii="Arial" w:hAnsi="Arial" w:cs="Arial"/>
          <w:color w:val="000000" w:themeColor="text1"/>
          <w:sz w:val="20"/>
        </w:rPr>
        <w:t>Agricultural Food Security</w:t>
      </w:r>
      <w:r w:rsidRPr="00403C34">
        <w:rPr>
          <w:rFonts w:ascii="Arial" w:hAnsi="Arial" w:cs="Arial"/>
          <w:color w:val="000000" w:themeColor="text1"/>
          <w:sz w:val="20"/>
        </w:rPr>
        <w:t xml:space="preserve">, 2(1), 8. </w:t>
      </w:r>
      <w:hyperlink r:id="rId20" w:tgtFrame="_new" w:history="1">
        <w:r w:rsidRPr="00403C34">
          <w:rPr>
            <w:rStyle w:val="Hyperlink"/>
            <w:rFonts w:ascii="Arial" w:hAnsi="Arial" w:cs="Arial"/>
            <w:color w:val="000000" w:themeColor="text1"/>
            <w:sz w:val="20"/>
            <w:u w:val="none"/>
          </w:rPr>
          <w:t>https://doi.org/10.1186/2048-7010-2-8</w:t>
        </w:r>
      </w:hyperlink>
      <w:r w:rsidR="00EE2E95"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Jose, D., &amp; </w:t>
      </w:r>
      <w:proofErr w:type="spellStart"/>
      <w:r w:rsidRPr="00403C34">
        <w:rPr>
          <w:rFonts w:ascii="Arial" w:hAnsi="Arial" w:cs="Arial"/>
          <w:color w:val="000000" w:themeColor="text1"/>
          <w:sz w:val="20"/>
        </w:rPr>
        <w:t>Shanmugaratnam</w:t>
      </w:r>
      <w:proofErr w:type="spellEnd"/>
      <w:r w:rsidRPr="00403C34">
        <w:rPr>
          <w:rFonts w:ascii="Arial" w:hAnsi="Arial" w:cs="Arial"/>
          <w:color w:val="000000" w:themeColor="text1"/>
          <w:sz w:val="20"/>
        </w:rPr>
        <w:t xml:space="preserve">, N. (1993). Traditional home gardens of Kerala: A sustainable human ecosystem. </w:t>
      </w:r>
      <w:r w:rsidRPr="00403C34">
        <w:rPr>
          <w:rStyle w:val="Emphasis"/>
          <w:rFonts w:ascii="Arial" w:hAnsi="Arial" w:cs="Arial"/>
          <w:color w:val="000000" w:themeColor="text1"/>
          <w:sz w:val="20"/>
        </w:rPr>
        <w:t>Agroforestry Systems</w:t>
      </w:r>
      <w:r w:rsidRPr="00403C34">
        <w:rPr>
          <w:rFonts w:ascii="Arial" w:hAnsi="Arial" w:cs="Arial"/>
          <w:color w:val="000000" w:themeColor="text1"/>
          <w:sz w:val="20"/>
        </w:rPr>
        <w:t>, 24(2), 203–213.</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03C34">
        <w:rPr>
          <w:rFonts w:ascii="Arial" w:hAnsi="Arial" w:cs="Arial"/>
          <w:color w:val="000000" w:themeColor="text1"/>
          <w:sz w:val="20"/>
        </w:rPr>
        <w:t>Tomatis</w:t>
      </w:r>
      <w:proofErr w:type="spellEnd"/>
      <w:r w:rsidRPr="00403C34">
        <w:rPr>
          <w:rFonts w:ascii="Arial" w:hAnsi="Arial" w:cs="Arial"/>
          <w:color w:val="000000" w:themeColor="text1"/>
          <w:sz w:val="20"/>
        </w:rPr>
        <w:t xml:space="preserve">, F., Leal Filho, W., &amp; </w:t>
      </w:r>
      <w:proofErr w:type="spellStart"/>
      <w:r w:rsidRPr="00403C34">
        <w:rPr>
          <w:rFonts w:ascii="Arial" w:hAnsi="Arial" w:cs="Arial"/>
          <w:color w:val="000000" w:themeColor="text1"/>
          <w:sz w:val="20"/>
        </w:rPr>
        <w:t>Pauleit</w:t>
      </w:r>
      <w:proofErr w:type="spellEnd"/>
      <w:r w:rsidRPr="00403C34">
        <w:rPr>
          <w:rFonts w:ascii="Arial" w:hAnsi="Arial" w:cs="Arial"/>
          <w:color w:val="000000" w:themeColor="text1"/>
          <w:sz w:val="20"/>
        </w:rPr>
        <w:t xml:space="preserve">, S. (2023). Urban gardening in a changing climate: A review of effects and adaptation strategies. </w:t>
      </w:r>
      <w:r w:rsidRPr="00403C34">
        <w:rPr>
          <w:rStyle w:val="Emphasis"/>
          <w:rFonts w:ascii="Arial" w:hAnsi="Arial" w:cs="Arial"/>
          <w:color w:val="000000" w:themeColor="text1"/>
          <w:sz w:val="20"/>
        </w:rPr>
        <w:t>Agriculture</w:t>
      </w:r>
      <w:r w:rsidRPr="00403C34">
        <w:rPr>
          <w:rFonts w:ascii="Arial" w:hAnsi="Arial" w:cs="Arial"/>
          <w:color w:val="000000" w:themeColor="text1"/>
          <w:sz w:val="20"/>
        </w:rPr>
        <w:t xml:space="preserve">, 13(2), 502. </w:t>
      </w:r>
      <w:hyperlink r:id="rId21" w:tgtFrame="_new" w:history="1">
        <w:r w:rsidRPr="00403C34">
          <w:rPr>
            <w:rStyle w:val="Hyperlink"/>
            <w:rFonts w:ascii="Arial" w:hAnsi="Arial" w:cs="Arial"/>
            <w:color w:val="000000" w:themeColor="text1"/>
            <w:sz w:val="20"/>
            <w:u w:val="none"/>
          </w:rPr>
          <w:t>https://doi.org/10.3390/agriculture13020502</w:t>
        </w:r>
      </w:hyperlink>
      <w:r w:rsidR="004D75F3"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Du Toit, M. J., </w:t>
      </w:r>
      <w:proofErr w:type="spellStart"/>
      <w:r w:rsidRPr="00403C34">
        <w:rPr>
          <w:rFonts w:ascii="Arial" w:hAnsi="Arial" w:cs="Arial"/>
          <w:color w:val="000000" w:themeColor="text1"/>
          <w:sz w:val="20"/>
        </w:rPr>
        <w:t>Rendón</w:t>
      </w:r>
      <w:proofErr w:type="spellEnd"/>
      <w:r w:rsidRPr="00403C34">
        <w:rPr>
          <w:rFonts w:ascii="Arial" w:hAnsi="Arial" w:cs="Arial"/>
          <w:color w:val="000000" w:themeColor="text1"/>
          <w:sz w:val="20"/>
        </w:rPr>
        <w:t xml:space="preserve">, O., Cologna, V., </w:t>
      </w:r>
      <w:proofErr w:type="spellStart"/>
      <w:r w:rsidRPr="00403C34">
        <w:rPr>
          <w:rFonts w:ascii="Arial" w:hAnsi="Arial" w:cs="Arial"/>
          <w:color w:val="000000" w:themeColor="text1"/>
          <w:sz w:val="20"/>
        </w:rPr>
        <w:t>Cilliers</w:t>
      </w:r>
      <w:proofErr w:type="spellEnd"/>
      <w:r w:rsidRPr="00403C34">
        <w:rPr>
          <w:rFonts w:ascii="Arial" w:hAnsi="Arial" w:cs="Arial"/>
          <w:color w:val="000000" w:themeColor="text1"/>
          <w:sz w:val="20"/>
        </w:rPr>
        <w:t xml:space="preserve">, S. S., &amp; </w:t>
      </w:r>
      <w:proofErr w:type="spellStart"/>
      <w:r w:rsidRPr="00403C34">
        <w:rPr>
          <w:rFonts w:ascii="Arial" w:hAnsi="Arial" w:cs="Arial"/>
          <w:color w:val="000000" w:themeColor="text1"/>
          <w:sz w:val="20"/>
        </w:rPr>
        <w:t>Dallimer</w:t>
      </w:r>
      <w:proofErr w:type="spellEnd"/>
      <w:r w:rsidRPr="00403C34">
        <w:rPr>
          <w:rFonts w:ascii="Arial" w:hAnsi="Arial" w:cs="Arial"/>
          <w:color w:val="000000" w:themeColor="text1"/>
          <w:sz w:val="20"/>
        </w:rPr>
        <w:t xml:space="preserve">, M. (2022). Why home gardens fail in enhancing food security and dietary diversity. </w:t>
      </w:r>
      <w:r w:rsidRPr="00403C34">
        <w:rPr>
          <w:rStyle w:val="Emphasis"/>
          <w:rFonts w:ascii="Arial" w:hAnsi="Arial" w:cs="Arial"/>
          <w:color w:val="000000" w:themeColor="text1"/>
          <w:sz w:val="20"/>
        </w:rPr>
        <w:t>Frontiers in Ecology and Evolution</w:t>
      </w:r>
      <w:r w:rsidRPr="00403C34">
        <w:rPr>
          <w:rFonts w:ascii="Arial" w:hAnsi="Arial" w:cs="Arial"/>
          <w:color w:val="000000" w:themeColor="text1"/>
          <w:sz w:val="20"/>
        </w:rPr>
        <w:t>, 10, 804523.</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Kumar, C. S., Turvey, C. G., &amp; Kropp, J. D. (2013). The impact of credit constraints on farm households: Survey results from India and China. </w:t>
      </w:r>
      <w:r w:rsidRPr="00403C34">
        <w:rPr>
          <w:rStyle w:val="Emphasis"/>
          <w:rFonts w:ascii="Arial" w:hAnsi="Arial" w:cs="Arial"/>
          <w:color w:val="000000" w:themeColor="text1"/>
          <w:sz w:val="20"/>
        </w:rPr>
        <w:t>Applied Economic Perspectives and Policy</w:t>
      </w:r>
      <w:r w:rsidRPr="00403C34">
        <w:rPr>
          <w:rFonts w:ascii="Arial" w:hAnsi="Arial" w:cs="Arial"/>
          <w:color w:val="000000" w:themeColor="text1"/>
          <w:sz w:val="20"/>
        </w:rPr>
        <w:t xml:space="preserve">, 35(2), 264–285. </w:t>
      </w:r>
      <w:hyperlink r:id="rId22" w:tgtFrame="_new" w:history="1">
        <w:r w:rsidRPr="00403C34">
          <w:rPr>
            <w:rStyle w:val="Hyperlink"/>
            <w:rFonts w:ascii="Arial" w:hAnsi="Arial" w:cs="Arial"/>
            <w:color w:val="000000" w:themeColor="text1"/>
            <w:sz w:val="20"/>
            <w:u w:val="none"/>
          </w:rPr>
          <w:t>https://doi.org/10.1093/aepp/ppt002</w:t>
        </w:r>
      </w:hyperlink>
      <w:r w:rsidR="004D75F3"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Andrews, S., &amp; Kannan, E. (2016). </w:t>
      </w:r>
      <w:r w:rsidRPr="00403C34">
        <w:rPr>
          <w:rFonts w:ascii="Arial" w:hAnsi="Arial" w:cs="Arial"/>
          <w:i/>
          <w:color w:val="000000" w:themeColor="text1"/>
          <w:sz w:val="20"/>
        </w:rPr>
        <w:t>Land use under homestead in Kerala: The status of homestead cultivation from a village study</w:t>
      </w:r>
      <w:r w:rsidRPr="00403C34">
        <w:rPr>
          <w:rFonts w:ascii="Arial" w:hAnsi="Arial" w:cs="Arial"/>
          <w:color w:val="000000" w:themeColor="text1"/>
          <w:sz w:val="20"/>
        </w:rPr>
        <w:t xml:space="preserve">. Working Paper 369, Institute for Social and Economic Change (ISEC), Bangalore. Retrieved from </w:t>
      </w:r>
      <w:hyperlink r:id="rId23" w:tgtFrame="_new" w:history="1">
        <w:r w:rsidRPr="00403C34">
          <w:rPr>
            <w:rStyle w:val="Hyperlink"/>
            <w:rFonts w:ascii="Arial" w:hAnsi="Arial" w:cs="Arial"/>
            <w:color w:val="000000" w:themeColor="text1"/>
            <w:sz w:val="20"/>
            <w:u w:val="none"/>
          </w:rPr>
          <w:t>https://www.isec.ac.in/wp-</w:t>
        </w:r>
        <w:r w:rsidRPr="00403C34">
          <w:rPr>
            <w:rStyle w:val="Hyperlink"/>
            <w:rFonts w:ascii="Arial" w:hAnsi="Arial" w:cs="Arial"/>
            <w:color w:val="000000" w:themeColor="text1"/>
            <w:sz w:val="20"/>
            <w:u w:val="none"/>
          </w:rPr>
          <w:t>content/uploads/2023/07/WP-369-Sheeba-Andrews-Final.pdf</w:t>
        </w:r>
      </w:hyperlink>
      <w:r w:rsidR="00EE2E95"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Kothari, C. R. (2017). </w:t>
      </w:r>
      <w:r w:rsidRPr="00403C34">
        <w:rPr>
          <w:rStyle w:val="Emphasis"/>
          <w:rFonts w:ascii="Arial" w:hAnsi="Arial" w:cs="Arial"/>
          <w:color w:val="000000" w:themeColor="text1"/>
          <w:sz w:val="20"/>
        </w:rPr>
        <w:t>Research methodology: Methods and techniques</w:t>
      </w:r>
      <w:r w:rsidRPr="00403C34">
        <w:rPr>
          <w:rFonts w:ascii="Arial" w:hAnsi="Arial" w:cs="Arial"/>
          <w:color w:val="000000" w:themeColor="text1"/>
          <w:sz w:val="20"/>
        </w:rPr>
        <w:t xml:space="preserve"> (3rd ed.). New Delhi: New Age International Publishers.</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Cochran, W. G. (1977). </w:t>
      </w:r>
      <w:r w:rsidRPr="00403C34">
        <w:rPr>
          <w:rStyle w:val="Emphasis"/>
          <w:rFonts w:ascii="Arial" w:hAnsi="Arial" w:cs="Arial"/>
          <w:color w:val="000000" w:themeColor="text1"/>
          <w:sz w:val="20"/>
        </w:rPr>
        <w:t>Sampling techniques</w:t>
      </w:r>
      <w:r w:rsidRPr="00403C34">
        <w:rPr>
          <w:rFonts w:ascii="Arial" w:hAnsi="Arial" w:cs="Arial"/>
          <w:color w:val="000000" w:themeColor="text1"/>
          <w:sz w:val="20"/>
        </w:rPr>
        <w:t xml:space="preserve"> (3rd ed.). New York: John Wiley &amp; Sons.</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Garrett, H. E., &amp; Woodworth, R. S. (1969). </w:t>
      </w:r>
      <w:r w:rsidRPr="00403C34">
        <w:rPr>
          <w:rStyle w:val="Emphasis"/>
          <w:rFonts w:ascii="Arial" w:hAnsi="Arial" w:cs="Arial"/>
          <w:color w:val="000000" w:themeColor="text1"/>
          <w:sz w:val="20"/>
        </w:rPr>
        <w:t>Statistics in psychology and education</w:t>
      </w:r>
      <w:r w:rsidRPr="00403C34">
        <w:rPr>
          <w:rFonts w:ascii="Arial" w:hAnsi="Arial" w:cs="Arial"/>
          <w:color w:val="000000" w:themeColor="text1"/>
          <w:sz w:val="20"/>
        </w:rPr>
        <w:t xml:space="preserve"> (6th ed.). Bombay: </w:t>
      </w:r>
      <w:proofErr w:type="spellStart"/>
      <w:r w:rsidRPr="00403C34">
        <w:rPr>
          <w:rFonts w:ascii="Arial" w:hAnsi="Arial" w:cs="Arial"/>
          <w:color w:val="000000" w:themeColor="text1"/>
          <w:sz w:val="20"/>
        </w:rPr>
        <w:t>Vakils</w:t>
      </w:r>
      <w:proofErr w:type="spellEnd"/>
      <w:r w:rsidRPr="00403C34">
        <w:rPr>
          <w:rFonts w:ascii="Arial" w:hAnsi="Arial" w:cs="Arial"/>
          <w:color w:val="000000" w:themeColor="text1"/>
          <w:sz w:val="20"/>
        </w:rPr>
        <w:t xml:space="preserve">, </w:t>
      </w:r>
      <w:proofErr w:type="spellStart"/>
      <w:r w:rsidRPr="00403C34">
        <w:rPr>
          <w:rFonts w:ascii="Arial" w:hAnsi="Arial" w:cs="Arial"/>
          <w:color w:val="000000" w:themeColor="text1"/>
          <w:sz w:val="20"/>
        </w:rPr>
        <w:t>Feffer</w:t>
      </w:r>
      <w:proofErr w:type="spellEnd"/>
      <w:r w:rsidRPr="00403C34">
        <w:rPr>
          <w:rFonts w:ascii="Arial" w:hAnsi="Arial" w:cs="Arial"/>
          <w:color w:val="000000" w:themeColor="text1"/>
          <w:sz w:val="20"/>
        </w:rPr>
        <w:t xml:space="preserve"> &amp; Simons Ltd.</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Jacob, R. T., </w:t>
      </w:r>
      <w:proofErr w:type="spellStart"/>
      <w:r w:rsidRPr="00403C34">
        <w:rPr>
          <w:rFonts w:ascii="Arial" w:hAnsi="Arial" w:cs="Arial"/>
          <w:color w:val="000000" w:themeColor="text1"/>
          <w:sz w:val="20"/>
        </w:rPr>
        <w:t>Narayanankutty</w:t>
      </w:r>
      <w:proofErr w:type="spellEnd"/>
      <w:r w:rsidRPr="00403C34">
        <w:rPr>
          <w:rFonts w:ascii="Arial" w:hAnsi="Arial" w:cs="Arial"/>
          <w:color w:val="000000" w:themeColor="text1"/>
          <w:sz w:val="20"/>
        </w:rPr>
        <w:t xml:space="preserve">, R., &amp; Rajeev, M. (2021). </w:t>
      </w:r>
      <w:r w:rsidRPr="00403C34">
        <w:rPr>
          <w:rFonts w:ascii="Arial" w:hAnsi="Arial" w:cs="Arial"/>
          <w:i/>
          <w:color w:val="000000" w:themeColor="text1"/>
          <w:sz w:val="20"/>
        </w:rPr>
        <w:t>Financial inclusion and indebtedness: A study of rural households in Kerala</w:t>
      </w:r>
      <w:r w:rsidRPr="00403C34">
        <w:rPr>
          <w:rFonts w:ascii="Arial" w:hAnsi="Arial" w:cs="Arial"/>
          <w:color w:val="000000" w:themeColor="text1"/>
          <w:sz w:val="20"/>
        </w:rPr>
        <w:t xml:space="preserve">. IIM Kozhikode Working Paper Series, WP No. 430/ECO/2021/02. Indian Institute of Management Kozhikode. Retrieved from </w:t>
      </w:r>
      <w:hyperlink r:id="rId24" w:tgtFrame="_new" w:history="1">
        <w:r w:rsidRPr="00403C34">
          <w:rPr>
            <w:rStyle w:val="Hyperlink"/>
            <w:rFonts w:ascii="Arial" w:hAnsi="Arial" w:cs="Arial"/>
            <w:color w:val="000000" w:themeColor="text1"/>
            <w:sz w:val="20"/>
            <w:u w:val="none"/>
          </w:rPr>
          <w:t>https://iimk.ac.in/uploads/publications/33733365IIMK_WPS_430_ECO_202102_Upload.pd</w:t>
        </w:r>
      </w:hyperlink>
      <w:r w:rsidR="00EE2E95"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Kumar, A. G. (2012). Access to credit and technical efficiency in Kerala agriculture. </w:t>
      </w:r>
      <w:r w:rsidRPr="00403C34">
        <w:rPr>
          <w:rFonts w:ascii="Arial" w:hAnsi="Arial" w:cs="Arial"/>
          <w:i/>
          <w:color w:val="000000" w:themeColor="text1"/>
          <w:sz w:val="20"/>
        </w:rPr>
        <w:t>SSRN Working Paper No. 2034487</w:t>
      </w:r>
      <w:r w:rsidRPr="00403C34">
        <w:rPr>
          <w:rFonts w:ascii="Arial" w:hAnsi="Arial" w:cs="Arial"/>
          <w:color w:val="000000" w:themeColor="text1"/>
          <w:sz w:val="20"/>
        </w:rPr>
        <w:t xml:space="preserve">. Social Science Research Network. Retrieved from </w:t>
      </w:r>
      <w:hyperlink r:id="rId25" w:tgtFrame="_new" w:history="1">
        <w:r w:rsidRPr="00403C34">
          <w:rPr>
            <w:rStyle w:val="Hyperlink"/>
            <w:rFonts w:ascii="Arial" w:hAnsi="Arial" w:cs="Arial"/>
            <w:color w:val="000000" w:themeColor="text1"/>
            <w:sz w:val="20"/>
            <w:u w:val="none"/>
          </w:rPr>
          <w:t>https://papers.ssrn.com/sol3/papers.cfm?abstract_id=2034487</w:t>
        </w:r>
      </w:hyperlink>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Fox, T. A., </w:t>
      </w:r>
      <w:proofErr w:type="spellStart"/>
      <w:r w:rsidRPr="00403C34">
        <w:rPr>
          <w:rFonts w:ascii="Arial" w:hAnsi="Arial" w:cs="Arial"/>
          <w:color w:val="000000" w:themeColor="text1"/>
          <w:sz w:val="20"/>
        </w:rPr>
        <w:t>Rhemtulla</w:t>
      </w:r>
      <w:proofErr w:type="spellEnd"/>
      <w:r w:rsidRPr="00403C34">
        <w:rPr>
          <w:rFonts w:ascii="Arial" w:hAnsi="Arial" w:cs="Arial"/>
          <w:color w:val="000000" w:themeColor="text1"/>
          <w:sz w:val="20"/>
        </w:rPr>
        <w:t xml:space="preserve">, J. M., </w:t>
      </w:r>
      <w:proofErr w:type="spellStart"/>
      <w:r w:rsidRPr="00403C34">
        <w:rPr>
          <w:rFonts w:ascii="Arial" w:hAnsi="Arial" w:cs="Arial"/>
          <w:color w:val="000000" w:themeColor="text1"/>
          <w:sz w:val="20"/>
        </w:rPr>
        <w:t>Ramankutty</w:t>
      </w:r>
      <w:proofErr w:type="spellEnd"/>
      <w:r w:rsidRPr="00403C34">
        <w:rPr>
          <w:rFonts w:ascii="Arial" w:hAnsi="Arial" w:cs="Arial"/>
          <w:color w:val="000000" w:themeColor="text1"/>
          <w:sz w:val="20"/>
        </w:rPr>
        <w:t xml:space="preserve">, N., </w:t>
      </w:r>
      <w:proofErr w:type="spellStart"/>
      <w:r w:rsidRPr="00403C34">
        <w:rPr>
          <w:rFonts w:ascii="Arial" w:hAnsi="Arial" w:cs="Arial"/>
          <w:color w:val="000000" w:themeColor="text1"/>
          <w:sz w:val="20"/>
        </w:rPr>
        <w:t>Lesk</w:t>
      </w:r>
      <w:proofErr w:type="spellEnd"/>
      <w:r w:rsidRPr="00403C34">
        <w:rPr>
          <w:rFonts w:ascii="Arial" w:hAnsi="Arial" w:cs="Arial"/>
          <w:color w:val="000000" w:themeColor="text1"/>
          <w:sz w:val="20"/>
        </w:rPr>
        <w:t xml:space="preserve">, C., Coyle, T., &amp; </w:t>
      </w:r>
      <w:proofErr w:type="spellStart"/>
      <w:r w:rsidRPr="00403C34">
        <w:rPr>
          <w:rFonts w:ascii="Arial" w:hAnsi="Arial" w:cs="Arial"/>
          <w:color w:val="000000" w:themeColor="text1"/>
          <w:sz w:val="20"/>
        </w:rPr>
        <w:t>Kunhamu</w:t>
      </w:r>
      <w:proofErr w:type="spellEnd"/>
      <w:r w:rsidRPr="00403C34">
        <w:rPr>
          <w:rFonts w:ascii="Arial" w:hAnsi="Arial" w:cs="Arial"/>
          <w:color w:val="000000" w:themeColor="text1"/>
          <w:sz w:val="20"/>
        </w:rPr>
        <w:t xml:space="preserve">, T. K. (2017). Agricultural land-use change in Kerala, India: Perspectives from above and below the canopy. </w:t>
      </w:r>
      <w:r w:rsidRPr="00403C34">
        <w:rPr>
          <w:rStyle w:val="Emphasis"/>
          <w:rFonts w:ascii="Arial" w:hAnsi="Arial" w:cs="Arial"/>
          <w:color w:val="000000" w:themeColor="text1"/>
          <w:sz w:val="20"/>
        </w:rPr>
        <w:t>Agriculture, Ecosystems &amp; Environment</w:t>
      </w:r>
      <w:r w:rsidRPr="00403C34">
        <w:rPr>
          <w:rFonts w:ascii="Arial" w:hAnsi="Arial" w:cs="Arial"/>
          <w:color w:val="000000" w:themeColor="text1"/>
          <w:sz w:val="20"/>
        </w:rPr>
        <w:t xml:space="preserve">, 245, 1–10. </w:t>
      </w:r>
      <w:hyperlink r:id="rId26" w:tgtFrame="_new" w:history="1">
        <w:r w:rsidRPr="00403C34">
          <w:rPr>
            <w:rStyle w:val="Hyperlink"/>
            <w:rFonts w:ascii="Arial" w:hAnsi="Arial" w:cs="Arial"/>
            <w:color w:val="000000" w:themeColor="text1"/>
            <w:sz w:val="20"/>
            <w:u w:val="none"/>
          </w:rPr>
          <w:t>https://doi.org/10.1016/j.agee.2017.05.002</w:t>
        </w:r>
      </w:hyperlink>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Dev, S. M., &amp; </w:t>
      </w:r>
      <w:proofErr w:type="spellStart"/>
      <w:r w:rsidRPr="00403C34">
        <w:rPr>
          <w:rFonts w:ascii="Arial" w:hAnsi="Arial" w:cs="Arial"/>
          <w:color w:val="000000" w:themeColor="text1"/>
          <w:sz w:val="20"/>
        </w:rPr>
        <w:t>Kadiyala</w:t>
      </w:r>
      <w:proofErr w:type="spellEnd"/>
      <w:r w:rsidRPr="00403C34">
        <w:rPr>
          <w:rFonts w:ascii="Arial" w:hAnsi="Arial" w:cs="Arial"/>
          <w:color w:val="000000" w:themeColor="text1"/>
          <w:sz w:val="20"/>
        </w:rPr>
        <w:t xml:space="preserve">, S. (2019). Agriculture-nutrition linkages and policies in India: Key entry points and policy options for nutrition-sensitive agricultural development. </w:t>
      </w:r>
      <w:r w:rsidRPr="00403C34">
        <w:rPr>
          <w:rStyle w:val="Emphasis"/>
          <w:rFonts w:ascii="Arial" w:hAnsi="Arial" w:cs="Arial"/>
          <w:color w:val="000000" w:themeColor="text1"/>
          <w:sz w:val="20"/>
        </w:rPr>
        <w:t>Gates Open Research</w:t>
      </w:r>
      <w:r w:rsidRPr="00403C34">
        <w:rPr>
          <w:rFonts w:ascii="Arial" w:hAnsi="Arial" w:cs="Arial"/>
          <w:color w:val="000000" w:themeColor="text1"/>
          <w:sz w:val="20"/>
        </w:rPr>
        <w:t>, 3, 897.</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Prasad, G., Reddy, S., &amp; Devi, M. (2020). Knowledge gaps and extension needs in pest management among small farmers. </w:t>
      </w:r>
      <w:r w:rsidRPr="00403C34">
        <w:rPr>
          <w:rStyle w:val="Emphasis"/>
          <w:rFonts w:ascii="Arial" w:hAnsi="Arial" w:cs="Arial"/>
          <w:color w:val="000000" w:themeColor="text1"/>
          <w:sz w:val="20"/>
        </w:rPr>
        <w:t>Indian Research Journal of Extension Education</w:t>
      </w:r>
      <w:r w:rsidRPr="00403C34">
        <w:rPr>
          <w:rFonts w:ascii="Arial" w:hAnsi="Arial" w:cs="Arial"/>
          <w:color w:val="000000" w:themeColor="text1"/>
          <w:sz w:val="20"/>
        </w:rPr>
        <w:t>, 20(2), 75–80.</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03C34">
        <w:rPr>
          <w:rFonts w:ascii="Arial" w:hAnsi="Arial" w:cs="Arial"/>
          <w:color w:val="000000" w:themeColor="text1"/>
          <w:sz w:val="20"/>
        </w:rPr>
        <w:t>Greeshma</w:t>
      </w:r>
      <w:proofErr w:type="spellEnd"/>
      <w:r w:rsidRPr="00403C34">
        <w:rPr>
          <w:rFonts w:ascii="Arial" w:hAnsi="Arial" w:cs="Arial"/>
          <w:color w:val="000000" w:themeColor="text1"/>
          <w:sz w:val="20"/>
        </w:rPr>
        <w:t xml:space="preserve">, P., Jayson, E. A., &amp; Govind, S. K. (2016). The impact of human-wildlife conflict in </w:t>
      </w:r>
      <w:proofErr w:type="spellStart"/>
      <w:r w:rsidRPr="00403C34">
        <w:rPr>
          <w:rFonts w:ascii="Arial" w:hAnsi="Arial" w:cs="Arial"/>
          <w:color w:val="000000" w:themeColor="text1"/>
          <w:sz w:val="20"/>
        </w:rPr>
        <w:t>Peechi-Vazhani</w:t>
      </w:r>
      <w:proofErr w:type="spellEnd"/>
      <w:r w:rsidRPr="00403C34">
        <w:rPr>
          <w:rFonts w:ascii="Arial" w:hAnsi="Arial" w:cs="Arial"/>
          <w:color w:val="000000" w:themeColor="text1"/>
          <w:sz w:val="20"/>
        </w:rPr>
        <w:t xml:space="preserve"> Wildlife Sanctuary, Thrissur, Kerala. </w:t>
      </w:r>
      <w:r w:rsidRPr="00403C34">
        <w:rPr>
          <w:rStyle w:val="Emphasis"/>
          <w:rFonts w:ascii="Arial" w:hAnsi="Arial" w:cs="Arial"/>
          <w:color w:val="000000" w:themeColor="text1"/>
          <w:sz w:val="20"/>
        </w:rPr>
        <w:t>International Research Journal of Natural and Applied Sciences</w:t>
      </w:r>
      <w:r w:rsidRPr="00403C34">
        <w:rPr>
          <w:rFonts w:ascii="Arial" w:hAnsi="Arial" w:cs="Arial"/>
          <w:color w:val="000000" w:themeColor="text1"/>
          <w:sz w:val="20"/>
        </w:rPr>
        <w:t xml:space="preserve">, 3(1), 32–41. Retrieved from </w:t>
      </w:r>
      <w:hyperlink r:id="rId27" w:tgtFrame="_new" w:history="1">
        <w:r w:rsidRPr="00403C34">
          <w:rPr>
            <w:rStyle w:val="Hyperlink"/>
            <w:rFonts w:ascii="Arial" w:hAnsi="Arial" w:cs="Arial"/>
            <w:color w:val="000000" w:themeColor="text1"/>
            <w:sz w:val="20"/>
            <w:u w:val="none"/>
          </w:rPr>
          <w:t>https://www.aarf.asia/current/YBeYaIBJY48dWzQ.pdf</w:t>
        </w:r>
      </w:hyperlink>
      <w:r w:rsidR="004D75F3"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lastRenderedPageBreak/>
        <w:t xml:space="preserve">Beyer, R. M., Krieger, T., &amp; </w:t>
      </w:r>
      <w:proofErr w:type="spellStart"/>
      <w:r w:rsidRPr="00403C34">
        <w:rPr>
          <w:rFonts w:ascii="Arial" w:hAnsi="Arial" w:cs="Arial"/>
          <w:color w:val="000000" w:themeColor="text1"/>
          <w:sz w:val="20"/>
        </w:rPr>
        <w:t>Stöckl</w:t>
      </w:r>
      <w:proofErr w:type="spellEnd"/>
      <w:r w:rsidRPr="00403C34">
        <w:rPr>
          <w:rFonts w:ascii="Arial" w:hAnsi="Arial" w:cs="Arial"/>
          <w:color w:val="000000" w:themeColor="text1"/>
          <w:sz w:val="20"/>
        </w:rPr>
        <w:t xml:space="preserve">, T. (2022). Floods and agricultural productivity: Evidence from Kerala, India. </w:t>
      </w:r>
      <w:r w:rsidRPr="00403C34">
        <w:rPr>
          <w:rStyle w:val="Emphasis"/>
          <w:rFonts w:ascii="Arial" w:hAnsi="Arial" w:cs="Arial"/>
          <w:color w:val="000000" w:themeColor="text1"/>
          <w:sz w:val="20"/>
        </w:rPr>
        <w:t>World Development</w:t>
      </w:r>
      <w:r w:rsidRPr="00403C34">
        <w:rPr>
          <w:rFonts w:ascii="Arial" w:hAnsi="Arial" w:cs="Arial"/>
          <w:color w:val="000000" w:themeColor="text1"/>
          <w:sz w:val="20"/>
        </w:rPr>
        <w:t>, 151, 105743.</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Thomas, A., &amp; </w:t>
      </w:r>
      <w:proofErr w:type="spellStart"/>
      <w:r w:rsidRPr="00403C34">
        <w:rPr>
          <w:rFonts w:ascii="Arial" w:hAnsi="Arial" w:cs="Arial"/>
          <w:color w:val="000000" w:themeColor="text1"/>
          <w:sz w:val="20"/>
        </w:rPr>
        <w:t>Nithish</w:t>
      </w:r>
      <w:proofErr w:type="spellEnd"/>
      <w:r w:rsidRPr="00403C34">
        <w:rPr>
          <w:rFonts w:ascii="Arial" w:hAnsi="Arial" w:cs="Arial"/>
          <w:color w:val="000000" w:themeColor="text1"/>
          <w:sz w:val="20"/>
        </w:rPr>
        <w:t xml:space="preserve"> </w:t>
      </w:r>
      <w:proofErr w:type="spellStart"/>
      <w:r w:rsidRPr="00403C34">
        <w:rPr>
          <w:rFonts w:ascii="Arial" w:hAnsi="Arial" w:cs="Arial"/>
          <w:color w:val="000000" w:themeColor="text1"/>
          <w:sz w:val="20"/>
        </w:rPr>
        <w:t>Babu</w:t>
      </w:r>
      <w:proofErr w:type="spellEnd"/>
      <w:r w:rsidRPr="00403C34">
        <w:rPr>
          <w:rFonts w:ascii="Arial" w:hAnsi="Arial" w:cs="Arial"/>
          <w:color w:val="000000" w:themeColor="text1"/>
          <w:sz w:val="20"/>
        </w:rPr>
        <w:t xml:space="preserve">, M. (2020). Crowdsourcing knowledge: An extension approach for remunerative and sustainable home garden farming systems in Kerala. </w:t>
      </w:r>
      <w:r w:rsidRPr="00403C34">
        <w:rPr>
          <w:rStyle w:val="Emphasis"/>
          <w:rFonts w:ascii="Arial" w:hAnsi="Arial" w:cs="Arial"/>
          <w:color w:val="000000" w:themeColor="text1"/>
          <w:sz w:val="20"/>
        </w:rPr>
        <w:t>Journal of Extension Education</w:t>
      </w:r>
      <w:r w:rsidRPr="00403C34">
        <w:rPr>
          <w:rFonts w:ascii="Arial" w:hAnsi="Arial" w:cs="Arial"/>
          <w:color w:val="000000" w:themeColor="text1"/>
          <w:sz w:val="20"/>
        </w:rPr>
        <w:t>, 32(1), 6429–6440.</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Aslam, A., &amp; Fazal, S. (2025). Exploring the impact of land fragmentation on the performance of agriculture: A systematic review. </w:t>
      </w:r>
      <w:r w:rsidRPr="00403C34">
        <w:rPr>
          <w:rStyle w:val="Emphasis"/>
          <w:rFonts w:ascii="Arial" w:hAnsi="Arial" w:cs="Arial"/>
          <w:color w:val="000000" w:themeColor="text1"/>
          <w:sz w:val="20"/>
        </w:rPr>
        <w:t>Discover Sustainability</w:t>
      </w:r>
      <w:r w:rsidRPr="00403C34">
        <w:rPr>
          <w:rFonts w:ascii="Arial" w:hAnsi="Arial" w:cs="Arial"/>
          <w:color w:val="000000" w:themeColor="text1"/>
          <w:sz w:val="20"/>
        </w:rPr>
        <w:t>, 5, 207.</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Deininger, K., </w:t>
      </w:r>
      <w:proofErr w:type="spellStart"/>
      <w:r w:rsidRPr="00403C34">
        <w:rPr>
          <w:rFonts w:ascii="Arial" w:hAnsi="Arial" w:cs="Arial"/>
          <w:color w:val="000000" w:themeColor="text1"/>
          <w:sz w:val="20"/>
        </w:rPr>
        <w:t>Monchuk</w:t>
      </w:r>
      <w:proofErr w:type="spellEnd"/>
      <w:r w:rsidRPr="00403C34">
        <w:rPr>
          <w:rFonts w:ascii="Arial" w:hAnsi="Arial" w:cs="Arial"/>
          <w:color w:val="000000" w:themeColor="text1"/>
          <w:sz w:val="20"/>
        </w:rPr>
        <w:t xml:space="preserve">, D., Nagarajan, H. K., &amp; Singh, S. K. (2014). </w:t>
      </w:r>
      <w:r w:rsidRPr="00403C34">
        <w:rPr>
          <w:rFonts w:ascii="Arial" w:hAnsi="Arial" w:cs="Arial"/>
          <w:i/>
          <w:color w:val="000000" w:themeColor="text1"/>
          <w:sz w:val="20"/>
        </w:rPr>
        <w:t>Does land fragmentation reduce efficiency? Micro evidence from India</w:t>
      </w:r>
      <w:r w:rsidRPr="00403C34">
        <w:rPr>
          <w:rFonts w:ascii="Arial" w:hAnsi="Arial" w:cs="Arial"/>
          <w:color w:val="000000" w:themeColor="text1"/>
          <w:sz w:val="20"/>
        </w:rPr>
        <w:t>. Policy Research Working Paper 7085, World Bank, Washington, DC.</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Srivastava, S. K., Chand, R., &amp; Singh, J. (2017). Changing crop production cost in India: Input prices, substitution and technological effects. </w:t>
      </w:r>
      <w:r w:rsidRPr="00403C34">
        <w:rPr>
          <w:rStyle w:val="Emphasis"/>
          <w:rFonts w:ascii="Arial" w:hAnsi="Arial" w:cs="Arial"/>
          <w:color w:val="000000" w:themeColor="text1"/>
          <w:sz w:val="20"/>
        </w:rPr>
        <w:t>Agricultural Economics Research Review</w:t>
      </w:r>
      <w:r w:rsidRPr="00403C34">
        <w:rPr>
          <w:rFonts w:ascii="Arial" w:hAnsi="Arial" w:cs="Arial"/>
          <w:color w:val="000000" w:themeColor="text1"/>
          <w:sz w:val="20"/>
        </w:rPr>
        <w:t xml:space="preserve">, 30 (Conference Number), </w:t>
      </w:r>
      <w:r w:rsidRPr="00403C34">
        <w:rPr>
          <w:rFonts w:ascii="Arial" w:hAnsi="Arial" w:cs="Arial"/>
          <w:color w:val="000000" w:themeColor="text1"/>
          <w:sz w:val="20"/>
        </w:rPr>
        <w:t xml:space="preserve">171–182. </w:t>
      </w:r>
      <w:hyperlink r:id="rId28" w:tgtFrame="_new" w:history="1">
        <w:r w:rsidRPr="00403C34">
          <w:rPr>
            <w:rStyle w:val="Hyperlink"/>
            <w:rFonts w:ascii="Arial" w:hAnsi="Arial" w:cs="Arial"/>
            <w:color w:val="000000" w:themeColor="text1"/>
            <w:sz w:val="20"/>
            <w:u w:val="none"/>
          </w:rPr>
          <w:t>https://doi.org/10.5958/0974-0279.2017.00032.5</w:t>
        </w:r>
      </w:hyperlink>
      <w:r w:rsidR="004D75F3" w:rsidRPr="00403C34">
        <w:rPr>
          <w:rFonts w:ascii="Arial" w:hAnsi="Arial" w:cs="Arial"/>
          <w:color w:val="000000" w:themeColor="text1"/>
          <w:sz w:val="20"/>
        </w:rPr>
        <w:t>.</w:t>
      </w:r>
    </w:p>
    <w:p w:rsidR="004707E7" w:rsidRPr="00403C34" w:rsidRDefault="004707E7" w:rsidP="00A5303C">
      <w:pPr>
        <w:pStyle w:val="NormalWeb"/>
        <w:numPr>
          <w:ilvl w:val="0"/>
          <w:numId w:val="35"/>
        </w:numPr>
        <w:spacing w:after="12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FAO. (2020). </w:t>
      </w:r>
      <w:r w:rsidRPr="00403C34">
        <w:rPr>
          <w:rStyle w:val="Emphasis"/>
          <w:rFonts w:ascii="Arial" w:hAnsi="Arial" w:cs="Arial"/>
          <w:color w:val="000000" w:themeColor="text1"/>
          <w:sz w:val="20"/>
        </w:rPr>
        <w:t>The State of Food and Agriculture 2020: Overcoming water challenges in agriculture</w:t>
      </w:r>
      <w:r w:rsidRPr="00403C34">
        <w:rPr>
          <w:rFonts w:ascii="Arial" w:hAnsi="Arial" w:cs="Arial"/>
          <w:color w:val="000000" w:themeColor="text1"/>
          <w:sz w:val="20"/>
        </w:rPr>
        <w:t xml:space="preserve">. Rome: Food and Agriculture Organization of the United Nations. Available from: </w:t>
      </w:r>
      <w:hyperlink r:id="rId29" w:tgtFrame="_new" w:history="1">
        <w:r w:rsidRPr="00403C34">
          <w:rPr>
            <w:rStyle w:val="Hyperlink"/>
            <w:rFonts w:ascii="Arial" w:hAnsi="Arial" w:cs="Arial"/>
            <w:color w:val="000000" w:themeColor="text1"/>
            <w:sz w:val="20"/>
            <w:u w:val="none"/>
          </w:rPr>
          <w:t>https://www.fao.org/publications/sofa/2020/en/</w:t>
        </w:r>
      </w:hyperlink>
      <w:r w:rsidR="004D75F3" w:rsidRPr="00403C34">
        <w:rPr>
          <w:rFonts w:ascii="Arial" w:hAnsi="Arial" w:cs="Arial"/>
          <w:color w:val="000000" w:themeColor="text1"/>
          <w:sz w:val="20"/>
        </w:rPr>
        <w:t>.</w:t>
      </w:r>
    </w:p>
    <w:p w:rsidR="004707E7" w:rsidRPr="00403C34" w:rsidRDefault="004707E7" w:rsidP="002C3508">
      <w:pPr>
        <w:pStyle w:val="NormalWeb"/>
        <w:numPr>
          <w:ilvl w:val="0"/>
          <w:numId w:val="35"/>
        </w:numPr>
        <w:spacing w:after="120" w:afterAutospacing="0"/>
        <w:ind w:left="0" w:right="288" w:hanging="284"/>
        <w:jc w:val="both"/>
        <w:rPr>
          <w:rFonts w:ascii="Arial" w:hAnsi="Arial" w:cs="Arial"/>
          <w:color w:val="000000" w:themeColor="text1"/>
          <w:sz w:val="20"/>
        </w:rPr>
      </w:pPr>
      <w:proofErr w:type="spellStart"/>
      <w:r w:rsidRPr="00403C34">
        <w:rPr>
          <w:rFonts w:ascii="Arial" w:hAnsi="Arial" w:cs="Arial"/>
          <w:color w:val="000000" w:themeColor="text1"/>
          <w:sz w:val="20"/>
        </w:rPr>
        <w:t>Sathyan</w:t>
      </w:r>
      <w:proofErr w:type="spellEnd"/>
      <w:r w:rsidRPr="00403C34">
        <w:rPr>
          <w:rFonts w:ascii="Arial" w:hAnsi="Arial" w:cs="Arial"/>
          <w:color w:val="000000" w:themeColor="text1"/>
          <w:sz w:val="20"/>
        </w:rPr>
        <w:t xml:space="preserve">, A. R., &amp; Prasad, C. S. (2018). Climate vulnerability in rainfed farming: Analysis from southern India including Kerala. </w:t>
      </w:r>
      <w:r w:rsidRPr="00403C34">
        <w:rPr>
          <w:rStyle w:val="Emphasis"/>
          <w:rFonts w:ascii="Arial" w:hAnsi="Arial" w:cs="Arial"/>
          <w:color w:val="000000" w:themeColor="text1"/>
          <w:sz w:val="20"/>
        </w:rPr>
        <w:t>Sustainability</w:t>
      </w:r>
      <w:r w:rsidRPr="00403C34">
        <w:rPr>
          <w:rFonts w:ascii="Arial" w:hAnsi="Arial" w:cs="Arial"/>
          <w:color w:val="000000" w:themeColor="text1"/>
          <w:sz w:val="20"/>
        </w:rPr>
        <w:t>, 10(9), 3357.</w:t>
      </w:r>
    </w:p>
    <w:p w:rsidR="004707E7" w:rsidRPr="00403C34" w:rsidRDefault="004707E7" w:rsidP="00A5303C">
      <w:pPr>
        <w:pStyle w:val="NormalWeb"/>
        <w:numPr>
          <w:ilvl w:val="0"/>
          <w:numId w:val="35"/>
        </w:numPr>
        <w:spacing w:after="240" w:afterAutospacing="0"/>
        <w:ind w:left="0" w:right="288" w:hanging="284"/>
        <w:jc w:val="both"/>
        <w:rPr>
          <w:rFonts w:ascii="Arial" w:hAnsi="Arial" w:cs="Arial"/>
          <w:color w:val="000000" w:themeColor="text1"/>
          <w:sz w:val="20"/>
        </w:rPr>
      </w:pPr>
      <w:r w:rsidRPr="00403C34">
        <w:rPr>
          <w:rFonts w:ascii="Arial" w:hAnsi="Arial" w:cs="Arial"/>
          <w:color w:val="000000" w:themeColor="text1"/>
          <w:sz w:val="20"/>
        </w:rPr>
        <w:t xml:space="preserve">Sharma, R., Mina, U., &amp; Kumar, B. M. (2022). </w:t>
      </w:r>
      <w:proofErr w:type="spellStart"/>
      <w:r w:rsidRPr="00403C34">
        <w:rPr>
          <w:rFonts w:ascii="Arial" w:hAnsi="Arial" w:cs="Arial"/>
          <w:color w:val="000000" w:themeColor="text1"/>
          <w:sz w:val="20"/>
        </w:rPr>
        <w:t>Homegarden</w:t>
      </w:r>
      <w:proofErr w:type="spellEnd"/>
      <w:r w:rsidRPr="00403C34">
        <w:rPr>
          <w:rFonts w:ascii="Arial" w:hAnsi="Arial" w:cs="Arial"/>
          <w:color w:val="000000" w:themeColor="text1"/>
          <w:sz w:val="20"/>
        </w:rPr>
        <w:t xml:space="preserve"> agroforestry systems in achievement of Sustainable Development Goals: A review. </w:t>
      </w:r>
      <w:r w:rsidRPr="00403C34">
        <w:rPr>
          <w:rStyle w:val="Emphasis"/>
          <w:rFonts w:ascii="Arial" w:hAnsi="Arial" w:cs="Arial"/>
          <w:color w:val="000000" w:themeColor="text1"/>
          <w:sz w:val="20"/>
        </w:rPr>
        <w:t>Agronomy for Sustainable Development</w:t>
      </w:r>
      <w:r w:rsidRPr="00403C34">
        <w:rPr>
          <w:rFonts w:ascii="Arial" w:hAnsi="Arial" w:cs="Arial"/>
          <w:color w:val="000000" w:themeColor="text1"/>
          <w:sz w:val="20"/>
        </w:rPr>
        <w:t xml:space="preserve">, 42(3), 44. </w:t>
      </w:r>
      <w:hyperlink r:id="rId30" w:tgtFrame="_new" w:history="1">
        <w:r w:rsidRPr="00403C34">
          <w:rPr>
            <w:rStyle w:val="Hyperlink"/>
            <w:rFonts w:ascii="Arial" w:hAnsi="Arial" w:cs="Arial"/>
            <w:color w:val="000000" w:themeColor="text1"/>
            <w:sz w:val="20"/>
            <w:u w:val="none"/>
          </w:rPr>
          <w:t>https://doi.org/10.1007/s13593-022-00781-9</w:t>
        </w:r>
      </w:hyperlink>
      <w:r w:rsidR="004D75F3" w:rsidRPr="00403C34">
        <w:rPr>
          <w:rFonts w:ascii="Arial" w:hAnsi="Arial" w:cs="Arial"/>
          <w:color w:val="000000" w:themeColor="text1"/>
          <w:sz w:val="20"/>
        </w:rPr>
        <w:t>.</w:t>
      </w:r>
    </w:p>
    <w:p w:rsidR="004707E7" w:rsidRPr="00403C34" w:rsidRDefault="00A5303C" w:rsidP="004D75F3">
      <w:pPr>
        <w:pStyle w:val="NormalWeb"/>
        <w:numPr>
          <w:ilvl w:val="0"/>
          <w:numId w:val="35"/>
        </w:numPr>
        <w:spacing w:after="120" w:afterAutospacing="0"/>
        <w:ind w:left="0" w:right="288" w:hanging="284"/>
        <w:jc w:val="both"/>
        <w:rPr>
          <w:rStyle w:val="Hyperlink"/>
          <w:rFonts w:ascii="Arial" w:hAnsi="Arial" w:cs="Arial"/>
          <w:color w:val="000000" w:themeColor="text1"/>
          <w:sz w:val="20"/>
          <w:u w:val="none"/>
        </w:rPr>
        <w:sectPr w:rsidR="004707E7" w:rsidRPr="00403C34" w:rsidSect="000B0F9F">
          <w:type w:val="continuous"/>
          <w:pgSz w:w="12240" w:h="15840"/>
          <w:pgMar w:top="1440" w:right="1440" w:bottom="1440" w:left="1560" w:header="720" w:footer="720" w:gutter="0"/>
          <w:cols w:num="2" w:space="616"/>
          <w:docGrid w:linePitch="360"/>
        </w:sectPr>
      </w:pPr>
      <w:r w:rsidRPr="00403C34">
        <w:rPr>
          <w:rFonts w:ascii="Arial" w:hAnsi="Arial" w:cs="Arial"/>
          <w:color w:val="000000" w:themeColor="text1"/>
          <w:sz w:val="20"/>
        </w:rPr>
        <w:t xml:space="preserve">WHO. (2020). </w:t>
      </w:r>
      <w:r w:rsidRPr="00403C34">
        <w:rPr>
          <w:rFonts w:ascii="Arial" w:hAnsi="Arial" w:cs="Arial"/>
          <w:i/>
          <w:color w:val="000000" w:themeColor="text1"/>
          <w:sz w:val="20"/>
        </w:rPr>
        <w:t>Healthy diet fact sheet</w:t>
      </w:r>
      <w:r w:rsidRPr="00403C34">
        <w:rPr>
          <w:rFonts w:ascii="Arial" w:hAnsi="Arial" w:cs="Arial"/>
          <w:color w:val="000000" w:themeColor="text1"/>
          <w:sz w:val="20"/>
        </w:rPr>
        <w:t>. World Health Organization. Available from: https://www.who.int/news-room/fact-sheets/detail/healthy-die</w:t>
      </w:r>
      <w:r w:rsidR="004D75F3" w:rsidRPr="00403C34">
        <w:rPr>
          <w:rFonts w:ascii="Arial" w:hAnsi="Arial" w:cs="Arial"/>
          <w:color w:val="000000" w:themeColor="text1"/>
          <w:sz w:val="20"/>
        </w:rPr>
        <w:t>.</w:t>
      </w:r>
    </w:p>
    <w:p w:rsidR="004707E7" w:rsidRPr="00403C34" w:rsidRDefault="004707E7" w:rsidP="00A5303C">
      <w:pPr>
        <w:spacing w:after="120"/>
        <w:ind w:right="288" w:firstLine="1"/>
        <w:jc w:val="both"/>
        <w:rPr>
          <w:rStyle w:val="Hyperlink"/>
          <w:rFonts w:ascii="Arial" w:hAnsi="Arial" w:cs="Arial"/>
          <w:color w:val="000000" w:themeColor="text1"/>
          <w:u w:val="none"/>
        </w:rPr>
      </w:pPr>
    </w:p>
    <w:p w:rsidR="00E13B16" w:rsidRPr="00403C34" w:rsidRDefault="00E13B16" w:rsidP="0082271E">
      <w:pPr>
        <w:pStyle w:val="Appendix"/>
        <w:spacing w:after="120"/>
        <w:ind w:right="288"/>
        <w:jc w:val="both"/>
        <w:rPr>
          <w:rFonts w:ascii="Arial" w:hAnsi="Arial" w:cs="Arial"/>
          <w:b w:val="0"/>
          <w:color w:val="000000" w:themeColor="text1"/>
        </w:rPr>
        <w:sectPr w:rsidR="00E13B16" w:rsidRPr="00403C34" w:rsidSect="000B0F9F">
          <w:type w:val="continuous"/>
          <w:pgSz w:w="12240" w:h="15840"/>
          <w:pgMar w:top="1440" w:right="1440" w:bottom="1440" w:left="1440" w:header="720" w:footer="720" w:gutter="0"/>
          <w:cols w:num="2" w:space="720"/>
          <w:docGrid w:linePitch="360"/>
        </w:sectPr>
      </w:pPr>
    </w:p>
    <w:p w:rsidR="000B0F9F" w:rsidRDefault="000B0F9F" w:rsidP="0082271E">
      <w:pPr>
        <w:pStyle w:val="Appendix"/>
        <w:spacing w:after="0"/>
        <w:ind w:right="288"/>
        <w:jc w:val="both"/>
        <w:rPr>
          <w:rFonts w:ascii="Arial" w:hAnsi="Arial" w:cs="Arial"/>
          <w:b w:val="0"/>
          <w:color w:val="000000" w:themeColor="text1"/>
        </w:rPr>
        <w:sectPr w:rsidR="000B0F9F" w:rsidSect="002A6E4D">
          <w:type w:val="continuous"/>
          <w:pgSz w:w="12240" w:h="15840"/>
          <w:pgMar w:top="1440" w:right="1440" w:bottom="1440" w:left="1440" w:header="720" w:footer="720" w:gutter="0"/>
          <w:cols w:space="720"/>
          <w:docGrid w:linePitch="360"/>
        </w:sectPr>
      </w:pPr>
    </w:p>
    <w:p w:rsidR="00B01FCD" w:rsidRPr="00403C34" w:rsidRDefault="00B01FCD" w:rsidP="0082271E">
      <w:pPr>
        <w:pStyle w:val="Appendix"/>
        <w:spacing w:after="0"/>
        <w:ind w:right="288"/>
        <w:jc w:val="both"/>
        <w:rPr>
          <w:rFonts w:ascii="Arial" w:hAnsi="Arial" w:cs="Arial"/>
          <w:b w:val="0"/>
          <w:color w:val="000000" w:themeColor="text1"/>
        </w:rPr>
      </w:pPr>
    </w:p>
    <w:sectPr w:rsidR="00B01FCD" w:rsidRPr="00403C34" w:rsidSect="002A6E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667" w:rsidRDefault="00017667" w:rsidP="00C37E61">
      <w:r>
        <w:separator/>
      </w:r>
    </w:p>
  </w:endnote>
  <w:endnote w:type="continuationSeparator" w:id="0">
    <w:p w:rsidR="00017667" w:rsidRDefault="000176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Default="00D63800">
    <w:pPr>
      <w:pStyle w:val="Footer"/>
      <w:rPr>
        <w:rFonts w:ascii="Arial" w:hAnsi="Arial" w:cs="Arial"/>
        <w:sz w:val="16"/>
      </w:rPr>
    </w:pPr>
  </w:p>
  <w:p w:rsidR="00D63800" w:rsidRDefault="00D6380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63800" w:rsidRDefault="00D63800">
    <w:pPr>
      <w:pStyle w:val="Footer"/>
      <w:rPr>
        <w:rFonts w:ascii="Arial" w:hAnsi="Arial"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Pr="00C37E61" w:rsidRDefault="00D63800"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667" w:rsidRDefault="00017667" w:rsidP="00C37E61">
      <w:r>
        <w:separator/>
      </w:r>
    </w:p>
  </w:footnote>
  <w:footnote w:type="continuationSeparator" w:id="0">
    <w:p w:rsidR="00017667" w:rsidRDefault="00017667"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Default="00D63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1" o:spid="_x0000_s2050" type="#_x0000_t136" style="position:absolute;margin-left:0;margin-top:0;width:586.15pt;height:65.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Default="00D63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2" o:spid="_x0000_s2051" type="#_x0000_t136" style="position:absolute;margin-left:0;margin-top:0;width:586.15pt;height:65.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Pr="00296529" w:rsidRDefault="00D63800"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0" o:spid="_x0000_s2049" type="#_x0000_t136" style="position:absolute;left:0;text-align:left;margin-left:0;margin-top:0;width:586.15pt;height:65.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63800" w:rsidRPr="00296529" w:rsidRDefault="00D6380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63800" w:rsidRPr="00296529" w:rsidRDefault="00D63800" w:rsidP="00296529">
    <w:pPr>
      <w:jc w:val="center"/>
      <w:rPr>
        <w:rFonts w:ascii="Times New Roman" w:eastAsia="Calibri" w:hAnsi="Times New Roman"/>
        <w:i/>
        <w:sz w:val="18"/>
        <w:szCs w:val="22"/>
      </w:rPr>
    </w:pPr>
    <w:r>
      <w:rPr>
        <w:rFonts w:ascii="Times New Roman" w:eastAsia="Calibri" w:hAnsi="Times New Roman"/>
        <w:i/>
        <w:sz w:val="18"/>
        <w:szCs w:val="22"/>
      </w:rPr>
      <w:t>.</w:t>
    </w:r>
  </w:p>
  <w:p w:rsidR="00D63800" w:rsidRPr="00296529" w:rsidRDefault="00D6380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63800" w:rsidRDefault="00D6380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63800" w:rsidRDefault="00D6380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63800" w:rsidRDefault="00D6380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Default="00D63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4" o:spid="_x0000_s2053" type="#_x0000_t136" style="position:absolute;margin-left:0;margin-top:0;width:586.15pt;height:65.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Default="00D63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5" o:spid="_x0000_s2054" type="#_x0000_t136" style="position:absolute;margin-left:0;margin-top:0;width:586.15pt;height:65.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800" w:rsidRDefault="00D638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810143" o:spid="_x0000_s2052" type="#_x0000_t136" style="position:absolute;margin-left:0;margin-top:0;width:586.15pt;height:65.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9F5E17"/>
    <w:multiLevelType w:val="hybridMultilevel"/>
    <w:tmpl w:val="3F5AF476"/>
    <w:lvl w:ilvl="0" w:tplc="305C9B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C417FC"/>
    <w:multiLevelType w:val="hybridMultilevel"/>
    <w:tmpl w:val="8EA60182"/>
    <w:lvl w:ilvl="0" w:tplc="9D50B094">
      <w:start w:val="46"/>
      <w:numFmt w:val="bullet"/>
      <w:lvlText w:val=""/>
      <w:lvlJc w:val="left"/>
      <w:pPr>
        <w:ind w:left="-774" w:hanging="360"/>
      </w:pPr>
      <w:rPr>
        <w:rFonts w:ascii="Symbol" w:eastAsia="Times New Roman" w:hAnsi="Symbol" w:cs="Arial" w:hint="default"/>
      </w:rPr>
    </w:lvl>
    <w:lvl w:ilvl="1" w:tplc="40090003" w:tentative="1">
      <w:start w:val="1"/>
      <w:numFmt w:val="bullet"/>
      <w:lvlText w:val="o"/>
      <w:lvlJc w:val="left"/>
      <w:pPr>
        <w:ind w:left="-54" w:hanging="360"/>
      </w:pPr>
      <w:rPr>
        <w:rFonts w:ascii="Courier New" w:hAnsi="Courier New" w:cs="Courier New" w:hint="default"/>
      </w:rPr>
    </w:lvl>
    <w:lvl w:ilvl="2" w:tplc="40090005" w:tentative="1">
      <w:start w:val="1"/>
      <w:numFmt w:val="bullet"/>
      <w:lvlText w:val=""/>
      <w:lvlJc w:val="left"/>
      <w:pPr>
        <w:ind w:left="666" w:hanging="360"/>
      </w:pPr>
      <w:rPr>
        <w:rFonts w:ascii="Wingdings" w:hAnsi="Wingdings" w:hint="default"/>
      </w:rPr>
    </w:lvl>
    <w:lvl w:ilvl="3" w:tplc="40090001" w:tentative="1">
      <w:start w:val="1"/>
      <w:numFmt w:val="bullet"/>
      <w:lvlText w:val=""/>
      <w:lvlJc w:val="left"/>
      <w:pPr>
        <w:ind w:left="1386" w:hanging="360"/>
      </w:pPr>
      <w:rPr>
        <w:rFonts w:ascii="Symbol" w:hAnsi="Symbol" w:hint="default"/>
      </w:rPr>
    </w:lvl>
    <w:lvl w:ilvl="4" w:tplc="40090003" w:tentative="1">
      <w:start w:val="1"/>
      <w:numFmt w:val="bullet"/>
      <w:lvlText w:val="o"/>
      <w:lvlJc w:val="left"/>
      <w:pPr>
        <w:ind w:left="2106" w:hanging="360"/>
      </w:pPr>
      <w:rPr>
        <w:rFonts w:ascii="Courier New" w:hAnsi="Courier New" w:cs="Courier New" w:hint="default"/>
      </w:rPr>
    </w:lvl>
    <w:lvl w:ilvl="5" w:tplc="40090005" w:tentative="1">
      <w:start w:val="1"/>
      <w:numFmt w:val="bullet"/>
      <w:lvlText w:val=""/>
      <w:lvlJc w:val="left"/>
      <w:pPr>
        <w:ind w:left="2826" w:hanging="360"/>
      </w:pPr>
      <w:rPr>
        <w:rFonts w:ascii="Wingdings" w:hAnsi="Wingdings" w:hint="default"/>
      </w:rPr>
    </w:lvl>
    <w:lvl w:ilvl="6" w:tplc="40090001" w:tentative="1">
      <w:start w:val="1"/>
      <w:numFmt w:val="bullet"/>
      <w:lvlText w:val=""/>
      <w:lvlJc w:val="left"/>
      <w:pPr>
        <w:ind w:left="3546" w:hanging="360"/>
      </w:pPr>
      <w:rPr>
        <w:rFonts w:ascii="Symbol" w:hAnsi="Symbol" w:hint="default"/>
      </w:rPr>
    </w:lvl>
    <w:lvl w:ilvl="7" w:tplc="40090003" w:tentative="1">
      <w:start w:val="1"/>
      <w:numFmt w:val="bullet"/>
      <w:lvlText w:val="o"/>
      <w:lvlJc w:val="left"/>
      <w:pPr>
        <w:ind w:left="4266" w:hanging="360"/>
      </w:pPr>
      <w:rPr>
        <w:rFonts w:ascii="Courier New" w:hAnsi="Courier New" w:cs="Courier New" w:hint="default"/>
      </w:rPr>
    </w:lvl>
    <w:lvl w:ilvl="8" w:tplc="40090005" w:tentative="1">
      <w:start w:val="1"/>
      <w:numFmt w:val="bullet"/>
      <w:lvlText w:val=""/>
      <w:lvlJc w:val="left"/>
      <w:pPr>
        <w:ind w:left="4986"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506222"/>
    <w:multiLevelType w:val="hybridMultilevel"/>
    <w:tmpl w:val="EB4A27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DB4AB0"/>
    <w:multiLevelType w:val="hybridMultilevel"/>
    <w:tmpl w:val="EF96F1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699106F"/>
    <w:multiLevelType w:val="hybridMultilevel"/>
    <w:tmpl w:val="641876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84708F2"/>
    <w:multiLevelType w:val="hybridMultilevel"/>
    <w:tmpl w:val="ED3CDDE4"/>
    <w:lvl w:ilvl="0" w:tplc="71D46430">
      <w:start w:val="46"/>
      <w:numFmt w:val="bullet"/>
      <w:lvlText w:val=""/>
      <w:lvlJc w:val="left"/>
      <w:pPr>
        <w:ind w:left="-414" w:hanging="360"/>
      </w:pPr>
      <w:rPr>
        <w:rFonts w:ascii="Symbol" w:eastAsia="Times New Roman" w:hAnsi="Symbol" w:cs="Arial" w:hint="default"/>
      </w:rPr>
    </w:lvl>
    <w:lvl w:ilvl="1" w:tplc="40090003" w:tentative="1">
      <w:start w:val="1"/>
      <w:numFmt w:val="bullet"/>
      <w:lvlText w:val="o"/>
      <w:lvlJc w:val="left"/>
      <w:pPr>
        <w:ind w:left="306" w:hanging="360"/>
      </w:pPr>
      <w:rPr>
        <w:rFonts w:ascii="Courier New" w:hAnsi="Courier New" w:cs="Courier New" w:hint="default"/>
      </w:rPr>
    </w:lvl>
    <w:lvl w:ilvl="2" w:tplc="40090005" w:tentative="1">
      <w:start w:val="1"/>
      <w:numFmt w:val="bullet"/>
      <w:lvlText w:val=""/>
      <w:lvlJc w:val="left"/>
      <w:pPr>
        <w:ind w:left="1026" w:hanging="360"/>
      </w:pPr>
      <w:rPr>
        <w:rFonts w:ascii="Wingdings" w:hAnsi="Wingdings" w:hint="default"/>
      </w:rPr>
    </w:lvl>
    <w:lvl w:ilvl="3" w:tplc="40090001" w:tentative="1">
      <w:start w:val="1"/>
      <w:numFmt w:val="bullet"/>
      <w:lvlText w:val=""/>
      <w:lvlJc w:val="left"/>
      <w:pPr>
        <w:ind w:left="1746" w:hanging="360"/>
      </w:pPr>
      <w:rPr>
        <w:rFonts w:ascii="Symbol" w:hAnsi="Symbol" w:hint="default"/>
      </w:rPr>
    </w:lvl>
    <w:lvl w:ilvl="4" w:tplc="40090003" w:tentative="1">
      <w:start w:val="1"/>
      <w:numFmt w:val="bullet"/>
      <w:lvlText w:val="o"/>
      <w:lvlJc w:val="left"/>
      <w:pPr>
        <w:ind w:left="2466" w:hanging="360"/>
      </w:pPr>
      <w:rPr>
        <w:rFonts w:ascii="Courier New" w:hAnsi="Courier New" w:cs="Courier New" w:hint="default"/>
      </w:rPr>
    </w:lvl>
    <w:lvl w:ilvl="5" w:tplc="40090005" w:tentative="1">
      <w:start w:val="1"/>
      <w:numFmt w:val="bullet"/>
      <w:lvlText w:val=""/>
      <w:lvlJc w:val="left"/>
      <w:pPr>
        <w:ind w:left="3186" w:hanging="360"/>
      </w:pPr>
      <w:rPr>
        <w:rFonts w:ascii="Wingdings" w:hAnsi="Wingdings" w:hint="default"/>
      </w:rPr>
    </w:lvl>
    <w:lvl w:ilvl="6" w:tplc="40090001" w:tentative="1">
      <w:start w:val="1"/>
      <w:numFmt w:val="bullet"/>
      <w:lvlText w:val=""/>
      <w:lvlJc w:val="left"/>
      <w:pPr>
        <w:ind w:left="3906" w:hanging="360"/>
      </w:pPr>
      <w:rPr>
        <w:rFonts w:ascii="Symbol" w:hAnsi="Symbol" w:hint="default"/>
      </w:rPr>
    </w:lvl>
    <w:lvl w:ilvl="7" w:tplc="40090003" w:tentative="1">
      <w:start w:val="1"/>
      <w:numFmt w:val="bullet"/>
      <w:lvlText w:val="o"/>
      <w:lvlJc w:val="left"/>
      <w:pPr>
        <w:ind w:left="4626" w:hanging="360"/>
      </w:pPr>
      <w:rPr>
        <w:rFonts w:ascii="Courier New" w:hAnsi="Courier New" w:cs="Courier New" w:hint="default"/>
      </w:rPr>
    </w:lvl>
    <w:lvl w:ilvl="8" w:tplc="40090005" w:tentative="1">
      <w:start w:val="1"/>
      <w:numFmt w:val="bullet"/>
      <w:lvlText w:val=""/>
      <w:lvlJc w:val="left"/>
      <w:pPr>
        <w:ind w:left="5346" w:hanging="360"/>
      </w:pPr>
      <w:rPr>
        <w:rFonts w:ascii="Wingdings" w:hAnsi="Wingdings" w:hint="default"/>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4"/>
  </w:num>
  <w:num w:numId="20">
    <w:abstractNumId w:val="12"/>
  </w:num>
  <w:num w:numId="21">
    <w:abstractNumId w:val="10"/>
  </w:num>
  <w:num w:numId="22">
    <w:abstractNumId w:val="14"/>
  </w:num>
  <w:num w:numId="23">
    <w:abstractNumId w:val="20"/>
  </w:num>
  <w:num w:numId="24">
    <w:abstractNumId w:val="32"/>
  </w:num>
  <w:num w:numId="25">
    <w:abstractNumId w:val="4"/>
  </w:num>
  <w:num w:numId="26">
    <w:abstractNumId w:val="17"/>
  </w:num>
  <w:num w:numId="27">
    <w:abstractNumId w:val="21"/>
  </w:num>
  <w:num w:numId="28">
    <w:abstractNumId w:val="33"/>
  </w:num>
  <w:num w:numId="29">
    <w:abstractNumId w:val="29"/>
  </w:num>
  <w:num w:numId="30">
    <w:abstractNumId w:val="11"/>
  </w:num>
  <w:num w:numId="31">
    <w:abstractNumId w:val="25"/>
  </w:num>
  <w:num w:numId="32">
    <w:abstractNumId w:val="22"/>
  </w:num>
  <w:num w:numId="33">
    <w:abstractNumId w:val="31"/>
  </w:num>
  <w:num w:numId="34">
    <w:abstractNumId w:val="28"/>
  </w:num>
  <w:num w:numId="35">
    <w:abstractNumId w:val="2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7667"/>
    <w:rsid w:val="00030174"/>
    <w:rsid w:val="0004579C"/>
    <w:rsid w:val="000A05BB"/>
    <w:rsid w:val="000A47FA"/>
    <w:rsid w:val="000A65D3"/>
    <w:rsid w:val="000B0E74"/>
    <w:rsid w:val="000B0F9F"/>
    <w:rsid w:val="000B1E33"/>
    <w:rsid w:val="000D3477"/>
    <w:rsid w:val="000D3D38"/>
    <w:rsid w:val="000D689F"/>
    <w:rsid w:val="000E7B7B"/>
    <w:rsid w:val="000E7D62"/>
    <w:rsid w:val="000F1BF1"/>
    <w:rsid w:val="00103357"/>
    <w:rsid w:val="00123C9F"/>
    <w:rsid w:val="00126190"/>
    <w:rsid w:val="00130F17"/>
    <w:rsid w:val="001320BF"/>
    <w:rsid w:val="001439A5"/>
    <w:rsid w:val="0015466A"/>
    <w:rsid w:val="00155DF8"/>
    <w:rsid w:val="00163BC4"/>
    <w:rsid w:val="0016567B"/>
    <w:rsid w:val="00171101"/>
    <w:rsid w:val="00191062"/>
    <w:rsid w:val="00192B72"/>
    <w:rsid w:val="001A29D8"/>
    <w:rsid w:val="001A5CAA"/>
    <w:rsid w:val="001B0427"/>
    <w:rsid w:val="001D3A51"/>
    <w:rsid w:val="001E10D2"/>
    <w:rsid w:val="001E25B4"/>
    <w:rsid w:val="001E2949"/>
    <w:rsid w:val="001E44FE"/>
    <w:rsid w:val="001F5A75"/>
    <w:rsid w:val="00200595"/>
    <w:rsid w:val="00204835"/>
    <w:rsid w:val="00212DDB"/>
    <w:rsid w:val="00231846"/>
    <w:rsid w:val="00231920"/>
    <w:rsid w:val="0023195C"/>
    <w:rsid w:val="00231E86"/>
    <w:rsid w:val="0024282C"/>
    <w:rsid w:val="002460DC"/>
    <w:rsid w:val="00250985"/>
    <w:rsid w:val="00252A09"/>
    <w:rsid w:val="002556F6"/>
    <w:rsid w:val="00256FCC"/>
    <w:rsid w:val="002636CA"/>
    <w:rsid w:val="00272E2E"/>
    <w:rsid w:val="00283105"/>
    <w:rsid w:val="00284C4C"/>
    <w:rsid w:val="00287E68"/>
    <w:rsid w:val="00295ACE"/>
    <w:rsid w:val="00296529"/>
    <w:rsid w:val="002A4E7D"/>
    <w:rsid w:val="002A6E4D"/>
    <w:rsid w:val="002B27FB"/>
    <w:rsid w:val="002B685A"/>
    <w:rsid w:val="002C0587"/>
    <w:rsid w:val="002C1F1C"/>
    <w:rsid w:val="002C3508"/>
    <w:rsid w:val="002C371B"/>
    <w:rsid w:val="002C57D2"/>
    <w:rsid w:val="002E0D56"/>
    <w:rsid w:val="002E1277"/>
    <w:rsid w:val="002E2665"/>
    <w:rsid w:val="002F2CB7"/>
    <w:rsid w:val="00315186"/>
    <w:rsid w:val="0033343E"/>
    <w:rsid w:val="00335799"/>
    <w:rsid w:val="00350EA3"/>
    <w:rsid w:val="003512C2"/>
    <w:rsid w:val="00355CAF"/>
    <w:rsid w:val="0036007A"/>
    <w:rsid w:val="00371FB6"/>
    <w:rsid w:val="003763C1"/>
    <w:rsid w:val="00376BBE"/>
    <w:rsid w:val="0039224F"/>
    <w:rsid w:val="00393D7A"/>
    <w:rsid w:val="003A43A4"/>
    <w:rsid w:val="003A7E18"/>
    <w:rsid w:val="003C4C86"/>
    <w:rsid w:val="003C6258"/>
    <w:rsid w:val="003D3350"/>
    <w:rsid w:val="003E045E"/>
    <w:rsid w:val="003E2904"/>
    <w:rsid w:val="003F3CEE"/>
    <w:rsid w:val="00401927"/>
    <w:rsid w:val="00402FA1"/>
    <w:rsid w:val="00403C34"/>
    <w:rsid w:val="0041027F"/>
    <w:rsid w:val="00412475"/>
    <w:rsid w:val="004216B6"/>
    <w:rsid w:val="00423789"/>
    <w:rsid w:val="00435ED4"/>
    <w:rsid w:val="00440F43"/>
    <w:rsid w:val="00441B6F"/>
    <w:rsid w:val="00446221"/>
    <w:rsid w:val="00450E62"/>
    <w:rsid w:val="00451C94"/>
    <w:rsid w:val="004539DB"/>
    <w:rsid w:val="00462FC7"/>
    <w:rsid w:val="004704E0"/>
    <w:rsid w:val="004707E7"/>
    <w:rsid w:val="00471A80"/>
    <w:rsid w:val="00477147"/>
    <w:rsid w:val="00493BD6"/>
    <w:rsid w:val="004D305E"/>
    <w:rsid w:val="004D4277"/>
    <w:rsid w:val="004D75F3"/>
    <w:rsid w:val="00502516"/>
    <w:rsid w:val="00505F06"/>
    <w:rsid w:val="00506828"/>
    <w:rsid w:val="00517D43"/>
    <w:rsid w:val="0052153A"/>
    <w:rsid w:val="0053056E"/>
    <w:rsid w:val="00536D85"/>
    <w:rsid w:val="00554FDA"/>
    <w:rsid w:val="00591445"/>
    <w:rsid w:val="005B539D"/>
    <w:rsid w:val="005C137E"/>
    <w:rsid w:val="005C784C"/>
    <w:rsid w:val="005D17F6"/>
    <w:rsid w:val="005E1412"/>
    <w:rsid w:val="005E5539"/>
    <w:rsid w:val="005E731C"/>
    <w:rsid w:val="00602BF5"/>
    <w:rsid w:val="006104BB"/>
    <w:rsid w:val="00617FDD"/>
    <w:rsid w:val="00621BAB"/>
    <w:rsid w:val="00633614"/>
    <w:rsid w:val="00633F68"/>
    <w:rsid w:val="00636EB2"/>
    <w:rsid w:val="006375B8"/>
    <w:rsid w:val="0064769C"/>
    <w:rsid w:val="0066510A"/>
    <w:rsid w:val="00667CA3"/>
    <w:rsid w:val="00673F9F"/>
    <w:rsid w:val="00686953"/>
    <w:rsid w:val="00687DEA"/>
    <w:rsid w:val="00687E67"/>
    <w:rsid w:val="006967F7"/>
    <w:rsid w:val="006A250C"/>
    <w:rsid w:val="006A5ABB"/>
    <w:rsid w:val="006B21D3"/>
    <w:rsid w:val="006B57D0"/>
    <w:rsid w:val="006C5754"/>
    <w:rsid w:val="006D30FF"/>
    <w:rsid w:val="006D6940"/>
    <w:rsid w:val="006D71C2"/>
    <w:rsid w:val="006F11EC"/>
    <w:rsid w:val="0070082C"/>
    <w:rsid w:val="0071698C"/>
    <w:rsid w:val="00723B60"/>
    <w:rsid w:val="007369E6"/>
    <w:rsid w:val="00746E59"/>
    <w:rsid w:val="00754C9A"/>
    <w:rsid w:val="0075599A"/>
    <w:rsid w:val="00761D52"/>
    <w:rsid w:val="007709A6"/>
    <w:rsid w:val="00776782"/>
    <w:rsid w:val="0077749E"/>
    <w:rsid w:val="00790ADA"/>
    <w:rsid w:val="00793D1B"/>
    <w:rsid w:val="00794385"/>
    <w:rsid w:val="007A1CD8"/>
    <w:rsid w:val="007A539F"/>
    <w:rsid w:val="007C248D"/>
    <w:rsid w:val="007C573B"/>
    <w:rsid w:val="007D2288"/>
    <w:rsid w:val="007E088F"/>
    <w:rsid w:val="007F7B32"/>
    <w:rsid w:val="00804BC2"/>
    <w:rsid w:val="0081431A"/>
    <w:rsid w:val="0082271E"/>
    <w:rsid w:val="0083216F"/>
    <w:rsid w:val="008330CA"/>
    <w:rsid w:val="0083636C"/>
    <w:rsid w:val="0084265F"/>
    <w:rsid w:val="00856118"/>
    <w:rsid w:val="00860000"/>
    <w:rsid w:val="00863BD3"/>
    <w:rsid w:val="008641ED"/>
    <w:rsid w:val="00866D66"/>
    <w:rsid w:val="008671C6"/>
    <w:rsid w:val="0087550A"/>
    <w:rsid w:val="00875803"/>
    <w:rsid w:val="008A1F80"/>
    <w:rsid w:val="008A543B"/>
    <w:rsid w:val="008B459E"/>
    <w:rsid w:val="008D1E88"/>
    <w:rsid w:val="008E13AE"/>
    <w:rsid w:val="008E1506"/>
    <w:rsid w:val="008E38D5"/>
    <w:rsid w:val="008E710C"/>
    <w:rsid w:val="008F2B7B"/>
    <w:rsid w:val="008F69D6"/>
    <w:rsid w:val="00902823"/>
    <w:rsid w:val="00910119"/>
    <w:rsid w:val="00915CA6"/>
    <w:rsid w:val="00920095"/>
    <w:rsid w:val="00927834"/>
    <w:rsid w:val="009500A6"/>
    <w:rsid w:val="009505EE"/>
    <w:rsid w:val="0095353F"/>
    <w:rsid w:val="00957038"/>
    <w:rsid w:val="00957C18"/>
    <w:rsid w:val="009643CD"/>
    <w:rsid w:val="009659BA"/>
    <w:rsid w:val="00983040"/>
    <w:rsid w:val="00985CE9"/>
    <w:rsid w:val="009959A7"/>
    <w:rsid w:val="009B3FB9"/>
    <w:rsid w:val="009C069D"/>
    <w:rsid w:val="009C2465"/>
    <w:rsid w:val="009D35A0"/>
    <w:rsid w:val="009D7EB7"/>
    <w:rsid w:val="009E048A"/>
    <w:rsid w:val="009E08E9"/>
    <w:rsid w:val="009E3185"/>
    <w:rsid w:val="009E3DB9"/>
    <w:rsid w:val="009E6E35"/>
    <w:rsid w:val="009F0EDA"/>
    <w:rsid w:val="00A03B96"/>
    <w:rsid w:val="00A05B19"/>
    <w:rsid w:val="00A1134E"/>
    <w:rsid w:val="00A15757"/>
    <w:rsid w:val="00A17BBE"/>
    <w:rsid w:val="00A24E7E"/>
    <w:rsid w:val="00A258C3"/>
    <w:rsid w:val="00A347C0"/>
    <w:rsid w:val="00A51431"/>
    <w:rsid w:val="00A5303C"/>
    <w:rsid w:val="00A539AD"/>
    <w:rsid w:val="00A94063"/>
    <w:rsid w:val="00A979BE"/>
    <w:rsid w:val="00AA219A"/>
    <w:rsid w:val="00AA6219"/>
    <w:rsid w:val="00AA74E0"/>
    <w:rsid w:val="00AB703F"/>
    <w:rsid w:val="00AC2BE5"/>
    <w:rsid w:val="00AC6BB8"/>
    <w:rsid w:val="00AD461E"/>
    <w:rsid w:val="00AD5FD8"/>
    <w:rsid w:val="00AE008F"/>
    <w:rsid w:val="00B01FCD"/>
    <w:rsid w:val="00B1776C"/>
    <w:rsid w:val="00B52583"/>
    <w:rsid w:val="00B52896"/>
    <w:rsid w:val="00B61054"/>
    <w:rsid w:val="00B61375"/>
    <w:rsid w:val="00B615D3"/>
    <w:rsid w:val="00B73930"/>
    <w:rsid w:val="00B75A2D"/>
    <w:rsid w:val="00B877CE"/>
    <w:rsid w:val="00B95236"/>
    <w:rsid w:val="00B96BD9"/>
    <w:rsid w:val="00BA1B01"/>
    <w:rsid w:val="00BA2641"/>
    <w:rsid w:val="00BB37AA"/>
    <w:rsid w:val="00BC53A0"/>
    <w:rsid w:val="00BD03E9"/>
    <w:rsid w:val="00BD3421"/>
    <w:rsid w:val="00BE62AD"/>
    <w:rsid w:val="00BF121F"/>
    <w:rsid w:val="00BF1F80"/>
    <w:rsid w:val="00BF44B5"/>
    <w:rsid w:val="00C166EF"/>
    <w:rsid w:val="00C17EB0"/>
    <w:rsid w:val="00C22804"/>
    <w:rsid w:val="00C23CA9"/>
    <w:rsid w:val="00C274B4"/>
    <w:rsid w:val="00C27F5F"/>
    <w:rsid w:val="00C30A0F"/>
    <w:rsid w:val="00C37E61"/>
    <w:rsid w:val="00C70F1B"/>
    <w:rsid w:val="00C71A47"/>
    <w:rsid w:val="00C7464C"/>
    <w:rsid w:val="00C85588"/>
    <w:rsid w:val="00C969AD"/>
    <w:rsid w:val="00CB2174"/>
    <w:rsid w:val="00CD6755"/>
    <w:rsid w:val="00CD6856"/>
    <w:rsid w:val="00CE0089"/>
    <w:rsid w:val="00CE793C"/>
    <w:rsid w:val="00CF193C"/>
    <w:rsid w:val="00D173F1"/>
    <w:rsid w:val="00D35211"/>
    <w:rsid w:val="00D4215E"/>
    <w:rsid w:val="00D63800"/>
    <w:rsid w:val="00D64AE8"/>
    <w:rsid w:val="00D74CB0"/>
    <w:rsid w:val="00D8295D"/>
    <w:rsid w:val="00DA3A70"/>
    <w:rsid w:val="00DC2A65"/>
    <w:rsid w:val="00DD5EC2"/>
    <w:rsid w:val="00DE15F0"/>
    <w:rsid w:val="00DE5663"/>
    <w:rsid w:val="00DE78AA"/>
    <w:rsid w:val="00E053D0"/>
    <w:rsid w:val="00E13B16"/>
    <w:rsid w:val="00E15994"/>
    <w:rsid w:val="00E3114E"/>
    <w:rsid w:val="00E31A70"/>
    <w:rsid w:val="00E35B02"/>
    <w:rsid w:val="00E66496"/>
    <w:rsid w:val="00E66B35"/>
    <w:rsid w:val="00E66E10"/>
    <w:rsid w:val="00E66FCA"/>
    <w:rsid w:val="00E769F6"/>
    <w:rsid w:val="00E77097"/>
    <w:rsid w:val="00E8407C"/>
    <w:rsid w:val="00E84F3C"/>
    <w:rsid w:val="00E92C57"/>
    <w:rsid w:val="00E946A7"/>
    <w:rsid w:val="00EA012C"/>
    <w:rsid w:val="00EB2DAD"/>
    <w:rsid w:val="00EC6A55"/>
    <w:rsid w:val="00ED0288"/>
    <w:rsid w:val="00EE2E95"/>
    <w:rsid w:val="00EE52CB"/>
    <w:rsid w:val="00EF581D"/>
    <w:rsid w:val="00EF7FD8"/>
    <w:rsid w:val="00F06F59"/>
    <w:rsid w:val="00F17988"/>
    <w:rsid w:val="00F21A33"/>
    <w:rsid w:val="00F319E9"/>
    <w:rsid w:val="00F43E11"/>
    <w:rsid w:val="00F469F0"/>
    <w:rsid w:val="00F53273"/>
    <w:rsid w:val="00F538B6"/>
    <w:rsid w:val="00F755E4"/>
    <w:rsid w:val="00F77D02"/>
    <w:rsid w:val="00F9683A"/>
    <w:rsid w:val="00FB2978"/>
    <w:rsid w:val="00FB3A86"/>
    <w:rsid w:val="00FD36C8"/>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76782"/>
    <w:pPr>
      <w:spacing w:before="100" w:beforeAutospacing="1" w:after="100" w:afterAutospacing="1"/>
    </w:pPr>
    <w:rPr>
      <w:rFonts w:ascii="Times New Roman" w:hAnsi="Times New Roman"/>
      <w:sz w:val="24"/>
      <w:szCs w:val="24"/>
      <w:lang w:val="en-IN" w:eastAsia="en-IN"/>
    </w:rPr>
  </w:style>
  <w:style w:type="character" w:customStyle="1" w:styleId="FooterChar">
    <w:name w:val="Footer Char"/>
    <w:basedOn w:val="DefaultParagraphFont"/>
    <w:link w:val="Footer"/>
    <w:uiPriority w:val="99"/>
    <w:rsid w:val="0087550A"/>
    <w:rPr>
      <w:rFonts w:ascii="Helvetica" w:hAnsi="Helvetica"/>
    </w:rPr>
  </w:style>
  <w:style w:type="paragraph" w:styleId="ListParagraph">
    <w:name w:val="List Paragraph"/>
    <w:basedOn w:val="Normal"/>
    <w:uiPriority w:val="34"/>
    <w:qFormat/>
    <w:rsid w:val="004216B6"/>
    <w:pPr>
      <w:ind w:left="720"/>
      <w:contextualSpacing/>
    </w:pPr>
  </w:style>
  <w:style w:type="character" w:styleId="Strong">
    <w:name w:val="Strong"/>
    <w:basedOn w:val="DefaultParagraphFont"/>
    <w:uiPriority w:val="22"/>
    <w:qFormat/>
    <w:rsid w:val="00E66FCA"/>
    <w:rPr>
      <w:b/>
      <w:bCs/>
    </w:rPr>
  </w:style>
  <w:style w:type="paragraph" w:customStyle="1" w:styleId="Default">
    <w:name w:val="Default"/>
    <w:rsid w:val="00493BD6"/>
    <w:pPr>
      <w:autoSpaceDE w:val="0"/>
      <w:autoSpaceDN w:val="0"/>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432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399934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0437667">
      <w:bodyDiv w:val="1"/>
      <w:marLeft w:val="0"/>
      <w:marRight w:val="0"/>
      <w:marTop w:val="0"/>
      <w:marBottom w:val="0"/>
      <w:divBdr>
        <w:top w:val="none" w:sz="0" w:space="0" w:color="auto"/>
        <w:left w:val="none" w:sz="0" w:space="0" w:color="auto"/>
        <w:bottom w:val="none" w:sz="0" w:space="0" w:color="auto"/>
        <w:right w:val="none" w:sz="0" w:space="0" w:color="auto"/>
      </w:divBdr>
    </w:div>
    <w:div w:id="55594218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5078347">
      <w:bodyDiv w:val="1"/>
      <w:marLeft w:val="0"/>
      <w:marRight w:val="0"/>
      <w:marTop w:val="0"/>
      <w:marBottom w:val="0"/>
      <w:divBdr>
        <w:top w:val="none" w:sz="0" w:space="0" w:color="auto"/>
        <w:left w:val="none" w:sz="0" w:space="0" w:color="auto"/>
        <w:bottom w:val="none" w:sz="0" w:space="0" w:color="auto"/>
        <w:right w:val="none" w:sz="0" w:space="0" w:color="auto"/>
      </w:divBdr>
    </w:div>
    <w:div w:id="766536127">
      <w:bodyDiv w:val="1"/>
      <w:marLeft w:val="0"/>
      <w:marRight w:val="0"/>
      <w:marTop w:val="0"/>
      <w:marBottom w:val="0"/>
      <w:divBdr>
        <w:top w:val="none" w:sz="0" w:space="0" w:color="auto"/>
        <w:left w:val="none" w:sz="0" w:space="0" w:color="auto"/>
        <w:bottom w:val="none" w:sz="0" w:space="0" w:color="auto"/>
        <w:right w:val="none" w:sz="0" w:space="0" w:color="auto"/>
      </w:divBdr>
    </w:div>
    <w:div w:id="791944254">
      <w:bodyDiv w:val="1"/>
      <w:marLeft w:val="0"/>
      <w:marRight w:val="0"/>
      <w:marTop w:val="0"/>
      <w:marBottom w:val="0"/>
      <w:divBdr>
        <w:top w:val="none" w:sz="0" w:space="0" w:color="auto"/>
        <w:left w:val="none" w:sz="0" w:space="0" w:color="auto"/>
        <w:bottom w:val="none" w:sz="0" w:space="0" w:color="auto"/>
        <w:right w:val="none" w:sz="0" w:space="0" w:color="auto"/>
      </w:divBdr>
    </w:div>
    <w:div w:id="9804216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049188">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6189043">
      <w:bodyDiv w:val="1"/>
      <w:marLeft w:val="0"/>
      <w:marRight w:val="0"/>
      <w:marTop w:val="0"/>
      <w:marBottom w:val="0"/>
      <w:divBdr>
        <w:top w:val="none" w:sz="0" w:space="0" w:color="auto"/>
        <w:left w:val="none" w:sz="0" w:space="0" w:color="auto"/>
        <w:bottom w:val="none" w:sz="0" w:space="0" w:color="auto"/>
        <w:right w:val="none" w:sz="0" w:space="0" w:color="auto"/>
      </w:divBdr>
    </w:div>
    <w:div w:id="1203636594">
      <w:bodyDiv w:val="1"/>
      <w:marLeft w:val="0"/>
      <w:marRight w:val="0"/>
      <w:marTop w:val="0"/>
      <w:marBottom w:val="0"/>
      <w:divBdr>
        <w:top w:val="none" w:sz="0" w:space="0" w:color="auto"/>
        <w:left w:val="none" w:sz="0" w:space="0" w:color="auto"/>
        <w:bottom w:val="none" w:sz="0" w:space="0" w:color="auto"/>
        <w:right w:val="none" w:sz="0" w:space="0" w:color="auto"/>
      </w:divBdr>
    </w:div>
    <w:div w:id="16244628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6707212">
      <w:bodyDiv w:val="1"/>
      <w:marLeft w:val="0"/>
      <w:marRight w:val="0"/>
      <w:marTop w:val="0"/>
      <w:marBottom w:val="0"/>
      <w:divBdr>
        <w:top w:val="none" w:sz="0" w:space="0" w:color="auto"/>
        <w:left w:val="none" w:sz="0" w:space="0" w:color="auto"/>
        <w:bottom w:val="none" w:sz="0" w:space="0" w:color="auto"/>
        <w:right w:val="none" w:sz="0" w:space="0" w:color="auto"/>
      </w:divBdr>
    </w:div>
    <w:div w:id="194853968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798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fao.org/3/i7848e/i7848e.pdf" TargetMode="External"/><Relationship Id="rId26" Type="http://schemas.openxmlformats.org/officeDocument/2006/relationships/hyperlink" Target="https://doi.org/10.1016/j.agee.2017.05.002" TargetMode="External"/><Relationship Id="rId3" Type="http://schemas.openxmlformats.org/officeDocument/2006/relationships/styles" Target="styles.xml"/><Relationship Id="rId21" Type="http://schemas.openxmlformats.org/officeDocument/2006/relationships/hyperlink" Target="https://doi.org/10.3390/agriculture13020502"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6.xml"/><Relationship Id="rId25" Type="http://schemas.openxmlformats.org/officeDocument/2006/relationships/hyperlink" Target="https://papers.ssrn.com/sol3/papers.cfm?abstract_id=2034487"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1186/2048-7010-2-8" TargetMode="External"/><Relationship Id="rId29" Type="http://schemas.openxmlformats.org/officeDocument/2006/relationships/hyperlink" Target="https://www.fao.org/publications/sofa/202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imk.ac.in/uploads/publications/33733365IIMK_WPS_430_ECO_202102_Upload.p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isec.ac.in/wp-content/uploads/2023/07/WP-369-Sheeba-Andrews-Final.pdf" TargetMode="External"/><Relationship Id="rId28" Type="http://schemas.openxmlformats.org/officeDocument/2006/relationships/hyperlink" Target="https://doi.org/10.5958/0974-0279.2017.00032.5" TargetMode="External"/><Relationship Id="rId10" Type="http://schemas.openxmlformats.org/officeDocument/2006/relationships/header" Target="header3.xml"/><Relationship Id="rId19" Type="http://schemas.openxmlformats.org/officeDocument/2006/relationships/hyperlink" Target="https://doi.org/10.1007/s12571-015-0461-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93/aepp/ppt002" TargetMode="External"/><Relationship Id="rId27" Type="http://schemas.openxmlformats.org/officeDocument/2006/relationships/hyperlink" Target="https://www.aarf.asia/current/YBeYaIBJY48dWzQ.pdf" TargetMode="External"/><Relationship Id="rId30" Type="http://schemas.openxmlformats.org/officeDocument/2006/relationships/hyperlink" Target="https://doi.org/10.1007/s13593-022-00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0337E-9561-4958-A230-C09D0C44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682</TotalTime>
  <Pages>11</Pages>
  <Words>4370</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112</cp:revision>
  <cp:lastPrinted>1999-07-06T11:00:00Z</cp:lastPrinted>
  <dcterms:created xsi:type="dcterms:W3CDTF">2025-09-28T14:41:00Z</dcterms:created>
  <dcterms:modified xsi:type="dcterms:W3CDTF">2025-10-10T02:32:00Z</dcterms:modified>
</cp:coreProperties>
</file>