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2C148" w14:textId="53E6BD80" w:rsidR="004929DE" w:rsidRPr="00792A44" w:rsidRDefault="000C3906" w:rsidP="004929DE">
      <w:pPr>
        <w:pStyle w:val="NormalWeb"/>
        <w:spacing w:line="360" w:lineRule="auto"/>
        <w:jc w:val="center"/>
        <w:rPr>
          <w:b/>
          <w:bCs/>
          <w:sz w:val="32"/>
          <w:szCs w:val="32"/>
          <w:lang w:val="en-US"/>
        </w:rPr>
      </w:pPr>
      <w:r>
        <w:rPr>
          <w:b/>
          <w:bCs/>
          <w:sz w:val="32"/>
          <w:szCs w:val="32"/>
          <w:lang w:val="en-US"/>
        </w:rPr>
        <w:t>Evaluating the</w:t>
      </w:r>
      <w:r w:rsidR="004929DE" w:rsidRPr="00792A44">
        <w:rPr>
          <w:b/>
          <w:bCs/>
          <w:i/>
          <w:iCs/>
          <w:sz w:val="32"/>
          <w:szCs w:val="32"/>
          <w:lang w:val="en-US"/>
        </w:rPr>
        <w:t xml:space="preserve"> </w:t>
      </w:r>
      <w:r w:rsidR="004929DE" w:rsidRPr="00792A44">
        <w:rPr>
          <w:b/>
          <w:bCs/>
          <w:sz w:val="32"/>
          <w:szCs w:val="32"/>
          <w:lang w:val="en-US"/>
        </w:rPr>
        <w:t xml:space="preserve">efficacy of fungicides against </w:t>
      </w:r>
      <w:r w:rsidR="004929DE" w:rsidRPr="00792A44">
        <w:rPr>
          <w:b/>
          <w:bCs/>
          <w:i/>
          <w:iCs/>
          <w:sz w:val="32"/>
          <w:szCs w:val="32"/>
          <w:lang w:val="en-US"/>
        </w:rPr>
        <w:t>Macrophomina phaseolina</w:t>
      </w:r>
      <w:r>
        <w:rPr>
          <w:b/>
          <w:bCs/>
          <w:i/>
          <w:iCs/>
          <w:sz w:val="32"/>
          <w:szCs w:val="32"/>
          <w:lang w:val="en-US"/>
        </w:rPr>
        <w:t>,</w:t>
      </w:r>
      <w:r w:rsidR="004929DE" w:rsidRPr="00792A44">
        <w:rPr>
          <w:b/>
          <w:bCs/>
          <w:sz w:val="32"/>
          <w:szCs w:val="32"/>
          <w:lang w:val="en-US"/>
        </w:rPr>
        <w:t xml:space="preserve"> causing charcoal rot of soybean</w:t>
      </w:r>
      <w:r>
        <w:rPr>
          <w:b/>
          <w:bCs/>
          <w:sz w:val="32"/>
          <w:szCs w:val="32"/>
          <w:lang w:val="en-US"/>
        </w:rPr>
        <w:t xml:space="preserve"> under </w:t>
      </w:r>
      <w:r w:rsidRPr="000C3906">
        <w:rPr>
          <w:b/>
          <w:bCs/>
          <w:i/>
          <w:iCs/>
          <w:sz w:val="32"/>
          <w:szCs w:val="32"/>
          <w:lang w:val="en-US"/>
        </w:rPr>
        <w:t>in-vitro</w:t>
      </w:r>
      <w:r>
        <w:rPr>
          <w:b/>
          <w:bCs/>
          <w:sz w:val="32"/>
          <w:szCs w:val="32"/>
          <w:lang w:val="en-US"/>
        </w:rPr>
        <w:t xml:space="preserve"> conditions</w:t>
      </w:r>
    </w:p>
    <w:p w14:paraId="1FBD5DFA" w14:textId="77777777" w:rsidR="004929DE" w:rsidRPr="00792A44" w:rsidRDefault="004929DE" w:rsidP="004929DE">
      <w:pPr>
        <w:autoSpaceDE w:val="0"/>
        <w:autoSpaceDN w:val="0"/>
        <w:adjustRightInd w:val="0"/>
        <w:jc w:val="center"/>
        <w:rPr>
          <w:rFonts w:ascii="Times New Roman" w:hAnsi="Times New Roman" w:cs="Times New Roman"/>
          <w:b/>
          <w:bCs/>
          <w:lang w:val="en-US"/>
        </w:rPr>
      </w:pPr>
    </w:p>
    <w:p w14:paraId="3B218B51" w14:textId="77777777" w:rsidR="00AD5755" w:rsidRPr="00792A44" w:rsidRDefault="00AD5755">
      <w:pPr>
        <w:rPr>
          <w:rFonts w:ascii="Times New Roman" w:hAnsi="Times New Roman" w:cs="Times New Roman"/>
          <w:b/>
          <w:bCs/>
          <w:lang w:val="en-US"/>
        </w:rPr>
      </w:pPr>
      <w:r w:rsidRPr="00792A44">
        <w:rPr>
          <w:rFonts w:ascii="Times New Roman" w:hAnsi="Times New Roman" w:cs="Times New Roman"/>
          <w:b/>
          <w:bCs/>
          <w:lang w:val="en-US"/>
        </w:rPr>
        <w:t>Abstract</w:t>
      </w:r>
    </w:p>
    <w:p w14:paraId="5C9244FD" w14:textId="3997A8B6" w:rsidR="00AD5755" w:rsidRPr="00792A44" w:rsidRDefault="009A2D3E" w:rsidP="009A2D3E">
      <w:pPr>
        <w:spacing w:before="240" w:line="360" w:lineRule="auto"/>
        <w:jc w:val="both"/>
        <w:rPr>
          <w:rFonts w:ascii="Times New Roman" w:hAnsi="Times New Roman" w:cs="Times New Roman"/>
          <w:lang w:val="en-US"/>
        </w:rPr>
      </w:pPr>
      <w:r w:rsidRPr="00792A44">
        <w:rPr>
          <w:rFonts w:ascii="Times New Roman" w:hAnsi="Times New Roman" w:cs="Times New Roman"/>
        </w:rPr>
        <w:t>Soybean (</w:t>
      </w:r>
      <w:r w:rsidRPr="00792A44">
        <w:rPr>
          <w:rFonts w:ascii="Times New Roman" w:hAnsi="Times New Roman" w:cs="Times New Roman"/>
          <w:i/>
          <w:iCs/>
        </w:rPr>
        <w:t>Glycine max</w:t>
      </w:r>
      <w:r w:rsidRPr="00792A44">
        <w:rPr>
          <w:rFonts w:ascii="Times New Roman" w:hAnsi="Times New Roman" w:cs="Times New Roman"/>
        </w:rPr>
        <w:t xml:space="preserve"> (L.) Merrill) is a major oil</w:t>
      </w:r>
      <w:r w:rsidR="00FA15B3" w:rsidRPr="00792A44">
        <w:rPr>
          <w:rFonts w:ascii="Times New Roman" w:hAnsi="Times New Roman" w:cs="Times New Roman"/>
        </w:rPr>
        <w:t>-</w:t>
      </w:r>
      <w:r w:rsidRPr="00792A44">
        <w:rPr>
          <w:rFonts w:ascii="Times New Roman" w:hAnsi="Times New Roman" w:cs="Times New Roman"/>
        </w:rPr>
        <w:t xml:space="preserve">seed crop of global importance, but its productivity is severely threatened by charcoal rot caused by </w:t>
      </w:r>
      <w:r w:rsidRPr="00792A44">
        <w:rPr>
          <w:rFonts w:ascii="Times New Roman" w:hAnsi="Times New Roman" w:cs="Times New Roman"/>
          <w:i/>
          <w:iCs/>
        </w:rPr>
        <w:t>Macrophomina phaseolina</w:t>
      </w:r>
      <w:r w:rsidRPr="00792A44">
        <w:rPr>
          <w:rFonts w:ascii="Times New Roman" w:hAnsi="Times New Roman" w:cs="Times New Roman"/>
        </w:rPr>
        <w:t>, a necrotrophic fungus with a wide host range.</w:t>
      </w:r>
      <w:r w:rsidR="00BD3858">
        <w:rPr>
          <w:rFonts w:ascii="Times New Roman" w:hAnsi="Times New Roman" w:cs="Times New Roman"/>
        </w:rPr>
        <w:t xml:space="preserve"> </w:t>
      </w:r>
      <w:r w:rsidR="00BD3858" w:rsidRPr="00BD3858">
        <w:rPr>
          <w:rFonts w:ascii="Times New Roman" w:hAnsi="Times New Roman" w:cs="Times New Roman"/>
        </w:rPr>
        <w:t xml:space="preserve">The </w:t>
      </w:r>
      <w:r w:rsidR="00BD3858" w:rsidRPr="00BD3858">
        <w:rPr>
          <w:rFonts w:ascii="Times New Roman" w:hAnsi="Times New Roman" w:cs="Times New Roman"/>
          <w:i/>
          <w:iCs/>
        </w:rPr>
        <w:t>ITS</w:t>
      </w:r>
      <w:r w:rsidR="00BD3858" w:rsidRPr="00BD3858">
        <w:rPr>
          <w:rFonts w:ascii="Times New Roman" w:hAnsi="Times New Roman" w:cs="Times New Roman"/>
        </w:rPr>
        <w:t xml:space="preserve"> region of the pathogen</w:t>
      </w:r>
      <w:r w:rsidR="00BD3858">
        <w:rPr>
          <w:rFonts w:ascii="Times New Roman" w:hAnsi="Times New Roman" w:cs="Times New Roman"/>
        </w:rPr>
        <w:t xml:space="preserve"> was amplified which yielded a</w:t>
      </w:r>
      <w:r w:rsidR="00BD3858" w:rsidRPr="00BD3858">
        <w:rPr>
          <w:rFonts w:ascii="Times New Roman" w:hAnsi="Times New Roman" w:cs="Times New Roman"/>
        </w:rPr>
        <w:t xml:space="preserve"> 598 bp sequence</w:t>
      </w:r>
      <w:r w:rsidR="00BD3858">
        <w:rPr>
          <w:rFonts w:ascii="Times New Roman" w:hAnsi="Times New Roman" w:cs="Times New Roman"/>
        </w:rPr>
        <w:t xml:space="preserve"> and</w:t>
      </w:r>
      <w:r w:rsidR="00BD3858" w:rsidRPr="00BD3858">
        <w:rPr>
          <w:rFonts w:ascii="Times New Roman" w:hAnsi="Times New Roman" w:cs="Times New Roman"/>
        </w:rPr>
        <w:t xml:space="preserve"> showed 97.15% identity and 100% query coverage in BLAST analysis.</w:t>
      </w:r>
      <w:r w:rsidRPr="00792A44">
        <w:rPr>
          <w:rFonts w:ascii="Times New Roman" w:hAnsi="Times New Roman" w:cs="Times New Roman"/>
        </w:rPr>
        <w:t xml:space="preserve"> </w:t>
      </w:r>
      <w:r w:rsidR="00BD3858">
        <w:rPr>
          <w:rFonts w:ascii="Times New Roman" w:hAnsi="Times New Roman" w:cs="Times New Roman"/>
        </w:rPr>
        <w:t>F</w:t>
      </w:r>
      <w:r w:rsidR="00BD3858" w:rsidRPr="00BD3858">
        <w:rPr>
          <w:rFonts w:ascii="Times New Roman" w:hAnsi="Times New Roman" w:cs="Times New Roman"/>
        </w:rPr>
        <w:t>ollowing molecular confirmation,</w:t>
      </w:r>
      <w:r w:rsidRPr="00792A44">
        <w:rPr>
          <w:rFonts w:ascii="Times New Roman" w:hAnsi="Times New Roman" w:cs="Times New Roman"/>
        </w:rPr>
        <w:t xml:space="preserve"> the </w:t>
      </w:r>
      <w:r w:rsidRPr="00792A44">
        <w:rPr>
          <w:rFonts w:ascii="Times New Roman" w:hAnsi="Times New Roman" w:cs="Times New Roman"/>
          <w:i/>
          <w:iCs/>
        </w:rPr>
        <w:t>in</w:t>
      </w:r>
      <w:r w:rsidR="00092B19" w:rsidRPr="00792A44">
        <w:rPr>
          <w:rFonts w:ascii="Times New Roman" w:hAnsi="Times New Roman" w:cs="Times New Roman"/>
          <w:i/>
          <w:iCs/>
        </w:rPr>
        <w:t>-</w:t>
      </w:r>
      <w:r w:rsidRPr="00792A44">
        <w:rPr>
          <w:rFonts w:ascii="Times New Roman" w:hAnsi="Times New Roman" w:cs="Times New Roman"/>
          <w:i/>
          <w:iCs/>
        </w:rPr>
        <w:t>vitro</w:t>
      </w:r>
      <w:r w:rsidRPr="00792A44">
        <w:rPr>
          <w:rFonts w:ascii="Times New Roman" w:hAnsi="Times New Roman" w:cs="Times New Roman"/>
        </w:rPr>
        <w:t xml:space="preserve"> efficacy of twelve fungicides, comprising six single compounds and six combinations was assessed against </w:t>
      </w:r>
      <w:r w:rsidRPr="00792A44">
        <w:rPr>
          <w:rFonts w:ascii="Times New Roman" w:hAnsi="Times New Roman" w:cs="Times New Roman"/>
          <w:i/>
          <w:iCs/>
        </w:rPr>
        <w:t>M. phaseolina</w:t>
      </w:r>
      <w:r w:rsidRPr="00792A44">
        <w:rPr>
          <w:rFonts w:ascii="Times New Roman" w:hAnsi="Times New Roman" w:cs="Times New Roman"/>
        </w:rPr>
        <w:t xml:space="preserve"> using the poisoned food technique at 100, 250 and 500 ppm. All tested fungicides significantly inhibited mycelial growth relative to the untreated control, though performance varied across treatments. Complete suppression (100% inhibition) was consistently recorded with Carbendazim 25% + Mancozeb 50% WS, Carbendazim 50% WP</w:t>
      </w:r>
      <w:r w:rsidR="00001553" w:rsidRPr="00792A44">
        <w:rPr>
          <w:rFonts w:ascii="Times New Roman" w:hAnsi="Times New Roman" w:cs="Times New Roman"/>
        </w:rPr>
        <w:t xml:space="preserve"> and</w:t>
      </w:r>
      <w:r w:rsidRPr="00792A44">
        <w:rPr>
          <w:rFonts w:ascii="Times New Roman" w:hAnsi="Times New Roman" w:cs="Times New Roman"/>
        </w:rPr>
        <w:t xml:space="preserve"> Tebuconazole 25.9% w/w EC at all concentrations. In contrast, </w:t>
      </w:r>
      <w:proofErr w:type="spellStart"/>
      <w:r w:rsidRPr="00792A44">
        <w:rPr>
          <w:rFonts w:ascii="Times New Roman" w:hAnsi="Times New Roman" w:cs="Times New Roman"/>
        </w:rPr>
        <w:t>Penflufen</w:t>
      </w:r>
      <w:proofErr w:type="spellEnd"/>
      <w:r w:rsidRPr="00792A44">
        <w:rPr>
          <w:rFonts w:ascii="Times New Roman" w:hAnsi="Times New Roman" w:cs="Times New Roman"/>
        </w:rPr>
        <w:t xml:space="preserve"> 13.28% + </w:t>
      </w:r>
      <w:proofErr w:type="spellStart"/>
      <w:r w:rsidRPr="00792A44">
        <w:rPr>
          <w:rFonts w:ascii="Times New Roman" w:hAnsi="Times New Roman" w:cs="Times New Roman"/>
        </w:rPr>
        <w:t>Trifloxystrobin</w:t>
      </w:r>
      <w:proofErr w:type="spellEnd"/>
      <w:r w:rsidRPr="00792A44">
        <w:rPr>
          <w:rFonts w:ascii="Times New Roman" w:hAnsi="Times New Roman" w:cs="Times New Roman"/>
        </w:rPr>
        <w:t xml:space="preserve"> 13.28% FS and Azoxystrobin 11% + Tebuconazole 18.3% SC were the least effective with 61.18% inhibition at 100 ppm. The findings highlight the superior efficacy of benzimidazole and triazole</w:t>
      </w:r>
      <w:r w:rsidR="00092B19" w:rsidRPr="00792A44">
        <w:rPr>
          <w:rFonts w:ascii="Times New Roman" w:hAnsi="Times New Roman" w:cs="Times New Roman"/>
        </w:rPr>
        <w:t xml:space="preserve"> </w:t>
      </w:r>
      <w:r w:rsidRPr="00792A44">
        <w:rPr>
          <w:rFonts w:ascii="Times New Roman" w:hAnsi="Times New Roman" w:cs="Times New Roman"/>
        </w:rPr>
        <w:t xml:space="preserve">based fungicides, alone or in combination with contact fungicides, for effective suppression of </w:t>
      </w:r>
      <w:r w:rsidRPr="00792A44">
        <w:rPr>
          <w:rFonts w:ascii="Times New Roman" w:hAnsi="Times New Roman" w:cs="Times New Roman"/>
          <w:i/>
          <w:iCs/>
        </w:rPr>
        <w:t>M. phaseolina</w:t>
      </w:r>
      <w:r w:rsidRPr="00792A44">
        <w:rPr>
          <w:rFonts w:ascii="Times New Roman" w:hAnsi="Times New Roman" w:cs="Times New Roman"/>
        </w:rPr>
        <w:t>. These results provide valuable insights for developing effective fungicidal strategies for the management of charcoal rot in soybean under field conditions.</w:t>
      </w:r>
    </w:p>
    <w:p w14:paraId="6039CB44" w14:textId="317BBB6C" w:rsidR="00AD5755" w:rsidRPr="00792A44" w:rsidRDefault="00AD5755" w:rsidP="009A2D3E">
      <w:pPr>
        <w:spacing w:before="240" w:line="360" w:lineRule="auto"/>
        <w:rPr>
          <w:rFonts w:ascii="Times New Roman" w:hAnsi="Times New Roman" w:cs="Times New Roman"/>
          <w:lang w:val="en-US"/>
        </w:rPr>
      </w:pPr>
      <w:r w:rsidRPr="00792A44">
        <w:rPr>
          <w:rFonts w:ascii="Times New Roman" w:hAnsi="Times New Roman" w:cs="Times New Roman"/>
          <w:b/>
          <w:bCs/>
          <w:lang w:val="en-US"/>
        </w:rPr>
        <w:t xml:space="preserve">Key words </w:t>
      </w:r>
      <w:r w:rsidR="007972DF">
        <w:rPr>
          <w:rFonts w:ascii="Times New Roman" w:hAnsi="Times New Roman" w:cs="Times New Roman"/>
          <w:b/>
          <w:bCs/>
          <w:lang w:val="en-US"/>
        </w:rPr>
        <w:t>-</w:t>
      </w:r>
      <w:r w:rsidR="009A2D3E" w:rsidRPr="00792A44">
        <w:rPr>
          <w:rFonts w:ascii="Times New Roman" w:hAnsi="Times New Roman" w:cs="Times New Roman"/>
          <w:b/>
          <w:bCs/>
          <w:lang w:val="en-US"/>
        </w:rPr>
        <w:t xml:space="preserve"> </w:t>
      </w:r>
      <w:r w:rsidR="009A2D3E" w:rsidRPr="00792A44">
        <w:rPr>
          <w:rFonts w:ascii="Times New Roman" w:hAnsi="Times New Roman" w:cs="Times New Roman"/>
        </w:rPr>
        <w:t xml:space="preserve">Charcoal rot, Fungicide efficacy, </w:t>
      </w:r>
      <w:r w:rsidR="003B56F8" w:rsidRPr="00792A44">
        <w:rPr>
          <w:rFonts w:ascii="Times New Roman" w:hAnsi="Times New Roman" w:cs="Times New Roman"/>
        </w:rPr>
        <w:t>Soybean</w:t>
      </w:r>
      <w:r w:rsidR="009A2D3E" w:rsidRPr="00792A44">
        <w:rPr>
          <w:rFonts w:ascii="Times New Roman" w:hAnsi="Times New Roman" w:cs="Times New Roman"/>
        </w:rPr>
        <w:t xml:space="preserve">, </w:t>
      </w:r>
      <w:r w:rsidR="009A2D3E" w:rsidRPr="00792A44">
        <w:rPr>
          <w:rFonts w:ascii="Times New Roman" w:hAnsi="Times New Roman" w:cs="Times New Roman"/>
          <w:i/>
          <w:iCs/>
        </w:rPr>
        <w:t>Macrophomina phaseolina</w:t>
      </w:r>
      <w:r w:rsidR="009A2D3E" w:rsidRPr="00792A44">
        <w:rPr>
          <w:rFonts w:ascii="Times New Roman" w:hAnsi="Times New Roman" w:cs="Times New Roman"/>
        </w:rPr>
        <w:t>, Poisoned food technique</w:t>
      </w:r>
    </w:p>
    <w:p w14:paraId="7922000D" w14:textId="3E25B3ED" w:rsidR="00992333" w:rsidRPr="00792A44" w:rsidRDefault="00B750C0" w:rsidP="00CD3FBB">
      <w:pPr>
        <w:spacing w:before="240" w:after="240"/>
        <w:rPr>
          <w:rFonts w:ascii="Times New Roman" w:hAnsi="Times New Roman" w:cs="Times New Roman"/>
          <w:b/>
          <w:bCs/>
          <w:lang w:val="en-US"/>
        </w:rPr>
      </w:pPr>
      <w:r>
        <w:rPr>
          <w:rFonts w:ascii="Times New Roman" w:hAnsi="Times New Roman" w:cs="Times New Roman"/>
          <w:b/>
          <w:bCs/>
          <w:lang w:val="en-US"/>
        </w:rPr>
        <w:t xml:space="preserve">1. </w:t>
      </w:r>
      <w:r w:rsidRPr="00792A44">
        <w:rPr>
          <w:rFonts w:ascii="Times New Roman" w:hAnsi="Times New Roman" w:cs="Times New Roman"/>
          <w:b/>
          <w:bCs/>
          <w:lang w:val="en-US"/>
        </w:rPr>
        <w:t>INTRODUCTION</w:t>
      </w:r>
    </w:p>
    <w:p w14:paraId="37BDDD78" w14:textId="09F39035" w:rsidR="00F97A17" w:rsidRPr="000A5C2C" w:rsidRDefault="002730FC" w:rsidP="000A5C2C">
      <w:pPr>
        <w:pStyle w:val="ListParagraph"/>
        <w:spacing w:line="360" w:lineRule="auto"/>
        <w:ind w:left="0"/>
        <w:jc w:val="both"/>
        <w:rPr>
          <w:rFonts w:ascii="Times New Roman" w:hAnsi="Times New Roman" w:cs="Times New Roman"/>
          <w:i/>
          <w:iCs/>
        </w:rPr>
      </w:pPr>
      <w:r>
        <w:rPr>
          <w:rFonts w:ascii="Times New Roman" w:hAnsi="Times New Roman" w:cs="Times New Roman"/>
        </w:rPr>
        <w:t>“</w:t>
      </w:r>
      <w:r w:rsidR="00455A7B" w:rsidRPr="000A5C2C">
        <w:rPr>
          <w:rFonts w:ascii="Times New Roman" w:hAnsi="Times New Roman" w:cs="Times New Roman"/>
        </w:rPr>
        <w:t>Soybean (</w:t>
      </w:r>
      <w:r w:rsidR="00455A7B" w:rsidRPr="000A5C2C">
        <w:rPr>
          <w:rFonts w:ascii="Times New Roman" w:hAnsi="Times New Roman" w:cs="Times New Roman"/>
          <w:i/>
          <w:iCs/>
        </w:rPr>
        <w:t>Glycine max</w:t>
      </w:r>
      <w:r w:rsidR="00455A7B" w:rsidRPr="000A5C2C">
        <w:rPr>
          <w:rFonts w:ascii="Times New Roman" w:hAnsi="Times New Roman" w:cs="Times New Roman"/>
        </w:rPr>
        <w:t xml:space="preserve"> (L.) Merrill), belonging to the family Leguminosae and sub-family </w:t>
      </w:r>
      <w:proofErr w:type="spellStart"/>
      <w:r w:rsidR="00455A7B" w:rsidRPr="000A5C2C">
        <w:rPr>
          <w:rFonts w:ascii="Times New Roman" w:hAnsi="Times New Roman" w:cs="Times New Roman"/>
        </w:rPr>
        <w:t>Papilionoideae</w:t>
      </w:r>
      <w:proofErr w:type="spellEnd"/>
      <w:r w:rsidR="00455A7B" w:rsidRPr="000A5C2C">
        <w:rPr>
          <w:rFonts w:ascii="Times New Roman" w:hAnsi="Times New Roman" w:cs="Times New Roman"/>
        </w:rPr>
        <w:t>, is a globally important oil</w:t>
      </w:r>
      <w:r w:rsidR="00393CC8" w:rsidRPr="000A5C2C">
        <w:rPr>
          <w:rFonts w:ascii="Times New Roman" w:hAnsi="Times New Roman" w:cs="Times New Roman"/>
        </w:rPr>
        <w:t>-</w:t>
      </w:r>
      <w:r w:rsidR="00455A7B" w:rsidRPr="000A5C2C">
        <w:rPr>
          <w:rFonts w:ascii="Times New Roman" w:hAnsi="Times New Roman" w:cs="Times New Roman"/>
        </w:rPr>
        <w:t xml:space="preserve">seed crop valued for its nutritional and economic significance. Dry soybean seeds contain around 36% protein, 19% oil, 35% carbohydrates (with nearly 17% dietary </w:t>
      </w:r>
      <w:proofErr w:type="spellStart"/>
      <w:r w:rsidR="00455A7B" w:rsidRPr="000A5C2C">
        <w:rPr>
          <w:rFonts w:ascii="Times New Roman" w:hAnsi="Times New Roman" w:cs="Times New Roman"/>
        </w:rPr>
        <w:t>fiber</w:t>
      </w:r>
      <w:proofErr w:type="spellEnd"/>
      <w:r w:rsidR="00455A7B" w:rsidRPr="000A5C2C">
        <w:rPr>
          <w:rFonts w:ascii="Times New Roman" w:hAnsi="Times New Roman" w:cs="Times New Roman"/>
        </w:rPr>
        <w:t>) and 5% minerals and vitamins, making it a key source of food, feed</w:t>
      </w:r>
      <w:r w:rsidR="004B3F21" w:rsidRPr="000A5C2C">
        <w:rPr>
          <w:rFonts w:ascii="Times New Roman" w:hAnsi="Times New Roman" w:cs="Times New Roman"/>
        </w:rPr>
        <w:t xml:space="preserve"> and</w:t>
      </w:r>
      <w:r w:rsidR="00455A7B" w:rsidRPr="000A5C2C">
        <w:rPr>
          <w:rFonts w:ascii="Times New Roman" w:hAnsi="Times New Roman" w:cs="Times New Roman"/>
        </w:rPr>
        <w:t xml:space="preserve"> industrial raw material</w:t>
      </w:r>
      <w:r>
        <w:rPr>
          <w:rFonts w:ascii="Times New Roman" w:hAnsi="Times New Roman" w:cs="Times New Roman"/>
        </w:rPr>
        <w:t>”</w:t>
      </w:r>
      <w:r w:rsidR="00455A7B" w:rsidRPr="000A5C2C">
        <w:rPr>
          <w:rFonts w:ascii="Times New Roman" w:hAnsi="Times New Roman" w:cs="Times New Roman"/>
        </w:rPr>
        <w:t xml:space="preserve"> (Liu and Liu, 1997; </w:t>
      </w:r>
      <w:r w:rsidR="00C82385" w:rsidRPr="000A5C2C">
        <w:rPr>
          <w:rFonts w:ascii="Times New Roman" w:hAnsi="Times New Roman" w:cs="Times New Roman"/>
        </w:rPr>
        <w:t>Gupta,</w:t>
      </w:r>
      <w:r w:rsidR="00455A7B" w:rsidRPr="000A5C2C">
        <w:rPr>
          <w:rFonts w:ascii="Times New Roman" w:hAnsi="Times New Roman" w:cs="Times New Roman"/>
        </w:rPr>
        <w:t xml:space="preserve"> 2012</w:t>
      </w:r>
      <w:r w:rsidR="00A753BF" w:rsidRPr="000A5C2C">
        <w:rPr>
          <w:rFonts w:ascii="Times New Roman" w:hAnsi="Times New Roman" w:cs="Times New Roman"/>
        </w:rPr>
        <w:t xml:space="preserve">; Khare </w:t>
      </w:r>
      <w:r w:rsidR="00A753BF" w:rsidRPr="000A5C2C">
        <w:rPr>
          <w:rFonts w:ascii="Times New Roman" w:hAnsi="Times New Roman" w:cs="Times New Roman"/>
          <w:i/>
          <w:iCs/>
        </w:rPr>
        <w:t>et al.,</w:t>
      </w:r>
      <w:r w:rsidR="00A753BF" w:rsidRPr="000A5C2C">
        <w:rPr>
          <w:rFonts w:ascii="Times New Roman" w:hAnsi="Times New Roman" w:cs="Times New Roman"/>
        </w:rPr>
        <w:t xml:space="preserve"> 2025</w:t>
      </w:r>
      <w:r w:rsidR="00455A7B" w:rsidRPr="000A5C2C">
        <w:rPr>
          <w:rFonts w:ascii="Times New Roman" w:hAnsi="Times New Roman" w:cs="Times New Roman"/>
        </w:rPr>
        <w:t xml:space="preserve">). In India, soybean gained commercial importance in the 1970s, with Madhya Pradesh emerging as the “Soybean State” due to large-scale cultivation. However, soybean productivity is constrained </w:t>
      </w:r>
      <w:r w:rsidR="00455A7B" w:rsidRPr="000A5C2C">
        <w:rPr>
          <w:rFonts w:ascii="Times New Roman" w:hAnsi="Times New Roman" w:cs="Times New Roman"/>
        </w:rPr>
        <w:lastRenderedPageBreak/>
        <w:t xml:space="preserve">by several soil-borne pathogens.  </w:t>
      </w:r>
      <w:r>
        <w:rPr>
          <w:rFonts w:ascii="Times New Roman" w:hAnsi="Times New Roman" w:cs="Times New Roman"/>
        </w:rPr>
        <w:t>“</w:t>
      </w:r>
      <w:r w:rsidR="00455A7B" w:rsidRPr="000A5C2C">
        <w:rPr>
          <w:rFonts w:ascii="Times New Roman" w:hAnsi="Times New Roman" w:cs="Times New Roman"/>
        </w:rPr>
        <w:t xml:space="preserve">Among these, charcoal rot caused by </w:t>
      </w:r>
      <w:proofErr w:type="spellStart"/>
      <w:r w:rsidR="00455A7B" w:rsidRPr="000A5C2C">
        <w:rPr>
          <w:rFonts w:ascii="Times New Roman" w:hAnsi="Times New Roman" w:cs="Times New Roman"/>
          <w:i/>
          <w:iCs/>
        </w:rPr>
        <w:t>Macrophomina</w:t>
      </w:r>
      <w:proofErr w:type="spellEnd"/>
      <w:r w:rsidR="00455A7B" w:rsidRPr="000A5C2C">
        <w:rPr>
          <w:rFonts w:ascii="Times New Roman" w:hAnsi="Times New Roman" w:cs="Times New Roman"/>
          <w:i/>
          <w:iCs/>
        </w:rPr>
        <w:t xml:space="preserve"> </w:t>
      </w:r>
      <w:proofErr w:type="spellStart"/>
      <w:r w:rsidR="00455A7B" w:rsidRPr="000A5C2C">
        <w:rPr>
          <w:rFonts w:ascii="Times New Roman" w:hAnsi="Times New Roman" w:cs="Times New Roman"/>
          <w:i/>
          <w:iCs/>
        </w:rPr>
        <w:t>phaseolina</w:t>
      </w:r>
      <w:proofErr w:type="spellEnd"/>
      <w:r w:rsidR="00455A7B" w:rsidRPr="000A5C2C">
        <w:rPr>
          <w:rFonts w:ascii="Times New Roman" w:hAnsi="Times New Roman" w:cs="Times New Roman"/>
        </w:rPr>
        <w:t xml:space="preserve"> (</w:t>
      </w:r>
      <w:proofErr w:type="spellStart"/>
      <w:r w:rsidR="00455A7B" w:rsidRPr="000A5C2C">
        <w:rPr>
          <w:rFonts w:ascii="Times New Roman" w:hAnsi="Times New Roman" w:cs="Times New Roman"/>
        </w:rPr>
        <w:t>Tassi</w:t>
      </w:r>
      <w:proofErr w:type="spellEnd"/>
      <w:r w:rsidR="00455A7B" w:rsidRPr="000A5C2C">
        <w:rPr>
          <w:rFonts w:ascii="Times New Roman" w:hAnsi="Times New Roman" w:cs="Times New Roman"/>
        </w:rPr>
        <w:t xml:space="preserve">) </w:t>
      </w:r>
      <w:proofErr w:type="spellStart"/>
      <w:r w:rsidR="00455A7B" w:rsidRPr="000A5C2C">
        <w:rPr>
          <w:rFonts w:ascii="Times New Roman" w:hAnsi="Times New Roman" w:cs="Times New Roman"/>
        </w:rPr>
        <w:t>Goid</w:t>
      </w:r>
      <w:proofErr w:type="spellEnd"/>
      <w:r>
        <w:rPr>
          <w:rFonts w:ascii="Times New Roman" w:hAnsi="Times New Roman" w:cs="Times New Roman"/>
        </w:rPr>
        <w:t>”</w:t>
      </w:r>
      <w:r w:rsidR="00455A7B" w:rsidRPr="000A5C2C">
        <w:rPr>
          <w:rFonts w:ascii="Times New Roman" w:hAnsi="Times New Roman" w:cs="Times New Roman"/>
        </w:rPr>
        <w:t>. (</w:t>
      </w:r>
      <w:proofErr w:type="spellStart"/>
      <w:r w:rsidR="00455A7B" w:rsidRPr="000A5C2C">
        <w:rPr>
          <w:rFonts w:ascii="Times New Roman" w:hAnsi="Times New Roman" w:cs="Times New Roman"/>
        </w:rPr>
        <w:t>Goidanich</w:t>
      </w:r>
      <w:proofErr w:type="spellEnd"/>
      <w:r w:rsidR="00455A7B" w:rsidRPr="000A5C2C">
        <w:rPr>
          <w:rFonts w:ascii="Times New Roman" w:hAnsi="Times New Roman" w:cs="Times New Roman"/>
        </w:rPr>
        <w:t xml:space="preserve">, 1947) is regarded as one of the most devastating diseases. The pathogen is </w:t>
      </w:r>
      <w:r w:rsidR="004B3F21" w:rsidRPr="000A5C2C">
        <w:rPr>
          <w:rFonts w:ascii="Times New Roman" w:hAnsi="Times New Roman" w:cs="Times New Roman"/>
        </w:rPr>
        <w:t xml:space="preserve">soil and seed borne, necrotrophic and </w:t>
      </w:r>
      <w:r w:rsidR="00455A7B" w:rsidRPr="000A5C2C">
        <w:rPr>
          <w:rFonts w:ascii="Times New Roman" w:hAnsi="Times New Roman" w:cs="Times New Roman"/>
        </w:rPr>
        <w:t>highly polyphagous, infecting more than 500 plant species including legumes, fruits</w:t>
      </w:r>
      <w:r w:rsidR="004B3F21" w:rsidRPr="000A5C2C">
        <w:rPr>
          <w:rFonts w:ascii="Times New Roman" w:hAnsi="Times New Roman" w:cs="Times New Roman"/>
        </w:rPr>
        <w:t xml:space="preserve"> and</w:t>
      </w:r>
      <w:r w:rsidR="00455A7B" w:rsidRPr="000A5C2C">
        <w:rPr>
          <w:rFonts w:ascii="Times New Roman" w:hAnsi="Times New Roman" w:cs="Times New Roman"/>
        </w:rPr>
        <w:t xml:space="preserve"> major field crops (Dhingra and Sinclair, 1977). Disease incidence is strongly favoured by high temperatures and drought stress, though the fungus can also persist in moist soil in a latent state until favourable conditions trigger disease development (Meyer </w:t>
      </w:r>
      <w:r w:rsidR="004B3F21" w:rsidRPr="000A5C2C">
        <w:rPr>
          <w:rFonts w:ascii="Times New Roman" w:hAnsi="Times New Roman" w:cs="Times New Roman"/>
          <w:i/>
        </w:rPr>
        <w:t>et al</w:t>
      </w:r>
      <w:r w:rsidR="00455A7B" w:rsidRPr="000A5C2C">
        <w:rPr>
          <w:rFonts w:ascii="Times New Roman" w:hAnsi="Times New Roman" w:cs="Times New Roman"/>
        </w:rPr>
        <w:t xml:space="preserve">., 1974; Kaur </w:t>
      </w:r>
      <w:r w:rsidR="004B3F21" w:rsidRPr="000A5C2C">
        <w:rPr>
          <w:rFonts w:ascii="Times New Roman" w:hAnsi="Times New Roman" w:cs="Times New Roman"/>
          <w:i/>
        </w:rPr>
        <w:t>et al</w:t>
      </w:r>
      <w:r w:rsidR="00455A7B" w:rsidRPr="000A5C2C">
        <w:rPr>
          <w:rFonts w:ascii="Times New Roman" w:hAnsi="Times New Roman" w:cs="Times New Roman"/>
        </w:rPr>
        <w:t xml:space="preserve">., 2012). </w:t>
      </w:r>
      <w:r w:rsidR="009F1A94">
        <w:rPr>
          <w:rFonts w:ascii="Times New Roman" w:hAnsi="Times New Roman" w:cs="Times New Roman"/>
        </w:rPr>
        <w:t>“</w:t>
      </w:r>
      <w:r w:rsidR="00455A7B" w:rsidRPr="000A5C2C">
        <w:rPr>
          <w:rFonts w:ascii="Times New Roman" w:hAnsi="Times New Roman" w:cs="Times New Roman"/>
        </w:rPr>
        <w:t>In India, charcoal rot is estimated to cause annual yield losses of nearly 0.25 million tonnes, representing about 4.2% of the total production lost to diseases</w:t>
      </w:r>
      <w:r w:rsidR="009F1A94">
        <w:rPr>
          <w:rFonts w:ascii="Times New Roman" w:hAnsi="Times New Roman" w:cs="Times New Roman"/>
        </w:rPr>
        <w:t>”</w:t>
      </w:r>
      <w:r w:rsidR="00455A7B" w:rsidRPr="000A5C2C">
        <w:rPr>
          <w:rFonts w:ascii="Times New Roman" w:hAnsi="Times New Roman" w:cs="Times New Roman"/>
        </w:rPr>
        <w:t xml:space="preserve"> (Rajput </w:t>
      </w:r>
      <w:r w:rsidR="004B3F21" w:rsidRPr="000A5C2C">
        <w:rPr>
          <w:rFonts w:ascii="Times New Roman" w:hAnsi="Times New Roman" w:cs="Times New Roman"/>
          <w:i/>
        </w:rPr>
        <w:t>et al</w:t>
      </w:r>
      <w:r w:rsidR="00455A7B" w:rsidRPr="000A5C2C">
        <w:rPr>
          <w:rFonts w:ascii="Times New Roman" w:hAnsi="Times New Roman" w:cs="Times New Roman"/>
        </w:rPr>
        <w:t xml:space="preserve">., 2025). </w:t>
      </w:r>
      <w:r>
        <w:rPr>
          <w:rFonts w:ascii="Times New Roman" w:hAnsi="Times New Roman" w:cs="Times New Roman"/>
        </w:rPr>
        <w:t>“</w:t>
      </w:r>
      <w:r w:rsidR="00455A7B" w:rsidRPr="000A5C2C">
        <w:rPr>
          <w:rFonts w:ascii="Times New Roman" w:hAnsi="Times New Roman" w:cs="Times New Roman"/>
        </w:rPr>
        <w:t xml:space="preserve">With its wide host range, environmental adaptability and strong association with climate stress, </w:t>
      </w:r>
      <w:r w:rsidR="00455A7B" w:rsidRPr="000A5C2C">
        <w:rPr>
          <w:rFonts w:ascii="Times New Roman" w:hAnsi="Times New Roman" w:cs="Times New Roman"/>
          <w:i/>
          <w:iCs/>
        </w:rPr>
        <w:t>M. phaseolina</w:t>
      </w:r>
      <w:r w:rsidR="00455A7B" w:rsidRPr="000A5C2C">
        <w:rPr>
          <w:rFonts w:ascii="Times New Roman" w:hAnsi="Times New Roman" w:cs="Times New Roman"/>
        </w:rPr>
        <w:t xml:space="preserve"> poses a serious threat to sustainable soybean cultivation worldwide. </w:t>
      </w:r>
      <w:r w:rsidR="00F97A17" w:rsidRPr="000A5C2C">
        <w:rPr>
          <w:rFonts w:ascii="Times New Roman" w:eastAsia="Arial" w:hAnsi="Times New Roman" w:cs="Times New Roman"/>
          <w:bCs/>
        </w:rPr>
        <w:t xml:space="preserve">A thorough understanding of the pathogenic and genetic variability of </w:t>
      </w:r>
      <w:r w:rsidR="00F97A17" w:rsidRPr="000A5C2C">
        <w:rPr>
          <w:rFonts w:ascii="Times New Roman" w:eastAsia="Arial" w:hAnsi="Times New Roman" w:cs="Times New Roman"/>
          <w:bCs/>
          <w:i/>
          <w:iCs/>
        </w:rPr>
        <w:t>M. phaseolina</w:t>
      </w:r>
      <w:r w:rsidR="00F97A17" w:rsidRPr="000A5C2C">
        <w:rPr>
          <w:rFonts w:ascii="Times New Roman" w:eastAsia="Arial" w:hAnsi="Times New Roman" w:cs="Times New Roman"/>
          <w:bCs/>
        </w:rPr>
        <w:t xml:space="preserve"> is essential for effective disease management. Insights into genetic diversity can aid in identifying virulent isolates specific to different regions, breeding resistant soybean varieties, refining screening methodologies</w:t>
      </w:r>
      <w:r w:rsidR="006F403B" w:rsidRPr="000A5C2C">
        <w:rPr>
          <w:rFonts w:ascii="Times New Roman" w:eastAsia="Arial" w:hAnsi="Times New Roman" w:cs="Times New Roman"/>
          <w:bCs/>
        </w:rPr>
        <w:t xml:space="preserve"> and</w:t>
      </w:r>
      <w:r w:rsidR="00F97A17" w:rsidRPr="000A5C2C">
        <w:rPr>
          <w:rFonts w:ascii="Times New Roman" w:eastAsia="Arial" w:hAnsi="Times New Roman" w:cs="Times New Roman"/>
          <w:bCs/>
        </w:rPr>
        <w:t xml:space="preserve"> enhancing epidemiological predictions</w:t>
      </w:r>
      <w:r>
        <w:rPr>
          <w:rFonts w:ascii="Times New Roman" w:eastAsia="Arial" w:hAnsi="Times New Roman" w:cs="Times New Roman"/>
          <w:bCs/>
        </w:rPr>
        <w:t>”</w:t>
      </w:r>
      <w:r w:rsidR="00F97A17" w:rsidRPr="000A5C2C">
        <w:rPr>
          <w:rFonts w:ascii="Times New Roman" w:eastAsia="Arial" w:hAnsi="Times New Roman" w:cs="Times New Roman"/>
          <w:bCs/>
        </w:rPr>
        <w:t xml:space="preserve"> (Dhingra and Sinclair, 1973; Rajput </w:t>
      </w:r>
      <w:r w:rsidR="00F97A17" w:rsidRPr="000A5C2C">
        <w:rPr>
          <w:rFonts w:ascii="Times New Roman" w:eastAsia="Arial" w:hAnsi="Times New Roman" w:cs="Times New Roman"/>
          <w:bCs/>
          <w:i/>
          <w:iCs/>
        </w:rPr>
        <w:t>et al.,</w:t>
      </w:r>
      <w:r w:rsidR="00F97A17" w:rsidRPr="000A5C2C">
        <w:rPr>
          <w:rFonts w:ascii="Times New Roman" w:eastAsia="Arial" w:hAnsi="Times New Roman" w:cs="Times New Roman"/>
          <w:bCs/>
        </w:rPr>
        <w:t xml:space="preserve"> 2025). </w:t>
      </w:r>
      <w:r w:rsidR="009F1A94">
        <w:rPr>
          <w:rFonts w:ascii="Times New Roman" w:eastAsia="Arial" w:hAnsi="Times New Roman" w:cs="Times New Roman"/>
          <w:bCs/>
        </w:rPr>
        <w:t>“</w:t>
      </w:r>
      <w:r w:rsidR="00F97A17" w:rsidRPr="000A5C2C">
        <w:rPr>
          <w:rFonts w:ascii="Times New Roman" w:eastAsia="Arial" w:hAnsi="Times New Roman" w:cs="Times New Roman"/>
          <w:bCs/>
        </w:rPr>
        <w:t>Considering the pivotal role of microsclerotia in pathogen survival and dissemination, evaluating their viability is crucial for designing field-level control strategies. Among available management options, fungicide application remains the most widely adopted and immediate measure for controlling charcoal rot in soybean</w:t>
      </w:r>
      <w:r w:rsidR="009F1A94">
        <w:rPr>
          <w:rFonts w:ascii="Times New Roman" w:eastAsia="Arial" w:hAnsi="Times New Roman" w:cs="Times New Roman"/>
          <w:bCs/>
        </w:rPr>
        <w:t>”</w:t>
      </w:r>
      <w:r w:rsidR="00F97A17" w:rsidRPr="000A5C2C">
        <w:rPr>
          <w:rFonts w:ascii="Times New Roman" w:eastAsia="Arial" w:hAnsi="Times New Roman" w:cs="Times New Roman"/>
          <w:bCs/>
        </w:rPr>
        <w:t xml:space="preserve"> (Rahman </w:t>
      </w:r>
      <w:r w:rsidR="00F97A17" w:rsidRPr="000A5C2C">
        <w:rPr>
          <w:rFonts w:ascii="Times New Roman" w:eastAsia="Arial" w:hAnsi="Times New Roman" w:cs="Times New Roman"/>
          <w:bCs/>
          <w:i/>
          <w:iCs/>
        </w:rPr>
        <w:t>et al.,</w:t>
      </w:r>
      <w:r w:rsidR="00F97A17" w:rsidRPr="000A5C2C">
        <w:rPr>
          <w:rFonts w:ascii="Times New Roman" w:eastAsia="Arial" w:hAnsi="Times New Roman" w:cs="Times New Roman"/>
          <w:bCs/>
        </w:rPr>
        <w:t xml:space="preserve"> 2021; </w:t>
      </w:r>
      <w:proofErr w:type="spellStart"/>
      <w:r w:rsidR="00F97A17" w:rsidRPr="000A5C2C">
        <w:rPr>
          <w:rFonts w:ascii="Times New Roman" w:eastAsia="Arial" w:hAnsi="Times New Roman" w:cs="Times New Roman"/>
          <w:bCs/>
        </w:rPr>
        <w:t>Kharte</w:t>
      </w:r>
      <w:proofErr w:type="spellEnd"/>
      <w:r w:rsidR="00F97A17" w:rsidRPr="000A5C2C">
        <w:rPr>
          <w:rFonts w:ascii="Times New Roman" w:eastAsia="Arial" w:hAnsi="Times New Roman" w:cs="Times New Roman"/>
          <w:bCs/>
        </w:rPr>
        <w:t xml:space="preserve"> </w:t>
      </w:r>
      <w:r w:rsidR="00F97A17" w:rsidRPr="000A5C2C">
        <w:rPr>
          <w:rFonts w:ascii="Times New Roman" w:eastAsia="Arial" w:hAnsi="Times New Roman" w:cs="Times New Roman"/>
          <w:bCs/>
          <w:i/>
          <w:iCs/>
        </w:rPr>
        <w:t>et al.,</w:t>
      </w:r>
      <w:r w:rsidR="00F97A17" w:rsidRPr="000A5C2C">
        <w:rPr>
          <w:rFonts w:ascii="Times New Roman" w:eastAsia="Arial" w:hAnsi="Times New Roman" w:cs="Times New Roman"/>
          <w:bCs/>
        </w:rPr>
        <w:t xml:space="preserve"> 2022). </w:t>
      </w:r>
      <w:r w:rsidR="009F1A94">
        <w:rPr>
          <w:rFonts w:ascii="Times New Roman" w:eastAsia="Arial" w:hAnsi="Times New Roman" w:cs="Times New Roman"/>
          <w:bCs/>
        </w:rPr>
        <w:t>“</w:t>
      </w:r>
      <w:r w:rsidR="00F97A17" w:rsidRPr="000A5C2C">
        <w:rPr>
          <w:rFonts w:ascii="Times New Roman" w:eastAsia="Arial" w:hAnsi="Times New Roman" w:cs="Times New Roman"/>
          <w:bCs/>
        </w:rPr>
        <w:t>Therefore, integrating knowledge of pathogen genetic variability with targeted fungicide management offers a promising approach for mitigating the impact of charcoal rot and enhancing soybean productivity.</w:t>
      </w:r>
      <w:r w:rsidR="000A5C2C">
        <w:rPr>
          <w:rFonts w:ascii="Times New Roman" w:eastAsia="Arial" w:hAnsi="Times New Roman" w:cs="Times New Roman"/>
          <w:bCs/>
        </w:rPr>
        <w:t xml:space="preserve"> Therefore,</w:t>
      </w:r>
      <w:r w:rsidR="000A5C2C" w:rsidRPr="000A5C2C">
        <w:rPr>
          <w:rFonts w:ascii="Times New Roman" w:eastAsia="Arial" w:hAnsi="Times New Roman" w:cs="Times New Roman"/>
          <w:bCs/>
        </w:rPr>
        <w:t xml:space="preserve"> </w:t>
      </w:r>
      <w:r w:rsidR="000A5C2C" w:rsidRPr="000A5C2C">
        <w:rPr>
          <w:rFonts w:ascii="Times New Roman" w:hAnsi="Times New Roman" w:cs="Times New Roman"/>
        </w:rPr>
        <w:t>the</w:t>
      </w:r>
      <w:r w:rsidR="005D3B23">
        <w:rPr>
          <w:rFonts w:ascii="Times New Roman" w:hAnsi="Times New Roman" w:cs="Times New Roman"/>
        </w:rPr>
        <w:t xml:space="preserve"> </w:t>
      </w:r>
      <w:r w:rsidR="000A5C2C" w:rsidRPr="000A5C2C">
        <w:rPr>
          <w:rFonts w:ascii="Times New Roman" w:hAnsi="Times New Roman" w:cs="Times New Roman"/>
        </w:rPr>
        <w:t>precise and exact dose of fungicide reduce</w:t>
      </w:r>
      <w:r w:rsidR="000A5C2C">
        <w:rPr>
          <w:rFonts w:ascii="Times New Roman" w:hAnsi="Times New Roman" w:cs="Times New Roman"/>
        </w:rPr>
        <w:t>s</w:t>
      </w:r>
      <w:r w:rsidR="000A5C2C" w:rsidRPr="000A5C2C">
        <w:rPr>
          <w:rFonts w:ascii="Times New Roman" w:hAnsi="Times New Roman" w:cs="Times New Roman"/>
        </w:rPr>
        <w:t xml:space="preserve"> the excessive and arbitrary use of chemicals</w:t>
      </w:r>
      <w:r w:rsidR="009F1A94">
        <w:rPr>
          <w:rFonts w:ascii="Times New Roman" w:hAnsi="Times New Roman" w:cs="Times New Roman"/>
        </w:rPr>
        <w:t>”</w:t>
      </w:r>
      <w:r w:rsidR="00A028FF">
        <w:rPr>
          <w:rFonts w:ascii="Times New Roman" w:hAnsi="Times New Roman" w:cs="Times New Roman"/>
        </w:rPr>
        <w:t xml:space="preserve"> (Dhawan </w:t>
      </w:r>
      <w:r w:rsidR="00A028FF" w:rsidRPr="00A028FF">
        <w:rPr>
          <w:rFonts w:ascii="Times New Roman" w:hAnsi="Times New Roman" w:cs="Times New Roman"/>
          <w:i/>
          <w:iCs/>
        </w:rPr>
        <w:t>et al.,</w:t>
      </w:r>
      <w:r w:rsidR="00A028FF">
        <w:rPr>
          <w:rFonts w:ascii="Times New Roman" w:hAnsi="Times New Roman" w:cs="Times New Roman"/>
        </w:rPr>
        <w:t xml:space="preserve"> 2024)</w:t>
      </w:r>
      <w:r w:rsidR="000A5C2C" w:rsidRPr="000A5C2C">
        <w:rPr>
          <w:rFonts w:ascii="Times New Roman" w:hAnsi="Times New Roman" w:cs="Times New Roman"/>
        </w:rPr>
        <w:t>. The results of this study can therefore be incorporated into integrated  management practices.</w:t>
      </w:r>
    </w:p>
    <w:p w14:paraId="355BE8F4" w14:textId="1BB3AACC" w:rsidR="00F66963" w:rsidRPr="00792A44" w:rsidRDefault="00B750C0" w:rsidP="00455A7B">
      <w:pPr>
        <w:spacing w:before="240" w:line="360" w:lineRule="auto"/>
        <w:jc w:val="both"/>
        <w:rPr>
          <w:rFonts w:ascii="Times New Roman" w:hAnsi="Times New Roman" w:cs="Times New Roman"/>
          <w:b/>
          <w:bCs/>
        </w:rPr>
      </w:pPr>
      <w:r>
        <w:rPr>
          <w:rFonts w:ascii="Times New Roman" w:hAnsi="Times New Roman" w:cs="Times New Roman"/>
          <w:b/>
          <w:bCs/>
        </w:rPr>
        <w:t xml:space="preserve">2. </w:t>
      </w:r>
      <w:r w:rsidRPr="00792A44">
        <w:rPr>
          <w:rFonts w:ascii="Times New Roman" w:hAnsi="Times New Roman" w:cs="Times New Roman"/>
          <w:b/>
          <w:bCs/>
        </w:rPr>
        <w:t>MATERIALS AND METHODS</w:t>
      </w:r>
    </w:p>
    <w:p w14:paraId="4B8303D7" w14:textId="29D85C93" w:rsidR="00B750C0" w:rsidRDefault="00B750C0" w:rsidP="00B750C0">
      <w:pPr>
        <w:spacing w:before="240" w:line="360" w:lineRule="auto"/>
        <w:jc w:val="both"/>
        <w:rPr>
          <w:rFonts w:ascii="Times New Roman" w:hAnsi="Times New Roman" w:cs="Times New Roman"/>
          <w:b/>
          <w:bCs/>
        </w:rPr>
      </w:pPr>
      <w:r w:rsidRPr="00B750C0">
        <w:rPr>
          <w:rFonts w:ascii="Times New Roman" w:hAnsi="Times New Roman" w:cs="Times New Roman"/>
          <w:b/>
          <w:bCs/>
        </w:rPr>
        <w:t>2.1 ISOLATION AND IDENTIFICATION OF PATHOGEN</w:t>
      </w:r>
    </w:p>
    <w:p w14:paraId="13D84A83" w14:textId="6F0FC845" w:rsidR="00001553" w:rsidRDefault="00001553" w:rsidP="00001553">
      <w:pPr>
        <w:spacing w:after="240" w:line="360" w:lineRule="auto"/>
        <w:jc w:val="both"/>
        <w:rPr>
          <w:rFonts w:ascii="Times New Roman" w:hAnsi="Times New Roman" w:cs="Times New Roman"/>
        </w:rPr>
      </w:pPr>
      <w:r w:rsidRPr="00792A44">
        <w:rPr>
          <w:rFonts w:ascii="Times New Roman" w:hAnsi="Times New Roman" w:cs="Times New Roman"/>
        </w:rPr>
        <w:t xml:space="preserve">During the </w:t>
      </w:r>
      <w:r w:rsidRPr="007A7C69">
        <w:rPr>
          <w:rFonts w:ascii="Times New Roman" w:hAnsi="Times New Roman" w:cs="Times New Roman"/>
          <w:i/>
          <w:iCs/>
        </w:rPr>
        <w:t>Kharif</w:t>
      </w:r>
      <w:r w:rsidRPr="00792A44">
        <w:rPr>
          <w:rFonts w:ascii="Times New Roman" w:hAnsi="Times New Roman" w:cs="Times New Roman"/>
        </w:rPr>
        <w:t xml:space="preserve"> season of 2024, soybean plants exhibiting characteristic symptoms of charcoal rot were collected from Seed Technology Research Centre field, Jawaharlal Nehru Krishi Vishwa Vidyalaya, Jabalpur. </w:t>
      </w:r>
      <w:r w:rsidR="007A7C69">
        <w:rPr>
          <w:rFonts w:ascii="Times New Roman" w:hAnsi="Times New Roman" w:cs="Times New Roman"/>
        </w:rPr>
        <w:t>Collected r</w:t>
      </w:r>
      <w:r w:rsidRPr="00792A44">
        <w:rPr>
          <w:rFonts w:ascii="Times New Roman" w:hAnsi="Times New Roman" w:cs="Times New Roman"/>
        </w:rPr>
        <w:t xml:space="preserve">oot samples were washed under running tap water to remove </w:t>
      </w:r>
      <w:r w:rsidR="007A7C69">
        <w:rPr>
          <w:rFonts w:ascii="Times New Roman" w:hAnsi="Times New Roman" w:cs="Times New Roman"/>
        </w:rPr>
        <w:t xml:space="preserve">adhered </w:t>
      </w:r>
      <w:r w:rsidRPr="00792A44">
        <w:rPr>
          <w:rFonts w:ascii="Times New Roman" w:hAnsi="Times New Roman" w:cs="Times New Roman"/>
        </w:rPr>
        <w:t xml:space="preserve">soil debris, cut into small sections and surface sterilized by sequential immersion in 1% sodium hypochlorite for 30 seconds and 70% ethanol for 30 seconds. The sterilized tissues were rinsed thrice with sterile distilled water and dried on sterile tissue paper </w:t>
      </w:r>
      <w:r w:rsidRPr="00792A44">
        <w:rPr>
          <w:rFonts w:ascii="Times New Roman" w:hAnsi="Times New Roman" w:cs="Times New Roman"/>
        </w:rPr>
        <w:lastRenderedPageBreak/>
        <w:t>under aseptic conditions. Approximately 5 mm segments were placed on Potato Dextrose Agar (PDA) plates and incubated at 2</w:t>
      </w:r>
      <w:r w:rsidR="007A7C69">
        <w:rPr>
          <w:rFonts w:ascii="Times New Roman" w:hAnsi="Times New Roman" w:cs="Times New Roman"/>
        </w:rPr>
        <w:t>7</w:t>
      </w:r>
      <w:r w:rsidRPr="00792A44">
        <w:rPr>
          <w:rFonts w:ascii="Times New Roman" w:hAnsi="Times New Roman" w:cs="Times New Roman"/>
        </w:rPr>
        <w:t xml:space="preserve"> ± 2°C for 5</w:t>
      </w:r>
      <w:r w:rsidR="0078680F" w:rsidRPr="00792A44">
        <w:rPr>
          <w:rFonts w:ascii="Times New Roman" w:hAnsi="Times New Roman" w:cs="Times New Roman"/>
        </w:rPr>
        <w:t>-</w:t>
      </w:r>
      <w:r w:rsidRPr="00792A44">
        <w:rPr>
          <w:rFonts w:ascii="Times New Roman" w:hAnsi="Times New Roman" w:cs="Times New Roman"/>
        </w:rPr>
        <w:t xml:space="preserve">7 days. Fungal colonies showing greyish-black pigmentation and microsclerotia formation were sub-cultured on fresh PDA to obtain pure cultures. The pathogen was identified as </w:t>
      </w:r>
      <w:r w:rsidR="004607B7" w:rsidRPr="00792A44">
        <w:rPr>
          <w:rFonts w:ascii="Times New Roman" w:hAnsi="Times New Roman" w:cs="Times New Roman"/>
          <w:i/>
          <w:iCs/>
        </w:rPr>
        <w:t>M.</w:t>
      </w:r>
      <w:r w:rsidRPr="00792A44">
        <w:rPr>
          <w:rFonts w:ascii="Times New Roman" w:hAnsi="Times New Roman" w:cs="Times New Roman"/>
          <w:i/>
          <w:iCs/>
        </w:rPr>
        <w:t xml:space="preserve"> phaseolina</w:t>
      </w:r>
      <w:r w:rsidRPr="00792A44">
        <w:rPr>
          <w:rFonts w:ascii="Times New Roman" w:hAnsi="Times New Roman" w:cs="Times New Roman"/>
        </w:rPr>
        <w:t xml:space="preserve"> based on its cultural and microscopic features, including black, irregular microsclerotia and septate hyphae.</w:t>
      </w:r>
    </w:p>
    <w:p w14:paraId="4BE84CD5" w14:textId="0FC8B5BB" w:rsidR="00B750C0" w:rsidRDefault="00B750C0" w:rsidP="00B750C0">
      <w:pPr>
        <w:spacing w:line="360" w:lineRule="auto"/>
        <w:jc w:val="both"/>
        <w:rPr>
          <w:rFonts w:ascii="Times New Roman" w:hAnsi="Times New Roman" w:cs="Times New Roman"/>
          <w:b/>
          <w:bCs/>
        </w:rPr>
      </w:pPr>
      <w:r w:rsidRPr="00B750C0">
        <w:rPr>
          <w:rFonts w:ascii="Times New Roman" w:hAnsi="Times New Roman" w:cs="Times New Roman"/>
          <w:b/>
          <w:bCs/>
        </w:rPr>
        <w:t>2.2</w:t>
      </w:r>
      <w:r w:rsidR="00883B99">
        <w:rPr>
          <w:rFonts w:ascii="Times New Roman" w:hAnsi="Times New Roman" w:cs="Times New Roman"/>
          <w:b/>
          <w:bCs/>
        </w:rPr>
        <w:t xml:space="preserve"> </w:t>
      </w:r>
      <w:r w:rsidRPr="00B750C0">
        <w:rPr>
          <w:rFonts w:ascii="Times New Roman" w:hAnsi="Times New Roman" w:cs="Times New Roman"/>
          <w:b/>
          <w:bCs/>
        </w:rPr>
        <w:t>GENOMIC DNA ISOLATION AND QUANTIFICATION</w:t>
      </w:r>
    </w:p>
    <w:p w14:paraId="32549483" w14:textId="71D22CB2" w:rsidR="009F1A94" w:rsidRPr="009F1A94" w:rsidRDefault="007C05C5" w:rsidP="009F1A94">
      <w:pPr>
        <w:jc w:val="both"/>
        <w:rPr>
          <w:rFonts w:ascii="Times New Roman" w:eastAsia="Times New Roman" w:hAnsi="Times New Roman" w:cs="Times New Roman"/>
          <w:kern w:val="0"/>
          <w:lang w:val="en-US"/>
          <w14:ligatures w14:val="none"/>
        </w:rPr>
      </w:pPr>
      <w:r w:rsidRPr="00A75E8D">
        <w:rPr>
          <w:rFonts w:ascii="Times New Roman" w:hAnsi="Times New Roman" w:cs="Times New Roman"/>
        </w:rPr>
        <w:t>The</w:t>
      </w:r>
      <w:r w:rsidRPr="00A75E8D">
        <w:rPr>
          <w:rFonts w:ascii="Times New Roman" w:hAnsi="Times New Roman" w:cs="Times New Roman"/>
          <w:b/>
          <w:bCs/>
        </w:rPr>
        <w:t xml:space="preserve"> </w:t>
      </w:r>
      <w:r w:rsidRPr="00A75E8D">
        <w:rPr>
          <w:rFonts w:ascii="Times New Roman" w:hAnsi="Times New Roman" w:cs="Times New Roman"/>
        </w:rPr>
        <w:t>g</w:t>
      </w:r>
      <w:r w:rsidR="00C34AE4" w:rsidRPr="00A75E8D">
        <w:rPr>
          <w:rFonts w:ascii="Times New Roman" w:hAnsi="Times New Roman" w:cs="Times New Roman"/>
        </w:rPr>
        <w:t xml:space="preserve">enomic DNA was extracted from the mycelial cultures using the modified CTAB method (Doyle 1990). Pure culture of </w:t>
      </w:r>
      <w:r w:rsidR="00C34AE4" w:rsidRPr="00A75E8D">
        <w:rPr>
          <w:rFonts w:ascii="Times New Roman" w:hAnsi="Times New Roman" w:cs="Times New Roman"/>
          <w:i/>
          <w:iCs/>
        </w:rPr>
        <w:t>M. phaseolina</w:t>
      </w:r>
      <w:r w:rsidR="00C34AE4" w:rsidRPr="00A75E8D">
        <w:rPr>
          <w:rFonts w:ascii="Times New Roman" w:hAnsi="Times New Roman" w:cs="Times New Roman"/>
        </w:rPr>
        <w:t xml:space="preserve"> was grown in Potato Dextrose Broth for seven days </w:t>
      </w:r>
      <w:r w:rsidRPr="00A75E8D">
        <w:rPr>
          <w:rFonts w:ascii="Times New Roman" w:hAnsi="Times New Roman" w:cs="Times New Roman"/>
        </w:rPr>
        <w:t>in an incubator at 27 ± 2</w:t>
      </w:r>
      <w:r w:rsidR="0075521E">
        <w:rPr>
          <w:rFonts w:ascii="Times New Roman" w:hAnsi="Times New Roman" w:cs="Times New Roman"/>
        </w:rPr>
        <w:t xml:space="preserve"> </w:t>
      </w:r>
      <w:r w:rsidRPr="00A75E8D">
        <w:rPr>
          <w:rFonts w:ascii="Times New Roman" w:hAnsi="Times New Roman" w:cs="Times New Roman"/>
        </w:rPr>
        <w:t>°C for 7 days</w:t>
      </w:r>
      <w:r w:rsidR="00C34AE4" w:rsidRPr="00A75E8D">
        <w:rPr>
          <w:rFonts w:ascii="Times New Roman" w:hAnsi="Times New Roman" w:cs="Times New Roman"/>
        </w:rPr>
        <w:t xml:space="preserve">. </w:t>
      </w:r>
      <w:r w:rsidR="009F1A94" w:rsidRPr="009F1A94">
        <w:rPr>
          <w:rFonts w:ascii="Times New Roman" w:eastAsia="Times New Roman" w:hAnsi="Times New Roman" w:cs="Times New Roman"/>
          <w:kern w:val="0"/>
          <w:lang w:val="en-US"/>
          <w14:ligatures w14:val="none"/>
        </w:rPr>
        <w:t>The collected mycelial mass was filtered, dried thoroughly, and powdered finely in liquid nitrogen. Approximately 150-200 mg of mycelium underwent CTAB extraction with a buffer (100 mM Tris-Cl, 50 mM EDTA, 500 mM NaCl, 10 mM 2-mercaptoethanol), followed by SDS lysis, potassium acetate precipitation, chloroform extraction, and the precipitation of DNA using isopropanol. The pellet obtained was rinsed with 70% ethanol, allowed to air dry, and then dissolved in TE buffer (pH 8.0) at 37 °C, achieving a final concentration of 50 ng/µl for PCR amplifications. The purified genomic DNA was quantified by assessing absorbance at 260nm and 280nm using a UV-spectrophotometer</w:t>
      </w:r>
      <w:r w:rsidR="009F1A94">
        <w:rPr>
          <w:rFonts w:ascii="Times New Roman" w:eastAsia="Times New Roman" w:hAnsi="Times New Roman" w:cs="Times New Roman"/>
          <w:kern w:val="0"/>
          <w:lang w:val="en-US"/>
          <w14:ligatures w14:val="none"/>
        </w:rPr>
        <w:t>.</w:t>
      </w:r>
    </w:p>
    <w:p w14:paraId="1A139B02" w14:textId="2ADE6EFC" w:rsidR="00A75E8D" w:rsidRDefault="00A75E8D" w:rsidP="00001553">
      <w:pPr>
        <w:spacing w:after="240" w:line="360" w:lineRule="auto"/>
        <w:jc w:val="both"/>
        <w:rPr>
          <w:rFonts w:ascii="Times New Roman" w:hAnsi="Times New Roman" w:cs="Times New Roman"/>
        </w:rPr>
      </w:pPr>
    </w:p>
    <w:p w14:paraId="72E5A3AF" w14:textId="77777777" w:rsidR="00883B99" w:rsidRDefault="00883B99" w:rsidP="00883B99">
      <w:pPr>
        <w:spacing w:line="360" w:lineRule="auto"/>
        <w:jc w:val="both"/>
        <w:rPr>
          <w:rFonts w:ascii="Times New Roman" w:hAnsi="Times New Roman" w:cs="Times New Roman"/>
          <w:b/>
          <w:color w:val="000000"/>
          <w:shd w:val="clear" w:color="auto" w:fill="FFFFFF"/>
        </w:rPr>
      </w:pPr>
      <w:r w:rsidRPr="00883B99">
        <w:rPr>
          <w:rFonts w:ascii="Times New Roman" w:hAnsi="Times New Roman" w:cs="Times New Roman"/>
          <w:b/>
          <w:color w:val="000000"/>
          <w:shd w:val="clear" w:color="auto" w:fill="FFFFFF"/>
        </w:rPr>
        <w:t>2.3 PCR AMPLIFICATION</w:t>
      </w:r>
    </w:p>
    <w:p w14:paraId="30DAC189" w14:textId="4E2348B6" w:rsidR="006D56F2" w:rsidRDefault="00553CAD" w:rsidP="006D56F2">
      <w:pPr>
        <w:spacing w:after="240" w:line="360" w:lineRule="auto"/>
        <w:jc w:val="both"/>
        <w:rPr>
          <w:rFonts w:ascii="Times New Roman" w:hAnsi="Times New Roman" w:cs="Times New Roman"/>
          <w:bCs/>
        </w:rPr>
      </w:pPr>
      <w:r w:rsidRPr="006D56F2">
        <w:rPr>
          <w:rFonts w:ascii="Times New Roman" w:hAnsi="Times New Roman" w:cs="Times New Roman"/>
          <w:bCs/>
        </w:rPr>
        <w:t xml:space="preserve">The rDNA region comprising </w:t>
      </w:r>
      <w:r w:rsidRPr="009704FD">
        <w:rPr>
          <w:rFonts w:ascii="Times New Roman" w:hAnsi="Times New Roman" w:cs="Times New Roman"/>
          <w:bCs/>
          <w:i/>
          <w:iCs/>
        </w:rPr>
        <w:t>ITS</w:t>
      </w:r>
      <w:r w:rsidRPr="006D56F2">
        <w:rPr>
          <w:rFonts w:ascii="Times New Roman" w:hAnsi="Times New Roman" w:cs="Times New Roman"/>
          <w:bCs/>
        </w:rPr>
        <w:t>-1, 5.8S rDNA</w:t>
      </w:r>
      <w:r w:rsidR="006F403B">
        <w:rPr>
          <w:rFonts w:ascii="Times New Roman" w:hAnsi="Times New Roman" w:cs="Times New Roman"/>
          <w:bCs/>
        </w:rPr>
        <w:t xml:space="preserve"> and</w:t>
      </w:r>
      <w:r w:rsidRPr="006D56F2">
        <w:rPr>
          <w:rFonts w:ascii="Times New Roman" w:hAnsi="Times New Roman" w:cs="Times New Roman"/>
          <w:bCs/>
        </w:rPr>
        <w:t xml:space="preserve"> </w:t>
      </w:r>
      <w:r w:rsidR="00410164" w:rsidRPr="00410164">
        <w:rPr>
          <w:rFonts w:ascii="Times New Roman" w:hAnsi="Times New Roman" w:cs="Times New Roman"/>
          <w:bCs/>
          <w:i/>
        </w:rPr>
        <w:t>ITS</w:t>
      </w:r>
      <w:r w:rsidRPr="006D56F2">
        <w:rPr>
          <w:rFonts w:ascii="Times New Roman" w:hAnsi="Times New Roman" w:cs="Times New Roman"/>
          <w:bCs/>
        </w:rPr>
        <w:t xml:space="preserve">-2 was amplified using primers designed from conserved regions of the small subunit (SSU) rDNA gene. The primer pair employed for amplification was </w:t>
      </w:r>
      <w:r w:rsidR="00410164" w:rsidRPr="00410164">
        <w:rPr>
          <w:rFonts w:ascii="Times New Roman" w:hAnsi="Times New Roman" w:cs="Times New Roman"/>
          <w:bCs/>
          <w:i/>
        </w:rPr>
        <w:t>ITS</w:t>
      </w:r>
      <w:r w:rsidRPr="006D56F2">
        <w:rPr>
          <w:rFonts w:ascii="Times New Roman" w:hAnsi="Times New Roman" w:cs="Times New Roman"/>
          <w:bCs/>
        </w:rPr>
        <w:t xml:space="preserve">-1 (5′-TCCGTAGGTGAACCTGCGG-3′) and </w:t>
      </w:r>
      <w:r w:rsidR="00410164" w:rsidRPr="00410164">
        <w:rPr>
          <w:rFonts w:ascii="Times New Roman" w:hAnsi="Times New Roman" w:cs="Times New Roman"/>
          <w:bCs/>
          <w:i/>
        </w:rPr>
        <w:t>ITS</w:t>
      </w:r>
      <w:r w:rsidRPr="006D56F2">
        <w:rPr>
          <w:rFonts w:ascii="Times New Roman" w:hAnsi="Times New Roman" w:cs="Times New Roman"/>
          <w:bCs/>
        </w:rPr>
        <w:t xml:space="preserve">-4 (5′-TCCTCCGCTTATTGATATGC-3′) as described by White </w:t>
      </w:r>
      <w:r w:rsidRPr="009704FD">
        <w:rPr>
          <w:rFonts w:ascii="Times New Roman" w:hAnsi="Times New Roman" w:cs="Times New Roman"/>
          <w:bCs/>
          <w:i/>
          <w:iCs/>
        </w:rPr>
        <w:t>et al.</w:t>
      </w:r>
      <w:r w:rsidRPr="006D56F2">
        <w:rPr>
          <w:rFonts w:ascii="Times New Roman" w:hAnsi="Times New Roman" w:cs="Times New Roman"/>
          <w:bCs/>
        </w:rPr>
        <w:t xml:space="preserve"> (1990). PCR assay was carried out in a 50 µl reaction mixture containing 5 µl DNA template (25 ng/µl), 5 µl 10X reaction buffer, 3.5 µl </w:t>
      </w:r>
      <w:proofErr w:type="spellStart"/>
      <w:r w:rsidRPr="006D56F2">
        <w:rPr>
          <w:rFonts w:ascii="Times New Roman" w:hAnsi="Times New Roman" w:cs="Times New Roman"/>
          <w:bCs/>
        </w:rPr>
        <w:t>MgCl</w:t>
      </w:r>
      <w:proofErr w:type="spellEnd"/>
      <w:r w:rsidRPr="006D56F2">
        <w:rPr>
          <w:rFonts w:ascii="Times New Roman" w:hAnsi="Times New Roman" w:cs="Times New Roman"/>
          <w:bCs/>
        </w:rPr>
        <w:t>₂ (50 µM), 1 µl dNTP mix (10 mM), 2.5 µl each of forward (10 µM) and reverse (10 µM) primers and 1 µl Taq DNA polymerase (5 U/µl). The final volume of 50 µl was made up with molecular</w:t>
      </w:r>
      <w:r w:rsidR="00780A80">
        <w:rPr>
          <w:rFonts w:ascii="Times New Roman" w:hAnsi="Times New Roman" w:cs="Times New Roman"/>
          <w:bCs/>
        </w:rPr>
        <w:t xml:space="preserve"> </w:t>
      </w:r>
      <w:r w:rsidRPr="006D56F2">
        <w:rPr>
          <w:rFonts w:ascii="Times New Roman" w:hAnsi="Times New Roman" w:cs="Times New Roman"/>
          <w:bCs/>
        </w:rPr>
        <w:t>grade water.</w:t>
      </w:r>
      <w:r w:rsidR="006D56F2" w:rsidRPr="006D56F2">
        <w:rPr>
          <w:rFonts w:ascii="Times New Roman" w:hAnsi="Times New Roman" w:cs="Times New Roman"/>
          <w:bCs/>
        </w:rPr>
        <w:t xml:space="preserve"> PCR amplification was performed in a</w:t>
      </w:r>
      <w:r w:rsidR="00E1424E">
        <w:rPr>
          <w:rFonts w:ascii="Times New Roman" w:hAnsi="Times New Roman" w:cs="Times New Roman"/>
          <w:bCs/>
        </w:rPr>
        <w:t xml:space="preserve"> thermocycler </w:t>
      </w:r>
      <w:r w:rsidR="006D56F2" w:rsidRPr="006D56F2">
        <w:rPr>
          <w:rFonts w:ascii="Times New Roman" w:hAnsi="Times New Roman" w:cs="Times New Roman"/>
          <w:bCs/>
        </w:rPr>
        <w:t>using the following thermal profile: initial denaturation at 94°C for 3 min, followed by 40 cycles of 94°C for 1 min, 54°C for 1 min</w:t>
      </w:r>
      <w:r w:rsidR="006F403B">
        <w:rPr>
          <w:rFonts w:ascii="Times New Roman" w:hAnsi="Times New Roman" w:cs="Times New Roman"/>
          <w:bCs/>
        </w:rPr>
        <w:t xml:space="preserve"> and</w:t>
      </w:r>
      <w:r w:rsidR="006D56F2" w:rsidRPr="006D56F2">
        <w:rPr>
          <w:rFonts w:ascii="Times New Roman" w:hAnsi="Times New Roman" w:cs="Times New Roman"/>
          <w:bCs/>
        </w:rPr>
        <w:t xml:space="preserve"> 72°C for 2 min</w:t>
      </w:r>
      <w:r w:rsidR="006D56F2">
        <w:rPr>
          <w:rFonts w:ascii="Times New Roman" w:hAnsi="Times New Roman" w:cs="Times New Roman"/>
          <w:bCs/>
        </w:rPr>
        <w:t xml:space="preserve"> </w:t>
      </w:r>
      <w:r w:rsidR="006D56F2" w:rsidRPr="006D56F2">
        <w:rPr>
          <w:rFonts w:ascii="Times New Roman" w:hAnsi="Times New Roman" w:cs="Times New Roman"/>
          <w:bCs/>
        </w:rPr>
        <w:t xml:space="preserve">with a final extension at 72°C for 5 min and an infinite hold at 4°C. </w:t>
      </w:r>
    </w:p>
    <w:p w14:paraId="7906C961" w14:textId="67D2531D" w:rsidR="00883B99" w:rsidRPr="00883B99" w:rsidRDefault="00883B99" w:rsidP="00883B99">
      <w:pPr>
        <w:spacing w:line="360" w:lineRule="auto"/>
        <w:jc w:val="both"/>
        <w:rPr>
          <w:rFonts w:ascii="Times New Roman" w:hAnsi="Times New Roman" w:cs="Times New Roman"/>
          <w:b/>
        </w:rPr>
      </w:pPr>
      <w:r w:rsidRPr="00883B99">
        <w:rPr>
          <w:rFonts w:ascii="Times New Roman" w:hAnsi="Times New Roman" w:cs="Times New Roman"/>
          <w:b/>
        </w:rPr>
        <w:t>2.4 SEQUENCING OF ITS REGION</w:t>
      </w:r>
    </w:p>
    <w:p w14:paraId="2ADD4EEF" w14:textId="43218C0E" w:rsidR="00E1424E" w:rsidRPr="00E1424E" w:rsidRDefault="00E1424E" w:rsidP="00E1424E">
      <w:pPr>
        <w:spacing w:after="240" w:line="360" w:lineRule="auto"/>
        <w:jc w:val="both"/>
        <w:rPr>
          <w:rFonts w:ascii="Times New Roman" w:hAnsi="Times New Roman" w:cs="Times New Roman"/>
          <w:bCs/>
        </w:rPr>
      </w:pPr>
      <w:r w:rsidRPr="006D56F2">
        <w:rPr>
          <w:rFonts w:ascii="Times New Roman" w:hAnsi="Times New Roman" w:cs="Times New Roman"/>
          <w:bCs/>
        </w:rPr>
        <w:t>A 5 µl aliquot of each PCR product was resolved on a 1.5% agarose gel containing ethidium bromide, electrophoresed at 70 V and visualized under UV light using a gel documentation system.</w:t>
      </w:r>
      <w:r>
        <w:rPr>
          <w:rFonts w:ascii="Times New Roman" w:hAnsi="Times New Roman" w:cs="Times New Roman"/>
          <w:bCs/>
        </w:rPr>
        <w:t xml:space="preserve"> A</w:t>
      </w:r>
      <w:r w:rsidRPr="006D56F2">
        <w:rPr>
          <w:rFonts w:ascii="Times New Roman" w:hAnsi="Times New Roman" w:cs="Times New Roman"/>
          <w:bCs/>
        </w:rPr>
        <w:t xml:space="preserve"> 100 bp DNA ladders served as molecular size markers. The amplified products were subsequently sequenced by Eurofins Genomics India </w:t>
      </w:r>
      <w:proofErr w:type="spellStart"/>
      <w:r w:rsidRPr="006D56F2">
        <w:rPr>
          <w:rFonts w:ascii="Times New Roman" w:hAnsi="Times New Roman" w:cs="Times New Roman"/>
          <w:bCs/>
        </w:rPr>
        <w:t>Pvt.</w:t>
      </w:r>
      <w:proofErr w:type="spellEnd"/>
      <w:r w:rsidRPr="006D56F2">
        <w:rPr>
          <w:rFonts w:ascii="Times New Roman" w:hAnsi="Times New Roman" w:cs="Times New Roman"/>
          <w:bCs/>
        </w:rPr>
        <w:t xml:space="preserve"> Ltd.</w:t>
      </w:r>
      <w:r>
        <w:rPr>
          <w:rFonts w:ascii="Times New Roman" w:hAnsi="Times New Roman" w:cs="Times New Roman"/>
          <w:bCs/>
        </w:rPr>
        <w:t xml:space="preserve"> </w:t>
      </w:r>
      <w:r w:rsidRPr="001D2AD5">
        <w:rPr>
          <w:rFonts w:ascii="Arial" w:hAnsi="Arial" w:cs="Arial"/>
        </w:rPr>
        <w:t>.</w:t>
      </w:r>
      <w:r>
        <w:rPr>
          <w:rFonts w:ascii="Arial" w:hAnsi="Arial" w:cs="Arial"/>
        </w:rPr>
        <w:t xml:space="preserve"> </w:t>
      </w:r>
      <w:r w:rsidRPr="00E1424E">
        <w:rPr>
          <w:rFonts w:ascii="Times New Roman" w:hAnsi="Times New Roman" w:cs="Times New Roman"/>
        </w:rPr>
        <w:t>Raw sequence w</w:t>
      </w:r>
      <w:r w:rsidR="00ED7BFF">
        <w:rPr>
          <w:rFonts w:ascii="Times New Roman" w:hAnsi="Times New Roman" w:cs="Times New Roman"/>
        </w:rPr>
        <w:t>as</w:t>
      </w:r>
      <w:r w:rsidRPr="00E1424E">
        <w:rPr>
          <w:rFonts w:ascii="Times New Roman" w:hAnsi="Times New Roman" w:cs="Times New Roman"/>
        </w:rPr>
        <w:t xml:space="preserve"> assembled </w:t>
      </w:r>
      <w:r w:rsidRPr="00E1424E">
        <w:rPr>
          <w:rFonts w:ascii="Times New Roman" w:hAnsi="Times New Roman" w:cs="Times New Roman"/>
        </w:rPr>
        <w:lastRenderedPageBreak/>
        <w:t>and edited using sequence alignment software (MEGA 12). Consensus sequence</w:t>
      </w:r>
      <w:r w:rsidR="00ED7BFF">
        <w:rPr>
          <w:rFonts w:ascii="Times New Roman" w:hAnsi="Times New Roman" w:cs="Times New Roman"/>
        </w:rPr>
        <w:t xml:space="preserve"> </w:t>
      </w:r>
      <w:r w:rsidRPr="00E1424E">
        <w:rPr>
          <w:rFonts w:ascii="Times New Roman" w:hAnsi="Times New Roman" w:cs="Times New Roman"/>
        </w:rPr>
        <w:t>w</w:t>
      </w:r>
      <w:r w:rsidR="00ED7BFF">
        <w:rPr>
          <w:rFonts w:ascii="Times New Roman" w:hAnsi="Times New Roman" w:cs="Times New Roman"/>
        </w:rPr>
        <w:t xml:space="preserve">as </w:t>
      </w:r>
      <w:r w:rsidRPr="00E1424E">
        <w:rPr>
          <w:rFonts w:ascii="Times New Roman" w:hAnsi="Times New Roman" w:cs="Times New Roman"/>
        </w:rPr>
        <w:t>subjected to BLAST (</w:t>
      </w:r>
      <w:r w:rsidRPr="00E1424E">
        <w:rPr>
          <w:rFonts w:ascii="Times New Roman" w:hAnsi="Times New Roman" w:cs="Times New Roman"/>
          <w:i/>
          <w:iCs/>
        </w:rPr>
        <w:t>B</w:t>
      </w:r>
      <w:r w:rsidRPr="00E1424E">
        <w:rPr>
          <w:rFonts w:ascii="Times New Roman" w:hAnsi="Times New Roman" w:cs="Times New Roman"/>
        </w:rPr>
        <w:t xml:space="preserve">asic </w:t>
      </w:r>
      <w:r w:rsidRPr="00E1424E">
        <w:rPr>
          <w:rFonts w:ascii="Times New Roman" w:hAnsi="Times New Roman" w:cs="Times New Roman"/>
          <w:i/>
          <w:iCs/>
        </w:rPr>
        <w:t>L</w:t>
      </w:r>
      <w:r w:rsidRPr="00E1424E">
        <w:rPr>
          <w:rFonts w:ascii="Times New Roman" w:hAnsi="Times New Roman" w:cs="Times New Roman"/>
        </w:rPr>
        <w:t>ocal</w:t>
      </w:r>
      <w:r w:rsidRPr="00E1424E">
        <w:rPr>
          <w:rFonts w:ascii="Times New Roman" w:hAnsi="Times New Roman" w:cs="Times New Roman"/>
          <w:i/>
          <w:iCs/>
        </w:rPr>
        <w:t xml:space="preserve"> A</w:t>
      </w:r>
      <w:r w:rsidRPr="00E1424E">
        <w:rPr>
          <w:rFonts w:ascii="Times New Roman" w:hAnsi="Times New Roman" w:cs="Times New Roman"/>
        </w:rPr>
        <w:t xml:space="preserve">lignment </w:t>
      </w:r>
      <w:r w:rsidRPr="00E1424E">
        <w:rPr>
          <w:rFonts w:ascii="Times New Roman" w:hAnsi="Times New Roman" w:cs="Times New Roman"/>
          <w:i/>
          <w:iCs/>
        </w:rPr>
        <w:t>S</w:t>
      </w:r>
      <w:r w:rsidRPr="00E1424E">
        <w:rPr>
          <w:rFonts w:ascii="Times New Roman" w:hAnsi="Times New Roman" w:cs="Times New Roman"/>
        </w:rPr>
        <w:t xml:space="preserve">earch </w:t>
      </w:r>
      <w:r w:rsidRPr="00E1424E">
        <w:rPr>
          <w:rFonts w:ascii="Times New Roman" w:hAnsi="Times New Roman" w:cs="Times New Roman"/>
          <w:i/>
          <w:iCs/>
        </w:rPr>
        <w:t>T</w:t>
      </w:r>
      <w:r w:rsidRPr="00E1424E">
        <w:rPr>
          <w:rFonts w:ascii="Times New Roman" w:hAnsi="Times New Roman" w:cs="Times New Roman"/>
        </w:rPr>
        <w:t>ool) (</w:t>
      </w:r>
      <w:proofErr w:type="spellStart"/>
      <w:r w:rsidRPr="00E1424E">
        <w:rPr>
          <w:rFonts w:ascii="Times New Roman" w:hAnsi="Times New Roman" w:cs="Times New Roman"/>
        </w:rPr>
        <w:t>Altschul</w:t>
      </w:r>
      <w:proofErr w:type="spellEnd"/>
      <w:r w:rsidRPr="00E1424E">
        <w:rPr>
          <w:rFonts w:ascii="Times New Roman" w:hAnsi="Times New Roman" w:cs="Times New Roman"/>
        </w:rPr>
        <w:t xml:space="preserve"> </w:t>
      </w:r>
      <w:r w:rsidRPr="00E1424E">
        <w:rPr>
          <w:rFonts w:ascii="Times New Roman" w:hAnsi="Times New Roman" w:cs="Times New Roman"/>
          <w:i/>
          <w:iCs/>
        </w:rPr>
        <w:t>et al.,</w:t>
      </w:r>
      <w:r w:rsidRPr="00E1424E">
        <w:rPr>
          <w:rFonts w:ascii="Times New Roman" w:hAnsi="Times New Roman" w:cs="Times New Roman"/>
        </w:rPr>
        <w:t xml:space="preserve"> 1997) analysis through the NCBI database to identify closest matches and confirm the species identity. </w:t>
      </w:r>
      <w:r w:rsidR="00ED7BFF">
        <w:rPr>
          <w:rFonts w:ascii="Times New Roman" w:hAnsi="Times New Roman" w:cs="Times New Roman"/>
        </w:rPr>
        <w:t>The</w:t>
      </w:r>
      <w:r w:rsidRPr="00E1424E">
        <w:rPr>
          <w:rFonts w:ascii="Times New Roman" w:hAnsi="Times New Roman" w:cs="Times New Roman"/>
        </w:rPr>
        <w:t xml:space="preserve"> </w:t>
      </w:r>
      <w:r w:rsidR="00410164" w:rsidRPr="00410164">
        <w:rPr>
          <w:rFonts w:ascii="Times New Roman" w:hAnsi="Times New Roman" w:cs="Times New Roman"/>
          <w:i/>
          <w:iCs/>
        </w:rPr>
        <w:t>ITS</w:t>
      </w:r>
      <w:r w:rsidRPr="00E1424E">
        <w:rPr>
          <w:rFonts w:ascii="Times New Roman" w:hAnsi="Times New Roman" w:cs="Times New Roman"/>
        </w:rPr>
        <w:t xml:space="preserve"> sequence of </w:t>
      </w:r>
      <w:r w:rsidRPr="00E1424E">
        <w:rPr>
          <w:rFonts w:ascii="Times New Roman" w:hAnsi="Times New Roman" w:cs="Times New Roman"/>
          <w:i/>
          <w:iCs/>
        </w:rPr>
        <w:t>M. phaseolina</w:t>
      </w:r>
      <w:r w:rsidRPr="00E1424E">
        <w:rPr>
          <w:rFonts w:ascii="Times New Roman" w:hAnsi="Times New Roman" w:cs="Times New Roman"/>
        </w:rPr>
        <w:t xml:space="preserve"> </w:t>
      </w:r>
      <w:r w:rsidR="00C142D6">
        <w:rPr>
          <w:rFonts w:ascii="Times New Roman" w:hAnsi="Times New Roman" w:cs="Times New Roman"/>
        </w:rPr>
        <w:t>was</w:t>
      </w:r>
      <w:r w:rsidRPr="00E1424E">
        <w:rPr>
          <w:rFonts w:ascii="Times New Roman" w:hAnsi="Times New Roman" w:cs="Times New Roman"/>
        </w:rPr>
        <w:t xml:space="preserve"> submitted to the NCBI GenBank database.</w:t>
      </w:r>
    </w:p>
    <w:p w14:paraId="4D2AC371" w14:textId="1DDE5505" w:rsidR="00883B99" w:rsidRPr="00883B99" w:rsidRDefault="00883B99" w:rsidP="00883B99">
      <w:pPr>
        <w:spacing w:line="360" w:lineRule="auto"/>
        <w:jc w:val="both"/>
        <w:rPr>
          <w:rFonts w:ascii="Times New Roman" w:hAnsi="Times New Roman" w:cs="Times New Roman"/>
          <w:b/>
          <w:bCs/>
        </w:rPr>
      </w:pPr>
      <w:r w:rsidRPr="00883B99">
        <w:rPr>
          <w:rFonts w:ascii="Times New Roman" w:hAnsi="Times New Roman" w:cs="Times New Roman"/>
          <w:b/>
          <w:bCs/>
        </w:rPr>
        <w:t>2.5 EVALUATION OF FUNGICIDES</w:t>
      </w:r>
    </w:p>
    <w:p w14:paraId="0553AEAD" w14:textId="1A44BDDC" w:rsidR="004A0188" w:rsidRPr="009F1A94" w:rsidRDefault="004A0188" w:rsidP="00A905EC">
      <w:pPr>
        <w:jc w:val="both"/>
        <w:rPr>
          <w:rFonts w:ascii="Times New Roman" w:eastAsia="Times New Roman" w:hAnsi="Times New Roman" w:cs="Times New Roman"/>
          <w:kern w:val="0"/>
          <w:lang w:val="en-US"/>
          <w14:ligatures w14:val="none"/>
        </w:rPr>
      </w:pPr>
      <w:r w:rsidRPr="00792A44">
        <w:rPr>
          <w:rFonts w:ascii="Times New Roman" w:hAnsi="Times New Roman" w:cs="Times New Roman"/>
        </w:rPr>
        <w:t xml:space="preserve">The </w:t>
      </w:r>
      <w:r w:rsidRPr="00792A44">
        <w:rPr>
          <w:rFonts w:ascii="Times New Roman" w:hAnsi="Times New Roman" w:cs="Times New Roman"/>
          <w:i/>
          <w:iCs/>
        </w:rPr>
        <w:t>in</w:t>
      </w:r>
      <w:r w:rsidR="004929DE" w:rsidRPr="00792A44">
        <w:rPr>
          <w:rFonts w:ascii="Times New Roman" w:hAnsi="Times New Roman" w:cs="Times New Roman"/>
        </w:rPr>
        <w:t>-</w:t>
      </w:r>
      <w:r w:rsidRPr="00792A44">
        <w:rPr>
          <w:rFonts w:ascii="Times New Roman" w:hAnsi="Times New Roman" w:cs="Times New Roman"/>
          <w:i/>
          <w:iCs/>
        </w:rPr>
        <w:t>vitro</w:t>
      </w:r>
      <w:r w:rsidRPr="00792A44">
        <w:rPr>
          <w:rFonts w:ascii="Times New Roman" w:hAnsi="Times New Roman" w:cs="Times New Roman"/>
        </w:rPr>
        <w:t xml:space="preserve"> efficacy of </w:t>
      </w:r>
      <w:r w:rsidR="00F702B6" w:rsidRPr="00792A44">
        <w:rPr>
          <w:rFonts w:ascii="Times New Roman" w:hAnsi="Times New Roman" w:cs="Times New Roman"/>
        </w:rPr>
        <w:t xml:space="preserve"> twelve </w:t>
      </w:r>
      <w:r w:rsidRPr="00792A44">
        <w:rPr>
          <w:rFonts w:ascii="Times New Roman" w:hAnsi="Times New Roman" w:cs="Times New Roman"/>
        </w:rPr>
        <w:t xml:space="preserve">fungicides was assessed using the poisoned food technique </w:t>
      </w:r>
      <w:r w:rsidR="009175D7" w:rsidRPr="00792A44">
        <w:rPr>
          <w:rFonts w:ascii="Times New Roman" w:hAnsi="Times New Roman" w:cs="Times New Roman"/>
        </w:rPr>
        <w:t>(Nene and Thapliyal, 1993).</w:t>
      </w:r>
      <w:r w:rsidRPr="00792A44">
        <w:rPr>
          <w:rFonts w:ascii="Times New Roman" w:hAnsi="Times New Roman" w:cs="Times New Roman"/>
        </w:rPr>
        <w:t xml:space="preserve"> Six single</w:t>
      </w:r>
      <w:r w:rsidR="00393CC8" w:rsidRPr="00792A44">
        <w:rPr>
          <w:rFonts w:ascii="Times New Roman" w:hAnsi="Times New Roman" w:cs="Times New Roman"/>
        </w:rPr>
        <w:t xml:space="preserve"> </w:t>
      </w:r>
      <w:r w:rsidRPr="00792A44">
        <w:rPr>
          <w:rFonts w:ascii="Times New Roman" w:hAnsi="Times New Roman" w:cs="Times New Roman"/>
        </w:rPr>
        <w:t>compound fungicides</w:t>
      </w:r>
      <w:r w:rsidR="00393CC8" w:rsidRPr="00792A44">
        <w:rPr>
          <w:rFonts w:ascii="Times New Roman" w:hAnsi="Times New Roman" w:cs="Times New Roman"/>
        </w:rPr>
        <w:t xml:space="preserve"> namely </w:t>
      </w:r>
      <w:r w:rsidRPr="00792A44">
        <w:rPr>
          <w:rFonts w:ascii="Times New Roman" w:hAnsi="Times New Roman" w:cs="Times New Roman"/>
        </w:rPr>
        <w:t>Propiconazole 25% EC, Hexaconazole 5% SC, Tebuconazole 25.9% w/w EC, Carbendazim 50% WP, Mancozeb 75% WP and Pyraclostrobin 20% WG</w:t>
      </w:r>
      <w:r w:rsidR="00393CC8" w:rsidRPr="00792A44">
        <w:rPr>
          <w:rFonts w:ascii="Times New Roman" w:hAnsi="Times New Roman" w:cs="Times New Roman"/>
        </w:rPr>
        <w:t xml:space="preserve"> </w:t>
      </w:r>
      <w:r w:rsidRPr="00792A44">
        <w:rPr>
          <w:rFonts w:ascii="Times New Roman" w:hAnsi="Times New Roman" w:cs="Times New Roman"/>
        </w:rPr>
        <w:t xml:space="preserve">and six combination </w:t>
      </w:r>
      <w:r w:rsidR="00393CC8" w:rsidRPr="00792A44">
        <w:rPr>
          <w:rFonts w:ascii="Times New Roman" w:hAnsi="Times New Roman" w:cs="Times New Roman"/>
        </w:rPr>
        <w:t xml:space="preserve">of fungicides namely </w:t>
      </w:r>
      <w:r w:rsidRPr="00792A44">
        <w:rPr>
          <w:rFonts w:ascii="Times New Roman" w:hAnsi="Times New Roman" w:cs="Times New Roman"/>
        </w:rPr>
        <w:t xml:space="preserve">Metiram 55% + Pyraclostrobin 5% WG, Carboxin 37.5% + Thiram 37.5% WS, Carbendazim 25% + Mancozeb 50% WS, Thiophanate-methyl 450 + Pyraclostrobin 50 G/L (w/v) FS, </w:t>
      </w:r>
      <w:proofErr w:type="spellStart"/>
      <w:r w:rsidRPr="00792A44">
        <w:rPr>
          <w:rFonts w:ascii="Times New Roman" w:hAnsi="Times New Roman" w:cs="Times New Roman"/>
        </w:rPr>
        <w:t>Penflufen</w:t>
      </w:r>
      <w:proofErr w:type="spellEnd"/>
      <w:r w:rsidRPr="00792A44">
        <w:rPr>
          <w:rFonts w:ascii="Times New Roman" w:hAnsi="Times New Roman" w:cs="Times New Roman"/>
        </w:rPr>
        <w:t xml:space="preserve"> 13.28% w/w + </w:t>
      </w:r>
      <w:proofErr w:type="spellStart"/>
      <w:r w:rsidRPr="00792A44">
        <w:rPr>
          <w:rFonts w:ascii="Times New Roman" w:hAnsi="Times New Roman" w:cs="Times New Roman"/>
        </w:rPr>
        <w:t>Trifloxystrobin</w:t>
      </w:r>
      <w:proofErr w:type="spellEnd"/>
      <w:r w:rsidRPr="00792A44">
        <w:rPr>
          <w:rFonts w:ascii="Times New Roman" w:hAnsi="Times New Roman" w:cs="Times New Roman"/>
        </w:rPr>
        <w:t xml:space="preserve"> 13.28% w/w FS and Azoxystrobin 11% + Tebuconazole 18.3% SC</w:t>
      </w:r>
      <w:r w:rsidR="00393CC8" w:rsidRPr="00792A44">
        <w:rPr>
          <w:rFonts w:ascii="Times New Roman" w:hAnsi="Times New Roman" w:cs="Times New Roman"/>
        </w:rPr>
        <w:t xml:space="preserve"> </w:t>
      </w:r>
      <w:r w:rsidRPr="00792A44">
        <w:rPr>
          <w:rFonts w:ascii="Times New Roman" w:hAnsi="Times New Roman" w:cs="Times New Roman"/>
        </w:rPr>
        <w:t>were evaluated at concentrations of 100, 250 and 500 ppm.</w:t>
      </w:r>
      <w:r w:rsidR="00393CC8" w:rsidRPr="00792A44">
        <w:rPr>
          <w:rFonts w:ascii="Times New Roman" w:hAnsi="Times New Roman" w:cs="Times New Roman"/>
        </w:rPr>
        <w:t xml:space="preserve"> </w:t>
      </w:r>
      <w:r w:rsidR="00001553" w:rsidRPr="00792A44">
        <w:rPr>
          <w:rFonts w:ascii="Times New Roman" w:hAnsi="Times New Roman" w:cs="Times New Roman"/>
        </w:rPr>
        <w:t>PDA</w:t>
      </w:r>
      <w:r w:rsidRPr="00792A44">
        <w:rPr>
          <w:rFonts w:ascii="Times New Roman" w:hAnsi="Times New Roman" w:cs="Times New Roman"/>
        </w:rPr>
        <w:t xml:space="preserve"> medium was prepared and sterilized </w:t>
      </w:r>
      <w:r w:rsidR="00393CC8" w:rsidRPr="00792A44">
        <w:rPr>
          <w:rFonts w:ascii="Times New Roman" w:hAnsi="Times New Roman" w:cs="Times New Roman"/>
        </w:rPr>
        <w:t xml:space="preserve">by autoclaving </w:t>
      </w:r>
      <w:r w:rsidRPr="00792A44">
        <w:rPr>
          <w:rFonts w:ascii="Times New Roman" w:hAnsi="Times New Roman" w:cs="Times New Roman"/>
        </w:rPr>
        <w:t xml:space="preserve">at </w:t>
      </w:r>
      <w:r w:rsidR="00393CC8" w:rsidRPr="00792A44">
        <w:rPr>
          <w:rFonts w:ascii="Times New Roman" w:hAnsi="Times New Roman" w:cs="Times New Roman"/>
        </w:rPr>
        <w:t>121</w:t>
      </w:r>
      <w:r w:rsidR="00515CF2">
        <w:rPr>
          <w:rFonts w:ascii="Times New Roman" w:hAnsi="Times New Roman" w:cs="Times New Roman"/>
        </w:rPr>
        <w:t xml:space="preserve"> </w:t>
      </w:r>
      <w:r w:rsidR="00393CC8" w:rsidRPr="00792A44">
        <w:rPr>
          <w:rFonts w:ascii="Times New Roman" w:hAnsi="Times New Roman" w:cs="Times New Roman"/>
        </w:rPr>
        <w:t xml:space="preserve">°C and 15psi </w:t>
      </w:r>
      <w:r w:rsidRPr="00792A44">
        <w:rPr>
          <w:rFonts w:ascii="Times New Roman" w:hAnsi="Times New Roman" w:cs="Times New Roman"/>
        </w:rPr>
        <w:t xml:space="preserve">for </w:t>
      </w:r>
      <w:r w:rsidR="00393CC8" w:rsidRPr="00792A44">
        <w:rPr>
          <w:rFonts w:ascii="Times New Roman" w:hAnsi="Times New Roman" w:cs="Times New Roman"/>
        </w:rPr>
        <w:t>15</w:t>
      </w:r>
      <w:r w:rsidRPr="00792A44">
        <w:rPr>
          <w:rFonts w:ascii="Times New Roman" w:hAnsi="Times New Roman" w:cs="Times New Roman"/>
        </w:rPr>
        <w:t xml:space="preserve"> minutes. After cooling to about 45</w:t>
      </w:r>
      <w:r w:rsidR="00393CC8" w:rsidRPr="00792A44">
        <w:rPr>
          <w:rFonts w:ascii="Times New Roman" w:hAnsi="Times New Roman" w:cs="Times New Roman"/>
        </w:rPr>
        <w:t xml:space="preserve"> to </w:t>
      </w:r>
      <w:r w:rsidRPr="00792A44">
        <w:rPr>
          <w:rFonts w:ascii="Times New Roman" w:hAnsi="Times New Roman" w:cs="Times New Roman"/>
        </w:rPr>
        <w:t>50</w:t>
      </w:r>
      <w:r w:rsidR="00780A80">
        <w:rPr>
          <w:rFonts w:ascii="Times New Roman" w:hAnsi="Times New Roman" w:cs="Times New Roman"/>
        </w:rPr>
        <w:t xml:space="preserve"> </w:t>
      </w:r>
      <w:r w:rsidR="00393CC8" w:rsidRPr="00792A44">
        <w:rPr>
          <w:rFonts w:ascii="Times New Roman" w:hAnsi="Times New Roman" w:cs="Times New Roman"/>
        </w:rPr>
        <w:t>°C</w:t>
      </w:r>
      <w:r w:rsidRPr="00792A44">
        <w:rPr>
          <w:rFonts w:ascii="Times New Roman" w:hAnsi="Times New Roman" w:cs="Times New Roman"/>
        </w:rPr>
        <w:t>, stock solutions of each fungicide were prepared in sterilized distilled water and incorporated into the molten PDA to obtain the desired concentrations. Approximately 15</w:t>
      </w:r>
      <w:r w:rsidR="00393CC8" w:rsidRPr="00792A44">
        <w:rPr>
          <w:rFonts w:ascii="Times New Roman" w:hAnsi="Times New Roman" w:cs="Times New Roman"/>
        </w:rPr>
        <w:t>-</w:t>
      </w:r>
      <w:r w:rsidRPr="00792A44">
        <w:rPr>
          <w:rFonts w:ascii="Times New Roman" w:hAnsi="Times New Roman" w:cs="Times New Roman"/>
        </w:rPr>
        <w:t>20 ml of the poisoned medium was poured into sterilized 85 mm Petri plates and allowed to solidify</w:t>
      </w:r>
      <w:r w:rsidR="00393CC8" w:rsidRPr="00792A44">
        <w:rPr>
          <w:rFonts w:ascii="Times New Roman" w:hAnsi="Times New Roman" w:cs="Times New Roman"/>
        </w:rPr>
        <w:t xml:space="preserve"> under </w:t>
      </w:r>
      <w:r w:rsidR="00F702B6" w:rsidRPr="00792A44">
        <w:rPr>
          <w:rFonts w:ascii="Times New Roman" w:hAnsi="Times New Roman" w:cs="Times New Roman"/>
        </w:rPr>
        <w:t xml:space="preserve">aseptic condition in </w:t>
      </w:r>
      <w:r w:rsidR="00393CC8" w:rsidRPr="00792A44">
        <w:rPr>
          <w:rFonts w:ascii="Times New Roman" w:hAnsi="Times New Roman" w:cs="Times New Roman"/>
        </w:rPr>
        <w:t>laminar airflow</w:t>
      </w:r>
      <w:r w:rsidRPr="00792A44">
        <w:rPr>
          <w:rFonts w:ascii="Times New Roman" w:hAnsi="Times New Roman" w:cs="Times New Roman"/>
        </w:rPr>
        <w:t xml:space="preserve">. </w:t>
      </w:r>
      <w:r w:rsidR="009F1A94" w:rsidRPr="009F1A94">
        <w:rPr>
          <w:rFonts w:ascii="Times New Roman" w:eastAsia="Times New Roman" w:hAnsi="Times New Roman" w:cs="Times New Roman"/>
          <w:kern w:val="0"/>
          <w:lang w:val="en-US"/>
          <w14:ligatures w14:val="none"/>
        </w:rPr>
        <w:t xml:space="preserve">PDA plates lacking fungicide acted as controls. Aseptically excised mycelial discs (5 mm in diameter) from the actively expanding edges of seven-day-old M. </w:t>
      </w:r>
      <w:proofErr w:type="spellStart"/>
      <w:r w:rsidR="009F1A94" w:rsidRPr="009F1A94">
        <w:rPr>
          <w:rFonts w:ascii="Times New Roman" w:eastAsia="Times New Roman" w:hAnsi="Times New Roman" w:cs="Times New Roman"/>
          <w:kern w:val="0"/>
          <w:lang w:val="en-US"/>
          <w14:ligatures w14:val="none"/>
        </w:rPr>
        <w:t>phaseolina</w:t>
      </w:r>
      <w:proofErr w:type="spellEnd"/>
      <w:r w:rsidR="009F1A94" w:rsidRPr="009F1A94">
        <w:rPr>
          <w:rFonts w:ascii="Times New Roman" w:eastAsia="Times New Roman" w:hAnsi="Times New Roman" w:cs="Times New Roman"/>
          <w:kern w:val="0"/>
          <w:lang w:val="en-US"/>
          <w14:ligatures w14:val="none"/>
        </w:rPr>
        <w:t xml:space="preserve"> cultures were positioned at the center of each Petri dish. The plates were kept in a BOD incubator set at 27 ± 2 °C with a </w:t>
      </w:r>
      <w:proofErr w:type="gramStart"/>
      <w:r w:rsidR="009F1A94" w:rsidRPr="009F1A94">
        <w:rPr>
          <w:rFonts w:ascii="Times New Roman" w:eastAsia="Times New Roman" w:hAnsi="Times New Roman" w:cs="Times New Roman"/>
          <w:kern w:val="0"/>
          <w:lang w:val="en-US"/>
          <w14:ligatures w14:val="none"/>
        </w:rPr>
        <w:t>12 hour</w:t>
      </w:r>
      <w:proofErr w:type="gramEnd"/>
      <w:r w:rsidR="009F1A94" w:rsidRPr="009F1A94">
        <w:rPr>
          <w:rFonts w:ascii="Times New Roman" w:eastAsia="Times New Roman" w:hAnsi="Times New Roman" w:cs="Times New Roman"/>
          <w:kern w:val="0"/>
          <w:lang w:val="en-US"/>
          <w14:ligatures w14:val="none"/>
        </w:rPr>
        <w:t xml:space="preserve"> light/dark cycle. The experiment was designed using a completely randomized design </w:t>
      </w:r>
      <w:bookmarkStart w:id="0" w:name="_GoBack"/>
      <w:bookmarkEnd w:id="0"/>
      <w:r w:rsidR="009F1A94" w:rsidRPr="009F1A94">
        <w:rPr>
          <w:rFonts w:ascii="Times New Roman" w:eastAsia="Times New Roman" w:hAnsi="Times New Roman" w:cs="Times New Roman"/>
          <w:kern w:val="0"/>
          <w:lang w:val="en-US"/>
          <w14:ligatures w14:val="none"/>
        </w:rPr>
        <w:t>(CRD) with three replications for each treatment. Colony diameter was assessed at 24, 48, 72, and 96 hours post-inoculation in two perpendicular directions, and the average value was utilized to determine mycelial growt</w:t>
      </w:r>
      <w:r w:rsidR="009F1A94">
        <w:rPr>
          <w:rFonts w:ascii="Times New Roman" w:eastAsia="Times New Roman" w:hAnsi="Times New Roman" w:cs="Times New Roman"/>
          <w:kern w:val="0"/>
          <w:lang w:val="en-US"/>
          <w14:ligatures w14:val="none"/>
        </w:rPr>
        <w:t>h.</w:t>
      </w:r>
      <w:r w:rsidRPr="00792A44">
        <w:rPr>
          <w:rFonts w:ascii="Times New Roman" w:hAnsi="Times New Roman" w:cs="Times New Roman"/>
        </w:rPr>
        <w:t xml:space="preserve"> The percentage inhibition of radial growth over the control was calculated following the formula of Vincent (1947):</w:t>
      </w:r>
    </w:p>
    <w:p w14:paraId="0BDCD44F" w14:textId="77777777" w:rsidR="00F66963" w:rsidRPr="00792A44" w:rsidRDefault="00F66963" w:rsidP="00F66963">
      <w:pPr>
        <w:pStyle w:val="NormalWeb"/>
        <w:spacing w:line="360" w:lineRule="auto"/>
        <w:jc w:val="both"/>
        <w:rPr>
          <w:rFonts w:eastAsia="Arial"/>
          <w:bCs/>
        </w:rPr>
      </w:pPr>
      <m:oMathPara>
        <m:oMath>
          <m:r>
            <w:rPr>
              <w:rFonts w:ascii="Cambria Math" w:hAnsi="Cambria Math"/>
              <w:color w:val="000000" w:themeColor="text1"/>
              <w:lang w:val="en-US"/>
            </w:rPr>
            <m:t>PI=</m:t>
          </m:r>
          <m:f>
            <m:fPr>
              <m:ctrlPr>
                <w:rPr>
                  <w:rFonts w:ascii="Cambria Math" w:hAnsi="Cambria Math"/>
                  <w:i/>
                  <w:color w:val="000000" w:themeColor="text1"/>
                  <w:lang w:val="en-US"/>
                </w:rPr>
              </m:ctrlPr>
            </m:fPr>
            <m:num>
              <m:r>
                <w:rPr>
                  <w:rFonts w:ascii="Cambria Math" w:hAnsi="Cambria Math"/>
                  <w:color w:val="000000" w:themeColor="text1"/>
                  <w:lang w:val="en-US"/>
                </w:rPr>
                <m:t>C -T</m:t>
              </m:r>
            </m:num>
            <m:den>
              <m:r>
                <w:rPr>
                  <w:rFonts w:ascii="Cambria Math" w:hAnsi="Cambria Math"/>
                  <w:color w:val="000000" w:themeColor="text1"/>
                  <w:lang w:val="en-US"/>
                </w:rPr>
                <m:t>C</m:t>
              </m:r>
            </m:den>
          </m:f>
          <m:r>
            <w:rPr>
              <w:rFonts w:ascii="Cambria Math" w:hAnsi="Cambria Math"/>
              <w:color w:val="000000" w:themeColor="text1"/>
              <w:lang w:val="en-US"/>
            </w:rPr>
            <m:t xml:space="preserve"> × 100</m:t>
          </m:r>
        </m:oMath>
      </m:oMathPara>
    </w:p>
    <w:p w14:paraId="31C99D9D" w14:textId="77777777" w:rsidR="00F66963" w:rsidRPr="00792A44" w:rsidRDefault="00F66963" w:rsidP="00F66963">
      <w:pPr>
        <w:spacing w:after="240" w:line="360" w:lineRule="auto"/>
        <w:jc w:val="both"/>
        <w:rPr>
          <w:rFonts w:ascii="Times New Roman" w:hAnsi="Times New Roman" w:cs="Times New Roman"/>
          <w:lang w:val="en-GB"/>
        </w:rPr>
      </w:pPr>
      <w:r w:rsidRPr="00792A44">
        <w:rPr>
          <w:rFonts w:ascii="Times New Roman" w:hAnsi="Times New Roman" w:cs="Times New Roman"/>
          <w:lang w:val="en-GB"/>
        </w:rPr>
        <w:t>Where,</w:t>
      </w:r>
    </w:p>
    <w:tbl>
      <w:tblPr>
        <w:tblStyle w:val="TableGrid"/>
        <w:tblW w:w="765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52"/>
        <w:gridCol w:w="6742"/>
      </w:tblGrid>
      <w:tr w:rsidR="00F66963" w:rsidRPr="00792A44" w14:paraId="47A2CA73" w14:textId="77777777" w:rsidTr="003345ED">
        <w:tc>
          <w:tcPr>
            <w:tcW w:w="561" w:type="dxa"/>
          </w:tcPr>
          <w:p w14:paraId="1EB04B61" w14:textId="77777777" w:rsidR="00F66963" w:rsidRPr="00792A44" w:rsidRDefault="00F66963" w:rsidP="003345ED">
            <w:pPr>
              <w:spacing w:before="60" w:after="60" w:line="276" w:lineRule="auto"/>
              <w:jc w:val="both"/>
              <w:rPr>
                <w:rFonts w:ascii="Times New Roman" w:hAnsi="Times New Roman" w:cs="Times New Roman"/>
                <w:b/>
                <w:bCs/>
                <w:sz w:val="24"/>
                <w:szCs w:val="24"/>
                <w:lang w:val="en-GB"/>
              </w:rPr>
            </w:pPr>
            <w:r w:rsidRPr="00792A44">
              <w:rPr>
                <w:rFonts w:ascii="Times New Roman" w:hAnsi="Times New Roman" w:cs="Times New Roman"/>
                <w:b/>
                <w:bCs/>
                <w:sz w:val="24"/>
                <w:szCs w:val="24"/>
                <w:lang w:val="en-GB"/>
              </w:rPr>
              <w:t>PI</w:t>
            </w:r>
          </w:p>
        </w:tc>
        <w:tc>
          <w:tcPr>
            <w:tcW w:w="345" w:type="dxa"/>
          </w:tcPr>
          <w:p w14:paraId="6C489CAE"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w:t>
            </w:r>
          </w:p>
        </w:tc>
        <w:tc>
          <w:tcPr>
            <w:tcW w:w="6749" w:type="dxa"/>
          </w:tcPr>
          <w:p w14:paraId="38AFB440"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Per cent inhibition</w:t>
            </w:r>
          </w:p>
        </w:tc>
      </w:tr>
      <w:tr w:rsidR="00F66963" w:rsidRPr="00792A44" w14:paraId="49291114" w14:textId="77777777" w:rsidTr="003345ED">
        <w:tc>
          <w:tcPr>
            <w:tcW w:w="561" w:type="dxa"/>
          </w:tcPr>
          <w:p w14:paraId="4B3D7764" w14:textId="77777777" w:rsidR="00F66963" w:rsidRPr="00792A44" w:rsidRDefault="00F66963" w:rsidP="003345ED">
            <w:pPr>
              <w:spacing w:before="60" w:after="60" w:line="276" w:lineRule="auto"/>
              <w:jc w:val="both"/>
              <w:rPr>
                <w:rFonts w:ascii="Times New Roman" w:hAnsi="Times New Roman" w:cs="Times New Roman"/>
                <w:b/>
                <w:bCs/>
                <w:sz w:val="24"/>
                <w:szCs w:val="24"/>
                <w:lang w:val="en-GB"/>
              </w:rPr>
            </w:pPr>
            <w:r w:rsidRPr="00792A44">
              <w:rPr>
                <w:rFonts w:ascii="Times New Roman" w:hAnsi="Times New Roman" w:cs="Times New Roman"/>
                <w:b/>
                <w:bCs/>
                <w:sz w:val="24"/>
                <w:szCs w:val="24"/>
                <w:lang w:val="en-GB"/>
              </w:rPr>
              <w:t>C</w:t>
            </w:r>
          </w:p>
        </w:tc>
        <w:tc>
          <w:tcPr>
            <w:tcW w:w="345" w:type="dxa"/>
          </w:tcPr>
          <w:p w14:paraId="101A1A76"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w:t>
            </w:r>
          </w:p>
        </w:tc>
        <w:tc>
          <w:tcPr>
            <w:tcW w:w="6749" w:type="dxa"/>
          </w:tcPr>
          <w:p w14:paraId="5475E041"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Colony diameter in check plate (mm)</w:t>
            </w:r>
          </w:p>
        </w:tc>
      </w:tr>
      <w:tr w:rsidR="00F66963" w:rsidRPr="00792A44" w14:paraId="39B5B899" w14:textId="77777777" w:rsidTr="003345ED">
        <w:tc>
          <w:tcPr>
            <w:tcW w:w="561" w:type="dxa"/>
          </w:tcPr>
          <w:p w14:paraId="47810295" w14:textId="77777777" w:rsidR="00F66963" w:rsidRPr="00792A44" w:rsidRDefault="00F66963" w:rsidP="003345ED">
            <w:pPr>
              <w:spacing w:before="60" w:after="60" w:line="276" w:lineRule="auto"/>
              <w:jc w:val="both"/>
              <w:rPr>
                <w:rFonts w:ascii="Times New Roman" w:hAnsi="Times New Roman" w:cs="Times New Roman"/>
                <w:b/>
                <w:bCs/>
                <w:sz w:val="24"/>
                <w:szCs w:val="24"/>
                <w:lang w:val="en-GB"/>
              </w:rPr>
            </w:pPr>
            <w:r w:rsidRPr="00792A44">
              <w:rPr>
                <w:rFonts w:ascii="Times New Roman" w:hAnsi="Times New Roman" w:cs="Times New Roman"/>
                <w:b/>
                <w:bCs/>
                <w:sz w:val="24"/>
                <w:szCs w:val="24"/>
                <w:lang w:val="en-GB"/>
              </w:rPr>
              <w:t>T</w:t>
            </w:r>
          </w:p>
        </w:tc>
        <w:tc>
          <w:tcPr>
            <w:tcW w:w="345" w:type="dxa"/>
          </w:tcPr>
          <w:p w14:paraId="3B4CF18F"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w:t>
            </w:r>
          </w:p>
        </w:tc>
        <w:tc>
          <w:tcPr>
            <w:tcW w:w="6749" w:type="dxa"/>
          </w:tcPr>
          <w:p w14:paraId="11DBD637" w14:textId="77777777" w:rsidR="00F66963" w:rsidRPr="00792A44" w:rsidRDefault="00F66963" w:rsidP="003345ED">
            <w:pPr>
              <w:spacing w:before="60" w:after="60" w:line="276" w:lineRule="auto"/>
              <w:jc w:val="both"/>
              <w:rPr>
                <w:rFonts w:ascii="Times New Roman" w:hAnsi="Times New Roman" w:cs="Times New Roman"/>
                <w:sz w:val="24"/>
                <w:szCs w:val="24"/>
                <w:lang w:val="en-GB"/>
              </w:rPr>
            </w:pPr>
            <w:r w:rsidRPr="00792A44">
              <w:rPr>
                <w:rFonts w:ascii="Times New Roman" w:hAnsi="Times New Roman" w:cs="Times New Roman"/>
                <w:sz w:val="24"/>
                <w:szCs w:val="24"/>
                <w:lang w:val="en-GB"/>
              </w:rPr>
              <w:t>Colony diameter in treatments (mm)</w:t>
            </w:r>
          </w:p>
        </w:tc>
      </w:tr>
    </w:tbl>
    <w:p w14:paraId="360B0432" w14:textId="77777777" w:rsidR="001F58A7" w:rsidRPr="00792A44" w:rsidRDefault="001F58A7" w:rsidP="001F58A7">
      <w:pPr>
        <w:spacing w:line="360" w:lineRule="auto"/>
        <w:jc w:val="both"/>
        <w:rPr>
          <w:rFonts w:ascii="Times New Roman" w:hAnsi="Times New Roman" w:cs="Times New Roman"/>
          <w:b/>
          <w:bCs/>
          <w:lang w:val="en-US"/>
        </w:rPr>
      </w:pPr>
    </w:p>
    <w:p w14:paraId="38BC2757" w14:textId="2FA49E95" w:rsidR="004A0188" w:rsidRPr="00792A44" w:rsidRDefault="004A0188" w:rsidP="004A0188">
      <w:pPr>
        <w:spacing w:line="360" w:lineRule="auto"/>
        <w:jc w:val="both"/>
        <w:rPr>
          <w:rFonts w:ascii="Times New Roman" w:hAnsi="Times New Roman" w:cs="Times New Roman"/>
        </w:rPr>
      </w:pPr>
      <w:r w:rsidRPr="00792A44">
        <w:rPr>
          <w:rFonts w:ascii="Times New Roman" w:hAnsi="Times New Roman" w:cs="Times New Roman"/>
        </w:rPr>
        <w:t>The experimental data were subjected to statistical analysis using analysis of variance (ANOVA) appropriate for CRD and treatment means were compared at a 5% level of significance.</w:t>
      </w:r>
    </w:p>
    <w:p w14:paraId="36FB6A15" w14:textId="68973D4C" w:rsidR="004A0188" w:rsidRDefault="005B6E4E" w:rsidP="009C18A9">
      <w:pPr>
        <w:spacing w:before="240" w:line="360" w:lineRule="auto"/>
        <w:jc w:val="both"/>
        <w:rPr>
          <w:rFonts w:ascii="Times New Roman" w:hAnsi="Times New Roman" w:cs="Times New Roman"/>
          <w:b/>
          <w:bCs/>
        </w:rPr>
      </w:pPr>
      <w:r>
        <w:rPr>
          <w:rFonts w:ascii="Times New Roman" w:hAnsi="Times New Roman" w:cs="Times New Roman"/>
          <w:b/>
          <w:bCs/>
        </w:rPr>
        <w:t xml:space="preserve">3. </w:t>
      </w:r>
      <w:r w:rsidR="00B750C0" w:rsidRPr="00792A44">
        <w:rPr>
          <w:rFonts w:ascii="Times New Roman" w:hAnsi="Times New Roman" w:cs="Times New Roman"/>
          <w:b/>
          <w:bCs/>
        </w:rPr>
        <w:t>RESULT AND DISCUSSION</w:t>
      </w:r>
    </w:p>
    <w:p w14:paraId="100DCDF7" w14:textId="4E59FC02" w:rsidR="005B6E4E" w:rsidRDefault="005B6E4E" w:rsidP="005B6E4E">
      <w:pPr>
        <w:spacing w:before="240" w:line="360" w:lineRule="auto"/>
        <w:jc w:val="both"/>
        <w:rPr>
          <w:rFonts w:ascii="Times New Roman" w:hAnsi="Times New Roman" w:cs="Times New Roman"/>
          <w:b/>
          <w:bCs/>
        </w:rPr>
      </w:pPr>
      <w:r w:rsidRPr="005B6E4E">
        <w:rPr>
          <w:rFonts w:ascii="Times New Roman" w:hAnsi="Times New Roman" w:cs="Times New Roman"/>
          <w:b/>
          <w:bCs/>
        </w:rPr>
        <w:lastRenderedPageBreak/>
        <w:t xml:space="preserve">3.1 </w:t>
      </w:r>
      <w:r>
        <w:rPr>
          <w:rFonts w:ascii="Times New Roman" w:hAnsi="Times New Roman" w:cs="Times New Roman"/>
          <w:b/>
          <w:bCs/>
        </w:rPr>
        <w:t>r</w:t>
      </w:r>
      <w:r w:rsidRPr="005B6E4E">
        <w:rPr>
          <w:rFonts w:ascii="Times New Roman" w:hAnsi="Times New Roman" w:cs="Times New Roman"/>
          <w:b/>
          <w:bCs/>
        </w:rPr>
        <w:t>DNA AMPLIFICATION</w:t>
      </w:r>
    </w:p>
    <w:p w14:paraId="015AA663" w14:textId="630AC1FD" w:rsidR="00FF7F11" w:rsidRDefault="005B6E4E" w:rsidP="00E72D0A">
      <w:pPr>
        <w:spacing w:after="240" w:line="360" w:lineRule="auto"/>
        <w:jc w:val="both"/>
        <w:rPr>
          <w:rFonts w:ascii="Arial" w:hAnsi="Arial" w:cs="Arial"/>
        </w:rPr>
      </w:pPr>
      <w:r w:rsidRPr="005B6E4E">
        <w:rPr>
          <w:rFonts w:ascii="Times New Roman" w:hAnsi="Times New Roman" w:cs="Times New Roman"/>
        </w:rPr>
        <w:t>T</w:t>
      </w:r>
      <w:r w:rsidR="000334AA" w:rsidRPr="000334AA">
        <w:rPr>
          <w:rFonts w:ascii="Times New Roman" w:hAnsi="Times New Roman" w:cs="Times New Roman"/>
        </w:rPr>
        <w:t xml:space="preserve">he </w:t>
      </w:r>
      <w:r w:rsidR="00410164" w:rsidRPr="00410164">
        <w:rPr>
          <w:rFonts w:ascii="Times New Roman" w:hAnsi="Times New Roman" w:cs="Times New Roman"/>
          <w:i/>
          <w:iCs/>
        </w:rPr>
        <w:t>ITS</w:t>
      </w:r>
      <w:r w:rsidR="000334AA" w:rsidRPr="000334AA">
        <w:rPr>
          <w:rFonts w:ascii="Times New Roman" w:hAnsi="Times New Roman" w:cs="Times New Roman"/>
        </w:rPr>
        <w:t xml:space="preserve"> sequence of the pathogen (Accession No. PV929582) was 598 bp in length. BLAST analysis revealed the closest match as </w:t>
      </w:r>
      <w:r w:rsidR="000334AA" w:rsidRPr="000334AA">
        <w:rPr>
          <w:rFonts w:ascii="Times New Roman" w:hAnsi="Times New Roman" w:cs="Times New Roman"/>
          <w:i/>
          <w:iCs/>
        </w:rPr>
        <w:t>Macrophomina phaseolina</w:t>
      </w:r>
      <w:r w:rsidR="000334AA" w:rsidRPr="000334AA">
        <w:rPr>
          <w:rFonts w:ascii="Times New Roman" w:hAnsi="Times New Roman" w:cs="Times New Roman"/>
        </w:rPr>
        <w:t xml:space="preserve"> (Accession No. MK883457.1) with 97.15% sequence identity and 100% query coverage.</w:t>
      </w:r>
      <w:r w:rsidR="00FF7F11">
        <w:rPr>
          <w:rFonts w:ascii="Times New Roman" w:hAnsi="Times New Roman" w:cs="Times New Roman"/>
        </w:rPr>
        <w:t xml:space="preserve"> </w:t>
      </w:r>
      <w:r w:rsidR="00FF7F11" w:rsidRPr="00FF7F11">
        <w:rPr>
          <w:rFonts w:ascii="Times New Roman" w:hAnsi="Times New Roman" w:cs="Times New Roman"/>
        </w:rPr>
        <w:t xml:space="preserve">These findings are consistent with earlier reports (Babu </w:t>
      </w:r>
      <w:r w:rsidR="00FF7F11" w:rsidRPr="00FF7F11">
        <w:rPr>
          <w:rFonts w:ascii="Times New Roman" w:hAnsi="Times New Roman" w:cs="Times New Roman"/>
          <w:i/>
          <w:iCs/>
        </w:rPr>
        <w:t>et al.,</w:t>
      </w:r>
      <w:r w:rsidR="00FF7F11" w:rsidRPr="00FF7F11">
        <w:rPr>
          <w:rFonts w:ascii="Times New Roman" w:hAnsi="Times New Roman" w:cs="Times New Roman"/>
        </w:rPr>
        <w:t xml:space="preserve"> 2007; </w:t>
      </w:r>
      <w:proofErr w:type="spellStart"/>
      <w:r w:rsidR="00FF7F11" w:rsidRPr="00FF7F11">
        <w:rPr>
          <w:rFonts w:ascii="Times New Roman" w:hAnsi="Times New Roman" w:cs="Times New Roman"/>
        </w:rPr>
        <w:t>Almomani</w:t>
      </w:r>
      <w:proofErr w:type="spellEnd"/>
      <w:r w:rsidR="00FF7F11" w:rsidRPr="00FF7F11">
        <w:rPr>
          <w:rFonts w:ascii="Times New Roman" w:hAnsi="Times New Roman" w:cs="Times New Roman"/>
        </w:rPr>
        <w:t xml:space="preserve"> </w:t>
      </w:r>
      <w:r w:rsidR="00FF7F11" w:rsidRPr="00FF7F11">
        <w:rPr>
          <w:rFonts w:ascii="Times New Roman" w:hAnsi="Times New Roman" w:cs="Times New Roman"/>
          <w:i/>
          <w:iCs/>
        </w:rPr>
        <w:t>et al.,</w:t>
      </w:r>
      <w:r w:rsidR="00FF7F11" w:rsidRPr="00FF7F11">
        <w:rPr>
          <w:rFonts w:ascii="Times New Roman" w:hAnsi="Times New Roman" w:cs="Times New Roman"/>
        </w:rPr>
        <w:t xml:space="preserve"> 2013; Rajput </w:t>
      </w:r>
      <w:r w:rsidR="00FF7F11" w:rsidRPr="00FF7F11">
        <w:rPr>
          <w:rFonts w:ascii="Times New Roman" w:hAnsi="Times New Roman" w:cs="Times New Roman"/>
          <w:i/>
          <w:iCs/>
        </w:rPr>
        <w:t>et al</w:t>
      </w:r>
      <w:r w:rsidR="00FF7F11" w:rsidRPr="00FF7F11">
        <w:rPr>
          <w:rFonts w:ascii="Times New Roman" w:hAnsi="Times New Roman" w:cs="Times New Roman"/>
        </w:rPr>
        <w:t xml:space="preserve">., 2025) and underscore the reliability of </w:t>
      </w:r>
      <w:r w:rsidR="00410164" w:rsidRPr="00410164">
        <w:rPr>
          <w:rFonts w:ascii="Times New Roman" w:hAnsi="Times New Roman" w:cs="Times New Roman"/>
          <w:i/>
          <w:iCs/>
        </w:rPr>
        <w:t>ITS</w:t>
      </w:r>
      <w:r w:rsidR="00FF7F11" w:rsidRPr="00FF7F11">
        <w:rPr>
          <w:rFonts w:ascii="Times New Roman" w:hAnsi="Times New Roman" w:cs="Times New Roman"/>
        </w:rPr>
        <w:t xml:space="preserve"> sequencing for accurate identification of </w:t>
      </w:r>
      <w:r w:rsidR="00FF7F11" w:rsidRPr="00FF7F11">
        <w:rPr>
          <w:rFonts w:ascii="Times New Roman" w:hAnsi="Times New Roman" w:cs="Times New Roman"/>
          <w:i/>
          <w:iCs/>
        </w:rPr>
        <w:t>M. phaseolina</w:t>
      </w:r>
      <w:r w:rsidR="00FF7F11" w:rsidRPr="00FF7F11">
        <w:rPr>
          <w:rFonts w:ascii="Times New Roman" w:hAnsi="Times New Roman" w:cs="Times New Roman"/>
        </w:rPr>
        <w:t>. Molecular confirmation of the pathogen is crucial for understanding its genetic variability which in turn aids in the development of targeted management strategies including effective fungicide applications</w:t>
      </w:r>
      <w:r w:rsidR="00FF7F11" w:rsidRPr="00FF7F11">
        <w:rPr>
          <w:rFonts w:ascii="Arial" w:hAnsi="Arial" w:cs="Arial"/>
        </w:rPr>
        <w:t xml:space="preserve"> </w:t>
      </w:r>
    </w:p>
    <w:p w14:paraId="4EDF22FB" w14:textId="308A8ECE" w:rsidR="00A34180" w:rsidRPr="00A34180" w:rsidRDefault="00A34180" w:rsidP="00B8041A">
      <w:pPr>
        <w:spacing w:after="240" w:line="360" w:lineRule="auto"/>
        <w:jc w:val="both"/>
        <w:rPr>
          <w:rFonts w:ascii="Times New Roman" w:hAnsi="Times New Roman" w:cs="Times New Roman"/>
          <w:b/>
          <w:bCs/>
        </w:rPr>
      </w:pPr>
      <w:r w:rsidRPr="00A34180">
        <w:rPr>
          <w:rFonts w:ascii="Times New Roman" w:hAnsi="Times New Roman" w:cs="Times New Roman"/>
          <w:b/>
          <w:bCs/>
        </w:rPr>
        <w:t>3.2 EFFICACY OF FUNGICIDES</w:t>
      </w:r>
    </w:p>
    <w:p w14:paraId="28C1A921" w14:textId="43B0D9D8" w:rsidR="00DF7563" w:rsidRPr="00792A44" w:rsidRDefault="00B8041A" w:rsidP="00B8041A">
      <w:pPr>
        <w:spacing w:after="240" w:line="360" w:lineRule="auto"/>
        <w:jc w:val="both"/>
        <w:rPr>
          <w:rFonts w:ascii="Times New Roman" w:hAnsi="Times New Roman" w:cs="Times New Roman"/>
        </w:rPr>
      </w:pPr>
      <w:r w:rsidRPr="00792A44">
        <w:rPr>
          <w:rFonts w:ascii="Times New Roman" w:hAnsi="Times New Roman" w:cs="Times New Roman"/>
        </w:rPr>
        <w:t xml:space="preserve">The </w:t>
      </w:r>
      <w:r w:rsidR="00D27335" w:rsidRPr="00D27335">
        <w:rPr>
          <w:rFonts w:ascii="Times New Roman" w:hAnsi="Times New Roman" w:cs="Times New Roman"/>
          <w:i/>
          <w:iCs/>
        </w:rPr>
        <w:t>in-vitro</w:t>
      </w:r>
      <w:r w:rsidR="00D27335">
        <w:rPr>
          <w:rFonts w:ascii="Times New Roman" w:hAnsi="Times New Roman" w:cs="Times New Roman"/>
        </w:rPr>
        <w:t xml:space="preserve"> experiment</w:t>
      </w:r>
      <w:r w:rsidRPr="00792A44">
        <w:rPr>
          <w:rFonts w:ascii="Times New Roman" w:hAnsi="Times New Roman" w:cs="Times New Roman"/>
        </w:rPr>
        <w:t xml:space="preserve"> clearly demonstrated that all tested fungici</w:t>
      </w:r>
      <w:r w:rsidR="00585BBA" w:rsidRPr="00792A44">
        <w:rPr>
          <w:rFonts w:ascii="Times New Roman" w:hAnsi="Times New Roman" w:cs="Times New Roman"/>
        </w:rPr>
        <w:t>des</w:t>
      </w:r>
      <w:r w:rsidRPr="00792A44">
        <w:rPr>
          <w:rFonts w:ascii="Times New Roman" w:hAnsi="Times New Roman" w:cs="Times New Roman"/>
        </w:rPr>
        <w:t xml:space="preserve"> significantly suppressed the radial growth of </w:t>
      </w:r>
      <w:r w:rsidRPr="00792A44">
        <w:rPr>
          <w:rFonts w:ascii="Times New Roman" w:hAnsi="Times New Roman" w:cs="Times New Roman"/>
          <w:i/>
          <w:iCs/>
        </w:rPr>
        <w:t>M. phaseolina</w:t>
      </w:r>
      <w:r w:rsidRPr="00792A44">
        <w:rPr>
          <w:rFonts w:ascii="Times New Roman" w:hAnsi="Times New Roman" w:cs="Times New Roman"/>
        </w:rPr>
        <w:t xml:space="preserve"> compared to the untreated control. However, the extent of inhibition varied markedly among different fungicides and across concentrations, reflecting both formulation specific and dose dependent effects. </w:t>
      </w:r>
      <w:r w:rsidR="004F55BC" w:rsidRPr="00792A44">
        <w:rPr>
          <w:rFonts w:ascii="Times New Roman" w:hAnsi="Times New Roman" w:cs="Times New Roman"/>
        </w:rPr>
        <w:t>Complete (100%) inhibition of mycelial growth was observed with the combination fungicide Carbendazim 25% + Mancozeb 50% WS at all three concentrations (100, 250</w:t>
      </w:r>
      <w:r w:rsidR="004B3F21" w:rsidRPr="00792A44">
        <w:rPr>
          <w:rFonts w:ascii="Times New Roman" w:hAnsi="Times New Roman" w:cs="Times New Roman"/>
        </w:rPr>
        <w:t xml:space="preserve"> and</w:t>
      </w:r>
      <w:r w:rsidR="004F55BC" w:rsidRPr="00792A44">
        <w:rPr>
          <w:rFonts w:ascii="Times New Roman" w:hAnsi="Times New Roman" w:cs="Times New Roman"/>
        </w:rPr>
        <w:t xml:space="preserve"> 500 ppm), indicating its superior and consistent efficacy. Similarly, the combinations Metiram 55% + Pyraclostrobin 5% WG and Carboxin 37.5% + Thiram 37.5% WS also achieved 100% inhibition, but only at the higher concentrations of 250 and 500 ppm, suggesting a concentration</w:t>
      </w:r>
      <w:r w:rsidR="00251AF0" w:rsidRPr="00792A44">
        <w:rPr>
          <w:rFonts w:ascii="Times New Roman" w:hAnsi="Times New Roman" w:cs="Times New Roman"/>
        </w:rPr>
        <w:t xml:space="preserve"> </w:t>
      </w:r>
      <w:r w:rsidR="004F55BC" w:rsidRPr="00792A44">
        <w:rPr>
          <w:rFonts w:ascii="Times New Roman" w:hAnsi="Times New Roman" w:cs="Times New Roman"/>
        </w:rPr>
        <w:t>dependent enhancement of their antifungal activity.</w:t>
      </w:r>
      <w:r w:rsidRPr="00792A44">
        <w:rPr>
          <w:rFonts w:ascii="Times New Roman" w:hAnsi="Times New Roman" w:cs="Times New Roman"/>
        </w:rPr>
        <w:t xml:space="preserve"> </w:t>
      </w:r>
      <w:r w:rsidR="004F55BC" w:rsidRPr="00792A44">
        <w:rPr>
          <w:rFonts w:ascii="Times New Roman" w:hAnsi="Times New Roman" w:cs="Times New Roman"/>
        </w:rPr>
        <w:t>Among the remaining treatments, Metiram 55% + Pyraclostrobin 5% WG exhibited 92.35% inhibition even at 100 ppm</w:t>
      </w:r>
      <w:r w:rsidR="004B3F21" w:rsidRPr="00792A44">
        <w:rPr>
          <w:rFonts w:ascii="Times New Roman" w:hAnsi="Times New Roman" w:cs="Times New Roman"/>
        </w:rPr>
        <w:t xml:space="preserve"> and</w:t>
      </w:r>
      <w:r w:rsidR="004F55BC" w:rsidRPr="00792A44">
        <w:rPr>
          <w:rFonts w:ascii="Times New Roman" w:hAnsi="Times New Roman" w:cs="Times New Roman"/>
        </w:rPr>
        <w:t xml:space="preserve"> this was found to be statistically at par with Thiophanate Methyl 450 + Pyraclostrobin 50 G/L (w/v) FS, which recorded 89.41% inhibition at the same concentration. These results underscore the high efficacy of these two formulations even at lower concentrations.</w:t>
      </w:r>
      <w:r w:rsidRPr="00792A44">
        <w:rPr>
          <w:rFonts w:ascii="Times New Roman" w:hAnsi="Times New Roman" w:cs="Times New Roman"/>
        </w:rPr>
        <w:t xml:space="preserve"> </w:t>
      </w:r>
      <w:r w:rsidR="004F55BC" w:rsidRPr="00792A44">
        <w:rPr>
          <w:rFonts w:ascii="Times New Roman" w:hAnsi="Times New Roman" w:cs="Times New Roman"/>
        </w:rPr>
        <w:t xml:space="preserve">On the other hand, the least effective treatments were </w:t>
      </w:r>
      <w:proofErr w:type="spellStart"/>
      <w:r w:rsidR="004F55BC" w:rsidRPr="00792A44">
        <w:rPr>
          <w:rFonts w:ascii="Times New Roman" w:hAnsi="Times New Roman" w:cs="Times New Roman"/>
        </w:rPr>
        <w:t>Penflufen</w:t>
      </w:r>
      <w:proofErr w:type="spellEnd"/>
      <w:r w:rsidR="004F55BC" w:rsidRPr="00792A44">
        <w:rPr>
          <w:rFonts w:ascii="Times New Roman" w:hAnsi="Times New Roman" w:cs="Times New Roman"/>
        </w:rPr>
        <w:t xml:space="preserve"> 13.28% w/w + </w:t>
      </w:r>
      <w:proofErr w:type="spellStart"/>
      <w:r w:rsidR="004F55BC" w:rsidRPr="00792A44">
        <w:rPr>
          <w:rFonts w:ascii="Times New Roman" w:hAnsi="Times New Roman" w:cs="Times New Roman"/>
        </w:rPr>
        <w:t>Trifloxystrobin</w:t>
      </w:r>
      <w:proofErr w:type="spellEnd"/>
      <w:r w:rsidR="004F55BC" w:rsidRPr="00792A44">
        <w:rPr>
          <w:rFonts w:ascii="Times New Roman" w:hAnsi="Times New Roman" w:cs="Times New Roman"/>
        </w:rPr>
        <w:t xml:space="preserve"> 13.28% w/w FS and Azoxystrobin 11% + Tebuconazole 18.3% SC, both of which recorded the lowest percentage inhibition (61.18%) at 100 ppm, indicating comparatively reduced effectiveness at lower dosages</w:t>
      </w:r>
      <w:r w:rsidR="00001553" w:rsidRPr="00792A44">
        <w:rPr>
          <w:rFonts w:ascii="Times New Roman" w:hAnsi="Times New Roman" w:cs="Times New Roman"/>
        </w:rPr>
        <w:t xml:space="preserve"> (Table 1; Fig</w:t>
      </w:r>
      <w:r w:rsidR="004A39F1">
        <w:rPr>
          <w:rFonts w:ascii="Times New Roman" w:hAnsi="Times New Roman" w:cs="Times New Roman"/>
        </w:rPr>
        <w:t>. 2</w:t>
      </w:r>
      <w:r w:rsidR="00001553" w:rsidRPr="00792A44">
        <w:rPr>
          <w:rFonts w:ascii="Times New Roman" w:hAnsi="Times New Roman" w:cs="Times New Roman"/>
        </w:rPr>
        <w:t>)</w:t>
      </w:r>
      <w:r w:rsidR="004F55BC" w:rsidRPr="00792A44">
        <w:rPr>
          <w:rFonts w:ascii="Times New Roman" w:hAnsi="Times New Roman" w:cs="Times New Roman"/>
        </w:rPr>
        <w:t>.</w:t>
      </w:r>
      <w:r w:rsidRPr="00792A44">
        <w:rPr>
          <w:rFonts w:ascii="Times New Roman" w:hAnsi="Times New Roman" w:cs="Times New Roman"/>
        </w:rPr>
        <w:t xml:space="preserve"> </w:t>
      </w:r>
      <w:r w:rsidR="00251AF0" w:rsidRPr="00792A44">
        <w:rPr>
          <w:rFonts w:ascii="Times New Roman" w:hAnsi="Times New Roman" w:cs="Times New Roman"/>
        </w:rPr>
        <w:t xml:space="preserve">Among the single </w:t>
      </w:r>
      <w:r w:rsidR="000B4552" w:rsidRPr="00792A44">
        <w:rPr>
          <w:rFonts w:ascii="Times New Roman" w:hAnsi="Times New Roman" w:cs="Times New Roman"/>
        </w:rPr>
        <w:t>comp</w:t>
      </w:r>
      <w:r w:rsidR="00C660EF" w:rsidRPr="00792A44">
        <w:rPr>
          <w:rFonts w:ascii="Times New Roman" w:hAnsi="Times New Roman" w:cs="Times New Roman"/>
        </w:rPr>
        <w:t>o</w:t>
      </w:r>
      <w:r w:rsidR="000B4552" w:rsidRPr="00792A44">
        <w:rPr>
          <w:rFonts w:ascii="Times New Roman" w:hAnsi="Times New Roman" w:cs="Times New Roman"/>
        </w:rPr>
        <w:t>und</w:t>
      </w:r>
      <w:r w:rsidR="00251AF0" w:rsidRPr="00792A44">
        <w:rPr>
          <w:rFonts w:ascii="Times New Roman" w:hAnsi="Times New Roman" w:cs="Times New Roman"/>
        </w:rPr>
        <w:t xml:space="preserve"> fungicides, t</w:t>
      </w:r>
      <w:r w:rsidR="004F55BC" w:rsidRPr="00792A44">
        <w:rPr>
          <w:rFonts w:ascii="Times New Roman" w:hAnsi="Times New Roman" w:cs="Times New Roman"/>
        </w:rPr>
        <w:t>he highest level of inhibition, with complete suppression of mycelial growth (100%), was recorded with Carbendazim 50% WP and Tebuconazole 25.9% w/w EC across all concentrations tested (100, 250</w:t>
      </w:r>
      <w:r w:rsidR="004B3F21" w:rsidRPr="00792A44">
        <w:rPr>
          <w:rFonts w:ascii="Times New Roman" w:hAnsi="Times New Roman" w:cs="Times New Roman"/>
        </w:rPr>
        <w:t xml:space="preserve"> and</w:t>
      </w:r>
      <w:r w:rsidR="004F55BC" w:rsidRPr="00792A44">
        <w:rPr>
          <w:rFonts w:ascii="Times New Roman" w:hAnsi="Times New Roman" w:cs="Times New Roman"/>
        </w:rPr>
        <w:t xml:space="preserve"> 500 ppm), highlighting their strong fungicidal activity irrespective of the dosage. Similarly, Propiconazole 25% EC and Mancozeb 75% WP achieved complete (100%) inhibition at the higher </w:t>
      </w:r>
      <w:r w:rsidR="004F55BC" w:rsidRPr="00792A44">
        <w:rPr>
          <w:rFonts w:ascii="Times New Roman" w:hAnsi="Times New Roman" w:cs="Times New Roman"/>
        </w:rPr>
        <w:lastRenderedPageBreak/>
        <w:t>concentrations of 250 and 500 ppm, but not at the lower dose.</w:t>
      </w:r>
      <w:r w:rsidRPr="00792A44">
        <w:rPr>
          <w:rFonts w:ascii="Times New Roman" w:hAnsi="Times New Roman" w:cs="Times New Roman"/>
        </w:rPr>
        <w:t xml:space="preserve"> </w:t>
      </w:r>
      <w:r w:rsidR="004F55BC" w:rsidRPr="00792A44">
        <w:rPr>
          <w:rFonts w:ascii="Times New Roman" w:hAnsi="Times New Roman" w:cs="Times New Roman"/>
        </w:rPr>
        <w:t>Hexaconazole 5% SC was the next most effective fungicide, recording a maximum inhibition of 92.55% at 500 ppm. On the other hand, Pyraclostrobin 20% WG exhibited the lowest inhibition among all treatments, with a minimum suppression of 73.33% recorded at the lowest concentration (100 ppm), suggesting reduced efficacy at lower doses</w:t>
      </w:r>
      <w:r w:rsidR="00001553" w:rsidRPr="00792A44">
        <w:rPr>
          <w:rFonts w:ascii="Times New Roman" w:hAnsi="Times New Roman" w:cs="Times New Roman"/>
        </w:rPr>
        <w:t xml:space="preserve"> (Table 2; Fig</w:t>
      </w:r>
      <w:r w:rsidR="004A39F1">
        <w:rPr>
          <w:rFonts w:ascii="Times New Roman" w:hAnsi="Times New Roman" w:cs="Times New Roman"/>
        </w:rPr>
        <w:t>. 3</w:t>
      </w:r>
      <w:r w:rsidR="00001553" w:rsidRPr="00792A44">
        <w:rPr>
          <w:rFonts w:ascii="Times New Roman" w:hAnsi="Times New Roman" w:cs="Times New Roman"/>
        </w:rPr>
        <w:t>)</w:t>
      </w:r>
      <w:r w:rsidR="004F55BC" w:rsidRPr="00792A44">
        <w:rPr>
          <w:rFonts w:ascii="Times New Roman" w:hAnsi="Times New Roman" w:cs="Times New Roman"/>
        </w:rPr>
        <w:t>.</w:t>
      </w:r>
    </w:p>
    <w:p w14:paraId="6FC93645" w14:textId="4E024056" w:rsidR="00B8041A" w:rsidRPr="00792A44" w:rsidRDefault="00B8041A" w:rsidP="00B8041A">
      <w:pPr>
        <w:spacing w:after="240" w:line="360" w:lineRule="auto"/>
        <w:jc w:val="both"/>
        <w:rPr>
          <w:rFonts w:ascii="Times New Roman" w:hAnsi="Times New Roman" w:cs="Times New Roman"/>
        </w:rPr>
      </w:pPr>
      <w:r w:rsidRPr="00792A44">
        <w:rPr>
          <w:rFonts w:ascii="Times New Roman" w:hAnsi="Times New Roman" w:cs="Times New Roman"/>
        </w:rPr>
        <w:t xml:space="preserve">These results are consistent with earlier reports emphasizing the efficacy of systemic and broad-spectrum fungicides against </w:t>
      </w:r>
      <w:r w:rsidRPr="00792A44">
        <w:rPr>
          <w:rFonts w:ascii="Times New Roman" w:hAnsi="Times New Roman" w:cs="Times New Roman"/>
          <w:i/>
          <w:iCs/>
        </w:rPr>
        <w:t>M. phaseolina</w:t>
      </w:r>
      <w:r w:rsidRPr="00792A44">
        <w:rPr>
          <w:rFonts w:ascii="Times New Roman" w:hAnsi="Times New Roman" w:cs="Times New Roman"/>
        </w:rPr>
        <w:t xml:space="preserve"> under laboratory conditions (Sangeetha and </w:t>
      </w:r>
      <w:proofErr w:type="spellStart"/>
      <w:r w:rsidRPr="00792A44">
        <w:rPr>
          <w:rFonts w:ascii="Times New Roman" w:hAnsi="Times New Roman" w:cs="Times New Roman"/>
        </w:rPr>
        <w:t>Jahagirdar</w:t>
      </w:r>
      <w:proofErr w:type="spellEnd"/>
      <w:r w:rsidRPr="00792A44">
        <w:rPr>
          <w:rFonts w:ascii="Times New Roman" w:hAnsi="Times New Roman" w:cs="Times New Roman"/>
        </w:rPr>
        <w:t xml:space="preserve">, 2013; Chaudhary </w:t>
      </w:r>
      <w:r w:rsidRPr="00792A44">
        <w:rPr>
          <w:rFonts w:ascii="Times New Roman" w:hAnsi="Times New Roman" w:cs="Times New Roman"/>
          <w:i/>
          <w:iCs/>
        </w:rPr>
        <w:t>et al.,</w:t>
      </w:r>
      <w:r w:rsidRPr="00792A44">
        <w:rPr>
          <w:rFonts w:ascii="Times New Roman" w:hAnsi="Times New Roman" w:cs="Times New Roman"/>
        </w:rPr>
        <w:t xml:space="preserve"> 2017; </w:t>
      </w:r>
      <w:r w:rsidR="00E84B60">
        <w:rPr>
          <w:rFonts w:ascii="Times New Roman" w:hAnsi="Times New Roman" w:cs="Times New Roman"/>
        </w:rPr>
        <w:t>Singh</w:t>
      </w:r>
      <w:r w:rsidRPr="00792A44">
        <w:rPr>
          <w:rFonts w:ascii="Times New Roman" w:hAnsi="Times New Roman" w:cs="Times New Roman"/>
        </w:rPr>
        <w:t xml:space="preserve"> </w:t>
      </w:r>
      <w:r w:rsidRPr="00792A44">
        <w:rPr>
          <w:rFonts w:ascii="Times New Roman" w:hAnsi="Times New Roman" w:cs="Times New Roman"/>
          <w:i/>
          <w:iCs/>
        </w:rPr>
        <w:t>et al.,</w:t>
      </w:r>
      <w:r w:rsidRPr="00792A44">
        <w:rPr>
          <w:rFonts w:ascii="Times New Roman" w:hAnsi="Times New Roman" w:cs="Times New Roman"/>
        </w:rPr>
        <w:t xml:space="preserve"> 20</w:t>
      </w:r>
      <w:r w:rsidR="00E84B60">
        <w:rPr>
          <w:rFonts w:ascii="Times New Roman" w:hAnsi="Times New Roman" w:cs="Times New Roman"/>
        </w:rPr>
        <w:t>23</w:t>
      </w:r>
      <w:r w:rsidRPr="00792A44">
        <w:rPr>
          <w:rFonts w:ascii="Times New Roman" w:hAnsi="Times New Roman" w:cs="Times New Roman"/>
        </w:rPr>
        <w:t xml:space="preserve">). Among the six combination fungicides tested, Carbendazim 25% + Mancozeb 50% WS, Carboxin 37.5% + Thiram 37.5% WS and Metiram 55% + Pyraclostrobin 5% WG exhibited complete (100%) inhibition at higher concentrations, with Carbendazim + Mancozeb maintaining 100% inhibition even at 100 ppm. These findings corroborate those of Sangeetha and </w:t>
      </w:r>
      <w:proofErr w:type="spellStart"/>
      <w:r w:rsidRPr="00792A44">
        <w:rPr>
          <w:rFonts w:ascii="Times New Roman" w:hAnsi="Times New Roman" w:cs="Times New Roman"/>
        </w:rPr>
        <w:t>Jahagirdar</w:t>
      </w:r>
      <w:proofErr w:type="spellEnd"/>
      <w:r w:rsidRPr="00792A44">
        <w:rPr>
          <w:rFonts w:ascii="Times New Roman" w:hAnsi="Times New Roman" w:cs="Times New Roman"/>
        </w:rPr>
        <w:t xml:space="preserve"> (2013) and Rahman </w:t>
      </w:r>
      <w:r w:rsidRPr="00792A44">
        <w:rPr>
          <w:rFonts w:ascii="Times New Roman" w:hAnsi="Times New Roman" w:cs="Times New Roman"/>
          <w:i/>
          <w:iCs/>
        </w:rPr>
        <w:t>et al.,</w:t>
      </w:r>
      <w:r w:rsidRPr="00792A44">
        <w:rPr>
          <w:rFonts w:ascii="Times New Roman" w:hAnsi="Times New Roman" w:cs="Times New Roman"/>
        </w:rPr>
        <w:t xml:space="preserve"> (2021), highlighting the enhanced antifungal efficacy of systemic-contact combinations such as benzimidazole + </w:t>
      </w:r>
      <w:proofErr w:type="spellStart"/>
      <w:r w:rsidRPr="00792A44">
        <w:rPr>
          <w:rFonts w:ascii="Times New Roman" w:hAnsi="Times New Roman" w:cs="Times New Roman"/>
        </w:rPr>
        <w:t>dithiocarbamate</w:t>
      </w:r>
      <w:proofErr w:type="spellEnd"/>
      <w:r w:rsidRPr="00792A44">
        <w:rPr>
          <w:rFonts w:ascii="Times New Roman" w:hAnsi="Times New Roman" w:cs="Times New Roman"/>
        </w:rPr>
        <w:t xml:space="preserve">. In contrast, combinations like </w:t>
      </w:r>
      <w:proofErr w:type="spellStart"/>
      <w:r w:rsidRPr="00792A44">
        <w:rPr>
          <w:rFonts w:ascii="Times New Roman" w:hAnsi="Times New Roman" w:cs="Times New Roman"/>
        </w:rPr>
        <w:t>Penflufen</w:t>
      </w:r>
      <w:proofErr w:type="spellEnd"/>
      <w:r w:rsidRPr="00792A44">
        <w:rPr>
          <w:rFonts w:ascii="Times New Roman" w:hAnsi="Times New Roman" w:cs="Times New Roman"/>
        </w:rPr>
        <w:t xml:space="preserve"> + </w:t>
      </w:r>
      <w:proofErr w:type="spellStart"/>
      <w:r w:rsidRPr="00792A44">
        <w:rPr>
          <w:rFonts w:ascii="Times New Roman" w:hAnsi="Times New Roman" w:cs="Times New Roman"/>
        </w:rPr>
        <w:t>Trifloxystrobin</w:t>
      </w:r>
      <w:proofErr w:type="spellEnd"/>
      <w:r w:rsidRPr="00792A44">
        <w:rPr>
          <w:rFonts w:ascii="Times New Roman" w:hAnsi="Times New Roman" w:cs="Times New Roman"/>
        </w:rPr>
        <w:t xml:space="preserve"> and Azoxystrobin + Tebuconazole showed only moderate inhibition at lower concentrations, indicating limited efficacy under minimal exposure. This observation aligns with </w:t>
      </w:r>
      <w:proofErr w:type="spellStart"/>
      <w:r w:rsidRPr="00792A44">
        <w:rPr>
          <w:rFonts w:ascii="Times New Roman" w:hAnsi="Times New Roman" w:cs="Times New Roman"/>
        </w:rPr>
        <w:t>Tonin</w:t>
      </w:r>
      <w:proofErr w:type="spellEnd"/>
      <w:r w:rsidRPr="00792A44">
        <w:rPr>
          <w:rFonts w:ascii="Times New Roman" w:hAnsi="Times New Roman" w:cs="Times New Roman"/>
          <w:i/>
          <w:iCs/>
        </w:rPr>
        <w:t xml:space="preserve"> et al.,</w:t>
      </w:r>
      <w:r w:rsidRPr="00792A44">
        <w:rPr>
          <w:rFonts w:ascii="Times New Roman" w:hAnsi="Times New Roman" w:cs="Times New Roman"/>
        </w:rPr>
        <w:t xml:space="preserve"> (2013) and Kumar </w:t>
      </w:r>
      <w:r w:rsidRPr="00792A44">
        <w:rPr>
          <w:rFonts w:ascii="Times New Roman" w:hAnsi="Times New Roman" w:cs="Times New Roman"/>
          <w:i/>
          <w:iCs/>
        </w:rPr>
        <w:t>et al.,</w:t>
      </w:r>
      <w:r w:rsidRPr="00792A44">
        <w:rPr>
          <w:rFonts w:ascii="Times New Roman" w:hAnsi="Times New Roman" w:cs="Times New Roman"/>
        </w:rPr>
        <w:t xml:space="preserve"> (2016), who reported variable responses of </w:t>
      </w:r>
      <w:r w:rsidRPr="00792A44">
        <w:rPr>
          <w:rFonts w:ascii="Times New Roman" w:hAnsi="Times New Roman" w:cs="Times New Roman"/>
          <w:i/>
          <w:iCs/>
        </w:rPr>
        <w:t xml:space="preserve">M. </w:t>
      </w:r>
      <w:proofErr w:type="spellStart"/>
      <w:r w:rsidRPr="00792A44">
        <w:rPr>
          <w:rFonts w:ascii="Times New Roman" w:hAnsi="Times New Roman" w:cs="Times New Roman"/>
          <w:i/>
          <w:iCs/>
        </w:rPr>
        <w:t>phaseolina</w:t>
      </w:r>
      <w:proofErr w:type="spellEnd"/>
      <w:r w:rsidRPr="00792A44">
        <w:rPr>
          <w:rFonts w:ascii="Times New Roman" w:hAnsi="Times New Roman" w:cs="Times New Roman"/>
        </w:rPr>
        <w:t xml:space="preserve"> to </w:t>
      </w:r>
      <w:proofErr w:type="spellStart"/>
      <w:r w:rsidRPr="00792A44">
        <w:rPr>
          <w:rFonts w:ascii="Times New Roman" w:hAnsi="Times New Roman" w:cs="Times New Roman"/>
        </w:rPr>
        <w:t>QoI</w:t>
      </w:r>
      <w:proofErr w:type="spellEnd"/>
      <w:r w:rsidRPr="00792A44">
        <w:rPr>
          <w:rFonts w:ascii="Times New Roman" w:hAnsi="Times New Roman" w:cs="Times New Roman"/>
        </w:rPr>
        <w:t xml:space="preserve"> fungicides depending on their formulation and concentration. Earlier stud</w:t>
      </w:r>
      <w:r w:rsidR="00C82385" w:rsidRPr="00792A44">
        <w:rPr>
          <w:rFonts w:ascii="Times New Roman" w:hAnsi="Times New Roman" w:cs="Times New Roman"/>
        </w:rPr>
        <w:t>y</w:t>
      </w:r>
      <w:r w:rsidRPr="00792A44">
        <w:rPr>
          <w:rFonts w:ascii="Times New Roman" w:hAnsi="Times New Roman" w:cs="Times New Roman"/>
        </w:rPr>
        <w:t xml:space="preserve"> by Marquez </w:t>
      </w:r>
      <w:r w:rsidRPr="00792A44">
        <w:rPr>
          <w:rFonts w:ascii="Times New Roman" w:hAnsi="Times New Roman" w:cs="Times New Roman"/>
          <w:i/>
          <w:iCs/>
        </w:rPr>
        <w:t>et al.,</w:t>
      </w:r>
      <w:r w:rsidRPr="00792A44">
        <w:rPr>
          <w:rFonts w:ascii="Times New Roman" w:hAnsi="Times New Roman" w:cs="Times New Roman"/>
        </w:rPr>
        <w:t xml:space="preserve"> (2021</w:t>
      </w:r>
      <w:r w:rsidR="00DA2A1E" w:rsidRPr="00792A44">
        <w:rPr>
          <w:rFonts w:ascii="Times New Roman" w:hAnsi="Times New Roman" w:cs="Times New Roman"/>
        </w:rPr>
        <w:t xml:space="preserve">) </w:t>
      </w:r>
      <w:r w:rsidRPr="00792A44">
        <w:rPr>
          <w:rFonts w:ascii="Times New Roman" w:hAnsi="Times New Roman" w:cs="Times New Roman"/>
        </w:rPr>
        <w:t xml:space="preserve">also highlighted the potent inhibitory action of these molecules, which are known to interfere with fungal mitosis and ergosterol biosynthesis, respectively. These results affirm the utility of benzimidazole and triazole fungicides in the management of soil-borne pathogens, though their efficacy </w:t>
      </w:r>
      <w:r w:rsidRPr="00792A44">
        <w:rPr>
          <w:rFonts w:ascii="Times New Roman" w:hAnsi="Times New Roman" w:cs="Times New Roman"/>
          <w:i/>
          <w:iCs/>
        </w:rPr>
        <w:t>in-vivo</w:t>
      </w:r>
      <w:r w:rsidRPr="00792A44">
        <w:rPr>
          <w:rFonts w:ascii="Times New Roman" w:hAnsi="Times New Roman" w:cs="Times New Roman"/>
        </w:rPr>
        <w:t xml:space="preserve"> depends on formulation, mobility in soil and plant uptake (Kumar and Singh, 2000</w:t>
      </w:r>
      <w:r w:rsidR="00A1360F">
        <w:rPr>
          <w:rFonts w:ascii="Times New Roman" w:hAnsi="Times New Roman" w:cs="Times New Roman"/>
        </w:rPr>
        <w:t xml:space="preserve">; </w:t>
      </w:r>
      <w:proofErr w:type="spellStart"/>
      <w:r w:rsidR="00A1360F" w:rsidRPr="00A1360F">
        <w:rPr>
          <w:rFonts w:ascii="Times New Roman" w:hAnsi="Times New Roman" w:cs="Times New Roman"/>
        </w:rPr>
        <w:t>Bankoliya</w:t>
      </w:r>
      <w:proofErr w:type="spellEnd"/>
      <w:r w:rsidR="00A1360F">
        <w:rPr>
          <w:rFonts w:ascii="Times New Roman" w:hAnsi="Times New Roman" w:cs="Times New Roman"/>
        </w:rPr>
        <w:t xml:space="preserve"> </w:t>
      </w:r>
      <w:r w:rsidR="00A1360F" w:rsidRPr="00763258">
        <w:rPr>
          <w:rFonts w:ascii="Times New Roman" w:hAnsi="Times New Roman" w:cs="Times New Roman"/>
          <w:i/>
          <w:iCs/>
        </w:rPr>
        <w:t>et al.,</w:t>
      </w:r>
      <w:r w:rsidR="00A1360F">
        <w:rPr>
          <w:rFonts w:ascii="Times New Roman" w:hAnsi="Times New Roman" w:cs="Times New Roman"/>
        </w:rPr>
        <w:t xml:space="preserve"> 2022</w:t>
      </w:r>
      <w:r w:rsidR="00C52058">
        <w:rPr>
          <w:rFonts w:ascii="Times New Roman" w:hAnsi="Times New Roman" w:cs="Times New Roman"/>
        </w:rPr>
        <w:t xml:space="preserve">; </w:t>
      </w:r>
      <w:r w:rsidR="00C52058" w:rsidRPr="00792A44">
        <w:rPr>
          <w:rFonts w:ascii="Times New Roman" w:hAnsi="Times New Roman" w:cs="Times New Roman"/>
        </w:rPr>
        <w:t xml:space="preserve">Patidar </w:t>
      </w:r>
      <w:r w:rsidR="00C52058" w:rsidRPr="00792A44">
        <w:rPr>
          <w:rFonts w:ascii="Times New Roman" w:hAnsi="Times New Roman" w:cs="Times New Roman"/>
          <w:i/>
          <w:iCs/>
        </w:rPr>
        <w:t>et al.,</w:t>
      </w:r>
      <w:r w:rsidR="00C52058" w:rsidRPr="00792A44">
        <w:rPr>
          <w:rFonts w:ascii="Times New Roman" w:hAnsi="Times New Roman" w:cs="Times New Roman"/>
        </w:rPr>
        <w:t xml:space="preserve"> 2023</w:t>
      </w:r>
      <w:r w:rsidRPr="00792A44">
        <w:rPr>
          <w:rFonts w:ascii="Times New Roman" w:hAnsi="Times New Roman" w:cs="Times New Roman"/>
        </w:rPr>
        <w:t>).</w:t>
      </w:r>
    </w:p>
    <w:p w14:paraId="55E2C0B2" w14:textId="2368A0B3" w:rsidR="00B8041A" w:rsidRPr="00792A44" w:rsidRDefault="00A34180" w:rsidP="00EA4120">
      <w:pPr>
        <w:spacing w:line="360" w:lineRule="auto"/>
        <w:jc w:val="both"/>
        <w:rPr>
          <w:rFonts w:ascii="Times New Roman" w:hAnsi="Times New Roman" w:cs="Times New Roman"/>
          <w:b/>
          <w:bCs/>
        </w:rPr>
      </w:pPr>
      <w:r>
        <w:rPr>
          <w:rFonts w:ascii="Times New Roman" w:hAnsi="Times New Roman" w:cs="Times New Roman"/>
          <w:b/>
          <w:bCs/>
        </w:rPr>
        <w:t xml:space="preserve">4. </w:t>
      </w:r>
      <w:r w:rsidR="00B750C0" w:rsidRPr="00792A44">
        <w:rPr>
          <w:rFonts w:ascii="Times New Roman" w:hAnsi="Times New Roman" w:cs="Times New Roman"/>
          <w:b/>
          <w:bCs/>
        </w:rPr>
        <w:t>CONCLUSION</w:t>
      </w:r>
    </w:p>
    <w:p w14:paraId="2EEEB22D" w14:textId="62B6F37A" w:rsidR="009A2D3E" w:rsidRDefault="009A2D3E" w:rsidP="00B8041A">
      <w:pPr>
        <w:spacing w:after="240" w:line="360" w:lineRule="auto"/>
        <w:jc w:val="both"/>
        <w:rPr>
          <w:rFonts w:ascii="Times New Roman" w:hAnsi="Times New Roman" w:cs="Times New Roman"/>
        </w:rPr>
      </w:pPr>
      <w:r w:rsidRPr="00792A44">
        <w:rPr>
          <w:rFonts w:ascii="Times New Roman" w:hAnsi="Times New Roman" w:cs="Times New Roman"/>
        </w:rPr>
        <w:t>Th</w:t>
      </w:r>
      <w:r w:rsidR="00C660EF" w:rsidRPr="00792A44">
        <w:rPr>
          <w:rFonts w:ascii="Times New Roman" w:hAnsi="Times New Roman" w:cs="Times New Roman"/>
        </w:rPr>
        <w:t>is</w:t>
      </w:r>
      <w:r w:rsidRPr="00792A44">
        <w:rPr>
          <w:rFonts w:ascii="Times New Roman" w:hAnsi="Times New Roman" w:cs="Times New Roman"/>
        </w:rPr>
        <w:t xml:space="preserve"> study revealed that all tested fungicides significantly inhibited the mycelial growth of </w:t>
      </w:r>
      <w:r w:rsidR="00C660EF" w:rsidRPr="00792A44">
        <w:rPr>
          <w:rFonts w:ascii="Times New Roman" w:hAnsi="Times New Roman" w:cs="Times New Roman"/>
          <w:i/>
          <w:iCs/>
        </w:rPr>
        <w:t>M.</w:t>
      </w:r>
      <w:r w:rsidRPr="00792A44">
        <w:rPr>
          <w:rFonts w:ascii="Times New Roman" w:hAnsi="Times New Roman" w:cs="Times New Roman"/>
          <w:i/>
          <w:iCs/>
        </w:rPr>
        <w:t xml:space="preserve"> phaseolina</w:t>
      </w:r>
      <w:r w:rsidRPr="00792A44">
        <w:rPr>
          <w:rFonts w:ascii="Times New Roman" w:hAnsi="Times New Roman" w:cs="Times New Roman"/>
        </w:rPr>
        <w:t xml:space="preserve"> under </w:t>
      </w:r>
      <w:r w:rsidRPr="00792A44">
        <w:rPr>
          <w:rFonts w:ascii="Times New Roman" w:hAnsi="Times New Roman" w:cs="Times New Roman"/>
          <w:i/>
          <w:iCs/>
        </w:rPr>
        <w:t>in</w:t>
      </w:r>
      <w:r w:rsidR="004815A1" w:rsidRPr="00792A44">
        <w:rPr>
          <w:rFonts w:ascii="Times New Roman" w:hAnsi="Times New Roman" w:cs="Times New Roman"/>
          <w:i/>
          <w:iCs/>
        </w:rPr>
        <w:t>-</w:t>
      </w:r>
      <w:r w:rsidRPr="00792A44">
        <w:rPr>
          <w:rFonts w:ascii="Times New Roman" w:hAnsi="Times New Roman" w:cs="Times New Roman"/>
          <w:i/>
          <w:iCs/>
        </w:rPr>
        <w:t>vitro</w:t>
      </w:r>
      <w:r w:rsidRPr="00792A44">
        <w:rPr>
          <w:rFonts w:ascii="Times New Roman" w:hAnsi="Times New Roman" w:cs="Times New Roman"/>
        </w:rPr>
        <w:t xml:space="preserve"> conditions, with marked variation among formulations and concentrations. Carbendazim 25% + Mancozeb 50% WS, Carbendazim 50% WP</w:t>
      </w:r>
      <w:r w:rsidR="00001553" w:rsidRPr="00792A44">
        <w:rPr>
          <w:rFonts w:ascii="Times New Roman" w:hAnsi="Times New Roman" w:cs="Times New Roman"/>
        </w:rPr>
        <w:t xml:space="preserve"> and</w:t>
      </w:r>
      <w:r w:rsidRPr="00792A44">
        <w:rPr>
          <w:rFonts w:ascii="Times New Roman" w:hAnsi="Times New Roman" w:cs="Times New Roman"/>
        </w:rPr>
        <w:t xml:space="preserve"> Tebuconazole 25.9% w/w EC consistently achieved complete suppression at all concentrations, demonstrating superior and stable efficacy. Metiram + Pyraclostrobin and Carboxin + Thiram combinations were effective at higher doses, while </w:t>
      </w:r>
      <w:proofErr w:type="spellStart"/>
      <w:r w:rsidRPr="00792A44">
        <w:rPr>
          <w:rFonts w:ascii="Times New Roman" w:hAnsi="Times New Roman" w:cs="Times New Roman"/>
        </w:rPr>
        <w:t>Penflufen</w:t>
      </w:r>
      <w:proofErr w:type="spellEnd"/>
      <w:r w:rsidRPr="00792A44">
        <w:rPr>
          <w:rFonts w:ascii="Times New Roman" w:hAnsi="Times New Roman" w:cs="Times New Roman"/>
        </w:rPr>
        <w:t xml:space="preserve"> + </w:t>
      </w:r>
      <w:proofErr w:type="spellStart"/>
      <w:r w:rsidRPr="00792A44">
        <w:rPr>
          <w:rFonts w:ascii="Times New Roman" w:hAnsi="Times New Roman" w:cs="Times New Roman"/>
        </w:rPr>
        <w:t>Trifloxystrobin</w:t>
      </w:r>
      <w:proofErr w:type="spellEnd"/>
      <w:r w:rsidRPr="00792A44">
        <w:rPr>
          <w:rFonts w:ascii="Times New Roman" w:hAnsi="Times New Roman" w:cs="Times New Roman"/>
        </w:rPr>
        <w:t xml:space="preserve"> and Azoxystrobin + Tebuconazole exhibited comparatively lower activity, especially at 100 ppm. The findings emphasize the potential of benzimidazole and triazole based fungicides, either </w:t>
      </w:r>
      <w:r w:rsidRPr="00792A44">
        <w:rPr>
          <w:rFonts w:ascii="Times New Roman" w:hAnsi="Times New Roman" w:cs="Times New Roman"/>
        </w:rPr>
        <w:lastRenderedPageBreak/>
        <w:t>singly or in systemic-contact combinations, as promising options for managing charcoal rot of soybean. However, their integration into field-level management strategies requires further validation under greenhouse and multi-location trials.</w:t>
      </w:r>
    </w:p>
    <w:p w14:paraId="0520B946" w14:textId="4646A6D5" w:rsidR="00D45F20" w:rsidRPr="00D45F20" w:rsidRDefault="004F1462" w:rsidP="00EA4120">
      <w:pPr>
        <w:spacing w:line="360" w:lineRule="auto"/>
        <w:jc w:val="both"/>
        <w:rPr>
          <w:rFonts w:ascii="Times New Roman" w:hAnsi="Times New Roman" w:cs="Times New Roman"/>
          <w:b/>
          <w:bCs/>
        </w:rPr>
      </w:pPr>
      <w:r w:rsidRPr="00D45F20">
        <w:rPr>
          <w:rFonts w:ascii="Times New Roman" w:hAnsi="Times New Roman" w:cs="Times New Roman"/>
          <w:b/>
          <w:bCs/>
        </w:rPr>
        <w:t>DISCLAIMER (ARTIFICIAL INTELLIGENCE)</w:t>
      </w:r>
    </w:p>
    <w:p w14:paraId="04B24E81" w14:textId="090135A4" w:rsidR="00D45F20" w:rsidRDefault="00D45F20" w:rsidP="002B7C57">
      <w:pPr>
        <w:spacing w:after="240" w:line="360" w:lineRule="auto"/>
        <w:jc w:val="both"/>
        <w:rPr>
          <w:rFonts w:ascii="Times New Roman" w:hAnsi="Times New Roman" w:cs="Times New Roman"/>
        </w:rPr>
      </w:pPr>
      <w:r w:rsidRPr="00D45F20">
        <w:rPr>
          <w:rFonts w:ascii="Times New Roman" w:hAnsi="Times New Roman" w:cs="Times New Roman"/>
        </w:rPr>
        <w:t>Author(s) hereby declare that NO generative AI</w:t>
      </w:r>
      <w:r>
        <w:rPr>
          <w:rFonts w:ascii="Times New Roman" w:hAnsi="Times New Roman" w:cs="Times New Roman"/>
        </w:rPr>
        <w:t xml:space="preserve"> </w:t>
      </w:r>
      <w:r w:rsidRPr="00D45F20">
        <w:rPr>
          <w:rFonts w:ascii="Times New Roman" w:hAnsi="Times New Roman" w:cs="Times New Roman"/>
        </w:rPr>
        <w:t>technologies such as Large Language Models</w:t>
      </w:r>
      <w:r>
        <w:rPr>
          <w:rFonts w:ascii="Times New Roman" w:hAnsi="Times New Roman" w:cs="Times New Roman"/>
        </w:rPr>
        <w:t xml:space="preserve"> </w:t>
      </w:r>
      <w:r w:rsidRPr="00D45F20">
        <w:rPr>
          <w:rFonts w:ascii="Times New Roman" w:hAnsi="Times New Roman" w:cs="Times New Roman"/>
        </w:rPr>
        <w:t xml:space="preserve">(ChatGPT, </w:t>
      </w:r>
      <w:r w:rsidR="0014349D">
        <w:rPr>
          <w:rFonts w:ascii="Times New Roman" w:hAnsi="Times New Roman" w:cs="Times New Roman"/>
        </w:rPr>
        <w:t>COPILOT</w:t>
      </w:r>
      <w:r w:rsidRPr="00D45F20">
        <w:rPr>
          <w:rFonts w:ascii="Times New Roman" w:hAnsi="Times New Roman" w:cs="Times New Roman"/>
        </w:rPr>
        <w:t>, etc) and text</w:t>
      </w:r>
      <w:r>
        <w:rPr>
          <w:rFonts w:ascii="Times New Roman" w:hAnsi="Times New Roman" w:cs="Times New Roman"/>
        </w:rPr>
        <w:t xml:space="preserve"> </w:t>
      </w:r>
      <w:r w:rsidRPr="00D45F20">
        <w:rPr>
          <w:rFonts w:ascii="Times New Roman" w:hAnsi="Times New Roman" w:cs="Times New Roman"/>
        </w:rPr>
        <w:t>to</w:t>
      </w:r>
      <w:r>
        <w:rPr>
          <w:rFonts w:ascii="Times New Roman" w:hAnsi="Times New Roman" w:cs="Times New Roman"/>
        </w:rPr>
        <w:t xml:space="preserve"> </w:t>
      </w:r>
      <w:r w:rsidRPr="00D45F20">
        <w:rPr>
          <w:rFonts w:ascii="Times New Roman" w:hAnsi="Times New Roman" w:cs="Times New Roman"/>
        </w:rPr>
        <w:t>image</w:t>
      </w:r>
      <w:r>
        <w:rPr>
          <w:rFonts w:ascii="Times New Roman" w:hAnsi="Times New Roman" w:cs="Times New Roman"/>
        </w:rPr>
        <w:t xml:space="preserve"> </w:t>
      </w:r>
      <w:r w:rsidRPr="00D45F20">
        <w:rPr>
          <w:rFonts w:ascii="Times New Roman" w:hAnsi="Times New Roman" w:cs="Times New Roman"/>
        </w:rPr>
        <w:t>generators have been used during writing or</w:t>
      </w:r>
      <w:r>
        <w:rPr>
          <w:rFonts w:ascii="Times New Roman" w:hAnsi="Times New Roman" w:cs="Times New Roman"/>
        </w:rPr>
        <w:t xml:space="preserve"> </w:t>
      </w:r>
      <w:r w:rsidRPr="00D45F20">
        <w:rPr>
          <w:rFonts w:ascii="Times New Roman" w:hAnsi="Times New Roman" w:cs="Times New Roman"/>
        </w:rPr>
        <w:t>editing of this manuscript.</w:t>
      </w:r>
    </w:p>
    <w:p w14:paraId="0E7387D5" w14:textId="012EB326" w:rsidR="005016C9" w:rsidRDefault="005016C9" w:rsidP="002B7C57">
      <w:pPr>
        <w:spacing w:after="240" w:line="360" w:lineRule="auto"/>
        <w:jc w:val="both"/>
        <w:rPr>
          <w:rFonts w:ascii="Times New Roman" w:hAnsi="Times New Roman" w:cs="Times New Roman"/>
        </w:rPr>
      </w:pPr>
    </w:p>
    <w:p w14:paraId="7331C97E" w14:textId="77777777" w:rsidR="00A352A4" w:rsidRPr="004F1462" w:rsidRDefault="00A352A4" w:rsidP="00A352A4">
      <w:pPr>
        <w:spacing w:before="120" w:line="360" w:lineRule="auto"/>
        <w:jc w:val="both"/>
        <w:rPr>
          <w:rFonts w:ascii="Times New Roman" w:hAnsi="Times New Roman" w:cs="Times New Roman"/>
        </w:rPr>
      </w:pPr>
      <w:r w:rsidRPr="004F1462">
        <w:rPr>
          <w:rFonts w:ascii="Times New Roman" w:hAnsi="Times New Roman" w:cs="Times New Roman"/>
          <w:b/>
          <w:bCs/>
        </w:rPr>
        <w:t>ACKNOWLEDGEMENT</w:t>
      </w:r>
    </w:p>
    <w:p w14:paraId="580BDA63" w14:textId="77777777" w:rsidR="00A352A4" w:rsidRDefault="00A352A4" w:rsidP="00A352A4">
      <w:pPr>
        <w:spacing w:before="120" w:after="240" w:line="360" w:lineRule="auto"/>
        <w:jc w:val="both"/>
        <w:rPr>
          <w:rFonts w:ascii="Times New Roman" w:hAnsi="Times New Roman" w:cs="Times New Roman"/>
        </w:rPr>
      </w:pPr>
      <w:r w:rsidRPr="004F1462">
        <w:rPr>
          <w:rFonts w:ascii="Times New Roman" w:hAnsi="Times New Roman" w:cs="Times New Roman"/>
        </w:rPr>
        <w:t>The authors are thankful to Jawaharlal Nehru</w:t>
      </w:r>
      <w:r>
        <w:rPr>
          <w:rFonts w:ascii="Times New Roman" w:hAnsi="Times New Roman" w:cs="Times New Roman"/>
        </w:rPr>
        <w:t xml:space="preserve"> </w:t>
      </w:r>
      <w:r w:rsidRPr="004F1462">
        <w:rPr>
          <w:rFonts w:ascii="Times New Roman" w:hAnsi="Times New Roman" w:cs="Times New Roman"/>
        </w:rPr>
        <w:t>Krishi Vishwa Vidyalaya, College of Agriculture,</w:t>
      </w:r>
      <w:r>
        <w:rPr>
          <w:rFonts w:ascii="Times New Roman" w:hAnsi="Times New Roman" w:cs="Times New Roman"/>
        </w:rPr>
        <w:t xml:space="preserve"> Jabalpur, Madhya Pradesh</w:t>
      </w:r>
      <w:r w:rsidRPr="004F1462">
        <w:rPr>
          <w:rFonts w:ascii="Times New Roman" w:hAnsi="Times New Roman" w:cs="Times New Roman"/>
        </w:rPr>
        <w:t xml:space="preserve"> for providing necessary facilities to</w:t>
      </w:r>
      <w:r>
        <w:rPr>
          <w:rFonts w:ascii="Times New Roman" w:hAnsi="Times New Roman" w:cs="Times New Roman"/>
        </w:rPr>
        <w:t xml:space="preserve"> </w:t>
      </w:r>
      <w:r w:rsidRPr="004F1462">
        <w:rPr>
          <w:rFonts w:ascii="Times New Roman" w:hAnsi="Times New Roman" w:cs="Times New Roman"/>
        </w:rPr>
        <w:t>conduct the field experiments.</w:t>
      </w:r>
    </w:p>
    <w:p w14:paraId="59C5EC4B" w14:textId="77777777" w:rsidR="00A352A4" w:rsidRPr="0014349D" w:rsidRDefault="00A352A4" w:rsidP="00A352A4">
      <w:pPr>
        <w:spacing w:before="120" w:line="360" w:lineRule="auto"/>
        <w:jc w:val="both"/>
        <w:rPr>
          <w:rFonts w:ascii="Times New Roman" w:hAnsi="Times New Roman" w:cs="Times New Roman"/>
          <w:b/>
          <w:bCs/>
        </w:rPr>
      </w:pPr>
      <w:r w:rsidRPr="0014349D">
        <w:rPr>
          <w:rFonts w:ascii="Times New Roman" w:hAnsi="Times New Roman" w:cs="Times New Roman"/>
          <w:b/>
          <w:bCs/>
        </w:rPr>
        <w:t>COMPETING INTERESTS</w:t>
      </w:r>
    </w:p>
    <w:p w14:paraId="1906DB68" w14:textId="77777777" w:rsidR="00A352A4" w:rsidRPr="004F1462" w:rsidRDefault="00A352A4" w:rsidP="00A352A4">
      <w:pPr>
        <w:spacing w:before="120" w:after="240" w:line="360" w:lineRule="auto"/>
        <w:jc w:val="both"/>
        <w:rPr>
          <w:rFonts w:ascii="Times New Roman" w:hAnsi="Times New Roman" w:cs="Times New Roman"/>
        </w:rPr>
      </w:pPr>
      <w:r w:rsidRPr="0014349D">
        <w:rPr>
          <w:rFonts w:ascii="Times New Roman" w:hAnsi="Times New Roman" w:cs="Times New Roman"/>
        </w:rPr>
        <w:t>Author</w:t>
      </w:r>
      <w:r>
        <w:rPr>
          <w:rFonts w:ascii="Times New Roman" w:hAnsi="Times New Roman" w:cs="Times New Roman"/>
        </w:rPr>
        <w:t>(</w:t>
      </w:r>
      <w:proofErr w:type="gramStart"/>
      <w:r w:rsidRPr="0014349D">
        <w:rPr>
          <w:rFonts w:ascii="Times New Roman" w:hAnsi="Times New Roman" w:cs="Times New Roman"/>
        </w:rPr>
        <w:t>s</w:t>
      </w:r>
      <w:r>
        <w:rPr>
          <w:rFonts w:ascii="Times New Roman" w:hAnsi="Times New Roman" w:cs="Times New Roman"/>
        </w:rPr>
        <w:t>)</w:t>
      </w:r>
      <w:r w:rsidRPr="0014349D">
        <w:rPr>
          <w:rFonts w:ascii="Times New Roman" w:hAnsi="Times New Roman" w:cs="Times New Roman"/>
        </w:rPr>
        <w:t xml:space="preserve">   </w:t>
      </w:r>
      <w:proofErr w:type="gramEnd"/>
      <w:r w:rsidRPr="0014349D">
        <w:rPr>
          <w:rFonts w:ascii="Times New Roman" w:hAnsi="Times New Roman" w:cs="Times New Roman"/>
        </w:rPr>
        <w:t xml:space="preserve"> have    declared    that    no    competing interests exist</w:t>
      </w:r>
      <w:r>
        <w:rPr>
          <w:rFonts w:ascii="Times New Roman" w:hAnsi="Times New Roman" w:cs="Times New Roman"/>
        </w:rPr>
        <w:t>.</w:t>
      </w:r>
    </w:p>
    <w:p w14:paraId="779B7831" w14:textId="77777777" w:rsidR="005016C9" w:rsidRDefault="005016C9" w:rsidP="002B7C57">
      <w:pPr>
        <w:spacing w:after="240" w:line="360" w:lineRule="auto"/>
        <w:jc w:val="both"/>
        <w:rPr>
          <w:rFonts w:ascii="Times New Roman" w:hAnsi="Times New Roman" w:cs="Times New Roman"/>
        </w:rPr>
      </w:pPr>
    </w:p>
    <w:p w14:paraId="52A405B4" w14:textId="52A35762" w:rsidR="004F55BC" w:rsidRPr="00792A44" w:rsidRDefault="00B750C0" w:rsidP="004F55BC">
      <w:pPr>
        <w:spacing w:before="120" w:after="240" w:line="360" w:lineRule="auto"/>
        <w:jc w:val="both"/>
        <w:rPr>
          <w:rFonts w:ascii="Times New Roman" w:hAnsi="Times New Roman" w:cs="Times New Roman"/>
          <w:b/>
          <w:bCs/>
        </w:rPr>
      </w:pPr>
      <w:r w:rsidRPr="00792A44">
        <w:rPr>
          <w:rFonts w:ascii="Times New Roman" w:hAnsi="Times New Roman" w:cs="Times New Roman"/>
          <w:b/>
          <w:bCs/>
        </w:rPr>
        <w:t>REFERENCES</w:t>
      </w:r>
    </w:p>
    <w:p w14:paraId="5F5DD92F" w14:textId="77777777" w:rsidR="00435B53" w:rsidRDefault="00435B53" w:rsidP="00A1360F">
      <w:pPr>
        <w:spacing w:line="360" w:lineRule="auto"/>
        <w:ind w:left="720" w:hanging="720"/>
        <w:jc w:val="both"/>
        <w:rPr>
          <w:rFonts w:ascii="Times New Roman" w:hAnsi="Times New Roman" w:cs="Times New Roman"/>
        </w:rPr>
      </w:pPr>
      <w:proofErr w:type="spellStart"/>
      <w:r w:rsidRPr="00FF7F11">
        <w:rPr>
          <w:rFonts w:ascii="Times New Roman" w:hAnsi="Times New Roman" w:cs="Times New Roman"/>
        </w:rPr>
        <w:t>Almomani</w:t>
      </w:r>
      <w:proofErr w:type="spellEnd"/>
      <w:r w:rsidRPr="00FF7F11">
        <w:rPr>
          <w:rFonts w:ascii="Times New Roman" w:hAnsi="Times New Roman" w:cs="Times New Roman"/>
        </w:rPr>
        <w:t xml:space="preserve">, F., </w:t>
      </w:r>
      <w:proofErr w:type="spellStart"/>
      <w:r w:rsidRPr="00FF7F11">
        <w:rPr>
          <w:rFonts w:ascii="Times New Roman" w:hAnsi="Times New Roman" w:cs="Times New Roman"/>
        </w:rPr>
        <w:t>Alhawatema</w:t>
      </w:r>
      <w:proofErr w:type="spellEnd"/>
      <w:r w:rsidRPr="00FF7F11">
        <w:rPr>
          <w:rFonts w:ascii="Times New Roman" w:hAnsi="Times New Roman" w:cs="Times New Roman"/>
        </w:rPr>
        <w:t>, M.</w:t>
      </w:r>
      <w:r>
        <w:rPr>
          <w:rFonts w:ascii="Times New Roman" w:hAnsi="Times New Roman" w:cs="Times New Roman"/>
        </w:rPr>
        <w:t xml:space="preserve"> and</w:t>
      </w:r>
      <w:r w:rsidRPr="00FF7F11">
        <w:rPr>
          <w:rFonts w:ascii="Times New Roman" w:hAnsi="Times New Roman" w:cs="Times New Roman"/>
        </w:rPr>
        <w:t xml:space="preserve"> Hameed, K. (2013). Detection, identification and morphological characteristic of Macrophomina phaseolina: the charcoal rot disease pathogens isolated from infected plants in Northern Jordan. </w:t>
      </w:r>
      <w:r w:rsidRPr="00FF7F11">
        <w:rPr>
          <w:rFonts w:ascii="Times New Roman" w:hAnsi="Times New Roman" w:cs="Times New Roman"/>
          <w:i/>
          <w:iCs/>
        </w:rPr>
        <w:t>Archives of Phytopathology and Plant Protection</w:t>
      </w:r>
      <w:r w:rsidRPr="00FF7F11">
        <w:rPr>
          <w:rFonts w:ascii="Times New Roman" w:hAnsi="Times New Roman" w:cs="Times New Roman"/>
        </w:rPr>
        <w:t>, </w:t>
      </w:r>
      <w:r w:rsidRPr="00FF7F11">
        <w:rPr>
          <w:rFonts w:ascii="Times New Roman" w:hAnsi="Times New Roman" w:cs="Times New Roman"/>
          <w:i/>
          <w:iCs/>
        </w:rPr>
        <w:t>46</w:t>
      </w:r>
      <w:r w:rsidRPr="00FF7F11">
        <w:rPr>
          <w:rFonts w:ascii="Times New Roman" w:hAnsi="Times New Roman" w:cs="Times New Roman"/>
        </w:rPr>
        <w:t>(9), 1005-1014.</w:t>
      </w:r>
    </w:p>
    <w:p w14:paraId="2E61CD05" w14:textId="77777777" w:rsidR="00435B53" w:rsidRDefault="00435B53" w:rsidP="00A1360F">
      <w:pPr>
        <w:spacing w:line="360" w:lineRule="auto"/>
        <w:ind w:left="720" w:hanging="720"/>
        <w:jc w:val="both"/>
        <w:rPr>
          <w:rFonts w:ascii="Times New Roman" w:hAnsi="Times New Roman" w:cs="Times New Roman"/>
        </w:rPr>
      </w:pPr>
      <w:proofErr w:type="spellStart"/>
      <w:r w:rsidRPr="00C637F6">
        <w:rPr>
          <w:rFonts w:ascii="Times New Roman" w:hAnsi="Times New Roman" w:cs="Times New Roman"/>
        </w:rPr>
        <w:t>Altschul</w:t>
      </w:r>
      <w:proofErr w:type="spellEnd"/>
      <w:r w:rsidRPr="00C637F6">
        <w:rPr>
          <w:rFonts w:ascii="Times New Roman" w:hAnsi="Times New Roman" w:cs="Times New Roman"/>
        </w:rPr>
        <w:t xml:space="preserve">, S. F., Madden, T. L., </w:t>
      </w:r>
      <w:proofErr w:type="spellStart"/>
      <w:r w:rsidRPr="00C637F6">
        <w:rPr>
          <w:rFonts w:ascii="Times New Roman" w:hAnsi="Times New Roman" w:cs="Times New Roman"/>
        </w:rPr>
        <w:t>Schäffer</w:t>
      </w:r>
      <w:proofErr w:type="spellEnd"/>
      <w:r w:rsidRPr="00C637F6">
        <w:rPr>
          <w:rFonts w:ascii="Times New Roman" w:hAnsi="Times New Roman" w:cs="Times New Roman"/>
        </w:rPr>
        <w:t>, A. A., Zhang, J., Zhang, Z., Miller, W.</w:t>
      </w:r>
      <w:r>
        <w:rPr>
          <w:rFonts w:ascii="Times New Roman" w:hAnsi="Times New Roman" w:cs="Times New Roman"/>
        </w:rPr>
        <w:t xml:space="preserve"> and</w:t>
      </w:r>
      <w:r w:rsidRPr="00C637F6">
        <w:rPr>
          <w:rFonts w:ascii="Times New Roman" w:hAnsi="Times New Roman" w:cs="Times New Roman"/>
        </w:rPr>
        <w:t xml:space="preserve"> Lipman, D. J. (1997). Gapped BLAST and PSI-BLAST: a new generation of protein database search programs. </w:t>
      </w:r>
      <w:r w:rsidRPr="00C637F6">
        <w:rPr>
          <w:rFonts w:ascii="Times New Roman" w:hAnsi="Times New Roman" w:cs="Times New Roman"/>
          <w:i/>
          <w:iCs/>
        </w:rPr>
        <w:t>Nucleic acids research</w:t>
      </w:r>
      <w:r w:rsidRPr="00C637F6">
        <w:rPr>
          <w:rFonts w:ascii="Times New Roman" w:hAnsi="Times New Roman" w:cs="Times New Roman"/>
        </w:rPr>
        <w:t>, </w:t>
      </w:r>
      <w:r w:rsidRPr="00C637F6">
        <w:rPr>
          <w:rFonts w:ascii="Times New Roman" w:hAnsi="Times New Roman" w:cs="Times New Roman"/>
          <w:i/>
          <w:iCs/>
        </w:rPr>
        <w:t>25</w:t>
      </w:r>
      <w:r w:rsidRPr="00C637F6">
        <w:rPr>
          <w:rFonts w:ascii="Times New Roman" w:hAnsi="Times New Roman" w:cs="Times New Roman"/>
        </w:rPr>
        <w:t>(17), 3389-3402.</w:t>
      </w:r>
    </w:p>
    <w:p w14:paraId="790316B3" w14:textId="77777777" w:rsidR="00435B53" w:rsidRDefault="00435B53" w:rsidP="00A1360F">
      <w:pPr>
        <w:spacing w:line="360" w:lineRule="auto"/>
        <w:ind w:left="720" w:hanging="720"/>
        <w:jc w:val="both"/>
        <w:rPr>
          <w:rFonts w:ascii="Times New Roman" w:hAnsi="Times New Roman" w:cs="Times New Roman"/>
        </w:rPr>
      </w:pPr>
      <w:r w:rsidRPr="00FF7F11">
        <w:rPr>
          <w:rFonts w:ascii="Times New Roman" w:hAnsi="Times New Roman" w:cs="Times New Roman"/>
        </w:rPr>
        <w:t>Babu, B. K., Saxena, A. K., Srivastava, A. K.</w:t>
      </w:r>
      <w:r>
        <w:rPr>
          <w:rFonts w:ascii="Times New Roman" w:hAnsi="Times New Roman" w:cs="Times New Roman"/>
        </w:rPr>
        <w:t xml:space="preserve"> and</w:t>
      </w:r>
      <w:r w:rsidRPr="00FF7F11">
        <w:rPr>
          <w:rFonts w:ascii="Times New Roman" w:hAnsi="Times New Roman" w:cs="Times New Roman"/>
        </w:rPr>
        <w:t xml:space="preserve"> Arora, D. K. (2007). Identification and detection of </w:t>
      </w:r>
      <w:r w:rsidRPr="002A02AD">
        <w:rPr>
          <w:rFonts w:ascii="Times New Roman" w:hAnsi="Times New Roman" w:cs="Times New Roman"/>
          <w:i/>
          <w:iCs/>
        </w:rPr>
        <w:t>Macrophomina</w:t>
      </w:r>
      <w:r w:rsidRPr="00FF7F11">
        <w:rPr>
          <w:rFonts w:ascii="Times New Roman" w:hAnsi="Times New Roman" w:cs="Times New Roman"/>
        </w:rPr>
        <w:t xml:space="preserve"> </w:t>
      </w:r>
      <w:r w:rsidRPr="002A02AD">
        <w:rPr>
          <w:rFonts w:ascii="Times New Roman" w:hAnsi="Times New Roman" w:cs="Times New Roman"/>
          <w:i/>
          <w:iCs/>
        </w:rPr>
        <w:t>phaseolina</w:t>
      </w:r>
      <w:r w:rsidRPr="00FF7F11">
        <w:rPr>
          <w:rFonts w:ascii="Times New Roman" w:hAnsi="Times New Roman" w:cs="Times New Roman"/>
        </w:rPr>
        <w:t xml:space="preserve"> by using species-specific oligonucleotide primers and probe. </w:t>
      </w:r>
      <w:proofErr w:type="spellStart"/>
      <w:r w:rsidRPr="00FF7F11">
        <w:rPr>
          <w:rFonts w:ascii="Times New Roman" w:hAnsi="Times New Roman" w:cs="Times New Roman"/>
          <w:i/>
          <w:iCs/>
        </w:rPr>
        <w:t>Mycologia</w:t>
      </w:r>
      <w:proofErr w:type="spellEnd"/>
      <w:r w:rsidRPr="00FF7F11">
        <w:rPr>
          <w:rFonts w:ascii="Times New Roman" w:hAnsi="Times New Roman" w:cs="Times New Roman"/>
        </w:rPr>
        <w:t>, </w:t>
      </w:r>
      <w:r w:rsidRPr="00FF7F11">
        <w:rPr>
          <w:rFonts w:ascii="Times New Roman" w:hAnsi="Times New Roman" w:cs="Times New Roman"/>
          <w:i/>
          <w:iCs/>
        </w:rPr>
        <w:t>99</w:t>
      </w:r>
      <w:r w:rsidRPr="00FF7F11">
        <w:rPr>
          <w:rFonts w:ascii="Times New Roman" w:hAnsi="Times New Roman" w:cs="Times New Roman"/>
        </w:rPr>
        <w:t>(6), 797-803.</w:t>
      </w:r>
    </w:p>
    <w:p w14:paraId="068AC1B9" w14:textId="77777777" w:rsidR="00435B53" w:rsidRPr="00A1360F" w:rsidRDefault="00435B53" w:rsidP="00A1360F">
      <w:pPr>
        <w:spacing w:line="360" w:lineRule="auto"/>
        <w:ind w:left="720" w:hanging="720"/>
        <w:jc w:val="both"/>
        <w:rPr>
          <w:rFonts w:ascii="Times New Roman" w:hAnsi="Times New Roman" w:cs="Times New Roman"/>
        </w:rPr>
      </w:pPr>
      <w:proofErr w:type="spellStart"/>
      <w:r w:rsidRPr="00A1360F">
        <w:rPr>
          <w:rFonts w:ascii="Times New Roman" w:hAnsi="Times New Roman" w:cs="Times New Roman"/>
        </w:rPr>
        <w:t>Bankoliya</w:t>
      </w:r>
      <w:proofErr w:type="spellEnd"/>
      <w:r w:rsidRPr="00A1360F">
        <w:rPr>
          <w:rFonts w:ascii="Times New Roman" w:hAnsi="Times New Roman" w:cs="Times New Roman"/>
        </w:rPr>
        <w:t xml:space="preserve">, M., Yadav, V. K., Kumar, A., </w:t>
      </w:r>
      <w:proofErr w:type="spellStart"/>
      <w:r w:rsidRPr="00A1360F">
        <w:rPr>
          <w:rFonts w:ascii="Times New Roman" w:hAnsi="Times New Roman" w:cs="Times New Roman"/>
        </w:rPr>
        <w:t>Amrate</w:t>
      </w:r>
      <w:proofErr w:type="spellEnd"/>
      <w:r w:rsidRPr="00A1360F">
        <w:rPr>
          <w:rFonts w:ascii="Times New Roman" w:hAnsi="Times New Roman" w:cs="Times New Roman"/>
        </w:rPr>
        <w:t>, P.</w:t>
      </w:r>
      <w:r>
        <w:rPr>
          <w:rFonts w:ascii="Times New Roman" w:hAnsi="Times New Roman" w:cs="Times New Roman"/>
        </w:rPr>
        <w:t xml:space="preserve"> and</w:t>
      </w:r>
      <w:r w:rsidRPr="00A1360F">
        <w:rPr>
          <w:rFonts w:ascii="Times New Roman" w:hAnsi="Times New Roman" w:cs="Times New Roman"/>
        </w:rPr>
        <w:t xml:space="preserve"> Bhatt, J. (2022). The resistance screening and </w:t>
      </w:r>
      <w:r w:rsidRPr="002A02AD">
        <w:rPr>
          <w:rFonts w:ascii="Times New Roman" w:hAnsi="Times New Roman" w:cs="Times New Roman"/>
          <w:i/>
          <w:iCs/>
        </w:rPr>
        <w:t>in-vitro</w:t>
      </w:r>
      <w:r w:rsidRPr="00A1360F">
        <w:rPr>
          <w:rFonts w:ascii="Times New Roman" w:hAnsi="Times New Roman" w:cs="Times New Roman"/>
        </w:rPr>
        <w:t xml:space="preserve"> efficacy of fungicides for the management of dry root rot of chickpea caused by </w:t>
      </w:r>
      <w:proofErr w:type="spellStart"/>
      <w:r w:rsidRPr="00A1360F">
        <w:rPr>
          <w:rStyle w:val="Emphasis"/>
          <w:rFonts w:ascii="Times New Roman" w:hAnsi="Times New Roman" w:cs="Times New Roman"/>
        </w:rPr>
        <w:t>Rhizoctonia</w:t>
      </w:r>
      <w:proofErr w:type="spellEnd"/>
      <w:r w:rsidRPr="00A1360F">
        <w:rPr>
          <w:rStyle w:val="Emphasis"/>
          <w:rFonts w:ascii="Times New Roman" w:hAnsi="Times New Roman" w:cs="Times New Roman"/>
        </w:rPr>
        <w:t xml:space="preserve"> </w:t>
      </w:r>
      <w:proofErr w:type="spellStart"/>
      <w:r w:rsidRPr="00A1360F">
        <w:rPr>
          <w:rStyle w:val="Emphasis"/>
          <w:rFonts w:ascii="Times New Roman" w:hAnsi="Times New Roman" w:cs="Times New Roman"/>
        </w:rPr>
        <w:t>bataticola</w:t>
      </w:r>
      <w:proofErr w:type="spellEnd"/>
      <w:r w:rsidRPr="00A1360F">
        <w:rPr>
          <w:rFonts w:ascii="Times New Roman" w:hAnsi="Times New Roman" w:cs="Times New Roman"/>
        </w:rPr>
        <w:t xml:space="preserve">. </w:t>
      </w:r>
      <w:r w:rsidRPr="00A1360F">
        <w:rPr>
          <w:rStyle w:val="Emphasis"/>
          <w:rFonts w:ascii="Times New Roman" w:hAnsi="Times New Roman" w:cs="Times New Roman"/>
        </w:rPr>
        <w:t>Environment Conservation Journal, 23</w:t>
      </w:r>
      <w:r w:rsidRPr="00A1360F">
        <w:rPr>
          <w:rFonts w:ascii="Times New Roman" w:hAnsi="Times New Roman" w:cs="Times New Roman"/>
        </w:rPr>
        <w:t>(3), 8–13</w:t>
      </w:r>
    </w:p>
    <w:p w14:paraId="143690E1" w14:textId="77777777" w:rsidR="00435B53"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lastRenderedPageBreak/>
        <w:t>Chaudhary, D. H., Pathak, D. M.</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Chaudhary, M. M. (2017). </w:t>
      </w:r>
      <w:r w:rsidRPr="00792A44">
        <w:rPr>
          <w:rFonts w:ascii="Times New Roman" w:eastAsia="Arial" w:hAnsi="Times New Roman" w:cs="Times New Roman"/>
          <w:bCs/>
          <w:i/>
          <w:iCs/>
          <w:color w:val="000000"/>
        </w:rPr>
        <w:t>In vitro</w:t>
      </w:r>
      <w:r w:rsidRPr="00792A44">
        <w:rPr>
          <w:rFonts w:ascii="Times New Roman" w:eastAsia="Arial" w:hAnsi="Times New Roman" w:cs="Times New Roman"/>
          <w:bCs/>
          <w:color w:val="000000"/>
        </w:rPr>
        <w:t xml:space="preserve"> efficacy of fungicides against dry root rot (</w:t>
      </w:r>
      <w:r w:rsidRPr="00792A44">
        <w:rPr>
          <w:rFonts w:ascii="Times New Roman" w:eastAsia="Arial" w:hAnsi="Times New Roman" w:cs="Times New Roman"/>
          <w:bCs/>
          <w:i/>
          <w:iCs/>
          <w:color w:val="000000"/>
        </w:rPr>
        <w:t>Macrophomina phaseolina</w:t>
      </w:r>
      <w:r w:rsidRPr="00792A44">
        <w:rPr>
          <w:rFonts w:ascii="Times New Roman" w:eastAsia="Arial" w:hAnsi="Times New Roman" w:cs="Times New Roman"/>
          <w:bCs/>
          <w:color w:val="000000"/>
        </w:rPr>
        <w:t>) of soybean. </w:t>
      </w:r>
      <w:r w:rsidRPr="00792A44">
        <w:rPr>
          <w:rFonts w:ascii="Times New Roman" w:eastAsia="Arial" w:hAnsi="Times New Roman" w:cs="Times New Roman"/>
          <w:bCs/>
          <w:i/>
          <w:iCs/>
          <w:color w:val="000000"/>
        </w:rPr>
        <w:t>International Journal of Current Microbiology and Applied Sciences</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6</w:t>
      </w:r>
      <w:r w:rsidRPr="00792A44">
        <w:rPr>
          <w:rFonts w:ascii="Times New Roman" w:eastAsia="Arial" w:hAnsi="Times New Roman" w:cs="Times New Roman"/>
          <w:bCs/>
          <w:color w:val="000000"/>
        </w:rPr>
        <w:t>(8), 1298-1301.</w:t>
      </w:r>
    </w:p>
    <w:p w14:paraId="0C60C3D6" w14:textId="77777777" w:rsidR="00435B53" w:rsidRDefault="00435B53" w:rsidP="00792A44">
      <w:pPr>
        <w:spacing w:line="360" w:lineRule="auto"/>
        <w:ind w:left="720" w:hanging="720"/>
        <w:jc w:val="both"/>
        <w:rPr>
          <w:rFonts w:ascii="Times New Roman" w:eastAsia="Arial" w:hAnsi="Times New Roman" w:cs="Times New Roman"/>
          <w:bCs/>
          <w:color w:val="000000"/>
        </w:rPr>
      </w:pPr>
      <w:r w:rsidRPr="00A028FF">
        <w:rPr>
          <w:rFonts w:ascii="Times New Roman" w:eastAsia="Arial" w:hAnsi="Times New Roman" w:cs="Times New Roman"/>
          <w:bCs/>
          <w:color w:val="000000"/>
        </w:rPr>
        <w:t xml:space="preserve">Dhawan, S. S., Kadam, A. M., &amp; </w:t>
      </w:r>
      <w:proofErr w:type="spellStart"/>
      <w:r w:rsidRPr="00A028FF">
        <w:rPr>
          <w:rFonts w:ascii="Times New Roman" w:eastAsia="Arial" w:hAnsi="Times New Roman" w:cs="Times New Roman"/>
          <w:bCs/>
          <w:color w:val="000000"/>
        </w:rPr>
        <w:t>Kumbhar</w:t>
      </w:r>
      <w:proofErr w:type="spellEnd"/>
      <w:r w:rsidRPr="00A028FF">
        <w:rPr>
          <w:rFonts w:ascii="Times New Roman" w:eastAsia="Arial" w:hAnsi="Times New Roman" w:cs="Times New Roman"/>
          <w:bCs/>
          <w:color w:val="000000"/>
        </w:rPr>
        <w:t>, A. S. (2024). Efficacy of Fungicides against Pathogenic Mycoflora of Soybean Seeds. </w:t>
      </w:r>
      <w:r w:rsidRPr="00A028FF">
        <w:rPr>
          <w:rFonts w:ascii="Times New Roman" w:eastAsia="Arial" w:hAnsi="Times New Roman" w:cs="Times New Roman"/>
          <w:bCs/>
          <w:i/>
          <w:iCs/>
          <w:color w:val="000000"/>
        </w:rPr>
        <w:t>Journal of Advances in Microbiology</w:t>
      </w:r>
      <w:r w:rsidRPr="00A028FF">
        <w:rPr>
          <w:rFonts w:ascii="Times New Roman" w:eastAsia="Arial" w:hAnsi="Times New Roman" w:cs="Times New Roman"/>
          <w:bCs/>
          <w:color w:val="000000"/>
        </w:rPr>
        <w:t>, </w:t>
      </w:r>
      <w:r w:rsidRPr="00A028FF">
        <w:rPr>
          <w:rFonts w:ascii="Times New Roman" w:eastAsia="Arial" w:hAnsi="Times New Roman" w:cs="Times New Roman"/>
          <w:bCs/>
          <w:i/>
          <w:iCs/>
          <w:color w:val="000000"/>
        </w:rPr>
        <w:t>24</w:t>
      </w:r>
      <w:r w:rsidRPr="00A028FF">
        <w:rPr>
          <w:rFonts w:ascii="Times New Roman" w:eastAsia="Arial" w:hAnsi="Times New Roman" w:cs="Times New Roman"/>
          <w:bCs/>
          <w:color w:val="000000"/>
        </w:rPr>
        <w:t>(6), 30-38.</w:t>
      </w:r>
    </w:p>
    <w:p w14:paraId="77458FC7"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F84BEE">
        <w:rPr>
          <w:rFonts w:ascii="Times New Roman" w:eastAsia="Arial" w:hAnsi="Times New Roman" w:cs="Times New Roman"/>
          <w:bCs/>
          <w:color w:val="000000"/>
        </w:rPr>
        <w:t>Dhingra, O. D.</w:t>
      </w:r>
      <w:r>
        <w:rPr>
          <w:rFonts w:ascii="Times New Roman" w:eastAsia="Arial" w:hAnsi="Times New Roman" w:cs="Times New Roman"/>
          <w:bCs/>
          <w:color w:val="000000"/>
        </w:rPr>
        <w:t xml:space="preserve"> and</w:t>
      </w:r>
      <w:r w:rsidRPr="00F84BEE">
        <w:rPr>
          <w:rFonts w:ascii="Times New Roman" w:eastAsia="Arial" w:hAnsi="Times New Roman" w:cs="Times New Roman"/>
          <w:bCs/>
          <w:color w:val="000000"/>
        </w:rPr>
        <w:t xml:space="preserve"> Sinclair, J. B. (1973). Location of </w:t>
      </w:r>
      <w:r w:rsidRPr="002A02AD">
        <w:rPr>
          <w:rFonts w:ascii="Times New Roman" w:eastAsia="Arial" w:hAnsi="Times New Roman" w:cs="Times New Roman"/>
          <w:bCs/>
          <w:i/>
          <w:iCs/>
          <w:color w:val="000000"/>
        </w:rPr>
        <w:t>Macrophomina phaseoli</w:t>
      </w:r>
      <w:r w:rsidRPr="00F84BEE">
        <w:rPr>
          <w:rFonts w:ascii="Times New Roman" w:eastAsia="Arial" w:hAnsi="Times New Roman" w:cs="Times New Roman"/>
          <w:bCs/>
          <w:color w:val="000000"/>
        </w:rPr>
        <w:t xml:space="preserve"> on soybean plants related to culture characteristics and virulence.</w:t>
      </w:r>
    </w:p>
    <w:p w14:paraId="42A9B77C" w14:textId="77777777" w:rsidR="00435B53" w:rsidRDefault="00435B53" w:rsidP="008A7157">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t>Dhingra, O. D.</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Sinclair, J. B. (1977). An annotated bibliography of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xml:space="preserve"> 1905-1975.</w:t>
      </w:r>
    </w:p>
    <w:p w14:paraId="03F0E2FF" w14:textId="77777777" w:rsidR="00435B53" w:rsidRDefault="00435B53" w:rsidP="008A7157">
      <w:pPr>
        <w:spacing w:line="360" w:lineRule="auto"/>
        <w:ind w:left="720" w:hanging="720"/>
        <w:jc w:val="both"/>
        <w:rPr>
          <w:rFonts w:ascii="Times New Roman" w:eastAsia="Arial" w:hAnsi="Times New Roman" w:cs="Times New Roman"/>
          <w:bCs/>
          <w:color w:val="000000"/>
        </w:rPr>
      </w:pPr>
      <w:r w:rsidRPr="008A7157">
        <w:rPr>
          <w:rFonts w:ascii="Times New Roman" w:hAnsi="Times New Roman" w:cs="Times New Roman"/>
          <w:color w:val="000000" w:themeColor="text1"/>
        </w:rPr>
        <w:t>Doyle JJ and Doyle JL. 1990. Isolation of plant DNA from fresh tissue. Focus, 12, 13-15.</w:t>
      </w:r>
    </w:p>
    <w:p w14:paraId="4B410709" w14:textId="77777777" w:rsidR="00435B53" w:rsidRPr="008A7157" w:rsidRDefault="00435B53" w:rsidP="008A7157">
      <w:pPr>
        <w:spacing w:line="360" w:lineRule="auto"/>
        <w:ind w:left="720" w:hanging="720"/>
        <w:jc w:val="both"/>
        <w:rPr>
          <w:rFonts w:ascii="Times New Roman" w:eastAsia="Arial" w:hAnsi="Times New Roman" w:cs="Times New Roman"/>
          <w:bCs/>
          <w:color w:val="000000"/>
        </w:rPr>
      </w:pPr>
      <w:proofErr w:type="spellStart"/>
      <w:r w:rsidRPr="00792A44">
        <w:rPr>
          <w:rFonts w:ascii="Times New Roman" w:eastAsia="Arial" w:hAnsi="Times New Roman" w:cs="Times New Roman"/>
          <w:bCs/>
          <w:color w:val="000000"/>
        </w:rPr>
        <w:t>Goidànich</w:t>
      </w:r>
      <w:proofErr w:type="spellEnd"/>
      <w:r w:rsidRPr="00792A44">
        <w:rPr>
          <w:rFonts w:ascii="Times New Roman" w:eastAsia="Arial" w:hAnsi="Times New Roman" w:cs="Times New Roman"/>
          <w:bCs/>
          <w:color w:val="000000"/>
        </w:rPr>
        <w:t xml:space="preserve">, G. (1947). A revision of the genus </w:t>
      </w:r>
      <w:proofErr w:type="spellStart"/>
      <w:r w:rsidRPr="002A02AD">
        <w:rPr>
          <w:rFonts w:ascii="Times New Roman" w:eastAsia="Arial" w:hAnsi="Times New Roman" w:cs="Times New Roman"/>
          <w:bCs/>
          <w:i/>
          <w:iCs/>
          <w:color w:val="000000"/>
        </w:rPr>
        <w:t>Macrophomina</w:t>
      </w:r>
      <w:proofErr w:type="spellEnd"/>
      <w:r w:rsidRPr="00792A44">
        <w:rPr>
          <w:rFonts w:ascii="Times New Roman" w:eastAsia="Arial" w:hAnsi="Times New Roman" w:cs="Times New Roman"/>
          <w:bCs/>
          <w:color w:val="000000"/>
        </w:rPr>
        <w:t xml:space="preserve"> </w:t>
      </w:r>
      <w:proofErr w:type="spellStart"/>
      <w:r w:rsidRPr="00792A44">
        <w:rPr>
          <w:rFonts w:ascii="Times New Roman" w:eastAsia="Arial" w:hAnsi="Times New Roman" w:cs="Times New Roman"/>
          <w:bCs/>
          <w:color w:val="000000"/>
        </w:rPr>
        <w:t>Petrak</w:t>
      </w:r>
      <w:proofErr w:type="spellEnd"/>
      <w:r w:rsidRPr="00792A44">
        <w:rPr>
          <w:rFonts w:ascii="Times New Roman" w:eastAsia="Arial" w:hAnsi="Times New Roman" w:cs="Times New Roman"/>
          <w:bCs/>
          <w:color w:val="000000"/>
        </w:rPr>
        <w:t xml:space="preserve">. Type species: </w:t>
      </w:r>
      <w:proofErr w:type="spellStart"/>
      <w:r w:rsidRPr="00792A44">
        <w:rPr>
          <w:rFonts w:ascii="Times New Roman" w:eastAsia="Arial" w:hAnsi="Times New Roman" w:cs="Times New Roman"/>
          <w:bCs/>
          <w:i/>
          <w:iCs/>
          <w:color w:val="000000"/>
        </w:rPr>
        <w:t>Macrophomina</w:t>
      </w:r>
      <w:proofErr w:type="spellEnd"/>
      <w:r w:rsidRPr="00792A44">
        <w:rPr>
          <w:rFonts w:ascii="Times New Roman" w:eastAsia="Arial" w:hAnsi="Times New Roman" w:cs="Times New Roman"/>
          <w:bCs/>
          <w:color w:val="000000"/>
        </w:rPr>
        <w:t xml:space="preserve"> </w:t>
      </w:r>
      <w:proofErr w:type="spellStart"/>
      <w:r w:rsidRPr="00792A44">
        <w:rPr>
          <w:rFonts w:ascii="Times New Roman" w:eastAsia="Arial" w:hAnsi="Times New Roman" w:cs="Times New Roman"/>
          <w:bCs/>
          <w:i/>
          <w:iCs/>
          <w:color w:val="000000"/>
        </w:rPr>
        <w:t>phaseolina</w:t>
      </w:r>
      <w:proofErr w:type="spellEnd"/>
      <w:r w:rsidRPr="00792A44">
        <w:rPr>
          <w:rFonts w:ascii="Times New Roman" w:eastAsia="Arial" w:hAnsi="Times New Roman" w:cs="Times New Roman"/>
          <w:bCs/>
          <w:color w:val="000000"/>
        </w:rPr>
        <w:t xml:space="preserve"> (</w:t>
      </w:r>
      <w:proofErr w:type="spellStart"/>
      <w:r w:rsidRPr="00792A44">
        <w:rPr>
          <w:rFonts w:ascii="Times New Roman" w:eastAsia="Arial" w:hAnsi="Times New Roman" w:cs="Times New Roman"/>
          <w:bCs/>
          <w:color w:val="000000"/>
        </w:rPr>
        <w:t>Tassi</w:t>
      </w:r>
      <w:proofErr w:type="spellEnd"/>
      <w:r w:rsidRPr="00792A44">
        <w:rPr>
          <w:rFonts w:ascii="Times New Roman" w:eastAsia="Arial" w:hAnsi="Times New Roman" w:cs="Times New Roman"/>
          <w:bCs/>
          <w:color w:val="000000"/>
        </w:rPr>
        <w:t xml:space="preserve">) G. </w:t>
      </w:r>
      <w:proofErr w:type="spellStart"/>
      <w:r w:rsidRPr="00792A44">
        <w:rPr>
          <w:rFonts w:ascii="Times New Roman" w:eastAsia="Arial" w:hAnsi="Times New Roman" w:cs="Times New Roman"/>
          <w:bCs/>
          <w:color w:val="000000"/>
        </w:rPr>
        <w:t>Goid</w:t>
      </w:r>
      <w:proofErr w:type="spellEnd"/>
      <w:r w:rsidRPr="00792A44">
        <w:rPr>
          <w:rFonts w:ascii="Times New Roman" w:eastAsia="Arial" w:hAnsi="Times New Roman" w:cs="Times New Roman"/>
          <w:bCs/>
          <w:color w:val="000000"/>
        </w:rPr>
        <w:t xml:space="preserve">. n. comb, </w:t>
      </w:r>
      <w:proofErr w:type="spellStart"/>
      <w:r w:rsidRPr="00792A44">
        <w:rPr>
          <w:rFonts w:ascii="Times New Roman" w:eastAsia="Arial" w:hAnsi="Times New Roman" w:cs="Times New Roman"/>
          <w:bCs/>
          <w:color w:val="000000"/>
        </w:rPr>
        <w:t>nec</w:t>
      </w:r>
      <w:proofErr w:type="spellEnd"/>
      <w:r w:rsidRPr="00792A44">
        <w:rPr>
          <w:rFonts w:ascii="Times New Roman" w:eastAsia="Arial" w:hAnsi="Times New Roman" w:cs="Times New Roman"/>
          <w:bCs/>
          <w:color w:val="000000"/>
        </w:rPr>
        <w:t xml:space="preserve"> M. phaseoli (</w:t>
      </w:r>
      <w:proofErr w:type="spellStart"/>
      <w:r w:rsidRPr="00792A44">
        <w:rPr>
          <w:rFonts w:ascii="Times New Roman" w:eastAsia="Arial" w:hAnsi="Times New Roman" w:cs="Times New Roman"/>
          <w:bCs/>
          <w:color w:val="000000"/>
        </w:rPr>
        <w:t>Maubl</w:t>
      </w:r>
      <w:proofErr w:type="spellEnd"/>
      <w:r w:rsidRPr="00792A44">
        <w:rPr>
          <w:rFonts w:ascii="Times New Roman" w:eastAsia="Arial" w:hAnsi="Times New Roman" w:cs="Times New Roman"/>
          <w:bCs/>
          <w:color w:val="000000"/>
        </w:rPr>
        <w:t>.) Ashby.</w:t>
      </w:r>
    </w:p>
    <w:p w14:paraId="18B7B92A" w14:textId="77777777" w:rsidR="00435B53" w:rsidRPr="00792A44"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t>Gupta, S. K. (Ed.). (2012). </w:t>
      </w:r>
      <w:r w:rsidRPr="00792A44">
        <w:rPr>
          <w:rFonts w:ascii="Times New Roman" w:eastAsia="Arial" w:hAnsi="Times New Roman" w:cs="Times New Roman"/>
          <w:bCs/>
          <w:i/>
          <w:iCs/>
          <w:color w:val="000000"/>
        </w:rPr>
        <w:t>Technological innovations in major world oil crops, volume 1: breeding</w:t>
      </w:r>
      <w:r w:rsidRPr="00792A44">
        <w:rPr>
          <w:rFonts w:ascii="Times New Roman" w:eastAsia="Arial" w:hAnsi="Times New Roman" w:cs="Times New Roman"/>
          <w:bCs/>
          <w:color w:val="000000"/>
        </w:rPr>
        <w:t>. Springer New York.</w:t>
      </w:r>
    </w:p>
    <w:p w14:paraId="5B475261" w14:textId="77777777" w:rsidR="00435B53"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t xml:space="preserve">Kaur, S., Dhillon, G. S., Brar, S. K., </w:t>
      </w:r>
      <w:proofErr w:type="spellStart"/>
      <w:r w:rsidRPr="00792A44">
        <w:rPr>
          <w:rFonts w:ascii="Times New Roman" w:eastAsia="Arial" w:hAnsi="Times New Roman" w:cs="Times New Roman"/>
          <w:bCs/>
          <w:color w:val="000000"/>
        </w:rPr>
        <w:t>Vallad</w:t>
      </w:r>
      <w:proofErr w:type="spellEnd"/>
      <w:r w:rsidRPr="00792A44">
        <w:rPr>
          <w:rFonts w:ascii="Times New Roman" w:eastAsia="Arial" w:hAnsi="Times New Roman" w:cs="Times New Roman"/>
          <w:bCs/>
          <w:color w:val="000000"/>
        </w:rPr>
        <w:t>, G. E., Chand, R.</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Chauhan, V. B. (2012). Emerging phytopathogen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biology, economic importance and current diagnostic trends. </w:t>
      </w:r>
      <w:r w:rsidRPr="00792A44">
        <w:rPr>
          <w:rFonts w:ascii="Times New Roman" w:eastAsia="Arial" w:hAnsi="Times New Roman" w:cs="Times New Roman"/>
          <w:bCs/>
          <w:i/>
          <w:iCs/>
          <w:color w:val="000000"/>
        </w:rPr>
        <w:t>Critical Reviews in Microbiology</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38</w:t>
      </w:r>
      <w:r w:rsidRPr="00792A44">
        <w:rPr>
          <w:rFonts w:ascii="Times New Roman" w:eastAsia="Arial" w:hAnsi="Times New Roman" w:cs="Times New Roman"/>
          <w:bCs/>
          <w:color w:val="000000"/>
        </w:rPr>
        <w:t>(2), 136-151.</w:t>
      </w:r>
    </w:p>
    <w:p w14:paraId="5A303013" w14:textId="77777777" w:rsidR="00435B53" w:rsidRDefault="00435B53" w:rsidP="00BD18A7">
      <w:pPr>
        <w:spacing w:line="360" w:lineRule="auto"/>
        <w:ind w:left="720" w:hanging="720"/>
        <w:jc w:val="both"/>
        <w:rPr>
          <w:rFonts w:ascii="Times New Roman" w:eastAsia="Arial" w:hAnsi="Times New Roman" w:cs="Times New Roman"/>
          <w:bCs/>
          <w:color w:val="000000"/>
        </w:rPr>
      </w:pPr>
      <w:r w:rsidRPr="001B64CD">
        <w:rPr>
          <w:rFonts w:ascii="Times New Roman" w:eastAsia="Arial" w:hAnsi="Times New Roman" w:cs="Times New Roman"/>
          <w:bCs/>
          <w:color w:val="000000"/>
        </w:rPr>
        <w:t>Khare</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A</w:t>
      </w:r>
      <w:r>
        <w:rPr>
          <w:rFonts w:ascii="Times New Roman" w:eastAsia="Arial" w:hAnsi="Times New Roman" w:cs="Times New Roman"/>
          <w:bCs/>
          <w:color w:val="000000"/>
        </w:rPr>
        <w:t>.</w:t>
      </w:r>
      <w:r w:rsidRPr="001B64CD">
        <w:rPr>
          <w:rFonts w:ascii="Times New Roman" w:eastAsia="Arial" w:hAnsi="Times New Roman" w:cs="Times New Roman"/>
          <w:bCs/>
          <w:color w:val="000000"/>
        </w:rPr>
        <w:t>K</w:t>
      </w:r>
      <w:r>
        <w:rPr>
          <w:rFonts w:ascii="Times New Roman" w:eastAsia="Arial" w:hAnsi="Times New Roman" w:cs="Times New Roman"/>
          <w:bCs/>
          <w:color w:val="000000"/>
        </w:rPr>
        <w:t>.</w:t>
      </w:r>
      <w:r w:rsidRPr="001B64CD">
        <w:rPr>
          <w:rFonts w:ascii="Times New Roman" w:eastAsia="Arial" w:hAnsi="Times New Roman" w:cs="Times New Roman"/>
          <w:bCs/>
          <w:color w:val="000000"/>
        </w:rPr>
        <w:t>, Kumar</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A</w:t>
      </w:r>
      <w:r>
        <w:rPr>
          <w:rFonts w:ascii="Times New Roman" w:eastAsia="Arial" w:hAnsi="Times New Roman" w:cs="Times New Roman"/>
          <w:bCs/>
          <w:color w:val="000000"/>
        </w:rPr>
        <w:t>.</w:t>
      </w:r>
      <w:r w:rsidRPr="001B64CD">
        <w:rPr>
          <w:rFonts w:ascii="Times New Roman" w:eastAsia="Arial" w:hAnsi="Times New Roman" w:cs="Times New Roman"/>
          <w:bCs/>
          <w:color w:val="000000"/>
        </w:rPr>
        <w:t>, Chouhan</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A</w:t>
      </w:r>
      <w:r>
        <w:rPr>
          <w:rFonts w:ascii="Times New Roman" w:eastAsia="Arial" w:hAnsi="Times New Roman" w:cs="Times New Roman"/>
          <w:bCs/>
          <w:color w:val="000000"/>
        </w:rPr>
        <w:t>.</w:t>
      </w:r>
      <w:r w:rsidRPr="001B64CD">
        <w:rPr>
          <w:rFonts w:ascii="Times New Roman" w:eastAsia="Arial" w:hAnsi="Times New Roman" w:cs="Times New Roman"/>
          <w:bCs/>
          <w:color w:val="000000"/>
        </w:rPr>
        <w:t>, Sharma</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S</w:t>
      </w:r>
      <w:r>
        <w:rPr>
          <w:rFonts w:ascii="Times New Roman" w:eastAsia="Arial" w:hAnsi="Times New Roman" w:cs="Times New Roman"/>
          <w:bCs/>
          <w:color w:val="000000"/>
        </w:rPr>
        <w:t>.</w:t>
      </w:r>
      <w:r w:rsidRPr="001B64CD">
        <w:rPr>
          <w:rFonts w:ascii="Times New Roman" w:eastAsia="Arial" w:hAnsi="Times New Roman" w:cs="Times New Roman"/>
          <w:bCs/>
          <w:color w:val="000000"/>
        </w:rPr>
        <w:t>, Ramakrishnan</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R</w:t>
      </w:r>
      <w:r>
        <w:rPr>
          <w:rFonts w:ascii="Times New Roman" w:eastAsia="Arial" w:hAnsi="Times New Roman" w:cs="Times New Roman"/>
          <w:bCs/>
          <w:color w:val="000000"/>
        </w:rPr>
        <w:t>.</w:t>
      </w:r>
      <w:r w:rsidRPr="001B64CD">
        <w:rPr>
          <w:rFonts w:ascii="Times New Roman" w:eastAsia="Arial" w:hAnsi="Times New Roman" w:cs="Times New Roman"/>
          <w:bCs/>
          <w:color w:val="000000"/>
        </w:rPr>
        <w:t>S</w:t>
      </w:r>
      <w:r>
        <w:rPr>
          <w:rFonts w:ascii="Times New Roman" w:eastAsia="Arial" w:hAnsi="Times New Roman" w:cs="Times New Roman"/>
          <w:bCs/>
          <w:color w:val="000000"/>
        </w:rPr>
        <w:t>.</w:t>
      </w:r>
      <w:r w:rsidRPr="001B64CD">
        <w:rPr>
          <w:rFonts w:ascii="Times New Roman" w:eastAsia="Arial" w:hAnsi="Times New Roman" w:cs="Times New Roman"/>
          <w:bCs/>
          <w:color w:val="000000"/>
        </w:rPr>
        <w:t>, Sharma</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R</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w:t>
      </w:r>
      <w:proofErr w:type="spellStart"/>
      <w:r w:rsidRPr="001B64CD">
        <w:rPr>
          <w:rFonts w:ascii="Times New Roman" w:eastAsia="Arial" w:hAnsi="Times New Roman" w:cs="Times New Roman"/>
          <w:bCs/>
          <w:color w:val="000000"/>
        </w:rPr>
        <w:t>Jhariya</w:t>
      </w:r>
      <w:proofErr w:type="spellEnd"/>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R</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w:t>
      </w:r>
      <w:r>
        <w:rPr>
          <w:rFonts w:ascii="Times New Roman" w:eastAsia="Arial" w:hAnsi="Times New Roman" w:cs="Times New Roman"/>
          <w:bCs/>
          <w:color w:val="000000"/>
        </w:rPr>
        <w:t xml:space="preserve">&amp; </w:t>
      </w:r>
      <w:r w:rsidRPr="001B64CD">
        <w:rPr>
          <w:rFonts w:ascii="Times New Roman" w:eastAsia="Arial" w:hAnsi="Times New Roman" w:cs="Times New Roman"/>
          <w:bCs/>
          <w:color w:val="000000"/>
        </w:rPr>
        <w:t>Dubey</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A. </w:t>
      </w:r>
      <w:r>
        <w:rPr>
          <w:rFonts w:ascii="Times New Roman" w:eastAsia="Arial" w:hAnsi="Times New Roman" w:cs="Times New Roman"/>
          <w:bCs/>
          <w:color w:val="000000"/>
        </w:rPr>
        <w:t>(</w:t>
      </w:r>
      <w:r w:rsidRPr="001B64CD">
        <w:rPr>
          <w:rFonts w:ascii="Times New Roman" w:eastAsia="Arial" w:hAnsi="Times New Roman" w:cs="Times New Roman"/>
          <w:bCs/>
          <w:color w:val="000000"/>
        </w:rPr>
        <w:t>2025</w:t>
      </w:r>
      <w:r>
        <w:rPr>
          <w:rFonts w:ascii="Times New Roman" w:eastAsia="Arial" w:hAnsi="Times New Roman" w:cs="Times New Roman"/>
          <w:bCs/>
          <w:color w:val="000000"/>
        </w:rPr>
        <w:t>)</w:t>
      </w:r>
      <w:r w:rsidRPr="001B64CD">
        <w:rPr>
          <w:rFonts w:ascii="Times New Roman" w:eastAsia="Arial" w:hAnsi="Times New Roman" w:cs="Times New Roman"/>
          <w:bCs/>
          <w:color w:val="000000"/>
        </w:rPr>
        <w:t xml:space="preserve">. </w:t>
      </w:r>
      <w:r w:rsidRPr="001B64CD">
        <w:rPr>
          <w:rFonts w:ascii="Times New Roman" w:eastAsia="Arial" w:hAnsi="Times New Roman" w:cs="Times New Roman"/>
          <w:bCs/>
          <w:i/>
          <w:iCs/>
          <w:color w:val="000000"/>
        </w:rPr>
        <w:t>In-vitro</w:t>
      </w:r>
      <w:r w:rsidRPr="001B64CD">
        <w:rPr>
          <w:rFonts w:ascii="Times New Roman" w:eastAsia="Arial" w:hAnsi="Times New Roman" w:cs="Times New Roman"/>
          <w:bCs/>
          <w:color w:val="000000"/>
        </w:rPr>
        <w:t xml:space="preserve"> efficacy of fungicides against </w:t>
      </w:r>
      <w:r w:rsidRPr="001B64CD">
        <w:rPr>
          <w:rFonts w:ascii="Times New Roman" w:eastAsia="Arial" w:hAnsi="Times New Roman" w:cs="Times New Roman"/>
          <w:bCs/>
          <w:i/>
          <w:iCs/>
          <w:color w:val="000000"/>
        </w:rPr>
        <w:t xml:space="preserve">Colletotrichum </w:t>
      </w:r>
      <w:proofErr w:type="spellStart"/>
      <w:r w:rsidRPr="001B64CD">
        <w:rPr>
          <w:rFonts w:ascii="Times New Roman" w:eastAsia="Arial" w:hAnsi="Times New Roman" w:cs="Times New Roman"/>
          <w:bCs/>
          <w:i/>
          <w:iCs/>
          <w:color w:val="000000"/>
        </w:rPr>
        <w:t>truncatum</w:t>
      </w:r>
      <w:proofErr w:type="spellEnd"/>
      <w:r w:rsidRPr="001B64CD">
        <w:rPr>
          <w:rFonts w:ascii="Times New Roman" w:eastAsia="Arial" w:hAnsi="Times New Roman" w:cs="Times New Roman"/>
          <w:bCs/>
          <w:color w:val="000000"/>
        </w:rPr>
        <w:t xml:space="preserve"> causing anthracnose of soybean. </w:t>
      </w:r>
      <w:r w:rsidRPr="001B64CD">
        <w:rPr>
          <w:rFonts w:ascii="Times New Roman" w:eastAsia="Arial" w:hAnsi="Times New Roman" w:cs="Times New Roman"/>
          <w:bCs/>
          <w:i/>
          <w:iCs/>
          <w:color w:val="000000"/>
        </w:rPr>
        <w:t>Journal of Advances in Biology &amp; Biotechnology</w:t>
      </w:r>
      <w:r w:rsidRPr="001B64CD">
        <w:rPr>
          <w:rFonts w:ascii="Times New Roman" w:eastAsia="Arial" w:hAnsi="Times New Roman" w:cs="Times New Roman"/>
          <w:bCs/>
          <w:color w:val="000000"/>
        </w:rPr>
        <w:t xml:space="preserve">, </w:t>
      </w:r>
      <w:r w:rsidRPr="001B64CD">
        <w:rPr>
          <w:rFonts w:ascii="Times New Roman" w:eastAsia="Arial" w:hAnsi="Times New Roman" w:cs="Times New Roman"/>
          <w:bCs/>
          <w:i/>
          <w:iCs/>
          <w:color w:val="000000"/>
        </w:rPr>
        <w:t>28</w:t>
      </w:r>
      <w:r w:rsidRPr="001B64CD">
        <w:rPr>
          <w:rFonts w:ascii="Times New Roman" w:eastAsia="Arial" w:hAnsi="Times New Roman" w:cs="Times New Roman"/>
          <w:bCs/>
          <w:color w:val="000000"/>
        </w:rPr>
        <w:t>(10), 1133-1141.</w:t>
      </w:r>
    </w:p>
    <w:p w14:paraId="05B124C5" w14:textId="77777777" w:rsidR="00435B53" w:rsidRDefault="00435B53" w:rsidP="00E84B60">
      <w:pPr>
        <w:spacing w:line="360" w:lineRule="auto"/>
        <w:ind w:left="720" w:hanging="720"/>
        <w:jc w:val="both"/>
        <w:rPr>
          <w:rFonts w:ascii="Times New Roman" w:hAnsi="Times New Roman" w:cs="Times New Roman"/>
        </w:rPr>
      </w:pPr>
      <w:proofErr w:type="spellStart"/>
      <w:r w:rsidRPr="00E84B60">
        <w:rPr>
          <w:rFonts w:ascii="Times New Roman" w:hAnsi="Times New Roman" w:cs="Times New Roman"/>
        </w:rPr>
        <w:t>Kharte</w:t>
      </w:r>
      <w:proofErr w:type="spellEnd"/>
      <w:r w:rsidRPr="00E84B60">
        <w:rPr>
          <w:rFonts w:ascii="Times New Roman" w:hAnsi="Times New Roman" w:cs="Times New Roman"/>
        </w:rPr>
        <w:t>, S., Kumar, A., Sharma, S., Ramakrishnan, R. S., Kumar, S., Malvi, S., Singh, Y.</w:t>
      </w:r>
      <w:r>
        <w:rPr>
          <w:rFonts w:ascii="Times New Roman" w:hAnsi="Times New Roman" w:cs="Times New Roman"/>
        </w:rPr>
        <w:t xml:space="preserve"> and</w:t>
      </w:r>
      <w:r w:rsidRPr="00E84B60">
        <w:rPr>
          <w:rFonts w:ascii="Times New Roman" w:hAnsi="Times New Roman" w:cs="Times New Roman"/>
        </w:rPr>
        <w:t xml:space="preserve"> Kurmi, S. (2022). </w:t>
      </w:r>
      <w:r w:rsidRPr="002A02AD">
        <w:rPr>
          <w:rFonts w:ascii="Times New Roman" w:hAnsi="Times New Roman" w:cs="Times New Roman"/>
          <w:i/>
          <w:iCs/>
        </w:rPr>
        <w:t>In vitro</w:t>
      </w:r>
      <w:r w:rsidRPr="00E84B60">
        <w:rPr>
          <w:rFonts w:ascii="Times New Roman" w:hAnsi="Times New Roman" w:cs="Times New Roman"/>
        </w:rPr>
        <w:t xml:space="preserve"> evaluation of fungicides and bio-agents for the management of lentil wilt caused by </w:t>
      </w:r>
      <w:r w:rsidRPr="00E84B60">
        <w:rPr>
          <w:rStyle w:val="Emphasis"/>
          <w:rFonts w:ascii="Times New Roman" w:hAnsi="Times New Roman" w:cs="Times New Roman"/>
        </w:rPr>
        <w:t xml:space="preserve">Fusarium </w:t>
      </w:r>
      <w:proofErr w:type="spellStart"/>
      <w:r w:rsidRPr="00E84B60">
        <w:rPr>
          <w:rStyle w:val="Emphasis"/>
          <w:rFonts w:ascii="Times New Roman" w:hAnsi="Times New Roman" w:cs="Times New Roman"/>
        </w:rPr>
        <w:t>oxysporum</w:t>
      </w:r>
      <w:proofErr w:type="spellEnd"/>
      <w:r w:rsidRPr="00E84B60">
        <w:rPr>
          <w:rFonts w:ascii="Times New Roman" w:hAnsi="Times New Roman" w:cs="Times New Roman"/>
        </w:rPr>
        <w:t xml:space="preserve"> f. sp. </w:t>
      </w:r>
      <w:proofErr w:type="spellStart"/>
      <w:r w:rsidRPr="00E84B60">
        <w:rPr>
          <w:rStyle w:val="Emphasis"/>
          <w:rFonts w:ascii="Times New Roman" w:hAnsi="Times New Roman" w:cs="Times New Roman"/>
        </w:rPr>
        <w:t>lentis</w:t>
      </w:r>
      <w:proofErr w:type="spellEnd"/>
      <w:r w:rsidRPr="00E84B60">
        <w:rPr>
          <w:rFonts w:ascii="Times New Roman" w:hAnsi="Times New Roman" w:cs="Times New Roman"/>
        </w:rPr>
        <w:t xml:space="preserve">. </w:t>
      </w:r>
      <w:r w:rsidRPr="00E84B60">
        <w:rPr>
          <w:rStyle w:val="Emphasis"/>
          <w:rFonts w:ascii="Times New Roman" w:hAnsi="Times New Roman" w:cs="Times New Roman"/>
        </w:rPr>
        <w:t>Biological Forum – An International Journal, 14</w:t>
      </w:r>
      <w:r w:rsidRPr="00E84B60">
        <w:rPr>
          <w:rFonts w:ascii="Times New Roman" w:hAnsi="Times New Roman" w:cs="Times New Roman"/>
        </w:rPr>
        <w:t>(4), 489–495.</w:t>
      </w:r>
    </w:p>
    <w:p w14:paraId="77DC4133"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Kumar, G. D., Natarajan, N.</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Nakkeeran, S. (2016). Antifungal activity of </w:t>
      </w:r>
      <w:proofErr w:type="spellStart"/>
      <w:r w:rsidRPr="00792A44">
        <w:rPr>
          <w:rFonts w:ascii="Times New Roman" w:eastAsia="Arial" w:hAnsi="Times New Roman" w:cs="Times New Roman"/>
          <w:bCs/>
          <w:color w:val="000000"/>
        </w:rPr>
        <w:t>nanofungicide</w:t>
      </w:r>
      <w:proofErr w:type="spellEnd"/>
      <w:r w:rsidRPr="00792A44">
        <w:rPr>
          <w:rFonts w:ascii="Times New Roman" w:eastAsia="Arial" w:hAnsi="Times New Roman" w:cs="Times New Roman"/>
          <w:bCs/>
          <w:color w:val="000000"/>
        </w:rPr>
        <w:t xml:space="preserve"> </w:t>
      </w:r>
      <w:proofErr w:type="spellStart"/>
      <w:r w:rsidRPr="00792A44">
        <w:rPr>
          <w:rFonts w:ascii="Times New Roman" w:eastAsia="Arial" w:hAnsi="Times New Roman" w:cs="Times New Roman"/>
          <w:bCs/>
          <w:color w:val="000000"/>
        </w:rPr>
        <w:t>Trifloxystrobin</w:t>
      </w:r>
      <w:proofErr w:type="spellEnd"/>
      <w:r w:rsidRPr="00792A44">
        <w:rPr>
          <w:rFonts w:ascii="Times New Roman" w:eastAsia="Arial" w:hAnsi="Times New Roman" w:cs="Times New Roman"/>
          <w:bCs/>
          <w:color w:val="000000"/>
        </w:rPr>
        <w:t xml:space="preserve"> 25%+ Tebuconazole 50% against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African Journal of Microbiology Research</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10</w:t>
      </w:r>
      <w:r w:rsidRPr="00792A44">
        <w:rPr>
          <w:rFonts w:ascii="Times New Roman" w:eastAsia="Arial" w:hAnsi="Times New Roman" w:cs="Times New Roman"/>
          <w:bCs/>
          <w:color w:val="000000"/>
        </w:rPr>
        <w:t>(4), 100-105.</w:t>
      </w:r>
    </w:p>
    <w:p w14:paraId="57BE451A"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Kumar, K.</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Singh, J. (2000). Location, survival, transmission and management of seed-borne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causing charcoal rot in soybean. </w:t>
      </w:r>
      <w:r w:rsidRPr="00792A44">
        <w:rPr>
          <w:rFonts w:ascii="Times New Roman" w:eastAsia="Arial" w:hAnsi="Times New Roman" w:cs="Times New Roman"/>
          <w:bCs/>
          <w:i/>
          <w:iCs/>
          <w:color w:val="000000"/>
        </w:rPr>
        <w:t>Annals of Plant Protection Sciences (India).</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8</w:t>
      </w:r>
      <w:r w:rsidRPr="00792A44">
        <w:rPr>
          <w:rFonts w:ascii="Times New Roman" w:eastAsia="Arial" w:hAnsi="Times New Roman" w:cs="Times New Roman"/>
          <w:bCs/>
          <w:color w:val="000000"/>
        </w:rPr>
        <w:t>(1).</w:t>
      </w:r>
    </w:p>
    <w:p w14:paraId="396DCEC9" w14:textId="77777777" w:rsidR="00435B53" w:rsidRPr="00792A44"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t>Liu, K. (1997). Chemistry and nutritional value of soybean components. In </w:t>
      </w:r>
      <w:r w:rsidRPr="00792A44">
        <w:rPr>
          <w:rFonts w:ascii="Times New Roman" w:eastAsia="Arial" w:hAnsi="Times New Roman" w:cs="Times New Roman"/>
          <w:bCs/>
          <w:i/>
          <w:iCs/>
          <w:color w:val="000000"/>
        </w:rPr>
        <w:t>Soybeans: chemistry, technology and utilization</w:t>
      </w:r>
      <w:r w:rsidRPr="00792A44">
        <w:rPr>
          <w:rFonts w:ascii="Times New Roman" w:eastAsia="Arial" w:hAnsi="Times New Roman" w:cs="Times New Roman"/>
          <w:bCs/>
          <w:color w:val="000000"/>
        </w:rPr>
        <w:t> (pp. 25-113). Boston, MA: Springer US.</w:t>
      </w:r>
    </w:p>
    <w:p w14:paraId="44A2D4C7" w14:textId="77777777" w:rsidR="00435B53" w:rsidRPr="00792A44"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lastRenderedPageBreak/>
        <w:t xml:space="preserve">Marquez, N., </w:t>
      </w:r>
      <w:proofErr w:type="spellStart"/>
      <w:r w:rsidRPr="00792A44">
        <w:rPr>
          <w:rFonts w:ascii="Times New Roman" w:eastAsia="Arial" w:hAnsi="Times New Roman" w:cs="Times New Roman"/>
          <w:bCs/>
          <w:color w:val="000000"/>
        </w:rPr>
        <w:t>Giachero</w:t>
      </w:r>
      <w:proofErr w:type="spellEnd"/>
      <w:r w:rsidRPr="00792A44">
        <w:rPr>
          <w:rFonts w:ascii="Times New Roman" w:eastAsia="Arial" w:hAnsi="Times New Roman" w:cs="Times New Roman"/>
          <w:bCs/>
          <w:color w:val="000000"/>
        </w:rPr>
        <w:t xml:space="preserve">, M. L., </w:t>
      </w:r>
      <w:proofErr w:type="spellStart"/>
      <w:r w:rsidRPr="00792A44">
        <w:rPr>
          <w:rFonts w:ascii="Times New Roman" w:eastAsia="Arial" w:hAnsi="Times New Roman" w:cs="Times New Roman"/>
          <w:bCs/>
          <w:color w:val="000000"/>
        </w:rPr>
        <w:t>Declerck</w:t>
      </w:r>
      <w:proofErr w:type="spellEnd"/>
      <w:r w:rsidRPr="00792A44">
        <w:rPr>
          <w:rFonts w:ascii="Times New Roman" w:eastAsia="Arial" w:hAnsi="Times New Roman" w:cs="Times New Roman"/>
          <w:bCs/>
          <w:color w:val="000000"/>
        </w:rPr>
        <w:t>, S.</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Ducasse, D. A. (2021).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General characteristics of pathogenicity and methods of control. </w:t>
      </w:r>
      <w:r w:rsidRPr="00792A44">
        <w:rPr>
          <w:rFonts w:ascii="Times New Roman" w:eastAsia="Arial" w:hAnsi="Times New Roman" w:cs="Times New Roman"/>
          <w:bCs/>
          <w:i/>
          <w:iCs/>
          <w:color w:val="000000"/>
        </w:rPr>
        <w:t>Frontiers in Plant Science</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12</w:t>
      </w:r>
      <w:r w:rsidRPr="00792A44">
        <w:rPr>
          <w:rFonts w:ascii="Times New Roman" w:eastAsia="Arial" w:hAnsi="Times New Roman" w:cs="Times New Roman"/>
          <w:bCs/>
          <w:color w:val="000000"/>
        </w:rPr>
        <w:t>, 634397.</w:t>
      </w:r>
    </w:p>
    <w:p w14:paraId="35C9B561"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Meyer, W. A., Sinclair, J. B.</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Khare, M. N. (1974). Factors affecting charcoal rot of soybean seedlings. </w:t>
      </w:r>
      <w:r w:rsidRPr="00792A44">
        <w:rPr>
          <w:rFonts w:ascii="Times New Roman" w:eastAsia="Arial" w:hAnsi="Times New Roman" w:cs="Times New Roman"/>
          <w:bCs/>
          <w:i/>
          <w:iCs/>
          <w:color w:val="000000"/>
        </w:rPr>
        <w:t>Phytopathology</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64</w:t>
      </w:r>
      <w:r w:rsidRPr="00792A44">
        <w:rPr>
          <w:rFonts w:ascii="Times New Roman" w:eastAsia="Arial" w:hAnsi="Times New Roman" w:cs="Times New Roman"/>
          <w:bCs/>
          <w:color w:val="000000"/>
        </w:rPr>
        <w:t>(6), 845-849.</w:t>
      </w:r>
    </w:p>
    <w:p w14:paraId="164010F9" w14:textId="77777777" w:rsidR="00435B53" w:rsidRPr="00792A44" w:rsidRDefault="00435B53" w:rsidP="00792A44">
      <w:pPr>
        <w:spacing w:line="360" w:lineRule="auto"/>
        <w:ind w:left="720" w:hanging="720"/>
        <w:jc w:val="both"/>
        <w:rPr>
          <w:rFonts w:ascii="Times New Roman" w:eastAsia="Arial" w:hAnsi="Times New Roman" w:cs="Times New Roman"/>
          <w:bCs/>
          <w:color w:val="000000"/>
        </w:rPr>
      </w:pPr>
      <w:r w:rsidRPr="00792A44">
        <w:rPr>
          <w:rFonts w:ascii="Times New Roman" w:eastAsia="Times New Roman" w:hAnsi="Times New Roman" w:cs="Times New Roman"/>
          <w:kern w:val="0"/>
          <w:lang w:eastAsia="en-GB"/>
          <w14:ligatures w14:val="none"/>
        </w:rPr>
        <w:t>Nene, Y. L.</w:t>
      </w:r>
      <w:r>
        <w:rPr>
          <w:rFonts w:ascii="Times New Roman" w:eastAsia="Times New Roman" w:hAnsi="Times New Roman" w:cs="Times New Roman"/>
          <w:kern w:val="0"/>
          <w:lang w:eastAsia="en-GB"/>
          <w14:ligatures w14:val="none"/>
        </w:rPr>
        <w:t xml:space="preserve"> and</w:t>
      </w:r>
      <w:r w:rsidRPr="00792A44">
        <w:rPr>
          <w:rFonts w:ascii="Times New Roman" w:eastAsia="Times New Roman" w:hAnsi="Times New Roman" w:cs="Times New Roman"/>
          <w:kern w:val="0"/>
          <w:lang w:eastAsia="en-GB"/>
          <w14:ligatures w14:val="none"/>
        </w:rPr>
        <w:t xml:space="preserve"> Thapliyal, P. N. (1993). Fungicides in Plant Disease Control Oxford and IBH Publ. </w:t>
      </w:r>
      <w:r w:rsidRPr="00792A44">
        <w:rPr>
          <w:rFonts w:ascii="Times New Roman" w:eastAsia="Times New Roman" w:hAnsi="Times New Roman" w:cs="Times New Roman"/>
          <w:i/>
          <w:iCs/>
          <w:kern w:val="0"/>
          <w:lang w:eastAsia="en-GB"/>
          <w14:ligatures w14:val="none"/>
        </w:rPr>
        <w:t>New Delhi</w:t>
      </w:r>
      <w:r w:rsidRPr="00792A44">
        <w:rPr>
          <w:rFonts w:ascii="Times New Roman" w:eastAsia="Times New Roman" w:hAnsi="Times New Roman" w:cs="Times New Roman"/>
          <w:kern w:val="0"/>
          <w:lang w:eastAsia="en-GB"/>
          <w14:ligatures w14:val="none"/>
        </w:rPr>
        <w:t>, </w:t>
      </w:r>
      <w:r w:rsidRPr="00792A44">
        <w:rPr>
          <w:rFonts w:ascii="Times New Roman" w:eastAsia="Times New Roman" w:hAnsi="Times New Roman" w:cs="Times New Roman"/>
          <w:i/>
          <w:iCs/>
          <w:kern w:val="0"/>
          <w:lang w:eastAsia="en-GB"/>
          <w14:ligatures w14:val="none"/>
        </w:rPr>
        <w:t>1982192</w:t>
      </w:r>
    </w:p>
    <w:p w14:paraId="32D7E5EB"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 xml:space="preserve">Patidar, S., Yadav, V. K., </w:t>
      </w:r>
      <w:proofErr w:type="spellStart"/>
      <w:r w:rsidRPr="00792A44">
        <w:rPr>
          <w:rFonts w:ascii="Times New Roman" w:eastAsia="Arial" w:hAnsi="Times New Roman" w:cs="Times New Roman"/>
          <w:bCs/>
          <w:color w:val="000000"/>
        </w:rPr>
        <w:t>Amrate</w:t>
      </w:r>
      <w:proofErr w:type="spellEnd"/>
      <w:r w:rsidRPr="00792A44">
        <w:rPr>
          <w:rFonts w:ascii="Times New Roman" w:eastAsia="Arial" w:hAnsi="Times New Roman" w:cs="Times New Roman"/>
          <w:bCs/>
          <w:color w:val="000000"/>
        </w:rPr>
        <w:t xml:space="preserve">, P. K., </w:t>
      </w:r>
      <w:proofErr w:type="spellStart"/>
      <w:r w:rsidRPr="00792A44">
        <w:rPr>
          <w:rFonts w:ascii="Times New Roman" w:eastAsia="Arial" w:hAnsi="Times New Roman" w:cs="Times New Roman"/>
          <w:bCs/>
          <w:color w:val="000000"/>
        </w:rPr>
        <w:t>Lovewanshi</w:t>
      </w:r>
      <w:proofErr w:type="spellEnd"/>
      <w:r w:rsidRPr="00792A44">
        <w:rPr>
          <w:rFonts w:ascii="Times New Roman" w:eastAsia="Arial" w:hAnsi="Times New Roman" w:cs="Times New Roman"/>
          <w:bCs/>
          <w:color w:val="000000"/>
        </w:rPr>
        <w:t xml:space="preserve">, L. S., </w:t>
      </w:r>
      <w:proofErr w:type="spellStart"/>
      <w:r w:rsidRPr="00792A44">
        <w:rPr>
          <w:rFonts w:ascii="Times New Roman" w:eastAsia="Arial" w:hAnsi="Times New Roman" w:cs="Times New Roman"/>
          <w:bCs/>
          <w:color w:val="000000"/>
        </w:rPr>
        <w:t>Karoda</w:t>
      </w:r>
      <w:proofErr w:type="spellEnd"/>
      <w:r w:rsidRPr="00792A44">
        <w:rPr>
          <w:rFonts w:ascii="Times New Roman" w:eastAsia="Arial" w:hAnsi="Times New Roman" w:cs="Times New Roman"/>
          <w:bCs/>
          <w:color w:val="000000"/>
        </w:rPr>
        <w:t xml:space="preserve">, C., </w:t>
      </w:r>
      <w:proofErr w:type="spellStart"/>
      <w:r w:rsidRPr="00792A44">
        <w:rPr>
          <w:rFonts w:ascii="Times New Roman" w:eastAsia="Arial" w:hAnsi="Times New Roman" w:cs="Times New Roman"/>
          <w:bCs/>
          <w:color w:val="000000"/>
        </w:rPr>
        <w:t>Kharte</w:t>
      </w:r>
      <w:proofErr w:type="spellEnd"/>
      <w:r w:rsidRPr="00792A44">
        <w:rPr>
          <w:rFonts w:ascii="Times New Roman" w:eastAsia="Arial" w:hAnsi="Times New Roman" w:cs="Times New Roman"/>
          <w:bCs/>
          <w:color w:val="000000"/>
        </w:rPr>
        <w:t>, S.</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Kurmi, S. (2023). Integrated Management of Charcoal Rot and Its Influence on Seed Yield and Quality in Soybean. </w:t>
      </w:r>
      <w:r w:rsidRPr="00792A44">
        <w:rPr>
          <w:rFonts w:ascii="Times New Roman" w:eastAsia="Arial" w:hAnsi="Times New Roman" w:cs="Times New Roman"/>
          <w:bCs/>
          <w:i/>
          <w:iCs/>
          <w:color w:val="000000"/>
        </w:rPr>
        <w:t>International Journal of Environment and Climate Change</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13</w:t>
      </w:r>
      <w:r w:rsidRPr="00792A44">
        <w:rPr>
          <w:rFonts w:ascii="Times New Roman" w:eastAsia="Arial" w:hAnsi="Times New Roman" w:cs="Times New Roman"/>
          <w:bCs/>
          <w:color w:val="000000"/>
        </w:rPr>
        <w:t>(12), 830-842.</w:t>
      </w:r>
    </w:p>
    <w:p w14:paraId="1F9C2A76"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 xml:space="preserve">Rahman, M. T., </w:t>
      </w:r>
      <w:proofErr w:type="spellStart"/>
      <w:r w:rsidRPr="00792A44">
        <w:rPr>
          <w:rFonts w:ascii="Times New Roman" w:eastAsia="Arial" w:hAnsi="Times New Roman" w:cs="Times New Roman"/>
          <w:bCs/>
          <w:color w:val="000000"/>
        </w:rPr>
        <w:t>Rubayet</w:t>
      </w:r>
      <w:proofErr w:type="spellEnd"/>
      <w:r w:rsidRPr="00792A44">
        <w:rPr>
          <w:rFonts w:ascii="Times New Roman" w:eastAsia="Arial" w:hAnsi="Times New Roman" w:cs="Times New Roman"/>
          <w:bCs/>
          <w:color w:val="000000"/>
        </w:rPr>
        <w:t>, M. T., Khan, A. A.</w:t>
      </w:r>
      <w:r>
        <w:rPr>
          <w:rFonts w:ascii="Times New Roman" w:eastAsia="Arial" w:hAnsi="Times New Roman" w:cs="Times New Roman"/>
          <w:bCs/>
          <w:color w:val="000000"/>
        </w:rPr>
        <w:t xml:space="preserve"> and</w:t>
      </w:r>
      <w:r w:rsidRPr="00792A44">
        <w:rPr>
          <w:rFonts w:ascii="Times New Roman" w:eastAsia="Arial" w:hAnsi="Times New Roman" w:cs="Times New Roman"/>
          <w:bCs/>
          <w:color w:val="000000"/>
        </w:rPr>
        <w:t xml:space="preserve"> Bhuiyan, M. (2021). Integrated management of charcoal rot disease of soybean caused by </w:t>
      </w:r>
      <w:r w:rsidRPr="002A02AD">
        <w:rPr>
          <w:rFonts w:ascii="Times New Roman" w:eastAsia="Arial" w:hAnsi="Times New Roman" w:cs="Times New Roman"/>
          <w:bCs/>
          <w:i/>
          <w:iCs/>
          <w:color w:val="000000"/>
        </w:rPr>
        <w:t>Macrophomina phaseolina</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Egyptian Journal of Agricultural Research</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99</w:t>
      </w:r>
      <w:r w:rsidRPr="00792A44">
        <w:rPr>
          <w:rFonts w:ascii="Times New Roman" w:eastAsia="Arial" w:hAnsi="Times New Roman" w:cs="Times New Roman"/>
          <w:bCs/>
          <w:color w:val="000000"/>
        </w:rPr>
        <w:t>(1), 10-19.</w:t>
      </w:r>
    </w:p>
    <w:p w14:paraId="4515AC49"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792A44">
        <w:rPr>
          <w:rFonts w:ascii="Times New Roman" w:eastAsia="Arial" w:hAnsi="Times New Roman" w:cs="Times New Roman"/>
          <w:bCs/>
          <w:color w:val="000000"/>
        </w:rPr>
        <w:t xml:space="preserve">Rajput, L. S., Kumar, S., Pathak, K., Acharya, P., Goswami, D., Nataraj, V., ... &amp; Vishwakarma, R. (2025). Morpho-cultural, pathogenic and genetic characterization of Indian isolates of </w:t>
      </w:r>
      <w:r w:rsidRPr="00792A44">
        <w:rPr>
          <w:rFonts w:ascii="Times New Roman" w:eastAsia="Arial" w:hAnsi="Times New Roman" w:cs="Times New Roman"/>
          <w:bCs/>
          <w:i/>
          <w:iCs/>
          <w:color w:val="000000"/>
        </w:rPr>
        <w:t>Macrophomina</w:t>
      </w:r>
      <w:r w:rsidRPr="00792A44">
        <w:rPr>
          <w:rFonts w:ascii="Times New Roman" w:eastAsia="Arial" w:hAnsi="Times New Roman" w:cs="Times New Roman"/>
          <w:bCs/>
          <w:color w:val="000000"/>
        </w:rPr>
        <w:t xml:space="preserve"> </w:t>
      </w:r>
      <w:r w:rsidRPr="00792A44">
        <w:rPr>
          <w:rFonts w:ascii="Times New Roman" w:eastAsia="Arial" w:hAnsi="Times New Roman" w:cs="Times New Roman"/>
          <w:bCs/>
          <w:i/>
          <w:iCs/>
          <w:color w:val="000000"/>
        </w:rPr>
        <w:t>phaseolina</w:t>
      </w:r>
      <w:r w:rsidRPr="00792A44">
        <w:rPr>
          <w:rFonts w:ascii="Times New Roman" w:eastAsia="Arial" w:hAnsi="Times New Roman" w:cs="Times New Roman"/>
          <w:bCs/>
          <w:color w:val="000000"/>
        </w:rPr>
        <w:t xml:space="preserve"> causing charcoal rot in soybean. </w:t>
      </w:r>
      <w:proofErr w:type="spellStart"/>
      <w:r w:rsidRPr="00792A44">
        <w:rPr>
          <w:rFonts w:ascii="Times New Roman" w:eastAsia="Arial" w:hAnsi="Times New Roman" w:cs="Times New Roman"/>
          <w:bCs/>
          <w:i/>
          <w:iCs/>
          <w:color w:val="000000"/>
        </w:rPr>
        <w:t>Heliyon</w:t>
      </w:r>
      <w:proofErr w:type="spellEnd"/>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11</w:t>
      </w:r>
      <w:r w:rsidRPr="00792A44">
        <w:rPr>
          <w:rFonts w:ascii="Times New Roman" w:eastAsia="Arial" w:hAnsi="Times New Roman" w:cs="Times New Roman"/>
          <w:bCs/>
          <w:color w:val="000000"/>
        </w:rPr>
        <w:t>(2).</w:t>
      </w:r>
    </w:p>
    <w:p w14:paraId="6B7F47EE" w14:textId="77777777" w:rsidR="00435B53" w:rsidRPr="00792A44" w:rsidRDefault="00435B53" w:rsidP="00792A44">
      <w:pPr>
        <w:pStyle w:val="NormalWeb"/>
        <w:shd w:val="clear" w:color="auto" w:fill="FFFFFF"/>
        <w:spacing w:before="0" w:beforeAutospacing="0" w:after="0" w:afterAutospacing="0" w:line="360" w:lineRule="auto"/>
        <w:ind w:left="720" w:hanging="720"/>
        <w:jc w:val="both"/>
        <w:rPr>
          <w:color w:val="000000" w:themeColor="text1"/>
        </w:rPr>
      </w:pPr>
      <w:r w:rsidRPr="00792A44">
        <w:rPr>
          <w:rFonts w:eastAsia="Arial"/>
          <w:bCs/>
          <w:color w:val="000000"/>
          <w:kern w:val="2"/>
          <w:lang w:eastAsia="en-US"/>
          <w14:ligatures w14:val="standardContextual"/>
        </w:rPr>
        <w:t>Sangeetha, T. V.</w:t>
      </w:r>
      <w:r>
        <w:rPr>
          <w:rFonts w:eastAsia="Arial"/>
          <w:bCs/>
          <w:color w:val="000000"/>
          <w:kern w:val="2"/>
          <w:lang w:eastAsia="en-US"/>
          <w14:ligatures w14:val="standardContextual"/>
        </w:rPr>
        <w:t xml:space="preserve"> and</w:t>
      </w:r>
      <w:r w:rsidRPr="00792A44">
        <w:rPr>
          <w:rFonts w:eastAsia="Arial"/>
          <w:bCs/>
          <w:color w:val="000000"/>
          <w:kern w:val="2"/>
          <w:lang w:eastAsia="en-US"/>
          <w14:ligatures w14:val="standardContextual"/>
        </w:rPr>
        <w:t xml:space="preserve"> </w:t>
      </w:r>
      <w:proofErr w:type="spellStart"/>
      <w:r w:rsidRPr="00792A44">
        <w:rPr>
          <w:rFonts w:eastAsia="Arial"/>
          <w:bCs/>
          <w:color w:val="000000"/>
          <w:kern w:val="2"/>
          <w:lang w:eastAsia="en-US"/>
          <w14:ligatures w14:val="standardContextual"/>
        </w:rPr>
        <w:t>Jahagirdar</w:t>
      </w:r>
      <w:proofErr w:type="spellEnd"/>
      <w:r w:rsidRPr="00792A44">
        <w:rPr>
          <w:rFonts w:eastAsia="Arial"/>
          <w:bCs/>
          <w:color w:val="000000"/>
          <w:kern w:val="2"/>
          <w:lang w:eastAsia="en-US"/>
          <w14:ligatures w14:val="standardContextual"/>
        </w:rPr>
        <w:t xml:space="preserve">, S. (2013). </w:t>
      </w:r>
      <w:proofErr w:type="spellStart"/>
      <w:r w:rsidRPr="00792A44">
        <w:rPr>
          <w:rFonts w:eastAsia="Arial"/>
          <w:bCs/>
          <w:color w:val="000000"/>
          <w:kern w:val="2"/>
          <w:lang w:eastAsia="en-US"/>
          <w14:ligatures w14:val="standardContextual"/>
        </w:rPr>
        <w:t>Varibility</w:t>
      </w:r>
      <w:proofErr w:type="spellEnd"/>
      <w:r w:rsidRPr="00792A44">
        <w:rPr>
          <w:rFonts w:eastAsia="Arial"/>
          <w:bCs/>
          <w:color w:val="000000"/>
          <w:kern w:val="2"/>
          <w:lang w:eastAsia="en-US"/>
          <w14:ligatures w14:val="standardContextual"/>
        </w:rPr>
        <w:t xml:space="preserve"> of pathogens associated in causing root rot complex of soybean in Karnataka. </w:t>
      </w:r>
      <w:r w:rsidRPr="00792A44">
        <w:rPr>
          <w:rFonts w:eastAsia="Arial"/>
          <w:bCs/>
          <w:i/>
          <w:iCs/>
          <w:color w:val="000000"/>
          <w:kern w:val="2"/>
          <w:lang w:eastAsia="en-US"/>
          <w14:ligatures w14:val="standardContextual"/>
        </w:rPr>
        <w:t>International Journal of Plant Protection</w:t>
      </w:r>
      <w:r w:rsidRPr="00792A44">
        <w:rPr>
          <w:rFonts w:eastAsia="Arial"/>
          <w:bCs/>
          <w:color w:val="000000"/>
          <w:kern w:val="2"/>
          <w:lang w:eastAsia="en-US"/>
          <w14:ligatures w14:val="standardContextual"/>
        </w:rPr>
        <w:t>, </w:t>
      </w:r>
      <w:r w:rsidRPr="00792A44">
        <w:rPr>
          <w:rFonts w:eastAsia="Arial"/>
          <w:bCs/>
          <w:i/>
          <w:iCs/>
          <w:color w:val="000000"/>
          <w:kern w:val="2"/>
          <w:lang w:eastAsia="en-US"/>
          <w14:ligatures w14:val="standardContextual"/>
        </w:rPr>
        <w:t>6</w:t>
      </w:r>
      <w:r w:rsidRPr="00792A44">
        <w:rPr>
          <w:rFonts w:eastAsia="Arial"/>
          <w:bCs/>
          <w:color w:val="000000"/>
          <w:kern w:val="2"/>
          <w:lang w:eastAsia="en-US"/>
          <w14:ligatures w14:val="standardContextual"/>
        </w:rPr>
        <w:t>, 229-235.</w:t>
      </w:r>
    </w:p>
    <w:p w14:paraId="0CF76662" w14:textId="77777777" w:rsidR="00435B53" w:rsidRDefault="00435B53" w:rsidP="00A1360F">
      <w:pPr>
        <w:spacing w:line="360" w:lineRule="auto"/>
        <w:ind w:left="720" w:hanging="720"/>
        <w:jc w:val="both"/>
      </w:pPr>
      <w:r w:rsidRPr="00E84B60">
        <w:rPr>
          <w:rFonts w:ascii="Times New Roman" w:hAnsi="Times New Roman" w:cs="Times New Roman"/>
        </w:rPr>
        <w:t xml:space="preserve">Singh, Y., Bhatt, J., Yadav, V. K., Kumar, A., </w:t>
      </w:r>
      <w:proofErr w:type="spellStart"/>
      <w:r w:rsidRPr="00E84B60">
        <w:rPr>
          <w:rFonts w:ascii="Times New Roman" w:hAnsi="Times New Roman" w:cs="Times New Roman"/>
        </w:rPr>
        <w:t>Kharte</w:t>
      </w:r>
      <w:proofErr w:type="spellEnd"/>
      <w:r w:rsidRPr="00E84B60">
        <w:rPr>
          <w:rFonts w:ascii="Times New Roman" w:hAnsi="Times New Roman" w:cs="Times New Roman"/>
        </w:rPr>
        <w:t>, S.</w:t>
      </w:r>
      <w:r>
        <w:rPr>
          <w:rFonts w:ascii="Times New Roman" w:hAnsi="Times New Roman" w:cs="Times New Roman"/>
        </w:rPr>
        <w:t xml:space="preserve"> and</w:t>
      </w:r>
      <w:r w:rsidRPr="00E84B60">
        <w:rPr>
          <w:rFonts w:ascii="Times New Roman" w:hAnsi="Times New Roman" w:cs="Times New Roman"/>
        </w:rPr>
        <w:t xml:space="preserve"> </w:t>
      </w:r>
      <w:proofErr w:type="spellStart"/>
      <w:r w:rsidRPr="00E84B60">
        <w:rPr>
          <w:rFonts w:ascii="Times New Roman" w:hAnsi="Times New Roman" w:cs="Times New Roman"/>
        </w:rPr>
        <w:t>Malempati</w:t>
      </w:r>
      <w:proofErr w:type="spellEnd"/>
      <w:r w:rsidRPr="00E84B60">
        <w:rPr>
          <w:rFonts w:ascii="Times New Roman" w:hAnsi="Times New Roman" w:cs="Times New Roman"/>
        </w:rPr>
        <w:t xml:space="preserve">, S. S. S. (2023). In vitro management of fusarium wilt of linseed using phytoextract, fungicides and bioagents. </w:t>
      </w:r>
      <w:r w:rsidRPr="00E84B60">
        <w:rPr>
          <w:rStyle w:val="Emphasis"/>
          <w:rFonts w:ascii="Times New Roman" w:hAnsi="Times New Roman" w:cs="Times New Roman"/>
        </w:rPr>
        <w:t>Environment Conservation Journal, 24</w:t>
      </w:r>
      <w:r w:rsidRPr="00E84B60">
        <w:rPr>
          <w:rFonts w:ascii="Times New Roman" w:hAnsi="Times New Roman" w:cs="Times New Roman"/>
        </w:rPr>
        <w:t>(4), 96–105.</w:t>
      </w:r>
      <w:r w:rsidRPr="00A1360F">
        <w:t xml:space="preserve"> </w:t>
      </w:r>
    </w:p>
    <w:p w14:paraId="0A1F66E4" w14:textId="77777777" w:rsidR="00435B53" w:rsidRDefault="00435B53" w:rsidP="00792A44">
      <w:pPr>
        <w:spacing w:line="360" w:lineRule="auto"/>
        <w:ind w:left="720" w:hanging="720"/>
        <w:jc w:val="both"/>
        <w:rPr>
          <w:rFonts w:ascii="Times New Roman" w:eastAsia="Times New Roman" w:hAnsi="Times New Roman" w:cs="Times New Roman"/>
          <w:color w:val="000000" w:themeColor="text1"/>
          <w:kern w:val="0"/>
          <w:lang w:eastAsia="en-GB"/>
          <w14:ligatures w14:val="none"/>
        </w:rPr>
      </w:pPr>
      <w:proofErr w:type="spellStart"/>
      <w:r w:rsidRPr="00792A44">
        <w:rPr>
          <w:rFonts w:ascii="Times New Roman" w:eastAsia="Times New Roman" w:hAnsi="Times New Roman" w:cs="Times New Roman"/>
          <w:color w:val="000000" w:themeColor="text1"/>
          <w:kern w:val="0"/>
          <w:lang w:eastAsia="en-GB"/>
          <w14:ligatures w14:val="none"/>
        </w:rPr>
        <w:t>Tonin</w:t>
      </w:r>
      <w:proofErr w:type="spellEnd"/>
      <w:r w:rsidRPr="00792A44">
        <w:rPr>
          <w:rFonts w:ascii="Times New Roman" w:eastAsia="Times New Roman" w:hAnsi="Times New Roman" w:cs="Times New Roman"/>
          <w:color w:val="000000" w:themeColor="text1"/>
          <w:kern w:val="0"/>
          <w:lang w:eastAsia="en-GB"/>
          <w14:ligatures w14:val="none"/>
        </w:rPr>
        <w:t xml:space="preserve">, R. F. B., </w:t>
      </w:r>
      <w:proofErr w:type="spellStart"/>
      <w:r w:rsidRPr="00792A44">
        <w:rPr>
          <w:rFonts w:ascii="Times New Roman" w:eastAsia="Times New Roman" w:hAnsi="Times New Roman" w:cs="Times New Roman"/>
          <w:color w:val="000000" w:themeColor="text1"/>
          <w:kern w:val="0"/>
          <w:lang w:eastAsia="en-GB"/>
          <w14:ligatures w14:val="none"/>
        </w:rPr>
        <w:t>Avozani</w:t>
      </w:r>
      <w:proofErr w:type="spellEnd"/>
      <w:r w:rsidRPr="00792A44">
        <w:rPr>
          <w:rFonts w:ascii="Times New Roman" w:eastAsia="Times New Roman" w:hAnsi="Times New Roman" w:cs="Times New Roman"/>
          <w:color w:val="000000" w:themeColor="text1"/>
          <w:kern w:val="0"/>
          <w:lang w:eastAsia="en-GB"/>
          <w14:ligatures w14:val="none"/>
        </w:rPr>
        <w:t xml:space="preserve">, A., </w:t>
      </w:r>
      <w:proofErr w:type="spellStart"/>
      <w:r w:rsidRPr="00792A44">
        <w:rPr>
          <w:rFonts w:ascii="Times New Roman" w:eastAsia="Times New Roman" w:hAnsi="Times New Roman" w:cs="Times New Roman"/>
          <w:color w:val="000000" w:themeColor="text1"/>
          <w:kern w:val="0"/>
          <w:lang w:eastAsia="en-GB"/>
          <w14:ligatures w14:val="none"/>
        </w:rPr>
        <w:t>Danelli</w:t>
      </w:r>
      <w:proofErr w:type="spellEnd"/>
      <w:r w:rsidRPr="00792A44">
        <w:rPr>
          <w:rFonts w:ascii="Times New Roman" w:eastAsia="Times New Roman" w:hAnsi="Times New Roman" w:cs="Times New Roman"/>
          <w:color w:val="000000" w:themeColor="text1"/>
          <w:kern w:val="0"/>
          <w:lang w:eastAsia="en-GB"/>
          <w14:ligatures w14:val="none"/>
        </w:rPr>
        <w:t xml:space="preserve">, A. L. D., Reis, E. M., </w:t>
      </w:r>
      <w:proofErr w:type="spellStart"/>
      <w:r w:rsidRPr="00792A44">
        <w:rPr>
          <w:rFonts w:ascii="Times New Roman" w:eastAsia="Times New Roman" w:hAnsi="Times New Roman" w:cs="Times New Roman"/>
          <w:color w:val="000000" w:themeColor="text1"/>
          <w:kern w:val="0"/>
          <w:lang w:eastAsia="en-GB"/>
          <w14:ligatures w14:val="none"/>
        </w:rPr>
        <w:t>Zoldan</w:t>
      </w:r>
      <w:proofErr w:type="spellEnd"/>
      <w:r w:rsidRPr="00792A44">
        <w:rPr>
          <w:rFonts w:ascii="Times New Roman" w:eastAsia="Times New Roman" w:hAnsi="Times New Roman" w:cs="Times New Roman"/>
          <w:color w:val="000000" w:themeColor="text1"/>
          <w:kern w:val="0"/>
          <w:lang w:eastAsia="en-GB"/>
          <w14:ligatures w14:val="none"/>
        </w:rPr>
        <w:t>, S. M.</w:t>
      </w:r>
      <w:r>
        <w:rPr>
          <w:rFonts w:ascii="Times New Roman" w:eastAsia="Times New Roman" w:hAnsi="Times New Roman" w:cs="Times New Roman"/>
          <w:color w:val="000000" w:themeColor="text1"/>
          <w:kern w:val="0"/>
          <w:lang w:eastAsia="en-GB"/>
          <w14:ligatures w14:val="none"/>
        </w:rPr>
        <w:t xml:space="preserve"> and</w:t>
      </w:r>
      <w:r w:rsidRPr="00792A44">
        <w:rPr>
          <w:rFonts w:ascii="Times New Roman" w:eastAsia="Times New Roman" w:hAnsi="Times New Roman" w:cs="Times New Roman"/>
          <w:color w:val="000000" w:themeColor="text1"/>
          <w:kern w:val="0"/>
          <w:lang w:eastAsia="en-GB"/>
          <w14:ligatures w14:val="none"/>
        </w:rPr>
        <w:t xml:space="preserve"> </w:t>
      </w:r>
      <w:proofErr w:type="spellStart"/>
      <w:r w:rsidRPr="00792A44">
        <w:rPr>
          <w:rFonts w:ascii="Times New Roman" w:eastAsia="Times New Roman" w:hAnsi="Times New Roman" w:cs="Times New Roman"/>
          <w:color w:val="000000" w:themeColor="text1"/>
          <w:kern w:val="0"/>
          <w:lang w:eastAsia="en-GB"/>
          <w14:ligatures w14:val="none"/>
        </w:rPr>
        <w:t>Garcés-Fiallos</w:t>
      </w:r>
      <w:proofErr w:type="spellEnd"/>
      <w:r w:rsidRPr="00792A44">
        <w:rPr>
          <w:rFonts w:ascii="Times New Roman" w:eastAsia="Times New Roman" w:hAnsi="Times New Roman" w:cs="Times New Roman"/>
          <w:color w:val="000000" w:themeColor="text1"/>
          <w:kern w:val="0"/>
          <w:lang w:eastAsia="en-GB"/>
          <w14:ligatures w14:val="none"/>
        </w:rPr>
        <w:t xml:space="preserve">, F. R. (2013). </w:t>
      </w:r>
      <w:r w:rsidRPr="002A02AD">
        <w:rPr>
          <w:rFonts w:ascii="Times New Roman" w:eastAsia="Times New Roman" w:hAnsi="Times New Roman" w:cs="Times New Roman"/>
          <w:i/>
          <w:iCs/>
          <w:color w:val="000000" w:themeColor="text1"/>
          <w:kern w:val="0"/>
          <w:lang w:eastAsia="en-GB"/>
          <w14:ligatures w14:val="none"/>
        </w:rPr>
        <w:t>In vitro</w:t>
      </w:r>
      <w:r w:rsidRPr="00792A44">
        <w:rPr>
          <w:rFonts w:ascii="Times New Roman" w:eastAsia="Times New Roman" w:hAnsi="Times New Roman" w:cs="Times New Roman"/>
          <w:color w:val="000000" w:themeColor="text1"/>
          <w:kern w:val="0"/>
          <w:lang w:eastAsia="en-GB"/>
          <w14:ligatures w14:val="none"/>
        </w:rPr>
        <w:t xml:space="preserve"> mycelial sensitivity of </w:t>
      </w:r>
      <w:r w:rsidRPr="00792A44">
        <w:rPr>
          <w:rFonts w:ascii="Times New Roman" w:eastAsia="Times New Roman" w:hAnsi="Times New Roman" w:cs="Times New Roman"/>
          <w:i/>
          <w:iCs/>
          <w:color w:val="000000" w:themeColor="text1"/>
          <w:kern w:val="0"/>
          <w:lang w:eastAsia="en-GB"/>
          <w14:ligatures w14:val="none"/>
        </w:rPr>
        <w:t>Macrophomina</w:t>
      </w:r>
      <w:r w:rsidRPr="00792A44">
        <w:rPr>
          <w:rFonts w:ascii="Times New Roman" w:eastAsia="Times New Roman" w:hAnsi="Times New Roman" w:cs="Times New Roman"/>
          <w:color w:val="000000" w:themeColor="text1"/>
          <w:kern w:val="0"/>
          <w:lang w:eastAsia="en-GB"/>
          <w14:ligatures w14:val="none"/>
        </w:rPr>
        <w:t xml:space="preserve"> </w:t>
      </w:r>
      <w:r w:rsidRPr="00792A44">
        <w:rPr>
          <w:rFonts w:ascii="Times New Roman" w:eastAsia="Times New Roman" w:hAnsi="Times New Roman" w:cs="Times New Roman"/>
          <w:i/>
          <w:iCs/>
          <w:color w:val="000000" w:themeColor="text1"/>
          <w:kern w:val="0"/>
          <w:lang w:eastAsia="en-GB"/>
          <w14:ligatures w14:val="none"/>
        </w:rPr>
        <w:t>phaseolina</w:t>
      </w:r>
      <w:r w:rsidRPr="00792A44">
        <w:rPr>
          <w:rFonts w:ascii="Times New Roman" w:eastAsia="Times New Roman" w:hAnsi="Times New Roman" w:cs="Times New Roman"/>
          <w:color w:val="000000" w:themeColor="text1"/>
          <w:kern w:val="0"/>
          <w:lang w:eastAsia="en-GB"/>
          <w14:ligatures w14:val="none"/>
        </w:rPr>
        <w:t xml:space="preserve"> to fungicides. </w:t>
      </w:r>
      <w:proofErr w:type="spellStart"/>
      <w:r w:rsidRPr="00792A44">
        <w:rPr>
          <w:rFonts w:ascii="Times New Roman" w:eastAsia="Times New Roman" w:hAnsi="Times New Roman" w:cs="Times New Roman"/>
          <w:i/>
          <w:iCs/>
          <w:color w:val="000000" w:themeColor="text1"/>
          <w:kern w:val="0"/>
          <w:lang w:eastAsia="en-GB"/>
          <w14:ligatures w14:val="none"/>
        </w:rPr>
        <w:t>Pesquisa</w:t>
      </w:r>
      <w:proofErr w:type="spellEnd"/>
      <w:r w:rsidRPr="00792A44">
        <w:rPr>
          <w:rFonts w:ascii="Times New Roman" w:eastAsia="Times New Roman" w:hAnsi="Times New Roman" w:cs="Times New Roman"/>
          <w:i/>
          <w:iCs/>
          <w:color w:val="000000" w:themeColor="text1"/>
          <w:kern w:val="0"/>
          <w:lang w:eastAsia="en-GB"/>
          <w14:ligatures w14:val="none"/>
        </w:rPr>
        <w:t xml:space="preserve"> </w:t>
      </w:r>
      <w:proofErr w:type="spellStart"/>
      <w:r w:rsidRPr="00792A44">
        <w:rPr>
          <w:rFonts w:ascii="Times New Roman" w:eastAsia="Times New Roman" w:hAnsi="Times New Roman" w:cs="Times New Roman"/>
          <w:i/>
          <w:iCs/>
          <w:color w:val="000000" w:themeColor="text1"/>
          <w:kern w:val="0"/>
          <w:lang w:eastAsia="en-GB"/>
          <w14:ligatures w14:val="none"/>
        </w:rPr>
        <w:t>Agropecuária</w:t>
      </w:r>
      <w:proofErr w:type="spellEnd"/>
      <w:r w:rsidRPr="00792A44">
        <w:rPr>
          <w:rFonts w:ascii="Times New Roman" w:eastAsia="Times New Roman" w:hAnsi="Times New Roman" w:cs="Times New Roman"/>
          <w:i/>
          <w:iCs/>
          <w:color w:val="000000" w:themeColor="text1"/>
          <w:kern w:val="0"/>
          <w:lang w:eastAsia="en-GB"/>
          <w14:ligatures w14:val="none"/>
        </w:rPr>
        <w:t xml:space="preserve"> Tropical</w:t>
      </w:r>
      <w:r w:rsidRPr="00792A44">
        <w:rPr>
          <w:rFonts w:ascii="Times New Roman" w:eastAsia="Times New Roman" w:hAnsi="Times New Roman" w:cs="Times New Roman"/>
          <w:color w:val="000000" w:themeColor="text1"/>
          <w:kern w:val="0"/>
          <w:lang w:eastAsia="en-GB"/>
          <w14:ligatures w14:val="none"/>
        </w:rPr>
        <w:t>, </w:t>
      </w:r>
      <w:r w:rsidRPr="00792A44">
        <w:rPr>
          <w:rFonts w:ascii="Times New Roman" w:eastAsia="Times New Roman" w:hAnsi="Times New Roman" w:cs="Times New Roman"/>
          <w:i/>
          <w:iCs/>
          <w:color w:val="000000" w:themeColor="text1"/>
          <w:kern w:val="0"/>
          <w:lang w:eastAsia="en-GB"/>
          <w14:ligatures w14:val="none"/>
        </w:rPr>
        <w:t>43</w:t>
      </w:r>
      <w:r w:rsidRPr="00792A44">
        <w:rPr>
          <w:rFonts w:ascii="Times New Roman" w:eastAsia="Times New Roman" w:hAnsi="Times New Roman" w:cs="Times New Roman"/>
          <w:color w:val="000000" w:themeColor="text1"/>
          <w:kern w:val="0"/>
          <w:lang w:eastAsia="en-GB"/>
          <w14:ligatures w14:val="none"/>
        </w:rPr>
        <w:t>, 460-466.</w:t>
      </w:r>
    </w:p>
    <w:p w14:paraId="71BAEF86" w14:textId="77777777" w:rsidR="00435B53" w:rsidRDefault="00435B53" w:rsidP="00E84B60">
      <w:pPr>
        <w:spacing w:line="360" w:lineRule="auto"/>
        <w:ind w:left="720" w:hanging="720"/>
        <w:jc w:val="both"/>
        <w:rPr>
          <w:rFonts w:ascii="Times New Roman" w:eastAsia="Arial" w:hAnsi="Times New Roman" w:cs="Times New Roman"/>
          <w:bCs/>
          <w:color w:val="000000"/>
        </w:rPr>
      </w:pPr>
      <w:r w:rsidRPr="00792A44">
        <w:rPr>
          <w:rFonts w:ascii="Times New Roman" w:eastAsia="Arial" w:hAnsi="Times New Roman" w:cs="Times New Roman"/>
          <w:bCs/>
          <w:color w:val="000000"/>
        </w:rPr>
        <w:t>Vincent, J. M. (1947). Distortion of fungal hyphae in the presence of certain inhibitors. </w:t>
      </w:r>
      <w:r w:rsidRPr="00792A44">
        <w:rPr>
          <w:rFonts w:ascii="Times New Roman" w:eastAsia="Arial" w:hAnsi="Times New Roman" w:cs="Times New Roman"/>
          <w:bCs/>
          <w:i/>
          <w:iCs/>
          <w:color w:val="000000"/>
        </w:rPr>
        <w:t>Nature</w:t>
      </w:r>
      <w:r w:rsidRPr="00792A44">
        <w:rPr>
          <w:rFonts w:ascii="Times New Roman" w:eastAsia="Arial" w:hAnsi="Times New Roman" w:cs="Times New Roman"/>
          <w:bCs/>
          <w:color w:val="000000"/>
        </w:rPr>
        <w:t>, </w:t>
      </w:r>
      <w:r w:rsidRPr="00792A44">
        <w:rPr>
          <w:rFonts w:ascii="Times New Roman" w:eastAsia="Arial" w:hAnsi="Times New Roman" w:cs="Times New Roman"/>
          <w:bCs/>
          <w:i/>
          <w:iCs/>
          <w:color w:val="000000"/>
        </w:rPr>
        <w:t>159</w:t>
      </w:r>
      <w:r w:rsidRPr="00792A44">
        <w:rPr>
          <w:rFonts w:ascii="Times New Roman" w:eastAsia="Arial" w:hAnsi="Times New Roman" w:cs="Times New Roman"/>
          <w:bCs/>
          <w:color w:val="000000"/>
        </w:rPr>
        <w:t>(4051), 850-850.</w:t>
      </w:r>
    </w:p>
    <w:p w14:paraId="2B83D873" w14:textId="77777777" w:rsidR="00435B53" w:rsidRPr="00792A44" w:rsidRDefault="00435B53" w:rsidP="00792A44">
      <w:pPr>
        <w:spacing w:line="360" w:lineRule="auto"/>
        <w:ind w:left="720" w:hanging="720"/>
        <w:jc w:val="both"/>
        <w:rPr>
          <w:rFonts w:ascii="Times New Roman" w:eastAsia="Arial" w:hAnsi="Times New Roman" w:cs="Times New Roman"/>
          <w:bCs/>
          <w:color w:val="000000"/>
          <w:lang w:val="en-GB"/>
        </w:rPr>
      </w:pPr>
      <w:r w:rsidRPr="009704FD">
        <w:rPr>
          <w:rFonts w:ascii="Times New Roman" w:eastAsia="Arial" w:hAnsi="Times New Roman" w:cs="Times New Roman"/>
          <w:bCs/>
          <w:color w:val="000000"/>
        </w:rPr>
        <w:t>White, T. J., Bruns, T., Lee, S. J. W. T.</w:t>
      </w:r>
      <w:r>
        <w:rPr>
          <w:rFonts w:ascii="Times New Roman" w:eastAsia="Arial" w:hAnsi="Times New Roman" w:cs="Times New Roman"/>
          <w:bCs/>
          <w:color w:val="000000"/>
        </w:rPr>
        <w:t xml:space="preserve"> and</w:t>
      </w:r>
      <w:r w:rsidRPr="009704FD">
        <w:rPr>
          <w:rFonts w:ascii="Times New Roman" w:eastAsia="Arial" w:hAnsi="Times New Roman" w:cs="Times New Roman"/>
          <w:bCs/>
          <w:color w:val="000000"/>
        </w:rPr>
        <w:t xml:space="preserve"> Taylor, J. (1990). Amplification and direct sequencing of fungal ribosomal RNA genes for phylogenetics. </w:t>
      </w:r>
      <w:r w:rsidRPr="009704FD">
        <w:rPr>
          <w:rFonts w:ascii="Times New Roman" w:eastAsia="Arial" w:hAnsi="Times New Roman" w:cs="Times New Roman"/>
          <w:bCs/>
          <w:i/>
          <w:iCs/>
          <w:color w:val="000000"/>
        </w:rPr>
        <w:t>PCR protocols: a guide to methods and applications</w:t>
      </w:r>
      <w:r w:rsidRPr="009704FD">
        <w:rPr>
          <w:rFonts w:ascii="Times New Roman" w:eastAsia="Arial" w:hAnsi="Times New Roman" w:cs="Times New Roman"/>
          <w:bCs/>
          <w:color w:val="000000"/>
        </w:rPr>
        <w:t>, </w:t>
      </w:r>
      <w:r w:rsidRPr="009704FD">
        <w:rPr>
          <w:rFonts w:ascii="Times New Roman" w:eastAsia="Arial" w:hAnsi="Times New Roman" w:cs="Times New Roman"/>
          <w:bCs/>
          <w:i/>
          <w:iCs/>
          <w:color w:val="000000"/>
        </w:rPr>
        <w:t>18</w:t>
      </w:r>
      <w:r w:rsidRPr="009704FD">
        <w:rPr>
          <w:rFonts w:ascii="Times New Roman" w:eastAsia="Arial" w:hAnsi="Times New Roman" w:cs="Times New Roman"/>
          <w:bCs/>
          <w:color w:val="000000"/>
        </w:rPr>
        <w:t>(1), 315-322.</w:t>
      </w:r>
    </w:p>
    <w:p w14:paraId="242A727E" w14:textId="1618B9AA" w:rsidR="00DF7563" w:rsidRPr="00792A44" w:rsidRDefault="00DF7563" w:rsidP="00DF7563">
      <w:pPr>
        <w:spacing w:line="360" w:lineRule="auto"/>
        <w:ind w:left="720" w:hanging="720"/>
        <w:jc w:val="both"/>
        <w:rPr>
          <w:rFonts w:ascii="Times New Roman" w:eastAsia="Arial" w:hAnsi="Times New Roman" w:cs="Times New Roman"/>
          <w:bCs/>
          <w:color w:val="000000"/>
          <w:lang w:val="en-GB"/>
        </w:rPr>
      </w:pPr>
    </w:p>
    <w:p w14:paraId="3615B455" w14:textId="77777777" w:rsidR="00DF7563" w:rsidRPr="00792A44" w:rsidRDefault="00DF7563" w:rsidP="00DF7563">
      <w:pPr>
        <w:ind w:left="720" w:hanging="720"/>
        <w:jc w:val="both"/>
        <w:rPr>
          <w:rFonts w:ascii="Times New Roman" w:eastAsia="Arial" w:hAnsi="Times New Roman" w:cs="Times New Roman"/>
          <w:bCs/>
          <w:color w:val="000000"/>
          <w:lang w:val="en-GB"/>
        </w:rPr>
      </w:pPr>
    </w:p>
    <w:p w14:paraId="77912797" w14:textId="77777777" w:rsidR="00DF7563" w:rsidRPr="00792A44" w:rsidRDefault="00DF7563" w:rsidP="004F55BC">
      <w:pPr>
        <w:spacing w:before="120" w:after="240" w:line="360" w:lineRule="auto"/>
        <w:jc w:val="both"/>
        <w:rPr>
          <w:rFonts w:ascii="Times New Roman" w:hAnsi="Times New Roman" w:cs="Times New Roman"/>
        </w:rPr>
      </w:pPr>
    </w:p>
    <w:p w14:paraId="6E3012BD" w14:textId="4B0264DE" w:rsidR="004F55BC" w:rsidRPr="00792A44" w:rsidRDefault="004F55BC" w:rsidP="004F55BC">
      <w:pPr>
        <w:spacing w:after="240"/>
        <w:rPr>
          <w:rFonts w:ascii="Times New Roman" w:hAnsi="Times New Roman" w:cs="Times New Roman"/>
          <w:b/>
          <w:bCs/>
        </w:rPr>
      </w:pPr>
      <w:r w:rsidRPr="00792A44">
        <w:rPr>
          <w:rFonts w:ascii="Times New Roman" w:hAnsi="Times New Roman" w:cs="Times New Roman"/>
        </w:rPr>
        <w:br w:type="column"/>
      </w:r>
      <w:r w:rsidRPr="00792A44">
        <w:rPr>
          <w:rFonts w:ascii="Times New Roman" w:hAnsi="Times New Roman" w:cs="Times New Roman"/>
          <w:b/>
          <w:bCs/>
        </w:rPr>
        <w:lastRenderedPageBreak/>
        <w:t>Table 1: Efficacy of different concentration of combination of fungicides against</w:t>
      </w:r>
      <w:r w:rsidRPr="00792A44">
        <w:rPr>
          <w:rFonts w:ascii="Times New Roman" w:hAnsi="Times New Roman" w:cs="Times New Roman"/>
          <w:b/>
          <w:bCs/>
          <w:i/>
          <w:iCs/>
        </w:rPr>
        <w:t xml:space="preserve"> M. phaseolina</w:t>
      </w:r>
      <w:r w:rsidRPr="00792A44">
        <w:rPr>
          <w:rFonts w:ascii="Times New Roman" w:hAnsi="Times New Roman" w:cs="Times New Roman"/>
          <w:b/>
          <w:bCs/>
        </w:rPr>
        <w: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66"/>
        <w:gridCol w:w="2006"/>
        <w:gridCol w:w="1036"/>
        <w:gridCol w:w="1116"/>
        <w:gridCol w:w="1036"/>
        <w:gridCol w:w="1116"/>
        <w:gridCol w:w="1036"/>
        <w:gridCol w:w="1114"/>
      </w:tblGrid>
      <w:tr w:rsidR="004815A1" w:rsidRPr="00792A44" w14:paraId="14E2F4BA" w14:textId="77777777" w:rsidTr="004F55BC">
        <w:tc>
          <w:tcPr>
            <w:tcW w:w="314" w:type="pct"/>
            <w:vMerge w:val="restart"/>
            <w:vAlign w:val="center"/>
          </w:tcPr>
          <w:p w14:paraId="237B5203" w14:textId="77777777" w:rsidR="004815A1" w:rsidRPr="00792A44" w:rsidRDefault="004815A1" w:rsidP="00992306">
            <w:pPr>
              <w:jc w:val="center"/>
              <w:rPr>
                <w:rFonts w:ascii="Times New Roman" w:hAnsi="Times New Roman" w:cs="Times New Roman"/>
                <w:b/>
                <w:bCs/>
              </w:rPr>
            </w:pPr>
            <w:r w:rsidRPr="00792A44">
              <w:rPr>
                <w:rFonts w:ascii="Times New Roman" w:hAnsi="Times New Roman" w:cs="Times New Roman"/>
                <w:b/>
                <w:bCs/>
              </w:rPr>
              <w:t>Tr. No.</w:t>
            </w:r>
          </w:p>
        </w:tc>
        <w:tc>
          <w:tcPr>
            <w:tcW w:w="1111" w:type="pct"/>
            <w:vMerge w:val="restart"/>
            <w:vAlign w:val="center"/>
          </w:tcPr>
          <w:p w14:paraId="4D05F55C" w14:textId="7727361A"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Treatment details</w:t>
            </w:r>
          </w:p>
        </w:tc>
        <w:tc>
          <w:tcPr>
            <w:tcW w:w="3575" w:type="pct"/>
            <w:gridSpan w:val="6"/>
            <w:vAlign w:val="center"/>
          </w:tcPr>
          <w:p w14:paraId="78A2B411"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Mycelial radial growth after 4 days (in mm) and percent inhibition in mycelial growth of the test fungus</w:t>
            </w:r>
          </w:p>
        </w:tc>
      </w:tr>
      <w:tr w:rsidR="004815A1" w:rsidRPr="00792A44" w14:paraId="7481E9CB" w14:textId="77777777" w:rsidTr="004815A1">
        <w:trPr>
          <w:trHeight w:val="77"/>
        </w:trPr>
        <w:tc>
          <w:tcPr>
            <w:tcW w:w="314" w:type="pct"/>
            <w:vMerge/>
          </w:tcPr>
          <w:p w14:paraId="61D3437B" w14:textId="77777777" w:rsidR="004815A1" w:rsidRPr="00792A44" w:rsidRDefault="004815A1" w:rsidP="00992306">
            <w:pPr>
              <w:jc w:val="center"/>
              <w:rPr>
                <w:rFonts w:ascii="Times New Roman" w:hAnsi="Times New Roman" w:cs="Times New Roman"/>
                <w:b/>
                <w:bCs/>
              </w:rPr>
            </w:pPr>
          </w:p>
        </w:tc>
        <w:tc>
          <w:tcPr>
            <w:tcW w:w="1111" w:type="pct"/>
            <w:vMerge/>
            <w:vAlign w:val="center"/>
          </w:tcPr>
          <w:p w14:paraId="00D0C391" w14:textId="0E38EBC1" w:rsidR="004815A1" w:rsidRPr="00792A44" w:rsidRDefault="004815A1" w:rsidP="00992306">
            <w:pPr>
              <w:spacing w:beforeLines="60" w:before="144" w:afterLines="60" w:after="144"/>
              <w:jc w:val="center"/>
              <w:rPr>
                <w:rFonts w:ascii="Times New Roman" w:hAnsi="Times New Roman" w:cs="Times New Roman"/>
                <w:b/>
                <w:bCs/>
              </w:rPr>
            </w:pPr>
          </w:p>
        </w:tc>
        <w:tc>
          <w:tcPr>
            <w:tcW w:w="1192" w:type="pct"/>
            <w:gridSpan w:val="2"/>
            <w:vAlign w:val="center"/>
          </w:tcPr>
          <w:p w14:paraId="63EB4B25"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100ppm</w:t>
            </w:r>
          </w:p>
        </w:tc>
        <w:tc>
          <w:tcPr>
            <w:tcW w:w="1192" w:type="pct"/>
            <w:gridSpan w:val="2"/>
            <w:vAlign w:val="center"/>
          </w:tcPr>
          <w:p w14:paraId="54AEB07E"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250ppm</w:t>
            </w:r>
          </w:p>
        </w:tc>
        <w:tc>
          <w:tcPr>
            <w:tcW w:w="1191" w:type="pct"/>
            <w:gridSpan w:val="2"/>
            <w:vAlign w:val="center"/>
          </w:tcPr>
          <w:p w14:paraId="4CB5C636"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500ppm</w:t>
            </w:r>
          </w:p>
        </w:tc>
      </w:tr>
      <w:tr w:rsidR="004F55BC" w:rsidRPr="00792A44" w14:paraId="41792269" w14:textId="77777777" w:rsidTr="004815A1">
        <w:tc>
          <w:tcPr>
            <w:tcW w:w="314" w:type="pct"/>
            <w:vMerge/>
          </w:tcPr>
          <w:p w14:paraId="36F30B54" w14:textId="77777777" w:rsidR="004F55BC" w:rsidRPr="00792A44" w:rsidRDefault="004F55BC" w:rsidP="00992306">
            <w:pPr>
              <w:jc w:val="center"/>
              <w:rPr>
                <w:rFonts w:ascii="Times New Roman" w:hAnsi="Times New Roman" w:cs="Times New Roman"/>
              </w:rPr>
            </w:pPr>
          </w:p>
        </w:tc>
        <w:tc>
          <w:tcPr>
            <w:tcW w:w="1111" w:type="pct"/>
            <w:vAlign w:val="center"/>
          </w:tcPr>
          <w:p w14:paraId="250675A7"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Active ingredient</w:t>
            </w:r>
          </w:p>
        </w:tc>
        <w:tc>
          <w:tcPr>
            <w:tcW w:w="574" w:type="pct"/>
            <w:vAlign w:val="center"/>
          </w:tcPr>
          <w:p w14:paraId="03DC3CDF"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18" w:type="pct"/>
            <w:vAlign w:val="center"/>
          </w:tcPr>
          <w:p w14:paraId="3317E924"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c>
          <w:tcPr>
            <w:tcW w:w="574" w:type="pct"/>
            <w:vAlign w:val="center"/>
          </w:tcPr>
          <w:p w14:paraId="3757D169"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18" w:type="pct"/>
            <w:vAlign w:val="center"/>
          </w:tcPr>
          <w:p w14:paraId="3F097FFD"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c>
          <w:tcPr>
            <w:tcW w:w="574" w:type="pct"/>
            <w:vAlign w:val="center"/>
          </w:tcPr>
          <w:p w14:paraId="6A7FD464"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17" w:type="pct"/>
            <w:vAlign w:val="center"/>
          </w:tcPr>
          <w:p w14:paraId="4503E51B"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r>
      <w:tr w:rsidR="004F55BC" w:rsidRPr="00792A44" w14:paraId="75223A3D" w14:textId="77777777" w:rsidTr="004815A1">
        <w:trPr>
          <w:trHeight w:val="233"/>
        </w:trPr>
        <w:tc>
          <w:tcPr>
            <w:tcW w:w="314" w:type="pct"/>
            <w:vAlign w:val="center"/>
          </w:tcPr>
          <w:p w14:paraId="5F29FBAC" w14:textId="77777777" w:rsidR="004F55BC" w:rsidRPr="00792A44" w:rsidRDefault="004F55BC" w:rsidP="00992306">
            <w:pPr>
              <w:spacing w:beforeLines="20" w:before="48" w:afterLines="20" w:after="48"/>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1</w:t>
            </w:r>
          </w:p>
        </w:tc>
        <w:tc>
          <w:tcPr>
            <w:tcW w:w="1111" w:type="pct"/>
            <w:vAlign w:val="center"/>
          </w:tcPr>
          <w:p w14:paraId="68A8D40B"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Metiram 55% + Pyraclostrobin 5% WG</w:t>
            </w:r>
          </w:p>
        </w:tc>
        <w:tc>
          <w:tcPr>
            <w:tcW w:w="574" w:type="pct"/>
            <w:vAlign w:val="center"/>
          </w:tcPr>
          <w:p w14:paraId="2FDB8CAE"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6.50</w:t>
            </w:r>
          </w:p>
        </w:tc>
        <w:tc>
          <w:tcPr>
            <w:tcW w:w="618" w:type="pct"/>
            <w:vAlign w:val="center"/>
          </w:tcPr>
          <w:p w14:paraId="14B0AB28"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92.35</w:t>
            </w:r>
          </w:p>
        </w:tc>
        <w:tc>
          <w:tcPr>
            <w:tcW w:w="574" w:type="pct"/>
            <w:vAlign w:val="center"/>
          </w:tcPr>
          <w:p w14:paraId="58A2DCF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8" w:type="pct"/>
            <w:vAlign w:val="center"/>
          </w:tcPr>
          <w:p w14:paraId="7B04F6B4"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100.00</w:t>
            </w:r>
          </w:p>
        </w:tc>
        <w:tc>
          <w:tcPr>
            <w:tcW w:w="574" w:type="pct"/>
            <w:vAlign w:val="center"/>
          </w:tcPr>
          <w:p w14:paraId="08794FF4"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7" w:type="pct"/>
            <w:vAlign w:val="center"/>
          </w:tcPr>
          <w:p w14:paraId="30FD0128"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100.00</w:t>
            </w:r>
          </w:p>
        </w:tc>
      </w:tr>
      <w:tr w:rsidR="004F55BC" w:rsidRPr="00792A44" w14:paraId="0EB663E4" w14:textId="77777777" w:rsidTr="004815A1">
        <w:trPr>
          <w:trHeight w:val="301"/>
        </w:trPr>
        <w:tc>
          <w:tcPr>
            <w:tcW w:w="314" w:type="pct"/>
            <w:vAlign w:val="center"/>
          </w:tcPr>
          <w:p w14:paraId="3D2126C7" w14:textId="77777777" w:rsidR="004F55BC" w:rsidRPr="00792A44" w:rsidRDefault="004F55BC" w:rsidP="00992306">
            <w:pPr>
              <w:spacing w:beforeLines="20" w:before="48" w:afterLines="20" w:after="48"/>
              <w:jc w:val="center"/>
              <w:rPr>
                <w:rFonts w:ascii="Times New Roman" w:eastAsia="Calibri"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2</w:t>
            </w:r>
          </w:p>
        </w:tc>
        <w:tc>
          <w:tcPr>
            <w:tcW w:w="1111" w:type="pct"/>
            <w:vAlign w:val="center"/>
          </w:tcPr>
          <w:p w14:paraId="3BD97A6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eastAsia="Calibri" w:hAnsi="Times New Roman" w:cs="Times New Roman"/>
              </w:rPr>
              <w:t>Carboxin 37.5% + Thiram 37.5% WS</w:t>
            </w:r>
          </w:p>
        </w:tc>
        <w:tc>
          <w:tcPr>
            <w:tcW w:w="574" w:type="pct"/>
            <w:vAlign w:val="center"/>
          </w:tcPr>
          <w:p w14:paraId="213ABB82"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16.33</w:t>
            </w:r>
          </w:p>
        </w:tc>
        <w:tc>
          <w:tcPr>
            <w:tcW w:w="618" w:type="pct"/>
            <w:vAlign w:val="center"/>
          </w:tcPr>
          <w:p w14:paraId="65383321"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80.78</w:t>
            </w:r>
          </w:p>
        </w:tc>
        <w:tc>
          <w:tcPr>
            <w:tcW w:w="574" w:type="pct"/>
            <w:vAlign w:val="center"/>
          </w:tcPr>
          <w:p w14:paraId="380E6F13"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8" w:type="pct"/>
            <w:vAlign w:val="center"/>
          </w:tcPr>
          <w:p w14:paraId="1CC80FE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100.00</w:t>
            </w:r>
          </w:p>
        </w:tc>
        <w:tc>
          <w:tcPr>
            <w:tcW w:w="574" w:type="pct"/>
            <w:vAlign w:val="center"/>
          </w:tcPr>
          <w:p w14:paraId="42180A1B"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7" w:type="pct"/>
            <w:vAlign w:val="center"/>
          </w:tcPr>
          <w:p w14:paraId="2F48962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100.00</w:t>
            </w:r>
          </w:p>
        </w:tc>
      </w:tr>
      <w:tr w:rsidR="004F55BC" w:rsidRPr="00792A44" w14:paraId="76813965" w14:textId="77777777" w:rsidTr="004815A1">
        <w:tc>
          <w:tcPr>
            <w:tcW w:w="314" w:type="pct"/>
            <w:vAlign w:val="center"/>
          </w:tcPr>
          <w:p w14:paraId="0622DB01" w14:textId="77777777" w:rsidR="004F55BC" w:rsidRPr="00792A44" w:rsidRDefault="004F55BC" w:rsidP="00992306">
            <w:pPr>
              <w:spacing w:beforeLines="20" w:before="48" w:afterLines="20" w:after="48"/>
              <w:jc w:val="center"/>
              <w:rPr>
                <w:rFonts w:ascii="Times New Roman" w:eastAsia="Calibri"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3</w:t>
            </w:r>
          </w:p>
        </w:tc>
        <w:tc>
          <w:tcPr>
            <w:tcW w:w="1111" w:type="pct"/>
            <w:vAlign w:val="center"/>
          </w:tcPr>
          <w:p w14:paraId="0238592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eastAsia="Calibri" w:hAnsi="Times New Roman" w:cs="Times New Roman"/>
              </w:rPr>
              <w:t>Carbendazim 25%+ Mancozeb 50% WS</w:t>
            </w:r>
          </w:p>
        </w:tc>
        <w:tc>
          <w:tcPr>
            <w:tcW w:w="574" w:type="pct"/>
            <w:vAlign w:val="center"/>
          </w:tcPr>
          <w:p w14:paraId="46C20CCE"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8" w:type="pct"/>
            <w:vAlign w:val="center"/>
          </w:tcPr>
          <w:p w14:paraId="1D72258A"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100.00</w:t>
            </w:r>
          </w:p>
        </w:tc>
        <w:tc>
          <w:tcPr>
            <w:tcW w:w="574" w:type="pct"/>
            <w:vAlign w:val="center"/>
          </w:tcPr>
          <w:p w14:paraId="3F16DC6D"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8" w:type="pct"/>
            <w:vAlign w:val="center"/>
          </w:tcPr>
          <w:p w14:paraId="6B130B66"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100.00</w:t>
            </w:r>
          </w:p>
        </w:tc>
        <w:tc>
          <w:tcPr>
            <w:tcW w:w="574" w:type="pct"/>
            <w:vAlign w:val="center"/>
          </w:tcPr>
          <w:p w14:paraId="54A94509"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0.00</w:t>
            </w:r>
          </w:p>
        </w:tc>
        <w:tc>
          <w:tcPr>
            <w:tcW w:w="617" w:type="pct"/>
            <w:vAlign w:val="center"/>
          </w:tcPr>
          <w:p w14:paraId="7CCA4335"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100.00</w:t>
            </w:r>
          </w:p>
        </w:tc>
      </w:tr>
      <w:tr w:rsidR="004F55BC" w:rsidRPr="00792A44" w14:paraId="73874F2B" w14:textId="77777777" w:rsidTr="004815A1">
        <w:tc>
          <w:tcPr>
            <w:tcW w:w="314" w:type="pct"/>
            <w:vAlign w:val="center"/>
          </w:tcPr>
          <w:p w14:paraId="5683BC2B" w14:textId="77777777" w:rsidR="004F55BC" w:rsidRPr="00792A44" w:rsidRDefault="004F55BC" w:rsidP="00992306">
            <w:pPr>
              <w:spacing w:beforeLines="20" w:before="48" w:afterLines="20" w:after="48"/>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4</w:t>
            </w:r>
          </w:p>
        </w:tc>
        <w:tc>
          <w:tcPr>
            <w:tcW w:w="1111" w:type="pct"/>
            <w:vAlign w:val="center"/>
          </w:tcPr>
          <w:p w14:paraId="16D6ADCB"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Thiophanate Methyl 450 + Pyraclostrobin 50 G/L (w/v) FS</w:t>
            </w:r>
          </w:p>
        </w:tc>
        <w:tc>
          <w:tcPr>
            <w:tcW w:w="574" w:type="pct"/>
            <w:vAlign w:val="center"/>
          </w:tcPr>
          <w:p w14:paraId="44D5F500"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9.00</w:t>
            </w:r>
          </w:p>
        </w:tc>
        <w:tc>
          <w:tcPr>
            <w:tcW w:w="618" w:type="pct"/>
            <w:vAlign w:val="center"/>
          </w:tcPr>
          <w:p w14:paraId="5F24D9F0"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89.41</w:t>
            </w:r>
          </w:p>
        </w:tc>
        <w:tc>
          <w:tcPr>
            <w:tcW w:w="574" w:type="pct"/>
            <w:vAlign w:val="center"/>
          </w:tcPr>
          <w:p w14:paraId="23C9BD55"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7.17</w:t>
            </w:r>
          </w:p>
        </w:tc>
        <w:tc>
          <w:tcPr>
            <w:tcW w:w="618" w:type="pct"/>
            <w:vAlign w:val="center"/>
          </w:tcPr>
          <w:p w14:paraId="0D7123FF"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91.57</w:t>
            </w:r>
          </w:p>
        </w:tc>
        <w:tc>
          <w:tcPr>
            <w:tcW w:w="574" w:type="pct"/>
            <w:vAlign w:val="center"/>
          </w:tcPr>
          <w:p w14:paraId="487EB75E"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6.67</w:t>
            </w:r>
          </w:p>
        </w:tc>
        <w:tc>
          <w:tcPr>
            <w:tcW w:w="617" w:type="pct"/>
            <w:vAlign w:val="center"/>
          </w:tcPr>
          <w:p w14:paraId="404D60CC"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92.16</w:t>
            </w:r>
          </w:p>
        </w:tc>
      </w:tr>
      <w:tr w:rsidR="004F55BC" w:rsidRPr="00792A44" w14:paraId="11F2B7B2" w14:textId="77777777" w:rsidTr="004815A1">
        <w:tc>
          <w:tcPr>
            <w:tcW w:w="314" w:type="pct"/>
            <w:vAlign w:val="center"/>
          </w:tcPr>
          <w:p w14:paraId="28F51564" w14:textId="77777777" w:rsidR="004F55BC" w:rsidRPr="00792A44" w:rsidRDefault="004F55BC" w:rsidP="00992306">
            <w:pPr>
              <w:spacing w:beforeLines="20" w:before="48" w:afterLines="20" w:after="48"/>
              <w:jc w:val="center"/>
              <w:rPr>
                <w:rFonts w:ascii="Times New Roman" w:eastAsia="Calibri"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5</w:t>
            </w:r>
          </w:p>
        </w:tc>
        <w:tc>
          <w:tcPr>
            <w:tcW w:w="1111" w:type="pct"/>
            <w:vAlign w:val="center"/>
          </w:tcPr>
          <w:p w14:paraId="5D425F0A"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eastAsia="Calibri" w:hAnsi="Times New Roman" w:cs="Times New Roman"/>
              </w:rPr>
              <w:t xml:space="preserve">Penflufen13.28% w/w + </w:t>
            </w:r>
            <w:proofErr w:type="spellStart"/>
            <w:r w:rsidRPr="00792A44">
              <w:rPr>
                <w:rFonts w:ascii="Times New Roman" w:eastAsia="Calibri" w:hAnsi="Times New Roman" w:cs="Times New Roman"/>
              </w:rPr>
              <w:t>Trifloxystrobin</w:t>
            </w:r>
            <w:proofErr w:type="spellEnd"/>
            <w:r w:rsidRPr="00792A44">
              <w:rPr>
                <w:rFonts w:ascii="Times New Roman" w:eastAsia="Calibri" w:hAnsi="Times New Roman" w:cs="Times New Roman"/>
              </w:rPr>
              <w:t xml:space="preserve"> 13.28% w/w FS</w:t>
            </w:r>
          </w:p>
        </w:tc>
        <w:tc>
          <w:tcPr>
            <w:tcW w:w="574" w:type="pct"/>
            <w:vAlign w:val="center"/>
          </w:tcPr>
          <w:p w14:paraId="5644E7E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33.00</w:t>
            </w:r>
          </w:p>
        </w:tc>
        <w:tc>
          <w:tcPr>
            <w:tcW w:w="618" w:type="pct"/>
            <w:vAlign w:val="center"/>
          </w:tcPr>
          <w:p w14:paraId="2C82ABD8"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61.18</w:t>
            </w:r>
          </w:p>
        </w:tc>
        <w:tc>
          <w:tcPr>
            <w:tcW w:w="574" w:type="pct"/>
            <w:vAlign w:val="center"/>
          </w:tcPr>
          <w:p w14:paraId="2C074627"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27.50</w:t>
            </w:r>
          </w:p>
        </w:tc>
        <w:tc>
          <w:tcPr>
            <w:tcW w:w="618" w:type="pct"/>
            <w:vAlign w:val="center"/>
          </w:tcPr>
          <w:p w14:paraId="2E1B00FD"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67.65</w:t>
            </w:r>
          </w:p>
        </w:tc>
        <w:tc>
          <w:tcPr>
            <w:tcW w:w="574" w:type="pct"/>
            <w:vAlign w:val="center"/>
          </w:tcPr>
          <w:p w14:paraId="5D01B3F0"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23.00</w:t>
            </w:r>
          </w:p>
        </w:tc>
        <w:tc>
          <w:tcPr>
            <w:tcW w:w="617" w:type="pct"/>
            <w:vAlign w:val="center"/>
          </w:tcPr>
          <w:p w14:paraId="2560E9B6"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72.94</w:t>
            </w:r>
          </w:p>
        </w:tc>
      </w:tr>
      <w:tr w:rsidR="004F55BC" w:rsidRPr="00792A44" w14:paraId="0A34E85D" w14:textId="77777777" w:rsidTr="004815A1">
        <w:tc>
          <w:tcPr>
            <w:tcW w:w="314" w:type="pct"/>
            <w:vAlign w:val="center"/>
          </w:tcPr>
          <w:p w14:paraId="277DF391" w14:textId="77777777" w:rsidR="004F55BC" w:rsidRPr="00792A44" w:rsidRDefault="004F55BC" w:rsidP="00992306">
            <w:pPr>
              <w:spacing w:beforeLines="20" w:before="48" w:afterLines="20" w:after="48"/>
              <w:jc w:val="center"/>
              <w:rPr>
                <w:rFonts w:ascii="Times New Roman" w:eastAsia="Calibri"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6</w:t>
            </w:r>
          </w:p>
        </w:tc>
        <w:tc>
          <w:tcPr>
            <w:tcW w:w="1111" w:type="pct"/>
            <w:vAlign w:val="center"/>
          </w:tcPr>
          <w:p w14:paraId="25F5DB97"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eastAsia="Calibri" w:hAnsi="Times New Roman" w:cs="Times New Roman"/>
              </w:rPr>
              <w:t>Azoxystrobin11% + Tebuconazole 18.3% SC</w:t>
            </w:r>
          </w:p>
        </w:tc>
        <w:tc>
          <w:tcPr>
            <w:tcW w:w="574" w:type="pct"/>
            <w:vAlign w:val="center"/>
          </w:tcPr>
          <w:p w14:paraId="63F6087E"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33.00</w:t>
            </w:r>
          </w:p>
        </w:tc>
        <w:tc>
          <w:tcPr>
            <w:tcW w:w="618" w:type="pct"/>
            <w:vAlign w:val="center"/>
          </w:tcPr>
          <w:p w14:paraId="70B0C567"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61.18</w:t>
            </w:r>
          </w:p>
        </w:tc>
        <w:tc>
          <w:tcPr>
            <w:tcW w:w="574" w:type="pct"/>
            <w:vAlign w:val="center"/>
          </w:tcPr>
          <w:p w14:paraId="4891F561"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22.50</w:t>
            </w:r>
          </w:p>
        </w:tc>
        <w:tc>
          <w:tcPr>
            <w:tcW w:w="618" w:type="pct"/>
            <w:vAlign w:val="center"/>
          </w:tcPr>
          <w:p w14:paraId="227F78E9"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73.53</w:t>
            </w:r>
          </w:p>
        </w:tc>
        <w:tc>
          <w:tcPr>
            <w:tcW w:w="574" w:type="pct"/>
            <w:vAlign w:val="center"/>
          </w:tcPr>
          <w:p w14:paraId="0F4E40FD"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12.67</w:t>
            </w:r>
          </w:p>
        </w:tc>
        <w:tc>
          <w:tcPr>
            <w:tcW w:w="617" w:type="pct"/>
            <w:vAlign w:val="center"/>
          </w:tcPr>
          <w:p w14:paraId="481FE22E" w14:textId="77777777" w:rsidR="004F55BC" w:rsidRPr="00792A44" w:rsidRDefault="004F55BC" w:rsidP="00992306">
            <w:pPr>
              <w:spacing w:beforeLines="20" w:before="48" w:afterLines="20" w:after="48"/>
              <w:jc w:val="center"/>
              <w:rPr>
                <w:rFonts w:ascii="Times New Roman" w:hAnsi="Times New Roman" w:cs="Times New Roman"/>
                <w:color w:val="000000"/>
              </w:rPr>
            </w:pPr>
            <w:r w:rsidRPr="00792A44">
              <w:rPr>
                <w:rFonts w:ascii="Times New Roman" w:hAnsi="Times New Roman" w:cs="Times New Roman"/>
                <w:color w:val="000000"/>
              </w:rPr>
              <w:t>85.10</w:t>
            </w:r>
          </w:p>
        </w:tc>
      </w:tr>
      <w:tr w:rsidR="004F55BC" w:rsidRPr="00792A44" w14:paraId="357851D6" w14:textId="77777777" w:rsidTr="004815A1">
        <w:trPr>
          <w:trHeight w:val="545"/>
        </w:trPr>
        <w:tc>
          <w:tcPr>
            <w:tcW w:w="314" w:type="pct"/>
            <w:vAlign w:val="center"/>
          </w:tcPr>
          <w:p w14:paraId="2AC2EF9C" w14:textId="77777777" w:rsidR="004F55BC" w:rsidRPr="00792A44" w:rsidRDefault="004F55BC" w:rsidP="00992306">
            <w:pPr>
              <w:spacing w:beforeLines="20" w:before="48" w:afterLines="20" w:after="48"/>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7</w:t>
            </w:r>
          </w:p>
        </w:tc>
        <w:tc>
          <w:tcPr>
            <w:tcW w:w="1111" w:type="pct"/>
            <w:vAlign w:val="center"/>
          </w:tcPr>
          <w:p w14:paraId="136EF384"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Control</w:t>
            </w:r>
          </w:p>
        </w:tc>
        <w:tc>
          <w:tcPr>
            <w:tcW w:w="574" w:type="pct"/>
            <w:vAlign w:val="center"/>
          </w:tcPr>
          <w:p w14:paraId="2280B924"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85.00</w:t>
            </w:r>
          </w:p>
        </w:tc>
        <w:tc>
          <w:tcPr>
            <w:tcW w:w="618" w:type="pct"/>
            <w:vAlign w:val="center"/>
          </w:tcPr>
          <w:p w14:paraId="3F4B57AB"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w:t>
            </w:r>
          </w:p>
        </w:tc>
        <w:tc>
          <w:tcPr>
            <w:tcW w:w="574" w:type="pct"/>
            <w:vAlign w:val="center"/>
          </w:tcPr>
          <w:p w14:paraId="486F20CC"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85.00</w:t>
            </w:r>
          </w:p>
        </w:tc>
        <w:tc>
          <w:tcPr>
            <w:tcW w:w="618" w:type="pct"/>
            <w:vAlign w:val="center"/>
          </w:tcPr>
          <w:p w14:paraId="6A4A1E9A"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w:t>
            </w:r>
          </w:p>
        </w:tc>
        <w:tc>
          <w:tcPr>
            <w:tcW w:w="574" w:type="pct"/>
            <w:vAlign w:val="center"/>
          </w:tcPr>
          <w:p w14:paraId="3884FABF"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85.00</w:t>
            </w:r>
          </w:p>
        </w:tc>
        <w:tc>
          <w:tcPr>
            <w:tcW w:w="617" w:type="pct"/>
            <w:vAlign w:val="center"/>
          </w:tcPr>
          <w:p w14:paraId="60945471"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w:t>
            </w:r>
          </w:p>
        </w:tc>
      </w:tr>
      <w:tr w:rsidR="004F55BC" w:rsidRPr="00792A44" w14:paraId="32FA02E2" w14:textId="77777777" w:rsidTr="004815A1">
        <w:trPr>
          <w:trHeight w:val="567"/>
        </w:trPr>
        <w:tc>
          <w:tcPr>
            <w:tcW w:w="314" w:type="pct"/>
          </w:tcPr>
          <w:p w14:paraId="63E84FF6" w14:textId="77777777" w:rsidR="004F55BC" w:rsidRPr="00792A44" w:rsidRDefault="004F55BC" w:rsidP="00992306">
            <w:pPr>
              <w:spacing w:beforeLines="20" w:before="48" w:afterLines="20" w:after="48"/>
              <w:jc w:val="center"/>
              <w:rPr>
                <w:rFonts w:ascii="Times New Roman" w:hAnsi="Times New Roman" w:cs="Times New Roman"/>
              </w:rPr>
            </w:pPr>
          </w:p>
        </w:tc>
        <w:tc>
          <w:tcPr>
            <w:tcW w:w="1111" w:type="pct"/>
            <w:vAlign w:val="center"/>
          </w:tcPr>
          <w:p w14:paraId="62508CAC"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CD at 5%</w:t>
            </w:r>
          </w:p>
        </w:tc>
        <w:tc>
          <w:tcPr>
            <w:tcW w:w="574" w:type="pct"/>
            <w:vAlign w:val="center"/>
          </w:tcPr>
          <w:p w14:paraId="47318970"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2.49</w:t>
            </w:r>
          </w:p>
        </w:tc>
        <w:tc>
          <w:tcPr>
            <w:tcW w:w="618" w:type="pct"/>
            <w:vAlign w:val="center"/>
          </w:tcPr>
          <w:p w14:paraId="52725731"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3.22</w:t>
            </w:r>
          </w:p>
        </w:tc>
        <w:tc>
          <w:tcPr>
            <w:tcW w:w="574" w:type="pct"/>
            <w:vAlign w:val="center"/>
          </w:tcPr>
          <w:p w14:paraId="0787D3E9"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1.27</w:t>
            </w:r>
          </w:p>
        </w:tc>
        <w:tc>
          <w:tcPr>
            <w:tcW w:w="618" w:type="pct"/>
            <w:vAlign w:val="center"/>
          </w:tcPr>
          <w:p w14:paraId="00D954B6" w14:textId="77777777" w:rsidR="004F55BC" w:rsidRPr="00792A44" w:rsidRDefault="004F55BC" w:rsidP="00992306">
            <w:pPr>
              <w:spacing w:beforeLines="20" w:before="48" w:afterLines="20" w:after="48"/>
              <w:jc w:val="center"/>
              <w:rPr>
                <w:rFonts w:ascii="Times New Roman" w:hAnsi="Times New Roman" w:cs="Times New Roman"/>
                <w:color w:val="333333"/>
              </w:rPr>
            </w:pPr>
            <w:r w:rsidRPr="00792A44">
              <w:rPr>
                <w:rFonts w:ascii="Times New Roman" w:hAnsi="Times New Roman" w:cs="Times New Roman"/>
                <w:color w:val="333333"/>
              </w:rPr>
              <w:t>1.64</w:t>
            </w:r>
          </w:p>
        </w:tc>
        <w:tc>
          <w:tcPr>
            <w:tcW w:w="574" w:type="pct"/>
            <w:vAlign w:val="center"/>
          </w:tcPr>
          <w:p w14:paraId="2C936D09" w14:textId="77777777" w:rsidR="004F55BC" w:rsidRPr="00792A44" w:rsidRDefault="004F55BC" w:rsidP="00992306">
            <w:pPr>
              <w:spacing w:beforeLines="20" w:before="48" w:afterLines="20" w:after="48"/>
              <w:jc w:val="center"/>
              <w:rPr>
                <w:rFonts w:ascii="Times New Roman" w:hAnsi="Times New Roman" w:cs="Times New Roman"/>
                <w:color w:val="333333"/>
              </w:rPr>
            </w:pPr>
            <w:r w:rsidRPr="00792A44">
              <w:rPr>
                <w:rFonts w:ascii="Times New Roman" w:hAnsi="Times New Roman" w:cs="Times New Roman"/>
                <w:color w:val="333333"/>
              </w:rPr>
              <w:t>0.80</w:t>
            </w:r>
          </w:p>
        </w:tc>
        <w:tc>
          <w:tcPr>
            <w:tcW w:w="617" w:type="pct"/>
            <w:vAlign w:val="center"/>
          </w:tcPr>
          <w:p w14:paraId="2ECABE79"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1.03</w:t>
            </w:r>
          </w:p>
        </w:tc>
      </w:tr>
      <w:tr w:rsidR="004F55BC" w:rsidRPr="00792A44" w14:paraId="07954631" w14:textId="77777777" w:rsidTr="004815A1">
        <w:trPr>
          <w:trHeight w:val="547"/>
        </w:trPr>
        <w:tc>
          <w:tcPr>
            <w:tcW w:w="314" w:type="pct"/>
          </w:tcPr>
          <w:p w14:paraId="3C4D6EE8" w14:textId="77777777" w:rsidR="004F55BC" w:rsidRPr="00792A44" w:rsidRDefault="004F55BC" w:rsidP="00992306">
            <w:pPr>
              <w:spacing w:beforeLines="20" w:before="48" w:afterLines="20" w:after="48"/>
              <w:jc w:val="center"/>
              <w:rPr>
                <w:rFonts w:ascii="Times New Roman" w:hAnsi="Times New Roman" w:cs="Times New Roman"/>
              </w:rPr>
            </w:pPr>
          </w:p>
        </w:tc>
        <w:tc>
          <w:tcPr>
            <w:tcW w:w="1111" w:type="pct"/>
            <w:vAlign w:val="center"/>
          </w:tcPr>
          <w:p w14:paraId="01A49177"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rPr>
              <w:t xml:space="preserve">SE(m) </w:t>
            </w:r>
            <w:r w:rsidRPr="00792A44">
              <w:rPr>
                <w:rFonts w:ascii="Times New Roman" w:hAnsi="Times New Roman" w:cs="Times New Roman"/>
                <w:color w:val="000000"/>
              </w:rPr>
              <w:t>±</w:t>
            </w:r>
          </w:p>
        </w:tc>
        <w:tc>
          <w:tcPr>
            <w:tcW w:w="574" w:type="pct"/>
            <w:vAlign w:val="center"/>
          </w:tcPr>
          <w:p w14:paraId="216D2F90"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0.81</w:t>
            </w:r>
          </w:p>
        </w:tc>
        <w:tc>
          <w:tcPr>
            <w:tcW w:w="618" w:type="pct"/>
            <w:vAlign w:val="center"/>
          </w:tcPr>
          <w:p w14:paraId="74C67D07"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1.03</w:t>
            </w:r>
          </w:p>
        </w:tc>
        <w:tc>
          <w:tcPr>
            <w:tcW w:w="574" w:type="pct"/>
            <w:vAlign w:val="center"/>
          </w:tcPr>
          <w:p w14:paraId="7DB77973"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0.41</w:t>
            </w:r>
          </w:p>
        </w:tc>
        <w:tc>
          <w:tcPr>
            <w:tcW w:w="618" w:type="pct"/>
            <w:vAlign w:val="center"/>
          </w:tcPr>
          <w:p w14:paraId="02BB3BA0"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0.53</w:t>
            </w:r>
          </w:p>
        </w:tc>
        <w:tc>
          <w:tcPr>
            <w:tcW w:w="574" w:type="pct"/>
            <w:vAlign w:val="center"/>
          </w:tcPr>
          <w:p w14:paraId="63EB0C90"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333333"/>
              </w:rPr>
              <w:t>0.26</w:t>
            </w:r>
          </w:p>
        </w:tc>
        <w:tc>
          <w:tcPr>
            <w:tcW w:w="617" w:type="pct"/>
            <w:vAlign w:val="center"/>
          </w:tcPr>
          <w:p w14:paraId="4B4DED4B" w14:textId="77777777" w:rsidR="004F55BC" w:rsidRPr="00792A44" w:rsidRDefault="004F55BC" w:rsidP="00992306">
            <w:pPr>
              <w:spacing w:beforeLines="20" w:before="48" w:afterLines="20" w:after="48"/>
              <w:jc w:val="center"/>
              <w:rPr>
                <w:rFonts w:ascii="Times New Roman" w:hAnsi="Times New Roman" w:cs="Times New Roman"/>
              </w:rPr>
            </w:pPr>
            <w:r w:rsidRPr="00792A44">
              <w:rPr>
                <w:rFonts w:ascii="Times New Roman" w:hAnsi="Times New Roman" w:cs="Times New Roman"/>
                <w:color w:val="000000"/>
              </w:rPr>
              <w:t>0.33</w:t>
            </w:r>
          </w:p>
        </w:tc>
      </w:tr>
    </w:tbl>
    <w:p w14:paraId="6753835F" w14:textId="09F4BB5B" w:rsidR="004F55BC" w:rsidRPr="00792A44" w:rsidRDefault="004F55BC" w:rsidP="004F55BC">
      <w:pPr>
        <w:spacing w:after="240"/>
        <w:rPr>
          <w:rFonts w:ascii="Times New Roman" w:hAnsi="Times New Roman" w:cs="Times New Roman"/>
          <w:b/>
          <w:bCs/>
        </w:rPr>
      </w:pPr>
      <w:r w:rsidRPr="00792A44">
        <w:rPr>
          <w:rFonts w:ascii="Times New Roman" w:hAnsi="Times New Roman" w:cs="Times New Roman"/>
        </w:rPr>
        <w:br w:type="column"/>
      </w:r>
      <w:r w:rsidRPr="00792A44">
        <w:rPr>
          <w:rFonts w:ascii="Times New Roman" w:hAnsi="Times New Roman" w:cs="Times New Roman"/>
          <w:b/>
          <w:bCs/>
        </w:rPr>
        <w:lastRenderedPageBreak/>
        <w:t xml:space="preserve">Table </w:t>
      </w:r>
      <w:r w:rsidR="008565AE" w:rsidRPr="00792A44">
        <w:rPr>
          <w:rFonts w:ascii="Times New Roman" w:hAnsi="Times New Roman" w:cs="Times New Roman"/>
          <w:b/>
          <w:bCs/>
        </w:rPr>
        <w:t>2</w:t>
      </w:r>
      <w:r w:rsidRPr="00792A44">
        <w:rPr>
          <w:rFonts w:ascii="Times New Roman" w:hAnsi="Times New Roman" w:cs="Times New Roman"/>
          <w:b/>
          <w:bCs/>
        </w:rPr>
        <w:t>: Efficacy of different concentration of single compound fungicides against</w:t>
      </w:r>
      <w:r w:rsidRPr="00792A44">
        <w:rPr>
          <w:rFonts w:ascii="Times New Roman" w:hAnsi="Times New Roman" w:cs="Times New Roman"/>
          <w:b/>
          <w:bCs/>
          <w:i/>
          <w:iCs/>
        </w:rPr>
        <w:t xml:space="preserve"> M. phaseolina</w:t>
      </w:r>
      <w:r w:rsidRPr="00792A44">
        <w:rPr>
          <w:rFonts w:ascii="Times New Roman" w:hAnsi="Times New Roman" w:cs="Times New Roman"/>
          <w:b/>
          <w:bCs/>
        </w:rPr>
        <w: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75"/>
        <w:gridCol w:w="2112"/>
        <w:gridCol w:w="1040"/>
        <w:gridCol w:w="1085"/>
        <w:gridCol w:w="1011"/>
        <w:gridCol w:w="1101"/>
        <w:gridCol w:w="1018"/>
        <w:gridCol w:w="1084"/>
      </w:tblGrid>
      <w:tr w:rsidR="004815A1" w:rsidRPr="00792A44" w14:paraId="5DCD3963" w14:textId="77777777" w:rsidTr="004815A1">
        <w:tc>
          <w:tcPr>
            <w:tcW w:w="319" w:type="pct"/>
            <w:vMerge w:val="restart"/>
            <w:vAlign w:val="center"/>
          </w:tcPr>
          <w:p w14:paraId="0A9E4352" w14:textId="77777777" w:rsidR="004815A1" w:rsidRPr="00792A44" w:rsidRDefault="004815A1" w:rsidP="00992306">
            <w:pPr>
              <w:spacing w:line="276" w:lineRule="auto"/>
              <w:jc w:val="center"/>
              <w:rPr>
                <w:rFonts w:ascii="Times New Roman" w:hAnsi="Times New Roman" w:cs="Times New Roman"/>
                <w:b/>
                <w:bCs/>
              </w:rPr>
            </w:pPr>
            <w:r w:rsidRPr="00792A44">
              <w:rPr>
                <w:rFonts w:ascii="Times New Roman" w:hAnsi="Times New Roman" w:cs="Times New Roman"/>
                <w:b/>
                <w:bCs/>
              </w:rPr>
              <w:t>Tr. No.</w:t>
            </w:r>
          </w:p>
        </w:tc>
        <w:tc>
          <w:tcPr>
            <w:tcW w:w="1170" w:type="pct"/>
            <w:vMerge w:val="restart"/>
            <w:vAlign w:val="center"/>
          </w:tcPr>
          <w:p w14:paraId="748954DD"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Treatment</w:t>
            </w:r>
          </w:p>
        </w:tc>
        <w:tc>
          <w:tcPr>
            <w:tcW w:w="3511" w:type="pct"/>
            <w:gridSpan w:val="6"/>
            <w:vAlign w:val="center"/>
          </w:tcPr>
          <w:p w14:paraId="53898557"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Mycelial radial growth after 4 days (in mm) and percent inhibition in mycelial growth of the test fungus</w:t>
            </w:r>
          </w:p>
        </w:tc>
      </w:tr>
      <w:tr w:rsidR="004815A1" w:rsidRPr="00792A44" w14:paraId="620D5192" w14:textId="77777777" w:rsidTr="004815A1">
        <w:trPr>
          <w:trHeight w:val="280"/>
        </w:trPr>
        <w:tc>
          <w:tcPr>
            <w:tcW w:w="319" w:type="pct"/>
            <w:vMerge/>
          </w:tcPr>
          <w:p w14:paraId="251F828D" w14:textId="77777777" w:rsidR="004815A1" w:rsidRPr="00792A44" w:rsidRDefault="004815A1" w:rsidP="00992306">
            <w:pPr>
              <w:jc w:val="center"/>
              <w:rPr>
                <w:rFonts w:ascii="Times New Roman" w:hAnsi="Times New Roman" w:cs="Times New Roman"/>
                <w:b/>
                <w:bCs/>
              </w:rPr>
            </w:pPr>
          </w:p>
        </w:tc>
        <w:tc>
          <w:tcPr>
            <w:tcW w:w="1170" w:type="pct"/>
            <w:vMerge/>
            <w:vAlign w:val="center"/>
          </w:tcPr>
          <w:p w14:paraId="44E0312A" w14:textId="3653684D" w:rsidR="004815A1" w:rsidRPr="00792A44" w:rsidRDefault="004815A1" w:rsidP="00992306">
            <w:pPr>
              <w:spacing w:beforeLines="60" w:before="144" w:afterLines="60" w:after="144"/>
              <w:jc w:val="center"/>
              <w:rPr>
                <w:rFonts w:ascii="Times New Roman" w:hAnsi="Times New Roman" w:cs="Times New Roman"/>
                <w:b/>
                <w:bCs/>
              </w:rPr>
            </w:pPr>
          </w:p>
        </w:tc>
        <w:tc>
          <w:tcPr>
            <w:tcW w:w="1177" w:type="pct"/>
            <w:gridSpan w:val="2"/>
            <w:vAlign w:val="center"/>
          </w:tcPr>
          <w:p w14:paraId="67CAFF35"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100ppm</w:t>
            </w:r>
          </w:p>
        </w:tc>
        <w:tc>
          <w:tcPr>
            <w:tcW w:w="1170" w:type="pct"/>
            <w:gridSpan w:val="2"/>
            <w:vAlign w:val="center"/>
          </w:tcPr>
          <w:p w14:paraId="71AD841E"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250ppm</w:t>
            </w:r>
          </w:p>
        </w:tc>
        <w:tc>
          <w:tcPr>
            <w:tcW w:w="1164" w:type="pct"/>
            <w:gridSpan w:val="2"/>
            <w:vAlign w:val="center"/>
          </w:tcPr>
          <w:p w14:paraId="28B27A5F" w14:textId="77777777" w:rsidR="004815A1" w:rsidRPr="00792A44" w:rsidRDefault="004815A1"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500ppm</w:t>
            </w:r>
          </w:p>
        </w:tc>
      </w:tr>
      <w:tr w:rsidR="004F55BC" w:rsidRPr="00792A44" w14:paraId="38FAE82C" w14:textId="77777777" w:rsidTr="004815A1">
        <w:tc>
          <w:tcPr>
            <w:tcW w:w="319" w:type="pct"/>
            <w:vMerge/>
          </w:tcPr>
          <w:p w14:paraId="33FF3DAF" w14:textId="77777777" w:rsidR="004F55BC" w:rsidRPr="00792A44" w:rsidRDefault="004F55BC" w:rsidP="00992306">
            <w:pPr>
              <w:jc w:val="center"/>
              <w:rPr>
                <w:rFonts w:ascii="Times New Roman" w:hAnsi="Times New Roman" w:cs="Times New Roman"/>
              </w:rPr>
            </w:pPr>
          </w:p>
        </w:tc>
        <w:tc>
          <w:tcPr>
            <w:tcW w:w="1170" w:type="pct"/>
            <w:vAlign w:val="center"/>
          </w:tcPr>
          <w:p w14:paraId="61EE2EC6"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Active ingredient</w:t>
            </w:r>
          </w:p>
        </w:tc>
        <w:tc>
          <w:tcPr>
            <w:tcW w:w="576" w:type="pct"/>
            <w:vAlign w:val="center"/>
          </w:tcPr>
          <w:p w14:paraId="098557B8"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00" w:type="pct"/>
            <w:vAlign w:val="center"/>
          </w:tcPr>
          <w:p w14:paraId="5B82F600"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c>
          <w:tcPr>
            <w:tcW w:w="560" w:type="pct"/>
            <w:vAlign w:val="center"/>
          </w:tcPr>
          <w:p w14:paraId="4A2434C4"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10" w:type="pct"/>
            <w:vAlign w:val="center"/>
          </w:tcPr>
          <w:p w14:paraId="6A092A14"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c>
          <w:tcPr>
            <w:tcW w:w="564" w:type="pct"/>
            <w:vAlign w:val="center"/>
          </w:tcPr>
          <w:p w14:paraId="7CA02A29"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Mycelial Growth (mm)</w:t>
            </w:r>
          </w:p>
        </w:tc>
        <w:tc>
          <w:tcPr>
            <w:tcW w:w="600" w:type="pct"/>
            <w:vAlign w:val="center"/>
          </w:tcPr>
          <w:p w14:paraId="277E727D"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Percent Inhibition (%)</w:t>
            </w:r>
          </w:p>
        </w:tc>
      </w:tr>
      <w:tr w:rsidR="004F55BC" w:rsidRPr="00792A44" w14:paraId="1229CBDF" w14:textId="77777777" w:rsidTr="004815A1">
        <w:tc>
          <w:tcPr>
            <w:tcW w:w="319" w:type="pct"/>
          </w:tcPr>
          <w:p w14:paraId="0CA9B3C2"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1</w:t>
            </w:r>
          </w:p>
        </w:tc>
        <w:tc>
          <w:tcPr>
            <w:tcW w:w="1170" w:type="pct"/>
            <w:vAlign w:val="center"/>
          </w:tcPr>
          <w:p w14:paraId="6561CFCC"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Propiconazole 25% EC</w:t>
            </w:r>
          </w:p>
        </w:tc>
        <w:tc>
          <w:tcPr>
            <w:tcW w:w="576" w:type="pct"/>
            <w:vAlign w:val="center"/>
          </w:tcPr>
          <w:p w14:paraId="746DB965"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15.00</w:t>
            </w:r>
          </w:p>
        </w:tc>
        <w:tc>
          <w:tcPr>
            <w:tcW w:w="600" w:type="pct"/>
            <w:vAlign w:val="center"/>
          </w:tcPr>
          <w:p w14:paraId="306E544C"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82.35</w:t>
            </w:r>
          </w:p>
        </w:tc>
        <w:tc>
          <w:tcPr>
            <w:tcW w:w="560" w:type="pct"/>
            <w:vAlign w:val="center"/>
          </w:tcPr>
          <w:p w14:paraId="13A4C426"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0.00</w:t>
            </w:r>
          </w:p>
        </w:tc>
        <w:tc>
          <w:tcPr>
            <w:tcW w:w="610" w:type="pct"/>
            <w:vAlign w:val="center"/>
          </w:tcPr>
          <w:p w14:paraId="3305A5CB"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4" w:type="pct"/>
            <w:vAlign w:val="center"/>
          </w:tcPr>
          <w:p w14:paraId="7AB63B3A"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0.00</w:t>
            </w:r>
          </w:p>
        </w:tc>
        <w:tc>
          <w:tcPr>
            <w:tcW w:w="600" w:type="pct"/>
            <w:vAlign w:val="center"/>
          </w:tcPr>
          <w:p w14:paraId="3C0B2225"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r>
      <w:tr w:rsidR="004F55BC" w:rsidRPr="00792A44" w14:paraId="0D0599BA" w14:textId="77777777" w:rsidTr="004815A1">
        <w:tc>
          <w:tcPr>
            <w:tcW w:w="319" w:type="pct"/>
          </w:tcPr>
          <w:p w14:paraId="687EE919"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2</w:t>
            </w:r>
          </w:p>
        </w:tc>
        <w:tc>
          <w:tcPr>
            <w:tcW w:w="1170" w:type="pct"/>
            <w:vAlign w:val="center"/>
          </w:tcPr>
          <w:p w14:paraId="67C16209"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Hexaconazole 5% SC</w:t>
            </w:r>
          </w:p>
        </w:tc>
        <w:tc>
          <w:tcPr>
            <w:tcW w:w="576" w:type="pct"/>
            <w:vAlign w:val="center"/>
          </w:tcPr>
          <w:p w14:paraId="00DADA13"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20.50</w:t>
            </w:r>
          </w:p>
        </w:tc>
        <w:tc>
          <w:tcPr>
            <w:tcW w:w="600" w:type="pct"/>
            <w:vAlign w:val="center"/>
          </w:tcPr>
          <w:p w14:paraId="66ECC678"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75.88</w:t>
            </w:r>
          </w:p>
        </w:tc>
        <w:tc>
          <w:tcPr>
            <w:tcW w:w="560" w:type="pct"/>
            <w:vAlign w:val="center"/>
          </w:tcPr>
          <w:p w14:paraId="2486D2F2"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11.00</w:t>
            </w:r>
          </w:p>
        </w:tc>
        <w:tc>
          <w:tcPr>
            <w:tcW w:w="610" w:type="pct"/>
            <w:vAlign w:val="center"/>
          </w:tcPr>
          <w:p w14:paraId="63575BB0"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87.06</w:t>
            </w:r>
          </w:p>
        </w:tc>
        <w:tc>
          <w:tcPr>
            <w:tcW w:w="564" w:type="pct"/>
            <w:vAlign w:val="center"/>
          </w:tcPr>
          <w:p w14:paraId="29655D9C"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6.33</w:t>
            </w:r>
          </w:p>
        </w:tc>
        <w:tc>
          <w:tcPr>
            <w:tcW w:w="600" w:type="pct"/>
            <w:vAlign w:val="center"/>
          </w:tcPr>
          <w:p w14:paraId="30C4E803"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92.55</w:t>
            </w:r>
          </w:p>
        </w:tc>
      </w:tr>
      <w:tr w:rsidR="004F55BC" w:rsidRPr="00792A44" w14:paraId="67F27B63" w14:textId="77777777" w:rsidTr="004815A1">
        <w:tc>
          <w:tcPr>
            <w:tcW w:w="319" w:type="pct"/>
          </w:tcPr>
          <w:p w14:paraId="2AE737DC"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3</w:t>
            </w:r>
          </w:p>
        </w:tc>
        <w:tc>
          <w:tcPr>
            <w:tcW w:w="1170" w:type="pct"/>
            <w:vAlign w:val="center"/>
          </w:tcPr>
          <w:p w14:paraId="0356AABF"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Tebuconazole 25.9% w/w EC</w:t>
            </w:r>
          </w:p>
        </w:tc>
        <w:tc>
          <w:tcPr>
            <w:tcW w:w="576" w:type="pct"/>
            <w:vAlign w:val="center"/>
          </w:tcPr>
          <w:p w14:paraId="2EE1213A"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0.00</w:t>
            </w:r>
          </w:p>
        </w:tc>
        <w:tc>
          <w:tcPr>
            <w:tcW w:w="600" w:type="pct"/>
            <w:vAlign w:val="center"/>
          </w:tcPr>
          <w:p w14:paraId="0DC47E9F"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0" w:type="pct"/>
            <w:vAlign w:val="center"/>
          </w:tcPr>
          <w:p w14:paraId="463A575A"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0.00</w:t>
            </w:r>
          </w:p>
        </w:tc>
        <w:tc>
          <w:tcPr>
            <w:tcW w:w="610" w:type="pct"/>
            <w:vAlign w:val="center"/>
          </w:tcPr>
          <w:p w14:paraId="4735FD5F"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4" w:type="pct"/>
            <w:vAlign w:val="center"/>
          </w:tcPr>
          <w:p w14:paraId="7D461201"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0.00</w:t>
            </w:r>
          </w:p>
        </w:tc>
        <w:tc>
          <w:tcPr>
            <w:tcW w:w="600" w:type="pct"/>
            <w:vAlign w:val="center"/>
          </w:tcPr>
          <w:p w14:paraId="042DB12B"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r>
      <w:tr w:rsidR="004F55BC" w:rsidRPr="00792A44" w14:paraId="4C88EDD5" w14:textId="77777777" w:rsidTr="004815A1">
        <w:tc>
          <w:tcPr>
            <w:tcW w:w="319" w:type="pct"/>
          </w:tcPr>
          <w:p w14:paraId="5C746AB7"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4</w:t>
            </w:r>
          </w:p>
        </w:tc>
        <w:tc>
          <w:tcPr>
            <w:tcW w:w="1170" w:type="pct"/>
            <w:vAlign w:val="center"/>
          </w:tcPr>
          <w:p w14:paraId="792EE1F1"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Carbendazim 50% WP</w:t>
            </w:r>
          </w:p>
        </w:tc>
        <w:tc>
          <w:tcPr>
            <w:tcW w:w="576" w:type="pct"/>
            <w:vAlign w:val="center"/>
          </w:tcPr>
          <w:p w14:paraId="169ED73C"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0.00</w:t>
            </w:r>
          </w:p>
        </w:tc>
        <w:tc>
          <w:tcPr>
            <w:tcW w:w="600" w:type="pct"/>
            <w:vAlign w:val="center"/>
          </w:tcPr>
          <w:p w14:paraId="66B3D5DD"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0" w:type="pct"/>
            <w:vAlign w:val="center"/>
          </w:tcPr>
          <w:p w14:paraId="1C205A8D"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0.00</w:t>
            </w:r>
          </w:p>
        </w:tc>
        <w:tc>
          <w:tcPr>
            <w:tcW w:w="610" w:type="pct"/>
            <w:vAlign w:val="center"/>
          </w:tcPr>
          <w:p w14:paraId="203E8FD8"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4" w:type="pct"/>
            <w:vAlign w:val="center"/>
          </w:tcPr>
          <w:p w14:paraId="1B2102ED"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0.00</w:t>
            </w:r>
          </w:p>
        </w:tc>
        <w:tc>
          <w:tcPr>
            <w:tcW w:w="600" w:type="pct"/>
            <w:vAlign w:val="center"/>
          </w:tcPr>
          <w:p w14:paraId="5C79ED14"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r>
      <w:tr w:rsidR="004F55BC" w:rsidRPr="00792A44" w14:paraId="5F350CC2" w14:textId="77777777" w:rsidTr="004815A1">
        <w:tc>
          <w:tcPr>
            <w:tcW w:w="319" w:type="pct"/>
          </w:tcPr>
          <w:p w14:paraId="3C18EEDA"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5</w:t>
            </w:r>
          </w:p>
        </w:tc>
        <w:tc>
          <w:tcPr>
            <w:tcW w:w="1170" w:type="pct"/>
            <w:vAlign w:val="center"/>
          </w:tcPr>
          <w:p w14:paraId="238FFF4F"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Mancozeb 75% WP</w:t>
            </w:r>
          </w:p>
        </w:tc>
        <w:tc>
          <w:tcPr>
            <w:tcW w:w="576" w:type="pct"/>
            <w:vAlign w:val="center"/>
          </w:tcPr>
          <w:p w14:paraId="66423291"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17.33</w:t>
            </w:r>
          </w:p>
        </w:tc>
        <w:tc>
          <w:tcPr>
            <w:tcW w:w="600" w:type="pct"/>
            <w:vAlign w:val="center"/>
          </w:tcPr>
          <w:p w14:paraId="149ADFB6"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79.61</w:t>
            </w:r>
          </w:p>
        </w:tc>
        <w:tc>
          <w:tcPr>
            <w:tcW w:w="560" w:type="pct"/>
            <w:vAlign w:val="center"/>
          </w:tcPr>
          <w:p w14:paraId="14850656"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0.00</w:t>
            </w:r>
          </w:p>
        </w:tc>
        <w:tc>
          <w:tcPr>
            <w:tcW w:w="610" w:type="pct"/>
            <w:vAlign w:val="center"/>
          </w:tcPr>
          <w:p w14:paraId="4E50D414"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c>
          <w:tcPr>
            <w:tcW w:w="564" w:type="pct"/>
            <w:vAlign w:val="center"/>
          </w:tcPr>
          <w:p w14:paraId="0DE4DE02"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0.00</w:t>
            </w:r>
          </w:p>
        </w:tc>
        <w:tc>
          <w:tcPr>
            <w:tcW w:w="600" w:type="pct"/>
            <w:vAlign w:val="center"/>
          </w:tcPr>
          <w:p w14:paraId="2025A4EE"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100.00</w:t>
            </w:r>
          </w:p>
        </w:tc>
      </w:tr>
      <w:tr w:rsidR="004F55BC" w:rsidRPr="00792A44" w14:paraId="0CC10559" w14:textId="77777777" w:rsidTr="004815A1">
        <w:tc>
          <w:tcPr>
            <w:tcW w:w="319" w:type="pct"/>
          </w:tcPr>
          <w:p w14:paraId="11376790"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6</w:t>
            </w:r>
          </w:p>
        </w:tc>
        <w:tc>
          <w:tcPr>
            <w:tcW w:w="1170" w:type="pct"/>
            <w:vAlign w:val="center"/>
          </w:tcPr>
          <w:p w14:paraId="158CC72C"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Pyraclostrobin 20% WG</w:t>
            </w:r>
          </w:p>
        </w:tc>
        <w:tc>
          <w:tcPr>
            <w:tcW w:w="576" w:type="pct"/>
            <w:vAlign w:val="center"/>
          </w:tcPr>
          <w:p w14:paraId="54C19DE1"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22.67</w:t>
            </w:r>
          </w:p>
        </w:tc>
        <w:tc>
          <w:tcPr>
            <w:tcW w:w="600" w:type="pct"/>
            <w:vAlign w:val="center"/>
          </w:tcPr>
          <w:p w14:paraId="22D291BD"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73.33</w:t>
            </w:r>
          </w:p>
        </w:tc>
        <w:tc>
          <w:tcPr>
            <w:tcW w:w="560" w:type="pct"/>
            <w:vAlign w:val="center"/>
          </w:tcPr>
          <w:p w14:paraId="032DC0B4"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21.33</w:t>
            </w:r>
          </w:p>
        </w:tc>
        <w:tc>
          <w:tcPr>
            <w:tcW w:w="610" w:type="pct"/>
            <w:vAlign w:val="center"/>
          </w:tcPr>
          <w:p w14:paraId="0D465FFB"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74.90</w:t>
            </w:r>
          </w:p>
        </w:tc>
        <w:tc>
          <w:tcPr>
            <w:tcW w:w="564" w:type="pct"/>
            <w:vAlign w:val="center"/>
          </w:tcPr>
          <w:p w14:paraId="5FDCE891"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19.17</w:t>
            </w:r>
          </w:p>
        </w:tc>
        <w:tc>
          <w:tcPr>
            <w:tcW w:w="600" w:type="pct"/>
            <w:vAlign w:val="center"/>
          </w:tcPr>
          <w:p w14:paraId="38D2DEFB"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77.45</w:t>
            </w:r>
          </w:p>
        </w:tc>
      </w:tr>
      <w:tr w:rsidR="004F55BC" w:rsidRPr="00792A44" w14:paraId="2816AA61" w14:textId="77777777" w:rsidTr="004815A1">
        <w:tc>
          <w:tcPr>
            <w:tcW w:w="319" w:type="pct"/>
          </w:tcPr>
          <w:p w14:paraId="63F6E9B7" w14:textId="77777777" w:rsidR="004F55BC" w:rsidRPr="00792A44" w:rsidRDefault="004F55BC" w:rsidP="00992306">
            <w:pPr>
              <w:spacing w:beforeLines="60" w:before="144" w:afterLines="60" w:after="144"/>
              <w:jc w:val="center"/>
              <w:rPr>
                <w:rFonts w:ascii="Times New Roman" w:hAnsi="Times New Roman" w:cs="Times New Roman"/>
                <w:b/>
                <w:bCs/>
              </w:rPr>
            </w:pPr>
            <w:r w:rsidRPr="00792A44">
              <w:rPr>
                <w:rFonts w:ascii="Times New Roman" w:hAnsi="Times New Roman" w:cs="Times New Roman"/>
                <w:b/>
                <w:bCs/>
              </w:rPr>
              <w:t>T</w:t>
            </w:r>
            <w:r w:rsidRPr="00792A44">
              <w:rPr>
                <w:rFonts w:ascii="Times New Roman" w:hAnsi="Times New Roman" w:cs="Times New Roman"/>
                <w:b/>
                <w:bCs/>
                <w:vertAlign w:val="subscript"/>
              </w:rPr>
              <w:t>7</w:t>
            </w:r>
          </w:p>
        </w:tc>
        <w:tc>
          <w:tcPr>
            <w:tcW w:w="1170" w:type="pct"/>
            <w:vAlign w:val="center"/>
          </w:tcPr>
          <w:p w14:paraId="12710F23"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Control</w:t>
            </w:r>
          </w:p>
        </w:tc>
        <w:tc>
          <w:tcPr>
            <w:tcW w:w="576" w:type="pct"/>
            <w:vAlign w:val="center"/>
          </w:tcPr>
          <w:p w14:paraId="165E7CA5" w14:textId="77777777" w:rsidR="004F55BC" w:rsidRPr="00792A44" w:rsidRDefault="004F55BC" w:rsidP="00992306">
            <w:pPr>
              <w:spacing w:beforeLines="60" w:before="144" w:afterLines="60" w:after="144"/>
              <w:jc w:val="center"/>
              <w:rPr>
                <w:rFonts w:ascii="Times New Roman" w:hAnsi="Times New Roman" w:cs="Times New Roman"/>
                <w:color w:val="000000"/>
              </w:rPr>
            </w:pPr>
            <w:r w:rsidRPr="00792A44">
              <w:rPr>
                <w:rFonts w:ascii="Times New Roman" w:hAnsi="Times New Roman" w:cs="Times New Roman"/>
                <w:color w:val="000000"/>
              </w:rPr>
              <w:t>85.00</w:t>
            </w:r>
          </w:p>
        </w:tc>
        <w:tc>
          <w:tcPr>
            <w:tcW w:w="600" w:type="pct"/>
            <w:vAlign w:val="center"/>
          </w:tcPr>
          <w:p w14:paraId="41E091FE"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w:t>
            </w:r>
          </w:p>
        </w:tc>
        <w:tc>
          <w:tcPr>
            <w:tcW w:w="560" w:type="pct"/>
            <w:vAlign w:val="center"/>
          </w:tcPr>
          <w:p w14:paraId="5F4DA51F"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85.00</w:t>
            </w:r>
          </w:p>
        </w:tc>
        <w:tc>
          <w:tcPr>
            <w:tcW w:w="610" w:type="pct"/>
            <w:vAlign w:val="center"/>
          </w:tcPr>
          <w:p w14:paraId="40C48D06"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w:t>
            </w:r>
          </w:p>
        </w:tc>
        <w:tc>
          <w:tcPr>
            <w:tcW w:w="564" w:type="pct"/>
            <w:vAlign w:val="center"/>
          </w:tcPr>
          <w:p w14:paraId="4F62F532"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85.00</w:t>
            </w:r>
          </w:p>
        </w:tc>
        <w:tc>
          <w:tcPr>
            <w:tcW w:w="600" w:type="pct"/>
            <w:vAlign w:val="center"/>
          </w:tcPr>
          <w:p w14:paraId="22656D16"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w:t>
            </w:r>
          </w:p>
        </w:tc>
      </w:tr>
      <w:tr w:rsidR="004F55BC" w:rsidRPr="00792A44" w14:paraId="4509ECE5" w14:textId="77777777" w:rsidTr="004815A1">
        <w:tc>
          <w:tcPr>
            <w:tcW w:w="319" w:type="pct"/>
          </w:tcPr>
          <w:p w14:paraId="0893065C" w14:textId="77777777" w:rsidR="004F55BC" w:rsidRPr="00792A44" w:rsidRDefault="004F55BC" w:rsidP="00992306">
            <w:pPr>
              <w:spacing w:beforeLines="60" w:before="144" w:afterLines="60" w:after="144"/>
              <w:jc w:val="center"/>
              <w:rPr>
                <w:rFonts w:ascii="Times New Roman" w:hAnsi="Times New Roman" w:cs="Times New Roman"/>
              </w:rPr>
            </w:pPr>
          </w:p>
        </w:tc>
        <w:tc>
          <w:tcPr>
            <w:tcW w:w="1170" w:type="pct"/>
            <w:vAlign w:val="center"/>
          </w:tcPr>
          <w:p w14:paraId="0B67B6F7"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CD at 5%</w:t>
            </w:r>
          </w:p>
        </w:tc>
        <w:tc>
          <w:tcPr>
            <w:tcW w:w="576" w:type="pct"/>
            <w:vAlign w:val="center"/>
          </w:tcPr>
          <w:p w14:paraId="24E2D668"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1.32</w:t>
            </w:r>
          </w:p>
        </w:tc>
        <w:tc>
          <w:tcPr>
            <w:tcW w:w="600" w:type="pct"/>
            <w:vAlign w:val="center"/>
          </w:tcPr>
          <w:p w14:paraId="2D4821DC"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1.71</w:t>
            </w:r>
          </w:p>
        </w:tc>
        <w:tc>
          <w:tcPr>
            <w:tcW w:w="560" w:type="pct"/>
            <w:vAlign w:val="center"/>
          </w:tcPr>
          <w:p w14:paraId="4347B2BD"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0.84</w:t>
            </w:r>
          </w:p>
        </w:tc>
        <w:tc>
          <w:tcPr>
            <w:tcW w:w="610" w:type="pct"/>
            <w:vAlign w:val="center"/>
          </w:tcPr>
          <w:p w14:paraId="30A0D0E1" w14:textId="77777777" w:rsidR="004F55BC" w:rsidRPr="00792A44" w:rsidRDefault="004F55BC" w:rsidP="00992306">
            <w:pPr>
              <w:spacing w:beforeLines="60" w:before="144" w:afterLines="60" w:after="144"/>
              <w:jc w:val="center"/>
              <w:rPr>
                <w:rFonts w:ascii="Times New Roman" w:hAnsi="Times New Roman" w:cs="Times New Roman"/>
                <w:color w:val="333333"/>
              </w:rPr>
            </w:pPr>
            <w:r w:rsidRPr="00792A44">
              <w:rPr>
                <w:rFonts w:ascii="Times New Roman" w:hAnsi="Times New Roman" w:cs="Times New Roman"/>
                <w:color w:val="333333"/>
              </w:rPr>
              <w:t>1.09</w:t>
            </w:r>
          </w:p>
        </w:tc>
        <w:tc>
          <w:tcPr>
            <w:tcW w:w="564" w:type="pct"/>
            <w:vAlign w:val="center"/>
          </w:tcPr>
          <w:p w14:paraId="247A27E0" w14:textId="77777777" w:rsidR="004F55BC" w:rsidRPr="00792A44" w:rsidRDefault="004F55BC" w:rsidP="00992306">
            <w:pPr>
              <w:spacing w:beforeLines="60" w:before="144" w:afterLines="60" w:after="144"/>
              <w:jc w:val="center"/>
              <w:rPr>
                <w:rFonts w:ascii="Times New Roman" w:hAnsi="Times New Roman" w:cs="Times New Roman"/>
                <w:color w:val="333333"/>
              </w:rPr>
            </w:pPr>
            <w:r w:rsidRPr="00792A44">
              <w:rPr>
                <w:rFonts w:ascii="Times New Roman" w:hAnsi="Times New Roman" w:cs="Times New Roman"/>
                <w:color w:val="333333"/>
              </w:rPr>
              <w:t>0.93</w:t>
            </w:r>
          </w:p>
        </w:tc>
        <w:tc>
          <w:tcPr>
            <w:tcW w:w="600" w:type="pct"/>
            <w:vAlign w:val="center"/>
          </w:tcPr>
          <w:p w14:paraId="7D587192"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1.20</w:t>
            </w:r>
          </w:p>
        </w:tc>
      </w:tr>
      <w:tr w:rsidR="004F55BC" w:rsidRPr="00792A44" w14:paraId="157EFE31" w14:textId="77777777" w:rsidTr="004815A1">
        <w:tc>
          <w:tcPr>
            <w:tcW w:w="319" w:type="pct"/>
          </w:tcPr>
          <w:p w14:paraId="28D1D49A" w14:textId="77777777" w:rsidR="004F55BC" w:rsidRPr="00792A44" w:rsidRDefault="004F55BC" w:rsidP="00992306">
            <w:pPr>
              <w:spacing w:beforeLines="60" w:before="144" w:afterLines="60" w:after="144"/>
              <w:jc w:val="center"/>
              <w:rPr>
                <w:rFonts w:ascii="Times New Roman" w:hAnsi="Times New Roman" w:cs="Times New Roman"/>
              </w:rPr>
            </w:pPr>
          </w:p>
        </w:tc>
        <w:tc>
          <w:tcPr>
            <w:tcW w:w="1170" w:type="pct"/>
            <w:vAlign w:val="center"/>
          </w:tcPr>
          <w:p w14:paraId="14D5CF65"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rPr>
              <w:t xml:space="preserve">SE(m) </w:t>
            </w:r>
            <w:r w:rsidRPr="00792A44">
              <w:rPr>
                <w:rFonts w:ascii="Times New Roman" w:hAnsi="Times New Roman" w:cs="Times New Roman"/>
                <w:color w:val="000000"/>
              </w:rPr>
              <w:t>±</w:t>
            </w:r>
          </w:p>
        </w:tc>
        <w:tc>
          <w:tcPr>
            <w:tcW w:w="576" w:type="pct"/>
            <w:vAlign w:val="center"/>
          </w:tcPr>
          <w:p w14:paraId="6982190D"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0.43</w:t>
            </w:r>
          </w:p>
        </w:tc>
        <w:tc>
          <w:tcPr>
            <w:tcW w:w="600" w:type="pct"/>
            <w:vAlign w:val="center"/>
          </w:tcPr>
          <w:p w14:paraId="3F07ECE0"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0.55</w:t>
            </w:r>
          </w:p>
        </w:tc>
        <w:tc>
          <w:tcPr>
            <w:tcW w:w="560" w:type="pct"/>
            <w:vAlign w:val="center"/>
          </w:tcPr>
          <w:p w14:paraId="2E172F75"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0.28</w:t>
            </w:r>
          </w:p>
        </w:tc>
        <w:tc>
          <w:tcPr>
            <w:tcW w:w="610" w:type="pct"/>
            <w:vAlign w:val="center"/>
          </w:tcPr>
          <w:p w14:paraId="4A846C6D"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0.35</w:t>
            </w:r>
          </w:p>
        </w:tc>
        <w:tc>
          <w:tcPr>
            <w:tcW w:w="564" w:type="pct"/>
            <w:vAlign w:val="center"/>
          </w:tcPr>
          <w:p w14:paraId="55407208"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000000"/>
              </w:rPr>
              <w:t>0.30</w:t>
            </w:r>
          </w:p>
        </w:tc>
        <w:tc>
          <w:tcPr>
            <w:tcW w:w="600" w:type="pct"/>
            <w:vAlign w:val="center"/>
          </w:tcPr>
          <w:p w14:paraId="24636DFB" w14:textId="77777777" w:rsidR="004F55BC" w:rsidRPr="00792A44" w:rsidRDefault="004F55BC" w:rsidP="00992306">
            <w:pPr>
              <w:spacing w:beforeLines="60" w:before="144" w:afterLines="60" w:after="144"/>
              <w:jc w:val="center"/>
              <w:rPr>
                <w:rFonts w:ascii="Times New Roman" w:hAnsi="Times New Roman" w:cs="Times New Roman"/>
              </w:rPr>
            </w:pPr>
            <w:r w:rsidRPr="00792A44">
              <w:rPr>
                <w:rFonts w:ascii="Times New Roman" w:hAnsi="Times New Roman" w:cs="Times New Roman"/>
                <w:color w:val="333333"/>
              </w:rPr>
              <w:t>0.38</w:t>
            </w:r>
          </w:p>
        </w:tc>
      </w:tr>
    </w:tbl>
    <w:p w14:paraId="391E632C" w14:textId="1AB4D48D" w:rsidR="000F7C8B" w:rsidRDefault="000F7C8B" w:rsidP="004F55BC">
      <w:pPr>
        <w:spacing w:before="120" w:after="240" w:line="360" w:lineRule="auto"/>
        <w:jc w:val="both"/>
        <w:rPr>
          <w:rFonts w:ascii="Times New Roman" w:hAnsi="Times New Roman" w:cs="Times New Roman"/>
        </w:rPr>
      </w:pPr>
    </w:p>
    <w:p w14:paraId="20D376EC" w14:textId="77777777" w:rsidR="000F7C8B" w:rsidRDefault="000F7C8B" w:rsidP="004F55BC">
      <w:pPr>
        <w:spacing w:before="120" w:after="240" w:line="360" w:lineRule="auto"/>
        <w:jc w:val="both"/>
        <w:rPr>
          <w:rFonts w:ascii="Times New Roman" w:hAnsi="Times New Roman" w:cs="Times New Roman"/>
        </w:rPr>
      </w:pPr>
      <w:r>
        <w:rPr>
          <w:rFonts w:ascii="Times New Roman" w:hAnsi="Times New Roman" w:cs="Times New Roman"/>
        </w:rPr>
        <w:br w:type="column"/>
      </w:r>
    </w:p>
    <w:tbl>
      <w:tblPr>
        <w:tblStyle w:val="TableGrid"/>
        <w:tblW w:w="0" w:type="auto"/>
        <w:tblInd w:w="-5" w:type="dxa"/>
        <w:tblLook w:val="04A0" w:firstRow="1" w:lastRow="0" w:firstColumn="1" w:lastColumn="0" w:noHBand="0" w:noVBand="1"/>
      </w:tblPr>
      <w:tblGrid>
        <w:gridCol w:w="9016"/>
      </w:tblGrid>
      <w:tr w:rsidR="000F7C8B" w14:paraId="10782B47" w14:textId="77777777" w:rsidTr="000F7C8B">
        <w:tc>
          <w:tcPr>
            <w:tcW w:w="9016" w:type="dxa"/>
          </w:tcPr>
          <w:p w14:paraId="6B860B9B" w14:textId="77777777" w:rsidR="000F7C8B" w:rsidRDefault="000F7C8B" w:rsidP="00B41376">
            <w:pPr>
              <w:spacing w:line="360" w:lineRule="auto"/>
              <w:jc w:val="center"/>
              <w:rPr>
                <w:rFonts w:ascii="Times New Roman" w:hAnsi="Times New Roman" w:cs="Times New Roman"/>
              </w:rPr>
            </w:pPr>
            <w:r>
              <w:rPr>
                <w:noProof/>
              </w:rPr>
              <w:drawing>
                <wp:inline distT="0" distB="0" distL="0" distR="0" wp14:anchorId="1C109687" wp14:editId="436B6FBE">
                  <wp:extent cx="966270" cy="2181739"/>
                  <wp:effectExtent l="0" t="0" r="0" b="3175"/>
                  <wp:docPr id="42230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08906" name=""/>
                          <pic:cNvPicPr/>
                        </pic:nvPicPr>
                        <pic:blipFill rotWithShape="1">
                          <a:blip r:embed="rId7"/>
                          <a:srcRect l="4910" t="4571" r="78217" b="18133"/>
                          <a:stretch/>
                        </pic:blipFill>
                        <pic:spPr bwMode="auto">
                          <a:xfrm>
                            <a:off x="0" y="0"/>
                            <a:ext cx="967056" cy="2183514"/>
                          </a:xfrm>
                          <a:prstGeom prst="rect">
                            <a:avLst/>
                          </a:prstGeom>
                          <a:ln>
                            <a:noFill/>
                          </a:ln>
                          <a:extLst>
                            <a:ext uri="{53640926-AAD7-44D8-BBD7-CCE9431645EC}">
                              <a14:shadowObscured xmlns:a14="http://schemas.microsoft.com/office/drawing/2010/main"/>
                            </a:ext>
                          </a:extLst>
                        </pic:spPr>
                      </pic:pic>
                    </a:graphicData>
                  </a:graphic>
                </wp:inline>
              </w:drawing>
            </w:r>
          </w:p>
        </w:tc>
      </w:tr>
      <w:tr w:rsidR="000F7C8B" w14:paraId="262CB460" w14:textId="77777777" w:rsidTr="000F7C8B">
        <w:tc>
          <w:tcPr>
            <w:tcW w:w="9016" w:type="dxa"/>
          </w:tcPr>
          <w:p w14:paraId="6D2100E8" w14:textId="77777777" w:rsidR="000F7C8B" w:rsidRDefault="000F7C8B" w:rsidP="00B41376">
            <w:pPr>
              <w:spacing w:before="120" w:after="240" w:line="360" w:lineRule="auto"/>
              <w:jc w:val="both"/>
              <w:rPr>
                <w:rFonts w:ascii="Times New Roman" w:hAnsi="Times New Roman" w:cs="Times New Roman"/>
              </w:rPr>
            </w:pPr>
            <w:r w:rsidRPr="00792A44">
              <w:rPr>
                <w:rFonts w:ascii="Times New Roman" w:hAnsi="Times New Roman" w:cs="Times New Roman"/>
                <w:b/>
                <w:bCs/>
              </w:rPr>
              <w:t>Fi</w:t>
            </w:r>
            <w:r>
              <w:rPr>
                <w:rFonts w:ascii="Times New Roman" w:hAnsi="Times New Roman" w:cs="Times New Roman"/>
                <w:b/>
                <w:bCs/>
              </w:rPr>
              <w:t>g.</w:t>
            </w:r>
            <w:r w:rsidRPr="00792A44">
              <w:rPr>
                <w:rFonts w:ascii="Times New Roman" w:hAnsi="Times New Roman" w:cs="Times New Roman"/>
                <w:b/>
                <w:bCs/>
              </w:rPr>
              <w:t xml:space="preserve"> </w:t>
            </w:r>
            <w:r>
              <w:rPr>
                <w:rFonts w:ascii="Times New Roman" w:hAnsi="Times New Roman" w:cs="Times New Roman"/>
                <w:b/>
                <w:bCs/>
              </w:rPr>
              <w:t>1</w:t>
            </w:r>
            <w:r w:rsidRPr="00792A44">
              <w:rPr>
                <w:rFonts w:ascii="Times New Roman" w:hAnsi="Times New Roman" w:cs="Times New Roman"/>
                <w:b/>
                <w:bCs/>
              </w:rPr>
              <w:t xml:space="preserve">. </w:t>
            </w:r>
            <w:r w:rsidRPr="006B4D9B">
              <w:rPr>
                <w:rFonts w:ascii="Times New Roman" w:hAnsi="Times New Roman" w:cs="Times New Roman"/>
                <w:b/>
                <w:bCs/>
                <w:sz w:val="24"/>
                <w:szCs w:val="24"/>
              </w:rPr>
              <w:t xml:space="preserve">PCR amplification of </w:t>
            </w:r>
            <w:r w:rsidRPr="006B4D9B">
              <w:rPr>
                <w:rFonts w:ascii="Times New Roman" w:hAnsi="Times New Roman" w:cs="Times New Roman"/>
                <w:b/>
                <w:bCs/>
                <w:i/>
                <w:iCs/>
                <w:sz w:val="24"/>
                <w:szCs w:val="24"/>
              </w:rPr>
              <w:t>ITS</w:t>
            </w:r>
            <w:r w:rsidRPr="006B4D9B">
              <w:rPr>
                <w:rFonts w:ascii="Times New Roman" w:hAnsi="Times New Roman" w:cs="Times New Roman"/>
                <w:b/>
                <w:bCs/>
                <w:sz w:val="24"/>
                <w:szCs w:val="24"/>
              </w:rPr>
              <w:t xml:space="preserve"> region of </w:t>
            </w:r>
            <w:r w:rsidRPr="006B4D9B">
              <w:rPr>
                <w:rFonts w:ascii="Times New Roman" w:hAnsi="Times New Roman" w:cs="Times New Roman"/>
                <w:b/>
                <w:bCs/>
                <w:i/>
                <w:iCs/>
                <w:sz w:val="24"/>
                <w:szCs w:val="24"/>
              </w:rPr>
              <w:t>M. phaseolina</w:t>
            </w:r>
            <w:r w:rsidRPr="006B4D9B">
              <w:rPr>
                <w:rFonts w:ascii="Times New Roman" w:hAnsi="Times New Roman" w:cs="Times New Roman"/>
                <w:b/>
                <w:bCs/>
                <w:sz w:val="24"/>
                <w:szCs w:val="24"/>
              </w:rPr>
              <w:t xml:space="preserve"> using </w:t>
            </w:r>
            <w:r w:rsidRPr="006B4D9B">
              <w:rPr>
                <w:rFonts w:ascii="Times New Roman" w:hAnsi="Times New Roman" w:cs="Times New Roman"/>
                <w:b/>
                <w:bCs/>
                <w:i/>
                <w:iCs/>
                <w:sz w:val="24"/>
                <w:szCs w:val="24"/>
              </w:rPr>
              <w:t>ITS1</w:t>
            </w:r>
            <w:r w:rsidRPr="006B4D9B">
              <w:rPr>
                <w:rFonts w:ascii="Times New Roman" w:hAnsi="Times New Roman" w:cs="Times New Roman"/>
                <w:b/>
                <w:bCs/>
                <w:sz w:val="24"/>
                <w:szCs w:val="24"/>
              </w:rPr>
              <w:t xml:space="preserve"> and </w:t>
            </w:r>
            <w:r w:rsidRPr="006B4D9B">
              <w:rPr>
                <w:rFonts w:ascii="Times New Roman" w:hAnsi="Times New Roman" w:cs="Times New Roman"/>
                <w:b/>
                <w:bCs/>
                <w:i/>
                <w:iCs/>
                <w:sz w:val="24"/>
                <w:szCs w:val="24"/>
              </w:rPr>
              <w:t>ITS</w:t>
            </w:r>
            <w:r w:rsidRPr="006B4D9B">
              <w:rPr>
                <w:rFonts w:ascii="Times New Roman" w:hAnsi="Times New Roman" w:cs="Times New Roman"/>
                <w:b/>
                <w:bCs/>
                <w:sz w:val="24"/>
                <w:szCs w:val="24"/>
              </w:rPr>
              <w:t xml:space="preserve"> 4 primer pairs. M: 100bp Ladder; 1</w:t>
            </w:r>
            <w:r>
              <w:rPr>
                <w:rFonts w:ascii="Times New Roman" w:hAnsi="Times New Roman" w:cs="Times New Roman"/>
                <w:b/>
                <w:bCs/>
                <w:sz w:val="24"/>
                <w:szCs w:val="24"/>
              </w:rPr>
              <w:t xml:space="preserve">: </w:t>
            </w:r>
            <w:r w:rsidRPr="006B4D9B">
              <w:rPr>
                <w:rFonts w:ascii="Times New Roman" w:hAnsi="Times New Roman" w:cs="Times New Roman"/>
                <w:b/>
                <w:bCs/>
                <w:i/>
                <w:iCs/>
                <w:sz w:val="24"/>
                <w:szCs w:val="24"/>
              </w:rPr>
              <w:t>ITS</w:t>
            </w:r>
            <w:r>
              <w:rPr>
                <w:rFonts w:ascii="Times New Roman" w:hAnsi="Times New Roman" w:cs="Times New Roman"/>
                <w:b/>
                <w:bCs/>
                <w:sz w:val="24"/>
                <w:szCs w:val="24"/>
              </w:rPr>
              <w:t xml:space="preserve"> amplicon of </w:t>
            </w:r>
            <w:r w:rsidRPr="006B4D9B">
              <w:rPr>
                <w:rFonts w:ascii="Times New Roman" w:hAnsi="Times New Roman" w:cs="Times New Roman"/>
                <w:b/>
                <w:bCs/>
                <w:i/>
                <w:iCs/>
                <w:sz w:val="24"/>
                <w:szCs w:val="24"/>
              </w:rPr>
              <w:t>M. phaseolina</w:t>
            </w:r>
            <w:r>
              <w:rPr>
                <w:rFonts w:ascii="Times New Roman" w:hAnsi="Times New Roman" w:cs="Times New Roman"/>
                <w:b/>
                <w:bCs/>
                <w:i/>
                <w:iCs/>
                <w:sz w:val="24"/>
                <w:szCs w:val="24"/>
              </w:rPr>
              <w:t>.</w:t>
            </w:r>
          </w:p>
        </w:tc>
      </w:tr>
    </w:tbl>
    <w:p w14:paraId="2C281D39" w14:textId="3418D933" w:rsidR="000F7C8B" w:rsidRDefault="000F7C8B"/>
    <w:p w14:paraId="09AFB0A8" w14:textId="77777777" w:rsidR="000F7C8B" w:rsidRDefault="000F7C8B">
      <w: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F55BC" w:rsidRPr="00792A44" w14:paraId="038083DD" w14:textId="77777777" w:rsidTr="000F7C8B">
        <w:tc>
          <w:tcPr>
            <w:tcW w:w="9016" w:type="dxa"/>
          </w:tcPr>
          <w:p w14:paraId="5F09514B" w14:textId="34EA3142" w:rsidR="004F55BC" w:rsidRPr="00792A44" w:rsidRDefault="004F55BC" w:rsidP="00EB372A">
            <w:pPr>
              <w:spacing w:line="360" w:lineRule="auto"/>
              <w:jc w:val="both"/>
              <w:rPr>
                <w:rFonts w:ascii="Times New Roman" w:hAnsi="Times New Roman" w:cs="Times New Roman"/>
              </w:rPr>
            </w:pPr>
            <w:r w:rsidRPr="00792A44">
              <w:rPr>
                <w:rFonts w:ascii="Times New Roman" w:hAnsi="Times New Roman" w:cs="Times New Roman"/>
              </w:rPr>
              <w:br w:type="column"/>
            </w:r>
            <w:r w:rsidR="008565AE" w:rsidRPr="00792A44">
              <w:rPr>
                <w:rFonts w:ascii="Times New Roman" w:hAnsi="Times New Roman" w:cs="Times New Roman"/>
                <w:noProof/>
              </w:rPr>
              <w:drawing>
                <wp:inline distT="0" distB="0" distL="0" distR="0" wp14:anchorId="32B63E85" wp14:editId="3D5EBCC1">
                  <wp:extent cx="5445034" cy="3456000"/>
                  <wp:effectExtent l="0" t="0" r="3810" b="3810"/>
                  <wp:docPr id="64060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0106" name="Picture 64060106"/>
                          <pic:cNvPicPr/>
                        </pic:nvPicPr>
                        <pic:blipFill>
                          <a:blip r:embed="rId8" cstate="screen">
                            <a:extLst>
                              <a:ext uri="{28A0092B-C50C-407E-A947-70E740481C1C}">
                                <a14:useLocalDpi xmlns:a14="http://schemas.microsoft.com/office/drawing/2010/main"/>
                              </a:ext>
                            </a:extLst>
                          </a:blip>
                          <a:stretch>
                            <a:fillRect/>
                          </a:stretch>
                        </pic:blipFill>
                        <pic:spPr>
                          <a:xfrm>
                            <a:off x="0" y="0"/>
                            <a:ext cx="5445034" cy="3456000"/>
                          </a:xfrm>
                          <a:prstGeom prst="rect">
                            <a:avLst/>
                          </a:prstGeom>
                        </pic:spPr>
                      </pic:pic>
                    </a:graphicData>
                  </a:graphic>
                </wp:inline>
              </w:drawing>
            </w:r>
          </w:p>
        </w:tc>
      </w:tr>
      <w:tr w:rsidR="004F55BC" w:rsidRPr="00792A44" w14:paraId="26D7427A" w14:textId="77777777" w:rsidTr="000F7C8B">
        <w:tc>
          <w:tcPr>
            <w:tcW w:w="9016" w:type="dxa"/>
          </w:tcPr>
          <w:p w14:paraId="744F720D" w14:textId="72EB5C2C" w:rsidR="004F55BC" w:rsidRPr="00792A44" w:rsidRDefault="004F55BC" w:rsidP="006A5632">
            <w:pPr>
              <w:spacing w:line="276" w:lineRule="auto"/>
              <w:jc w:val="both"/>
              <w:rPr>
                <w:rFonts w:ascii="Times New Roman" w:hAnsi="Times New Roman" w:cs="Times New Roman"/>
                <w:b/>
                <w:bCs/>
              </w:rPr>
            </w:pPr>
            <w:r w:rsidRPr="00792A44">
              <w:rPr>
                <w:rFonts w:ascii="Times New Roman" w:hAnsi="Times New Roman" w:cs="Times New Roman"/>
                <w:b/>
                <w:bCs/>
              </w:rPr>
              <w:t>Fig</w:t>
            </w:r>
            <w:r w:rsidR="001C61B0">
              <w:rPr>
                <w:rFonts w:ascii="Times New Roman" w:hAnsi="Times New Roman" w:cs="Times New Roman"/>
                <w:b/>
                <w:bCs/>
              </w:rPr>
              <w:t>.</w:t>
            </w:r>
            <w:r w:rsidRPr="00792A44">
              <w:rPr>
                <w:rFonts w:ascii="Times New Roman" w:hAnsi="Times New Roman" w:cs="Times New Roman"/>
                <w:b/>
                <w:bCs/>
              </w:rPr>
              <w:t xml:space="preserve"> </w:t>
            </w:r>
            <w:r w:rsidR="000F7C8B">
              <w:rPr>
                <w:rFonts w:ascii="Times New Roman" w:hAnsi="Times New Roman" w:cs="Times New Roman"/>
                <w:b/>
                <w:bCs/>
              </w:rPr>
              <w:t>2</w:t>
            </w:r>
            <w:r w:rsidRPr="00792A44">
              <w:rPr>
                <w:rFonts w:ascii="Times New Roman" w:hAnsi="Times New Roman" w:cs="Times New Roman"/>
                <w:b/>
                <w:bCs/>
              </w:rPr>
              <w:t xml:space="preserve">. Box plot showing the percent inhibition </w:t>
            </w:r>
            <w:r w:rsidR="006A5632" w:rsidRPr="00792A44">
              <w:rPr>
                <w:rFonts w:ascii="Times New Roman" w:hAnsi="Times New Roman" w:cs="Times New Roman"/>
                <w:b/>
                <w:bCs/>
              </w:rPr>
              <w:t xml:space="preserve">in growth </w:t>
            </w:r>
            <w:r w:rsidRPr="00792A44">
              <w:rPr>
                <w:rFonts w:ascii="Times New Roman" w:hAnsi="Times New Roman" w:cs="Times New Roman"/>
                <w:b/>
                <w:bCs/>
              </w:rPr>
              <w:t xml:space="preserve">of </w:t>
            </w:r>
            <w:r w:rsidRPr="00792A44">
              <w:rPr>
                <w:rFonts w:ascii="Times New Roman" w:hAnsi="Times New Roman" w:cs="Times New Roman"/>
                <w:b/>
                <w:bCs/>
                <w:i/>
                <w:iCs/>
              </w:rPr>
              <w:t>M. phaseolina</w:t>
            </w:r>
            <w:r w:rsidRPr="00792A44">
              <w:rPr>
                <w:rFonts w:ascii="Times New Roman" w:hAnsi="Times New Roman" w:cs="Times New Roman"/>
                <w:b/>
                <w:bCs/>
              </w:rPr>
              <w:t xml:space="preserve"> on potato dextrose agar (PDA)</w:t>
            </w:r>
            <w:r w:rsidR="008565AE" w:rsidRPr="00792A44">
              <w:rPr>
                <w:rFonts w:ascii="Times New Roman" w:hAnsi="Times New Roman" w:cs="Times New Roman"/>
                <w:b/>
                <w:bCs/>
              </w:rPr>
              <w:t xml:space="preserve"> medium</w:t>
            </w:r>
            <w:r w:rsidRPr="00792A44">
              <w:rPr>
                <w:rFonts w:ascii="Times New Roman" w:hAnsi="Times New Roman" w:cs="Times New Roman"/>
                <w:b/>
                <w:bCs/>
              </w:rPr>
              <w:t xml:space="preserve"> amended with three different concentration of six combination of fungicides.</w:t>
            </w:r>
          </w:p>
        </w:tc>
      </w:tr>
    </w:tbl>
    <w:p w14:paraId="7240104F" w14:textId="0AED092A" w:rsidR="001F58A7" w:rsidRPr="00792A44" w:rsidRDefault="001F58A7" w:rsidP="00EB372A">
      <w:pPr>
        <w:spacing w:before="120" w:line="360" w:lineRule="auto"/>
        <w:jc w:val="both"/>
        <w:rPr>
          <w:rFonts w:ascii="Times New Roman" w:hAnsi="Times New Roman" w:cs="Times New Roman"/>
        </w:rPr>
      </w:pPr>
    </w:p>
    <w:tbl>
      <w:tblPr>
        <w:tblStyle w:val="TableGrid"/>
        <w:tblW w:w="90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8565AE" w:rsidRPr="00792A44" w14:paraId="0F69632A" w14:textId="77777777" w:rsidTr="00752DAA">
        <w:tc>
          <w:tcPr>
            <w:tcW w:w="9031" w:type="dxa"/>
          </w:tcPr>
          <w:p w14:paraId="496DABEC" w14:textId="79AC3FC1" w:rsidR="008565AE" w:rsidRPr="00792A44" w:rsidRDefault="008565AE" w:rsidP="00EB372A">
            <w:pPr>
              <w:spacing w:line="360" w:lineRule="auto"/>
              <w:jc w:val="both"/>
              <w:rPr>
                <w:rFonts w:ascii="Times New Roman" w:hAnsi="Times New Roman" w:cs="Times New Roman"/>
              </w:rPr>
            </w:pPr>
            <w:r w:rsidRPr="00792A44">
              <w:rPr>
                <w:rFonts w:ascii="Times New Roman" w:hAnsi="Times New Roman" w:cs="Times New Roman"/>
              </w:rPr>
              <w:br w:type="column"/>
            </w:r>
            <w:r w:rsidRPr="00792A44">
              <w:rPr>
                <w:rFonts w:ascii="Times New Roman" w:hAnsi="Times New Roman" w:cs="Times New Roman"/>
                <w:noProof/>
              </w:rPr>
              <w:drawing>
                <wp:inline distT="0" distB="0" distL="0" distR="0" wp14:anchorId="6016D263" wp14:editId="0B731B1F">
                  <wp:extent cx="5324078" cy="3456000"/>
                  <wp:effectExtent l="0" t="0" r="0" b="0"/>
                  <wp:docPr id="1639758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58500" name="Picture 1639758500"/>
                          <pic:cNvPicPr/>
                        </pic:nvPicPr>
                        <pic:blipFill>
                          <a:blip r:embed="rId9" cstate="screen">
                            <a:extLst>
                              <a:ext uri="{28A0092B-C50C-407E-A947-70E740481C1C}">
                                <a14:useLocalDpi xmlns:a14="http://schemas.microsoft.com/office/drawing/2010/main"/>
                              </a:ext>
                            </a:extLst>
                          </a:blip>
                          <a:stretch>
                            <a:fillRect/>
                          </a:stretch>
                        </pic:blipFill>
                        <pic:spPr>
                          <a:xfrm>
                            <a:off x="0" y="0"/>
                            <a:ext cx="5324078" cy="3456000"/>
                          </a:xfrm>
                          <a:prstGeom prst="rect">
                            <a:avLst/>
                          </a:prstGeom>
                        </pic:spPr>
                      </pic:pic>
                    </a:graphicData>
                  </a:graphic>
                </wp:inline>
              </w:drawing>
            </w:r>
          </w:p>
        </w:tc>
      </w:tr>
      <w:tr w:rsidR="008565AE" w:rsidRPr="00792A44" w14:paraId="09568AED" w14:textId="77777777" w:rsidTr="00752DAA">
        <w:tc>
          <w:tcPr>
            <w:tcW w:w="9031" w:type="dxa"/>
          </w:tcPr>
          <w:p w14:paraId="590E0159" w14:textId="7A00E80C" w:rsidR="008565AE" w:rsidRPr="00792A44" w:rsidRDefault="008565AE" w:rsidP="006A5632">
            <w:pPr>
              <w:spacing w:line="276" w:lineRule="auto"/>
              <w:jc w:val="both"/>
              <w:rPr>
                <w:rFonts w:ascii="Times New Roman" w:hAnsi="Times New Roman" w:cs="Times New Roman"/>
                <w:b/>
                <w:bCs/>
              </w:rPr>
            </w:pPr>
            <w:r w:rsidRPr="00792A44">
              <w:rPr>
                <w:rFonts w:ascii="Times New Roman" w:hAnsi="Times New Roman" w:cs="Times New Roman"/>
                <w:b/>
                <w:bCs/>
              </w:rPr>
              <w:t>Fig</w:t>
            </w:r>
            <w:r w:rsidR="001C61B0">
              <w:rPr>
                <w:rFonts w:ascii="Times New Roman" w:hAnsi="Times New Roman" w:cs="Times New Roman"/>
                <w:b/>
                <w:bCs/>
              </w:rPr>
              <w:t>.</w:t>
            </w:r>
            <w:r w:rsidRPr="00792A44">
              <w:rPr>
                <w:rFonts w:ascii="Times New Roman" w:hAnsi="Times New Roman" w:cs="Times New Roman"/>
                <w:b/>
                <w:bCs/>
              </w:rPr>
              <w:t xml:space="preserve"> </w:t>
            </w:r>
            <w:r w:rsidR="000F7C8B">
              <w:rPr>
                <w:rFonts w:ascii="Times New Roman" w:hAnsi="Times New Roman" w:cs="Times New Roman"/>
                <w:b/>
                <w:bCs/>
              </w:rPr>
              <w:t>3</w:t>
            </w:r>
            <w:r w:rsidRPr="00792A44">
              <w:rPr>
                <w:rFonts w:ascii="Times New Roman" w:hAnsi="Times New Roman" w:cs="Times New Roman"/>
                <w:b/>
                <w:bCs/>
              </w:rPr>
              <w:t xml:space="preserve">. Box plot showing the percent inhibition </w:t>
            </w:r>
            <w:r w:rsidR="006A5632" w:rsidRPr="00792A44">
              <w:rPr>
                <w:rFonts w:ascii="Times New Roman" w:hAnsi="Times New Roman" w:cs="Times New Roman"/>
                <w:b/>
                <w:bCs/>
              </w:rPr>
              <w:t xml:space="preserve">in growth </w:t>
            </w:r>
            <w:r w:rsidRPr="00792A44">
              <w:rPr>
                <w:rFonts w:ascii="Times New Roman" w:hAnsi="Times New Roman" w:cs="Times New Roman"/>
                <w:b/>
                <w:bCs/>
              </w:rPr>
              <w:t xml:space="preserve">of </w:t>
            </w:r>
            <w:r w:rsidRPr="00792A44">
              <w:rPr>
                <w:rFonts w:ascii="Times New Roman" w:hAnsi="Times New Roman" w:cs="Times New Roman"/>
                <w:b/>
                <w:bCs/>
                <w:i/>
                <w:iCs/>
              </w:rPr>
              <w:t>M. phaseolina</w:t>
            </w:r>
            <w:r w:rsidRPr="00792A44">
              <w:rPr>
                <w:rFonts w:ascii="Times New Roman" w:hAnsi="Times New Roman" w:cs="Times New Roman"/>
                <w:b/>
                <w:bCs/>
              </w:rPr>
              <w:t xml:space="preserve"> on potato dextrose agar (PDA) medium amended with three different concentration of six single compound fungicides.</w:t>
            </w:r>
          </w:p>
        </w:tc>
      </w:tr>
    </w:tbl>
    <w:p w14:paraId="3ADA466D" w14:textId="7FB989CA" w:rsidR="00752DAA" w:rsidRPr="00792A44" w:rsidRDefault="00752DAA" w:rsidP="00752DAA">
      <w:pPr>
        <w:spacing w:before="120" w:after="240" w:line="360" w:lineRule="auto"/>
        <w:jc w:val="both"/>
        <w:rPr>
          <w:rFonts w:ascii="Times New Roman" w:hAnsi="Times New Roman" w:cs="Times New Roman"/>
        </w:rPr>
      </w:pPr>
      <w:r w:rsidRPr="00792A44">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49D5EF94" wp14:editId="2F54DB35">
                <wp:simplePos x="0" y="0"/>
                <wp:positionH relativeFrom="column">
                  <wp:posOffset>635</wp:posOffset>
                </wp:positionH>
                <wp:positionV relativeFrom="paragraph">
                  <wp:posOffset>4880279</wp:posOffset>
                </wp:positionV>
                <wp:extent cx="368300" cy="279400"/>
                <wp:effectExtent l="0" t="0" r="0" b="0"/>
                <wp:wrapNone/>
                <wp:docPr id="434583023" name="Text Box 1"/>
                <wp:cNvGraphicFramePr/>
                <a:graphic xmlns:a="http://schemas.openxmlformats.org/drawingml/2006/main">
                  <a:graphicData uri="http://schemas.microsoft.com/office/word/2010/wordprocessingShape">
                    <wps:wsp>
                      <wps:cNvSpPr txBox="1"/>
                      <wps:spPr>
                        <a:xfrm>
                          <a:off x="0" y="0"/>
                          <a:ext cx="368300" cy="279400"/>
                        </a:xfrm>
                        <a:prstGeom prst="rect">
                          <a:avLst/>
                        </a:prstGeom>
                        <a:noFill/>
                        <a:ln w="6350">
                          <a:noFill/>
                        </a:ln>
                      </wps:spPr>
                      <wps:txbx>
                        <w:txbxContent>
                          <w:p w14:paraId="06EECDDD" w14:textId="77777777" w:rsidR="00752DAA" w:rsidRPr="005819FB" w:rsidRDefault="00752DAA" w:rsidP="00752DAA">
                            <w:pPr>
                              <w:rPr>
                                <w:b/>
                                <w:bCs/>
                                <w:color w:val="FFFFFF" w:themeColor="background1"/>
                                <w:sz w:val="20"/>
                                <w:szCs w:val="20"/>
                                <w:lang w:val="en-US"/>
                              </w:rPr>
                            </w:pPr>
                            <w:r w:rsidRPr="005819FB">
                              <w:rPr>
                                <w:b/>
                                <w:bCs/>
                                <w:color w:val="FFFFFF" w:themeColor="background1"/>
                                <w:sz w:val="20"/>
                                <w:szCs w:val="20"/>
                                <w:lang w:val="en-US"/>
                              </w:rPr>
                              <w:t>T</w:t>
                            </w:r>
                            <w:r w:rsidRPr="005819FB">
                              <w:rPr>
                                <w:rFonts w:ascii="Arial" w:hAnsi="Arial" w:cs="Arial"/>
                                <w:b/>
                                <w:bCs/>
                                <w:color w:val="FFFFFF" w:themeColor="background1"/>
                                <w:sz w:val="20"/>
                                <w:szCs w:val="20"/>
                                <w:vertAlign w:val="subscript"/>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5EF94" id="_x0000_t202" coordsize="21600,21600" o:spt="202" path="m,l,21600r21600,l21600,xe">
                <v:stroke joinstyle="miter"/>
                <v:path gradientshapeok="t" o:connecttype="rect"/>
              </v:shapetype>
              <v:shape id="Text Box 1" o:spid="_x0000_s1026" type="#_x0000_t202" style="position:absolute;left:0;text-align:left;margin-left:.05pt;margin-top:384.25pt;width:29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" filled="f" stroked="f" strokeweight=".5pt">
                <v:textbox>
                  <w:txbxContent>
                    <w:p w14:paraId="06EECDDD" w14:textId="77777777" w:rsidR="00752DAA" w:rsidRPr="005819FB" w:rsidRDefault="00752DAA" w:rsidP="00752DAA">
                      <w:pPr>
                        <w:rPr>
                          <w:b/>
                          <w:bCs/>
                          <w:color w:val="FFFFFF" w:themeColor="background1"/>
                          <w:sz w:val="20"/>
                          <w:szCs w:val="20"/>
                          <w:lang w:val="en-US"/>
                        </w:rPr>
                      </w:pPr>
                      <w:r w:rsidRPr="005819FB">
                        <w:rPr>
                          <w:b/>
                          <w:bCs/>
                          <w:color w:val="FFFFFF" w:themeColor="background1"/>
                          <w:sz w:val="20"/>
                          <w:szCs w:val="20"/>
                          <w:lang w:val="en-US"/>
                        </w:rPr>
                        <w:t>T</w:t>
                      </w:r>
                      <w:r w:rsidRPr="005819FB">
                        <w:rPr>
                          <w:rFonts w:ascii="Arial" w:hAnsi="Arial" w:cs="Arial"/>
                          <w:b/>
                          <w:bCs/>
                          <w:color w:val="FFFFFF" w:themeColor="background1"/>
                          <w:sz w:val="20"/>
                          <w:szCs w:val="20"/>
                          <w:vertAlign w:val="subscript"/>
                          <w:lang w:val="en-US"/>
                        </w:rPr>
                        <w:t>5</w:t>
                      </w:r>
                    </w:p>
                  </w:txbxContent>
                </v:textbox>
              </v:shape>
            </w:pict>
          </mc:Fallback>
        </mc:AlternateContent>
      </w:r>
    </w:p>
    <w:p w14:paraId="62CCA1C8" w14:textId="77777777" w:rsidR="00752DAA" w:rsidRPr="00792A44" w:rsidRDefault="00752DAA" w:rsidP="00752DAA">
      <w:pPr>
        <w:spacing w:before="120" w:after="240" w:line="360" w:lineRule="auto"/>
        <w:jc w:val="both"/>
        <w:rPr>
          <w:rFonts w:ascii="Times New Roman" w:hAnsi="Times New Roman" w:cs="Times New Roman"/>
        </w:rPr>
      </w:pPr>
    </w:p>
    <w:p w14:paraId="6CD5E0CF" w14:textId="77777777" w:rsidR="00752DAA" w:rsidRPr="00792A44" w:rsidRDefault="00752DAA" w:rsidP="00752DAA">
      <w:pPr>
        <w:spacing w:before="120" w:after="240" w:line="360" w:lineRule="auto"/>
        <w:jc w:val="both"/>
        <w:rPr>
          <w:rFonts w:ascii="Times New Roman" w:hAnsi="Times New Roman" w:cs="Times New Roman"/>
        </w:rPr>
      </w:pPr>
    </w:p>
    <w:p w14:paraId="093BBEC4" w14:textId="53B16F3F" w:rsidR="008565AE" w:rsidRPr="00792A44" w:rsidRDefault="008565AE" w:rsidP="004F55BC">
      <w:pPr>
        <w:spacing w:before="120" w:after="240" w:line="360" w:lineRule="auto"/>
        <w:jc w:val="both"/>
        <w:rPr>
          <w:rFonts w:ascii="Times New Roman" w:hAnsi="Times New Roman" w:cs="Times New Roman"/>
        </w:rPr>
      </w:pPr>
    </w:p>
    <w:sectPr w:rsidR="008565AE" w:rsidRPr="00792A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AFFD8" w14:textId="77777777" w:rsidR="00565AA2" w:rsidRDefault="00565AA2" w:rsidP="009E5B53">
      <w:r>
        <w:separator/>
      </w:r>
    </w:p>
  </w:endnote>
  <w:endnote w:type="continuationSeparator" w:id="0">
    <w:p w14:paraId="56D28734" w14:textId="77777777" w:rsidR="00565AA2" w:rsidRDefault="00565AA2" w:rsidP="009E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BDF4" w14:textId="77777777" w:rsidR="009E5B53" w:rsidRDefault="009E5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B90" w14:textId="77777777" w:rsidR="009E5B53" w:rsidRDefault="009E5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08DF7" w14:textId="77777777" w:rsidR="009E5B53" w:rsidRDefault="009E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09F3E" w14:textId="77777777" w:rsidR="00565AA2" w:rsidRDefault="00565AA2" w:rsidP="009E5B53">
      <w:r>
        <w:separator/>
      </w:r>
    </w:p>
  </w:footnote>
  <w:footnote w:type="continuationSeparator" w:id="0">
    <w:p w14:paraId="157BB08B" w14:textId="77777777" w:rsidR="00565AA2" w:rsidRDefault="00565AA2" w:rsidP="009E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0169" w14:textId="7346FB22" w:rsidR="009E5B53" w:rsidRDefault="00565AA2">
    <w:pPr>
      <w:pStyle w:val="Header"/>
    </w:pPr>
    <w:r>
      <w:rPr>
        <w:noProof/>
      </w:rPr>
      <w:pict w14:anchorId="61A78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170719"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1152" w14:textId="14BC7D9E" w:rsidR="009E5B53" w:rsidRDefault="00565AA2">
    <w:pPr>
      <w:pStyle w:val="Header"/>
    </w:pPr>
    <w:r>
      <w:rPr>
        <w:noProof/>
      </w:rPr>
      <w:pict w14:anchorId="73581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170720"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FC4E" w14:textId="54679739" w:rsidR="009E5B53" w:rsidRDefault="00565AA2">
    <w:pPr>
      <w:pStyle w:val="Header"/>
    </w:pPr>
    <w:r>
      <w:rPr>
        <w:noProof/>
      </w:rPr>
      <w:pict w14:anchorId="57B4F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170718"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571"/>
    <w:multiLevelType w:val="multilevel"/>
    <w:tmpl w:val="D8B8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DF398C"/>
    <w:multiLevelType w:val="hybridMultilevel"/>
    <w:tmpl w:val="FEFA5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F4683E"/>
    <w:multiLevelType w:val="hybridMultilevel"/>
    <w:tmpl w:val="DDD82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DQwMzI3sDAyNLNU0lEKTi0uzszPAykwrAUATHVPIywAAAA="/>
  </w:docVars>
  <w:rsids>
    <w:rsidRoot w:val="00317CFF"/>
    <w:rsid w:val="00001553"/>
    <w:rsid w:val="000334AA"/>
    <w:rsid w:val="0003549C"/>
    <w:rsid w:val="000717E4"/>
    <w:rsid w:val="00092B19"/>
    <w:rsid w:val="000A5C2C"/>
    <w:rsid w:val="000B4552"/>
    <w:rsid w:val="000C3906"/>
    <w:rsid w:val="000F7C8B"/>
    <w:rsid w:val="00104140"/>
    <w:rsid w:val="00131BB1"/>
    <w:rsid w:val="001363B5"/>
    <w:rsid w:val="0014349D"/>
    <w:rsid w:val="001562BF"/>
    <w:rsid w:val="00195A02"/>
    <w:rsid w:val="001A1EA2"/>
    <w:rsid w:val="001A657A"/>
    <w:rsid w:val="001B64CD"/>
    <w:rsid w:val="001C61B0"/>
    <w:rsid w:val="001F58A7"/>
    <w:rsid w:val="00203405"/>
    <w:rsid w:val="00230CDB"/>
    <w:rsid w:val="00246C4E"/>
    <w:rsid w:val="00251AF0"/>
    <w:rsid w:val="00260C6A"/>
    <w:rsid w:val="002730FC"/>
    <w:rsid w:val="002A02AD"/>
    <w:rsid w:val="002A170B"/>
    <w:rsid w:val="002A5E1F"/>
    <w:rsid w:val="002B6380"/>
    <w:rsid w:val="002B7C57"/>
    <w:rsid w:val="002C074C"/>
    <w:rsid w:val="002D606A"/>
    <w:rsid w:val="002F58CA"/>
    <w:rsid w:val="003004DF"/>
    <w:rsid w:val="003034C6"/>
    <w:rsid w:val="00317CFF"/>
    <w:rsid w:val="00327FE1"/>
    <w:rsid w:val="00393CC8"/>
    <w:rsid w:val="00397DDC"/>
    <w:rsid w:val="003A2EC0"/>
    <w:rsid w:val="003B56F8"/>
    <w:rsid w:val="00410164"/>
    <w:rsid w:val="00417175"/>
    <w:rsid w:val="00435B53"/>
    <w:rsid w:val="00451B33"/>
    <w:rsid w:val="00455A7B"/>
    <w:rsid w:val="00456B73"/>
    <w:rsid w:val="004607B7"/>
    <w:rsid w:val="00461E60"/>
    <w:rsid w:val="004815A1"/>
    <w:rsid w:val="004837E8"/>
    <w:rsid w:val="004929DE"/>
    <w:rsid w:val="004A0188"/>
    <w:rsid w:val="004A39F1"/>
    <w:rsid w:val="004A62DC"/>
    <w:rsid w:val="004B3F21"/>
    <w:rsid w:val="004B4A0A"/>
    <w:rsid w:val="004D6B97"/>
    <w:rsid w:val="004F1462"/>
    <w:rsid w:val="004F55BC"/>
    <w:rsid w:val="005016C9"/>
    <w:rsid w:val="00515CF2"/>
    <w:rsid w:val="005427C6"/>
    <w:rsid w:val="00553CAD"/>
    <w:rsid w:val="00561E53"/>
    <w:rsid w:val="00565AA2"/>
    <w:rsid w:val="005819FB"/>
    <w:rsid w:val="00585BBA"/>
    <w:rsid w:val="0058608A"/>
    <w:rsid w:val="0058688D"/>
    <w:rsid w:val="005B45E8"/>
    <w:rsid w:val="005B6E4E"/>
    <w:rsid w:val="005D3B23"/>
    <w:rsid w:val="005F1EC6"/>
    <w:rsid w:val="006237B4"/>
    <w:rsid w:val="00627222"/>
    <w:rsid w:val="00663A87"/>
    <w:rsid w:val="006871F9"/>
    <w:rsid w:val="00691BE6"/>
    <w:rsid w:val="006A5632"/>
    <w:rsid w:val="006B4D9B"/>
    <w:rsid w:val="006D56F2"/>
    <w:rsid w:val="006F022E"/>
    <w:rsid w:val="006F403B"/>
    <w:rsid w:val="00715E86"/>
    <w:rsid w:val="007211A1"/>
    <w:rsid w:val="0072772D"/>
    <w:rsid w:val="00752DAA"/>
    <w:rsid w:val="00754212"/>
    <w:rsid w:val="0075521E"/>
    <w:rsid w:val="00763258"/>
    <w:rsid w:val="007806D4"/>
    <w:rsid w:val="00780A80"/>
    <w:rsid w:val="0078680F"/>
    <w:rsid w:val="007903D9"/>
    <w:rsid w:val="00792A44"/>
    <w:rsid w:val="007972DF"/>
    <w:rsid w:val="007A7C69"/>
    <w:rsid w:val="007C05C5"/>
    <w:rsid w:val="007E7776"/>
    <w:rsid w:val="007F2347"/>
    <w:rsid w:val="008565AE"/>
    <w:rsid w:val="00883B99"/>
    <w:rsid w:val="008919E5"/>
    <w:rsid w:val="00894923"/>
    <w:rsid w:val="008A7157"/>
    <w:rsid w:val="008B6B16"/>
    <w:rsid w:val="008C026B"/>
    <w:rsid w:val="009175D7"/>
    <w:rsid w:val="00921039"/>
    <w:rsid w:val="00961B5F"/>
    <w:rsid w:val="009704FD"/>
    <w:rsid w:val="00992333"/>
    <w:rsid w:val="00996142"/>
    <w:rsid w:val="009A2D3E"/>
    <w:rsid w:val="009C18A9"/>
    <w:rsid w:val="009D5B1E"/>
    <w:rsid w:val="009E5B53"/>
    <w:rsid w:val="009F1542"/>
    <w:rsid w:val="009F1736"/>
    <w:rsid w:val="009F1A94"/>
    <w:rsid w:val="009F4D67"/>
    <w:rsid w:val="009F5505"/>
    <w:rsid w:val="00A028FF"/>
    <w:rsid w:val="00A1360F"/>
    <w:rsid w:val="00A24661"/>
    <w:rsid w:val="00A34180"/>
    <w:rsid w:val="00A352A4"/>
    <w:rsid w:val="00A753BF"/>
    <w:rsid w:val="00A75E8D"/>
    <w:rsid w:val="00A905EC"/>
    <w:rsid w:val="00AD0500"/>
    <w:rsid w:val="00AD5755"/>
    <w:rsid w:val="00AF484E"/>
    <w:rsid w:val="00B62024"/>
    <w:rsid w:val="00B750C0"/>
    <w:rsid w:val="00B7565D"/>
    <w:rsid w:val="00B8041A"/>
    <w:rsid w:val="00BB2C3E"/>
    <w:rsid w:val="00BC1BAF"/>
    <w:rsid w:val="00BD18A7"/>
    <w:rsid w:val="00BD3858"/>
    <w:rsid w:val="00BE3857"/>
    <w:rsid w:val="00BE3EB7"/>
    <w:rsid w:val="00C05224"/>
    <w:rsid w:val="00C142D6"/>
    <w:rsid w:val="00C223E5"/>
    <w:rsid w:val="00C34AE4"/>
    <w:rsid w:val="00C35A3A"/>
    <w:rsid w:val="00C52058"/>
    <w:rsid w:val="00C637F6"/>
    <w:rsid w:val="00C660EF"/>
    <w:rsid w:val="00C734B6"/>
    <w:rsid w:val="00C74563"/>
    <w:rsid w:val="00C82385"/>
    <w:rsid w:val="00CA3C37"/>
    <w:rsid w:val="00CC790B"/>
    <w:rsid w:val="00CD3FBB"/>
    <w:rsid w:val="00D27335"/>
    <w:rsid w:val="00D45F20"/>
    <w:rsid w:val="00D46870"/>
    <w:rsid w:val="00D509C1"/>
    <w:rsid w:val="00D77817"/>
    <w:rsid w:val="00D97F63"/>
    <w:rsid w:val="00DA2A1E"/>
    <w:rsid w:val="00DB12F1"/>
    <w:rsid w:val="00DB53F4"/>
    <w:rsid w:val="00DF7563"/>
    <w:rsid w:val="00E1424E"/>
    <w:rsid w:val="00E335D8"/>
    <w:rsid w:val="00E350D8"/>
    <w:rsid w:val="00E43562"/>
    <w:rsid w:val="00E44263"/>
    <w:rsid w:val="00E46304"/>
    <w:rsid w:val="00E55A1D"/>
    <w:rsid w:val="00E72D0A"/>
    <w:rsid w:val="00E84B60"/>
    <w:rsid w:val="00EA4120"/>
    <w:rsid w:val="00EA541D"/>
    <w:rsid w:val="00EB372A"/>
    <w:rsid w:val="00EC4954"/>
    <w:rsid w:val="00ED7BFF"/>
    <w:rsid w:val="00EF6EA6"/>
    <w:rsid w:val="00F017C7"/>
    <w:rsid w:val="00F64437"/>
    <w:rsid w:val="00F66963"/>
    <w:rsid w:val="00F702B6"/>
    <w:rsid w:val="00F75002"/>
    <w:rsid w:val="00F84BEE"/>
    <w:rsid w:val="00F8503A"/>
    <w:rsid w:val="00F949ED"/>
    <w:rsid w:val="00F97A17"/>
    <w:rsid w:val="00FA15B3"/>
    <w:rsid w:val="00FC6673"/>
    <w:rsid w:val="00FE13B7"/>
    <w:rsid w:val="00FF7F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681F8"/>
  <w15:chartTrackingRefBased/>
  <w15:docId w15:val="{29FD08FA-0172-164A-BF28-B35D4AD0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4CD"/>
  </w:style>
  <w:style w:type="paragraph" w:styleId="Heading1">
    <w:name w:val="heading 1"/>
    <w:basedOn w:val="Normal"/>
    <w:next w:val="Normal"/>
    <w:link w:val="Heading1Char"/>
    <w:uiPriority w:val="9"/>
    <w:qFormat/>
    <w:rsid w:val="00317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CFF"/>
    <w:rPr>
      <w:rFonts w:eastAsiaTheme="majorEastAsia" w:cstheme="majorBidi"/>
      <w:color w:val="272727" w:themeColor="text1" w:themeTint="D8"/>
    </w:rPr>
  </w:style>
  <w:style w:type="paragraph" w:styleId="Title">
    <w:name w:val="Title"/>
    <w:basedOn w:val="Normal"/>
    <w:next w:val="Normal"/>
    <w:link w:val="TitleChar"/>
    <w:uiPriority w:val="10"/>
    <w:qFormat/>
    <w:rsid w:val="00317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C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CFF"/>
    <w:rPr>
      <w:i/>
      <w:iCs/>
      <w:color w:val="404040" w:themeColor="text1" w:themeTint="BF"/>
    </w:rPr>
  </w:style>
  <w:style w:type="paragraph" w:styleId="ListParagraph">
    <w:name w:val="List Paragraph"/>
    <w:basedOn w:val="Normal"/>
    <w:uiPriority w:val="34"/>
    <w:qFormat/>
    <w:rsid w:val="00317CFF"/>
    <w:pPr>
      <w:ind w:left="720"/>
      <w:contextualSpacing/>
    </w:pPr>
  </w:style>
  <w:style w:type="character" w:styleId="IntenseEmphasis">
    <w:name w:val="Intense Emphasis"/>
    <w:basedOn w:val="DefaultParagraphFont"/>
    <w:uiPriority w:val="21"/>
    <w:qFormat/>
    <w:rsid w:val="00317CFF"/>
    <w:rPr>
      <w:i/>
      <w:iCs/>
      <w:color w:val="0F4761" w:themeColor="accent1" w:themeShade="BF"/>
    </w:rPr>
  </w:style>
  <w:style w:type="paragraph" w:styleId="IntenseQuote">
    <w:name w:val="Intense Quote"/>
    <w:basedOn w:val="Normal"/>
    <w:next w:val="Normal"/>
    <w:link w:val="IntenseQuoteChar"/>
    <w:uiPriority w:val="30"/>
    <w:qFormat/>
    <w:rsid w:val="00317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CFF"/>
    <w:rPr>
      <w:i/>
      <w:iCs/>
      <w:color w:val="0F4761" w:themeColor="accent1" w:themeShade="BF"/>
    </w:rPr>
  </w:style>
  <w:style w:type="character" w:styleId="IntenseReference">
    <w:name w:val="Intense Reference"/>
    <w:basedOn w:val="DefaultParagraphFont"/>
    <w:uiPriority w:val="32"/>
    <w:qFormat/>
    <w:rsid w:val="00317CFF"/>
    <w:rPr>
      <w:b/>
      <w:bCs/>
      <w:smallCaps/>
      <w:color w:val="0F4761" w:themeColor="accent1" w:themeShade="BF"/>
      <w:spacing w:val="5"/>
    </w:rPr>
  </w:style>
  <w:style w:type="paragraph" w:styleId="NormalWeb">
    <w:name w:val="Normal (Web)"/>
    <w:basedOn w:val="Normal"/>
    <w:uiPriority w:val="99"/>
    <w:unhideWhenUsed/>
    <w:rsid w:val="00F66963"/>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qFormat/>
    <w:rsid w:val="00F669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90B"/>
    <w:rPr>
      <w:color w:val="467886" w:themeColor="hyperlink"/>
      <w:u w:val="single"/>
    </w:rPr>
  </w:style>
  <w:style w:type="character" w:styleId="UnresolvedMention">
    <w:name w:val="Unresolved Mention"/>
    <w:basedOn w:val="DefaultParagraphFont"/>
    <w:uiPriority w:val="99"/>
    <w:semiHidden/>
    <w:unhideWhenUsed/>
    <w:rsid w:val="00CC790B"/>
    <w:rPr>
      <w:color w:val="605E5C"/>
      <w:shd w:val="clear" w:color="auto" w:fill="E1DFDD"/>
    </w:rPr>
  </w:style>
  <w:style w:type="character" w:styleId="Emphasis">
    <w:name w:val="Emphasis"/>
    <w:basedOn w:val="DefaultParagraphFont"/>
    <w:uiPriority w:val="20"/>
    <w:qFormat/>
    <w:rsid w:val="00DF7563"/>
    <w:rPr>
      <w:i/>
      <w:iCs/>
    </w:rPr>
  </w:style>
  <w:style w:type="character" w:styleId="FollowedHyperlink">
    <w:name w:val="FollowedHyperlink"/>
    <w:basedOn w:val="DefaultParagraphFont"/>
    <w:uiPriority w:val="99"/>
    <w:semiHidden/>
    <w:unhideWhenUsed/>
    <w:rsid w:val="00663A87"/>
    <w:rPr>
      <w:color w:val="96607D" w:themeColor="followedHyperlink"/>
      <w:u w:val="single"/>
    </w:rPr>
  </w:style>
  <w:style w:type="paragraph" w:styleId="Header">
    <w:name w:val="header"/>
    <w:basedOn w:val="Normal"/>
    <w:link w:val="HeaderChar"/>
    <w:uiPriority w:val="99"/>
    <w:unhideWhenUsed/>
    <w:rsid w:val="009E5B53"/>
    <w:pPr>
      <w:tabs>
        <w:tab w:val="center" w:pos="4513"/>
        <w:tab w:val="right" w:pos="9026"/>
      </w:tabs>
    </w:pPr>
  </w:style>
  <w:style w:type="character" w:customStyle="1" w:styleId="HeaderChar">
    <w:name w:val="Header Char"/>
    <w:basedOn w:val="DefaultParagraphFont"/>
    <w:link w:val="Header"/>
    <w:uiPriority w:val="99"/>
    <w:rsid w:val="009E5B53"/>
  </w:style>
  <w:style w:type="paragraph" w:styleId="Footer">
    <w:name w:val="footer"/>
    <w:basedOn w:val="Normal"/>
    <w:link w:val="FooterChar"/>
    <w:uiPriority w:val="99"/>
    <w:unhideWhenUsed/>
    <w:rsid w:val="009E5B53"/>
    <w:pPr>
      <w:tabs>
        <w:tab w:val="center" w:pos="4513"/>
        <w:tab w:val="right" w:pos="9026"/>
      </w:tabs>
    </w:pPr>
  </w:style>
  <w:style w:type="character" w:customStyle="1" w:styleId="FooterChar">
    <w:name w:val="Footer Char"/>
    <w:basedOn w:val="DefaultParagraphFont"/>
    <w:link w:val="Footer"/>
    <w:uiPriority w:val="99"/>
    <w:rsid w:val="009E5B53"/>
  </w:style>
  <w:style w:type="character" w:customStyle="1" w:styleId="red">
    <w:name w:val="red"/>
    <w:basedOn w:val="DefaultParagraphFont"/>
    <w:rsid w:val="009F1A94"/>
  </w:style>
  <w:style w:type="character" w:customStyle="1" w:styleId="blue">
    <w:name w:val="blue"/>
    <w:basedOn w:val="DefaultParagraphFont"/>
    <w:rsid w:val="009F1A94"/>
  </w:style>
  <w:style w:type="character" w:customStyle="1" w:styleId="underline">
    <w:name w:val="underline"/>
    <w:basedOn w:val="DefaultParagraphFont"/>
    <w:rsid w:val="009F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466">
      <w:bodyDiv w:val="1"/>
      <w:marLeft w:val="0"/>
      <w:marRight w:val="0"/>
      <w:marTop w:val="0"/>
      <w:marBottom w:val="0"/>
      <w:divBdr>
        <w:top w:val="none" w:sz="0" w:space="0" w:color="auto"/>
        <w:left w:val="none" w:sz="0" w:space="0" w:color="auto"/>
        <w:bottom w:val="none" w:sz="0" w:space="0" w:color="auto"/>
        <w:right w:val="none" w:sz="0" w:space="0" w:color="auto"/>
      </w:divBdr>
    </w:div>
    <w:div w:id="94516560">
      <w:bodyDiv w:val="1"/>
      <w:marLeft w:val="0"/>
      <w:marRight w:val="0"/>
      <w:marTop w:val="0"/>
      <w:marBottom w:val="0"/>
      <w:divBdr>
        <w:top w:val="none" w:sz="0" w:space="0" w:color="auto"/>
        <w:left w:val="none" w:sz="0" w:space="0" w:color="auto"/>
        <w:bottom w:val="none" w:sz="0" w:space="0" w:color="auto"/>
        <w:right w:val="none" w:sz="0" w:space="0" w:color="auto"/>
      </w:divBdr>
    </w:div>
    <w:div w:id="112209937">
      <w:bodyDiv w:val="1"/>
      <w:marLeft w:val="0"/>
      <w:marRight w:val="0"/>
      <w:marTop w:val="0"/>
      <w:marBottom w:val="0"/>
      <w:divBdr>
        <w:top w:val="none" w:sz="0" w:space="0" w:color="auto"/>
        <w:left w:val="none" w:sz="0" w:space="0" w:color="auto"/>
        <w:bottom w:val="none" w:sz="0" w:space="0" w:color="auto"/>
        <w:right w:val="none" w:sz="0" w:space="0" w:color="auto"/>
      </w:divBdr>
    </w:div>
    <w:div w:id="112790209">
      <w:bodyDiv w:val="1"/>
      <w:marLeft w:val="0"/>
      <w:marRight w:val="0"/>
      <w:marTop w:val="0"/>
      <w:marBottom w:val="0"/>
      <w:divBdr>
        <w:top w:val="none" w:sz="0" w:space="0" w:color="auto"/>
        <w:left w:val="none" w:sz="0" w:space="0" w:color="auto"/>
        <w:bottom w:val="none" w:sz="0" w:space="0" w:color="auto"/>
        <w:right w:val="none" w:sz="0" w:space="0" w:color="auto"/>
      </w:divBdr>
    </w:div>
    <w:div w:id="151912992">
      <w:bodyDiv w:val="1"/>
      <w:marLeft w:val="0"/>
      <w:marRight w:val="0"/>
      <w:marTop w:val="0"/>
      <w:marBottom w:val="0"/>
      <w:divBdr>
        <w:top w:val="none" w:sz="0" w:space="0" w:color="auto"/>
        <w:left w:val="none" w:sz="0" w:space="0" w:color="auto"/>
        <w:bottom w:val="none" w:sz="0" w:space="0" w:color="auto"/>
        <w:right w:val="none" w:sz="0" w:space="0" w:color="auto"/>
      </w:divBdr>
    </w:div>
    <w:div w:id="316306359">
      <w:bodyDiv w:val="1"/>
      <w:marLeft w:val="0"/>
      <w:marRight w:val="0"/>
      <w:marTop w:val="0"/>
      <w:marBottom w:val="0"/>
      <w:divBdr>
        <w:top w:val="none" w:sz="0" w:space="0" w:color="auto"/>
        <w:left w:val="none" w:sz="0" w:space="0" w:color="auto"/>
        <w:bottom w:val="none" w:sz="0" w:space="0" w:color="auto"/>
        <w:right w:val="none" w:sz="0" w:space="0" w:color="auto"/>
      </w:divBdr>
    </w:div>
    <w:div w:id="322591550">
      <w:bodyDiv w:val="1"/>
      <w:marLeft w:val="0"/>
      <w:marRight w:val="0"/>
      <w:marTop w:val="0"/>
      <w:marBottom w:val="0"/>
      <w:divBdr>
        <w:top w:val="none" w:sz="0" w:space="0" w:color="auto"/>
        <w:left w:val="none" w:sz="0" w:space="0" w:color="auto"/>
        <w:bottom w:val="none" w:sz="0" w:space="0" w:color="auto"/>
        <w:right w:val="none" w:sz="0" w:space="0" w:color="auto"/>
      </w:divBdr>
    </w:div>
    <w:div w:id="371536057">
      <w:bodyDiv w:val="1"/>
      <w:marLeft w:val="0"/>
      <w:marRight w:val="0"/>
      <w:marTop w:val="0"/>
      <w:marBottom w:val="0"/>
      <w:divBdr>
        <w:top w:val="none" w:sz="0" w:space="0" w:color="auto"/>
        <w:left w:val="none" w:sz="0" w:space="0" w:color="auto"/>
        <w:bottom w:val="none" w:sz="0" w:space="0" w:color="auto"/>
        <w:right w:val="none" w:sz="0" w:space="0" w:color="auto"/>
      </w:divBdr>
    </w:div>
    <w:div w:id="412823140">
      <w:bodyDiv w:val="1"/>
      <w:marLeft w:val="0"/>
      <w:marRight w:val="0"/>
      <w:marTop w:val="0"/>
      <w:marBottom w:val="0"/>
      <w:divBdr>
        <w:top w:val="none" w:sz="0" w:space="0" w:color="auto"/>
        <w:left w:val="none" w:sz="0" w:space="0" w:color="auto"/>
        <w:bottom w:val="none" w:sz="0" w:space="0" w:color="auto"/>
        <w:right w:val="none" w:sz="0" w:space="0" w:color="auto"/>
      </w:divBdr>
    </w:div>
    <w:div w:id="426999121">
      <w:bodyDiv w:val="1"/>
      <w:marLeft w:val="0"/>
      <w:marRight w:val="0"/>
      <w:marTop w:val="0"/>
      <w:marBottom w:val="0"/>
      <w:divBdr>
        <w:top w:val="none" w:sz="0" w:space="0" w:color="auto"/>
        <w:left w:val="none" w:sz="0" w:space="0" w:color="auto"/>
        <w:bottom w:val="none" w:sz="0" w:space="0" w:color="auto"/>
        <w:right w:val="none" w:sz="0" w:space="0" w:color="auto"/>
      </w:divBdr>
      <w:divsChild>
        <w:div w:id="2054883015">
          <w:marLeft w:val="0"/>
          <w:marRight w:val="0"/>
          <w:marTop w:val="0"/>
          <w:marBottom w:val="0"/>
          <w:divBdr>
            <w:top w:val="none" w:sz="0" w:space="0" w:color="auto"/>
            <w:left w:val="none" w:sz="0" w:space="0" w:color="auto"/>
            <w:bottom w:val="none" w:sz="0" w:space="0" w:color="auto"/>
            <w:right w:val="none" w:sz="0" w:space="0" w:color="auto"/>
          </w:divBdr>
        </w:div>
      </w:divsChild>
    </w:div>
    <w:div w:id="433287462">
      <w:bodyDiv w:val="1"/>
      <w:marLeft w:val="0"/>
      <w:marRight w:val="0"/>
      <w:marTop w:val="0"/>
      <w:marBottom w:val="0"/>
      <w:divBdr>
        <w:top w:val="none" w:sz="0" w:space="0" w:color="auto"/>
        <w:left w:val="none" w:sz="0" w:space="0" w:color="auto"/>
        <w:bottom w:val="none" w:sz="0" w:space="0" w:color="auto"/>
        <w:right w:val="none" w:sz="0" w:space="0" w:color="auto"/>
      </w:divBdr>
    </w:div>
    <w:div w:id="471026062">
      <w:bodyDiv w:val="1"/>
      <w:marLeft w:val="0"/>
      <w:marRight w:val="0"/>
      <w:marTop w:val="0"/>
      <w:marBottom w:val="0"/>
      <w:divBdr>
        <w:top w:val="none" w:sz="0" w:space="0" w:color="auto"/>
        <w:left w:val="none" w:sz="0" w:space="0" w:color="auto"/>
        <w:bottom w:val="none" w:sz="0" w:space="0" w:color="auto"/>
        <w:right w:val="none" w:sz="0" w:space="0" w:color="auto"/>
      </w:divBdr>
    </w:div>
    <w:div w:id="652680436">
      <w:bodyDiv w:val="1"/>
      <w:marLeft w:val="0"/>
      <w:marRight w:val="0"/>
      <w:marTop w:val="0"/>
      <w:marBottom w:val="0"/>
      <w:divBdr>
        <w:top w:val="none" w:sz="0" w:space="0" w:color="auto"/>
        <w:left w:val="none" w:sz="0" w:space="0" w:color="auto"/>
        <w:bottom w:val="none" w:sz="0" w:space="0" w:color="auto"/>
        <w:right w:val="none" w:sz="0" w:space="0" w:color="auto"/>
      </w:divBdr>
      <w:divsChild>
        <w:div w:id="1616600939">
          <w:marLeft w:val="0"/>
          <w:marRight w:val="0"/>
          <w:marTop w:val="0"/>
          <w:marBottom w:val="0"/>
          <w:divBdr>
            <w:top w:val="none" w:sz="0" w:space="0" w:color="auto"/>
            <w:left w:val="none" w:sz="0" w:space="0" w:color="auto"/>
            <w:bottom w:val="none" w:sz="0" w:space="0" w:color="auto"/>
            <w:right w:val="none" w:sz="0" w:space="0" w:color="auto"/>
          </w:divBdr>
        </w:div>
      </w:divsChild>
    </w:div>
    <w:div w:id="659698729">
      <w:bodyDiv w:val="1"/>
      <w:marLeft w:val="0"/>
      <w:marRight w:val="0"/>
      <w:marTop w:val="0"/>
      <w:marBottom w:val="0"/>
      <w:divBdr>
        <w:top w:val="none" w:sz="0" w:space="0" w:color="auto"/>
        <w:left w:val="none" w:sz="0" w:space="0" w:color="auto"/>
        <w:bottom w:val="none" w:sz="0" w:space="0" w:color="auto"/>
        <w:right w:val="none" w:sz="0" w:space="0" w:color="auto"/>
      </w:divBdr>
    </w:div>
    <w:div w:id="693501979">
      <w:bodyDiv w:val="1"/>
      <w:marLeft w:val="0"/>
      <w:marRight w:val="0"/>
      <w:marTop w:val="0"/>
      <w:marBottom w:val="0"/>
      <w:divBdr>
        <w:top w:val="none" w:sz="0" w:space="0" w:color="auto"/>
        <w:left w:val="none" w:sz="0" w:space="0" w:color="auto"/>
        <w:bottom w:val="none" w:sz="0" w:space="0" w:color="auto"/>
        <w:right w:val="none" w:sz="0" w:space="0" w:color="auto"/>
      </w:divBdr>
    </w:div>
    <w:div w:id="892275473">
      <w:bodyDiv w:val="1"/>
      <w:marLeft w:val="0"/>
      <w:marRight w:val="0"/>
      <w:marTop w:val="0"/>
      <w:marBottom w:val="0"/>
      <w:divBdr>
        <w:top w:val="none" w:sz="0" w:space="0" w:color="auto"/>
        <w:left w:val="none" w:sz="0" w:space="0" w:color="auto"/>
        <w:bottom w:val="none" w:sz="0" w:space="0" w:color="auto"/>
        <w:right w:val="none" w:sz="0" w:space="0" w:color="auto"/>
      </w:divBdr>
    </w:div>
    <w:div w:id="918834813">
      <w:bodyDiv w:val="1"/>
      <w:marLeft w:val="0"/>
      <w:marRight w:val="0"/>
      <w:marTop w:val="0"/>
      <w:marBottom w:val="0"/>
      <w:divBdr>
        <w:top w:val="none" w:sz="0" w:space="0" w:color="auto"/>
        <w:left w:val="none" w:sz="0" w:space="0" w:color="auto"/>
        <w:bottom w:val="none" w:sz="0" w:space="0" w:color="auto"/>
        <w:right w:val="none" w:sz="0" w:space="0" w:color="auto"/>
      </w:divBdr>
    </w:div>
    <w:div w:id="948776497">
      <w:bodyDiv w:val="1"/>
      <w:marLeft w:val="0"/>
      <w:marRight w:val="0"/>
      <w:marTop w:val="0"/>
      <w:marBottom w:val="0"/>
      <w:divBdr>
        <w:top w:val="none" w:sz="0" w:space="0" w:color="auto"/>
        <w:left w:val="none" w:sz="0" w:space="0" w:color="auto"/>
        <w:bottom w:val="none" w:sz="0" w:space="0" w:color="auto"/>
        <w:right w:val="none" w:sz="0" w:space="0" w:color="auto"/>
      </w:divBdr>
      <w:divsChild>
        <w:div w:id="1364136434">
          <w:marLeft w:val="0"/>
          <w:marRight w:val="0"/>
          <w:marTop w:val="0"/>
          <w:marBottom w:val="0"/>
          <w:divBdr>
            <w:top w:val="none" w:sz="0" w:space="0" w:color="auto"/>
            <w:left w:val="none" w:sz="0" w:space="0" w:color="auto"/>
            <w:bottom w:val="none" w:sz="0" w:space="0" w:color="auto"/>
            <w:right w:val="none" w:sz="0" w:space="0" w:color="auto"/>
          </w:divBdr>
        </w:div>
      </w:divsChild>
    </w:div>
    <w:div w:id="1011906845">
      <w:bodyDiv w:val="1"/>
      <w:marLeft w:val="0"/>
      <w:marRight w:val="0"/>
      <w:marTop w:val="0"/>
      <w:marBottom w:val="0"/>
      <w:divBdr>
        <w:top w:val="none" w:sz="0" w:space="0" w:color="auto"/>
        <w:left w:val="none" w:sz="0" w:space="0" w:color="auto"/>
        <w:bottom w:val="none" w:sz="0" w:space="0" w:color="auto"/>
        <w:right w:val="none" w:sz="0" w:space="0" w:color="auto"/>
      </w:divBdr>
    </w:div>
    <w:div w:id="1034883882">
      <w:bodyDiv w:val="1"/>
      <w:marLeft w:val="0"/>
      <w:marRight w:val="0"/>
      <w:marTop w:val="0"/>
      <w:marBottom w:val="0"/>
      <w:divBdr>
        <w:top w:val="none" w:sz="0" w:space="0" w:color="auto"/>
        <w:left w:val="none" w:sz="0" w:space="0" w:color="auto"/>
        <w:bottom w:val="none" w:sz="0" w:space="0" w:color="auto"/>
        <w:right w:val="none" w:sz="0" w:space="0" w:color="auto"/>
      </w:divBdr>
    </w:div>
    <w:div w:id="1097024788">
      <w:bodyDiv w:val="1"/>
      <w:marLeft w:val="0"/>
      <w:marRight w:val="0"/>
      <w:marTop w:val="0"/>
      <w:marBottom w:val="0"/>
      <w:divBdr>
        <w:top w:val="none" w:sz="0" w:space="0" w:color="auto"/>
        <w:left w:val="none" w:sz="0" w:space="0" w:color="auto"/>
        <w:bottom w:val="none" w:sz="0" w:space="0" w:color="auto"/>
        <w:right w:val="none" w:sz="0" w:space="0" w:color="auto"/>
      </w:divBdr>
    </w:div>
    <w:div w:id="1329140444">
      <w:bodyDiv w:val="1"/>
      <w:marLeft w:val="0"/>
      <w:marRight w:val="0"/>
      <w:marTop w:val="0"/>
      <w:marBottom w:val="0"/>
      <w:divBdr>
        <w:top w:val="none" w:sz="0" w:space="0" w:color="auto"/>
        <w:left w:val="none" w:sz="0" w:space="0" w:color="auto"/>
        <w:bottom w:val="none" w:sz="0" w:space="0" w:color="auto"/>
        <w:right w:val="none" w:sz="0" w:space="0" w:color="auto"/>
      </w:divBdr>
    </w:div>
    <w:div w:id="1377654484">
      <w:bodyDiv w:val="1"/>
      <w:marLeft w:val="0"/>
      <w:marRight w:val="0"/>
      <w:marTop w:val="0"/>
      <w:marBottom w:val="0"/>
      <w:divBdr>
        <w:top w:val="none" w:sz="0" w:space="0" w:color="auto"/>
        <w:left w:val="none" w:sz="0" w:space="0" w:color="auto"/>
        <w:bottom w:val="none" w:sz="0" w:space="0" w:color="auto"/>
        <w:right w:val="none" w:sz="0" w:space="0" w:color="auto"/>
      </w:divBdr>
    </w:div>
    <w:div w:id="1392458377">
      <w:bodyDiv w:val="1"/>
      <w:marLeft w:val="0"/>
      <w:marRight w:val="0"/>
      <w:marTop w:val="0"/>
      <w:marBottom w:val="0"/>
      <w:divBdr>
        <w:top w:val="none" w:sz="0" w:space="0" w:color="auto"/>
        <w:left w:val="none" w:sz="0" w:space="0" w:color="auto"/>
        <w:bottom w:val="none" w:sz="0" w:space="0" w:color="auto"/>
        <w:right w:val="none" w:sz="0" w:space="0" w:color="auto"/>
      </w:divBdr>
    </w:div>
    <w:div w:id="1398164941">
      <w:bodyDiv w:val="1"/>
      <w:marLeft w:val="0"/>
      <w:marRight w:val="0"/>
      <w:marTop w:val="0"/>
      <w:marBottom w:val="0"/>
      <w:divBdr>
        <w:top w:val="none" w:sz="0" w:space="0" w:color="auto"/>
        <w:left w:val="none" w:sz="0" w:space="0" w:color="auto"/>
        <w:bottom w:val="none" w:sz="0" w:space="0" w:color="auto"/>
        <w:right w:val="none" w:sz="0" w:space="0" w:color="auto"/>
      </w:divBdr>
    </w:div>
    <w:div w:id="1411349629">
      <w:bodyDiv w:val="1"/>
      <w:marLeft w:val="0"/>
      <w:marRight w:val="0"/>
      <w:marTop w:val="0"/>
      <w:marBottom w:val="0"/>
      <w:divBdr>
        <w:top w:val="none" w:sz="0" w:space="0" w:color="auto"/>
        <w:left w:val="none" w:sz="0" w:space="0" w:color="auto"/>
        <w:bottom w:val="none" w:sz="0" w:space="0" w:color="auto"/>
        <w:right w:val="none" w:sz="0" w:space="0" w:color="auto"/>
      </w:divBdr>
    </w:div>
    <w:div w:id="1504272681">
      <w:bodyDiv w:val="1"/>
      <w:marLeft w:val="0"/>
      <w:marRight w:val="0"/>
      <w:marTop w:val="0"/>
      <w:marBottom w:val="0"/>
      <w:divBdr>
        <w:top w:val="none" w:sz="0" w:space="0" w:color="auto"/>
        <w:left w:val="none" w:sz="0" w:space="0" w:color="auto"/>
        <w:bottom w:val="none" w:sz="0" w:space="0" w:color="auto"/>
        <w:right w:val="none" w:sz="0" w:space="0" w:color="auto"/>
      </w:divBdr>
    </w:div>
    <w:div w:id="1650205886">
      <w:bodyDiv w:val="1"/>
      <w:marLeft w:val="0"/>
      <w:marRight w:val="0"/>
      <w:marTop w:val="0"/>
      <w:marBottom w:val="0"/>
      <w:divBdr>
        <w:top w:val="none" w:sz="0" w:space="0" w:color="auto"/>
        <w:left w:val="none" w:sz="0" w:space="0" w:color="auto"/>
        <w:bottom w:val="none" w:sz="0" w:space="0" w:color="auto"/>
        <w:right w:val="none" w:sz="0" w:space="0" w:color="auto"/>
      </w:divBdr>
    </w:div>
    <w:div w:id="1766998335">
      <w:bodyDiv w:val="1"/>
      <w:marLeft w:val="0"/>
      <w:marRight w:val="0"/>
      <w:marTop w:val="0"/>
      <w:marBottom w:val="0"/>
      <w:divBdr>
        <w:top w:val="none" w:sz="0" w:space="0" w:color="auto"/>
        <w:left w:val="none" w:sz="0" w:space="0" w:color="auto"/>
        <w:bottom w:val="none" w:sz="0" w:space="0" w:color="auto"/>
        <w:right w:val="none" w:sz="0" w:space="0" w:color="auto"/>
      </w:divBdr>
    </w:div>
    <w:div w:id="1784181689">
      <w:bodyDiv w:val="1"/>
      <w:marLeft w:val="0"/>
      <w:marRight w:val="0"/>
      <w:marTop w:val="0"/>
      <w:marBottom w:val="0"/>
      <w:divBdr>
        <w:top w:val="none" w:sz="0" w:space="0" w:color="auto"/>
        <w:left w:val="none" w:sz="0" w:space="0" w:color="auto"/>
        <w:bottom w:val="none" w:sz="0" w:space="0" w:color="auto"/>
        <w:right w:val="none" w:sz="0" w:space="0" w:color="auto"/>
      </w:divBdr>
    </w:div>
    <w:div w:id="1908876481">
      <w:bodyDiv w:val="1"/>
      <w:marLeft w:val="0"/>
      <w:marRight w:val="0"/>
      <w:marTop w:val="0"/>
      <w:marBottom w:val="0"/>
      <w:divBdr>
        <w:top w:val="none" w:sz="0" w:space="0" w:color="auto"/>
        <w:left w:val="none" w:sz="0" w:space="0" w:color="auto"/>
        <w:bottom w:val="none" w:sz="0" w:space="0" w:color="auto"/>
        <w:right w:val="none" w:sz="0" w:space="0" w:color="auto"/>
      </w:divBdr>
    </w:div>
    <w:div w:id="1941256204">
      <w:bodyDiv w:val="1"/>
      <w:marLeft w:val="0"/>
      <w:marRight w:val="0"/>
      <w:marTop w:val="0"/>
      <w:marBottom w:val="0"/>
      <w:divBdr>
        <w:top w:val="none" w:sz="0" w:space="0" w:color="auto"/>
        <w:left w:val="none" w:sz="0" w:space="0" w:color="auto"/>
        <w:bottom w:val="none" w:sz="0" w:space="0" w:color="auto"/>
        <w:right w:val="none" w:sz="0" w:space="0" w:color="auto"/>
      </w:divBdr>
    </w:div>
    <w:div w:id="1962760363">
      <w:bodyDiv w:val="1"/>
      <w:marLeft w:val="0"/>
      <w:marRight w:val="0"/>
      <w:marTop w:val="0"/>
      <w:marBottom w:val="0"/>
      <w:divBdr>
        <w:top w:val="none" w:sz="0" w:space="0" w:color="auto"/>
        <w:left w:val="none" w:sz="0" w:space="0" w:color="auto"/>
        <w:bottom w:val="none" w:sz="0" w:space="0" w:color="auto"/>
        <w:right w:val="none" w:sz="0" w:space="0" w:color="auto"/>
      </w:divBdr>
    </w:div>
    <w:div w:id="1980376937">
      <w:bodyDiv w:val="1"/>
      <w:marLeft w:val="0"/>
      <w:marRight w:val="0"/>
      <w:marTop w:val="0"/>
      <w:marBottom w:val="0"/>
      <w:divBdr>
        <w:top w:val="none" w:sz="0" w:space="0" w:color="auto"/>
        <w:left w:val="none" w:sz="0" w:space="0" w:color="auto"/>
        <w:bottom w:val="none" w:sz="0" w:space="0" w:color="auto"/>
        <w:right w:val="none" w:sz="0" w:space="0" w:color="auto"/>
      </w:divBdr>
    </w:div>
    <w:div w:id="21374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Chouhan</dc:creator>
  <cp:keywords/>
  <dc:description/>
  <cp:lastModifiedBy>SDI PC New 16</cp:lastModifiedBy>
  <cp:revision>28</cp:revision>
  <dcterms:created xsi:type="dcterms:W3CDTF">2025-10-17T16:47:00Z</dcterms:created>
  <dcterms:modified xsi:type="dcterms:W3CDTF">2025-10-22T10:08:00Z</dcterms:modified>
</cp:coreProperties>
</file>