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EEA6B" w14:textId="77777777" w:rsidR="00754C9A" w:rsidRDefault="00754C9A" w:rsidP="00441B6F">
      <w:pPr>
        <w:pStyle w:val="Title"/>
        <w:spacing w:after="0"/>
        <w:jc w:val="both"/>
        <w:rPr>
          <w:rFonts w:ascii="Arial" w:hAnsi="Arial" w:cs="Arial"/>
        </w:rPr>
      </w:pPr>
    </w:p>
    <w:p w14:paraId="121A6FBB" w14:textId="2D5A6437" w:rsidR="00DD36E0" w:rsidRPr="00163BC4" w:rsidRDefault="007822E1" w:rsidP="00441B6F">
      <w:pPr>
        <w:pStyle w:val="Author"/>
        <w:spacing w:line="240" w:lineRule="auto"/>
        <w:rPr>
          <w:rFonts w:ascii="Arial" w:hAnsi="Arial" w:cs="Arial"/>
          <w:bCs/>
          <w:iCs/>
          <w:kern w:val="28"/>
          <w:sz w:val="36"/>
        </w:rPr>
      </w:pPr>
      <w:r w:rsidRPr="007822E1">
        <w:rPr>
          <w:rFonts w:ascii="Arial" w:hAnsi="Arial" w:cs="Arial"/>
          <w:bCs/>
          <w:iCs/>
          <w:kern w:val="28"/>
          <w:sz w:val="36"/>
        </w:rPr>
        <w:t xml:space="preserve">Epidemiology and molecular dynamics of cassava mosaic viruses in Côte d’Ivoire: </w:t>
      </w:r>
      <w:r w:rsidR="007E2B9E">
        <w:rPr>
          <w:rFonts w:ascii="Arial" w:hAnsi="Arial" w:cs="Arial"/>
          <w:bCs/>
          <w:iCs/>
          <w:kern w:val="28"/>
          <w:sz w:val="36"/>
        </w:rPr>
        <w:t>C</w:t>
      </w:r>
      <w:r w:rsidR="0060785A" w:rsidRPr="0060785A">
        <w:rPr>
          <w:rFonts w:ascii="Arial" w:hAnsi="Arial" w:cs="Arial"/>
          <w:bCs/>
          <w:iCs/>
          <w:kern w:val="28"/>
          <w:sz w:val="36"/>
        </w:rPr>
        <w:t>urrent agronomic challenges in Côte d’Ivoire</w:t>
      </w:r>
    </w:p>
    <w:p w14:paraId="34B9A34F" w14:textId="23CA2B1A" w:rsidR="00790ADA" w:rsidRDefault="00790ADA" w:rsidP="00441B6F">
      <w:pPr>
        <w:pStyle w:val="Affiliation"/>
        <w:spacing w:after="0" w:line="240" w:lineRule="auto"/>
        <w:jc w:val="both"/>
        <w:rPr>
          <w:rFonts w:ascii="Arial" w:hAnsi="Arial" w:cs="Arial"/>
        </w:rPr>
      </w:pPr>
    </w:p>
    <w:p w14:paraId="1DE45CCA" w14:textId="77777777" w:rsidR="005F68F2" w:rsidRDefault="005F68F2" w:rsidP="00441B6F">
      <w:pPr>
        <w:pStyle w:val="Affiliation"/>
        <w:spacing w:after="0" w:line="240" w:lineRule="auto"/>
        <w:jc w:val="both"/>
        <w:rPr>
          <w:rFonts w:ascii="Arial" w:hAnsi="Arial" w:cs="Arial"/>
        </w:rPr>
      </w:pPr>
    </w:p>
    <w:p w14:paraId="50BAD3AE" w14:textId="77777777" w:rsidR="002C57D2" w:rsidRPr="00FB3A86" w:rsidRDefault="002C57D2" w:rsidP="00441B6F">
      <w:pPr>
        <w:pStyle w:val="Affiliation"/>
        <w:spacing w:after="0" w:line="240" w:lineRule="auto"/>
        <w:jc w:val="both"/>
        <w:rPr>
          <w:rFonts w:ascii="Arial" w:hAnsi="Arial" w:cs="Arial"/>
        </w:rPr>
      </w:pPr>
    </w:p>
    <w:p w14:paraId="2A57AD14" w14:textId="77777777" w:rsidR="00B01FCD" w:rsidRPr="00FB3A86" w:rsidRDefault="007E2B9E" w:rsidP="00441B6F">
      <w:pPr>
        <w:pStyle w:val="Copyright"/>
        <w:spacing w:after="0" w:line="240" w:lineRule="auto"/>
        <w:jc w:val="both"/>
        <w:rPr>
          <w:rFonts w:ascii="Arial" w:hAnsi="Arial" w:cs="Arial"/>
        </w:rPr>
        <w:sectPr w:rsidR="00B01FCD" w:rsidRPr="00FB3A86" w:rsidSect="005F68F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F4CEF80">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3768B90" w14:textId="04CFD0D4"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38B190D" w14:textId="77777777" w:rsidR="00FA3563" w:rsidRPr="00FB3A86" w:rsidRDefault="00FA3563"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2675FDA" w14:textId="77777777" w:rsidTr="001E44FE">
        <w:tc>
          <w:tcPr>
            <w:tcW w:w="9576" w:type="dxa"/>
            <w:shd w:val="clear" w:color="auto" w:fill="F2F2F2"/>
          </w:tcPr>
          <w:p w14:paraId="570C7DA9" w14:textId="1D6C55C3" w:rsidR="00A20F59"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A20F59" w:rsidRPr="00620E3B">
              <w:rPr>
                <w:rFonts w:ascii="Arial" w:eastAsia="Calibri" w:hAnsi="Arial" w:cs="Arial"/>
                <w:szCs w:val="22"/>
              </w:rPr>
              <w:t>This study aimed to characterize cassava mosaic viruses and assess the factors influencing the dynamics of this disease in central and central-western Côte d'Ivoire in order to support effective management strategies.</w:t>
            </w:r>
          </w:p>
          <w:p w14:paraId="33FB1A7F" w14:textId="01EEB28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20E3B">
              <w:rPr>
                <w:rFonts w:ascii="Arial" w:eastAsia="Calibri" w:hAnsi="Arial" w:cs="Arial"/>
                <w:szCs w:val="22"/>
              </w:rPr>
              <w:t>D</w:t>
            </w:r>
            <w:r w:rsidR="00620E3B" w:rsidRPr="00620E3B">
              <w:rPr>
                <w:rFonts w:ascii="Arial" w:eastAsia="Calibri" w:hAnsi="Arial" w:cs="Arial"/>
                <w:szCs w:val="22"/>
              </w:rPr>
              <w:t>escriptive transversal epidemiological survey</w:t>
            </w:r>
            <w:r w:rsidRPr="00BA1B01">
              <w:rPr>
                <w:rFonts w:ascii="Arial" w:eastAsia="Calibri" w:hAnsi="Arial" w:cs="Arial"/>
                <w:szCs w:val="22"/>
              </w:rPr>
              <w:t>.</w:t>
            </w:r>
          </w:p>
          <w:p w14:paraId="42889094" w14:textId="0F3ACEAC" w:rsidR="00620E3B" w:rsidRPr="00620E3B" w:rsidRDefault="00BA1B01" w:rsidP="00620E3B">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620E3B" w:rsidRPr="00620E3B">
              <w:rPr>
                <w:rFonts w:ascii="Arial" w:eastAsia="Calibri" w:hAnsi="Arial" w:cs="Arial"/>
                <w:szCs w:val="22"/>
              </w:rPr>
              <w:t>Conducted from November 2019 to August 2020 in the departments of Bouak</w:t>
            </w:r>
            <w:r w:rsidR="00925505">
              <w:rPr>
                <w:rFonts w:ascii="Arial" w:eastAsia="Calibri" w:hAnsi="Arial" w:cs="Arial"/>
                <w:szCs w:val="22"/>
              </w:rPr>
              <w:t>e</w:t>
            </w:r>
            <w:r w:rsidR="00620E3B" w:rsidRPr="00620E3B">
              <w:rPr>
                <w:rFonts w:ascii="Arial" w:eastAsia="Calibri" w:hAnsi="Arial" w:cs="Arial"/>
                <w:szCs w:val="22"/>
              </w:rPr>
              <w:t xml:space="preserve">, Yamoussoukro, and </w:t>
            </w:r>
            <w:proofErr w:type="spellStart"/>
            <w:r w:rsidR="00620E3B" w:rsidRPr="00620E3B">
              <w:rPr>
                <w:rFonts w:ascii="Arial" w:eastAsia="Calibri" w:hAnsi="Arial" w:cs="Arial"/>
                <w:szCs w:val="22"/>
              </w:rPr>
              <w:t>Daloa</w:t>
            </w:r>
            <w:proofErr w:type="spellEnd"/>
            <w:r w:rsidR="00620E3B" w:rsidRPr="00620E3B">
              <w:rPr>
                <w:rFonts w:ascii="Arial" w:eastAsia="Calibri" w:hAnsi="Arial" w:cs="Arial"/>
                <w:szCs w:val="22"/>
              </w:rPr>
              <w:t>, the main cassava-producing areas, the study combined in-depth field surveys and molecular diagnostics.</w:t>
            </w:r>
          </w:p>
          <w:p w14:paraId="119F5D8B" w14:textId="5D67BEE7" w:rsidR="00620E3B" w:rsidRPr="00620E3B" w:rsidRDefault="00BA1B01" w:rsidP="00620E3B">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620E3B" w:rsidRPr="00620E3B">
              <w:rPr>
                <w:rFonts w:ascii="Arial" w:eastAsia="Calibri" w:hAnsi="Arial" w:cs="Arial"/>
                <w:szCs w:val="22"/>
              </w:rPr>
              <w:t>A total of 183 cassava plantations in 15 villages were randomly sampled</w:t>
            </w:r>
            <w:r w:rsidR="00C50346">
              <w:rPr>
                <w:rFonts w:ascii="Arial" w:eastAsia="Calibri" w:hAnsi="Arial" w:cs="Arial"/>
                <w:szCs w:val="22"/>
              </w:rPr>
              <w:t>.</w:t>
            </w:r>
            <w:r w:rsidR="006B144A">
              <w:rPr>
                <w:rFonts w:ascii="Arial" w:eastAsia="Calibri" w:hAnsi="Arial" w:cs="Arial"/>
                <w:szCs w:val="22"/>
              </w:rPr>
              <w:t xml:space="preserve"> </w:t>
            </w:r>
            <w:r w:rsidR="00C50346">
              <w:rPr>
                <w:rFonts w:ascii="Arial" w:eastAsia="Calibri" w:hAnsi="Arial" w:cs="Arial"/>
                <w:szCs w:val="22"/>
              </w:rPr>
              <w:t>I</w:t>
            </w:r>
            <w:r w:rsidR="00C50346" w:rsidRPr="00C50346">
              <w:rPr>
                <w:rFonts w:ascii="Arial" w:eastAsia="Calibri" w:hAnsi="Arial" w:cs="Arial"/>
                <w:szCs w:val="22"/>
              </w:rPr>
              <w:t>n each selected field, one sample was collected per variety and per case, depending on whether it was symptomatic or asymptomatic to mosaic disease.</w:t>
            </w:r>
            <w:r w:rsidR="00620E3B" w:rsidRPr="00620E3B">
              <w:rPr>
                <w:rFonts w:ascii="Arial" w:eastAsia="Calibri" w:hAnsi="Arial" w:cs="Arial"/>
                <w:szCs w:val="22"/>
              </w:rPr>
              <w:t xml:space="preserve"> </w:t>
            </w:r>
            <w:r w:rsidR="00C50346">
              <w:rPr>
                <w:rFonts w:ascii="Arial" w:eastAsia="Calibri" w:hAnsi="Arial" w:cs="Arial"/>
                <w:szCs w:val="22"/>
              </w:rPr>
              <w:t>CMD</w:t>
            </w:r>
            <w:r w:rsidR="00620E3B" w:rsidRPr="00620E3B">
              <w:rPr>
                <w:rFonts w:ascii="Arial" w:eastAsia="Calibri" w:hAnsi="Arial" w:cs="Arial"/>
                <w:szCs w:val="22"/>
              </w:rPr>
              <w:t xml:space="preserve"> symptoms were assessed on 5,896 plants using a severity scale of 1 to 5. Agronomic data were recorded. Approximately 200 symptomatic and asymptomatic leaf samples were subjected to DNA extraction and PCR testing targeting African cassava mosaic virus (ACMV) and East African cassava mosaic virus (EACMV).</w:t>
            </w:r>
          </w:p>
          <w:p w14:paraId="31251583" w14:textId="4CC5E311" w:rsidR="002508E5" w:rsidRDefault="00BA1B01" w:rsidP="00620E3B">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20E3B" w:rsidRPr="00620E3B">
              <w:rPr>
                <w:rFonts w:ascii="Arial" w:eastAsia="Calibri" w:hAnsi="Arial" w:cs="Arial"/>
                <w:szCs w:val="22"/>
              </w:rPr>
              <w:t>The results showed a relatively high phenotypic prevalence of CMD. Informal exchange of planting cuttings was a major factor in infection compared to cuttings from official sources. Crop age and season influenced vulnerability. Symptom severity was generally moderate, although hot spots with severe symptoms were identified. Molecular analyses confirmed the predominance of ACMV followed by ACMV-EACMV co-infections.</w:t>
            </w:r>
          </w:p>
          <w:p w14:paraId="58C03191" w14:textId="69EF6C46" w:rsidR="00620E3B" w:rsidRPr="00620E3B" w:rsidRDefault="002508E5" w:rsidP="00620E3B">
            <w:pPr>
              <w:pStyle w:val="Body"/>
              <w:spacing w:after="0"/>
              <w:rPr>
                <w:rFonts w:ascii="Arial" w:eastAsia="Calibri" w:hAnsi="Arial" w:cs="Arial"/>
                <w:szCs w:val="22"/>
              </w:rPr>
            </w:pPr>
            <w:r w:rsidRPr="002508E5">
              <w:rPr>
                <w:rFonts w:ascii="Arial" w:eastAsia="Calibri" w:hAnsi="Arial" w:cs="Arial"/>
                <w:szCs w:val="22"/>
              </w:rPr>
              <w:t>Of the 200 plants analyzed, 35% of asymptomatic cassava mosaic plants (18 plants) and 77% of symptomatic plants (115 plants) were infected by the virus.</w:t>
            </w:r>
            <w:r w:rsidR="00620E3B" w:rsidRPr="00620E3B">
              <w:rPr>
                <w:rFonts w:ascii="Arial" w:eastAsia="Calibri" w:hAnsi="Arial" w:cs="Arial"/>
                <w:szCs w:val="22"/>
              </w:rPr>
              <w:t xml:space="preserve"> It is significant that many asymptomatic plants tested positive for CMD viruses, highlighting the challenge of latent infections in disease management.</w:t>
            </w:r>
            <w:r w:rsidR="00C90B2B">
              <w:rPr>
                <w:rFonts w:ascii="Arial" w:eastAsia="Calibri" w:hAnsi="Arial" w:cs="Arial"/>
                <w:szCs w:val="22"/>
              </w:rPr>
              <w:t xml:space="preserve"> </w:t>
            </w:r>
          </w:p>
          <w:p w14:paraId="0F50B189" w14:textId="2531D198" w:rsidR="00620E3B" w:rsidRDefault="00BA1B01" w:rsidP="00B86145">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86145" w:rsidRPr="00B86145">
              <w:rPr>
                <w:rFonts w:ascii="Arial" w:eastAsia="Calibri" w:hAnsi="Arial" w:cs="Arial"/>
                <w:szCs w:val="22"/>
              </w:rPr>
              <w:t>The study highlights the complex epidemiology of a serious cassava disease in Côte d'Ivoire.</w:t>
            </w:r>
            <w:r w:rsidR="00925505">
              <w:rPr>
                <w:rFonts w:ascii="Arial" w:eastAsia="Calibri" w:hAnsi="Arial" w:cs="Arial"/>
                <w:szCs w:val="22"/>
              </w:rPr>
              <w:t xml:space="preserve"> I</w:t>
            </w:r>
            <w:r w:rsidR="00925505" w:rsidRPr="00925505">
              <w:rPr>
                <w:rFonts w:ascii="Arial" w:eastAsia="Calibri" w:hAnsi="Arial" w:cs="Arial"/>
                <w:szCs w:val="22"/>
              </w:rPr>
              <w:t>n addition, viruses are uniformly distributed across the different cassava production areas.</w:t>
            </w:r>
            <w:r w:rsidR="00B86145" w:rsidRPr="00B86145">
              <w:rPr>
                <w:rFonts w:ascii="Arial" w:eastAsia="Calibri" w:hAnsi="Arial" w:cs="Arial"/>
                <w:szCs w:val="22"/>
              </w:rPr>
              <w:t xml:space="preserve"> It recommends integrated control strategies such as certification of cuttings, vector control and molecular surveillance. Together, these measures are essential to reduce the impact of the disease, maintain cassava yields, and ensure food security for vulnerable populations that depend on this staple crop</w:t>
            </w:r>
            <w:r w:rsidR="00B86145">
              <w:rPr>
                <w:rFonts w:ascii="Arial" w:eastAsia="Calibri" w:hAnsi="Arial" w:cs="Arial"/>
                <w:szCs w:val="22"/>
              </w:rPr>
              <w:t>.</w:t>
            </w:r>
          </w:p>
          <w:p w14:paraId="14A9D544" w14:textId="460029CF" w:rsidR="00B86145" w:rsidRPr="00BA1B01" w:rsidRDefault="00B86145" w:rsidP="00B86145">
            <w:pPr>
              <w:pStyle w:val="Body"/>
              <w:spacing w:after="0"/>
              <w:rPr>
                <w:rFonts w:ascii="Arial" w:eastAsia="Calibri" w:hAnsi="Arial" w:cs="Arial"/>
                <w:szCs w:val="22"/>
              </w:rPr>
            </w:pPr>
          </w:p>
        </w:tc>
      </w:tr>
    </w:tbl>
    <w:p w14:paraId="243A1512" w14:textId="7FC3690B" w:rsidR="00A24E7E" w:rsidRDefault="00A24E7E" w:rsidP="00441B6F">
      <w:pPr>
        <w:pStyle w:val="Body"/>
        <w:spacing w:after="0"/>
        <w:rPr>
          <w:rFonts w:ascii="Arial" w:eastAsia="Calibri" w:hAnsi="Arial" w:cs="Arial"/>
          <w:i/>
          <w:iCs/>
          <w:szCs w:val="22"/>
        </w:rPr>
      </w:pPr>
      <w:r>
        <w:rPr>
          <w:rFonts w:ascii="Arial" w:hAnsi="Arial" w:cs="Arial"/>
          <w:i/>
        </w:rPr>
        <w:t>Keywords</w:t>
      </w:r>
      <w:r w:rsidR="009F1F08">
        <w:rPr>
          <w:spacing w:val="1"/>
        </w:rPr>
        <w:t xml:space="preserve">: </w:t>
      </w:r>
      <w:r w:rsidR="009F1F08" w:rsidRPr="009F1F08">
        <w:rPr>
          <w:rFonts w:ascii="Arial" w:eastAsia="Calibri" w:hAnsi="Arial" w:cs="Arial"/>
          <w:i/>
          <w:iCs/>
          <w:szCs w:val="22"/>
        </w:rPr>
        <w:t>Cassava, Cassava Mosaic Disease, vegetative propagation, Molecular diagnosis, Food security, Côte d’Ivoire</w:t>
      </w:r>
      <w:r w:rsidR="0066510A" w:rsidRPr="009F1F08">
        <w:rPr>
          <w:rFonts w:ascii="Arial" w:eastAsia="Calibri" w:hAnsi="Arial" w:cs="Arial"/>
          <w:i/>
          <w:iCs/>
          <w:szCs w:val="22"/>
        </w:rPr>
        <w:t>)</w:t>
      </w:r>
    </w:p>
    <w:p w14:paraId="0C7FAFBC" w14:textId="77777777" w:rsidR="00B86145" w:rsidRPr="009F1F08" w:rsidRDefault="00B86145" w:rsidP="00441B6F">
      <w:pPr>
        <w:pStyle w:val="Body"/>
        <w:spacing w:after="0"/>
        <w:rPr>
          <w:rFonts w:ascii="Arial" w:eastAsia="Calibri" w:hAnsi="Arial" w:cs="Arial"/>
          <w:i/>
          <w:iCs/>
          <w:szCs w:val="22"/>
        </w:rPr>
      </w:pPr>
    </w:p>
    <w:p w14:paraId="32C0C562" w14:textId="3D07961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A2F314B" w14:textId="0993EF2C" w:rsidR="009F1F08" w:rsidRDefault="009F1F08" w:rsidP="00441B6F">
      <w:pPr>
        <w:pStyle w:val="Body"/>
        <w:spacing w:after="0"/>
        <w:rPr>
          <w:rFonts w:ascii="Arial" w:hAnsi="Arial" w:cs="Arial"/>
        </w:rPr>
      </w:pPr>
    </w:p>
    <w:p w14:paraId="47621BD5" w14:textId="165128D3" w:rsidR="009F1F08" w:rsidRPr="009F1F08" w:rsidRDefault="009F1F08" w:rsidP="009F1F08">
      <w:pPr>
        <w:pStyle w:val="my-2"/>
        <w:spacing w:before="0" w:beforeAutospacing="0" w:after="0" w:afterAutospacing="0" w:line="360" w:lineRule="auto"/>
        <w:jc w:val="both"/>
        <w:rPr>
          <w:rFonts w:ascii="Arial" w:hAnsi="Arial" w:cs="Arial"/>
          <w:sz w:val="20"/>
          <w:szCs w:val="20"/>
          <w:lang w:val="en-US" w:eastAsia="en-US"/>
        </w:rPr>
      </w:pPr>
      <w:r w:rsidRPr="009F1F08">
        <w:rPr>
          <w:rFonts w:ascii="Arial" w:hAnsi="Arial" w:cs="Arial"/>
          <w:sz w:val="20"/>
          <w:szCs w:val="20"/>
          <w:lang w:val="en-US" w:eastAsia="en-US"/>
        </w:rPr>
        <w:t xml:space="preserve">Cassava, an </w:t>
      </w:r>
      <w:proofErr w:type="spellStart"/>
      <w:r w:rsidRPr="009F1F08">
        <w:rPr>
          <w:rFonts w:ascii="Arial" w:hAnsi="Arial" w:cs="Arial"/>
          <w:sz w:val="20"/>
          <w:szCs w:val="20"/>
          <w:lang w:val="en-US" w:eastAsia="en-US"/>
        </w:rPr>
        <w:t>Euphorbiaceae</w:t>
      </w:r>
      <w:proofErr w:type="spellEnd"/>
      <w:r w:rsidRPr="009F1F08">
        <w:rPr>
          <w:rFonts w:ascii="Arial" w:hAnsi="Arial" w:cs="Arial"/>
          <w:sz w:val="20"/>
          <w:szCs w:val="20"/>
          <w:lang w:val="en-US" w:eastAsia="en-US"/>
        </w:rPr>
        <w:t xml:space="preserve"> scientifically known as Manihot esculenta </w:t>
      </w:r>
      <w:proofErr w:type="spellStart"/>
      <w:r w:rsidRPr="009F1F08">
        <w:rPr>
          <w:rFonts w:ascii="Arial" w:hAnsi="Arial" w:cs="Arial"/>
          <w:sz w:val="20"/>
          <w:szCs w:val="20"/>
          <w:lang w:val="en-US" w:eastAsia="en-US"/>
        </w:rPr>
        <w:t>Crantz</w:t>
      </w:r>
      <w:proofErr w:type="spellEnd"/>
      <w:r w:rsidRPr="009F1F08">
        <w:rPr>
          <w:rFonts w:ascii="Arial" w:hAnsi="Arial" w:cs="Arial"/>
          <w:sz w:val="20"/>
          <w:szCs w:val="20"/>
          <w:lang w:val="en-US" w:eastAsia="en-US"/>
        </w:rPr>
        <w:t>, constitutes a fundamental staple food for numerous populations</w:t>
      </w:r>
      <w:r w:rsidR="005F0AEB">
        <w:rPr>
          <w:rFonts w:ascii="Arial" w:hAnsi="Arial" w:cs="Arial"/>
          <w:sz w:val="20"/>
          <w:szCs w:val="20"/>
          <w:lang w:val="en-US" w:eastAsia="en-US"/>
        </w:rPr>
        <w:t xml:space="preserve"> (</w:t>
      </w:r>
      <w:proofErr w:type="spellStart"/>
      <w:r w:rsidR="005F0AEB" w:rsidRPr="005F0AEB">
        <w:rPr>
          <w:rFonts w:ascii="Arial" w:hAnsi="Arial" w:cs="Arial"/>
          <w:sz w:val="20"/>
          <w:szCs w:val="20"/>
          <w:lang w:val="en-US" w:eastAsia="en-US"/>
        </w:rPr>
        <w:t>Alamu</w:t>
      </w:r>
      <w:proofErr w:type="spellEnd"/>
      <w:r w:rsidR="005F0AEB" w:rsidRPr="005F0AEB">
        <w:rPr>
          <w:rFonts w:ascii="Arial" w:hAnsi="Arial" w:cs="Arial"/>
          <w:sz w:val="20"/>
          <w:szCs w:val="20"/>
          <w:lang w:val="en-US" w:eastAsia="en-US"/>
        </w:rPr>
        <w:t xml:space="preserve"> </w:t>
      </w:r>
      <w:r w:rsidR="005F0AEB" w:rsidRPr="005F0AEB">
        <w:rPr>
          <w:rFonts w:ascii="Arial" w:hAnsi="Arial" w:cs="Arial"/>
          <w:i/>
          <w:iCs/>
          <w:sz w:val="20"/>
          <w:szCs w:val="20"/>
          <w:lang w:val="en-US" w:eastAsia="en-US"/>
        </w:rPr>
        <w:t>et al.,</w:t>
      </w:r>
      <w:r w:rsidR="005F0AEB" w:rsidRPr="005F0AEB">
        <w:rPr>
          <w:rFonts w:ascii="Arial" w:hAnsi="Arial" w:cs="Arial"/>
          <w:sz w:val="20"/>
          <w:szCs w:val="20"/>
          <w:lang w:val="en-US" w:eastAsia="en-US"/>
        </w:rPr>
        <w:t xml:space="preserve"> 2019)</w:t>
      </w:r>
      <w:r w:rsidRPr="009F1F08">
        <w:rPr>
          <w:rFonts w:ascii="Arial" w:hAnsi="Arial" w:cs="Arial"/>
          <w:sz w:val="20"/>
          <w:szCs w:val="20"/>
          <w:lang w:val="en-US" w:eastAsia="en-US"/>
        </w:rPr>
        <w:t xml:space="preserve">. It is predominantly cultivated for human consumption and animal feed, but also finds diverse industrial </w:t>
      </w:r>
      <w:r w:rsidRPr="009F1F08">
        <w:rPr>
          <w:rFonts w:ascii="Arial" w:hAnsi="Arial" w:cs="Arial"/>
          <w:sz w:val="20"/>
          <w:szCs w:val="20"/>
          <w:lang w:val="en-US" w:eastAsia="en-US"/>
        </w:rPr>
        <w:lastRenderedPageBreak/>
        <w:t>applications including pharmaceuticals and textiles. Specifically, cassava plays a crucial role in the food security of several African countries, including Côte d’Ivoire, where it constitutes a cornerstone of subsistence farming systems (</w:t>
      </w:r>
      <w:proofErr w:type="spellStart"/>
      <w:r w:rsidRPr="009F1F08">
        <w:rPr>
          <w:rFonts w:ascii="Arial" w:hAnsi="Arial" w:cs="Arial"/>
          <w:sz w:val="20"/>
          <w:szCs w:val="20"/>
          <w:lang w:val="en-US" w:eastAsia="en-US"/>
        </w:rPr>
        <w:t>Amoakon</w:t>
      </w:r>
      <w:proofErr w:type="spellEnd"/>
      <w:r w:rsidRPr="009F1F08">
        <w:rPr>
          <w:rFonts w:ascii="Arial" w:hAnsi="Arial" w:cs="Arial"/>
          <w:sz w:val="20"/>
          <w:szCs w:val="20"/>
          <w:lang w:val="en-US" w:eastAsia="en-US"/>
        </w:rPr>
        <w:t xml:space="preserve">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2023). However, its production has been continuously threatened for decades by cassava mosaic disease (CMD). This viral disease causes substantial agricultural yield losses, severely affecting both the quality and quantity of harvests</w:t>
      </w:r>
      <w:r w:rsidR="00CA78BA">
        <w:rPr>
          <w:rFonts w:ascii="Arial" w:hAnsi="Arial" w:cs="Arial"/>
          <w:sz w:val="20"/>
          <w:szCs w:val="20"/>
          <w:lang w:val="en-US" w:eastAsia="en-US"/>
        </w:rPr>
        <w:t xml:space="preserve"> (</w:t>
      </w:r>
      <w:proofErr w:type="spellStart"/>
      <w:r w:rsidR="00CA78BA">
        <w:rPr>
          <w:rFonts w:ascii="Arial" w:hAnsi="Arial" w:cs="Arial"/>
          <w:sz w:val="20"/>
          <w:szCs w:val="20"/>
          <w:lang w:val="en-US" w:eastAsia="en-US"/>
        </w:rPr>
        <w:t>Kimno</w:t>
      </w:r>
      <w:proofErr w:type="spellEnd"/>
      <w:r w:rsidR="00CA78BA">
        <w:rPr>
          <w:rFonts w:ascii="Arial" w:hAnsi="Arial" w:cs="Arial"/>
          <w:sz w:val="20"/>
          <w:szCs w:val="20"/>
          <w:lang w:val="en-US" w:eastAsia="en-US"/>
        </w:rPr>
        <w:t xml:space="preserve"> </w:t>
      </w:r>
      <w:r w:rsidR="00CA78BA" w:rsidRPr="00CA78BA">
        <w:rPr>
          <w:rFonts w:ascii="Arial" w:hAnsi="Arial" w:cs="Arial"/>
          <w:i/>
          <w:iCs/>
          <w:sz w:val="20"/>
          <w:szCs w:val="20"/>
          <w:lang w:val="en-US" w:eastAsia="en-US"/>
        </w:rPr>
        <w:t>et al.,</w:t>
      </w:r>
      <w:r w:rsidR="00CA78BA">
        <w:rPr>
          <w:rFonts w:ascii="Arial" w:hAnsi="Arial" w:cs="Arial"/>
          <w:sz w:val="20"/>
          <w:szCs w:val="20"/>
          <w:lang w:val="en-US" w:eastAsia="en-US"/>
        </w:rPr>
        <w:t xml:space="preserve"> 2023)</w:t>
      </w:r>
      <w:r w:rsidRPr="009F1F08">
        <w:rPr>
          <w:rFonts w:ascii="Arial" w:hAnsi="Arial" w:cs="Arial"/>
          <w:sz w:val="20"/>
          <w:szCs w:val="20"/>
          <w:lang w:val="en-US" w:eastAsia="en-US"/>
        </w:rPr>
        <w:t xml:space="preserve">. CMD is caused by a complex of </w:t>
      </w:r>
      <w:proofErr w:type="spellStart"/>
      <w:r w:rsidRPr="009F1F08">
        <w:rPr>
          <w:rFonts w:ascii="Arial" w:hAnsi="Arial" w:cs="Arial"/>
          <w:sz w:val="20"/>
          <w:szCs w:val="20"/>
          <w:lang w:val="en-US" w:eastAsia="en-US"/>
        </w:rPr>
        <w:t>geminiviruses</w:t>
      </w:r>
      <w:proofErr w:type="spellEnd"/>
      <w:r w:rsidRPr="009F1F08">
        <w:rPr>
          <w:rFonts w:ascii="Arial" w:hAnsi="Arial" w:cs="Arial"/>
          <w:sz w:val="20"/>
          <w:szCs w:val="20"/>
          <w:lang w:val="en-US" w:eastAsia="en-US"/>
        </w:rPr>
        <w:t xml:space="preserve"> from the </w:t>
      </w:r>
      <w:proofErr w:type="spellStart"/>
      <w:r w:rsidRPr="009F1F08">
        <w:rPr>
          <w:rFonts w:ascii="Arial" w:hAnsi="Arial" w:cs="Arial"/>
          <w:sz w:val="20"/>
          <w:szCs w:val="20"/>
          <w:lang w:val="en-US" w:eastAsia="en-US"/>
        </w:rPr>
        <w:t>Begomovirus</w:t>
      </w:r>
      <w:proofErr w:type="spellEnd"/>
      <w:r w:rsidRPr="009F1F08">
        <w:rPr>
          <w:rFonts w:ascii="Arial" w:hAnsi="Arial" w:cs="Arial"/>
          <w:sz w:val="20"/>
          <w:szCs w:val="20"/>
          <w:lang w:val="en-US" w:eastAsia="en-US"/>
        </w:rPr>
        <w:t xml:space="preserve"> genus, primarily including African cassava mosaic virus (ACMV) and East African cassava mosaic virus (EACMV), which infect the plant through various viral strains exhibiting differing levels of virulence (</w:t>
      </w:r>
      <w:proofErr w:type="spellStart"/>
      <w:r w:rsidRPr="009F1F08">
        <w:rPr>
          <w:rFonts w:ascii="Arial" w:hAnsi="Arial" w:cs="Arial"/>
          <w:sz w:val="20"/>
          <w:szCs w:val="20"/>
          <w:lang w:val="en-US" w:eastAsia="en-US"/>
        </w:rPr>
        <w:t>Doungous</w:t>
      </w:r>
      <w:proofErr w:type="spellEnd"/>
      <w:r w:rsidRPr="009F1F08">
        <w:rPr>
          <w:rFonts w:ascii="Arial" w:hAnsi="Arial" w:cs="Arial"/>
          <w:sz w:val="20"/>
          <w:szCs w:val="20"/>
          <w:lang w:val="en-US" w:eastAsia="en-US"/>
        </w:rPr>
        <w:t xml:space="preserve">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2022; </w:t>
      </w:r>
      <w:proofErr w:type="spellStart"/>
      <w:r w:rsidRPr="009F1F08">
        <w:rPr>
          <w:rFonts w:ascii="Arial" w:hAnsi="Arial" w:cs="Arial"/>
          <w:sz w:val="20"/>
          <w:szCs w:val="20"/>
          <w:lang w:val="en-US" w:eastAsia="en-US"/>
        </w:rPr>
        <w:t>Combala</w:t>
      </w:r>
      <w:proofErr w:type="spellEnd"/>
      <w:r w:rsidRPr="009F1F08">
        <w:rPr>
          <w:rFonts w:ascii="Arial" w:hAnsi="Arial" w:cs="Arial"/>
          <w:sz w:val="20"/>
          <w:szCs w:val="20"/>
          <w:lang w:val="en-US" w:eastAsia="en-US"/>
        </w:rPr>
        <w:t xml:space="preserve">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2024). The virus spreads mainly through vegetative propagation using infected cuttings, as well as biologically transmitted by the major insect vector, the polyphagous whitefly </w:t>
      </w:r>
      <w:proofErr w:type="spellStart"/>
      <w:r w:rsidRPr="009F1F08">
        <w:rPr>
          <w:rFonts w:ascii="Arial" w:hAnsi="Arial" w:cs="Arial"/>
          <w:sz w:val="20"/>
          <w:szCs w:val="20"/>
          <w:lang w:val="en-US" w:eastAsia="en-US"/>
        </w:rPr>
        <w:t>Bemisia</w:t>
      </w:r>
      <w:proofErr w:type="spellEnd"/>
      <w:r w:rsidRPr="009F1F08">
        <w:rPr>
          <w:rFonts w:ascii="Arial" w:hAnsi="Arial" w:cs="Arial"/>
          <w:sz w:val="20"/>
          <w:szCs w:val="20"/>
          <w:lang w:val="en-US" w:eastAsia="en-US"/>
        </w:rPr>
        <w:t xml:space="preserve"> </w:t>
      </w:r>
      <w:proofErr w:type="spellStart"/>
      <w:r w:rsidRPr="009F1F08">
        <w:rPr>
          <w:rFonts w:ascii="Arial" w:hAnsi="Arial" w:cs="Arial"/>
          <w:sz w:val="20"/>
          <w:szCs w:val="20"/>
          <w:lang w:val="en-US" w:eastAsia="en-US"/>
        </w:rPr>
        <w:t>tabaci</w:t>
      </w:r>
      <w:proofErr w:type="spellEnd"/>
      <w:r w:rsidRPr="009F1F08">
        <w:rPr>
          <w:rFonts w:ascii="Arial" w:hAnsi="Arial" w:cs="Arial"/>
          <w:sz w:val="20"/>
          <w:szCs w:val="20"/>
          <w:lang w:val="en-US" w:eastAsia="en-US"/>
        </w:rPr>
        <w:t xml:space="preserve">, which persistently and </w:t>
      </w:r>
      <w:proofErr w:type="spellStart"/>
      <w:r w:rsidRPr="009F1F08">
        <w:rPr>
          <w:rFonts w:ascii="Arial" w:hAnsi="Arial" w:cs="Arial"/>
          <w:sz w:val="20"/>
          <w:szCs w:val="20"/>
          <w:lang w:val="en-US" w:eastAsia="en-US"/>
        </w:rPr>
        <w:t>circulatively</w:t>
      </w:r>
      <w:proofErr w:type="spellEnd"/>
      <w:r w:rsidRPr="009F1F08">
        <w:rPr>
          <w:rFonts w:ascii="Arial" w:hAnsi="Arial" w:cs="Arial"/>
          <w:sz w:val="20"/>
          <w:szCs w:val="20"/>
          <w:lang w:val="en-US" w:eastAsia="en-US"/>
        </w:rPr>
        <w:t xml:space="preserve"> transmits the virus. </w:t>
      </w:r>
      <w:proofErr w:type="spellStart"/>
      <w:r w:rsidRPr="009F1F08">
        <w:rPr>
          <w:rFonts w:ascii="Arial" w:hAnsi="Arial" w:cs="Arial"/>
          <w:sz w:val="20"/>
          <w:szCs w:val="20"/>
          <w:lang w:val="en-US" w:eastAsia="en-US"/>
        </w:rPr>
        <w:t>Bemisia</w:t>
      </w:r>
      <w:proofErr w:type="spellEnd"/>
      <w:r w:rsidRPr="009F1F08">
        <w:rPr>
          <w:rFonts w:ascii="Arial" w:hAnsi="Arial" w:cs="Arial"/>
          <w:sz w:val="20"/>
          <w:szCs w:val="20"/>
          <w:lang w:val="en-US" w:eastAsia="en-US"/>
        </w:rPr>
        <w:t xml:space="preserve"> </w:t>
      </w:r>
      <w:proofErr w:type="spellStart"/>
      <w:r w:rsidRPr="009F1F08">
        <w:rPr>
          <w:rFonts w:ascii="Arial" w:hAnsi="Arial" w:cs="Arial"/>
          <w:sz w:val="20"/>
          <w:szCs w:val="20"/>
          <w:lang w:val="en-US" w:eastAsia="en-US"/>
        </w:rPr>
        <w:t>tabaci</w:t>
      </w:r>
      <w:proofErr w:type="spellEnd"/>
      <w:r w:rsidRPr="009F1F08">
        <w:rPr>
          <w:rFonts w:ascii="Arial" w:hAnsi="Arial" w:cs="Arial"/>
          <w:sz w:val="20"/>
          <w:szCs w:val="20"/>
          <w:lang w:val="en-US" w:eastAsia="en-US"/>
        </w:rPr>
        <w:t xml:space="preserve"> deserves particular attention due to its dual role, not only as the primary vector of CMD but also because of its intrapopulation genetic diversity, which influences the transmission efficiency of different viral strains (Legg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2014).</w:t>
      </w:r>
      <w:r w:rsidR="00215C1F">
        <w:rPr>
          <w:rFonts w:ascii="Arial" w:hAnsi="Arial" w:cs="Arial"/>
          <w:sz w:val="20"/>
          <w:szCs w:val="20"/>
          <w:lang w:val="en-US" w:eastAsia="en-US"/>
        </w:rPr>
        <w:t xml:space="preserve"> </w:t>
      </w:r>
      <w:r w:rsidRPr="009F1F08">
        <w:rPr>
          <w:rFonts w:ascii="Arial" w:hAnsi="Arial" w:cs="Arial"/>
          <w:sz w:val="20"/>
          <w:szCs w:val="20"/>
          <w:lang w:val="en-US" w:eastAsia="en-US"/>
        </w:rPr>
        <w:t xml:space="preserve">CMD symptoms are diverse and include mosaic chlorosis on leaves, leaf deformation, dwarfism, and overall stunted growth. These symptoms, though indicative, are not specific to a single viral strain. Such manifestations can severely compromise photosynthesis and thus plant productivity, leading to significant economic losses. In Côte d’Ivoire, recent studies </w:t>
      </w:r>
      <w:r w:rsidR="005F0AEB">
        <w:rPr>
          <w:rFonts w:ascii="Arial" w:hAnsi="Arial" w:cs="Arial"/>
          <w:sz w:val="20"/>
          <w:szCs w:val="20"/>
          <w:lang w:val="en-US" w:eastAsia="en-US"/>
        </w:rPr>
        <w:t>showed</w:t>
      </w:r>
      <w:r w:rsidRPr="009F1F08">
        <w:rPr>
          <w:rFonts w:ascii="Arial" w:hAnsi="Arial" w:cs="Arial"/>
          <w:sz w:val="20"/>
          <w:szCs w:val="20"/>
          <w:lang w:val="en-US" w:eastAsia="en-US"/>
        </w:rPr>
        <w:t xml:space="preserve"> that CMD-induced losses seriously threaten local food security (</w:t>
      </w:r>
      <w:proofErr w:type="spellStart"/>
      <w:r w:rsidRPr="009F1F08">
        <w:rPr>
          <w:rFonts w:ascii="Arial" w:hAnsi="Arial" w:cs="Arial"/>
          <w:sz w:val="20"/>
          <w:szCs w:val="20"/>
          <w:lang w:val="en-US" w:eastAsia="en-US"/>
        </w:rPr>
        <w:t>Amoakon</w:t>
      </w:r>
      <w:proofErr w:type="spellEnd"/>
      <w:r w:rsidRPr="009F1F08">
        <w:rPr>
          <w:rFonts w:ascii="Arial" w:hAnsi="Arial" w:cs="Arial"/>
          <w:sz w:val="20"/>
          <w:szCs w:val="20"/>
          <w:lang w:val="en-US" w:eastAsia="en-US"/>
        </w:rPr>
        <w:t xml:space="preserve">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2023; </w:t>
      </w:r>
      <w:proofErr w:type="spellStart"/>
      <w:r w:rsidRPr="009F1F08">
        <w:rPr>
          <w:rFonts w:ascii="Arial" w:hAnsi="Arial" w:cs="Arial"/>
          <w:sz w:val="20"/>
          <w:szCs w:val="20"/>
          <w:lang w:val="en-US" w:eastAsia="en-US"/>
        </w:rPr>
        <w:t>Ahoya</w:t>
      </w:r>
      <w:proofErr w:type="spellEnd"/>
      <w:r w:rsidRPr="009F1F08">
        <w:rPr>
          <w:rFonts w:ascii="Arial" w:hAnsi="Arial" w:cs="Arial"/>
          <w:sz w:val="20"/>
          <w:szCs w:val="20"/>
          <w:lang w:val="en-US" w:eastAsia="en-US"/>
        </w:rPr>
        <w:t xml:space="preserve">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2025).</w:t>
      </w:r>
      <w:r w:rsidR="00433CB4">
        <w:rPr>
          <w:rFonts w:ascii="Arial" w:hAnsi="Arial" w:cs="Arial"/>
          <w:sz w:val="20"/>
          <w:szCs w:val="20"/>
          <w:lang w:val="en-US" w:eastAsia="en-US"/>
        </w:rPr>
        <w:t xml:space="preserve"> </w:t>
      </w:r>
      <w:r w:rsidR="00433CB4" w:rsidRPr="00433CB4">
        <w:rPr>
          <w:rFonts w:ascii="Arial" w:hAnsi="Arial" w:cs="Arial"/>
          <w:sz w:val="20"/>
          <w:szCs w:val="20"/>
          <w:lang w:val="en-US" w:eastAsia="en-US"/>
        </w:rPr>
        <w:t>This</w:t>
      </w:r>
      <w:r w:rsidR="005F0AEB" w:rsidRPr="005F0AEB">
        <w:rPr>
          <w:rFonts w:ascii="Arial" w:hAnsi="Arial" w:cs="Arial"/>
          <w:sz w:val="20"/>
          <w:szCs w:val="20"/>
          <w:lang w:val="en-US" w:eastAsia="en-US"/>
        </w:rPr>
        <w:t xml:space="preserve"> urgent problem of food security</w:t>
      </w:r>
      <w:r w:rsidR="00433CB4" w:rsidRPr="00433CB4">
        <w:rPr>
          <w:rFonts w:ascii="Arial" w:hAnsi="Arial" w:cs="Arial"/>
          <w:sz w:val="20"/>
          <w:szCs w:val="20"/>
          <w:lang w:val="en-US" w:eastAsia="en-US"/>
        </w:rPr>
        <w:t xml:space="preserve"> would be due to variable genetic diversity and increasing severity of CMD viral strains, as well as their epidemiological dynamics between different departments.</w:t>
      </w:r>
      <w:r w:rsidR="001230A3">
        <w:rPr>
          <w:rFonts w:ascii="Arial" w:hAnsi="Arial" w:cs="Arial"/>
          <w:sz w:val="20"/>
          <w:szCs w:val="20"/>
          <w:lang w:val="en-US" w:eastAsia="en-US"/>
        </w:rPr>
        <w:t xml:space="preserve"> T</w:t>
      </w:r>
      <w:r w:rsidR="00433CB4" w:rsidRPr="00433CB4">
        <w:rPr>
          <w:rFonts w:ascii="Arial" w:hAnsi="Arial" w:cs="Arial"/>
          <w:sz w:val="20"/>
          <w:szCs w:val="20"/>
          <w:lang w:val="en-US" w:eastAsia="en-US"/>
        </w:rPr>
        <w:t xml:space="preserve">his study aims to contribute to </w:t>
      </w:r>
      <w:r w:rsidR="001230A3">
        <w:rPr>
          <w:rFonts w:ascii="Arial" w:hAnsi="Arial" w:cs="Arial"/>
          <w:sz w:val="20"/>
          <w:szCs w:val="20"/>
          <w:lang w:val="en-US" w:eastAsia="en-US"/>
        </w:rPr>
        <w:t xml:space="preserve">CMD </w:t>
      </w:r>
      <w:r w:rsidR="00433CB4" w:rsidRPr="00433CB4">
        <w:rPr>
          <w:rFonts w:ascii="Arial" w:hAnsi="Arial" w:cs="Arial"/>
          <w:sz w:val="20"/>
          <w:szCs w:val="20"/>
          <w:lang w:val="en-US" w:eastAsia="en-US"/>
        </w:rPr>
        <w:t xml:space="preserve">virus control </w:t>
      </w:r>
      <w:r w:rsidR="001230A3">
        <w:rPr>
          <w:rFonts w:ascii="Arial" w:hAnsi="Arial" w:cs="Arial"/>
          <w:sz w:val="20"/>
          <w:szCs w:val="20"/>
          <w:lang w:val="en-US" w:eastAsia="en-US"/>
        </w:rPr>
        <w:t>in order to</w:t>
      </w:r>
      <w:r w:rsidR="00433CB4" w:rsidRPr="00433CB4">
        <w:rPr>
          <w:rFonts w:ascii="Arial" w:hAnsi="Arial" w:cs="Arial"/>
          <w:sz w:val="20"/>
          <w:szCs w:val="20"/>
          <w:lang w:val="en-US" w:eastAsia="en-US"/>
        </w:rPr>
        <w:t xml:space="preserve"> improve </w:t>
      </w:r>
      <w:r w:rsidR="001230A3">
        <w:rPr>
          <w:rFonts w:ascii="Arial" w:hAnsi="Arial" w:cs="Arial"/>
          <w:sz w:val="20"/>
          <w:szCs w:val="20"/>
          <w:lang w:val="en-US" w:eastAsia="en-US"/>
        </w:rPr>
        <w:t xml:space="preserve">cassava </w:t>
      </w:r>
      <w:r w:rsidR="00433CB4" w:rsidRPr="00433CB4">
        <w:rPr>
          <w:rFonts w:ascii="Arial" w:hAnsi="Arial" w:cs="Arial"/>
          <w:sz w:val="20"/>
          <w:szCs w:val="20"/>
          <w:lang w:val="en-US" w:eastAsia="en-US"/>
        </w:rPr>
        <w:t>production through an epidemiological survey on a large scale</w:t>
      </w:r>
      <w:r w:rsidRPr="009F1F08">
        <w:rPr>
          <w:rFonts w:ascii="Arial" w:hAnsi="Arial" w:cs="Arial"/>
          <w:sz w:val="20"/>
          <w:szCs w:val="20"/>
          <w:lang w:val="en-US" w:eastAsia="en-US"/>
        </w:rPr>
        <w:t>.</w:t>
      </w:r>
      <w:r w:rsidR="00433CB4">
        <w:rPr>
          <w:rFonts w:ascii="Arial" w:hAnsi="Arial" w:cs="Arial"/>
          <w:sz w:val="20"/>
          <w:szCs w:val="20"/>
          <w:lang w:val="en-US" w:eastAsia="en-US"/>
        </w:rPr>
        <w:t xml:space="preserve"> </w:t>
      </w:r>
      <w:r w:rsidR="007822E1">
        <w:rPr>
          <w:rFonts w:ascii="Arial" w:hAnsi="Arial" w:cs="Arial"/>
          <w:sz w:val="20"/>
          <w:szCs w:val="20"/>
          <w:lang w:val="en-US" w:eastAsia="en-US"/>
        </w:rPr>
        <w:t xml:space="preserve">Thus, </w:t>
      </w:r>
      <w:r w:rsidRPr="009F1F08">
        <w:rPr>
          <w:rFonts w:ascii="Arial" w:hAnsi="Arial" w:cs="Arial"/>
          <w:sz w:val="20"/>
          <w:szCs w:val="20"/>
          <w:lang w:val="en-US" w:eastAsia="en-US"/>
        </w:rPr>
        <w:t xml:space="preserve">the cassava mosaic viruses </w:t>
      </w:r>
      <w:r w:rsidR="001230A3">
        <w:rPr>
          <w:rFonts w:ascii="Arial" w:hAnsi="Arial" w:cs="Arial"/>
          <w:sz w:val="20"/>
          <w:szCs w:val="20"/>
          <w:lang w:val="en-US" w:eastAsia="en-US"/>
        </w:rPr>
        <w:t>will be</w:t>
      </w:r>
      <w:r w:rsidR="007822E1">
        <w:rPr>
          <w:rFonts w:ascii="Arial" w:hAnsi="Arial" w:cs="Arial"/>
          <w:sz w:val="20"/>
          <w:szCs w:val="20"/>
          <w:lang w:val="en-US" w:eastAsia="en-US"/>
        </w:rPr>
        <w:t xml:space="preserve"> characterized </w:t>
      </w:r>
      <w:r w:rsidRPr="009F1F08">
        <w:rPr>
          <w:rFonts w:ascii="Arial" w:hAnsi="Arial" w:cs="Arial"/>
          <w:sz w:val="20"/>
          <w:szCs w:val="20"/>
          <w:lang w:val="en-US" w:eastAsia="en-US"/>
        </w:rPr>
        <w:t>in order to determine their geographical distribution and assess the factors influenc</w:t>
      </w:r>
      <w:r w:rsidR="001230A3">
        <w:rPr>
          <w:rFonts w:ascii="Arial" w:hAnsi="Arial" w:cs="Arial"/>
          <w:sz w:val="20"/>
          <w:szCs w:val="20"/>
          <w:lang w:val="en-US" w:eastAsia="en-US"/>
        </w:rPr>
        <w:t>ing</w:t>
      </w:r>
      <w:r w:rsidRPr="009F1F08">
        <w:rPr>
          <w:rFonts w:ascii="Arial" w:hAnsi="Arial" w:cs="Arial"/>
          <w:sz w:val="20"/>
          <w:szCs w:val="20"/>
          <w:lang w:val="en-US" w:eastAsia="en-US"/>
        </w:rPr>
        <w:t xml:space="preserve"> their dynamics in Côte d'Ivoire. </w:t>
      </w:r>
    </w:p>
    <w:p w14:paraId="0B4B1C5E" w14:textId="77777777" w:rsidR="009F1F08" w:rsidRDefault="009F1F08" w:rsidP="00441B6F">
      <w:pPr>
        <w:pStyle w:val="Body"/>
        <w:spacing w:after="0"/>
        <w:rPr>
          <w:rFonts w:ascii="Arial" w:hAnsi="Arial" w:cs="Arial"/>
        </w:rPr>
      </w:pPr>
    </w:p>
    <w:p w14:paraId="6FA3682A" w14:textId="77777777" w:rsidR="00790ADA" w:rsidRPr="00FB3A86" w:rsidRDefault="00790ADA" w:rsidP="00441B6F">
      <w:pPr>
        <w:pStyle w:val="Body"/>
        <w:spacing w:after="0"/>
        <w:rPr>
          <w:rFonts w:ascii="Arial" w:hAnsi="Arial" w:cs="Arial"/>
        </w:rPr>
      </w:pPr>
    </w:p>
    <w:p w14:paraId="6ADFFD0E" w14:textId="0DB7AD17" w:rsidR="007F7B32" w:rsidRDefault="00902823" w:rsidP="009F1F08">
      <w:pPr>
        <w:pStyle w:val="AbstHead"/>
        <w:spacing w:after="0"/>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57C317F4" w14:textId="77777777" w:rsidR="00790ADA" w:rsidRPr="00FB3A86" w:rsidRDefault="00790ADA" w:rsidP="00441B6F">
      <w:pPr>
        <w:pStyle w:val="Body"/>
        <w:spacing w:after="0"/>
        <w:rPr>
          <w:rFonts w:ascii="Arial" w:hAnsi="Arial" w:cs="Arial"/>
        </w:rPr>
      </w:pPr>
    </w:p>
    <w:p w14:paraId="6A8F1E88" w14:textId="51D5C15B" w:rsidR="009F1F08" w:rsidRPr="006568C4" w:rsidRDefault="00AA74E0" w:rsidP="00215C1F">
      <w:pPr>
        <w:spacing w:after="240"/>
        <w:jc w:val="both"/>
        <w:rPr>
          <w:rFonts w:ascii="Times New Roman" w:hAnsi="Times New Roman"/>
          <w:b/>
          <w:bCs/>
          <w:sz w:val="28"/>
          <w:szCs w:val="28"/>
        </w:rPr>
      </w:pPr>
      <w:r w:rsidRPr="00C30A0F">
        <w:rPr>
          <w:rFonts w:ascii="Arial" w:hAnsi="Arial" w:cs="Arial"/>
          <w:b/>
          <w:caps/>
          <w:sz w:val="22"/>
        </w:rPr>
        <w:t xml:space="preserve">2.1 </w:t>
      </w:r>
      <w:r w:rsidR="009F1F08" w:rsidRPr="00EC6EFA">
        <w:rPr>
          <w:rFonts w:ascii="Arial" w:hAnsi="Arial" w:cs="Arial"/>
          <w:b/>
          <w:sz w:val="22"/>
        </w:rPr>
        <w:t>Study areas and sample collection</w:t>
      </w:r>
    </w:p>
    <w:p w14:paraId="4DA76DEF" w14:textId="580D3F7C" w:rsidR="001435C1" w:rsidRPr="000F78E1" w:rsidRDefault="001230A3" w:rsidP="000F78E1">
      <w:pPr>
        <w:pStyle w:val="my-2"/>
        <w:spacing w:before="0" w:beforeAutospacing="0" w:after="0" w:afterAutospacing="0" w:line="360" w:lineRule="auto"/>
        <w:jc w:val="both"/>
        <w:rPr>
          <w:rFonts w:ascii="Arial" w:hAnsi="Arial" w:cs="Arial"/>
          <w:sz w:val="20"/>
          <w:szCs w:val="20"/>
          <w:lang w:val="en-US" w:eastAsia="en-US"/>
        </w:rPr>
      </w:pPr>
      <w:r>
        <w:rPr>
          <w:rFonts w:ascii="Arial" w:hAnsi="Arial" w:cs="Arial"/>
          <w:sz w:val="20"/>
          <w:szCs w:val="20"/>
          <w:lang w:val="en-US" w:eastAsia="en-US"/>
        </w:rPr>
        <w:t>The</w:t>
      </w:r>
      <w:r w:rsidR="00EC6EFA" w:rsidRPr="00EC6EFA">
        <w:rPr>
          <w:rFonts w:ascii="Arial" w:hAnsi="Arial" w:cs="Arial"/>
          <w:sz w:val="20"/>
          <w:szCs w:val="20"/>
          <w:lang w:val="en-US" w:eastAsia="en-US"/>
        </w:rPr>
        <w:t xml:space="preserve"> study was conducted in the central and central-western regions of Côte d’Ivoire, specifically in three major departments known for their significant cassava production: Bouake, Yamoussoukro and </w:t>
      </w:r>
      <w:proofErr w:type="spellStart"/>
      <w:r w:rsidR="00EC6EFA" w:rsidRPr="00EC6EFA">
        <w:rPr>
          <w:rFonts w:ascii="Arial" w:hAnsi="Arial" w:cs="Arial"/>
          <w:sz w:val="20"/>
          <w:szCs w:val="20"/>
          <w:lang w:val="en-US" w:eastAsia="en-US"/>
        </w:rPr>
        <w:t>Daloa</w:t>
      </w:r>
      <w:proofErr w:type="spellEnd"/>
      <w:r w:rsidR="00EC6EFA" w:rsidRPr="00EC6EFA">
        <w:rPr>
          <w:rFonts w:ascii="Arial" w:hAnsi="Arial" w:cs="Arial"/>
          <w:sz w:val="20"/>
          <w:szCs w:val="20"/>
          <w:lang w:val="en-US" w:eastAsia="en-US"/>
        </w:rPr>
        <w:t xml:space="preserve">. These regions experience a climate characterized by </w:t>
      </w:r>
      <w:r w:rsidR="00EC6EFA" w:rsidRPr="000F78E1">
        <w:rPr>
          <w:rFonts w:ascii="Arial" w:hAnsi="Arial" w:cs="Arial"/>
          <w:sz w:val="20"/>
          <w:szCs w:val="20"/>
          <w:lang w:val="en-US" w:eastAsia="en-US"/>
        </w:rPr>
        <w:t>two distinct seasons</w:t>
      </w:r>
      <w:r w:rsidRPr="000F78E1">
        <w:rPr>
          <w:rFonts w:ascii="Arial" w:hAnsi="Arial" w:cs="Arial"/>
          <w:sz w:val="20"/>
          <w:szCs w:val="20"/>
          <w:lang w:val="en-US" w:eastAsia="en-US"/>
        </w:rPr>
        <w:t xml:space="preserve"> </w:t>
      </w:r>
      <w:r w:rsidR="001435C1" w:rsidRPr="000F78E1">
        <w:rPr>
          <w:rFonts w:ascii="Arial" w:hAnsi="Arial" w:cs="Arial"/>
          <w:sz w:val="20"/>
          <w:szCs w:val="20"/>
        </w:rPr>
        <w:t>(</w:t>
      </w:r>
      <w:r w:rsidRPr="000F78E1">
        <w:rPr>
          <w:rFonts w:ascii="Arial" w:hAnsi="Arial" w:cs="Arial"/>
          <w:sz w:val="20"/>
          <w:szCs w:val="20"/>
          <w:lang w:val="en-US" w:eastAsia="en-US"/>
        </w:rPr>
        <w:t>dry season and rainy season)</w:t>
      </w:r>
      <w:r w:rsidR="001435C1" w:rsidRPr="000F78E1">
        <w:rPr>
          <w:rFonts w:ascii="Arial" w:hAnsi="Arial" w:cs="Arial"/>
          <w:sz w:val="20"/>
          <w:szCs w:val="20"/>
        </w:rPr>
        <w:t xml:space="preserve"> </w:t>
      </w:r>
      <w:r w:rsidR="001435C1" w:rsidRPr="000F78E1">
        <w:rPr>
          <w:rFonts w:ascii="Arial" w:hAnsi="Arial" w:cs="Arial"/>
          <w:sz w:val="20"/>
          <w:szCs w:val="20"/>
          <w:lang w:val="en-US" w:eastAsia="en-US"/>
        </w:rPr>
        <w:t xml:space="preserve">from November 2019 to August 2020, to take account of seasonal impacts on the Cassava Mosaic </w:t>
      </w:r>
      <w:proofErr w:type="spellStart"/>
      <w:r w:rsidR="001435C1" w:rsidRPr="000F78E1">
        <w:rPr>
          <w:rFonts w:ascii="Arial" w:hAnsi="Arial" w:cs="Arial"/>
          <w:sz w:val="20"/>
          <w:szCs w:val="20"/>
          <w:lang w:val="en-US" w:eastAsia="en-US"/>
        </w:rPr>
        <w:t>Desease</w:t>
      </w:r>
      <w:proofErr w:type="spellEnd"/>
      <w:r w:rsidR="001435C1" w:rsidRPr="000F78E1">
        <w:rPr>
          <w:rFonts w:ascii="Arial" w:hAnsi="Arial" w:cs="Arial"/>
          <w:sz w:val="20"/>
          <w:szCs w:val="20"/>
          <w:lang w:val="en-US" w:eastAsia="en-US"/>
        </w:rPr>
        <w:t>.</w:t>
      </w:r>
    </w:p>
    <w:p w14:paraId="16A87EC4" w14:textId="5930608A" w:rsidR="002E3DE2" w:rsidRPr="000F78E1" w:rsidRDefault="00EC6EFA" w:rsidP="00B667B0">
      <w:pPr>
        <w:spacing w:line="360" w:lineRule="auto"/>
        <w:jc w:val="both"/>
        <w:rPr>
          <w:rFonts w:ascii="Arial" w:hAnsi="Arial" w:cs="Arial"/>
        </w:rPr>
      </w:pPr>
      <w:r w:rsidRPr="000F78E1">
        <w:rPr>
          <w:rFonts w:ascii="Arial" w:hAnsi="Arial" w:cs="Arial"/>
        </w:rPr>
        <w:lastRenderedPageBreak/>
        <w:t>For optimal representativeness</w:t>
      </w:r>
      <w:r w:rsidR="007B39FB" w:rsidRPr="000F78E1">
        <w:rPr>
          <w:rFonts w:ascii="Arial" w:hAnsi="Arial" w:cs="Arial"/>
        </w:rPr>
        <w:t xml:space="preserve"> of </w:t>
      </w:r>
      <w:proofErr w:type="spellStart"/>
      <w:r w:rsidR="007B39FB" w:rsidRPr="000F78E1">
        <w:rPr>
          <w:rFonts w:ascii="Arial" w:hAnsi="Arial" w:cs="Arial"/>
        </w:rPr>
        <w:t>departmnents</w:t>
      </w:r>
      <w:proofErr w:type="spellEnd"/>
      <w:r w:rsidRPr="000F78E1">
        <w:rPr>
          <w:rFonts w:ascii="Arial" w:hAnsi="Arial" w:cs="Arial"/>
        </w:rPr>
        <w:t xml:space="preserve">, five </w:t>
      </w:r>
      <w:r w:rsidR="007B39FB" w:rsidRPr="000F78E1">
        <w:rPr>
          <w:rFonts w:ascii="Arial" w:hAnsi="Arial" w:cs="Arial"/>
        </w:rPr>
        <w:t xml:space="preserve">villages </w:t>
      </w:r>
      <w:r w:rsidR="002E3DE2" w:rsidRPr="000F78E1">
        <w:rPr>
          <w:rFonts w:ascii="Arial" w:hAnsi="Arial" w:cs="Arial"/>
        </w:rPr>
        <w:t xml:space="preserve">were </w:t>
      </w:r>
      <w:r w:rsidR="007B39FB" w:rsidRPr="000F78E1">
        <w:rPr>
          <w:rFonts w:ascii="Arial" w:hAnsi="Arial" w:cs="Arial"/>
        </w:rPr>
        <w:t>selected</w:t>
      </w:r>
      <w:r w:rsidR="002E3DE2" w:rsidRPr="000F78E1">
        <w:rPr>
          <w:rFonts w:ascii="Arial" w:hAnsi="Arial" w:cs="Arial"/>
        </w:rPr>
        <w:t xml:space="preserve"> by department. There</w:t>
      </w:r>
      <w:r w:rsidR="007B39FB" w:rsidRPr="000F78E1">
        <w:rPr>
          <w:rFonts w:ascii="Arial" w:hAnsi="Arial" w:cs="Arial"/>
        </w:rPr>
        <w:t xml:space="preserve"> are </w:t>
      </w:r>
      <w:proofErr w:type="spellStart"/>
      <w:r w:rsidR="007B39FB" w:rsidRPr="000F78E1">
        <w:rPr>
          <w:rFonts w:ascii="Arial" w:hAnsi="Arial" w:cs="Arial"/>
        </w:rPr>
        <w:t>Bribouo</w:t>
      </w:r>
      <w:proofErr w:type="spellEnd"/>
      <w:r w:rsidR="007B39FB" w:rsidRPr="000F78E1">
        <w:rPr>
          <w:rFonts w:ascii="Arial" w:hAnsi="Arial" w:cs="Arial"/>
        </w:rPr>
        <w:t xml:space="preserve">, </w:t>
      </w:r>
      <w:proofErr w:type="spellStart"/>
      <w:r w:rsidR="007B39FB" w:rsidRPr="000F78E1">
        <w:rPr>
          <w:rFonts w:ascii="Arial" w:hAnsi="Arial" w:cs="Arial"/>
        </w:rPr>
        <w:t>Kibouo</w:t>
      </w:r>
      <w:proofErr w:type="spellEnd"/>
      <w:r w:rsidR="007B39FB" w:rsidRPr="000F78E1">
        <w:rPr>
          <w:rFonts w:ascii="Arial" w:hAnsi="Arial" w:cs="Arial"/>
        </w:rPr>
        <w:t xml:space="preserve">, </w:t>
      </w:r>
      <w:proofErr w:type="spellStart"/>
      <w:r w:rsidR="007B39FB" w:rsidRPr="000F78E1">
        <w:rPr>
          <w:rFonts w:ascii="Arial" w:hAnsi="Arial" w:cs="Arial"/>
        </w:rPr>
        <w:t>Zaguiguia</w:t>
      </w:r>
      <w:proofErr w:type="spellEnd"/>
      <w:r w:rsidR="007B39FB" w:rsidRPr="000F78E1">
        <w:rPr>
          <w:rFonts w:ascii="Arial" w:hAnsi="Arial" w:cs="Arial"/>
        </w:rPr>
        <w:t xml:space="preserve">, Zakaria, and </w:t>
      </w:r>
      <w:proofErr w:type="spellStart"/>
      <w:r w:rsidR="007B39FB" w:rsidRPr="000F78E1">
        <w:rPr>
          <w:rFonts w:ascii="Arial" w:hAnsi="Arial" w:cs="Arial"/>
        </w:rPr>
        <w:t>Zakoua</w:t>
      </w:r>
      <w:proofErr w:type="spellEnd"/>
      <w:r w:rsidR="007B39FB" w:rsidRPr="000F78E1">
        <w:rPr>
          <w:rFonts w:ascii="Arial" w:hAnsi="Arial" w:cs="Arial"/>
        </w:rPr>
        <w:t xml:space="preserve"> in the Bouak</w:t>
      </w:r>
      <w:r w:rsidR="002E3DE2" w:rsidRPr="000F78E1">
        <w:rPr>
          <w:rFonts w:ascii="Arial" w:hAnsi="Arial" w:cs="Arial"/>
        </w:rPr>
        <w:t>e</w:t>
      </w:r>
      <w:r w:rsidR="007B39FB" w:rsidRPr="000F78E1">
        <w:rPr>
          <w:rFonts w:ascii="Arial" w:hAnsi="Arial" w:cs="Arial"/>
        </w:rPr>
        <w:t xml:space="preserve"> department; </w:t>
      </w:r>
      <w:proofErr w:type="spellStart"/>
      <w:r w:rsidR="007B39FB" w:rsidRPr="000F78E1">
        <w:rPr>
          <w:rFonts w:ascii="Arial" w:hAnsi="Arial" w:cs="Arial"/>
        </w:rPr>
        <w:t>Apkessekro</w:t>
      </w:r>
      <w:proofErr w:type="spellEnd"/>
      <w:r w:rsidR="007B39FB" w:rsidRPr="000F78E1">
        <w:rPr>
          <w:rFonts w:ascii="Arial" w:hAnsi="Arial" w:cs="Arial"/>
        </w:rPr>
        <w:t xml:space="preserve">, </w:t>
      </w:r>
      <w:proofErr w:type="spellStart"/>
      <w:r w:rsidR="007B39FB" w:rsidRPr="000F78E1">
        <w:rPr>
          <w:rFonts w:ascii="Arial" w:hAnsi="Arial" w:cs="Arial"/>
        </w:rPr>
        <w:t>Assanou</w:t>
      </w:r>
      <w:proofErr w:type="spellEnd"/>
      <w:r w:rsidR="007B39FB" w:rsidRPr="000F78E1">
        <w:rPr>
          <w:rFonts w:ascii="Arial" w:hAnsi="Arial" w:cs="Arial"/>
        </w:rPr>
        <w:t xml:space="preserve">, </w:t>
      </w:r>
      <w:proofErr w:type="spellStart"/>
      <w:r w:rsidR="007B39FB" w:rsidRPr="000F78E1">
        <w:rPr>
          <w:rFonts w:ascii="Arial" w:hAnsi="Arial" w:cs="Arial"/>
        </w:rPr>
        <w:t>Lolobo</w:t>
      </w:r>
      <w:proofErr w:type="spellEnd"/>
      <w:r w:rsidR="007B39FB" w:rsidRPr="000F78E1">
        <w:rPr>
          <w:rFonts w:ascii="Arial" w:hAnsi="Arial" w:cs="Arial"/>
        </w:rPr>
        <w:t xml:space="preserve">, </w:t>
      </w:r>
      <w:proofErr w:type="spellStart"/>
      <w:r w:rsidR="007B39FB" w:rsidRPr="000F78E1">
        <w:rPr>
          <w:rFonts w:ascii="Arial" w:hAnsi="Arial" w:cs="Arial"/>
        </w:rPr>
        <w:t>Ngbessou</w:t>
      </w:r>
      <w:proofErr w:type="spellEnd"/>
      <w:r w:rsidR="007B39FB" w:rsidRPr="000F78E1">
        <w:rPr>
          <w:rFonts w:ascii="Arial" w:hAnsi="Arial" w:cs="Arial"/>
        </w:rPr>
        <w:t xml:space="preserve">, and </w:t>
      </w:r>
      <w:proofErr w:type="spellStart"/>
      <w:r w:rsidR="007B39FB" w:rsidRPr="000F78E1">
        <w:rPr>
          <w:rFonts w:ascii="Arial" w:hAnsi="Arial" w:cs="Arial"/>
        </w:rPr>
        <w:t>Oufouediekro</w:t>
      </w:r>
      <w:proofErr w:type="spellEnd"/>
      <w:r w:rsidR="007B39FB" w:rsidRPr="000F78E1">
        <w:rPr>
          <w:rFonts w:ascii="Arial" w:hAnsi="Arial" w:cs="Arial"/>
        </w:rPr>
        <w:t xml:space="preserve"> for Yamoussoukro; and </w:t>
      </w:r>
      <w:proofErr w:type="spellStart"/>
      <w:r w:rsidR="007B39FB" w:rsidRPr="000F78E1">
        <w:rPr>
          <w:rFonts w:ascii="Arial" w:hAnsi="Arial" w:cs="Arial"/>
        </w:rPr>
        <w:t>Diabo</w:t>
      </w:r>
      <w:proofErr w:type="spellEnd"/>
      <w:r w:rsidR="007B39FB" w:rsidRPr="000F78E1">
        <w:rPr>
          <w:rFonts w:ascii="Arial" w:hAnsi="Arial" w:cs="Arial"/>
        </w:rPr>
        <w:t xml:space="preserve">, </w:t>
      </w:r>
      <w:proofErr w:type="spellStart"/>
      <w:r w:rsidR="007B39FB" w:rsidRPr="000F78E1">
        <w:rPr>
          <w:rFonts w:ascii="Arial" w:hAnsi="Arial" w:cs="Arial"/>
        </w:rPr>
        <w:t>Ndjebonoua</w:t>
      </w:r>
      <w:proofErr w:type="spellEnd"/>
      <w:r w:rsidR="007B39FB" w:rsidRPr="000F78E1">
        <w:rPr>
          <w:rFonts w:ascii="Arial" w:hAnsi="Arial" w:cs="Arial"/>
        </w:rPr>
        <w:t xml:space="preserve">, </w:t>
      </w:r>
      <w:proofErr w:type="spellStart"/>
      <w:r w:rsidR="007B39FB" w:rsidRPr="000F78E1">
        <w:rPr>
          <w:rFonts w:ascii="Arial" w:hAnsi="Arial" w:cs="Arial"/>
        </w:rPr>
        <w:t>Kekrekouakoukro</w:t>
      </w:r>
      <w:proofErr w:type="spellEnd"/>
      <w:r w:rsidR="007B39FB" w:rsidRPr="000F78E1">
        <w:rPr>
          <w:rFonts w:ascii="Arial" w:hAnsi="Arial" w:cs="Arial"/>
        </w:rPr>
        <w:t xml:space="preserve">, </w:t>
      </w:r>
      <w:proofErr w:type="spellStart"/>
      <w:r w:rsidR="007B39FB" w:rsidRPr="000F78E1">
        <w:rPr>
          <w:rFonts w:ascii="Arial" w:hAnsi="Arial" w:cs="Arial"/>
        </w:rPr>
        <w:t>Kogodekro</w:t>
      </w:r>
      <w:proofErr w:type="spellEnd"/>
      <w:r w:rsidR="007B39FB" w:rsidRPr="000F78E1">
        <w:rPr>
          <w:rFonts w:ascii="Arial" w:hAnsi="Arial" w:cs="Arial"/>
        </w:rPr>
        <w:t xml:space="preserve">, and </w:t>
      </w:r>
      <w:proofErr w:type="spellStart"/>
      <w:r w:rsidR="007B39FB" w:rsidRPr="000F78E1">
        <w:rPr>
          <w:rFonts w:ascii="Arial" w:hAnsi="Arial" w:cs="Arial"/>
        </w:rPr>
        <w:t>Yebouekro</w:t>
      </w:r>
      <w:proofErr w:type="spellEnd"/>
      <w:r w:rsidR="007B39FB" w:rsidRPr="000F78E1">
        <w:rPr>
          <w:rFonts w:ascii="Arial" w:hAnsi="Arial" w:cs="Arial"/>
        </w:rPr>
        <w:t xml:space="preserve"> for the </w:t>
      </w:r>
      <w:proofErr w:type="spellStart"/>
      <w:r w:rsidR="007B39FB" w:rsidRPr="000F78E1">
        <w:rPr>
          <w:rFonts w:ascii="Arial" w:hAnsi="Arial" w:cs="Arial"/>
        </w:rPr>
        <w:t>Bouaké</w:t>
      </w:r>
      <w:proofErr w:type="spellEnd"/>
      <w:r w:rsidR="007B39FB" w:rsidRPr="000F78E1">
        <w:rPr>
          <w:rFonts w:ascii="Arial" w:hAnsi="Arial" w:cs="Arial"/>
        </w:rPr>
        <w:t xml:space="preserve"> department. These villages were chosen because of their geographical location, which is representative of the different departments studied, as well as for the diversity of cassava varieties grown there.</w:t>
      </w:r>
      <w:r w:rsidRPr="000F78E1">
        <w:rPr>
          <w:rFonts w:ascii="Arial" w:hAnsi="Arial" w:cs="Arial"/>
        </w:rPr>
        <w:t xml:space="preserve"> </w:t>
      </w:r>
      <w:r w:rsidR="002E3DE2" w:rsidRPr="000F78E1">
        <w:rPr>
          <w:rFonts w:ascii="Arial" w:hAnsi="Arial" w:cs="Arial"/>
        </w:rPr>
        <w:t xml:space="preserve">For each surveyed site, prior sampling consent was obtained from the respective farmers. </w:t>
      </w:r>
      <w:r w:rsidR="006E26F6" w:rsidRPr="000F78E1">
        <w:rPr>
          <w:rFonts w:ascii="Arial" w:hAnsi="Arial" w:cs="Arial"/>
        </w:rPr>
        <w:t>B</w:t>
      </w:r>
      <w:r w:rsidRPr="000F78E1">
        <w:rPr>
          <w:rFonts w:ascii="Arial" w:hAnsi="Arial" w:cs="Arial"/>
        </w:rPr>
        <w:t xml:space="preserve">etween 5 and 12 </w:t>
      </w:r>
      <w:r w:rsidR="006E26F6" w:rsidRPr="000F78E1">
        <w:rPr>
          <w:rFonts w:ascii="Arial" w:hAnsi="Arial" w:cs="Arial"/>
        </w:rPr>
        <w:t>cassava fields</w:t>
      </w:r>
      <w:r w:rsidRPr="000F78E1">
        <w:rPr>
          <w:rFonts w:ascii="Arial" w:hAnsi="Arial" w:cs="Arial"/>
        </w:rPr>
        <w:t xml:space="preserve"> per village were randomly chosen for sampling. </w:t>
      </w:r>
      <w:r w:rsidR="0009633B" w:rsidRPr="000F78E1">
        <w:rPr>
          <w:rFonts w:ascii="Arial" w:hAnsi="Arial" w:cs="Arial"/>
        </w:rPr>
        <w:t>Thus, a</w:t>
      </w:r>
      <w:r w:rsidRPr="000F78E1">
        <w:rPr>
          <w:rFonts w:ascii="Arial" w:hAnsi="Arial" w:cs="Arial"/>
        </w:rPr>
        <w:t xml:space="preserve"> total of 183 plantations were visited</w:t>
      </w:r>
      <w:r w:rsidR="00F6070A" w:rsidRPr="000F78E1">
        <w:rPr>
          <w:rFonts w:ascii="Arial" w:hAnsi="Arial" w:cs="Arial"/>
        </w:rPr>
        <w:t xml:space="preserve"> </w:t>
      </w:r>
      <w:r w:rsidR="006E26F6" w:rsidRPr="000F78E1">
        <w:rPr>
          <w:rFonts w:ascii="Arial" w:hAnsi="Arial" w:cs="Arial"/>
        </w:rPr>
        <w:t>during the sampling</w:t>
      </w:r>
      <w:r w:rsidRPr="000F78E1">
        <w:rPr>
          <w:rFonts w:ascii="Arial" w:hAnsi="Arial" w:cs="Arial"/>
        </w:rPr>
        <w:t xml:space="preserve">. </w:t>
      </w:r>
      <w:r w:rsidR="007E5A12" w:rsidRPr="000F78E1">
        <w:rPr>
          <w:rFonts w:ascii="Arial" w:hAnsi="Arial" w:cs="Arial"/>
        </w:rPr>
        <w:t>It should be mentioned that data collection was carried out in two stages (a &amp; b).</w:t>
      </w:r>
    </w:p>
    <w:p w14:paraId="5FDD1314" w14:textId="6964484A" w:rsidR="00BD7404" w:rsidRPr="000F78E1" w:rsidRDefault="007E5A12" w:rsidP="00B667B0">
      <w:pPr>
        <w:pStyle w:val="HTMLPreformatted"/>
        <w:shd w:val="clear" w:color="auto" w:fill="F8F9FA"/>
        <w:spacing w:line="360" w:lineRule="auto"/>
        <w:jc w:val="both"/>
        <w:rPr>
          <w:rFonts w:ascii="Arial" w:hAnsi="Arial" w:cs="Arial"/>
          <w:lang w:val="en-US" w:eastAsia="en-US"/>
        </w:rPr>
      </w:pPr>
      <w:r w:rsidRPr="000F78E1">
        <w:rPr>
          <w:rFonts w:ascii="Arial" w:hAnsi="Arial" w:cs="Arial"/>
          <w:lang w:val="en-US" w:eastAsia="en-US"/>
        </w:rPr>
        <w:t xml:space="preserve">a- </w:t>
      </w:r>
      <w:r w:rsidR="00B667B0" w:rsidRPr="00B667B0">
        <w:rPr>
          <w:rFonts w:ascii="Arial" w:hAnsi="Arial" w:cs="Arial"/>
          <w:lang w:val="en-US" w:eastAsia="en-US"/>
        </w:rPr>
        <w:t xml:space="preserve">For this stage of sampling, all cassava plants present in the fields, 5896 plants, were </w:t>
      </w:r>
      <w:proofErr w:type="gramStart"/>
      <w:r w:rsidR="00B667B0" w:rsidRPr="00B667B0">
        <w:rPr>
          <w:rFonts w:ascii="Arial" w:hAnsi="Arial" w:cs="Arial"/>
          <w:lang w:val="en-US" w:eastAsia="en-US"/>
        </w:rPr>
        <w:t>taken into account</w:t>
      </w:r>
      <w:proofErr w:type="gramEnd"/>
      <w:r w:rsidR="00B667B0" w:rsidRPr="00B667B0">
        <w:rPr>
          <w:rFonts w:ascii="Arial" w:hAnsi="Arial" w:cs="Arial"/>
          <w:lang w:val="en-US" w:eastAsia="en-US"/>
        </w:rPr>
        <w:t>.</w:t>
      </w:r>
      <w:r w:rsidR="00B667B0">
        <w:rPr>
          <w:rFonts w:ascii="Arial" w:hAnsi="Arial" w:cs="Arial"/>
          <w:lang w:val="en-US" w:eastAsia="en-US"/>
        </w:rPr>
        <w:t xml:space="preserve"> </w:t>
      </w:r>
      <w:r w:rsidRPr="000F78E1">
        <w:rPr>
          <w:rFonts w:ascii="Arial" w:hAnsi="Arial" w:cs="Arial"/>
          <w:lang w:val="en-US" w:eastAsia="en-US"/>
        </w:rPr>
        <w:t xml:space="preserve">To assess the rate of diseased plants, the number of plants showing phenotypic symptoms was counted in each field, as well as the total number of plants in the plantation. In large fields, a representative sample area comprising 30 plants was selected to perform this same count, in accordance with the method described by </w:t>
      </w:r>
      <w:proofErr w:type="spellStart"/>
      <w:r w:rsidRPr="000F78E1">
        <w:rPr>
          <w:rFonts w:ascii="Arial" w:hAnsi="Arial" w:cs="Arial"/>
          <w:lang w:val="en-US" w:eastAsia="en-US"/>
        </w:rPr>
        <w:t>Sseruwagi</w:t>
      </w:r>
      <w:proofErr w:type="spellEnd"/>
      <w:r w:rsidRPr="000F78E1">
        <w:rPr>
          <w:rFonts w:ascii="Arial" w:hAnsi="Arial" w:cs="Arial"/>
          <w:lang w:val="en-US" w:eastAsia="en-US"/>
        </w:rPr>
        <w:t xml:space="preserve"> </w:t>
      </w:r>
      <w:r w:rsidRPr="00B667B0">
        <w:rPr>
          <w:rFonts w:ascii="Arial" w:hAnsi="Arial" w:cs="Arial"/>
          <w:lang w:val="en-US" w:eastAsia="en-US"/>
        </w:rPr>
        <w:t>et al.</w:t>
      </w:r>
      <w:r w:rsidRPr="000F78E1">
        <w:rPr>
          <w:rFonts w:ascii="Arial" w:hAnsi="Arial" w:cs="Arial"/>
          <w:lang w:val="en-US" w:eastAsia="en-US"/>
        </w:rPr>
        <w:t xml:space="preserve"> (2004). This data collection was carried out using a pre-established questionnaire, which also collected additional information such as GPS coordinates, varieties grown, age of plantations, origin of cuttings, season of collection, and severity of cassava mosaic disease (CMD) in each field. This severity was assessed on a scale of 1 to 5, following the method proposed by </w:t>
      </w:r>
      <w:proofErr w:type="spellStart"/>
      <w:r w:rsidRPr="000F78E1">
        <w:rPr>
          <w:rFonts w:ascii="Arial" w:hAnsi="Arial" w:cs="Arial"/>
          <w:lang w:val="en-US" w:eastAsia="en-US"/>
        </w:rPr>
        <w:t>Bakuzezia</w:t>
      </w:r>
      <w:proofErr w:type="spellEnd"/>
      <w:r w:rsidRPr="000F78E1">
        <w:rPr>
          <w:rFonts w:ascii="Arial" w:hAnsi="Arial" w:cs="Arial"/>
          <w:lang w:val="en-US" w:eastAsia="en-US"/>
        </w:rPr>
        <w:t xml:space="preserve"> (2019) below.</w:t>
      </w:r>
      <w:r w:rsidR="00B667B0">
        <w:rPr>
          <w:rFonts w:ascii="Arial" w:hAnsi="Arial" w:cs="Arial"/>
          <w:lang w:val="en-US" w:eastAsia="en-US"/>
        </w:rPr>
        <w:t xml:space="preserve"> </w:t>
      </w:r>
    </w:p>
    <w:p w14:paraId="727AD8A9" w14:textId="6BCDB86A" w:rsidR="00AA74E0" w:rsidRDefault="00AA74E0" w:rsidP="00441B6F">
      <w:pPr>
        <w:pStyle w:val="Body"/>
        <w:spacing w:after="0"/>
        <w:rPr>
          <w:rFonts w:ascii="Arial" w:hAnsi="Arial" w:cs="Arial"/>
        </w:rPr>
      </w:pPr>
    </w:p>
    <w:p w14:paraId="4CBE2F33" w14:textId="77777777" w:rsidR="00EC6EFA" w:rsidRPr="00EC6EFA" w:rsidRDefault="00EC6EFA" w:rsidP="00EC6EFA">
      <w:pPr>
        <w:spacing w:line="276" w:lineRule="auto"/>
        <w:jc w:val="center"/>
        <w:rPr>
          <w:rFonts w:ascii="Arial" w:hAnsi="Arial" w:cs="Arial"/>
          <w:b/>
          <w:u w:val="single"/>
        </w:rPr>
      </w:pPr>
      <w:r w:rsidRPr="00EC6EFA">
        <w:rPr>
          <w:rFonts w:ascii="Arial" w:hAnsi="Arial" w:cs="Arial"/>
          <w:b/>
          <w:u w:val="single"/>
        </w:rPr>
        <w:t>Grading scale of CMD severities</w:t>
      </w:r>
    </w:p>
    <w:p w14:paraId="3725939D" w14:textId="77777777" w:rsidR="00EC6EFA" w:rsidRPr="00EC6EFA" w:rsidRDefault="00EC6EFA" w:rsidP="000F78E1">
      <w:pPr>
        <w:pStyle w:val="ListParagraph"/>
        <w:numPr>
          <w:ilvl w:val="0"/>
          <w:numId w:val="31"/>
        </w:numPr>
        <w:tabs>
          <w:tab w:val="left" w:pos="1159"/>
        </w:tabs>
        <w:spacing w:line="360" w:lineRule="auto"/>
        <w:rPr>
          <w:rFonts w:ascii="Arial" w:eastAsia="Times New Roman" w:hAnsi="Arial" w:cs="Arial"/>
          <w:sz w:val="20"/>
          <w:szCs w:val="20"/>
        </w:rPr>
      </w:pPr>
      <w:proofErr w:type="spellStart"/>
      <w:r w:rsidRPr="00EC6EFA">
        <w:rPr>
          <w:rFonts w:ascii="Arial" w:eastAsia="Times New Roman" w:hAnsi="Arial" w:cs="Arial"/>
          <w:sz w:val="20"/>
          <w:szCs w:val="20"/>
        </w:rPr>
        <w:t>Sev</w:t>
      </w:r>
      <w:proofErr w:type="spellEnd"/>
      <w:r w:rsidRPr="00EC6EFA">
        <w:rPr>
          <w:rFonts w:ascii="Arial" w:eastAsia="Times New Roman" w:hAnsi="Arial" w:cs="Arial"/>
          <w:sz w:val="20"/>
          <w:szCs w:val="20"/>
        </w:rPr>
        <w:t>. 1: Absence of visible symptoms on leaves or stems</w:t>
      </w:r>
    </w:p>
    <w:p w14:paraId="379CD0F1" w14:textId="77777777" w:rsidR="00EC6EFA" w:rsidRPr="00EC6EFA" w:rsidRDefault="00EC6EFA" w:rsidP="000F78E1">
      <w:pPr>
        <w:pStyle w:val="ListParagraph"/>
        <w:numPr>
          <w:ilvl w:val="0"/>
          <w:numId w:val="31"/>
        </w:numPr>
        <w:spacing w:line="360" w:lineRule="auto"/>
        <w:rPr>
          <w:rFonts w:ascii="Arial" w:eastAsia="Times New Roman" w:hAnsi="Arial" w:cs="Arial"/>
          <w:sz w:val="20"/>
          <w:szCs w:val="20"/>
        </w:rPr>
      </w:pPr>
      <w:proofErr w:type="spellStart"/>
      <w:r w:rsidRPr="00EC6EFA">
        <w:rPr>
          <w:rFonts w:ascii="Arial" w:eastAsia="Times New Roman" w:hAnsi="Arial" w:cs="Arial"/>
          <w:sz w:val="20"/>
          <w:szCs w:val="20"/>
        </w:rPr>
        <w:t>Sev</w:t>
      </w:r>
      <w:proofErr w:type="spellEnd"/>
      <w:r w:rsidRPr="00EC6EFA">
        <w:rPr>
          <w:rFonts w:ascii="Arial" w:eastAsia="Times New Roman" w:hAnsi="Arial" w:cs="Arial"/>
          <w:sz w:val="20"/>
          <w:szCs w:val="20"/>
        </w:rPr>
        <w:t>. 2: The leaves exhibit mild yellowing along the veins and chlorotic spots, with an absence of brown streaks or lesions on both the green stems and foliage</w:t>
      </w:r>
    </w:p>
    <w:p w14:paraId="16087E67" w14:textId="77777777" w:rsidR="00EC6EFA" w:rsidRPr="00EC6EFA" w:rsidRDefault="00EC6EFA" w:rsidP="000F78E1">
      <w:pPr>
        <w:pStyle w:val="ListParagraph"/>
        <w:numPr>
          <w:ilvl w:val="0"/>
          <w:numId w:val="31"/>
        </w:numPr>
        <w:spacing w:line="360" w:lineRule="auto"/>
        <w:rPr>
          <w:rFonts w:ascii="Arial" w:eastAsia="Times New Roman" w:hAnsi="Arial" w:cs="Arial"/>
          <w:sz w:val="20"/>
          <w:szCs w:val="20"/>
        </w:rPr>
      </w:pPr>
      <w:proofErr w:type="spellStart"/>
      <w:r w:rsidRPr="00EC6EFA">
        <w:rPr>
          <w:rFonts w:ascii="Arial" w:eastAsia="Times New Roman" w:hAnsi="Arial" w:cs="Arial"/>
          <w:sz w:val="20"/>
          <w:szCs w:val="20"/>
        </w:rPr>
        <w:t>Sev</w:t>
      </w:r>
      <w:proofErr w:type="spellEnd"/>
      <w:r w:rsidRPr="00EC6EFA">
        <w:rPr>
          <w:rFonts w:ascii="Arial" w:eastAsia="Times New Roman" w:hAnsi="Arial" w:cs="Arial"/>
          <w:sz w:val="20"/>
          <w:szCs w:val="20"/>
        </w:rPr>
        <w:t>. 3: The leaves exhibit mild yellowing along the veins and chlorotic spots, while the green stem sections show mild brown streaks and lesion formations</w:t>
      </w:r>
    </w:p>
    <w:p w14:paraId="5EE5E884" w14:textId="77777777" w:rsidR="00EC6EFA" w:rsidRPr="00EC6EFA" w:rsidRDefault="00EC6EFA" w:rsidP="000F78E1">
      <w:pPr>
        <w:pStyle w:val="ListParagraph"/>
        <w:numPr>
          <w:ilvl w:val="0"/>
          <w:numId w:val="31"/>
        </w:numPr>
        <w:spacing w:line="360" w:lineRule="auto"/>
        <w:rPr>
          <w:rFonts w:ascii="Arial" w:eastAsia="Times New Roman" w:hAnsi="Arial" w:cs="Arial"/>
          <w:sz w:val="20"/>
          <w:szCs w:val="20"/>
        </w:rPr>
      </w:pPr>
      <w:proofErr w:type="spellStart"/>
      <w:r w:rsidRPr="00EC6EFA">
        <w:rPr>
          <w:rFonts w:ascii="Arial" w:eastAsia="Times New Roman" w:hAnsi="Arial" w:cs="Arial"/>
          <w:sz w:val="20"/>
          <w:szCs w:val="20"/>
        </w:rPr>
        <w:t>Sev</w:t>
      </w:r>
      <w:proofErr w:type="spellEnd"/>
      <w:r w:rsidRPr="00EC6EFA">
        <w:rPr>
          <w:rFonts w:ascii="Arial" w:eastAsia="Times New Roman" w:hAnsi="Arial" w:cs="Arial"/>
          <w:sz w:val="20"/>
          <w:szCs w:val="20"/>
        </w:rPr>
        <w:t>. 4: Leaves exhibit severe vein yellowing and widespread chlorotic blotches, while the green stem sections show prominent brown streaks and dark lesions. The infection is also associated with defoliation and low growth stunting.</w:t>
      </w:r>
    </w:p>
    <w:p w14:paraId="35160B83" w14:textId="76931AD4" w:rsidR="00EC6EFA" w:rsidRDefault="00EC6EFA" w:rsidP="000F78E1">
      <w:pPr>
        <w:pStyle w:val="ListParagraph"/>
        <w:numPr>
          <w:ilvl w:val="0"/>
          <w:numId w:val="31"/>
        </w:numPr>
        <w:spacing w:line="360" w:lineRule="auto"/>
        <w:rPr>
          <w:rFonts w:ascii="Arial" w:eastAsia="Times New Roman" w:hAnsi="Arial" w:cs="Arial"/>
          <w:sz w:val="20"/>
          <w:szCs w:val="20"/>
        </w:rPr>
      </w:pPr>
      <w:proofErr w:type="spellStart"/>
      <w:r w:rsidRPr="00EC6EFA">
        <w:rPr>
          <w:rFonts w:ascii="Arial" w:eastAsia="Times New Roman" w:hAnsi="Arial" w:cs="Arial"/>
          <w:sz w:val="20"/>
          <w:szCs w:val="20"/>
        </w:rPr>
        <w:t>Sev</w:t>
      </w:r>
      <w:proofErr w:type="spellEnd"/>
      <w:r w:rsidRPr="00EC6EFA">
        <w:rPr>
          <w:rFonts w:ascii="Arial" w:eastAsia="Times New Roman" w:hAnsi="Arial" w:cs="Arial"/>
          <w:sz w:val="20"/>
          <w:szCs w:val="20"/>
        </w:rPr>
        <w:t>. 5: Leaves display extensive and severe vein yellowing with chlorotic spots, while the green stems showed pronounced brown streaks and dark lesions. The infection is also associated with defoliation, stem die-back, and growth stunting</w:t>
      </w:r>
    </w:p>
    <w:p w14:paraId="047920AB" w14:textId="44E18FF6" w:rsidR="00C50346" w:rsidRDefault="00C50346" w:rsidP="000F78E1">
      <w:pPr>
        <w:pStyle w:val="ListParagraph"/>
        <w:spacing w:line="360" w:lineRule="auto"/>
        <w:ind w:left="720" w:firstLine="0"/>
        <w:rPr>
          <w:rFonts w:ascii="Arial" w:eastAsia="Times New Roman" w:hAnsi="Arial" w:cs="Arial"/>
          <w:sz w:val="20"/>
          <w:szCs w:val="20"/>
        </w:rPr>
      </w:pPr>
    </w:p>
    <w:p w14:paraId="0D0500C2" w14:textId="60C54E6B" w:rsidR="007E5A12" w:rsidRPr="00EC6EFA" w:rsidRDefault="007E5A12" w:rsidP="000F78E1">
      <w:pPr>
        <w:pStyle w:val="my-2"/>
        <w:spacing w:before="0" w:beforeAutospacing="0" w:after="0" w:afterAutospacing="0" w:line="360" w:lineRule="auto"/>
        <w:jc w:val="both"/>
        <w:rPr>
          <w:rFonts w:ascii="Arial" w:hAnsi="Arial" w:cs="Arial"/>
          <w:sz w:val="20"/>
          <w:szCs w:val="20"/>
          <w:lang w:val="en-US" w:eastAsia="en-US"/>
        </w:rPr>
      </w:pPr>
      <w:r>
        <w:rPr>
          <w:rFonts w:ascii="Arial" w:hAnsi="Arial" w:cs="Arial"/>
          <w:sz w:val="20"/>
          <w:szCs w:val="20"/>
          <w:lang w:val="en-US" w:eastAsia="en-US"/>
        </w:rPr>
        <w:t xml:space="preserve">b- </w:t>
      </w:r>
      <w:r w:rsidRPr="00C50346">
        <w:rPr>
          <w:rFonts w:ascii="Arial" w:hAnsi="Arial" w:cs="Arial"/>
          <w:sz w:val="20"/>
          <w:szCs w:val="20"/>
          <w:lang w:val="en-US" w:eastAsia="en-US"/>
        </w:rPr>
        <w:t xml:space="preserve">In each selected field, one </w:t>
      </w:r>
      <w:r>
        <w:rPr>
          <w:rFonts w:ascii="Arial" w:hAnsi="Arial" w:cs="Arial"/>
          <w:sz w:val="20"/>
          <w:szCs w:val="20"/>
          <w:lang w:val="en-US" w:eastAsia="en-US"/>
        </w:rPr>
        <w:t xml:space="preserve">or two </w:t>
      </w:r>
      <w:r w:rsidRPr="00C50346">
        <w:rPr>
          <w:rFonts w:ascii="Arial" w:hAnsi="Arial" w:cs="Arial"/>
          <w:sz w:val="20"/>
          <w:szCs w:val="20"/>
          <w:lang w:val="en-US" w:eastAsia="en-US"/>
        </w:rPr>
        <w:t>sample</w:t>
      </w:r>
      <w:r>
        <w:rPr>
          <w:rFonts w:ascii="Arial" w:hAnsi="Arial" w:cs="Arial"/>
          <w:sz w:val="20"/>
          <w:szCs w:val="20"/>
          <w:lang w:val="en-US" w:eastAsia="en-US"/>
        </w:rPr>
        <w:t>s</w:t>
      </w:r>
      <w:r w:rsidRPr="00C50346">
        <w:rPr>
          <w:rFonts w:ascii="Arial" w:hAnsi="Arial" w:cs="Arial"/>
          <w:sz w:val="20"/>
          <w:szCs w:val="20"/>
          <w:lang w:val="en-US" w:eastAsia="en-US"/>
        </w:rPr>
        <w:t xml:space="preserve"> w</w:t>
      </w:r>
      <w:r>
        <w:rPr>
          <w:rFonts w:ascii="Arial" w:hAnsi="Arial" w:cs="Arial"/>
          <w:sz w:val="20"/>
          <w:szCs w:val="20"/>
          <w:lang w:val="en-US" w:eastAsia="en-US"/>
        </w:rPr>
        <w:t>ere</w:t>
      </w:r>
      <w:r w:rsidRPr="00C50346">
        <w:rPr>
          <w:rFonts w:ascii="Arial" w:hAnsi="Arial" w:cs="Arial"/>
          <w:sz w:val="20"/>
          <w:szCs w:val="20"/>
          <w:lang w:val="en-US" w:eastAsia="en-US"/>
        </w:rPr>
        <w:t xml:space="preserve"> collected</w:t>
      </w:r>
      <w:r>
        <w:rPr>
          <w:rFonts w:ascii="Arial" w:hAnsi="Arial" w:cs="Arial"/>
          <w:sz w:val="20"/>
          <w:szCs w:val="20"/>
          <w:lang w:val="en-US" w:eastAsia="en-US"/>
        </w:rPr>
        <w:t xml:space="preserve"> randomly</w:t>
      </w:r>
      <w:r w:rsidRPr="00C50346">
        <w:rPr>
          <w:rFonts w:ascii="Arial" w:hAnsi="Arial" w:cs="Arial"/>
          <w:sz w:val="20"/>
          <w:szCs w:val="20"/>
          <w:lang w:val="en-US" w:eastAsia="en-US"/>
        </w:rPr>
        <w:t xml:space="preserve"> per </w:t>
      </w:r>
      <w:r>
        <w:rPr>
          <w:rFonts w:ascii="Arial" w:hAnsi="Arial" w:cs="Arial"/>
          <w:sz w:val="20"/>
          <w:szCs w:val="20"/>
          <w:lang w:val="en-US" w:eastAsia="en-US"/>
        </w:rPr>
        <w:t xml:space="preserve">each </w:t>
      </w:r>
      <w:r w:rsidRPr="006E26F6">
        <w:rPr>
          <w:rFonts w:ascii="Arial" w:hAnsi="Arial" w:cs="Arial"/>
          <w:sz w:val="20"/>
          <w:szCs w:val="20"/>
          <w:lang w:val="en-US" w:eastAsia="en-US"/>
        </w:rPr>
        <w:t xml:space="preserve">variety and per each case, depending on whether it was symptomatic or asymptomatic to mosaic </w:t>
      </w:r>
      <w:r w:rsidRPr="006E26F6">
        <w:rPr>
          <w:rFonts w:ascii="Arial" w:hAnsi="Arial" w:cs="Arial"/>
          <w:sz w:val="20"/>
          <w:szCs w:val="20"/>
          <w:lang w:val="en-US" w:eastAsia="en-US"/>
        </w:rPr>
        <w:lastRenderedPageBreak/>
        <w:t xml:space="preserve">disease. The collected leaves were individually and carefully stored in herbariums and then transported to the laboratory </w:t>
      </w:r>
      <w:r w:rsidRPr="00EC6EFA">
        <w:rPr>
          <w:rFonts w:ascii="Arial" w:hAnsi="Arial" w:cs="Arial"/>
          <w:sz w:val="20"/>
          <w:szCs w:val="20"/>
          <w:lang w:val="en-US" w:eastAsia="en-US"/>
        </w:rPr>
        <w:t xml:space="preserve">molecular analyses at the Research Unit for Genetics and Molecular Epidemiology (URGEM), located at Jean </w:t>
      </w:r>
      <w:proofErr w:type="spellStart"/>
      <w:r w:rsidRPr="00EC6EFA">
        <w:rPr>
          <w:rFonts w:ascii="Arial" w:hAnsi="Arial" w:cs="Arial"/>
          <w:sz w:val="20"/>
          <w:szCs w:val="20"/>
          <w:lang w:val="en-US" w:eastAsia="en-US"/>
        </w:rPr>
        <w:t>Lorougnon</w:t>
      </w:r>
      <w:proofErr w:type="spellEnd"/>
      <w:r w:rsidRPr="00EC6EFA">
        <w:rPr>
          <w:rFonts w:ascii="Arial" w:hAnsi="Arial" w:cs="Arial"/>
          <w:sz w:val="20"/>
          <w:szCs w:val="20"/>
          <w:lang w:val="en-US" w:eastAsia="en-US"/>
        </w:rPr>
        <w:t xml:space="preserve"> </w:t>
      </w:r>
      <w:proofErr w:type="spellStart"/>
      <w:r w:rsidRPr="00EC6EFA">
        <w:rPr>
          <w:rFonts w:ascii="Arial" w:hAnsi="Arial" w:cs="Arial"/>
          <w:sz w:val="20"/>
          <w:szCs w:val="20"/>
          <w:lang w:val="en-US" w:eastAsia="en-US"/>
        </w:rPr>
        <w:t>Gu</w:t>
      </w:r>
      <w:r>
        <w:rPr>
          <w:rFonts w:ascii="Arial" w:hAnsi="Arial" w:cs="Arial"/>
          <w:sz w:val="20"/>
          <w:szCs w:val="20"/>
          <w:lang w:val="en-US" w:eastAsia="en-US"/>
        </w:rPr>
        <w:t>e</w:t>
      </w:r>
      <w:r w:rsidRPr="00EC6EFA">
        <w:rPr>
          <w:rFonts w:ascii="Arial" w:hAnsi="Arial" w:cs="Arial"/>
          <w:sz w:val="20"/>
          <w:szCs w:val="20"/>
          <w:lang w:val="en-US" w:eastAsia="en-US"/>
        </w:rPr>
        <w:t>d</w:t>
      </w:r>
      <w:r w:rsidR="0051363D">
        <w:rPr>
          <w:rFonts w:ascii="Arial" w:hAnsi="Arial" w:cs="Arial"/>
          <w:sz w:val="20"/>
          <w:szCs w:val="20"/>
          <w:lang w:val="en-US" w:eastAsia="en-US"/>
        </w:rPr>
        <w:t>e</w:t>
      </w:r>
      <w:proofErr w:type="spellEnd"/>
      <w:r w:rsidRPr="00EC6EFA">
        <w:rPr>
          <w:rFonts w:ascii="Arial" w:hAnsi="Arial" w:cs="Arial"/>
          <w:sz w:val="20"/>
          <w:szCs w:val="20"/>
          <w:lang w:val="en-US" w:eastAsia="en-US"/>
        </w:rPr>
        <w:t xml:space="preserve"> University, </w:t>
      </w:r>
      <w:proofErr w:type="spellStart"/>
      <w:r w:rsidRPr="00EC6EFA">
        <w:rPr>
          <w:rFonts w:ascii="Arial" w:hAnsi="Arial" w:cs="Arial"/>
          <w:sz w:val="20"/>
          <w:szCs w:val="20"/>
          <w:lang w:val="en-US" w:eastAsia="en-US"/>
        </w:rPr>
        <w:t>Daloa</w:t>
      </w:r>
      <w:proofErr w:type="spellEnd"/>
      <w:r w:rsidRPr="00EC6EFA">
        <w:rPr>
          <w:rFonts w:ascii="Arial" w:hAnsi="Arial" w:cs="Arial"/>
          <w:sz w:val="20"/>
          <w:szCs w:val="20"/>
          <w:lang w:val="en-US" w:eastAsia="en-US"/>
        </w:rPr>
        <w:t>, Côte d'Ivoire.</w:t>
      </w:r>
    </w:p>
    <w:p w14:paraId="18018260" w14:textId="77777777" w:rsidR="007E5A12" w:rsidRDefault="007E5A12" w:rsidP="007E5A12">
      <w:pPr>
        <w:pStyle w:val="my-2"/>
        <w:spacing w:before="0" w:beforeAutospacing="0" w:after="0" w:afterAutospacing="0"/>
        <w:jc w:val="both"/>
        <w:rPr>
          <w:rFonts w:ascii="Arial" w:hAnsi="Arial" w:cs="Arial"/>
          <w:sz w:val="20"/>
          <w:szCs w:val="20"/>
          <w:lang w:val="en-US" w:eastAsia="en-US"/>
        </w:rPr>
      </w:pPr>
    </w:p>
    <w:p w14:paraId="55111FFD" w14:textId="77777777" w:rsidR="007E5A12" w:rsidRPr="00EC6EFA" w:rsidRDefault="007E5A12" w:rsidP="00C50346">
      <w:pPr>
        <w:pStyle w:val="ListParagraph"/>
        <w:ind w:left="720" w:firstLine="0"/>
        <w:rPr>
          <w:rFonts w:ascii="Arial" w:eastAsia="Times New Roman" w:hAnsi="Arial" w:cs="Arial"/>
          <w:sz w:val="20"/>
          <w:szCs w:val="20"/>
        </w:rPr>
      </w:pPr>
    </w:p>
    <w:p w14:paraId="4324AEFC" w14:textId="6DBF4AE9" w:rsidR="00EC6EFA" w:rsidRDefault="00EC6EFA" w:rsidP="00215C1F">
      <w:pPr>
        <w:spacing w:after="240"/>
        <w:jc w:val="both"/>
        <w:rPr>
          <w:rFonts w:ascii="Arial" w:hAnsi="Arial" w:cs="Arial"/>
          <w:b/>
          <w:sz w:val="22"/>
        </w:rPr>
      </w:pPr>
      <w:r>
        <w:rPr>
          <w:rFonts w:ascii="Arial" w:hAnsi="Arial" w:cs="Arial"/>
          <w:b/>
          <w:sz w:val="22"/>
        </w:rPr>
        <w:t xml:space="preserve">2.2. </w:t>
      </w:r>
      <w:r w:rsidRPr="00EC6EFA">
        <w:rPr>
          <w:rFonts w:ascii="Arial" w:hAnsi="Arial" w:cs="Arial"/>
          <w:b/>
          <w:sz w:val="22"/>
        </w:rPr>
        <w:t>D</w:t>
      </w:r>
      <w:r>
        <w:rPr>
          <w:rFonts w:ascii="Arial" w:hAnsi="Arial" w:cs="Arial"/>
          <w:b/>
          <w:sz w:val="22"/>
        </w:rPr>
        <w:t>NA</w:t>
      </w:r>
      <w:r w:rsidRPr="00EC6EFA">
        <w:rPr>
          <w:rFonts w:ascii="Arial" w:hAnsi="Arial" w:cs="Arial"/>
          <w:b/>
          <w:sz w:val="22"/>
        </w:rPr>
        <w:t xml:space="preserve"> extraction</w:t>
      </w:r>
    </w:p>
    <w:p w14:paraId="7159DBDA" w14:textId="06247A1B" w:rsidR="00EC6EFA" w:rsidRDefault="00EC6EFA" w:rsidP="000F78E1">
      <w:pPr>
        <w:pStyle w:val="my-2"/>
        <w:spacing w:before="0" w:beforeAutospacing="0" w:after="0" w:afterAutospacing="0" w:line="360" w:lineRule="auto"/>
        <w:jc w:val="both"/>
        <w:rPr>
          <w:rFonts w:ascii="Arial" w:hAnsi="Arial" w:cs="Arial"/>
          <w:sz w:val="20"/>
          <w:szCs w:val="20"/>
          <w:lang w:val="en-US" w:eastAsia="en-US"/>
        </w:rPr>
      </w:pPr>
      <w:r w:rsidRPr="00EC6EFA">
        <w:rPr>
          <w:rFonts w:ascii="Arial" w:hAnsi="Arial" w:cs="Arial"/>
          <w:sz w:val="20"/>
          <w:szCs w:val="20"/>
          <w:lang w:val="en-US" w:eastAsia="en-US"/>
        </w:rPr>
        <w:t xml:space="preserve">DNA extraction was performed using a modified CTAB </w:t>
      </w:r>
      <w:r w:rsidRPr="0051363D">
        <w:rPr>
          <w:rFonts w:ascii="Arial" w:hAnsi="Arial" w:cs="Arial"/>
          <w:sz w:val="20"/>
          <w:szCs w:val="20"/>
          <w:lang w:val="en-US" w:eastAsia="en-US"/>
        </w:rPr>
        <w:t>protocol</w:t>
      </w:r>
      <w:r w:rsidR="001D3827" w:rsidRPr="0051363D">
        <w:rPr>
          <w:rFonts w:ascii="Arial" w:hAnsi="Arial" w:cs="Arial"/>
          <w:sz w:val="20"/>
          <w:szCs w:val="20"/>
          <w:lang w:val="en-US" w:eastAsia="en-US"/>
        </w:rPr>
        <w:t xml:space="preserve"> (</w:t>
      </w:r>
      <w:proofErr w:type="spellStart"/>
      <w:r w:rsidR="001D3827" w:rsidRPr="0051363D">
        <w:rPr>
          <w:rFonts w:ascii="Arial" w:hAnsi="Arial" w:cs="Arial"/>
          <w:sz w:val="20"/>
          <w:szCs w:val="20"/>
          <w:lang w:val="en-US" w:eastAsia="en-US"/>
        </w:rPr>
        <w:t>Rustérucci</w:t>
      </w:r>
      <w:proofErr w:type="spellEnd"/>
      <w:r w:rsidR="001D3827" w:rsidRPr="0051363D">
        <w:rPr>
          <w:rFonts w:ascii="Arial" w:hAnsi="Arial" w:cs="Arial"/>
          <w:sz w:val="20"/>
          <w:szCs w:val="20"/>
          <w:lang w:val="en-US" w:eastAsia="en-US"/>
        </w:rPr>
        <w:t xml:space="preserve"> </w:t>
      </w:r>
      <w:r w:rsidR="001D3827" w:rsidRPr="0051363D">
        <w:rPr>
          <w:rFonts w:ascii="Arial" w:hAnsi="Arial" w:cs="Arial"/>
          <w:i/>
          <w:iCs/>
          <w:sz w:val="20"/>
          <w:szCs w:val="20"/>
          <w:lang w:val="en-US" w:eastAsia="en-US"/>
        </w:rPr>
        <w:t>et al.,</w:t>
      </w:r>
      <w:r w:rsidR="001D3827" w:rsidRPr="0051363D">
        <w:rPr>
          <w:rFonts w:ascii="Arial" w:hAnsi="Arial" w:cs="Arial"/>
          <w:sz w:val="20"/>
          <w:szCs w:val="20"/>
          <w:lang w:val="en-US" w:eastAsia="en-US"/>
        </w:rPr>
        <w:t xml:space="preserve"> 2008)</w:t>
      </w:r>
      <w:r w:rsidRPr="0051363D">
        <w:rPr>
          <w:rFonts w:ascii="Arial" w:hAnsi="Arial" w:cs="Arial"/>
          <w:sz w:val="20"/>
          <w:szCs w:val="20"/>
          <w:lang w:val="en-US" w:eastAsia="en-US"/>
        </w:rPr>
        <w:t>,</w:t>
      </w:r>
      <w:r w:rsidRPr="00EC6EFA">
        <w:rPr>
          <w:rFonts w:ascii="Arial" w:hAnsi="Arial" w:cs="Arial"/>
          <w:sz w:val="20"/>
          <w:szCs w:val="20"/>
          <w:lang w:val="en-US" w:eastAsia="en-US"/>
        </w:rPr>
        <w:t xml:space="preserve"> optimized by replacing the conventional lysis buffer with a mixture of PBS and ASL buffer, enhancing the release and purity of nucleic acids</w:t>
      </w:r>
      <w:r w:rsidR="003E1DFB">
        <w:rPr>
          <w:rFonts w:ascii="Arial" w:hAnsi="Arial" w:cs="Arial"/>
          <w:sz w:val="20"/>
          <w:szCs w:val="20"/>
          <w:lang w:val="en-US" w:eastAsia="en-US"/>
        </w:rPr>
        <w:t xml:space="preserve">. </w:t>
      </w:r>
      <w:r w:rsidR="003E1DFB" w:rsidRPr="003E1DFB">
        <w:rPr>
          <w:rFonts w:ascii="Arial" w:hAnsi="Arial" w:cs="Arial"/>
          <w:sz w:val="20"/>
          <w:szCs w:val="20"/>
          <w:lang w:val="en-US" w:eastAsia="en-US"/>
        </w:rPr>
        <w:t>Before the actual extraction step, for each plant, 2g of leaves were mixed with NaCl</w:t>
      </w:r>
      <w:r w:rsidR="003E1DFB">
        <w:rPr>
          <w:rFonts w:ascii="Arial" w:hAnsi="Arial" w:cs="Arial"/>
          <w:sz w:val="20"/>
          <w:szCs w:val="20"/>
          <w:lang w:val="en-US" w:eastAsia="en-US"/>
        </w:rPr>
        <w:t xml:space="preserve"> 1g</w:t>
      </w:r>
      <w:r w:rsidR="003E1DFB" w:rsidRPr="003E1DFB">
        <w:rPr>
          <w:rFonts w:ascii="Arial" w:hAnsi="Arial" w:cs="Arial"/>
          <w:sz w:val="20"/>
          <w:szCs w:val="20"/>
          <w:lang w:val="en-US" w:eastAsia="en-US"/>
        </w:rPr>
        <w:t xml:space="preserve"> in a sterile mortar and then transferred </w:t>
      </w:r>
      <w:r w:rsidR="003E1DFB">
        <w:rPr>
          <w:rFonts w:ascii="Arial" w:hAnsi="Arial" w:cs="Arial"/>
          <w:sz w:val="20"/>
          <w:szCs w:val="20"/>
          <w:lang w:val="en-US" w:eastAsia="en-US"/>
        </w:rPr>
        <w:t>in</w:t>
      </w:r>
      <w:r w:rsidR="003E1DFB" w:rsidRPr="003E1DFB">
        <w:rPr>
          <w:rFonts w:ascii="Arial" w:hAnsi="Arial" w:cs="Arial"/>
          <w:sz w:val="20"/>
          <w:szCs w:val="20"/>
          <w:lang w:val="en-US" w:eastAsia="en-US"/>
        </w:rPr>
        <w:t xml:space="preserve"> Eppendorf </w:t>
      </w:r>
      <w:r w:rsidR="003E1DFB">
        <w:rPr>
          <w:rFonts w:ascii="Arial" w:hAnsi="Arial" w:cs="Arial"/>
          <w:sz w:val="20"/>
          <w:szCs w:val="20"/>
          <w:lang w:val="en-US" w:eastAsia="en-US"/>
        </w:rPr>
        <w:t xml:space="preserve">1.5 ml </w:t>
      </w:r>
      <w:r w:rsidR="003E1DFB" w:rsidRPr="003E1DFB">
        <w:rPr>
          <w:rFonts w:ascii="Arial" w:hAnsi="Arial" w:cs="Arial"/>
          <w:sz w:val="20"/>
          <w:szCs w:val="20"/>
          <w:lang w:val="en-US" w:eastAsia="en-US"/>
        </w:rPr>
        <w:t>containing buffer.</w:t>
      </w:r>
      <w:r w:rsidRPr="00EC6EFA">
        <w:rPr>
          <w:rFonts w:ascii="Arial" w:hAnsi="Arial" w:cs="Arial"/>
          <w:sz w:val="20"/>
          <w:szCs w:val="20"/>
          <w:lang w:val="en-US" w:eastAsia="en-US"/>
        </w:rPr>
        <w:t xml:space="preserve"> </w:t>
      </w:r>
      <w:r w:rsidR="003E1DFB">
        <w:rPr>
          <w:rFonts w:ascii="Arial" w:hAnsi="Arial" w:cs="Arial"/>
          <w:sz w:val="20"/>
          <w:szCs w:val="20"/>
          <w:lang w:val="en-US" w:eastAsia="en-US"/>
        </w:rPr>
        <w:t>After</w:t>
      </w:r>
      <w:r w:rsidRPr="00EC6EFA">
        <w:rPr>
          <w:rFonts w:ascii="Arial" w:hAnsi="Arial" w:cs="Arial"/>
          <w:sz w:val="20"/>
          <w:szCs w:val="20"/>
          <w:lang w:val="en-US" w:eastAsia="en-US"/>
        </w:rPr>
        <w:t xml:space="preserve"> extract</w:t>
      </w:r>
      <w:r w:rsidR="003E1DFB">
        <w:rPr>
          <w:rFonts w:ascii="Arial" w:hAnsi="Arial" w:cs="Arial"/>
          <w:sz w:val="20"/>
          <w:szCs w:val="20"/>
          <w:lang w:val="en-US" w:eastAsia="en-US"/>
        </w:rPr>
        <w:t>ion,</w:t>
      </w:r>
      <w:r w:rsidRPr="00EC6EFA">
        <w:rPr>
          <w:rFonts w:ascii="Arial" w:hAnsi="Arial" w:cs="Arial"/>
          <w:sz w:val="20"/>
          <w:szCs w:val="20"/>
          <w:lang w:val="en-US" w:eastAsia="en-US"/>
        </w:rPr>
        <w:t xml:space="preserve"> DNA was resuspended in Tris-EDTA buffer. To verify extraction quality, a random quality control was conducted on 10 samples per batch. DNA quality and integrity were assessed by electrophoresis on a 1% agarose gel stained with ethidium bromide, run at 100 volts for 30 minutes. Visualization under UV transillumination confirmed the absence of degradation and sufficient DNA concentration, essential conditions to ensure the reliability of downstream molecular analyses.</w:t>
      </w:r>
    </w:p>
    <w:p w14:paraId="6CAC361A" w14:textId="77777777" w:rsidR="00EC6EFA" w:rsidRPr="00EC6EFA" w:rsidRDefault="00EC6EFA" w:rsidP="00EC6EFA">
      <w:pPr>
        <w:pStyle w:val="my-2"/>
        <w:spacing w:before="0" w:beforeAutospacing="0" w:after="0" w:afterAutospacing="0" w:line="276" w:lineRule="auto"/>
        <w:jc w:val="both"/>
        <w:rPr>
          <w:rFonts w:ascii="Arial" w:hAnsi="Arial" w:cs="Arial"/>
          <w:sz w:val="20"/>
          <w:szCs w:val="20"/>
          <w:lang w:val="en-US" w:eastAsia="en-US"/>
        </w:rPr>
      </w:pPr>
    </w:p>
    <w:p w14:paraId="1F542006" w14:textId="3D78EFE5" w:rsidR="00EC6EFA" w:rsidRDefault="00EC6EFA" w:rsidP="00215C1F">
      <w:pPr>
        <w:spacing w:after="240"/>
        <w:jc w:val="both"/>
        <w:rPr>
          <w:rFonts w:ascii="Arial" w:hAnsi="Arial" w:cs="Arial"/>
          <w:b/>
          <w:sz w:val="22"/>
        </w:rPr>
      </w:pPr>
      <w:r w:rsidRPr="00EC6EFA">
        <w:rPr>
          <w:rFonts w:ascii="Arial" w:hAnsi="Arial" w:cs="Arial"/>
          <w:b/>
          <w:sz w:val="22"/>
        </w:rPr>
        <w:t>2.3. PCR diagnosis of cassava mosaic viruses</w:t>
      </w:r>
    </w:p>
    <w:p w14:paraId="795D5A52" w14:textId="6C2BD388" w:rsidR="00EC6EFA" w:rsidRDefault="00EC6EFA" w:rsidP="000F78E1">
      <w:pPr>
        <w:pStyle w:val="my-2"/>
        <w:spacing w:before="0" w:beforeAutospacing="0" w:after="0" w:afterAutospacing="0" w:line="360" w:lineRule="auto"/>
        <w:jc w:val="both"/>
        <w:rPr>
          <w:rFonts w:ascii="Arial" w:hAnsi="Arial" w:cs="Arial"/>
          <w:sz w:val="20"/>
          <w:szCs w:val="20"/>
          <w:lang w:val="en-US" w:eastAsia="en-US"/>
        </w:rPr>
      </w:pPr>
      <w:r w:rsidRPr="00EC6EFA">
        <w:rPr>
          <w:rFonts w:ascii="Arial" w:hAnsi="Arial" w:cs="Arial"/>
          <w:sz w:val="20"/>
          <w:szCs w:val="20"/>
          <w:lang w:val="en-US" w:eastAsia="en-US"/>
        </w:rPr>
        <w:t xml:space="preserve">Cassava leaf samples were analyzed using </w:t>
      </w:r>
      <w:r w:rsidR="003E1DFB">
        <w:rPr>
          <w:rFonts w:ascii="Arial" w:hAnsi="Arial" w:cs="Arial"/>
          <w:sz w:val="20"/>
          <w:szCs w:val="20"/>
          <w:lang w:val="en-US" w:eastAsia="en-US"/>
        </w:rPr>
        <w:t xml:space="preserve">classic </w:t>
      </w:r>
      <w:r w:rsidRPr="00EC6EFA">
        <w:rPr>
          <w:rFonts w:ascii="Arial" w:hAnsi="Arial" w:cs="Arial"/>
          <w:sz w:val="20"/>
          <w:szCs w:val="20"/>
          <w:lang w:val="en-US" w:eastAsia="en-US"/>
        </w:rPr>
        <w:t>PCR</w:t>
      </w:r>
      <w:r w:rsidR="001D3827">
        <w:rPr>
          <w:rFonts w:ascii="Arial" w:hAnsi="Arial" w:cs="Arial"/>
          <w:sz w:val="20"/>
          <w:szCs w:val="20"/>
          <w:lang w:val="en-US" w:eastAsia="en-US"/>
        </w:rPr>
        <w:t xml:space="preserve"> </w:t>
      </w:r>
      <w:r w:rsidR="003D4A3C" w:rsidRPr="003E1DFB">
        <w:rPr>
          <w:rFonts w:ascii="Arial" w:hAnsi="Arial" w:cs="Arial"/>
          <w:sz w:val="20"/>
          <w:szCs w:val="20"/>
          <w:lang w:val="en-US" w:eastAsia="en-US"/>
        </w:rPr>
        <w:t>(Mullis, 1983)</w:t>
      </w:r>
      <w:r w:rsidRPr="00EC6EFA">
        <w:rPr>
          <w:rFonts w:ascii="Arial" w:hAnsi="Arial" w:cs="Arial"/>
          <w:sz w:val="20"/>
          <w:szCs w:val="20"/>
          <w:lang w:val="en-US" w:eastAsia="en-US"/>
        </w:rPr>
        <w:t xml:space="preserve"> with specific primers targeting African Cassava Mosaic Virus (ACMV) and East African Cassava Mosaic Virus (EACMV). For ACMV detection, primer pairs JSP001/F with JSP002/R and ACMV-AL1/F with ACMV-AR0/R were employed, while EACMV was identified using primers JSP001/F and JSP003/R, as detailed in Table </w:t>
      </w:r>
      <w:r w:rsidR="007E2B9E">
        <w:rPr>
          <w:rFonts w:ascii="Arial" w:hAnsi="Arial" w:cs="Arial"/>
          <w:sz w:val="20"/>
          <w:szCs w:val="20"/>
          <w:lang w:val="en-US" w:eastAsia="en-US"/>
        </w:rPr>
        <w:t>1</w:t>
      </w:r>
      <w:r w:rsidRPr="00EC6EFA">
        <w:rPr>
          <w:rFonts w:ascii="Arial" w:hAnsi="Arial" w:cs="Arial"/>
          <w:sz w:val="20"/>
          <w:szCs w:val="20"/>
          <w:lang w:val="en-US" w:eastAsia="en-US"/>
        </w:rPr>
        <w:t xml:space="preserve">. The PCR reaction mixture (50 µL total volume) contained 5 µL of DNA template, 5 µL of 10X amplification buffer with MgCl2, 3.2 µL of dNTPs at 200 µM, 2.6 µL of each primer (10 </w:t>
      </w:r>
      <w:proofErr w:type="spellStart"/>
      <w:r w:rsidRPr="00EC6EFA">
        <w:rPr>
          <w:rFonts w:ascii="Arial" w:hAnsi="Arial" w:cs="Arial"/>
          <w:sz w:val="20"/>
          <w:szCs w:val="20"/>
          <w:lang w:val="en-US" w:eastAsia="en-US"/>
        </w:rPr>
        <w:t>pM</w:t>
      </w:r>
      <w:proofErr w:type="spellEnd"/>
      <w:r w:rsidRPr="00EC6EFA">
        <w:rPr>
          <w:rFonts w:ascii="Arial" w:hAnsi="Arial" w:cs="Arial"/>
          <w:sz w:val="20"/>
          <w:szCs w:val="20"/>
          <w:lang w:val="en-US" w:eastAsia="en-US"/>
        </w:rPr>
        <w:t xml:space="preserve">), 0.1 µL of </w:t>
      </w:r>
      <w:proofErr w:type="spellStart"/>
      <w:r w:rsidRPr="00EC6EFA">
        <w:rPr>
          <w:rFonts w:ascii="Arial" w:hAnsi="Arial" w:cs="Arial"/>
          <w:sz w:val="20"/>
          <w:szCs w:val="20"/>
          <w:lang w:val="en-US" w:eastAsia="en-US"/>
        </w:rPr>
        <w:t>Taq</w:t>
      </w:r>
      <w:proofErr w:type="spellEnd"/>
      <w:r w:rsidRPr="00EC6EFA">
        <w:rPr>
          <w:rFonts w:ascii="Arial" w:hAnsi="Arial" w:cs="Arial"/>
          <w:sz w:val="20"/>
          <w:szCs w:val="20"/>
          <w:lang w:val="en-US" w:eastAsia="en-US"/>
        </w:rPr>
        <w:t xml:space="preserve"> DNA polymerase (5 U/µL), and 31.5 µL of nuclease-free water. Amplifications were performed in a </w:t>
      </w:r>
      <w:proofErr w:type="spellStart"/>
      <w:r w:rsidRPr="00EC6EFA">
        <w:rPr>
          <w:rFonts w:ascii="Arial" w:hAnsi="Arial" w:cs="Arial"/>
          <w:sz w:val="20"/>
          <w:szCs w:val="20"/>
          <w:lang w:val="en-US" w:eastAsia="en-US"/>
        </w:rPr>
        <w:t>BioRad</w:t>
      </w:r>
      <w:proofErr w:type="spellEnd"/>
      <w:r w:rsidRPr="00EC6EFA">
        <w:rPr>
          <w:rFonts w:ascii="Arial" w:hAnsi="Arial" w:cs="Arial"/>
          <w:sz w:val="20"/>
          <w:szCs w:val="20"/>
          <w:lang w:val="en-US" w:eastAsia="en-US"/>
        </w:rPr>
        <w:t xml:space="preserve"> T100™ thermal cycler (Singapore) using the following cycling conditions: an initial denaturation at 94°C for 5 minutes; 35 cycles of denaturation at 94°C for 45 seconds, annealing at 55°C for 45 seconds, and extension at 72°C for 55 seconds; followed by a final extension at 72°C for 10 minutes.</w:t>
      </w:r>
      <w:r w:rsidR="00C50346">
        <w:rPr>
          <w:rFonts w:ascii="Arial" w:hAnsi="Arial" w:cs="Arial"/>
          <w:sz w:val="20"/>
          <w:szCs w:val="20"/>
          <w:lang w:val="en-US" w:eastAsia="en-US"/>
        </w:rPr>
        <w:t xml:space="preserve"> </w:t>
      </w:r>
      <w:r w:rsidRPr="00EC6EFA">
        <w:rPr>
          <w:rFonts w:ascii="Arial" w:hAnsi="Arial" w:cs="Arial"/>
          <w:sz w:val="20"/>
          <w:szCs w:val="20"/>
          <w:lang w:val="en-US" w:eastAsia="en-US"/>
        </w:rPr>
        <w:t xml:space="preserve">The amplified products were separated by electrophoresis on a 2% agarose gel stained with ethidium bromide and run at 100 volts for 45 minutes in 0.5X Tris-Borate-EDTA (TBE) buffer. Gels were visualized under UV illumination, and presence or absence of expected PCR bands was recorded as positive (+) or negative (-) for cassava mosaic viruses. </w:t>
      </w:r>
    </w:p>
    <w:p w14:paraId="52353ED2" w14:textId="77777777" w:rsidR="00EC6EFA" w:rsidRPr="00EC6EFA" w:rsidRDefault="00EC6EFA" w:rsidP="00EC6EFA">
      <w:pPr>
        <w:pStyle w:val="my-2"/>
        <w:spacing w:before="0" w:beforeAutospacing="0" w:after="0" w:afterAutospacing="0" w:line="276" w:lineRule="auto"/>
        <w:jc w:val="both"/>
        <w:rPr>
          <w:rFonts w:ascii="Arial" w:hAnsi="Arial" w:cs="Arial"/>
          <w:sz w:val="20"/>
          <w:szCs w:val="20"/>
          <w:lang w:val="en-US" w:eastAsia="en-US"/>
        </w:rPr>
      </w:pPr>
    </w:p>
    <w:p w14:paraId="0D5EFB52" w14:textId="085EF0E1" w:rsidR="00EC6EFA" w:rsidRPr="004772C5" w:rsidRDefault="00EC6EFA" w:rsidP="004772C5">
      <w:pPr>
        <w:pStyle w:val="my-2"/>
        <w:spacing w:line="276" w:lineRule="auto"/>
        <w:jc w:val="both"/>
        <w:rPr>
          <w:rFonts w:ascii="Arial" w:hAnsi="Arial" w:cs="Arial"/>
          <w:b/>
          <w:bCs/>
          <w:sz w:val="20"/>
          <w:szCs w:val="20"/>
          <w:lang w:val="en-US" w:eastAsia="en-US"/>
        </w:rPr>
      </w:pPr>
      <w:r w:rsidRPr="004772C5">
        <w:rPr>
          <w:rFonts w:ascii="Arial" w:hAnsi="Arial" w:cs="Arial"/>
          <w:b/>
          <w:bCs/>
          <w:sz w:val="20"/>
          <w:szCs w:val="20"/>
          <w:lang w:val="en-US" w:eastAsia="en-US"/>
        </w:rPr>
        <w:lastRenderedPageBreak/>
        <w:t xml:space="preserve">Table </w:t>
      </w:r>
      <w:r w:rsidR="007E2B9E">
        <w:rPr>
          <w:rFonts w:ascii="Arial" w:hAnsi="Arial" w:cs="Arial"/>
          <w:b/>
          <w:bCs/>
          <w:sz w:val="20"/>
          <w:szCs w:val="20"/>
          <w:lang w:val="en-US" w:eastAsia="en-US"/>
        </w:rPr>
        <w:t>1</w:t>
      </w:r>
      <w:r w:rsidR="004772C5" w:rsidRPr="004772C5">
        <w:rPr>
          <w:rFonts w:ascii="Arial" w:hAnsi="Arial" w:cs="Arial"/>
          <w:b/>
          <w:bCs/>
          <w:sz w:val="20"/>
          <w:szCs w:val="20"/>
          <w:lang w:val="en-US" w:eastAsia="en-US"/>
        </w:rPr>
        <w:t>.</w:t>
      </w:r>
      <w:r w:rsidRPr="004772C5">
        <w:rPr>
          <w:rFonts w:ascii="Arial" w:hAnsi="Arial" w:cs="Arial"/>
          <w:b/>
          <w:bCs/>
          <w:sz w:val="20"/>
          <w:szCs w:val="20"/>
          <w:lang w:val="en-US" w:eastAsia="en-US"/>
        </w:rPr>
        <w:t xml:space="preserve"> Diagnostic primers of cassava mosaic viruses</w:t>
      </w:r>
    </w:p>
    <w:tbl>
      <w:tblPr>
        <w:tblStyle w:val="TableNormal1"/>
        <w:tblW w:w="9414" w:type="dxa"/>
        <w:jc w:val="center"/>
        <w:tblLayout w:type="fixed"/>
        <w:tblLook w:val="01E0" w:firstRow="1" w:lastRow="1" w:firstColumn="1" w:lastColumn="1" w:noHBand="0" w:noVBand="0"/>
      </w:tblPr>
      <w:tblGrid>
        <w:gridCol w:w="1276"/>
        <w:gridCol w:w="4169"/>
        <w:gridCol w:w="2246"/>
        <w:gridCol w:w="1723"/>
      </w:tblGrid>
      <w:tr w:rsidR="00EC6EFA" w:rsidRPr="00C22778" w14:paraId="45A71BBC" w14:textId="77777777" w:rsidTr="00C22778">
        <w:trPr>
          <w:trHeight w:val="208"/>
          <w:jc w:val="center"/>
        </w:trPr>
        <w:tc>
          <w:tcPr>
            <w:tcW w:w="1276" w:type="dxa"/>
            <w:tcBorders>
              <w:top w:val="single" w:sz="4" w:space="0" w:color="000000"/>
              <w:bottom w:val="single" w:sz="4" w:space="0" w:color="000000"/>
            </w:tcBorders>
          </w:tcPr>
          <w:p w14:paraId="0FDC3243" w14:textId="77777777" w:rsidR="00EC6EFA" w:rsidRPr="00C22778" w:rsidRDefault="00EC6EFA" w:rsidP="00550592">
            <w:pPr>
              <w:pStyle w:val="TableParagraph"/>
              <w:spacing w:before="1"/>
              <w:rPr>
                <w:rFonts w:ascii="Arial" w:hAnsi="Arial" w:cs="Arial"/>
                <w:b/>
                <w:bCs/>
                <w:sz w:val="20"/>
                <w:szCs w:val="20"/>
              </w:rPr>
            </w:pPr>
            <w:r w:rsidRPr="00C22778">
              <w:rPr>
                <w:rFonts w:ascii="Arial" w:hAnsi="Arial" w:cs="Arial"/>
                <w:b/>
                <w:bCs/>
                <w:spacing w:val="-2"/>
                <w:sz w:val="20"/>
                <w:szCs w:val="20"/>
              </w:rPr>
              <w:t>Primers</w:t>
            </w:r>
          </w:p>
        </w:tc>
        <w:tc>
          <w:tcPr>
            <w:tcW w:w="4169" w:type="dxa"/>
            <w:tcBorders>
              <w:top w:val="single" w:sz="4" w:space="0" w:color="000000"/>
              <w:bottom w:val="single" w:sz="4" w:space="0" w:color="000000"/>
            </w:tcBorders>
          </w:tcPr>
          <w:p w14:paraId="0D80F408" w14:textId="77777777" w:rsidR="00EC6EFA" w:rsidRPr="00C22778" w:rsidRDefault="00EC6EFA" w:rsidP="00550592">
            <w:pPr>
              <w:pStyle w:val="TableParagraph"/>
              <w:spacing w:before="1"/>
              <w:ind w:left="948"/>
              <w:rPr>
                <w:rFonts w:ascii="Arial" w:hAnsi="Arial" w:cs="Arial"/>
                <w:b/>
                <w:bCs/>
                <w:sz w:val="20"/>
                <w:szCs w:val="20"/>
              </w:rPr>
            </w:pPr>
            <w:r w:rsidRPr="00C22778">
              <w:rPr>
                <w:rFonts w:ascii="Arial" w:hAnsi="Arial" w:cs="Arial"/>
                <w:b/>
                <w:bCs/>
                <w:sz w:val="20"/>
                <w:szCs w:val="20"/>
              </w:rPr>
              <w:t>Sequence</w:t>
            </w:r>
            <w:r w:rsidRPr="00C22778">
              <w:rPr>
                <w:rFonts w:ascii="Arial" w:hAnsi="Arial" w:cs="Arial"/>
                <w:b/>
                <w:bCs/>
                <w:spacing w:val="-9"/>
                <w:sz w:val="20"/>
                <w:szCs w:val="20"/>
              </w:rPr>
              <w:t xml:space="preserve"> </w:t>
            </w:r>
          </w:p>
        </w:tc>
        <w:tc>
          <w:tcPr>
            <w:tcW w:w="2246" w:type="dxa"/>
            <w:tcBorders>
              <w:top w:val="single" w:sz="4" w:space="0" w:color="000000"/>
              <w:bottom w:val="single" w:sz="4" w:space="0" w:color="000000"/>
            </w:tcBorders>
          </w:tcPr>
          <w:p w14:paraId="271E9985" w14:textId="77777777" w:rsidR="00EC6EFA" w:rsidRPr="00C22778" w:rsidRDefault="00EC6EFA" w:rsidP="00550592">
            <w:pPr>
              <w:pStyle w:val="TableParagraph"/>
              <w:spacing w:before="1"/>
              <w:rPr>
                <w:rFonts w:ascii="Arial" w:hAnsi="Arial" w:cs="Arial"/>
                <w:b/>
                <w:bCs/>
                <w:sz w:val="20"/>
                <w:szCs w:val="20"/>
              </w:rPr>
            </w:pPr>
            <w:r w:rsidRPr="00C22778">
              <w:rPr>
                <w:rFonts w:ascii="Arial" w:hAnsi="Arial" w:cs="Arial"/>
                <w:b/>
                <w:bCs/>
                <w:sz w:val="20"/>
                <w:szCs w:val="20"/>
              </w:rPr>
              <w:t xml:space="preserve">      Expected</w:t>
            </w:r>
            <w:r w:rsidRPr="00C22778">
              <w:rPr>
                <w:rFonts w:ascii="Arial" w:hAnsi="Arial" w:cs="Arial"/>
                <w:b/>
                <w:bCs/>
                <w:spacing w:val="-7"/>
                <w:sz w:val="20"/>
                <w:szCs w:val="20"/>
              </w:rPr>
              <w:t xml:space="preserve"> </w:t>
            </w:r>
            <w:r w:rsidRPr="00C22778">
              <w:rPr>
                <w:rFonts w:ascii="Arial" w:hAnsi="Arial" w:cs="Arial"/>
                <w:b/>
                <w:bCs/>
                <w:sz w:val="20"/>
                <w:szCs w:val="20"/>
              </w:rPr>
              <w:t>size</w:t>
            </w:r>
            <w:r w:rsidRPr="00C22778">
              <w:rPr>
                <w:rFonts w:ascii="Arial" w:hAnsi="Arial" w:cs="Arial"/>
                <w:b/>
                <w:bCs/>
                <w:spacing w:val="-6"/>
                <w:sz w:val="20"/>
                <w:szCs w:val="20"/>
              </w:rPr>
              <w:t xml:space="preserve"> </w:t>
            </w:r>
            <w:r w:rsidRPr="00C22778">
              <w:rPr>
                <w:rFonts w:ascii="Arial" w:hAnsi="Arial" w:cs="Arial"/>
                <w:b/>
                <w:bCs/>
                <w:spacing w:val="-4"/>
                <w:sz w:val="20"/>
                <w:szCs w:val="20"/>
              </w:rPr>
              <w:t>(pb)</w:t>
            </w:r>
          </w:p>
        </w:tc>
        <w:tc>
          <w:tcPr>
            <w:tcW w:w="1723" w:type="dxa"/>
            <w:tcBorders>
              <w:top w:val="single" w:sz="4" w:space="0" w:color="000000"/>
              <w:bottom w:val="single" w:sz="4" w:space="0" w:color="000000"/>
            </w:tcBorders>
          </w:tcPr>
          <w:p w14:paraId="5BF44926" w14:textId="77777777" w:rsidR="00EC6EFA" w:rsidRPr="00C22778" w:rsidRDefault="00EC6EFA" w:rsidP="00550592">
            <w:pPr>
              <w:pStyle w:val="TableParagraph"/>
              <w:spacing w:before="1"/>
              <w:ind w:left="854"/>
              <w:rPr>
                <w:rFonts w:ascii="Arial" w:hAnsi="Arial" w:cs="Arial"/>
                <w:b/>
                <w:bCs/>
                <w:sz w:val="20"/>
                <w:szCs w:val="20"/>
              </w:rPr>
            </w:pPr>
            <w:r w:rsidRPr="00C22778">
              <w:rPr>
                <w:rFonts w:ascii="Arial" w:hAnsi="Arial" w:cs="Arial"/>
                <w:b/>
                <w:bCs/>
                <w:spacing w:val="-4"/>
                <w:sz w:val="20"/>
                <w:szCs w:val="20"/>
              </w:rPr>
              <w:t>Virus detected</w:t>
            </w:r>
          </w:p>
        </w:tc>
      </w:tr>
      <w:tr w:rsidR="00EC6EFA" w:rsidRPr="00C22778" w14:paraId="198437EA" w14:textId="77777777" w:rsidTr="00C22778">
        <w:trPr>
          <w:trHeight w:val="199"/>
          <w:jc w:val="center"/>
        </w:trPr>
        <w:tc>
          <w:tcPr>
            <w:tcW w:w="1276" w:type="dxa"/>
            <w:tcBorders>
              <w:top w:val="single" w:sz="4" w:space="0" w:color="000000"/>
            </w:tcBorders>
          </w:tcPr>
          <w:p w14:paraId="36DFC879" w14:textId="77777777" w:rsidR="00EC6EFA" w:rsidRPr="00C22778" w:rsidRDefault="00EC6EFA" w:rsidP="00550592">
            <w:pPr>
              <w:pStyle w:val="TableParagraph"/>
              <w:spacing w:before="1"/>
              <w:rPr>
                <w:rFonts w:ascii="Arial" w:hAnsi="Arial" w:cs="Arial"/>
                <w:sz w:val="20"/>
                <w:szCs w:val="20"/>
              </w:rPr>
            </w:pPr>
            <w:r w:rsidRPr="00C22778">
              <w:rPr>
                <w:rFonts w:ascii="Arial" w:hAnsi="Arial" w:cs="Arial"/>
                <w:spacing w:val="-2"/>
                <w:sz w:val="20"/>
                <w:szCs w:val="20"/>
              </w:rPr>
              <w:t>JSP001/F</w:t>
            </w:r>
          </w:p>
        </w:tc>
        <w:tc>
          <w:tcPr>
            <w:tcW w:w="4169" w:type="dxa"/>
            <w:tcBorders>
              <w:top w:val="single" w:sz="4" w:space="0" w:color="000000"/>
            </w:tcBorders>
          </w:tcPr>
          <w:p w14:paraId="421AA73E" w14:textId="77777777" w:rsidR="00EC6EFA" w:rsidRPr="00C22778" w:rsidRDefault="00EC6EFA" w:rsidP="00550592">
            <w:pPr>
              <w:pStyle w:val="TableParagraph"/>
              <w:spacing w:before="1"/>
              <w:ind w:left="948"/>
              <w:rPr>
                <w:rFonts w:ascii="Arial" w:hAnsi="Arial" w:cs="Arial"/>
                <w:sz w:val="20"/>
                <w:szCs w:val="20"/>
              </w:rPr>
            </w:pPr>
            <w:r w:rsidRPr="00C22778">
              <w:rPr>
                <w:rFonts w:ascii="Arial" w:hAnsi="Arial" w:cs="Arial"/>
                <w:sz w:val="20"/>
                <w:szCs w:val="20"/>
              </w:rPr>
              <w:t>5ʼATGTCGAAGCGACCAGGAGAT</w:t>
            </w:r>
            <w:r w:rsidRPr="00C22778">
              <w:rPr>
                <w:rFonts w:ascii="Arial" w:hAnsi="Arial" w:cs="Arial"/>
                <w:spacing w:val="26"/>
                <w:sz w:val="20"/>
                <w:szCs w:val="20"/>
              </w:rPr>
              <w:t xml:space="preserve"> </w:t>
            </w:r>
            <w:r w:rsidRPr="00C22778">
              <w:rPr>
                <w:rFonts w:ascii="Arial" w:hAnsi="Arial" w:cs="Arial"/>
                <w:spacing w:val="-5"/>
                <w:sz w:val="20"/>
                <w:szCs w:val="20"/>
              </w:rPr>
              <w:t>3ʼ</w:t>
            </w:r>
          </w:p>
        </w:tc>
        <w:tc>
          <w:tcPr>
            <w:tcW w:w="2246" w:type="dxa"/>
            <w:vMerge w:val="restart"/>
            <w:tcBorders>
              <w:top w:val="single" w:sz="4" w:space="0" w:color="000000"/>
            </w:tcBorders>
            <w:vAlign w:val="center"/>
          </w:tcPr>
          <w:p w14:paraId="138ED4D6" w14:textId="77777777" w:rsidR="00EC6EFA" w:rsidRPr="00C22778" w:rsidRDefault="00EC6EFA" w:rsidP="00550592">
            <w:pPr>
              <w:pStyle w:val="TableParagraph"/>
              <w:spacing w:before="1"/>
              <w:ind w:right="131"/>
              <w:jc w:val="center"/>
              <w:rPr>
                <w:rFonts w:ascii="Arial" w:hAnsi="Arial" w:cs="Arial"/>
                <w:sz w:val="20"/>
                <w:szCs w:val="20"/>
              </w:rPr>
            </w:pPr>
            <w:r w:rsidRPr="00C22778">
              <w:rPr>
                <w:rFonts w:ascii="Arial" w:hAnsi="Arial" w:cs="Arial"/>
                <w:spacing w:val="-5"/>
                <w:sz w:val="20"/>
                <w:szCs w:val="20"/>
              </w:rPr>
              <w:t>783</w:t>
            </w:r>
          </w:p>
        </w:tc>
        <w:tc>
          <w:tcPr>
            <w:tcW w:w="1723" w:type="dxa"/>
            <w:vMerge w:val="restart"/>
            <w:tcBorders>
              <w:top w:val="single" w:sz="4" w:space="0" w:color="000000"/>
            </w:tcBorders>
            <w:vAlign w:val="center"/>
          </w:tcPr>
          <w:p w14:paraId="6987CB04" w14:textId="77777777" w:rsidR="00EC6EFA" w:rsidRPr="00C22778" w:rsidRDefault="00EC6EFA" w:rsidP="00550592">
            <w:pPr>
              <w:pStyle w:val="TableParagraph"/>
              <w:spacing w:before="1"/>
              <w:ind w:left="854"/>
              <w:rPr>
                <w:rFonts w:ascii="Arial" w:hAnsi="Arial" w:cs="Arial"/>
                <w:sz w:val="20"/>
                <w:szCs w:val="20"/>
              </w:rPr>
            </w:pPr>
            <w:r w:rsidRPr="00C22778">
              <w:rPr>
                <w:rFonts w:ascii="Arial" w:hAnsi="Arial" w:cs="Arial"/>
                <w:spacing w:val="-4"/>
                <w:w w:val="105"/>
                <w:sz w:val="20"/>
                <w:szCs w:val="20"/>
              </w:rPr>
              <w:t>ACMV</w:t>
            </w:r>
          </w:p>
        </w:tc>
      </w:tr>
      <w:tr w:rsidR="00EC6EFA" w:rsidRPr="00C22778" w14:paraId="03C51998" w14:textId="77777777" w:rsidTr="00C22778">
        <w:trPr>
          <w:trHeight w:val="210"/>
          <w:jc w:val="center"/>
        </w:trPr>
        <w:tc>
          <w:tcPr>
            <w:tcW w:w="1276" w:type="dxa"/>
          </w:tcPr>
          <w:p w14:paraId="0061CF39"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pacing w:val="-2"/>
                <w:sz w:val="20"/>
                <w:szCs w:val="20"/>
              </w:rPr>
              <w:t>JSP002/R</w:t>
            </w:r>
          </w:p>
        </w:tc>
        <w:tc>
          <w:tcPr>
            <w:tcW w:w="4169" w:type="dxa"/>
          </w:tcPr>
          <w:p w14:paraId="43576E8F" w14:textId="77777777" w:rsidR="00EC6EFA" w:rsidRPr="00C22778" w:rsidRDefault="00EC6EFA" w:rsidP="00550592">
            <w:pPr>
              <w:pStyle w:val="TableParagraph"/>
              <w:spacing w:before="12"/>
              <w:ind w:left="948"/>
              <w:rPr>
                <w:rFonts w:ascii="Arial" w:hAnsi="Arial" w:cs="Arial"/>
                <w:sz w:val="20"/>
                <w:szCs w:val="20"/>
              </w:rPr>
            </w:pPr>
            <w:r w:rsidRPr="00C22778">
              <w:rPr>
                <w:rFonts w:ascii="Arial" w:hAnsi="Arial" w:cs="Arial"/>
                <w:spacing w:val="-2"/>
                <w:sz w:val="20"/>
                <w:szCs w:val="20"/>
              </w:rPr>
              <w:t>5ʼTGTTTATTAATTGCCAATACT</w:t>
            </w:r>
            <w:r w:rsidRPr="00C22778">
              <w:rPr>
                <w:rFonts w:ascii="Arial" w:hAnsi="Arial" w:cs="Arial"/>
                <w:spacing w:val="-4"/>
                <w:sz w:val="20"/>
                <w:szCs w:val="20"/>
              </w:rPr>
              <w:t xml:space="preserve"> </w:t>
            </w:r>
            <w:r w:rsidRPr="00C22778">
              <w:rPr>
                <w:rFonts w:ascii="Arial" w:hAnsi="Arial" w:cs="Arial"/>
                <w:spacing w:val="-5"/>
                <w:sz w:val="20"/>
                <w:szCs w:val="20"/>
              </w:rPr>
              <w:t>3ʼ</w:t>
            </w:r>
          </w:p>
        </w:tc>
        <w:tc>
          <w:tcPr>
            <w:tcW w:w="2246" w:type="dxa"/>
            <w:vMerge/>
          </w:tcPr>
          <w:p w14:paraId="0C394E47" w14:textId="77777777" w:rsidR="00EC6EFA" w:rsidRPr="00C22778" w:rsidRDefault="00EC6EFA" w:rsidP="00550592">
            <w:pPr>
              <w:pStyle w:val="TableParagraph"/>
              <w:jc w:val="center"/>
              <w:rPr>
                <w:rFonts w:ascii="Arial" w:hAnsi="Arial" w:cs="Arial"/>
                <w:sz w:val="20"/>
                <w:szCs w:val="20"/>
              </w:rPr>
            </w:pPr>
          </w:p>
        </w:tc>
        <w:tc>
          <w:tcPr>
            <w:tcW w:w="1723" w:type="dxa"/>
            <w:vMerge/>
          </w:tcPr>
          <w:p w14:paraId="0D7CB1FE" w14:textId="77777777" w:rsidR="00EC6EFA" w:rsidRPr="00C22778" w:rsidRDefault="00EC6EFA" w:rsidP="00550592">
            <w:pPr>
              <w:pStyle w:val="TableParagraph"/>
              <w:rPr>
                <w:rFonts w:ascii="Arial" w:hAnsi="Arial" w:cs="Arial"/>
                <w:sz w:val="20"/>
                <w:szCs w:val="20"/>
              </w:rPr>
            </w:pPr>
          </w:p>
        </w:tc>
      </w:tr>
      <w:tr w:rsidR="00EC6EFA" w:rsidRPr="00C22778" w14:paraId="14BC4DB8" w14:textId="77777777" w:rsidTr="00C22778">
        <w:trPr>
          <w:trHeight w:val="210"/>
          <w:jc w:val="center"/>
        </w:trPr>
        <w:tc>
          <w:tcPr>
            <w:tcW w:w="1276" w:type="dxa"/>
          </w:tcPr>
          <w:p w14:paraId="3B739829" w14:textId="77777777" w:rsidR="00EC6EFA" w:rsidRPr="00C22778" w:rsidRDefault="00EC6EFA" w:rsidP="00550592">
            <w:pPr>
              <w:pStyle w:val="TableParagraph"/>
              <w:spacing w:before="12"/>
              <w:rPr>
                <w:rFonts w:ascii="Arial" w:hAnsi="Arial" w:cs="Arial"/>
                <w:spacing w:val="-2"/>
                <w:sz w:val="20"/>
                <w:szCs w:val="20"/>
              </w:rPr>
            </w:pPr>
          </w:p>
        </w:tc>
        <w:tc>
          <w:tcPr>
            <w:tcW w:w="4169" w:type="dxa"/>
          </w:tcPr>
          <w:p w14:paraId="5CA142B8" w14:textId="77777777" w:rsidR="00EC6EFA" w:rsidRPr="00C22778" w:rsidRDefault="00EC6EFA" w:rsidP="00550592">
            <w:pPr>
              <w:pStyle w:val="TableParagraph"/>
              <w:spacing w:before="12"/>
              <w:ind w:left="948"/>
              <w:rPr>
                <w:rFonts w:ascii="Arial" w:hAnsi="Arial" w:cs="Arial"/>
                <w:spacing w:val="-2"/>
                <w:sz w:val="20"/>
                <w:szCs w:val="20"/>
              </w:rPr>
            </w:pPr>
          </w:p>
        </w:tc>
        <w:tc>
          <w:tcPr>
            <w:tcW w:w="2246" w:type="dxa"/>
          </w:tcPr>
          <w:p w14:paraId="31898747" w14:textId="77777777" w:rsidR="00EC6EFA" w:rsidRPr="00C22778" w:rsidRDefault="00EC6EFA" w:rsidP="00550592">
            <w:pPr>
              <w:pStyle w:val="TableParagraph"/>
              <w:jc w:val="center"/>
              <w:rPr>
                <w:rFonts w:ascii="Arial" w:hAnsi="Arial" w:cs="Arial"/>
                <w:sz w:val="20"/>
                <w:szCs w:val="20"/>
              </w:rPr>
            </w:pPr>
          </w:p>
        </w:tc>
        <w:tc>
          <w:tcPr>
            <w:tcW w:w="1723" w:type="dxa"/>
          </w:tcPr>
          <w:p w14:paraId="041780FE" w14:textId="77777777" w:rsidR="00EC6EFA" w:rsidRPr="00C22778" w:rsidRDefault="00EC6EFA" w:rsidP="00550592">
            <w:pPr>
              <w:pStyle w:val="TableParagraph"/>
              <w:rPr>
                <w:rFonts w:ascii="Arial" w:hAnsi="Arial" w:cs="Arial"/>
                <w:sz w:val="20"/>
                <w:szCs w:val="20"/>
              </w:rPr>
            </w:pPr>
          </w:p>
        </w:tc>
      </w:tr>
      <w:tr w:rsidR="00EC6EFA" w:rsidRPr="00C22778" w14:paraId="3B087050" w14:textId="77777777" w:rsidTr="00C22778">
        <w:trPr>
          <w:trHeight w:val="210"/>
          <w:jc w:val="center"/>
        </w:trPr>
        <w:tc>
          <w:tcPr>
            <w:tcW w:w="1276" w:type="dxa"/>
          </w:tcPr>
          <w:p w14:paraId="16FE3D39"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z w:val="20"/>
                <w:szCs w:val="20"/>
              </w:rPr>
              <w:t>ACMV-</w:t>
            </w:r>
            <w:r w:rsidRPr="00C22778">
              <w:rPr>
                <w:rFonts w:ascii="Arial" w:hAnsi="Arial" w:cs="Arial"/>
                <w:spacing w:val="-2"/>
                <w:sz w:val="20"/>
                <w:szCs w:val="20"/>
              </w:rPr>
              <w:t>AL1/F</w:t>
            </w:r>
          </w:p>
        </w:tc>
        <w:tc>
          <w:tcPr>
            <w:tcW w:w="4169" w:type="dxa"/>
          </w:tcPr>
          <w:p w14:paraId="327F8215" w14:textId="77777777" w:rsidR="00EC6EFA" w:rsidRPr="00C22778" w:rsidRDefault="00EC6EFA" w:rsidP="00550592">
            <w:pPr>
              <w:pStyle w:val="TableParagraph"/>
              <w:spacing w:before="12"/>
              <w:ind w:left="948"/>
              <w:rPr>
                <w:rFonts w:ascii="Arial" w:hAnsi="Arial" w:cs="Arial"/>
                <w:sz w:val="20"/>
                <w:szCs w:val="20"/>
              </w:rPr>
            </w:pPr>
            <w:r w:rsidRPr="00C22778">
              <w:rPr>
                <w:rFonts w:ascii="Arial" w:hAnsi="Arial" w:cs="Arial"/>
                <w:sz w:val="20"/>
                <w:szCs w:val="20"/>
              </w:rPr>
              <w:t>5ʼGCGGAATCCCTAACATTAT</w:t>
            </w:r>
            <w:r w:rsidRPr="00C22778">
              <w:rPr>
                <w:rFonts w:ascii="Arial" w:hAnsi="Arial" w:cs="Arial"/>
                <w:spacing w:val="5"/>
                <w:sz w:val="20"/>
                <w:szCs w:val="20"/>
              </w:rPr>
              <w:t xml:space="preserve"> </w:t>
            </w:r>
            <w:r w:rsidRPr="00C22778">
              <w:rPr>
                <w:rFonts w:ascii="Arial" w:hAnsi="Arial" w:cs="Arial"/>
                <w:spacing w:val="-5"/>
                <w:sz w:val="20"/>
                <w:szCs w:val="20"/>
              </w:rPr>
              <w:t>3ʼ</w:t>
            </w:r>
          </w:p>
        </w:tc>
        <w:tc>
          <w:tcPr>
            <w:tcW w:w="2246" w:type="dxa"/>
            <w:vMerge w:val="restart"/>
            <w:vAlign w:val="center"/>
          </w:tcPr>
          <w:p w14:paraId="60AE3951" w14:textId="77777777" w:rsidR="00EC6EFA" w:rsidRPr="00C22778" w:rsidRDefault="00EC6EFA" w:rsidP="00550592">
            <w:pPr>
              <w:pStyle w:val="TableParagraph"/>
              <w:spacing w:before="12"/>
              <w:ind w:left="77" w:right="131"/>
              <w:jc w:val="center"/>
              <w:rPr>
                <w:rFonts w:ascii="Arial" w:hAnsi="Arial" w:cs="Arial"/>
                <w:sz w:val="20"/>
                <w:szCs w:val="20"/>
              </w:rPr>
            </w:pPr>
            <w:r w:rsidRPr="00C22778">
              <w:rPr>
                <w:rFonts w:ascii="Arial" w:hAnsi="Arial" w:cs="Arial"/>
                <w:spacing w:val="-4"/>
                <w:sz w:val="20"/>
                <w:szCs w:val="20"/>
              </w:rPr>
              <w:t>1030</w:t>
            </w:r>
          </w:p>
        </w:tc>
        <w:tc>
          <w:tcPr>
            <w:tcW w:w="1723" w:type="dxa"/>
            <w:vMerge w:val="restart"/>
            <w:vAlign w:val="center"/>
          </w:tcPr>
          <w:p w14:paraId="16D9C287" w14:textId="77777777" w:rsidR="00EC6EFA" w:rsidRPr="00C22778" w:rsidRDefault="00EC6EFA" w:rsidP="00550592">
            <w:pPr>
              <w:pStyle w:val="TableParagraph"/>
              <w:spacing w:before="12"/>
              <w:ind w:left="854"/>
              <w:rPr>
                <w:rFonts w:ascii="Arial" w:hAnsi="Arial" w:cs="Arial"/>
                <w:sz w:val="20"/>
                <w:szCs w:val="20"/>
              </w:rPr>
            </w:pPr>
            <w:r w:rsidRPr="00C22778">
              <w:rPr>
                <w:rFonts w:ascii="Arial" w:hAnsi="Arial" w:cs="Arial"/>
                <w:spacing w:val="-4"/>
                <w:w w:val="105"/>
                <w:sz w:val="20"/>
                <w:szCs w:val="20"/>
              </w:rPr>
              <w:t>ACMV</w:t>
            </w:r>
          </w:p>
        </w:tc>
      </w:tr>
      <w:tr w:rsidR="00EC6EFA" w:rsidRPr="00C22778" w14:paraId="69D79267" w14:textId="77777777" w:rsidTr="00C22778">
        <w:trPr>
          <w:trHeight w:val="219"/>
          <w:jc w:val="center"/>
        </w:trPr>
        <w:tc>
          <w:tcPr>
            <w:tcW w:w="1276" w:type="dxa"/>
          </w:tcPr>
          <w:p w14:paraId="4DC97A8A"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z w:val="20"/>
                <w:szCs w:val="20"/>
              </w:rPr>
              <w:t>ACMV-</w:t>
            </w:r>
            <w:r w:rsidRPr="00C22778">
              <w:rPr>
                <w:rFonts w:ascii="Arial" w:hAnsi="Arial" w:cs="Arial"/>
                <w:spacing w:val="-2"/>
                <w:sz w:val="20"/>
                <w:szCs w:val="20"/>
              </w:rPr>
              <w:t>AR0/R</w:t>
            </w:r>
          </w:p>
        </w:tc>
        <w:tc>
          <w:tcPr>
            <w:tcW w:w="4169" w:type="dxa"/>
          </w:tcPr>
          <w:p w14:paraId="456ED2EE" w14:textId="77777777" w:rsidR="00EC6EFA" w:rsidRPr="00C22778" w:rsidRDefault="00EC6EFA" w:rsidP="00550592">
            <w:pPr>
              <w:pStyle w:val="TableParagraph"/>
              <w:spacing w:before="12"/>
              <w:ind w:left="948"/>
              <w:rPr>
                <w:rFonts w:ascii="Arial" w:hAnsi="Arial" w:cs="Arial"/>
                <w:sz w:val="20"/>
                <w:szCs w:val="20"/>
              </w:rPr>
            </w:pPr>
            <w:r w:rsidRPr="00C22778">
              <w:rPr>
                <w:rFonts w:ascii="Arial" w:hAnsi="Arial" w:cs="Arial"/>
                <w:spacing w:val="-2"/>
                <w:sz w:val="20"/>
                <w:szCs w:val="20"/>
              </w:rPr>
              <w:t>5ʼGCTCGTATGTATCCTCTAAGGCCTG</w:t>
            </w:r>
            <w:r w:rsidRPr="00C22778">
              <w:rPr>
                <w:rFonts w:ascii="Arial" w:hAnsi="Arial" w:cs="Arial"/>
                <w:spacing w:val="19"/>
                <w:sz w:val="20"/>
                <w:szCs w:val="20"/>
              </w:rPr>
              <w:t xml:space="preserve"> </w:t>
            </w:r>
            <w:r w:rsidRPr="00C22778">
              <w:rPr>
                <w:rFonts w:ascii="Arial" w:hAnsi="Arial" w:cs="Arial"/>
                <w:spacing w:val="-5"/>
                <w:sz w:val="20"/>
                <w:szCs w:val="20"/>
              </w:rPr>
              <w:t>3ʼ</w:t>
            </w:r>
          </w:p>
        </w:tc>
        <w:tc>
          <w:tcPr>
            <w:tcW w:w="2246" w:type="dxa"/>
            <w:vMerge/>
          </w:tcPr>
          <w:p w14:paraId="479EC349" w14:textId="77777777" w:rsidR="00EC6EFA" w:rsidRPr="00C22778" w:rsidRDefault="00EC6EFA" w:rsidP="00550592">
            <w:pPr>
              <w:pStyle w:val="TableParagraph"/>
              <w:jc w:val="center"/>
              <w:rPr>
                <w:rFonts w:ascii="Arial" w:hAnsi="Arial" w:cs="Arial"/>
                <w:sz w:val="20"/>
                <w:szCs w:val="20"/>
              </w:rPr>
            </w:pPr>
          </w:p>
        </w:tc>
        <w:tc>
          <w:tcPr>
            <w:tcW w:w="1723" w:type="dxa"/>
            <w:vMerge/>
          </w:tcPr>
          <w:p w14:paraId="30B6A4A8" w14:textId="77777777" w:rsidR="00EC6EFA" w:rsidRPr="00C22778" w:rsidRDefault="00EC6EFA" w:rsidP="00550592">
            <w:pPr>
              <w:pStyle w:val="TableParagraph"/>
              <w:rPr>
                <w:rFonts w:ascii="Arial" w:hAnsi="Arial" w:cs="Arial"/>
                <w:sz w:val="20"/>
                <w:szCs w:val="20"/>
              </w:rPr>
            </w:pPr>
          </w:p>
        </w:tc>
      </w:tr>
      <w:tr w:rsidR="00EC6EFA" w:rsidRPr="00C22778" w14:paraId="1D20912E" w14:textId="77777777" w:rsidTr="00C22778">
        <w:trPr>
          <w:trHeight w:val="219"/>
          <w:jc w:val="center"/>
        </w:trPr>
        <w:tc>
          <w:tcPr>
            <w:tcW w:w="1276" w:type="dxa"/>
          </w:tcPr>
          <w:p w14:paraId="0E185D4D" w14:textId="77777777" w:rsidR="00EC6EFA" w:rsidRPr="00C22778" w:rsidRDefault="00EC6EFA" w:rsidP="00550592">
            <w:pPr>
              <w:pStyle w:val="TableParagraph"/>
              <w:spacing w:before="12"/>
              <w:rPr>
                <w:rFonts w:ascii="Arial" w:hAnsi="Arial" w:cs="Arial"/>
                <w:sz w:val="20"/>
                <w:szCs w:val="20"/>
              </w:rPr>
            </w:pPr>
          </w:p>
        </w:tc>
        <w:tc>
          <w:tcPr>
            <w:tcW w:w="4169" w:type="dxa"/>
          </w:tcPr>
          <w:p w14:paraId="57C00B51" w14:textId="77777777" w:rsidR="00EC6EFA" w:rsidRPr="00C22778" w:rsidRDefault="00EC6EFA" w:rsidP="00550592">
            <w:pPr>
              <w:pStyle w:val="TableParagraph"/>
              <w:spacing w:before="12"/>
              <w:ind w:left="948"/>
              <w:rPr>
                <w:rFonts w:ascii="Arial" w:hAnsi="Arial" w:cs="Arial"/>
                <w:spacing w:val="-2"/>
                <w:sz w:val="20"/>
                <w:szCs w:val="20"/>
              </w:rPr>
            </w:pPr>
          </w:p>
        </w:tc>
        <w:tc>
          <w:tcPr>
            <w:tcW w:w="2246" w:type="dxa"/>
          </w:tcPr>
          <w:p w14:paraId="7D7F130A" w14:textId="77777777" w:rsidR="00EC6EFA" w:rsidRPr="00C22778" w:rsidRDefault="00EC6EFA" w:rsidP="00550592">
            <w:pPr>
              <w:pStyle w:val="TableParagraph"/>
              <w:jc w:val="center"/>
              <w:rPr>
                <w:rFonts w:ascii="Arial" w:hAnsi="Arial" w:cs="Arial"/>
                <w:sz w:val="20"/>
                <w:szCs w:val="20"/>
              </w:rPr>
            </w:pPr>
          </w:p>
        </w:tc>
        <w:tc>
          <w:tcPr>
            <w:tcW w:w="1723" w:type="dxa"/>
          </w:tcPr>
          <w:p w14:paraId="0F0A6710" w14:textId="77777777" w:rsidR="00EC6EFA" w:rsidRPr="00C22778" w:rsidRDefault="00EC6EFA" w:rsidP="00550592">
            <w:pPr>
              <w:pStyle w:val="TableParagraph"/>
              <w:rPr>
                <w:rFonts w:ascii="Arial" w:hAnsi="Arial" w:cs="Arial"/>
                <w:sz w:val="20"/>
                <w:szCs w:val="20"/>
              </w:rPr>
            </w:pPr>
          </w:p>
        </w:tc>
      </w:tr>
      <w:tr w:rsidR="00EC6EFA" w:rsidRPr="00C22778" w14:paraId="0E9DB96C" w14:textId="77777777" w:rsidTr="00C22778">
        <w:trPr>
          <w:trHeight w:val="219"/>
          <w:jc w:val="center"/>
        </w:trPr>
        <w:tc>
          <w:tcPr>
            <w:tcW w:w="1276" w:type="dxa"/>
          </w:tcPr>
          <w:p w14:paraId="056E4651"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pacing w:val="-2"/>
                <w:sz w:val="20"/>
                <w:szCs w:val="20"/>
              </w:rPr>
              <w:t>JSP001/F</w:t>
            </w:r>
          </w:p>
        </w:tc>
        <w:tc>
          <w:tcPr>
            <w:tcW w:w="4169" w:type="dxa"/>
          </w:tcPr>
          <w:p w14:paraId="728C322B" w14:textId="77777777" w:rsidR="00EC6EFA" w:rsidRPr="00C22778" w:rsidRDefault="00EC6EFA" w:rsidP="00550592">
            <w:pPr>
              <w:pStyle w:val="TableParagraph"/>
              <w:spacing w:before="12"/>
              <w:ind w:left="948"/>
              <w:rPr>
                <w:rFonts w:ascii="Arial" w:hAnsi="Arial" w:cs="Arial"/>
                <w:spacing w:val="-2"/>
                <w:sz w:val="20"/>
                <w:szCs w:val="20"/>
              </w:rPr>
            </w:pPr>
            <w:r w:rsidRPr="00C22778">
              <w:rPr>
                <w:rFonts w:ascii="Arial" w:hAnsi="Arial" w:cs="Arial"/>
                <w:sz w:val="20"/>
                <w:szCs w:val="20"/>
              </w:rPr>
              <w:t>5ʼATGTCGAAGCGACCAGGAGAT</w:t>
            </w:r>
            <w:r w:rsidRPr="00C22778">
              <w:rPr>
                <w:rFonts w:ascii="Arial" w:hAnsi="Arial" w:cs="Arial"/>
                <w:spacing w:val="26"/>
                <w:sz w:val="20"/>
                <w:szCs w:val="20"/>
              </w:rPr>
              <w:t xml:space="preserve"> </w:t>
            </w:r>
            <w:r w:rsidRPr="00C22778">
              <w:rPr>
                <w:rFonts w:ascii="Arial" w:hAnsi="Arial" w:cs="Arial"/>
                <w:spacing w:val="-5"/>
                <w:sz w:val="20"/>
                <w:szCs w:val="20"/>
              </w:rPr>
              <w:t>3ʼ</w:t>
            </w:r>
          </w:p>
        </w:tc>
        <w:tc>
          <w:tcPr>
            <w:tcW w:w="2246" w:type="dxa"/>
            <w:vMerge w:val="restart"/>
            <w:vAlign w:val="center"/>
          </w:tcPr>
          <w:p w14:paraId="076D83ED" w14:textId="77777777" w:rsidR="00EC6EFA" w:rsidRPr="00C22778" w:rsidRDefault="00EC6EFA" w:rsidP="00550592">
            <w:pPr>
              <w:pStyle w:val="TableParagraph"/>
              <w:jc w:val="center"/>
              <w:rPr>
                <w:rFonts w:ascii="Arial" w:hAnsi="Arial" w:cs="Arial"/>
                <w:sz w:val="20"/>
                <w:szCs w:val="20"/>
              </w:rPr>
            </w:pPr>
            <w:r w:rsidRPr="00C22778">
              <w:rPr>
                <w:rFonts w:ascii="Arial" w:hAnsi="Arial" w:cs="Arial"/>
                <w:spacing w:val="-5"/>
                <w:sz w:val="20"/>
                <w:szCs w:val="20"/>
              </w:rPr>
              <w:t>780</w:t>
            </w:r>
          </w:p>
        </w:tc>
        <w:tc>
          <w:tcPr>
            <w:tcW w:w="1723" w:type="dxa"/>
            <w:vMerge w:val="restart"/>
            <w:vAlign w:val="center"/>
          </w:tcPr>
          <w:p w14:paraId="0F6AC895" w14:textId="3E65C260" w:rsidR="00EC6EFA" w:rsidRPr="00C22778" w:rsidRDefault="00EC6EFA" w:rsidP="00550592">
            <w:pPr>
              <w:pStyle w:val="TableParagraph"/>
              <w:jc w:val="center"/>
              <w:rPr>
                <w:rFonts w:ascii="Arial" w:hAnsi="Arial" w:cs="Arial"/>
                <w:sz w:val="20"/>
                <w:szCs w:val="20"/>
              </w:rPr>
            </w:pPr>
            <w:r w:rsidRPr="00C22778">
              <w:rPr>
                <w:rFonts w:ascii="Arial" w:hAnsi="Arial" w:cs="Arial"/>
                <w:sz w:val="20"/>
                <w:szCs w:val="20"/>
              </w:rPr>
              <w:t xml:space="preserve">     </w:t>
            </w:r>
            <w:r w:rsidR="00FA3563">
              <w:rPr>
                <w:rFonts w:ascii="Arial" w:hAnsi="Arial" w:cs="Arial"/>
                <w:sz w:val="20"/>
                <w:szCs w:val="20"/>
              </w:rPr>
              <w:t xml:space="preserve">        </w:t>
            </w:r>
            <w:r w:rsidRPr="00C22778">
              <w:rPr>
                <w:rFonts w:ascii="Arial" w:hAnsi="Arial" w:cs="Arial"/>
                <w:sz w:val="20"/>
                <w:szCs w:val="20"/>
              </w:rPr>
              <w:t>EACMV</w:t>
            </w:r>
          </w:p>
        </w:tc>
      </w:tr>
      <w:tr w:rsidR="00EC6EFA" w:rsidRPr="00C22778" w14:paraId="74FB983E" w14:textId="77777777" w:rsidTr="00C22778">
        <w:trPr>
          <w:trHeight w:val="219"/>
          <w:jc w:val="center"/>
        </w:trPr>
        <w:tc>
          <w:tcPr>
            <w:tcW w:w="1276" w:type="dxa"/>
          </w:tcPr>
          <w:p w14:paraId="53DF2E0A"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pacing w:val="-2"/>
                <w:sz w:val="20"/>
                <w:szCs w:val="20"/>
              </w:rPr>
              <w:t>JSP003/R</w:t>
            </w:r>
          </w:p>
        </w:tc>
        <w:tc>
          <w:tcPr>
            <w:tcW w:w="4169" w:type="dxa"/>
          </w:tcPr>
          <w:p w14:paraId="33F60C40" w14:textId="77777777" w:rsidR="00EC6EFA" w:rsidRPr="00C22778" w:rsidRDefault="00EC6EFA" w:rsidP="00550592">
            <w:pPr>
              <w:pStyle w:val="TableParagraph"/>
              <w:spacing w:before="12"/>
              <w:ind w:left="948"/>
              <w:rPr>
                <w:rFonts w:ascii="Arial" w:hAnsi="Arial" w:cs="Arial"/>
                <w:spacing w:val="-2"/>
                <w:sz w:val="20"/>
                <w:szCs w:val="20"/>
              </w:rPr>
            </w:pPr>
            <w:r w:rsidRPr="00C22778">
              <w:rPr>
                <w:rFonts w:ascii="Arial" w:hAnsi="Arial" w:cs="Arial"/>
                <w:spacing w:val="-2"/>
                <w:sz w:val="20"/>
                <w:szCs w:val="20"/>
              </w:rPr>
              <w:t>5ʼCCTTTATTAATTTGTCACTGC</w:t>
            </w:r>
            <w:r w:rsidRPr="00C22778">
              <w:rPr>
                <w:rFonts w:ascii="Arial" w:hAnsi="Arial" w:cs="Arial"/>
                <w:spacing w:val="-4"/>
                <w:sz w:val="20"/>
                <w:szCs w:val="20"/>
              </w:rPr>
              <w:t xml:space="preserve"> </w:t>
            </w:r>
            <w:r w:rsidRPr="00C22778">
              <w:rPr>
                <w:rFonts w:ascii="Arial" w:hAnsi="Arial" w:cs="Arial"/>
                <w:spacing w:val="-5"/>
                <w:sz w:val="20"/>
                <w:szCs w:val="20"/>
              </w:rPr>
              <w:t>3ʼ</w:t>
            </w:r>
          </w:p>
        </w:tc>
        <w:tc>
          <w:tcPr>
            <w:tcW w:w="2246" w:type="dxa"/>
            <w:vMerge/>
            <w:vAlign w:val="center"/>
          </w:tcPr>
          <w:p w14:paraId="0140CC32" w14:textId="77777777" w:rsidR="00EC6EFA" w:rsidRPr="00C22778" w:rsidRDefault="00EC6EFA" w:rsidP="00550592">
            <w:pPr>
              <w:pStyle w:val="TableParagraph"/>
              <w:jc w:val="center"/>
              <w:rPr>
                <w:rFonts w:ascii="Arial" w:hAnsi="Arial" w:cs="Arial"/>
                <w:sz w:val="20"/>
                <w:szCs w:val="20"/>
              </w:rPr>
            </w:pPr>
          </w:p>
        </w:tc>
        <w:tc>
          <w:tcPr>
            <w:tcW w:w="1723" w:type="dxa"/>
            <w:vMerge/>
          </w:tcPr>
          <w:p w14:paraId="2DE63E95" w14:textId="77777777" w:rsidR="00EC6EFA" w:rsidRPr="00C22778" w:rsidRDefault="00EC6EFA" w:rsidP="00550592">
            <w:pPr>
              <w:pStyle w:val="TableParagraph"/>
              <w:rPr>
                <w:rFonts w:ascii="Arial" w:hAnsi="Arial" w:cs="Arial"/>
                <w:sz w:val="20"/>
                <w:szCs w:val="20"/>
              </w:rPr>
            </w:pPr>
          </w:p>
        </w:tc>
      </w:tr>
      <w:tr w:rsidR="00EC6EFA" w:rsidRPr="00C22778" w14:paraId="52ACB359" w14:textId="77777777" w:rsidTr="00C22778">
        <w:trPr>
          <w:trHeight w:val="68"/>
          <w:jc w:val="center"/>
        </w:trPr>
        <w:tc>
          <w:tcPr>
            <w:tcW w:w="1276" w:type="dxa"/>
            <w:tcBorders>
              <w:bottom w:val="single" w:sz="4" w:space="0" w:color="000000"/>
            </w:tcBorders>
          </w:tcPr>
          <w:p w14:paraId="730C7E1D" w14:textId="77777777" w:rsidR="00EC6EFA" w:rsidRPr="00C22778" w:rsidRDefault="00EC6EFA" w:rsidP="00550592">
            <w:pPr>
              <w:pStyle w:val="TableParagraph"/>
              <w:spacing w:before="12"/>
              <w:rPr>
                <w:rFonts w:ascii="Arial" w:hAnsi="Arial" w:cs="Arial"/>
                <w:sz w:val="20"/>
                <w:szCs w:val="20"/>
              </w:rPr>
            </w:pPr>
          </w:p>
        </w:tc>
        <w:tc>
          <w:tcPr>
            <w:tcW w:w="4169" w:type="dxa"/>
            <w:tcBorders>
              <w:bottom w:val="single" w:sz="4" w:space="0" w:color="000000"/>
            </w:tcBorders>
          </w:tcPr>
          <w:p w14:paraId="414F233C" w14:textId="77777777" w:rsidR="00EC6EFA" w:rsidRPr="00C22778" w:rsidRDefault="00EC6EFA" w:rsidP="00550592">
            <w:pPr>
              <w:pStyle w:val="TableParagraph"/>
              <w:spacing w:before="12"/>
              <w:ind w:left="948"/>
              <w:rPr>
                <w:rFonts w:ascii="Arial" w:hAnsi="Arial" w:cs="Arial"/>
                <w:spacing w:val="-2"/>
                <w:sz w:val="20"/>
                <w:szCs w:val="20"/>
              </w:rPr>
            </w:pPr>
          </w:p>
        </w:tc>
        <w:tc>
          <w:tcPr>
            <w:tcW w:w="2246" w:type="dxa"/>
            <w:tcBorders>
              <w:bottom w:val="single" w:sz="4" w:space="0" w:color="000000"/>
            </w:tcBorders>
          </w:tcPr>
          <w:p w14:paraId="140782A6" w14:textId="77777777" w:rsidR="00EC6EFA" w:rsidRPr="00C22778" w:rsidRDefault="00EC6EFA" w:rsidP="00550592">
            <w:pPr>
              <w:pStyle w:val="TableParagraph"/>
              <w:jc w:val="center"/>
              <w:rPr>
                <w:rFonts w:ascii="Arial" w:hAnsi="Arial" w:cs="Arial"/>
                <w:sz w:val="20"/>
                <w:szCs w:val="20"/>
              </w:rPr>
            </w:pPr>
          </w:p>
        </w:tc>
        <w:tc>
          <w:tcPr>
            <w:tcW w:w="1723" w:type="dxa"/>
            <w:tcBorders>
              <w:bottom w:val="single" w:sz="4" w:space="0" w:color="000000"/>
            </w:tcBorders>
          </w:tcPr>
          <w:p w14:paraId="7F2BE993" w14:textId="77777777" w:rsidR="00EC6EFA" w:rsidRPr="00C22778" w:rsidRDefault="00EC6EFA" w:rsidP="00550592">
            <w:pPr>
              <w:pStyle w:val="TableParagraph"/>
              <w:rPr>
                <w:rFonts w:ascii="Arial" w:hAnsi="Arial" w:cs="Arial"/>
                <w:sz w:val="20"/>
                <w:szCs w:val="20"/>
              </w:rPr>
            </w:pPr>
          </w:p>
        </w:tc>
      </w:tr>
    </w:tbl>
    <w:p w14:paraId="191E40FE" w14:textId="77777777" w:rsidR="00FA3563" w:rsidRDefault="00FA3563" w:rsidP="00EC6EFA">
      <w:pPr>
        <w:spacing w:before="100" w:beforeAutospacing="1" w:after="100" w:afterAutospacing="1" w:line="276" w:lineRule="auto"/>
        <w:jc w:val="both"/>
        <w:rPr>
          <w:rFonts w:ascii="Arial" w:hAnsi="Arial" w:cs="Arial"/>
          <w:b/>
          <w:sz w:val="22"/>
        </w:rPr>
      </w:pPr>
    </w:p>
    <w:p w14:paraId="79414EC4" w14:textId="6096ED66" w:rsidR="00EC6EFA" w:rsidRPr="00EC6EFA" w:rsidRDefault="00EC6EFA" w:rsidP="00EC6EFA">
      <w:pPr>
        <w:spacing w:before="100" w:beforeAutospacing="1" w:after="100" w:afterAutospacing="1" w:line="276" w:lineRule="auto"/>
        <w:jc w:val="both"/>
        <w:rPr>
          <w:rFonts w:ascii="Arial" w:hAnsi="Arial" w:cs="Arial"/>
          <w:b/>
          <w:sz w:val="22"/>
        </w:rPr>
      </w:pPr>
      <w:r w:rsidRPr="00EC6EFA">
        <w:rPr>
          <w:rFonts w:ascii="Arial" w:hAnsi="Arial" w:cs="Arial"/>
          <w:b/>
          <w:sz w:val="22"/>
        </w:rPr>
        <w:t>2.4. Statistical analysis</w:t>
      </w:r>
    </w:p>
    <w:p w14:paraId="01FAB95E" w14:textId="77777777" w:rsidR="0051363D" w:rsidRDefault="0051363D" w:rsidP="000F78E1">
      <w:pPr>
        <w:spacing w:before="100" w:beforeAutospacing="1" w:after="100" w:afterAutospacing="1" w:line="360" w:lineRule="auto"/>
        <w:jc w:val="both"/>
        <w:rPr>
          <w:rFonts w:ascii="Arial" w:hAnsi="Arial" w:cs="Arial"/>
        </w:rPr>
      </w:pPr>
      <w:r w:rsidRPr="0051363D">
        <w:rPr>
          <w:rFonts w:ascii="Arial" w:hAnsi="Arial" w:cs="Arial"/>
        </w:rPr>
        <w:t>The percentage of phenotypically affected plants in each field was assessed by the ratio between symptomatic plants and all plants examined, and this formula was applied to all plants observed, as shown in the following formula:</w:t>
      </w:r>
    </w:p>
    <w:p w14:paraId="0DD6EB31" w14:textId="6E0CF408" w:rsidR="008A6CAC" w:rsidRDefault="00AD1A28" w:rsidP="000F78E1">
      <w:pPr>
        <w:spacing w:before="100" w:beforeAutospacing="1" w:after="100" w:afterAutospacing="1" w:line="360" w:lineRule="auto"/>
        <w:jc w:val="both"/>
        <w:rPr>
          <w:rFonts w:ascii="Arial" w:hAnsi="Arial" w:cs="Arial"/>
        </w:rPr>
      </w:pPr>
      <w:r>
        <w:rPr>
          <w:rFonts w:ascii="Arial" w:hAnsi="Arial" w:cs="Arial"/>
          <w:noProof/>
        </w:rPr>
        <w:drawing>
          <wp:inline distT="0" distB="0" distL="0" distR="0" wp14:anchorId="78B37E43" wp14:editId="52BC49B7">
            <wp:extent cx="5136146" cy="5105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233" cy="523471"/>
                    </a:xfrm>
                    <a:prstGeom prst="rect">
                      <a:avLst/>
                    </a:prstGeom>
                    <a:noFill/>
                  </pic:spPr>
                </pic:pic>
              </a:graphicData>
            </a:graphic>
          </wp:inline>
        </w:drawing>
      </w:r>
    </w:p>
    <w:p w14:paraId="59779DA7" w14:textId="7488B9E4" w:rsidR="00EC6EFA" w:rsidRPr="00EC6EFA" w:rsidRDefault="00EC6EFA" w:rsidP="000F78E1">
      <w:pPr>
        <w:spacing w:before="100" w:beforeAutospacing="1" w:after="100" w:afterAutospacing="1" w:line="360" w:lineRule="auto"/>
        <w:jc w:val="both"/>
        <w:rPr>
          <w:rFonts w:ascii="Arial" w:hAnsi="Arial" w:cs="Arial"/>
        </w:rPr>
      </w:pPr>
      <w:r w:rsidRPr="00EC6EFA">
        <w:rPr>
          <w:rFonts w:ascii="Arial" w:hAnsi="Arial" w:cs="Arial"/>
        </w:rPr>
        <w:t xml:space="preserve">The phenotypic prevalence of cassava mosaic disease (CMD) across the different departments was compared using pairwise proportion tests. To assess factors potentially influencing </w:t>
      </w:r>
      <w:r w:rsidR="00C10BB8">
        <w:rPr>
          <w:rFonts w:ascii="Arial" w:hAnsi="Arial" w:cs="Arial"/>
        </w:rPr>
        <w:t xml:space="preserve">CMD </w:t>
      </w:r>
      <w:r w:rsidRPr="00EC6EFA">
        <w:rPr>
          <w:rFonts w:ascii="Arial" w:hAnsi="Arial" w:cs="Arial"/>
        </w:rPr>
        <w:t>development, Odds Ratios (OR) with 95% confidence intervals were calculated</w:t>
      </w:r>
      <w:r w:rsidR="0051363D">
        <w:rPr>
          <w:rFonts w:ascii="Arial" w:hAnsi="Arial" w:cs="Arial"/>
        </w:rPr>
        <w:t xml:space="preserve"> </w:t>
      </w:r>
      <w:r w:rsidR="0051363D" w:rsidRPr="0051363D">
        <w:rPr>
          <w:rFonts w:ascii="Arial" w:hAnsi="Arial" w:cs="Arial"/>
        </w:rPr>
        <w:t>for variables such as</w:t>
      </w:r>
      <w:r w:rsidRPr="00EC6EFA">
        <w:rPr>
          <w:rFonts w:ascii="Arial" w:hAnsi="Arial" w:cs="Arial"/>
        </w:rPr>
        <w:t xml:space="preserve"> cutting origin, crop age and </w:t>
      </w:r>
      <w:r w:rsidR="00074FC5">
        <w:rPr>
          <w:rFonts w:ascii="Arial" w:hAnsi="Arial" w:cs="Arial"/>
        </w:rPr>
        <w:t xml:space="preserve">climatic </w:t>
      </w:r>
      <w:r w:rsidRPr="00EC6EFA">
        <w:rPr>
          <w:rFonts w:ascii="Arial" w:hAnsi="Arial" w:cs="Arial"/>
        </w:rPr>
        <w:t>seasonality.</w:t>
      </w:r>
      <w:r>
        <w:rPr>
          <w:rFonts w:ascii="Arial" w:hAnsi="Arial" w:cs="Arial"/>
        </w:rPr>
        <w:t xml:space="preserve"> </w:t>
      </w:r>
      <w:r w:rsidRPr="00EC6EFA">
        <w:rPr>
          <w:rFonts w:ascii="Arial" w:hAnsi="Arial" w:cs="Arial"/>
        </w:rPr>
        <w:t>To visualize the distribution and intensity of symptom severity across departments, heatmaps were generated;</w:t>
      </w:r>
      <w:r w:rsidR="008A6CAC">
        <w:rPr>
          <w:rFonts w:ascii="Arial" w:hAnsi="Arial" w:cs="Arial"/>
        </w:rPr>
        <w:t xml:space="preserve"> </w:t>
      </w:r>
      <w:r w:rsidRPr="00EC6EFA">
        <w:rPr>
          <w:rFonts w:ascii="Arial" w:hAnsi="Arial" w:cs="Arial"/>
        </w:rPr>
        <w:t xml:space="preserve">The infection rates were compared between symptomatic and asymptomatic plants across departments, using Chi-square tests. All statistical analyses were performed using R software version 3.3.1. Differences were considered statistically significant at a threshold of </w:t>
      </w:r>
      <w:r w:rsidRPr="00C22778">
        <w:rPr>
          <w:rFonts w:ascii="Arial" w:hAnsi="Arial" w:cs="Arial"/>
          <w:i/>
          <w:iCs/>
        </w:rPr>
        <w:t>P</w:t>
      </w:r>
      <w:r w:rsidRPr="00EC6EFA">
        <w:rPr>
          <w:rFonts w:ascii="Arial" w:hAnsi="Arial" w:cs="Arial"/>
        </w:rPr>
        <w:t xml:space="preserve"> &lt; 0.05. </w:t>
      </w:r>
    </w:p>
    <w:p w14:paraId="26454966" w14:textId="6157D685" w:rsidR="00215C1F"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77D6396" w14:textId="2C43E205" w:rsidR="004772C5" w:rsidRPr="004772C5" w:rsidRDefault="004772C5" w:rsidP="004772C5">
      <w:pPr>
        <w:spacing w:before="100" w:beforeAutospacing="1" w:after="100" w:afterAutospacing="1" w:line="276" w:lineRule="auto"/>
        <w:jc w:val="both"/>
        <w:rPr>
          <w:rFonts w:ascii="Arial" w:hAnsi="Arial" w:cs="Arial"/>
          <w:b/>
          <w:sz w:val="22"/>
        </w:rPr>
      </w:pPr>
      <w:r>
        <w:rPr>
          <w:rFonts w:ascii="Arial" w:hAnsi="Arial" w:cs="Arial"/>
          <w:b/>
          <w:sz w:val="22"/>
        </w:rPr>
        <w:t xml:space="preserve">3.1. </w:t>
      </w:r>
      <w:r w:rsidRPr="004772C5">
        <w:rPr>
          <w:rFonts w:ascii="Arial" w:hAnsi="Arial" w:cs="Arial"/>
          <w:b/>
          <w:sz w:val="22"/>
        </w:rPr>
        <w:t>Phenotypic identification of cassava plants affected by mosaic</w:t>
      </w:r>
    </w:p>
    <w:p w14:paraId="20625945" w14:textId="66669319" w:rsidR="004772C5" w:rsidRPr="004772C5" w:rsidRDefault="004772C5" w:rsidP="000F78E1">
      <w:pPr>
        <w:spacing w:line="360" w:lineRule="auto"/>
        <w:jc w:val="both"/>
        <w:rPr>
          <w:rFonts w:ascii="Arial" w:hAnsi="Arial" w:cs="Arial"/>
        </w:rPr>
      </w:pPr>
      <w:r w:rsidRPr="004772C5">
        <w:rPr>
          <w:rFonts w:ascii="Arial" w:hAnsi="Arial" w:cs="Arial"/>
        </w:rPr>
        <w:lastRenderedPageBreak/>
        <w:t>Fig 1 shows the different severity level of cassava mosaic disease observed during sampling. Based on symptom profiles, diagnosis of CMD in the central and central-western regions of Côte d'Ivoire revealed an average</w:t>
      </w:r>
      <w:r w:rsidR="00AD1A28">
        <w:rPr>
          <w:rFonts w:ascii="Arial" w:hAnsi="Arial" w:cs="Arial"/>
        </w:rPr>
        <w:t xml:space="preserve"> phenotypic prevalence or</w:t>
      </w:r>
      <w:r w:rsidRPr="004772C5">
        <w:rPr>
          <w:rFonts w:ascii="Arial" w:hAnsi="Arial" w:cs="Arial"/>
        </w:rPr>
        <w:t xml:space="preserve"> disease rate 43.37% among the 5,896 cassava plants examined. This infection rate shows no statistically significant difference between the villages in the three departments studied (Bouak</w:t>
      </w:r>
      <w:r w:rsidR="00C22778">
        <w:rPr>
          <w:rFonts w:ascii="Arial" w:hAnsi="Arial" w:cs="Arial"/>
        </w:rPr>
        <w:t>e</w:t>
      </w:r>
      <w:r w:rsidRPr="004772C5">
        <w:rPr>
          <w:rFonts w:ascii="Arial" w:hAnsi="Arial" w:cs="Arial"/>
        </w:rPr>
        <w:t xml:space="preserve">, Yamoussoukro, and </w:t>
      </w:r>
      <w:proofErr w:type="spellStart"/>
      <w:r w:rsidRPr="004772C5">
        <w:rPr>
          <w:rFonts w:ascii="Arial" w:hAnsi="Arial" w:cs="Arial"/>
        </w:rPr>
        <w:t>Daloa</w:t>
      </w:r>
      <w:proofErr w:type="spellEnd"/>
      <w:r w:rsidRPr="004772C5">
        <w:rPr>
          <w:rFonts w:ascii="Arial" w:hAnsi="Arial" w:cs="Arial"/>
        </w:rPr>
        <w:t xml:space="preserve">), as indicated by P = 0.23, reflecting a homogeneous distribution of the disease in these key cassava production areas (Table </w:t>
      </w:r>
      <w:r w:rsidR="007E2B9E">
        <w:rPr>
          <w:rFonts w:ascii="Arial" w:hAnsi="Arial" w:cs="Arial"/>
        </w:rPr>
        <w:t>2</w:t>
      </w:r>
      <w:r w:rsidRPr="004772C5">
        <w:rPr>
          <w:rFonts w:ascii="Arial" w:hAnsi="Arial" w:cs="Arial"/>
        </w:rPr>
        <w:t xml:space="preserve">). </w:t>
      </w:r>
    </w:p>
    <w:p w14:paraId="78077591" w14:textId="77777777" w:rsidR="004772C5" w:rsidRDefault="004772C5" w:rsidP="004772C5">
      <w:pPr>
        <w:spacing w:line="276" w:lineRule="auto"/>
        <w:jc w:val="both"/>
        <w:rPr>
          <w:rFonts w:ascii="Times New Roman" w:hAnsi="Times New Roman"/>
          <w:sz w:val="24"/>
          <w:szCs w:val="24"/>
        </w:rPr>
      </w:pPr>
    </w:p>
    <w:p w14:paraId="51364325" w14:textId="4FB5A315" w:rsidR="004772C5" w:rsidRPr="004772C5" w:rsidRDefault="004772C5" w:rsidP="004772C5">
      <w:pPr>
        <w:pStyle w:val="my-2"/>
        <w:spacing w:line="276" w:lineRule="auto"/>
        <w:jc w:val="both"/>
        <w:rPr>
          <w:rFonts w:ascii="Arial" w:hAnsi="Arial" w:cs="Arial"/>
          <w:b/>
          <w:bCs/>
          <w:sz w:val="20"/>
          <w:szCs w:val="20"/>
          <w:lang w:val="en-US" w:eastAsia="en-US"/>
        </w:rPr>
      </w:pPr>
      <w:r w:rsidRPr="004772C5">
        <w:rPr>
          <w:rFonts w:ascii="Arial" w:hAnsi="Arial" w:cs="Arial"/>
          <w:b/>
          <w:bCs/>
          <w:sz w:val="20"/>
          <w:szCs w:val="20"/>
          <w:lang w:val="en-US" w:eastAsia="en-US"/>
        </w:rPr>
        <w:t xml:space="preserve">Table </w:t>
      </w:r>
      <w:r w:rsidR="007E2B9E">
        <w:rPr>
          <w:rFonts w:ascii="Arial" w:hAnsi="Arial" w:cs="Arial"/>
          <w:b/>
          <w:bCs/>
          <w:sz w:val="20"/>
          <w:szCs w:val="20"/>
          <w:lang w:val="en-US" w:eastAsia="en-US"/>
        </w:rPr>
        <w:t>2</w:t>
      </w:r>
      <w:r w:rsidRPr="004772C5">
        <w:rPr>
          <w:rFonts w:ascii="Arial" w:hAnsi="Arial" w:cs="Arial"/>
          <w:b/>
          <w:bCs/>
          <w:sz w:val="20"/>
          <w:szCs w:val="20"/>
          <w:lang w:val="en-US" w:eastAsia="en-US"/>
        </w:rPr>
        <w:t xml:space="preserve">. Phenotypic prevalence of cassava mosaic disease in the departments of Bouake, Yamoussoukro and </w:t>
      </w:r>
      <w:proofErr w:type="spellStart"/>
      <w:r w:rsidRPr="004772C5">
        <w:rPr>
          <w:rFonts w:ascii="Arial" w:hAnsi="Arial" w:cs="Arial"/>
          <w:b/>
          <w:bCs/>
          <w:sz w:val="20"/>
          <w:szCs w:val="20"/>
          <w:lang w:val="en-US" w:eastAsia="en-US"/>
        </w:rPr>
        <w:t>Daloa</w:t>
      </w:r>
      <w:proofErr w:type="spellEnd"/>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611"/>
        <w:gridCol w:w="1393"/>
        <w:gridCol w:w="1508"/>
        <w:gridCol w:w="1833"/>
        <w:gridCol w:w="805"/>
        <w:gridCol w:w="1274"/>
      </w:tblGrid>
      <w:tr w:rsidR="004772C5" w14:paraId="1BE0C580" w14:textId="77777777" w:rsidTr="00C22778">
        <w:tc>
          <w:tcPr>
            <w:tcW w:w="1611" w:type="dxa"/>
            <w:tcBorders>
              <w:top w:val="single" w:sz="12" w:space="0" w:color="000000"/>
              <w:bottom w:val="single" w:sz="12" w:space="0" w:color="000000"/>
            </w:tcBorders>
          </w:tcPr>
          <w:p w14:paraId="29BACBDE"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w w:val="105"/>
              </w:rPr>
              <w:t>Areas</w:t>
            </w:r>
          </w:p>
        </w:tc>
        <w:tc>
          <w:tcPr>
            <w:tcW w:w="1393" w:type="dxa"/>
            <w:tcBorders>
              <w:top w:val="single" w:sz="12" w:space="0" w:color="000000"/>
              <w:bottom w:val="single" w:sz="12" w:space="0" w:color="000000"/>
            </w:tcBorders>
          </w:tcPr>
          <w:p w14:paraId="7E2BCCED"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rPr>
              <w:t>Plants observed</w:t>
            </w:r>
          </w:p>
        </w:tc>
        <w:tc>
          <w:tcPr>
            <w:tcW w:w="1508" w:type="dxa"/>
            <w:tcBorders>
              <w:top w:val="single" w:sz="12" w:space="0" w:color="000000"/>
              <w:bottom w:val="single" w:sz="12" w:space="0" w:color="000000"/>
            </w:tcBorders>
          </w:tcPr>
          <w:p w14:paraId="716192A9"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w w:val="105"/>
              </w:rPr>
              <w:t>Symptomatic</w:t>
            </w:r>
          </w:p>
        </w:tc>
        <w:tc>
          <w:tcPr>
            <w:tcW w:w="1833" w:type="dxa"/>
            <w:tcBorders>
              <w:top w:val="single" w:sz="12" w:space="0" w:color="000000"/>
              <w:bottom w:val="single" w:sz="12" w:space="0" w:color="000000"/>
            </w:tcBorders>
          </w:tcPr>
          <w:p w14:paraId="47445342"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rPr>
              <w:t xml:space="preserve">plant affected rates </w:t>
            </w:r>
            <w:r w:rsidRPr="00B77E35">
              <w:rPr>
                <w:rFonts w:ascii="Times New Roman" w:hAnsi="Times New Roman"/>
                <w:b/>
                <w:bCs/>
                <w:spacing w:val="-5"/>
              </w:rPr>
              <w:t>(%)</w:t>
            </w:r>
          </w:p>
        </w:tc>
        <w:tc>
          <w:tcPr>
            <w:tcW w:w="805" w:type="dxa"/>
            <w:tcBorders>
              <w:top w:val="single" w:sz="12" w:space="0" w:color="000000"/>
              <w:bottom w:val="single" w:sz="12" w:space="0" w:color="000000"/>
            </w:tcBorders>
          </w:tcPr>
          <w:p w14:paraId="233ADA2E" w14:textId="77777777" w:rsidR="004772C5" w:rsidRPr="00B77E35" w:rsidRDefault="004772C5" w:rsidP="00C22778">
            <w:pPr>
              <w:spacing w:line="276" w:lineRule="auto"/>
              <w:jc w:val="center"/>
              <w:rPr>
                <w:rFonts w:ascii="Times New Roman" w:hAnsi="Times New Roman"/>
                <w:b/>
                <w:bCs/>
                <w:sz w:val="24"/>
                <w:szCs w:val="24"/>
              </w:rPr>
            </w:pPr>
            <w:r w:rsidRPr="00B77E35">
              <w:rPr>
                <w:rFonts w:ascii="Times New Roman" w:hAnsi="Times New Roman"/>
                <w:b/>
                <w:bCs/>
                <w:spacing w:val="-5"/>
                <w:w w:val="105"/>
                <w:position w:val="-4"/>
              </w:rPr>
              <w:t>X</w:t>
            </w:r>
            <w:r w:rsidRPr="00B77E35">
              <w:rPr>
                <w:rFonts w:ascii="Times New Roman" w:hAnsi="Times New Roman"/>
                <w:b/>
                <w:bCs/>
                <w:spacing w:val="-5"/>
                <w:w w:val="105"/>
              </w:rPr>
              <w:t>2</w:t>
            </w:r>
          </w:p>
        </w:tc>
        <w:tc>
          <w:tcPr>
            <w:tcW w:w="1274" w:type="dxa"/>
            <w:tcBorders>
              <w:top w:val="single" w:sz="12" w:space="0" w:color="000000"/>
              <w:bottom w:val="single" w:sz="12" w:space="0" w:color="000000"/>
            </w:tcBorders>
          </w:tcPr>
          <w:p w14:paraId="23D0C9F7" w14:textId="77777777" w:rsidR="004772C5" w:rsidRPr="00487FA9" w:rsidRDefault="004772C5" w:rsidP="00550592">
            <w:pPr>
              <w:spacing w:line="276" w:lineRule="auto"/>
              <w:jc w:val="center"/>
              <w:rPr>
                <w:rFonts w:ascii="Times New Roman" w:hAnsi="Times New Roman"/>
                <w:b/>
                <w:bCs/>
                <w:i/>
                <w:iCs/>
                <w:sz w:val="24"/>
                <w:szCs w:val="24"/>
              </w:rPr>
            </w:pPr>
            <w:r w:rsidRPr="00487FA9">
              <w:rPr>
                <w:rFonts w:ascii="Times New Roman" w:hAnsi="Times New Roman"/>
                <w:b/>
                <w:bCs/>
                <w:i/>
                <w:iCs/>
              </w:rPr>
              <w:t>P</w:t>
            </w:r>
          </w:p>
        </w:tc>
      </w:tr>
      <w:tr w:rsidR="004772C5" w14:paraId="2EFCB7A7" w14:textId="77777777" w:rsidTr="00C22778">
        <w:tc>
          <w:tcPr>
            <w:tcW w:w="1611" w:type="dxa"/>
            <w:tcBorders>
              <w:top w:val="single" w:sz="12" w:space="0" w:color="000000"/>
            </w:tcBorders>
            <w:vAlign w:val="center"/>
          </w:tcPr>
          <w:p w14:paraId="19057EE4"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rPr>
              <w:t>Bouake</w:t>
            </w:r>
          </w:p>
        </w:tc>
        <w:tc>
          <w:tcPr>
            <w:tcW w:w="1393" w:type="dxa"/>
            <w:tcBorders>
              <w:top w:val="single" w:sz="12" w:space="0" w:color="000000"/>
            </w:tcBorders>
            <w:vAlign w:val="center"/>
          </w:tcPr>
          <w:p w14:paraId="02E1BDEF" w14:textId="77777777" w:rsidR="004772C5" w:rsidRDefault="004772C5" w:rsidP="00550592">
            <w:pPr>
              <w:spacing w:line="276" w:lineRule="auto"/>
              <w:jc w:val="both"/>
              <w:rPr>
                <w:rFonts w:ascii="Times New Roman" w:hAnsi="Times New Roman"/>
                <w:sz w:val="24"/>
                <w:szCs w:val="24"/>
              </w:rPr>
            </w:pPr>
            <w:r>
              <w:rPr>
                <w:rFonts w:ascii="Times New Roman" w:hAnsi="Times New Roman"/>
                <w:spacing w:val="-4"/>
              </w:rPr>
              <w:t>1946</w:t>
            </w:r>
          </w:p>
        </w:tc>
        <w:tc>
          <w:tcPr>
            <w:tcW w:w="1508" w:type="dxa"/>
            <w:tcBorders>
              <w:top w:val="single" w:sz="12" w:space="0" w:color="000000"/>
            </w:tcBorders>
            <w:vAlign w:val="center"/>
          </w:tcPr>
          <w:p w14:paraId="294029C8"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5"/>
              </w:rPr>
              <w:t>844</w:t>
            </w:r>
          </w:p>
        </w:tc>
        <w:tc>
          <w:tcPr>
            <w:tcW w:w="1833" w:type="dxa"/>
            <w:tcBorders>
              <w:top w:val="single" w:sz="12" w:space="0" w:color="000000"/>
            </w:tcBorders>
            <w:vAlign w:val="center"/>
          </w:tcPr>
          <w:p w14:paraId="1D8F9ABA"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2"/>
              </w:rPr>
              <w:t>43.37</w:t>
            </w:r>
          </w:p>
        </w:tc>
        <w:tc>
          <w:tcPr>
            <w:tcW w:w="805" w:type="dxa"/>
            <w:vMerge w:val="restart"/>
            <w:tcBorders>
              <w:top w:val="single" w:sz="12" w:space="0" w:color="000000"/>
            </w:tcBorders>
            <w:vAlign w:val="center"/>
          </w:tcPr>
          <w:p w14:paraId="292F9D79" w14:textId="77777777" w:rsidR="004772C5" w:rsidRDefault="004772C5" w:rsidP="00550592">
            <w:pPr>
              <w:spacing w:line="276" w:lineRule="auto"/>
              <w:jc w:val="center"/>
              <w:rPr>
                <w:rFonts w:ascii="Times New Roman" w:hAnsi="Times New Roman"/>
                <w:sz w:val="24"/>
                <w:szCs w:val="24"/>
              </w:rPr>
            </w:pPr>
            <w:r w:rsidRPr="00DB75CD">
              <w:rPr>
                <w:rFonts w:ascii="Times New Roman" w:hAnsi="Times New Roman"/>
                <w:spacing w:val="-4"/>
              </w:rPr>
              <w:t>2.93</w:t>
            </w:r>
          </w:p>
        </w:tc>
        <w:tc>
          <w:tcPr>
            <w:tcW w:w="1274" w:type="dxa"/>
            <w:vMerge w:val="restart"/>
            <w:tcBorders>
              <w:top w:val="single" w:sz="12" w:space="0" w:color="000000"/>
            </w:tcBorders>
            <w:vAlign w:val="center"/>
          </w:tcPr>
          <w:p w14:paraId="22B904E0" w14:textId="77777777" w:rsidR="004772C5" w:rsidRDefault="004772C5" w:rsidP="00550592">
            <w:pPr>
              <w:spacing w:line="276" w:lineRule="auto"/>
              <w:jc w:val="center"/>
              <w:rPr>
                <w:rFonts w:ascii="Times New Roman" w:hAnsi="Times New Roman"/>
                <w:sz w:val="24"/>
                <w:szCs w:val="24"/>
              </w:rPr>
            </w:pPr>
            <w:r w:rsidRPr="00DB75CD">
              <w:rPr>
                <w:rFonts w:ascii="Times New Roman" w:hAnsi="Times New Roman"/>
                <w:spacing w:val="-4"/>
              </w:rPr>
              <w:t>0.23</w:t>
            </w:r>
          </w:p>
        </w:tc>
      </w:tr>
      <w:tr w:rsidR="004772C5" w14:paraId="57BBCE98" w14:textId="77777777" w:rsidTr="00C22778">
        <w:tc>
          <w:tcPr>
            <w:tcW w:w="1611" w:type="dxa"/>
            <w:vAlign w:val="center"/>
          </w:tcPr>
          <w:p w14:paraId="301E56F0"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rPr>
              <w:t>Yamoussoukro</w:t>
            </w:r>
          </w:p>
        </w:tc>
        <w:tc>
          <w:tcPr>
            <w:tcW w:w="1393" w:type="dxa"/>
            <w:vAlign w:val="center"/>
          </w:tcPr>
          <w:p w14:paraId="16FA03CA"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4"/>
              </w:rPr>
              <w:t>2010</w:t>
            </w:r>
          </w:p>
        </w:tc>
        <w:tc>
          <w:tcPr>
            <w:tcW w:w="1508" w:type="dxa"/>
            <w:vAlign w:val="center"/>
          </w:tcPr>
          <w:p w14:paraId="1070249E"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5"/>
              </w:rPr>
              <w:t>845</w:t>
            </w:r>
          </w:p>
        </w:tc>
        <w:tc>
          <w:tcPr>
            <w:tcW w:w="1833" w:type="dxa"/>
            <w:vAlign w:val="center"/>
          </w:tcPr>
          <w:p w14:paraId="393978C5"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2"/>
              </w:rPr>
              <w:t>42.04</w:t>
            </w:r>
          </w:p>
        </w:tc>
        <w:tc>
          <w:tcPr>
            <w:tcW w:w="805" w:type="dxa"/>
            <w:vMerge/>
          </w:tcPr>
          <w:p w14:paraId="6CDB0052" w14:textId="77777777" w:rsidR="004772C5" w:rsidRDefault="004772C5" w:rsidP="00550592">
            <w:pPr>
              <w:spacing w:line="276" w:lineRule="auto"/>
              <w:jc w:val="both"/>
              <w:rPr>
                <w:rFonts w:ascii="Times New Roman" w:hAnsi="Times New Roman"/>
                <w:sz w:val="24"/>
                <w:szCs w:val="24"/>
              </w:rPr>
            </w:pPr>
          </w:p>
        </w:tc>
        <w:tc>
          <w:tcPr>
            <w:tcW w:w="1274" w:type="dxa"/>
            <w:vMerge/>
          </w:tcPr>
          <w:p w14:paraId="28A83311" w14:textId="77777777" w:rsidR="004772C5" w:rsidRDefault="004772C5" w:rsidP="00550592">
            <w:pPr>
              <w:spacing w:line="276" w:lineRule="auto"/>
              <w:jc w:val="both"/>
              <w:rPr>
                <w:rFonts w:ascii="Times New Roman" w:hAnsi="Times New Roman"/>
                <w:sz w:val="24"/>
                <w:szCs w:val="24"/>
              </w:rPr>
            </w:pPr>
          </w:p>
        </w:tc>
      </w:tr>
      <w:tr w:rsidR="004772C5" w14:paraId="2C3B3C5C" w14:textId="77777777" w:rsidTr="00C22778">
        <w:tc>
          <w:tcPr>
            <w:tcW w:w="1611" w:type="dxa"/>
            <w:vAlign w:val="center"/>
          </w:tcPr>
          <w:p w14:paraId="5AF178A1" w14:textId="77777777" w:rsidR="004772C5" w:rsidRPr="00B77E35" w:rsidRDefault="004772C5" w:rsidP="00550592">
            <w:pPr>
              <w:spacing w:line="276" w:lineRule="auto"/>
              <w:jc w:val="both"/>
              <w:rPr>
                <w:rFonts w:ascii="Times New Roman" w:hAnsi="Times New Roman"/>
                <w:b/>
                <w:bCs/>
                <w:sz w:val="24"/>
                <w:szCs w:val="24"/>
              </w:rPr>
            </w:pPr>
            <w:proofErr w:type="spellStart"/>
            <w:r w:rsidRPr="00B77E35">
              <w:rPr>
                <w:rFonts w:ascii="Times New Roman" w:hAnsi="Times New Roman"/>
                <w:b/>
                <w:bCs/>
                <w:spacing w:val="-2"/>
              </w:rPr>
              <w:t>Daloa</w:t>
            </w:r>
            <w:proofErr w:type="spellEnd"/>
          </w:p>
        </w:tc>
        <w:tc>
          <w:tcPr>
            <w:tcW w:w="1393" w:type="dxa"/>
            <w:vAlign w:val="center"/>
          </w:tcPr>
          <w:p w14:paraId="7CADA967"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4"/>
              </w:rPr>
              <w:t>1940</w:t>
            </w:r>
          </w:p>
        </w:tc>
        <w:tc>
          <w:tcPr>
            <w:tcW w:w="1508" w:type="dxa"/>
            <w:vAlign w:val="center"/>
          </w:tcPr>
          <w:p w14:paraId="2D48CA5B"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5"/>
              </w:rPr>
              <w:t>868</w:t>
            </w:r>
          </w:p>
        </w:tc>
        <w:tc>
          <w:tcPr>
            <w:tcW w:w="1833" w:type="dxa"/>
            <w:vAlign w:val="center"/>
          </w:tcPr>
          <w:p w14:paraId="5C87DB4D"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2"/>
              </w:rPr>
              <w:t>44.74</w:t>
            </w:r>
          </w:p>
        </w:tc>
        <w:tc>
          <w:tcPr>
            <w:tcW w:w="805" w:type="dxa"/>
            <w:vMerge/>
          </w:tcPr>
          <w:p w14:paraId="62F4F56F" w14:textId="77777777" w:rsidR="004772C5" w:rsidRDefault="004772C5" w:rsidP="00550592">
            <w:pPr>
              <w:spacing w:line="276" w:lineRule="auto"/>
              <w:jc w:val="both"/>
              <w:rPr>
                <w:rFonts w:ascii="Times New Roman" w:hAnsi="Times New Roman"/>
                <w:sz w:val="24"/>
                <w:szCs w:val="24"/>
              </w:rPr>
            </w:pPr>
          </w:p>
        </w:tc>
        <w:tc>
          <w:tcPr>
            <w:tcW w:w="1274" w:type="dxa"/>
            <w:vMerge/>
          </w:tcPr>
          <w:p w14:paraId="6A7882B5" w14:textId="77777777" w:rsidR="004772C5" w:rsidRDefault="004772C5" w:rsidP="00550592">
            <w:pPr>
              <w:spacing w:line="276" w:lineRule="auto"/>
              <w:jc w:val="both"/>
              <w:rPr>
                <w:rFonts w:ascii="Times New Roman" w:hAnsi="Times New Roman"/>
                <w:sz w:val="24"/>
                <w:szCs w:val="24"/>
              </w:rPr>
            </w:pPr>
          </w:p>
        </w:tc>
      </w:tr>
      <w:tr w:rsidR="004772C5" w14:paraId="3F23079E" w14:textId="77777777" w:rsidTr="00C22778">
        <w:tc>
          <w:tcPr>
            <w:tcW w:w="1611" w:type="dxa"/>
            <w:vAlign w:val="center"/>
          </w:tcPr>
          <w:p w14:paraId="778770C2"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rPr>
              <w:t>Total</w:t>
            </w:r>
          </w:p>
        </w:tc>
        <w:tc>
          <w:tcPr>
            <w:tcW w:w="1393" w:type="dxa"/>
            <w:vAlign w:val="center"/>
          </w:tcPr>
          <w:p w14:paraId="21FDAC6D"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4"/>
              </w:rPr>
              <w:t>5896</w:t>
            </w:r>
          </w:p>
        </w:tc>
        <w:tc>
          <w:tcPr>
            <w:tcW w:w="1508" w:type="dxa"/>
            <w:vAlign w:val="center"/>
          </w:tcPr>
          <w:p w14:paraId="1BCCA572"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4"/>
              </w:rPr>
              <w:t>2557</w:t>
            </w:r>
          </w:p>
        </w:tc>
        <w:tc>
          <w:tcPr>
            <w:tcW w:w="1833" w:type="dxa"/>
            <w:vAlign w:val="center"/>
          </w:tcPr>
          <w:p w14:paraId="14F3C3B5"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rPr>
              <w:t>43.37</w:t>
            </w:r>
          </w:p>
        </w:tc>
        <w:tc>
          <w:tcPr>
            <w:tcW w:w="805" w:type="dxa"/>
            <w:vMerge/>
          </w:tcPr>
          <w:p w14:paraId="66A7C08E" w14:textId="77777777" w:rsidR="004772C5" w:rsidRDefault="004772C5" w:rsidP="00550592">
            <w:pPr>
              <w:spacing w:line="276" w:lineRule="auto"/>
              <w:jc w:val="both"/>
              <w:rPr>
                <w:rFonts w:ascii="Times New Roman" w:hAnsi="Times New Roman"/>
                <w:sz w:val="24"/>
                <w:szCs w:val="24"/>
              </w:rPr>
            </w:pPr>
          </w:p>
        </w:tc>
        <w:tc>
          <w:tcPr>
            <w:tcW w:w="1274" w:type="dxa"/>
            <w:vMerge/>
          </w:tcPr>
          <w:p w14:paraId="4C930491" w14:textId="77777777" w:rsidR="004772C5" w:rsidRDefault="004772C5" w:rsidP="00550592">
            <w:pPr>
              <w:spacing w:line="276" w:lineRule="auto"/>
              <w:jc w:val="both"/>
              <w:rPr>
                <w:rFonts w:ascii="Times New Roman" w:hAnsi="Times New Roman"/>
                <w:sz w:val="24"/>
                <w:szCs w:val="24"/>
              </w:rPr>
            </w:pPr>
          </w:p>
        </w:tc>
      </w:tr>
    </w:tbl>
    <w:p w14:paraId="3DE8032D" w14:textId="77777777" w:rsidR="004772C5" w:rsidRPr="00215C1F" w:rsidRDefault="004772C5" w:rsidP="004772C5">
      <w:pPr>
        <w:spacing w:line="276" w:lineRule="auto"/>
        <w:jc w:val="both"/>
        <w:rPr>
          <w:rFonts w:ascii="Times New Roman" w:hAnsi="Times New Roman"/>
          <w:i/>
          <w:iCs/>
        </w:rPr>
      </w:pPr>
      <w:r w:rsidRPr="00215C1F">
        <w:rPr>
          <w:rFonts w:ascii="Times New Roman" w:hAnsi="Times New Roman"/>
          <w:i/>
          <w:iCs/>
        </w:rPr>
        <w:t>Chi-square</w:t>
      </w:r>
      <w:r w:rsidRPr="00215C1F">
        <w:rPr>
          <w:rFonts w:ascii="Times New Roman" w:hAnsi="Times New Roman"/>
          <w:i/>
          <w:iCs/>
          <w:spacing w:val="-11"/>
        </w:rPr>
        <w:t xml:space="preserve"> </w:t>
      </w:r>
      <w:r w:rsidRPr="00215C1F">
        <w:rPr>
          <w:rFonts w:ascii="Times New Roman" w:hAnsi="Times New Roman"/>
          <w:i/>
          <w:iCs/>
        </w:rPr>
        <w:t>constant,</w:t>
      </w:r>
      <w:r w:rsidRPr="00215C1F">
        <w:rPr>
          <w:rFonts w:ascii="Times New Roman" w:hAnsi="Times New Roman"/>
          <w:i/>
          <w:iCs/>
          <w:spacing w:val="-11"/>
        </w:rPr>
        <w:t xml:space="preserve"> </w:t>
      </w:r>
      <w:r w:rsidRPr="00215C1F">
        <w:rPr>
          <w:rFonts w:ascii="Times New Roman" w:hAnsi="Times New Roman"/>
          <w:i/>
          <w:iCs/>
        </w:rPr>
        <w:t>P:</w:t>
      </w:r>
      <w:r w:rsidRPr="00215C1F">
        <w:rPr>
          <w:rFonts w:ascii="Times New Roman" w:hAnsi="Times New Roman"/>
          <w:i/>
          <w:iCs/>
          <w:spacing w:val="-11"/>
        </w:rPr>
        <w:t xml:space="preserve"> </w:t>
      </w:r>
      <w:r w:rsidRPr="00215C1F">
        <w:rPr>
          <w:rFonts w:ascii="Times New Roman" w:hAnsi="Times New Roman"/>
          <w:i/>
          <w:iCs/>
        </w:rPr>
        <w:t>Probability</w:t>
      </w:r>
      <w:r w:rsidRPr="00215C1F">
        <w:rPr>
          <w:rFonts w:ascii="Times New Roman" w:hAnsi="Times New Roman"/>
          <w:i/>
          <w:iCs/>
          <w:spacing w:val="-11"/>
        </w:rPr>
        <w:t xml:space="preserve"> </w:t>
      </w:r>
      <w:r w:rsidRPr="00215C1F">
        <w:rPr>
          <w:rFonts w:ascii="Times New Roman" w:hAnsi="Times New Roman"/>
          <w:i/>
          <w:iCs/>
        </w:rPr>
        <w:t>associated</w:t>
      </w:r>
      <w:r w:rsidRPr="00215C1F">
        <w:rPr>
          <w:rFonts w:ascii="Times New Roman" w:hAnsi="Times New Roman"/>
          <w:i/>
          <w:iCs/>
          <w:spacing w:val="-11"/>
        </w:rPr>
        <w:t xml:space="preserve"> </w:t>
      </w:r>
      <w:r w:rsidRPr="00215C1F">
        <w:rPr>
          <w:rFonts w:ascii="Times New Roman" w:hAnsi="Times New Roman"/>
          <w:i/>
          <w:iCs/>
        </w:rPr>
        <w:t>at</w:t>
      </w:r>
      <w:r w:rsidRPr="00215C1F">
        <w:rPr>
          <w:rFonts w:ascii="Times New Roman" w:hAnsi="Times New Roman"/>
          <w:i/>
          <w:iCs/>
          <w:spacing w:val="-11"/>
        </w:rPr>
        <w:t xml:space="preserve"> </w:t>
      </w:r>
      <w:r w:rsidRPr="00215C1F">
        <w:rPr>
          <w:rFonts w:ascii="Times New Roman" w:hAnsi="Times New Roman"/>
          <w:i/>
          <w:iCs/>
        </w:rPr>
        <w:t>x</w:t>
      </w:r>
      <w:r w:rsidRPr="00215C1F">
        <w:rPr>
          <w:rFonts w:ascii="Times New Roman" w:hAnsi="Times New Roman"/>
          <w:i/>
          <w:iCs/>
          <w:position w:val="5"/>
        </w:rPr>
        <w:t>2</w:t>
      </w:r>
      <w:r w:rsidRPr="00215C1F">
        <w:rPr>
          <w:rFonts w:ascii="Times New Roman" w:hAnsi="Times New Roman"/>
          <w:i/>
          <w:iCs/>
          <w:spacing w:val="-6"/>
          <w:position w:val="5"/>
        </w:rPr>
        <w:t xml:space="preserve"> </w:t>
      </w:r>
      <w:r w:rsidRPr="00215C1F">
        <w:rPr>
          <w:rFonts w:ascii="Times New Roman" w:hAnsi="Times New Roman"/>
          <w:i/>
          <w:iCs/>
        </w:rPr>
        <w:t>test</w:t>
      </w:r>
    </w:p>
    <w:p w14:paraId="08CEB9D5" w14:textId="77777777" w:rsidR="004772C5" w:rsidRDefault="004772C5" w:rsidP="004772C5">
      <w:pPr>
        <w:spacing w:line="276" w:lineRule="auto"/>
        <w:jc w:val="both"/>
        <w:rPr>
          <w:rFonts w:ascii="Times New Roman" w:hAnsi="Times New Roman"/>
          <w:sz w:val="14"/>
        </w:rPr>
      </w:pPr>
    </w:p>
    <w:tbl>
      <w:tblPr>
        <w:tblStyle w:val="TableGrid"/>
        <w:tblW w:w="981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289"/>
        <w:gridCol w:w="2496"/>
        <w:gridCol w:w="2592"/>
      </w:tblGrid>
      <w:tr w:rsidR="004772C5" w:rsidRPr="004772C5" w14:paraId="031DC9D0" w14:textId="77777777" w:rsidTr="00550592">
        <w:tc>
          <w:tcPr>
            <w:tcW w:w="2436" w:type="dxa"/>
          </w:tcPr>
          <w:p w14:paraId="2751460A" w14:textId="77777777" w:rsidR="004772C5" w:rsidRPr="004772C5" w:rsidRDefault="004772C5" w:rsidP="004772C5">
            <w:pPr>
              <w:pStyle w:val="my-2"/>
              <w:spacing w:line="276" w:lineRule="auto"/>
              <w:jc w:val="both"/>
              <w:rPr>
                <w:rFonts w:ascii="Arial" w:eastAsia="Times New Roman" w:hAnsi="Arial" w:cs="Arial"/>
                <w:b/>
                <w:bCs/>
                <w:sz w:val="20"/>
                <w:szCs w:val="20"/>
                <w:lang w:val="en-US" w:eastAsia="en-US"/>
              </w:rPr>
            </w:pPr>
            <w:r w:rsidRPr="004772C5">
              <w:rPr>
                <w:rFonts w:ascii="Arial" w:hAnsi="Arial" w:cs="Arial"/>
                <w:b/>
                <w:bCs/>
                <w:noProof/>
                <w:sz w:val="20"/>
                <w:szCs w:val="20"/>
                <w:lang w:val="en-US" w:eastAsia="en-US"/>
              </w:rPr>
              <w:drawing>
                <wp:inline distT="0" distB="0" distL="0" distR="0" wp14:anchorId="7B4C4358" wp14:editId="37C0727E">
                  <wp:extent cx="1409769" cy="133611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5745" cy="1341780"/>
                          </a:xfrm>
                          <a:prstGeom prst="rect">
                            <a:avLst/>
                          </a:prstGeom>
                          <a:noFill/>
                        </pic:spPr>
                      </pic:pic>
                    </a:graphicData>
                  </a:graphic>
                </wp:inline>
              </w:drawing>
            </w:r>
          </w:p>
        </w:tc>
        <w:tc>
          <w:tcPr>
            <w:tcW w:w="2289" w:type="dxa"/>
          </w:tcPr>
          <w:p w14:paraId="73F8A467" w14:textId="77777777" w:rsidR="004772C5" w:rsidRPr="004772C5" w:rsidRDefault="004772C5" w:rsidP="004772C5">
            <w:pPr>
              <w:pStyle w:val="my-2"/>
              <w:spacing w:line="276" w:lineRule="auto"/>
              <w:jc w:val="both"/>
              <w:rPr>
                <w:rFonts w:ascii="Arial" w:eastAsia="Times New Roman" w:hAnsi="Arial" w:cs="Arial"/>
                <w:b/>
                <w:bCs/>
                <w:sz w:val="20"/>
                <w:szCs w:val="20"/>
                <w:lang w:val="en-US" w:eastAsia="en-US"/>
              </w:rPr>
            </w:pPr>
            <w:r w:rsidRPr="004772C5">
              <w:rPr>
                <w:rFonts w:ascii="Arial" w:hAnsi="Arial" w:cs="Arial"/>
                <w:b/>
                <w:bCs/>
                <w:noProof/>
                <w:sz w:val="20"/>
                <w:szCs w:val="20"/>
                <w:lang w:val="en-US" w:eastAsia="en-US"/>
              </w:rPr>
              <w:drawing>
                <wp:inline distT="0" distB="0" distL="0" distR="0" wp14:anchorId="6CF5186C" wp14:editId="11B6E079">
                  <wp:extent cx="1316793" cy="132126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7317" cy="1331821"/>
                          </a:xfrm>
                          <a:prstGeom prst="rect">
                            <a:avLst/>
                          </a:prstGeom>
                          <a:noFill/>
                        </pic:spPr>
                      </pic:pic>
                    </a:graphicData>
                  </a:graphic>
                </wp:inline>
              </w:drawing>
            </w:r>
          </w:p>
        </w:tc>
        <w:tc>
          <w:tcPr>
            <w:tcW w:w="2496" w:type="dxa"/>
          </w:tcPr>
          <w:p w14:paraId="24C7FB28" w14:textId="77777777" w:rsidR="004772C5" w:rsidRPr="004772C5" w:rsidRDefault="004772C5" w:rsidP="004772C5">
            <w:pPr>
              <w:pStyle w:val="my-2"/>
              <w:spacing w:line="276" w:lineRule="auto"/>
              <w:jc w:val="both"/>
              <w:rPr>
                <w:rFonts w:ascii="Arial" w:eastAsia="Times New Roman" w:hAnsi="Arial" w:cs="Arial"/>
                <w:b/>
                <w:bCs/>
                <w:sz w:val="20"/>
                <w:szCs w:val="20"/>
                <w:lang w:val="en-US" w:eastAsia="en-US"/>
              </w:rPr>
            </w:pPr>
            <w:r w:rsidRPr="004772C5">
              <w:rPr>
                <w:rFonts w:ascii="Arial" w:hAnsi="Arial" w:cs="Arial"/>
                <w:b/>
                <w:bCs/>
                <w:noProof/>
                <w:sz w:val="20"/>
                <w:szCs w:val="20"/>
                <w:lang w:val="en-US" w:eastAsia="en-US"/>
              </w:rPr>
              <w:drawing>
                <wp:inline distT="0" distB="0" distL="0" distR="0" wp14:anchorId="2FCE318A" wp14:editId="144F3BB9">
                  <wp:extent cx="1443355" cy="1344476"/>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429" cy="1360380"/>
                          </a:xfrm>
                          <a:prstGeom prst="rect">
                            <a:avLst/>
                          </a:prstGeom>
                          <a:noFill/>
                        </pic:spPr>
                      </pic:pic>
                    </a:graphicData>
                  </a:graphic>
                </wp:inline>
              </w:drawing>
            </w:r>
          </w:p>
        </w:tc>
        <w:tc>
          <w:tcPr>
            <w:tcW w:w="2592" w:type="dxa"/>
          </w:tcPr>
          <w:p w14:paraId="26FAEB33" w14:textId="77777777" w:rsidR="004772C5" w:rsidRPr="004772C5" w:rsidRDefault="004772C5" w:rsidP="004772C5">
            <w:pPr>
              <w:pStyle w:val="my-2"/>
              <w:spacing w:line="276" w:lineRule="auto"/>
              <w:jc w:val="both"/>
              <w:rPr>
                <w:rFonts w:ascii="Arial" w:eastAsia="Times New Roman" w:hAnsi="Arial" w:cs="Arial"/>
                <w:b/>
                <w:bCs/>
                <w:sz w:val="20"/>
                <w:szCs w:val="20"/>
                <w:lang w:val="en-US" w:eastAsia="en-US"/>
              </w:rPr>
            </w:pPr>
            <w:r w:rsidRPr="004772C5">
              <w:rPr>
                <w:rFonts w:ascii="Arial" w:hAnsi="Arial" w:cs="Arial"/>
                <w:b/>
                <w:bCs/>
                <w:noProof/>
                <w:sz w:val="20"/>
                <w:szCs w:val="20"/>
                <w:lang w:val="en-US" w:eastAsia="en-US"/>
              </w:rPr>
              <w:drawing>
                <wp:inline distT="0" distB="0" distL="0" distR="0" wp14:anchorId="3EB2F1B6" wp14:editId="71EFB439">
                  <wp:extent cx="1509150" cy="13376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9732" cy="1347024"/>
                          </a:xfrm>
                          <a:prstGeom prst="rect">
                            <a:avLst/>
                          </a:prstGeom>
                          <a:noFill/>
                        </pic:spPr>
                      </pic:pic>
                    </a:graphicData>
                  </a:graphic>
                </wp:inline>
              </w:drawing>
            </w:r>
          </w:p>
        </w:tc>
      </w:tr>
    </w:tbl>
    <w:p w14:paraId="28D3F293" w14:textId="5F6DC266" w:rsidR="004772C5" w:rsidRPr="004772C5" w:rsidRDefault="004772C5" w:rsidP="00C22778">
      <w:pPr>
        <w:pStyle w:val="my-2"/>
        <w:spacing w:line="276" w:lineRule="auto"/>
        <w:jc w:val="center"/>
        <w:rPr>
          <w:rFonts w:ascii="Arial" w:hAnsi="Arial" w:cs="Arial"/>
          <w:b/>
          <w:bCs/>
          <w:sz w:val="20"/>
          <w:szCs w:val="20"/>
          <w:lang w:val="en-US" w:eastAsia="en-US"/>
        </w:rPr>
      </w:pPr>
      <w:r w:rsidRPr="004772C5">
        <w:rPr>
          <w:rFonts w:ascii="Arial" w:hAnsi="Arial" w:cs="Arial"/>
          <w:b/>
          <w:bCs/>
          <w:sz w:val="20"/>
          <w:szCs w:val="20"/>
          <w:lang w:val="en-US" w:eastAsia="en-US"/>
        </w:rPr>
        <w:t>Fig 1. Intensities of symptoms observed during the study</w:t>
      </w:r>
    </w:p>
    <w:p w14:paraId="3A605085" w14:textId="6477A139" w:rsidR="004772C5" w:rsidRDefault="004772C5" w:rsidP="000F78E1">
      <w:pPr>
        <w:spacing w:after="240" w:line="360" w:lineRule="auto"/>
        <w:jc w:val="both"/>
        <w:rPr>
          <w:rFonts w:ascii="Arial" w:hAnsi="Arial" w:cs="Arial"/>
          <w:b/>
          <w:sz w:val="22"/>
        </w:rPr>
      </w:pPr>
      <w:r>
        <w:rPr>
          <w:rFonts w:ascii="Arial" w:hAnsi="Arial" w:cs="Arial"/>
          <w:b/>
          <w:sz w:val="22"/>
        </w:rPr>
        <w:t xml:space="preserve">3.2. </w:t>
      </w:r>
      <w:r w:rsidRPr="004772C5">
        <w:rPr>
          <w:rFonts w:ascii="Arial" w:hAnsi="Arial" w:cs="Arial"/>
          <w:b/>
          <w:sz w:val="22"/>
        </w:rPr>
        <w:t xml:space="preserve">Factors influencing CMD development </w:t>
      </w:r>
    </w:p>
    <w:p w14:paraId="1BFDBF6E" w14:textId="1ED4AADB" w:rsidR="004772C5" w:rsidRDefault="004772C5" w:rsidP="000F78E1">
      <w:pPr>
        <w:spacing w:line="360" w:lineRule="auto"/>
        <w:jc w:val="both"/>
        <w:rPr>
          <w:rFonts w:ascii="Arial" w:hAnsi="Arial" w:cs="Arial"/>
        </w:rPr>
      </w:pPr>
      <w:r w:rsidRPr="004772C5">
        <w:rPr>
          <w:rFonts w:ascii="Arial" w:hAnsi="Arial" w:cs="Arial"/>
        </w:rPr>
        <w:t xml:space="preserve">This study identifies several key factors contributing to the development of cassava mosaic disease, notably the origin of planting cuttings, crop age, and climatic seasonality, with the latter two being closely interconnected. Data presented in Table </w:t>
      </w:r>
      <w:r w:rsidR="007E2B9E">
        <w:rPr>
          <w:rFonts w:ascii="Arial" w:hAnsi="Arial" w:cs="Arial"/>
        </w:rPr>
        <w:t>3</w:t>
      </w:r>
      <w:r w:rsidRPr="004772C5">
        <w:rPr>
          <w:rFonts w:ascii="Arial" w:hAnsi="Arial" w:cs="Arial"/>
        </w:rPr>
        <w:t xml:space="preserve"> indicate that the majority of severely affected plants originate from informal exchanges of cuttings among farmers. Conversely, cuttings supplied by official agricultural organizations such as CNRA and ANADER exhibit significantly lower infection rates, with strong statistical significance (P &lt; 0.001) and an odds ratio (OR) of 6.53. Additionally, crop age is a critical determinant of </w:t>
      </w:r>
      <w:r w:rsidRPr="004772C5">
        <w:rPr>
          <w:rFonts w:ascii="Arial" w:hAnsi="Arial" w:cs="Arial"/>
        </w:rPr>
        <w:lastRenderedPageBreak/>
        <w:t xml:space="preserve">susceptibility, with cassava fields aged between 3 and 6 months showing significantly higher infection rates, particularly during the dry season, evidenced by infection rates of 78% and 73.88% and ORs of 6.38 and 5.86, respectively (Table </w:t>
      </w:r>
      <w:bookmarkStart w:id="0" w:name="_GoBack"/>
      <w:bookmarkEnd w:id="0"/>
      <w:r w:rsidR="007E2B9E">
        <w:rPr>
          <w:rFonts w:ascii="Arial" w:hAnsi="Arial" w:cs="Arial"/>
        </w:rPr>
        <w:t>3</w:t>
      </w:r>
      <w:r w:rsidRPr="004772C5">
        <w:rPr>
          <w:rFonts w:ascii="Arial" w:hAnsi="Arial" w:cs="Arial"/>
        </w:rPr>
        <w:t>).</w:t>
      </w:r>
    </w:p>
    <w:p w14:paraId="5E1D763B" w14:textId="325FFD86" w:rsidR="004772C5" w:rsidRDefault="004772C5" w:rsidP="000F78E1">
      <w:pPr>
        <w:spacing w:line="360" w:lineRule="auto"/>
        <w:jc w:val="both"/>
        <w:rPr>
          <w:rFonts w:ascii="Arial" w:hAnsi="Arial" w:cs="Arial"/>
        </w:rPr>
      </w:pPr>
    </w:p>
    <w:p w14:paraId="70A5B2E1" w14:textId="765FC98B" w:rsidR="004772C5" w:rsidRPr="004772C5" w:rsidRDefault="004772C5" w:rsidP="00215C1F">
      <w:pPr>
        <w:pStyle w:val="my-2"/>
        <w:spacing w:line="276" w:lineRule="auto"/>
        <w:jc w:val="center"/>
        <w:rPr>
          <w:rFonts w:ascii="Arial" w:hAnsi="Arial" w:cs="Arial"/>
          <w:b/>
          <w:bCs/>
          <w:sz w:val="20"/>
          <w:szCs w:val="20"/>
          <w:lang w:val="en-US" w:eastAsia="en-US"/>
        </w:rPr>
      </w:pPr>
      <w:r w:rsidRPr="004772C5">
        <w:rPr>
          <w:rFonts w:ascii="Arial" w:hAnsi="Arial" w:cs="Arial"/>
          <w:b/>
          <w:bCs/>
          <w:sz w:val="20"/>
          <w:szCs w:val="20"/>
          <w:lang w:val="en-US" w:eastAsia="en-US"/>
        </w:rPr>
        <w:t xml:space="preserve">Table </w:t>
      </w:r>
      <w:r w:rsidR="007E2B9E">
        <w:rPr>
          <w:rFonts w:ascii="Arial" w:hAnsi="Arial" w:cs="Arial"/>
          <w:b/>
          <w:bCs/>
          <w:sz w:val="20"/>
          <w:szCs w:val="20"/>
          <w:lang w:val="en-US" w:eastAsia="en-US"/>
        </w:rPr>
        <w:t>3</w:t>
      </w:r>
      <w:r w:rsidRPr="004772C5">
        <w:rPr>
          <w:rFonts w:ascii="Arial" w:hAnsi="Arial" w:cs="Arial"/>
          <w:b/>
          <w:bCs/>
          <w:sz w:val="20"/>
          <w:szCs w:val="20"/>
          <w:lang w:val="en-US" w:eastAsia="en-US"/>
        </w:rPr>
        <w:t>. Factors associated with cassava mosaic development</w:t>
      </w:r>
    </w:p>
    <w:tbl>
      <w:tblPr>
        <w:tblStyle w:val="TableGrid"/>
        <w:tblW w:w="8755" w:type="dxa"/>
        <w:jc w:val="cente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669"/>
        <w:gridCol w:w="1669"/>
        <w:gridCol w:w="1670"/>
        <w:gridCol w:w="1670"/>
        <w:gridCol w:w="2077"/>
      </w:tblGrid>
      <w:tr w:rsidR="003765BD" w:rsidRPr="00C22778" w14:paraId="4D6A6508" w14:textId="77777777" w:rsidTr="00215C1F">
        <w:trPr>
          <w:jc w:val="center"/>
        </w:trPr>
        <w:tc>
          <w:tcPr>
            <w:tcW w:w="1669" w:type="dxa"/>
            <w:tcBorders>
              <w:top w:val="single" w:sz="12" w:space="0" w:color="000000"/>
              <w:bottom w:val="single" w:sz="12" w:space="0" w:color="000000"/>
            </w:tcBorders>
            <w:vAlign w:val="center"/>
          </w:tcPr>
          <w:p w14:paraId="6DDC6537" w14:textId="0B10E3DD"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spacing w:val="-2"/>
                <w:sz w:val="20"/>
                <w:szCs w:val="20"/>
              </w:rPr>
              <w:t>Factors</w:t>
            </w:r>
          </w:p>
        </w:tc>
        <w:tc>
          <w:tcPr>
            <w:tcW w:w="1669" w:type="dxa"/>
            <w:tcBorders>
              <w:top w:val="single" w:sz="12" w:space="0" w:color="000000"/>
              <w:bottom w:val="single" w:sz="12" w:space="0" w:color="000000"/>
            </w:tcBorders>
            <w:vAlign w:val="center"/>
          </w:tcPr>
          <w:p w14:paraId="3B23D0D6" w14:textId="22024731"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sz w:val="20"/>
                <w:szCs w:val="20"/>
              </w:rPr>
              <w:t>Plants observed</w:t>
            </w:r>
          </w:p>
        </w:tc>
        <w:tc>
          <w:tcPr>
            <w:tcW w:w="1670" w:type="dxa"/>
            <w:tcBorders>
              <w:top w:val="single" w:sz="12" w:space="0" w:color="000000"/>
              <w:bottom w:val="single" w:sz="12" w:space="0" w:color="000000"/>
            </w:tcBorders>
            <w:vAlign w:val="center"/>
          </w:tcPr>
          <w:p w14:paraId="680F8445" w14:textId="4C71D53A"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spacing w:val="2"/>
                <w:sz w:val="20"/>
                <w:szCs w:val="20"/>
              </w:rPr>
              <w:t>Symptomatic</w:t>
            </w:r>
            <w:r w:rsidRPr="00C22778">
              <w:rPr>
                <w:rFonts w:ascii="Arial" w:hAnsi="Arial" w:cs="Arial"/>
                <w:b/>
                <w:bCs/>
                <w:spacing w:val="-2"/>
                <w:sz w:val="20"/>
                <w:szCs w:val="20"/>
              </w:rPr>
              <w:t xml:space="preserve"> </w:t>
            </w:r>
            <w:r w:rsidRPr="00C22778">
              <w:rPr>
                <w:rFonts w:ascii="Arial" w:hAnsi="Arial" w:cs="Arial"/>
                <w:b/>
                <w:bCs/>
                <w:spacing w:val="-5"/>
                <w:sz w:val="20"/>
                <w:szCs w:val="20"/>
              </w:rPr>
              <w:t>(%)</w:t>
            </w:r>
          </w:p>
        </w:tc>
        <w:tc>
          <w:tcPr>
            <w:tcW w:w="1670" w:type="dxa"/>
            <w:tcBorders>
              <w:top w:val="single" w:sz="12" w:space="0" w:color="000000"/>
              <w:bottom w:val="single" w:sz="12" w:space="0" w:color="000000"/>
            </w:tcBorders>
            <w:vAlign w:val="center"/>
          </w:tcPr>
          <w:p w14:paraId="365245CD" w14:textId="2A07C2DD"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i/>
                <w:iCs/>
                <w:sz w:val="20"/>
                <w:szCs w:val="20"/>
              </w:rPr>
              <w:t>P</w:t>
            </w:r>
          </w:p>
        </w:tc>
        <w:tc>
          <w:tcPr>
            <w:tcW w:w="2077" w:type="dxa"/>
            <w:tcBorders>
              <w:top w:val="single" w:sz="12" w:space="0" w:color="000000"/>
              <w:bottom w:val="single" w:sz="12" w:space="0" w:color="000000"/>
            </w:tcBorders>
            <w:vAlign w:val="center"/>
          </w:tcPr>
          <w:p w14:paraId="0D4C912F" w14:textId="06CB5FC6"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spacing w:val="-2"/>
                <w:sz w:val="20"/>
                <w:szCs w:val="20"/>
              </w:rPr>
              <w:t>OR</w:t>
            </w:r>
            <w:r w:rsidRPr="00C22778">
              <w:rPr>
                <w:rFonts w:ascii="Arial" w:hAnsi="Arial" w:cs="Arial"/>
                <w:b/>
                <w:bCs/>
                <w:spacing w:val="-12"/>
                <w:sz w:val="20"/>
                <w:szCs w:val="20"/>
              </w:rPr>
              <w:t xml:space="preserve"> </w:t>
            </w:r>
            <w:r w:rsidRPr="00C22778">
              <w:rPr>
                <w:rFonts w:ascii="Arial" w:hAnsi="Arial" w:cs="Arial"/>
                <w:b/>
                <w:bCs/>
                <w:spacing w:val="-2"/>
                <w:sz w:val="20"/>
                <w:szCs w:val="20"/>
              </w:rPr>
              <w:t>(IC</w:t>
            </w:r>
            <w:r w:rsidRPr="00C22778">
              <w:rPr>
                <w:rFonts w:ascii="Arial" w:hAnsi="Arial" w:cs="Arial"/>
                <w:b/>
                <w:bCs/>
                <w:spacing w:val="-2"/>
                <w:sz w:val="20"/>
                <w:szCs w:val="20"/>
                <w:vertAlign w:val="subscript"/>
              </w:rPr>
              <w:t>95%</w:t>
            </w:r>
            <w:r w:rsidRPr="00C22778">
              <w:rPr>
                <w:rFonts w:ascii="Arial" w:hAnsi="Arial" w:cs="Arial"/>
                <w:b/>
                <w:bCs/>
                <w:spacing w:val="-2"/>
                <w:sz w:val="20"/>
                <w:szCs w:val="20"/>
              </w:rPr>
              <w:t>)</w:t>
            </w:r>
          </w:p>
        </w:tc>
      </w:tr>
      <w:tr w:rsidR="003765BD" w:rsidRPr="00C22778" w14:paraId="1ACDCB94" w14:textId="77777777" w:rsidTr="00215C1F">
        <w:trPr>
          <w:jc w:val="center"/>
        </w:trPr>
        <w:tc>
          <w:tcPr>
            <w:tcW w:w="1669" w:type="dxa"/>
            <w:tcBorders>
              <w:top w:val="single" w:sz="12" w:space="0" w:color="000000"/>
            </w:tcBorders>
            <w:vAlign w:val="center"/>
          </w:tcPr>
          <w:p w14:paraId="05B2BD26" w14:textId="460DF546"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sz w:val="20"/>
                <w:szCs w:val="20"/>
              </w:rPr>
              <w:t>Cutting</w:t>
            </w:r>
            <w:r w:rsidRPr="00C22778">
              <w:rPr>
                <w:rFonts w:ascii="Arial" w:hAnsi="Arial" w:cs="Arial"/>
                <w:b/>
                <w:spacing w:val="-10"/>
                <w:sz w:val="20"/>
                <w:szCs w:val="20"/>
              </w:rPr>
              <w:t xml:space="preserve"> </w:t>
            </w:r>
            <w:r w:rsidRPr="00C22778">
              <w:rPr>
                <w:rFonts w:ascii="Arial" w:hAnsi="Arial" w:cs="Arial"/>
                <w:b/>
                <w:spacing w:val="-2"/>
                <w:sz w:val="20"/>
                <w:szCs w:val="20"/>
              </w:rPr>
              <w:t>origin</w:t>
            </w:r>
          </w:p>
        </w:tc>
        <w:tc>
          <w:tcPr>
            <w:tcW w:w="1669" w:type="dxa"/>
            <w:tcBorders>
              <w:top w:val="single" w:sz="12" w:space="0" w:color="000000"/>
            </w:tcBorders>
            <w:vAlign w:val="center"/>
          </w:tcPr>
          <w:p w14:paraId="350F1B18" w14:textId="77777777" w:rsidR="003765BD" w:rsidRPr="00C22778" w:rsidRDefault="003765BD" w:rsidP="00C22778">
            <w:pPr>
              <w:spacing w:line="273" w:lineRule="auto"/>
              <w:ind w:right="104"/>
              <w:jc w:val="center"/>
              <w:rPr>
                <w:rFonts w:ascii="Arial" w:hAnsi="Arial" w:cs="Arial"/>
                <w:sz w:val="20"/>
                <w:szCs w:val="20"/>
              </w:rPr>
            </w:pPr>
          </w:p>
        </w:tc>
        <w:tc>
          <w:tcPr>
            <w:tcW w:w="1670" w:type="dxa"/>
            <w:tcBorders>
              <w:top w:val="single" w:sz="12" w:space="0" w:color="000000"/>
            </w:tcBorders>
            <w:vAlign w:val="center"/>
          </w:tcPr>
          <w:p w14:paraId="1F8F3BB7" w14:textId="77777777" w:rsidR="003765BD" w:rsidRPr="00C22778" w:rsidRDefault="003765BD" w:rsidP="00C22778">
            <w:pPr>
              <w:spacing w:line="273" w:lineRule="auto"/>
              <w:ind w:right="104"/>
              <w:jc w:val="center"/>
              <w:rPr>
                <w:rFonts w:ascii="Arial" w:hAnsi="Arial" w:cs="Arial"/>
                <w:sz w:val="20"/>
                <w:szCs w:val="20"/>
              </w:rPr>
            </w:pPr>
          </w:p>
        </w:tc>
        <w:tc>
          <w:tcPr>
            <w:tcW w:w="1670" w:type="dxa"/>
            <w:vMerge w:val="restart"/>
            <w:tcBorders>
              <w:top w:val="single" w:sz="12" w:space="0" w:color="000000"/>
            </w:tcBorders>
            <w:vAlign w:val="bottom"/>
          </w:tcPr>
          <w:p w14:paraId="56121BFA" w14:textId="7777777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&lt;0.001</w:t>
            </w:r>
            <w:r w:rsidRPr="00C22778">
              <w:rPr>
                <w:rFonts w:ascii="Arial" w:hAnsi="Arial" w:cs="Arial"/>
                <w:spacing w:val="-2"/>
                <w:position w:val="5"/>
                <w:sz w:val="20"/>
                <w:szCs w:val="20"/>
              </w:rPr>
              <w:t>a</w:t>
            </w:r>
          </w:p>
          <w:p w14:paraId="54F2A6B5" w14:textId="2E42DC81" w:rsidR="003765BD" w:rsidRPr="00C22778" w:rsidRDefault="003765BD" w:rsidP="00C22778">
            <w:pPr>
              <w:spacing w:line="273" w:lineRule="auto"/>
              <w:ind w:right="104"/>
              <w:jc w:val="center"/>
              <w:rPr>
                <w:rFonts w:ascii="Arial" w:hAnsi="Arial" w:cs="Arial"/>
                <w:sz w:val="20"/>
                <w:szCs w:val="20"/>
              </w:rPr>
            </w:pPr>
          </w:p>
        </w:tc>
        <w:tc>
          <w:tcPr>
            <w:tcW w:w="2077" w:type="dxa"/>
            <w:vMerge w:val="restart"/>
            <w:tcBorders>
              <w:top w:val="single" w:sz="12" w:space="0" w:color="000000"/>
            </w:tcBorders>
            <w:vAlign w:val="center"/>
          </w:tcPr>
          <w:p w14:paraId="3825A6E4" w14:textId="77777777" w:rsidR="00C22778" w:rsidRPr="00C22778" w:rsidRDefault="00C22778" w:rsidP="00C22778">
            <w:pPr>
              <w:spacing w:line="273" w:lineRule="auto"/>
              <w:ind w:right="104"/>
              <w:jc w:val="center"/>
              <w:rPr>
                <w:rFonts w:ascii="Arial" w:hAnsi="Arial" w:cs="Arial"/>
                <w:w w:val="90"/>
                <w:sz w:val="20"/>
                <w:szCs w:val="20"/>
              </w:rPr>
            </w:pPr>
          </w:p>
          <w:p w14:paraId="7BF255AD" w14:textId="63FB3B7A"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w w:val="90"/>
                <w:sz w:val="20"/>
                <w:szCs w:val="20"/>
              </w:rPr>
              <w:t>6.53</w:t>
            </w:r>
            <w:r w:rsidRPr="00C22778">
              <w:rPr>
                <w:rFonts w:ascii="Arial" w:hAnsi="Arial" w:cs="Arial"/>
                <w:spacing w:val="16"/>
                <w:sz w:val="20"/>
                <w:szCs w:val="20"/>
              </w:rPr>
              <w:t xml:space="preserve"> </w:t>
            </w:r>
            <w:r w:rsidRPr="00C22778">
              <w:rPr>
                <w:rFonts w:ascii="Arial" w:hAnsi="Arial" w:cs="Arial"/>
                <w:w w:val="90"/>
                <w:sz w:val="20"/>
                <w:szCs w:val="20"/>
              </w:rPr>
              <w:t>(3.34-</w:t>
            </w:r>
            <w:r w:rsidRPr="00C22778">
              <w:rPr>
                <w:rFonts w:ascii="Arial" w:hAnsi="Arial" w:cs="Arial"/>
                <w:spacing w:val="-2"/>
                <w:w w:val="90"/>
                <w:sz w:val="20"/>
                <w:szCs w:val="20"/>
              </w:rPr>
              <w:t>12.76</w:t>
            </w:r>
          </w:p>
        </w:tc>
      </w:tr>
      <w:tr w:rsidR="003765BD" w:rsidRPr="00C22778" w14:paraId="1D37784F" w14:textId="77777777" w:rsidTr="00215C1F">
        <w:trPr>
          <w:jc w:val="center"/>
        </w:trPr>
        <w:tc>
          <w:tcPr>
            <w:tcW w:w="1669" w:type="dxa"/>
            <w:vAlign w:val="center"/>
          </w:tcPr>
          <w:p w14:paraId="6407BECF" w14:textId="20876B2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4"/>
                <w:sz w:val="20"/>
                <w:szCs w:val="20"/>
              </w:rPr>
              <w:t>Agricultural structures</w:t>
            </w:r>
          </w:p>
        </w:tc>
        <w:tc>
          <w:tcPr>
            <w:tcW w:w="1669" w:type="dxa"/>
            <w:vAlign w:val="center"/>
          </w:tcPr>
          <w:p w14:paraId="1830076F" w14:textId="0626802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58</w:t>
            </w:r>
          </w:p>
        </w:tc>
        <w:tc>
          <w:tcPr>
            <w:tcW w:w="1670" w:type="dxa"/>
            <w:vAlign w:val="center"/>
          </w:tcPr>
          <w:p w14:paraId="0599E6F3" w14:textId="0E0F0880"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20</w:t>
            </w:r>
            <w:r w:rsidRPr="00C22778">
              <w:rPr>
                <w:rFonts w:ascii="Arial" w:hAnsi="Arial" w:cs="Arial"/>
                <w:spacing w:val="-12"/>
                <w:sz w:val="20"/>
                <w:szCs w:val="20"/>
              </w:rPr>
              <w:t xml:space="preserve"> </w:t>
            </w:r>
            <w:r w:rsidRPr="00C22778">
              <w:rPr>
                <w:rFonts w:ascii="Arial" w:hAnsi="Arial" w:cs="Arial"/>
                <w:spacing w:val="-2"/>
                <w:sz w:val="20"/>
                <w:szCs w:val="20"/>
              </w:rPr>
              <w:t>(34.48)</w:t>
            </w:r>
          </w:p>
        </w:tc>
        <w:tc>
          <w:tcPr>
            <w:tcW w:w="1670" w:type="dxa"/>
            <w:vMerge/>
            <w:vAlign w:val="center"/>
          </w:tcPr>
          <w:p w14:paraId="7C3D9F89"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631E51DD"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2A12601E" w14:textId="77777777" w:rsidTr="00215C1F">
        <w:trPr>
          <w:jc w:val="center"/>
        </w:trPr>
        <w:tc>
          <w:tcPr>
            <w:tcW w:w="1669" w:type="dxa"/>
            <w:vAlign w:val="center"/>
          </w:tcPr>
          <w:p w14:paraId="740F2D30" w14:textId="71C5D00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w w:val="105"/>
                <w:sz w:val="20"/>
                <w:szCs w:val="20"/>
              </w:rPr>
              <w:t>Exchanges</w:t>
            </w:r>
          </w:p>
        </w:tc>
        <w:tc>
          <w:tcPr>
            <w:tcW w:w="1669" w:type="dxa"/>
            <w:vAlign w:val="center"/>
          </w:tcPr>
          <w:p w14:paraId="05457703" w14:textId="4CCB2304"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142</w:t>
            </w:r>
          </w:p>
        </w:tc>
        <w:tc>
          <w:tcPr>
            <w:tcW w:w="1670" w:type="dxa"/>
            <w:vAlign w:val="center"/>
          </w:tcPr>
          <w:p w14:paraId="54F36935" w14:textId="280B3562"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110</w:t>
            </w:r>
            <w:r w:rsidRPr="00C22778">
              <w:rPr>
                <w:rFonts w:ascii="Arial" w:hAnsi="Arial" w:cs="Arial"/>
                <w:spacing w:val="-12"/>
                <w:sz w:val="20"/>
                <w:szCs w:val="20"/>
              </w:rPr>
              <w:t xml:space="preserve"> </w:t>
            </w:r>
            <w:r w:rsidRPr="00C22778">
              <w:rPr>
                <w:rFonts w:ascii="Arial" w:hAnsi="Arial" w:cs="Arial"/>
                <w:spacing w:val="-2"/>
                <w:sz w:val="20"/>
                <w:szCs w:val="20"/>
              </w:rPr>
              <w:t>(77.46)</w:t>
            </w:r>
          </w:p>
        </w:tc>
        <w:tc>
          <w:tcPr>
            <w:tcW w:w="1670" w:type="dxa"/>
            <w:vMerge/>
            <w:vAlign w:val="center"/>
          </w:tcPr>
          <w:p w14:paraId="1917FC29"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48316592"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1B7748B6" w14:textId="77777777" w:rsidTr="00215C1F">
        <w:trPr>
          <w:jc w:val="center"/>
        </w:trPr>
        <w:tc>
          <w:tcPr>
            <w:tcW w:w="1669" w:type="dxa"/>
            <w:vAlign w:val="center"/>
          </w:tcPr>
          <w:p w14:paraId="3B460F89" w14:textId="77777777" w:rsidR="00C22778" w:rsidRPr="00C22778" w:rsidRDefault="00C22778" w:rsidP="00C22778">
            <w:pPr>
              <w:spacing w:line="273" w:lineRule="auto"/>
              <w:ind w:right="104"/>
              <w:jc w:val="center"/>
              <w:rPr>
                <w:rFonts w:ascii="Arial" w:hAnsi="Arial" w:cs="Arial"/>
                <w:b/>
                <w:spacing w:val="-5"/>
                <w:sz w:val="20"/>
                <w:szCs w:val="20"/>
              </w:rPr>
            </w:pPr>
          </w:p>
          <w:p w14:paraId="1DFE1CB7" w14:textId="3245CFEA"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spacing w:val="-5"/>
                <w:sz w:val="20"/>
                <w:szCs w:val="20"/>
              </w:rPr>
              <w:t>Age</w:t>
            </w:r>
            <w:r w:rsidRPr="00C22778">
              <w:rPr>
                <w:rFonts w:ascii="Arial" w:hAnsi="Arial" w:cs="Arial"/>
                <w:b/>
                <w:spacing w:val="-6"/>
                <w:sz w:val="20"/>
                <w:szCs w:val="20"/>
              </w:rPr>
              <w:t xml:space="preserve"> </w:t>
            </w:r>
            <w:r w:rsidRPr="00C22778">
              <w:rPr>
                <w:rFonts w:ascii="Arial" w:hAnsi="Arial" w:cs="Arial"/>
                <w:b/>
                <w:spacing w:val="-2"/>
                <w:sz w:val="20"/>
                <w:szCs w:val="20"/>
              </w:rPr>
              <w:t>(month)</w:t>
            </w:r>
          </w:p>
        </w:tc>
        <w:tc>
          <w:tcPr>
            <w:tcW w:w="1669" w:type="dxa"/>
            <w:vAlign w:val="center"/>
          </w:tcPr>
          <w:p w14:paraId="38A06CB3" w14:textId="77777777" w:rsidR="003765BD" w:rsidRPr="00C22778" w:rsidRDefault="003765BD" w:rsidP="00C22778">
            <w:pPr>
              <w:spacing w:line="273" w:lineRule="auto"/>
              <w:ind w:right="104"/>
              <w:jc w:val="center"/>
              <w:rPr>
                <w:rFonts w:ascii="Arial" w:hAnsi="Arial" w:cs="Arial"/>
                <w:sz w:val="20"/>
                <w:szCs w:val="20"/>
              </w:rPr>
            </w:pPr>
          </w:p>
        </w:tc>
        <w:tc>
          <w:tcPr>
            <w:tcW w:w="1670" w:type="dxa"/>
            <w:vAlign w:val="center"/>
          </w:tcPr>
          <w:p w14:paraId="7D76EF28" w14:textId="77777777" w:rsidR="003765BD" w:rsidRPr="00C22778" w:rsidRDefault="003765BD" w:rsidP="00C22778">
            <w:pPr>
              <w:spacing w:line="273" w:lineRule="auto"/>
              <w:ind w:right="104"/>
              <w:jc w:val="center"/>
              <w:rPr>
                <w:rFonts w:ascii="Arial" w:hAnsi="Arial" w:cs="Arial"/>
                <w:sz w:val="20"/>
                <w:szCs w:val="20"/>
              </w:rPr>
            </w:pPr>
          </w:p>
        </w:tc>
        <w:tc>
          <w:tcPr>
            <w:tcW w:w="1670" w:type="dxa"/>
            <w:vMerge w:val="restart"/>
            <w:vAlign w:val="bottom"/>
          </w:tcPr>
          <w:p w14:paraId="53D1B490" w14:textId="4C7661EF"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&lt;0.001</w:t>
            </w:r>
          </w:p>
          <w:p w14:paraId="56C1D375" w14:textId="06E51D70"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0.04</w:t>
            </w:r>
            <w:r w:rsidRPr="00C22778">
              <w:rPr>
                <w:rFonts w:ascii="Arial" w:hAnsi="Arial" w:cs="Arial"/>
                <w:spacing w:val="-2"/>
                <w:position w:val="5"/>
                <w:sz w:val="20"/>
                <w:szCs w:val="20"/>
              </w:rPr>
              <w:t>a</w:t>
            </w:r>
          </w:p>
        </w:tc>
        <w:tc>
          <w:tcPr>
            <w:tcW w:w="2077" w:type="dxa"/>
            <w:vMerge w:val="restart"/>
            <w:vAlign w:val="bottom"/>
          </w:tcPr>
          <w:p w14:paraId="60A1E693" w14:textId="77777777" w:rsidR="003765BD" w:rsidRPr="00C22778" w:rsidRDefault="003765BD" w:rsidP="00C22778">
            <w:pPr>
              <w:spacing w:line="273" w:lineRule="auto"/>
              <w:ind w:right="104"/>
              <w:jc w:val="center"/>
              <w:rPr>
                <w:rFonts w:ascii="Arial" w:hAnsi="Arial" w:cs="Arial"/>
                <w:spacing w:val="-2"/>
                <w:w w:val="90"/>
                <w:sz w:val="20"/>
                <w:szCs w:val="20"/>
              </w:rPr>
            </w:pPr>
            <w:r w:rsidRPr="00C22778">
              <w:rPr>
                <w:rFonts w:ascii="Arial" w:hAnsi="Arial" w:cs="Arial"/>
                <w:w w:val="90"/>
                <w:sz w:val="20"/>
                <w:szCs w:val="20"/>
              </w:rPr>
              <w:t>6.38</w:t>
            </w:r>
            <w:r w:rsidRPr="00C22778">
              <w:rPr>
                <w:rFonts w:ascii="Arial" w:hAnsi="Arial" w:cs="Arial"/>
                <w:spacing w:val="16"/>
                <w:sz w:val="20"/>
                <w:szCs w:val="20"/>
              </w:rPr>
              <w:t xml:space="preserve"> </w:t>
            </w:r>
            <w:r w:rsidRPr="00C22778">
              <w:rPr>
                <w:rFonts w:ascii="Arial" w:hAnsi="Arial" w:cs="Arial"/>
                <w:w w:val="90"/>
                <w:sz w:val="20"/>
                <w:szCs w:val="20"/>
              </w:rPr>
              <w:t>(2.58-</w:t>
            </w:r>
            <w:r w:rsidRPr="00C22778">
              <w:rPr>
                <w:rFonts w:ascii="Arial" w:hAnsi="Arial" w:cs="Arial"/>
                <w:spacing w:val="-2"/>
                <w:w w:val="90"/>
                <w:sz w:val="20"/>
                <w:szCs w:val="20"/>
              </w:rPr>
              <w:t>15.80)</w:t>
            </w:r>
          </w:p>
          <w:p w14:paraId="64DA0824" w14:textId="5349EDB1"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w w:val="90"/>
                <w:sz w:val="20"/>
                <w:szCs w:val="20"/>
              </w:rPr>
              <w:t>2.52</w:t>
            </w:r>
            <w:r w:rsidRPr="00C22778">
              <w:rPr>
                <w:rFonts w:ascii="Arial" w:hAnsi="Arial" w:cs="Arial"/>
                <w:spacing w:val="12"/>
                <w:sz w:val="20"/>
                <w:szCs w:val="20"/>
              </w:rPr>
              <w:t xml:space="preserve"> </w:t>
            </w:r>
            <w:r w:rsidRPr="00C22778">
              <w:rPr>
                <w:rFonts w:ascii="Arial" w:hAnsi="Arial" w:cs="Arial"/>
                <w:w w:val="90"/>
                <w:sz w:val="20"/>
                <w:szCs w:val="20"/>
              </w:rPr>
              <w:t>(1.02-</w:t>
            </w:r>
            <w:r w:rsidRPr="00C22778">
              <w:rPr>
                <w:rFonts w:ascii="Arial" w:hAnsi="Arial" w:cs="Arial"/>
                <w:spacing w:val="-2"/>
                <w:w w:val="90"/>
                <w:sz w:val="20"/>
                <w:szCs w:val="20"/>
              </w:rPr>
              <w:t>6.22</w:t>
            </w:r>
          </w:p>
        </w:tc>
      </w:tr>
      <w:tr w:rsidR="003765BD" w:rsidRPr="00C22778" w14:paraId="7BBA4ADA" w14:textId="77777777" w:rsidTr="00215C1F">
        <w:trPr>
          <w:jc w:val="center"/>
        </w:trPr>
        <w:tc>
          <w:tcPr>
            <w:tcW w:w="1669" w:type="dxa"/>
            <w:vAlign w:val="center"/>
          </w:tcPr>
          <w:p w14:paraId="4A2D3CB7" w14:textId="4A7C5894"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1-</w:t>
            </w:r>
            <w:r w:rsidRPr="00C22778">
              <w:rPr>
                <w:rFonts w:ascii="Arial" w:hAnsi="Arial" w:cs="Arial"/>
                <w:spacing w:val="-10"/>
                <w:sz w:val="20"/>
                <w:szCs w:val="20"/>
              </w:rPr>
              <w:t>2</w:t>
            </w:r>
          </w:p>
        </w:tc>
        <w:tc>
          <w:tcPr>
            <w:tcW w:w="1669" w:type="dxa"/>
            <w:vAlign w:val="center"/>
          </w:tcPr>
          <w:p w14:paraId="447F2713" w14:textId="1F5F0514"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28</w:t>
            </w:r>
          </w:p>
        </w:tc>
        <w:tc>
          <w:tcPr>
            <w:tcW w:w="1670" w:type="dxa"/>
            <w:vAlign w:val="center"/>
          </w:tcPr>
          <w:p w14:paraId="5D0AE1A3" w14:textId="1B52858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4</w:t>
            </w:r>
            <w:r w:rsidRPr="00C22778">
              <w:rPr>
                <w:rFonts w:ascii="Arial" w:hAnsi="Arial" w:cs="Arial"/>
                <w:spacing w:val="-12"/>
                <w:sz w:val="20"/>
                <w:szCs w:val="20"/>
              </w:rPr>
              <w:t xml:space="preserve"> </w:t>
            </w:r>
            <w:r w:rsidRPr="00C22778">
              <w:rPr>
                <w:rFonts w:ascii="Arial" w:hAnsi="Arial" w:cs="Arial"/>
                <w:spacing w:val="-2"/>
                <w:sz w:val="20"/>
                <w:szCs w:val="20"/>
              </w:rPr>
              <w:t>(14.28)</w:t>
            </w:r>
          </w:p>
        </w:tc>
        <w:tc>
          <w:tcPr>
            <w:tcW w:w="1670" w:type="dxa"/>
            <w:vMerge/>
            <w:vAlign w:val="center"/>
          </w:tcPr>
          <w:p w14:paraId="057F0CF9"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76216F5D"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0305CA8B" w14:textId="77777777" w:rsidTr="00215C1F">
        <w:trPr>
          <w:jc w:val="center"/>
        </w:trPr>
        <w:tc>
          <w:tcPr>
            <w:tcW w:w="1669" w:type="dxa"/>
            <w:vAlign w:val="center"/>
          </w:tcPr>
          <w:p w14:paraId="34D68801" w14:textId="47D9DE9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3-</w:t>
            </w:r>
            <w:r w:rsidRPr="00C22778">
              <w:rPr>
                <w:rFonts w:ascii="Arial" w:hAnsi="Arial" w:cs="Arial"/>
                <w:spacing w:val="-10"/>
                <w:sz w:val="20"/>
                <w:szCs w:val="20"/>
              </w:rPr>
              <w:t>6</w:t>
            </w:r>
          </w:p>
        </w:tc>
        <w:tc>
          <w:tcPr>
            <w:tcW w:w="1669" w:type="dxa"/>
            <w:vAlign w:val="center"/>
          </w:tcPr>
          <w:p w14:paraId="252C5D1D" w14:textId="0C3D306F"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100</w:t>
            </w:r>
          </w:p>
        </w:tc>
        <w:tc>
          <w:tcPr>
            <w:tcW w:w="1670" w:type="dxa"/>
            <w:vAlign w:val="center"/>
          </w:tcPr>
          <w:p w14:paraId="31FCF7B4" w14:textId="2277C32E"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78</w:t>
            </w:r>
            <w:r w:rsidRPr="00C22778">
              <w:rPr>
                <w:rFonts w:ascii="Arial" w:hAnsi="Arial" w:cs="Arial"/>
                <w:spacing w:val="-12"/>
                <w:sz w:val="20"/>
                <w:szCs w:val="20"/>
              </w:rPr>
              <w:t xml:space="preserve"> </w:t>
            </w:r>
            <w:r w:rsidRPr="00C22778">
              <w:rPr>
                <w:rFonts w:ascii="Arial" w:hAnsi="Arial" w:cs="Arial"/>
                <w:spacing w:val="-4"/>
                <w:sz w:val="20"/>
                <w:szCs w:val="20"/>
              </w:rPr>
              <w:t>(78)</w:t>
            </w:r>
          </w:p>
        </w:tc>
        <w:tc>
          <w:tcPr>
            <w:tcW w:w="1670" w:type="dxa"/>
            <w:vMerge/>
            <w:vAlign w:val="center"/>
          </w:tcPr>
          <w:p w14:paraId="50B789E2"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2C31869C"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18781D82" w14:textId="77777777" w:rsidTr="00215C1F">
        <w:trPr>
          <w:jc w:val="center"/>
        </w:trPr>
        <w:tc>
          <w:tcPr>
            <w:tcW w:w="1669" w:type="dxa"/>
            <w:vAlign w:val="center"/>
          </w:tcPr>
          <w:p w14:paraId="1037EEFF" w14:textId="67877FA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u w:val="single"/>
              </w:rPr>
              <w:t>&gt;</w:t>
            </w:r>
            <w:r w:rsidRPr="00C22778">
              <w:rPr>
                <w:rFonts w:ascii="Arial" w:hAnsi="Arial" w:cs="Arial"/>
                <w:spacing w:val="-5"/>
                <w:sz w:val="20"/>
                <w:szCs w:val="20"/>
              </w:rPr>
              <w:t>7</w:t>
            </w:r>
          </w:p>
        </w:tc>
        <w:tc>
          <w:tcPr>
            <w:tcW w:w="1669" w:type="dxa"/>
            <w:vAlign w:val="center"/>
          </w:tcPr>
          <w:p w14:paraId="4CD85E77" w14:textId="5439B9A8"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72</w:t>
            </w:r>
          </w:p>
        </w:tc>
        <w:tc>
          <w:tcPr>
            <w:tcW w:w="1670" w:type="dxa"/>
            <w:vAlign w:val="center"/>
          </w:tcPr>
          <w:p w14:paraId="23ACE40F" w14:textId="45944982"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42</w:t>
            </w:r>
            <w:r w:rsidRPr="00C22778">
              <w:rPr>
                <w:rFonts w:ascii="Arial" w:hAnsi="Arial" w:cs="Arial"/>
                <w:spacing w:val="-12"/>
                <w:sz w:val="20"/>
                <w:szCs w:val="20"/>
              </w:rPr>
              <w:t xml:space="preserve"> </w:t>
            </w:r>
            <w:r w:rsidRPr="00C22778">
              <w:rPr>
                <w:rFonts w:ascii="Arial" w:hAnsi="Arial" w:cs="Arial"/>
                <w:spacing w:val="-2"/>
                <w:sz w:val="20"/>
                <w:szCs w:val="20"/>
              </w:rPr>
              <w:t>(58.33)</w:t>
            </w:r>
          </w:p>
        </w:tc>
        <w:tc>
          <w:tcPr>
            <w:tcW w:w="1670" w:type="dxa"/>
            <w:vMerge/>
            <w:vAlign w:val="center"/>
          </w:tcPr>
          <w:p w14:paraId="3AB5CB59"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6B46DC23"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3302CD8C" w14:textId="77777777" w:rsidTr="00215C1F">
        <w:trPr>
          <w:jc w:val="center"/>
        </w:trPr>
        <w:tc>
          <w:tcPr>
            <w:tcW w:w="1669" w:type="dxa"/>
            <w:vAlign w:val="center"/>
          </w:tcPr>
          <w:p w14:paraId="79AE7F79" w14:textId="77777777" w:rsidR="00C22778" w:rsidRPr="00C22778" w:rsidRDefault="00C22778" w:rsidP="00C22778">
            <w:pPr>
              <w:spacing w:line="273" w:lineRule="auto"/>
              <w:ind w:right="104"/>
              <w:jc w:val="center"/>
              <w:rPr>
                <w:rFonts w:ascii="Arial" w:hAnsi="Arial" w:cs="Arial"/>
                <w:b/>
                <w:spacing w:val="-2"/>
                <w:sz w:val="20"/>
                <w:szCs w:val="20"/>
              </w:rPr>
            </w:pPr>
          </w:p>
          <w:p w14:paraId="5310C231" w14:textId="0726E1B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spacing w:val="-2"/>
                <w:sz w:val="20"/>
                <w:szCs w:val="20"/>
              </w:rPr>
              <w:t>Season</w:t>
            </w:r>
          </w:p>
        </w:tc>
        <w:tc>
          <w:tcPr>
            <w:tcW w:w="1669" w:type="dxa"/>
            <w:vAlign w:val="center"/>
          </w:tcPr>
          <w:p w14:paraId="44F6B3F5" w14:textId="77777777" w:rsidR="003765BD" w:rsidRPr="00C22778" w:rsidRDefault="003765BD" w:rsidP="00C22778">
            <w:pPr>
              <w:spacing w:line="273" w:lineRule="auto"/>
              <w:ind w:right="104"/>
              <w:jc w:val="center"/>
              <w:rPr>
                <w:rFonts w:ascii="Arial" w:hAnsi="Arial" w:cs="Arial"/>
                <w:sz w:val="20"/>
                <w:szCs w:val="20"/>
              </w:rPr>
            </w:pPr>
          </w:p>
        </w:tc>
        <w:tc>
          <w:tcPr>
            <w:tcW w:w="1670" w:type="dxa"/>
            <w:vAlign w:val="center"/>
          </w:tcPr>
          <w:p w14:paraId="476295E5" w14:textId="77777777" w:rsidR="003765BD" w:rsidRPr="00C22778" w:rsidRDefault="003765BD" w:rsidP="00C22778">
            <w:pPr>
              <w:spacing w:line="273" w:lineRule="auto"/>
              <w:ind w:right="104"/>
              <w:jc w:val="center"/>
              <w:rPr>
                <w:rFonts w:ascii="Arial" w:hAnsi="Arial" w:cs="Arial"/>
                <w:sz w:val="20"/>
                <w:szCs w:val="20"/>
              </w:rPr>
            </w:pPr>
          </w:p>
        </w:tc>
        <w:tc>
          <w:tcPr>
            <w:tcW w:w="1670" w:type="dxa"/>
            <w:vMerge w:val="restart"/>
            <w:vAlign w:val="center"/>
          </w:tcPr>
          <w:p w14:paraId="2C1D4E81" w14:textId="29B465DE"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&lt;0.001</w:t>
            </w:r>
            <w:r w:rsidRPr="00C22778">
              <w:rPr>
                <w:rFonts w:ascii="Arial" w:hAnsi="Arial" w:cs="Arial"/>
                <w:spacing w:val="-2"/>
                <w:position w:val="5"/>
                <w:sz w:val="20"/>
                <w:szCs w:val="20"/>
              </w:rPr>
              <w:t>a</w:t>
            </w:r>
          </w:p>
        </w:tc>
        <w:tc>
          <w:tcPr>
            <w:tcW w:w="2077" w:type="dxa"/>
            <w:vMerge w:val="restart"/>
            <w:vAlign w:val="center"/>
          </w:tcPr>
          <w:p w14:paraId="7B597C4F" w14:textId="1E54746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w w:val="90"/>
                <w:sz w:val="20"/>
                <w:szCs w:val="20"/>
              </w:rPr>
              <w:t>5.86</w:t>
            </w:r>
            <w:r w:rsidRPr="00C22778">
              <w:rPr>
                <w:rFonts w:ascii="Arial" w:hAnsi="Arial" w:cs="Arial"/>
                <w:spacing w:val="16"/>
                <w:sz w:val="20"/>
                <w:szCs w:val="20"/>
              </w:rPr>
              <w:t xml:space="preserve"> </w:t>
            </w:r>
            <w:r w:rsidRPr="00C22778">
              <w:rPr>
                <w:rFonts w:ascii="Arial" w:hAnsi="Arial" w:cs="Arial"/>
                <w:w w:val="90"/>
                <w:sz w:val="20"/>
                <w:szCs w:val="20"/>
              </w:rPr>
              <w:t>(2.82-</w:t>
            </w:r>
            <w:r w:rsidRPr="00C22778">
              <w:rPr>
                <w:rFonts w:ascii="Arial" w:hAnsi="Arial" w:cs="Arial"/>
                <w:spacing w:val="-2"/>
                <w:w w:val="90"/>
                <w:sz w:val="20"/>
                <w:szCs w:val="20"/>
              </w:rPr>
              <w:t>12.17)</w:t>
            </w:r>
          </w:p>
        </w:tc>
      </w:tr>
      <w:tr w:rsidR="003765BD" w:rsidRPr="00C22778" w14:paraId="002C7A9A" w14:textId="77777777" w:rsidTr="00215C1F">
        <w:trPr>
          <w:jc w:val="center"/>
        </w:trPr>
        <w:tc>
          <w:tcPr>
            <w:tcW w:w="1669" w:type="dxa"/>
            <w:vAlign w:val="center"/>
          </w:tcPr>
          <w:p w14:paraId="0D944E9A" w14:textId="53DB7A10"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Rainy</w:t>
            </w:r>
          </w:p>
        </w:tc>
        <w:tc>
          <w:tcPr>
            <w:tcW w:w="1669" w:type="dxa"/>
            <w:vAlign w:val="center"/>
          </w:tcPr>
          <w:p w14:paraId="0D981C27" w14:textId="25E6A3DC"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43</w:t>
            </w:r>
          </w:p>
        </w:tc>
        <w:tc>
          <w:tcPr>
            <w:tcW w:w="1670" w:type="dxa"/>
            <w:vAlign w:val="center"/>
          </w:tcPr>
          <w:p w14:paraId="1F7CAC1B" w14:textId="1C2905E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14</w:t>
            </w:r>
            <w:r w:rsidRPr="00C22778">
              <w:rPr>
                <w:rFonts w:ascii="Arial" w:hAnsi="Arial" w:cs="Arial"/>
                <w:spacing w:val="-12"/>
                <w:sz w:val="20"/>
                <w:szCs w:val="20"/>
              </w:rPr>
              <w:t xml:space="preserve"> </w:t>
            </w:r>
            <w:r w:rsidRPr="00C22778">
              <w:rPr>
                <w:rFonts w:ascii="Arial" w:hAnsi="Arial" w:cs="Arial"/>
                <w:spacing w:val="-2"/>
                <w:sz w:val="20"/>
                <w:szCs w:val="20"/>
              </w:rPr>
              <w:t>(32,56)</w:t>
            </w:r>
          </w:p>
        </w:tc>
        <w:tc>
          <w:tcPr>
            <w:tcW w:w="1670" w:type="dxa"/>
            <w:vMerge/>
            <w:vAlign w:val="center"/>
          </w:tcPr>
          <w:p w14:paraId="0CE35A88"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0914DB44"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5EEDDDB3" w14:textId="77777777" w:rsidTr="00215C1F">
        <w:trPr>
          <w:jc w:val="center"/>
        </w:trPr>
        <w:tc>
          <w:tcPr>
            <w:tcW w:w="1669" w:type="dxa"/>
            <w:vAlign w:val="center"/>
          </w:tcPr>
          <w:p w14:paraId="45681094" w14:textId="6CD4B76C"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Dry</w:t>
            </w:r>
          </w:p>
        </w:tc>
        <w:tc>
          <w:tcPr>
            <w:tcW w:w="1669" w:type="dxa"/>
            <w:vAlign w:val="center"/>
          </w:tcPr>
          <w:p w14:paraId="4450E52B" w14:textId="378DAD23"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157</w:t>
            </w:r>
          </w:p>
        </w:tc>
        <w:tc>
          <w:tcPr>
            <w:tcW w:w="1670" w:type="dxa"/>
            <w:vAlign w:val="center"/>
          </w:tcPr>
          <w:p w14:paraId="6E747DF5" w14:textId="5137D7C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116</w:t>
            </w:r>
            <w:r w:rsidRPr="00C22778">
              <w:rPr>
                <w:rFonts w:ascii="Arial" w:hAnsi="Arial" w:cs="Arial"/>
                <w:spacing w:val="-12"/>
                <w:sz w:val="20"/>
                <w:szCs w:val="20"/>
              </w:rPr>
              <w:t xml:space="preserve"> </w:t>
            </w:r>
            <w:r w:rsidRPr="00C22778">
              <w:rPr>
                <w:rFonts w:ascii="Arial" w:hAnsi="Arial" w:cs="Arial"/>
                <w:spacing w:val="-2"/>
                <w:sz w:val="20"/>
                <w:szCs w:val="20"/>
              </w:rPr>
              <w:t>(73.88)</w:t>
            </w:r>
          </w:p>
        </w:tc>
        <w:tc>
          <w:tcPr>
            <w:tcW w:w="1670" w:type="dxa"/>
            <w:vMerge/>
            <w:vAlign w:val="center"/>
          </w:tcPr>
          <w:p w14:paraId="061109F5"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56B7A97C"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21C83D77" w14:textId="77777777" w:rsidTr="00215C1F">
        <w:trPr>
          <w:jc w:val="center"/>
        </w:trPr>
        <w:tc>
          <w:tcPr>
            <w:tcW w:w="1669" w:type="dxa"/>
            <w:vAlign w:val="center"/>
          </w:tcPr>
          <w:p w14:paraId="665F0C31" w14:textId="665DD2BE"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Total</w:t>
            </w:r>
          </w:p>
        </w:tc>
        <w:tc>
          <w:tcPr>
            <w:tcW w:w="1669" w:type="dxa"/>
            <w:vAlign w:val="center"/>
          </w:tcPr>
          <w:p w14:paraId="6763B0C7" w14:textId="386AC0F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200</w:t>
            </w:r>
          </w:p>
        </w:tc>
        <w:tc>
          <w:tcPr>
            <w:tcW w:w="1670" w:type="dxa"/>
            <w:vAlign w:val="center"/>
          </w:tcPr>
          <w:p w14:paraId="7681C198" w14:textId="727A1D9F"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130</w:t>
            </w:r>
            <w:r w:rsidRPr="00C22778">
              <w:rPr>
                <w:rFonts w:ascii="Arial" w:hAnsi="Arial" w:cs="Arial"/>
                <w:spacing w:val="-12"/>
                <w:sz w:val="20"/>
                <w:szCs w:val="20"/>
              </w:rPr>
              <w:t xml:space="preserve"> </w:t>
            </w:r>
            <w:r w:rsidRPr="00C22778">
              <w:rPr>
                <w:rFonts w:ascii="Arial" w:hAnsi="Arial" w:cs="Arial"/>
                <w:spacing w:val="-4"/>
                <w:sz w:val="20"/>
                <w:szCs w:val="20"/>
              </w:rPr>
              <w:t>(65)</w:t>
            </w:r>
          </w:p>
        </w:tc>
        <w:tc>
          <w:tcPr>
            <w:tcW w:w="1670" w:type="dxa"/>
            <w:vMerge/>
            <w:vAlign w:val="center"/>
          </w:tcPr>
          <w:p w14:paraId="6AECD55C"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1AC20F0E" w14:textId="77777777" w:rsidR="003765BD" w:rsidRPr="00C22778" w:rsidRDefault="003765BD" w:rsidP="00C22778">
            <w:pPr>
              <w:spacing w:line="273" w:lineRule="auto"/>
              <w:ind w:right="104"/>
              <w:jc w:val="center"/>
              <w:rPr>
                <w:rFonts w:ascii="Arial" w:hAnsi="Arial" w:cs="Arial"/>
                <w:sz w:val="20"/>
                <w:szCs w:val="20"/>
              </w:rPr>
            </w:pPr>
          </w:p>
        </w:tc>
      </w:tr>
    </w:tbl>
    <w:p w14:paraId="53681A44" w14:textId="345C53FD" w:rsidR="004772C5" w:rsidRPr="00215C1F" w:rsidRDefault="004772C5" w:rsidP="004772C5">
      <w:pPr>
        <w:spacing w:line="273" w:lineRule="auto"/>
        <w:ind w:right="104"/>
        <w:jc w:val="both"/>
        <w:rPr>
          <w:rFonts w:ascii="Arial" w:hAnsi="Arial" w:cs="Arial"/>
          <w:i/>
          <w:iCs/>
          <w:sz w:val="16"/>
          <w:szCs w:val="16"/>
        </w:rPr>
      </w:pPr>
      <w:r w:rsidRPr="00215C1F">
        <w:rPr>
          <w:rFonts w:ascii="Arial" w:hAnsi="Arial" w:cs="Arial"/>
          <w:i/>
          <w:iCs/>
          <w:sz w:val="16"/>
          <w:szCs w:val="16"/>
        </w:rPr>
        <w:t>P: Probability associated at x2 test, OR: Odds Ratio, (IC95%), 95% Confidence Interval, a: Independence Chi-square approximation</w:t>
      </w:r>
    </w:p>
    <w:p w14:paraId="5BC487EE" w14:textId="77777777" w:rsidR="004772C5" w:rsidRPr="006568C4" w:rsidRDefault="004772C5" w:rsidP="004772C5">
      <w:pPr>
        <w:spacing w:line="276" w:lineRule="auto"/>
        <w:jc w:val="both"/>
        <w:rPr>
          <w:rFonts w:ascii="Times New Roman" w:hAnsi="Times New Roman"/>
          <w:sz w:val="24"/>
          <w:szCs w:val="24"/>
        </w:rPr>
      </w:pPr>
    </w:p>
    <w:p w14:paraId="1D9F9E83" w14:textId="67C16ADD" w:rsidR="004772C5" w:rsidRPr="004772C5" w:rsidRDefault="004772C5" w:rsidP="004772C5">
      <w:pPr>
        <w:spacing w:line="276" w:lineRule="auto"/>
        <w:jc w:val="both"/>
        <w:rPr>
          <w:rFonts w:ascii="Arial" w:hAnsi="Arial" w:cs="Arial"/>
          <w:b/>
          <w:sz w:val="22"/>
        </w:rPr>
      </w:pPr>
      <w:r>
        <w:rPr>
          <w:rFonts w:ascii="Arial" w:hAnsi="Arial" w:cs="Arial"/>
          <w:b/>
          <w:sz w:val="22"/>
        </w:rPr>
        <w:t xml:space="preserve">3.3. </w:t>
      </w:r>
      <w:r w:rsidRPr="004772C5">
        <w:rPr>
          <w:rFonts w:ascii="Arial" w:hAnsi="Arial" w:cs="Arial"/>
          <w:b/>
          <w:sz w:val="22"/>
        </w:rPr>
        <w:t>Cassava mosaic severities and their distributions in villages in central and central-western Côte d'Ivoire</w:t>
      </w:r>
    </w:p>
    <w:p w14:paraId="0F90D465" w14:textId="77777777" w:rsidR="004772C5" w:rsidRPr="004772C5" w:rsidRDefault="004772C5" w:rsidP="000F78E1">
      <w:pPr>
        <w:pStyle w:val="my-2"/>
        <w:spacing w:line="360" w:lineRule="auto"/>
        <w:jc w:val="both"/>
        <w:rPr>
          <w:rFonts w:ascii="Arial" w:hAnsi="Arial" w:cs="Arial"/>
          <w:sz w:val="20"/>
          <w:szCs w:val="20"/>
          <w:lang w:val="en-US" w:eastAsia="en-US"/>
        </w:rPr>
      </w:pPr>
      <w:r w:rsidRPr="004772C5">
        <w:rPr>
          <w:rFonts w:ascii="Arial" w:hAnsi="Arial" w:cs="Arial"/>
          <w:sz w:val="20"/>
          <w:szCs w:val="20"/>
          <w:lang w:val="en-US" w:eastAsia="en-US"/>
        </w:rPr>
        <w:t xml:space="preserve">The distribution of cassava fields affected by mosaic disease according to different severity levels, ranging from 1 for healthy fields to 4 for the most severely </w:t>
      </w:r>
      <w:proofErr w:type="spellStart"/>
      <w:r w:rsidRPr="004772C5">
        <w:rPr>
          <w:rFonts w:ascii="Arial" w:hAnsi="Arial" w:cs="Arial"/>
          <w:sz w:val="20"/>
          <w:szCs w:val="20"/>
          <w:lang w:val="en-US" w:eastAsia="en-US"/>
        </w:rPr>
        <w:t>affecte</w:t>
      </w:r>
      <w:proofErr w:type="spellEnd"/>
      <w:r w:rsidRPr="004772C5">
        <w:rPr>
          <w:rFonts w:ascii="Arial" w:hAnsi="Arial" w:cs="Arial"/>
          <w:sz w:val="20"/>
          <w:szCs w:val="20"/>
          <w:lang w:val="en-US" w:eastAsia="en-US"/>
        </w:rPr>
        <w:t xml:space="preserve"> dis presented in Fig. 2. The color intensity of the squares illustrates the relative frequency of fields at each severity level: a bluish hue indicates a low proportion, while a reddish shade reflects a high prevalence. The results reveal that severity level 2 is the most frequently observed across all sites, indicating a moderately widespread infection. Severity level 3, although present in all surveyed departments, generally appears at low frequencies, except in the village of </w:t>
      </w:r>
      <w:proofErr w:type="spellStart"/>
      <w:r w:rsidRPr="004772C5">
        <w:rPr>
          <w:rFonts w:ascii="Arial" w:hAnsi="Arial" w:cs="Arial"/>
          <w:sz w:val="20"/>
          <w:szCs w:val="20"/>
          <w:lang w:val="en-US" w:eastAsia="en-US"/>
        </w:rPr>
        <w:t>Kekrekouakoukro</w:t>
      </w:r>
      <w:proofErr w:type="spellEnd"/>
      <w:r w:rsidRPr="004772C5">
        <w:rPr>
          <w:rFonts w:ascii="Arial" w:hAnsi="Arial" w:cs="Arial"/>
          <w:sz w:val="20"/>
          <w:szCs w:val="20"/>
          <w:lang w:val="en-US" w:eastAsia="en-US"/>
        </w:rPr>
        <w:t xml:space="preserve"> in the </w:t>
      </w:r>
      <w:proofErr w:type="spellStart"/>
      <w:r w:rsidRPr="004772C5">
        <w:rPr>
          <w:rFonts w:ascii="Arial" w:hAnsi="Arial" w:cs="Arial"/>
          <w:sz w:val="20"/>
          <w:szCs w:val="20"/>
          <w:lang w:val="en-US" w:eastAsia="en-US"/>
        </w:rPr>
        <w:t>Bouaké</w:t>
      </w:r>
      <w:proofErr w:type="spellEnd"/>
      <w:r w:rsidRPr="004772C5">
        <w:rPr>
          <w:rFonts w:ascii="Arial" w:hAnsi="Arial" w:cs="Arial"/>
          <w:sz w:val="20"/>
          <w:szCs w:val="20"/>
          <w:lang w:val="en-US" w:eastAsia="en-US"/>
        </w:rPr>
        <w:t xml:space="preserve"> department, where this severity exceeds 60%, indicating a notable epidemic hotspot. Furthermore, in several villages within the </w:t>
      </w:r>
      <w:proofErr w:type="spellStart"/>
      <w:r w:rsidRPr="004772C5">
        <w:rPr>
          <w:rFonts w:ascii="Arial" w:hAnsi="Arial" w:cs="Arial"/>
          <w:sz w:val="20"/>
          <w:szCs w:val="20"/>
          <w:lang w:val="en-US" w:eastAsia="en-US"/>
        </w:rPr>
        <w:t>Daloa</w:t>
      </w:r>
      <w:proofErr w:type="spellEnd"/>
      <w:r w:rsidRPr="004772C5">
        <w:rPr>
          <w:rFonts w:ascii="Arial" w:hAnsi="Arial" w:cs="Arial"/>
          <w:sz w:val="20"/>
          <w:szCs w:val="20"/>
          <w:lang w:val="en-US" w:eastAsia="en-US"/>
        </w:rPr>
        <w:t xml:space="preserve"> department, 30 to 50% of fields also exhibit this intermediate level of severity. Finally, severity level 4, which indicates a high degree of disease severity, is also recorded</w:t>
      </w:r>
      <w:r w:rsidRPr="006568C4">
        <w:rPr>
          <w:spacing w:val="1"/>
        </w:rPr>
        <w:t xml:space="preserve"> </w:t>
      </w:r>
      <w:r w:rsidRPr="004772C5">
        <w:rPr>
          <w:rFonts w:ascii="Arial" w:hAnsi="Arial" w:cs="Arial"/>
          <w:sz w:val="20"/>
          <w:szCs w:val="20"/>
          <w:lang w:val="en-US" w:eastAsia="en-US"/>
        </w:rPr>
        <w:t xml:space="preserve">in the </w:t>
      </w:r>
      <w:proofErr w:type="spellStart"/>
      <w:r w:rsidRPr="004772C5">
        <w:rPr>
          <w:rFonts w:ascii="Arial" w:hAnsi="Arial" w:cs="Arial"/>
          <w:sz w:val="20"/>
          <w:szCs w:val="20"/>
          <w:lang w:val="en-US" w:eastAsia="en-US"/>
        </w:rPr>
        <w:t>Daloa</w:t>
      </w:r>
      <w:proofErr w:type="spellEnd"/>
      <w:r w:rsidRPr="004772C5">
        <w:rPr>
          <w:rFonts w:ascii="Arial" w:hAnsi="Arial" w:cs="Arial"/>
          <w:sz w:val="20"/>
          <w:szCs w:val="20"/>
          <w:lang w:val="en-US" w:eastAsia="en-US"/>
        </w:rPr>
        <w:t xml:space="preserve"> and Yamoussoukro departments but at marginal proportions (Fig 2).</w:t>
      </w:r>
    </w:p>
    <w:p w14:paraId="6839C943" w14:textId="387C8F5D" w:rsidR="004772C5" w:rsidRPr="004772C5" w:rsidRDefault="004772C5" w:rsidP="00FA3563">
      <w:pPr>
        <w:spacing w:line="276" w:lineRule="auto"/>
        <w:jc w:val="both"/>
        <w:rPr>
          <w:rFonts w:ascii="Arial" w:hAnsi="Arial" w:cs="Arial"/>
          <w:b/>
          <w:bCs/>
        </w:rPr>
      </w:pPr>
      <w:r>
        <w:rPr>
          <w:rFonts w:ascii="Times New Roman" w:hAnsi="Times New Roman"/>
          <w:noProof/>
          <w:sz w:val="24"/>
          <w:szCs w:val="24"/>
        </w:rPr>
        <w:lastRenderedPageBreak/>
        <w:drawing>
          <wp:inline distT="0" distB="0" distL="0" distR="0" wp14:anchorId="13E1D822" wp14:editId="2624C704">
            <wp:extent cx="5532120" cy="327809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8265" r="2847"/>
                    <a:stretch/>
                  </pic:blipFill>
                  <pic:spPr bwMode="auto">
                    <a:xfrm>
                      <a:off x="0" y="0"/>
                      <a:ext cx="5532120" cy="3278093"/>
                    </a:xfrm>
                    <a:prstGeom prst="rect">
                      <a:avLst/>
                    </a:prstGeom>
                    <a:noFill/>
                    <a:ln>
                      <a:noFill/>
                    </a:ln>
                    <a:extLst>
                      <a:ext uri="{53640926-AAD7-44D8-BBD7-CCE9431645EC}">
                        <a14:shadowObscured xmlns:a14="http://schemas.microsoft.com/office/drawing/2010/main"/>
                      </a:ext>
                    </a:extLst>
                  </pic:spPr>
                </pic:pic>
              </a:graphicData>
            </a:graphic>
          </wp:inline>
        </w:drawing>
      </w:r>
      <w:r w:rsidRPr="004772C5">
        <w:rPr>
          <w:rFonts w:ascii="Arial" w:hAnsi="Arial" w:cs="Arial"/>
          <w:b/>
          <w:bCs/>
        </w:rPr>
        <w:t>Fig 2. Distribution of severities of cassava mosaic disease in the surveyed villages</w:t>
      </w:r>
    </w:p>
    <w:p w14:paraId="3E6D0001" w14:textId="77777777" w:rsidR="00FA3563" w:rsidRDefault="00FA3563" w:rsidP="004772C5">
      <w:pPr>
        <w:spacing w:line="276" w:lineRule="auto"/>
        <w:rPr>
          <w:rFonts w:ascii="Arial" w:hAnsi="Arial" w:cs="Arial"/>
          <w:b/>
          <w:sz w:val="22"/>
        </w:rPr>
      </w:pPr>
    </w:p>
    <w:p w14:paraId="0BEB0F79" w14:textId="0D317BF4" w:rsidR="004772C5" w:rsidRDefault="004772C5" w:rsidP="004772C5">
      <w:pPr>
        <w:spacing w:line="276" w:lineRule="auto"/>
        <w:rPr>
          <w:rFonts w:ascii="Arial" w:hAnsi="Arial" w:cs="Arial"/>
          <w:b/>
          <w:sz w:val="22"/>
        </w:rPr>
      </w:pPr>
      <w:r>
        <w:rPr>
          <w:rFonts w:ascii="Arial" w:hAnsi="Arial" w:cs="Arial"/>
          <w:b/>
          <w:sz w:val="22"/>
        </w:rPr>
        <w:t xml:space="preserve">3.4. </w:t>
      </w:r>
      <w:r w:rsidRPr="004772C5">
        <w:rPr>
          <w:rFonts w:ascii="Arial" w:hAnsi="Arial" w:cs="Arial"/>
          <w:b/>
          <w:sz w:val="22"/>
        </w:rPr>
        <w:t>Molecular detection of cassava mosaic viruses and distribution in study areas</w:t>
      </w:r>
    </w:p>
    <w:p w14:paraId="20784DFD" w14:textId="77777777" w:rsidR="00215C1F" w:rsidRPr="006568C4" w:rsidRDefault="00215C1F" w:rsidP="004772C5">
      <w:pPr>
        <w:spacing w:line="276" w:lineRule="auto"/>
        <w:rPr>
          <w:rFonts w:ascii="Times New Roman" w:hAnsi="Times New Roman"/>
          <w:b/>
          <w:bCs/>
          <w:sz w:val="24"/>
          <w:szCs w:val="24"/>
        </w:rPr>
      </w:pPr>
    </w:p>
    <w:p w14:paraId="53BD394C" w14:textId="7CA600A2" w:rsidR="004772C5" w:rsidRPr="004772C5" w:rsidRDefault="00EC1220" w:rsidP="000F78E1">
      <w:pPr>
        <w:spacing w:line="360" w:lineRule="auto"/>
        <w:jc w:val="both"/>
        <w:rPr>
          <w:rFonts w:ascii="Arial" w:hAnsi="Arial" w:cs="Arial"/>
        </w:rPr>
      </w:pPr>
      <w:r>
        <w:rPr>
          <w:rFonts w:ascii="Arial" w:hAnsi="Arial" w:cs="Arial"/>
        </w:rPr>
        <w:t>T</w:t>
      </w:r>
      <w:r w:rsidR="004772C5" w:rsidRPr="004772C5">
        <w:rPr>
          <w:rFonts w:ascii="Arial" w:hAnsi="Arial" w:cs="Arial"/>
        </w:rPr>
        <w:t>wo</w:t>
      </w:r>
      <w:r>
        <w:rPr>
          <w:rFonts w:ascii="Arial" w:hAnsi="Arial" w:cs="Arial"/>
        </w:rPr>
        <w:t xml:space="preserve"> (02)</w:t>
      </w:r>
      <w:r w:rsidR="004772C5" w:rsidRPr="004772C5">
        <w:rPr>
          <w:rFonts w:ascii="Arial" w:hAnsi="Arial" w:cs="Arial"/>
        </w:rPr>
        <w:t xml:space="preserve"> mosaic viral strains were identified: African Cassava Mosaic Virus (ACMV) and East African Cassava Mosaic Virus (EACMV) with allele sizes 783 pb and 1030 pb for ACMV and 780 for EACMV (Fig 3). In order to confirm that the samples suspected of exhibiting mosaic symptoms were indeed infected, a molecular analysis was conducted to diagnose a presence of the virus. Among the 200 samples tested for viral infection, 133 (66.5%) tested positive for at least one of these viruses. Infection rates were similar across the three departments, with 70.71% in </w:t>
      </w:r>
      <w:proofErr w:type="spellStart"/>
      <w:r w:rsidR="004772C5" w:rsidRPr="004772C5">
        <w:rPr>
          <w:rFonts w:ascii="Arial" w:hAnsi="Arial" w:cs="Arial"/>
        </w:rPr>
        <w:t>Daloa</w:t>
      </w:r>
      <w:proofErr w:type="spellEnd"/>
      <w:r w:rsidR="004772C5" w:rsidRPr="004772C5">
        <w:rPr>
          <w:rFonts w:ascii="Arial" w:hAnsi="Arial" w:cs="Arial"/>
        </w:rPr>
        <w:t xml:space="preserve">, 62.86% in Bouake, and 66.15% in Yamoussoukro, showing no statistically significant difference (P = 0.93). Of the 133 infected samples, 91 (68.42%) were solely positive for ACMV, 25 (18.80%) were positive only for EACMV, and 17 samples (12.78%) were co-infected with both viruses. Notably, ACMV was significantly more prevalent than EACMV across all study sites (P = 0.03), underscoring ACMV as the dominant viral agent affecting cassava in the surveyed regions. </w:t>
      </w:r>
    </w:p>
    <w:p w14:paraId="1D4BF61F" w14:textId="77777777" w:rsidR="004772C5" w:rsidRPr="004772C5" w:rsidRDefault="004772C5" w:rsidP="000F78E1">
      <w:pPr>
        <w:spacing w:line="360" w:lineRule="auto"/>
        <w:jc w:val="both"/>
        <w:rPr>
          <w:rFonts w:ascii="Arial" w:hAnsi="Arial" w:cs="Arial"/>
        </w:rPr>
      </w:pPr>
    </w:p>
    <w:p w14:paraId="26BC14D0" w14:textId="0E9226AD" w:rsidR="004772C5" w:rsidRPr="004772C5" w:rsidRDefault="004772C5" w:rsidP="00215C1F">
      <w:pPr>
        <w:spacing w:line="276" w:lineRule="auto"/>
        <w:jc w:val="both"/>
        <w:rPr>
          <w:rFonts w:ascii="Arial" w:hAnsi="Arial" w:cs="Arial"/>
          <w:b/>
          <w:bCs/>
        </w:rPr>
      </w:pPr>
      <w:r w:rsidRPr="006568C4">
        <w:rPr>
          <w:rFonts w:ascii="Times New Roman" w:hAnsi="Times New Roman"/>
          <w:noProof/>
          <w:sz w:val="24"/>
          <w:szCs w:val="24"/>
        </w:rPr>
        <w:lastRenderedPageBreak/>
        <w:drawing>
          <wp:inline distT="0" distB="0" distL="0" distR="0" wp14:anchorId="18D747ED" wp14:editId="15EF1A67">
            <wp:extent cx="6247842" cy="182181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3132" cy="1832105"/>
                    </a:xfrm>
                    <a:prstGeom prst="rect">
                      <a:avLst/>
                    </a:prstGeom>
                    <a:noFill/>
                  </pic:spPr>
                </pic:pic>
              </a:graphicData>
            </a:graphic>
          </wp:inline>
        </w:drawing>
      </w:r>
      <w:r w:rsidRPr="004772C5">
        <w:rPr>
          <w:rFonts w:ascii="Arial" w:hAnsi="Arial" w:cs="Arial"/>
          <w:b/>
          <w:bCs/>
        </w:rPr>
        <w:t>Fig 3. Electrophoretic gel showing ACMV and EACMV viruses in the collected sample</w:t>
      </w:r>
    </w:p>
    <w:p w14:paraId="187729C9" w14:textId="77777777" w:rsidR="004772C5" w:rsidRPr="006568C4" w:rsidRDefault="004772C5" w:rsidP="004772C5">
      <w:pPr>
        <w:spacing w:line="276" w:lineRule="auto"/>
        <w:jc w:val="both"/>
        <w:rPr>
          <w:rFonts w:ascii="Times New Roman" w:hAnsi="Times New Roman"/>
          <w:sz w:val="24"/>
          <w:szCs w:val="24"/>
        </w:rPr>
      </w:pPr>
    </w:p>
    <w:p w14:paraId="2E8ABCAB" w14:textId="7E97D4E9" w:rsidR="004772C5" w:rsidRPr="004772C5" w:rsidRDefault="004772C5" w:rsidP="00215C1F">
      <w:pPr>
        <w:spacing w:after="240" w:line="276" w:lineRule="auto"/>
        <w:jc w:val="both"/>
        <w:rPr>
          <w:rFonts w:ascii="Arial" w:hAnsi="Arial" w:cs="Arial"/>
          <w:b/>
          <w:sz w:val="22"/>
        </w:rPr>
      </w:pPr>
      <w:r>
        <w:rPr>
          <w:rFonts w:ascii="Arial" w:hAnsi="Arial" w:cs="Arial"/>
          <w:b/>
          <w:sz w:val="22"/>
        </w:rPr>
        <w:t xml:space="preserve">3.5. </w:t>
      </w:r>
      <w:r w:rsidRPr="004772C5">
        <w:rPr>
          <w:rFonts w:ascii="Arial" w:hAnsi="Arial" w:cs="Arial"/>
          <w:b/>
          <w:sz w:val="22"/>
        </w:rPr>
        <w:t>Detection of cassava mosaic viruses in symptomatic and asymptomatic plants</w:t>
      </w:r>
    </w:p>
    <w:p w14:paraId="13DEDF36" w14:textId="76B21FEC" w:rsidR="000458C5" w:rsidRDefault="004772C5" w:rsidP="000F78E1">
      <w:pPr>
        <w:spacing w:line="360" w:lineRule="auto"/>
        <w:jc w:val="both"/>
        <w:rPr>
          <w:rFonts w:ascii="Arial" w:hAnsi="Arial" w:cs="Arial"/>
        </w:rPr>
      </w:pPr>
      <w:r w:rsidRPr="004772C5">
        <w:rPr>
          <w:rFonts w:ascii="Arial" w:hAnsi="Arial" w:cs="Arial"/>
        </w:rPr>
        <w:t xml:space="preserve">A distinct identification of cassava mosaic viruses was also carried out on both symptomatic and asymptomatic plants in order to distinguish true positives from healthy carriers. </w:t>
      </w:r>
      <w:r w:rsidR="002508E5" w:rsidRPr="002508E5">
        <w:rPr>
          <w:rFonts w:ascii="Arial" w:hAnsi="Arial" w:cs="Arial"/>
        </w:rPr>
        <w:t>Out of a total of 200 plants analyzed, including 51 asymptomatic and 149 showing symptoms of cassava mosaic disease, 35.29</w:t>
      </w:r>
      <w:r w:rsidR="002508E5">
        <w:rPr>
          <w:rFonts w:ascii="Arial" w:hAnsi="Arial" w:cs="Arial"/>
        </w:rPr>
        <w:t xml:space="preserve"> </w:t>
      </w:r>
      <w:r w:rsidR="002508E5" w:rsidRPr="002508E5">
        <w:rPr>
          <w:rFonts w:ascii="Arial" w:hAnsi="Arial" w:cs="Arial"/>
        </w:rPr>
        <w:t>% of asymptomatic plants were infected by virus, i.e. 18 plants, while 77.18</w:t>
      </w:r>
      <w:r w:rsidR="002508E5">
        <w:rPr>
          <w:rFonts w:ascii="Arial" w:hAnsi="Arial" w:cs="Arial"/>
        </w:rPr>
        <w:t xml:space="preserve"> </w:t>
      </w:r>
      <w:r w:rsidR="002508E5" w:rsidRPr="002508E5">
        <w:rPr>
          <w:rFonts w:ascii="Arial" w:hAnsi="Arial" w:cs="Arial"/>
        </w:rPr>
        <w:t>% of symptomatic plants were infected, corresponding to 115 plants.</w:t>
      </w:r>
    </w:p>
    <w:p w14:paraId="1B74ABE3" w14:textId="36438F41" w:rsidR="004772C5" w:rsidRDefault="002508E5" w:rsidP="000F78E1">
      <w:pPr>
        <w:spacing w:line="360" w:lineRule="auto"/>
        <w:jc w:val="both"/>
        <w:rPr>
          <w:rFonts w:ascii="Times New Roman" w:hAnsi="Times New Roman"/>
          <w:spacing w:val="1"/>
          <w:sz w:val="24"/>
          <w:szCs w:val="24"/>
        </w:rPr>
      </w:pPr>
      <w:r>
        <w:rPr>
          <w:rFonts w:ascii="Arial" w:hAnsi="Arial" w:cs="Arial"/>
        </w:rPr>
        <w:t>In</w:t>
      </w:r>
      <w:r w:rsidR="004772C5" w:rsidRPr="004772C5">
        <w:rPr>
          <w:rFonts w:ascii="Arial" w:hAnsi="Arial" w:cs="Arial"/>
        </w:rPr>
        <w:t xml:space="preserve"> the surveyed areas</w:t>
      </w:r>
      <w:r>
        <w:rPr>
          <w:rFonts w:ascii="Arial" w:hAnsi="Arial" w:cs="Arial"/>
        </w:rPr>
        <w:t xml:space="preserve">, concerning </w:t>
      </w:r>
      <w:r w:rsidRPr="002508E5">
        <w:rPr>
          <w:rFonts w:ascii="Arial" w:hAnsi="Arial" w:cs="Arial"/>
        </w:rPr>
        <w:t>symptomatic plants</w:t>
      </w:r>
      <w:r>
        <w:rPr>
          <w:rFonts w:ascii="Arial" w:hAnsi="Arial" w:cs="Arial"/>
        </w:rPr>
        <w:t xml:space="preserve">, </w:t>
      </w:r>
      <w:r w:rsidR="004772C5" w:rsidRPr="004772C5">
        <w:rPr>
          <w:rFonts w:ascii="Arial" w:hAnsi="Arial" w:cs="Arial"/>
        </w:rPr>
        <w:t>78</w:t>
      </w:r>
      <w:r>
        <w:rPr>
          <w:rFonts w:ascii="Arial" w:hAnsi="Arial" w:cs="Arial"/>
        </w:rPr>
        <w:t xml:space="preserve"> </w:t>
      </w:r>
      <w:r w:rsidR="004772C5" w:rsidRPr="004772C5">
        <w:rPr>
          <w:rFonts w:ascii="Arial" w:hAnsi="Arial" w:cs="Arial"/>
        </w:rPr>
        <w:t xml:space="preserve">% </w:t>
      </w:r>
      <w:r>
        <w:rPr>
          <w:rFonts w:ascii="Arial" w:hAnsi="Arial" w:cs="Arial"/>
        </w:rPr>
        <w:t xml:space="preserve">of plants </w:t>
      </w:r>
      <w:r w:rsidR="004772C5" w:rsidRPr="004772C5">
        <w:rPr>
          <w:rFonts w:ascii="Arial" w:hAnsi="Arial" w:cs="Arial"/>
        </w:rPr>
        <w:t>in Bouak</w:t>
      </w:r>
      <w:r w:rsidR="004772C5">
        <w:rPr>
          <w:rFonts w:ascii="Arial" w:hAnsi="Arial" w:cs="Arial"/>
        </w:rPr>
        <w:t>e</w:t>
      </w:r>
      <w:r w:rsidR="004772C5" w:rsidRPr="004772C5">
        <w:rPr>
          <w:rFonts w:ascii="Arial" w:hAnsi="Arial" w:cs="Arial"/>
        </w:rPr>
        <w:t>, 77</w:t>
      </w:r>
      <w:r>
        <w:rPr>
          <w:rFonts w:ascii="Arial" w:hAnsi="Arial" w:cs="Arial"/>
        </w:rPr>
        <w:t xml:space="preserve"> </w:t>
      </w:r>
      <w:r w:rsidR="004772C5" w:rsidRPr="004772C5">
        <w:rPr>
          <w:rFonts w:ascii="Arial" w:hAnsi="Arial" w:cs="Arial"/>
        </w:rPr>
        <w:t xml:space="preserve">% in Yamoussoukro, and 80% in </w:t>
      </w:r>
      <w:proofErr w:type="spellStart"/>
      <w:r w:rsidR="004772C5" w:rsidRPr="004772C5">
        <w:rPr>
          <w:rFonts w:ascii="Arial" w:hAnsi="Arial" w:cs="Arial"/>
        </w:rPr>
        <w:t>Daloa</w:t>
      </w:r>
      <w:proofErr w:type="spellEnd"/>
      <w:r w:rsidR="004772C5" w:rsidRPr="004772C5">
        <w:rPr>
          <w:rFonts w:ascii="Arial" w:hAnsi="Arial" w:cs="Arial"/>
        </w:rPr>
        <w:t xml:space="preserve"> were genuinely infected. Furthermore, a significant proportion of apparently healthy samples tested positive for the viral diagnosis, with rates ranging from 27% to 40% across the different regions</w:t>
      </w:r>
      <w:r w:rsidR="00475F7A">
        <w:rPr>
          <w:rFonts w:ascii="Arial" w:hAnsi="Arial" w:cs="Arial"/>
        </w:rPr>
        <w:t xml:space="preserve"> </w:t>
      </w:r>
      <w:r>
        <w:rPr>
          <w:rFonts w:ascii="Arial" w:hAnsi="Arial" w:cs="Arial"/>
        </w:rPr>
        <w:t>of</w:t>
      </w:r>
      <w:r w:rsidR="00475F7A">
        <w:rPr>
          <w:rFonts w:ascii="Arial" w:hAnsi="Arial" w:cs="Arial"/>
        </w:rPr>
        <w:t xml:space="preserve"> Bouake, Yamoussoukro and </w:t>
      </w:r>
      <w:proofErr w:type="spellStart"/>
      <w:r w:rsidR="00475F7A">
        <w:rPr>
          <w:rFonts w:ascii="Arial" w:hAnsi="Arial" w:cs="Arial"/>
        </w:rPr>
        <w:t>Daloa</w:t>
      </w:r>
      <w:proofErr w:type="spellEnd"/>
      <w:r w:rsidR="004772C5" w:rsidRPr="004772C5">
        <w:rPr>
          <w:rFonts w:ascii="Arial" w:hAnsi="Arial" w:cs="Arial"/>
        </w:rPr>
        <w:t xml:space="preserve"> (Fig 4).</w:t>
      </w:r>
      <w:r w:rsidR="004772C5" w:rsidRPr="006568C4">
        <w:rPr>
          <w:rFonts w:ascii="Times New Roman" w:hAnsi="Times New Roman"/>
          <w:spacing w:val="1"/>
          <w:sz w:val="24"/>
          <w:szCs w:val="24"/>
        </w:rPr>
        <w:t xml:space="preserve"> </w:t>
      </w:r>
    </w:p>
    <w:p w14:paraId="66B7DDD9" w14:textId="77777777" w:rsidR="00215C1F" w:rsidRDefault="00215C1F" w:rsidP="004772C5">
      <w:pPr>
        <w:spacing w:line="360" w:lineRule="auto"/>
        <w:jc w:val="both"/>
        <w:rPr>
          <w:rFonts w:ascii="Times New Roman" w:hAnsi="Times New Roman"/>
          <w:spacing w:val="1"/>
          <w:sz w:val="24"/>
          <w:szCs w:val="24"/>
        </w:rPr>
      </w:pPr>
    </w:p>
    <w:p w14:paraId="337CA713" w14:textId="0275FDE6" w:rsidR="004772C5" w:rsidRPr="004772C5" w:rsidRDefault="004772C5" w:rsidP="00215C1F">
      <w:pPr>
        <w:spacing w:line="276" w:lineRule="auto"/>
        <w:jc w:val="both"/>
        <w:rPr>
          <w:rFonts w:ascii="Arial" w:hAnsi="Arial" w:cs="Arial"/>
          <w:b/>
          <w:bCs/>
        </w:rPr>
      </w:pPr>
      <w:r>
        <w:rPr>
          <w:rFonts w:ascii="Times New Roman" w:hAnsi="Times New Roman"/>
          <w:noProof/>
          <w:sz w:val="24"/>
          <w:szCs w:val="24"/>
        </w:rPr>
        <w:drawing>
          <wp:inline distT="0" distB="0" distL="0" distR="0" wp14:anchorId="10D4A9F4" wp14:editId="4988A286">
            <wp:extent cx="5594350" cy="2225040"/>
            <wp:effectExtent l="0" t="0" r="635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026" t="12367" b="2043"/>
                    <a:stretch/>
                  </pic:blipFill>
                  <pic:spPr bwMode="auto">
                    <a:xfrm>
                      <a:off x="0" y="0"/>
                      <a:ext cx="5626971" cy="2238014"/>
                    </a:xfrm>
                    <a:prstGeom prst="rect">
                      <a:avLst/>
                    </a:prstGeom>
                    <a:noFill/>
                    <a:ln>
                      <a:noFill/>
                    </a:ln>
                    <a:extLst>
                      <a:ext uri="{53640926-AAD7-44D8-BBD7-CCE9431645EC}">
                        <a14:shadowObscured xmlns:a14="http://schemas.microsoft.com/office/drawing/2010/main"/>
                      </a:ext>
                    </a:extLst>
                  </pic:spPr>
                </pic:pic>
              </a:graphicData>
            </a:graphic>
          </wp:inline>
        </w:drawing>
      </w:r>
      <w:r w:rsidRPr="004772C5">
        <w:rPr>
          <w:rFonts w:ascii="Arial" w:hAnsi="Arial" w:cs="Arial"/>
          <w:b/>
          <w:bCs/>
        </w:rPr>
        <w:t>Fig 4. Cassava mosaic virus in symptomatic and asymptomatic plants</w:t>
      </w:r>
    </w:p>
    <w:p w14:paraId="502242D7" w14:textId="6FCD380B" w:rsidR="004772C5" w:rsidRPr="00363C1C" w:rsidRDefault="00363C1C" w:rsidP="000F78E1">
      <w:pPr>
        <w:pStyle w:val="my-2"/>
        <w:spacing w:line="360" w:lineRule="auto"/>
        <w:jc w:val="both"/>
        <w:rPr>
          <w:rFonts w:ascii="Arial" w:hAnsi="Arial" w:cs="Arial"/>
          <w:b/>
          <w:sz w:val="22"/>
          <w:szCs w:val="20"/>
          <w:lang w:val="en-US" w:eastAsia="en-US"/>
        </w:rPr>
      </w:pPr>
      <w:r>
        <w:rPr>
          <w:rFonts w:ascii="Arial" w:hAnsi="Arial" w:cs="Arial"/>
          <w:b/>
          <w:sz w:val="22"/>
          <w:szCs w:val="20"/>
          <w:lang w:val="en-US" w:eastAsia="en-US"/>
        </w:rPr>
        <w:lastRenderedPageBreak/>
        <w:t xml:space="preserve">3.6. </w:t>
      </w:r>
      <w:r w:rsidRPr="00363C1C">
        <w:rPr>
          <w:rFonts w:ascii="Arial" w:hAnsi="Arial" w:cs="Arial"/>
          <w:b/>
          <w:sz w:val="22"/>
          <w:szCs w:val="20"/>
          <w:lang w:val="en-US" w:eastAsia="en-US"/>
        </w:rPr>
        <w:t>Agronomic challenges related to the increasing spread of cassava mosaic disease</w:t>
      </w:r>
    </w:p>
    <w:p w14:paraId="295BD5DC" w14:textId="1EE02D9B" w:rsidR="00363C1C" w:rsidRDefault="00941A13" w:rsidP="000F78E1">
      <w:pPr>
        <w:pStyle w:val="my-2"/>
        <w:spacing w:before="0" w:beforeAutospacing="0" w:after="0" w:afterAutospacing="0" w:line="360" w:lineRule="auto"/>
        <w:jc w:val="both"/>
        <w:rPr>
          <w:rFonts w:ascii="Arial" w:hAnsi="Arial" w:cs="Arial"/>
          <w:sz w:val="20"/>
          <w:szCs w:val="20"/>
          <w:lang w:val="en-US" w:eastAsia="en-US"/>
        </w:rPr>
      </w:pPr>
      <w:r w:rsidRPr="00941A13">
        <w:rPr>
          <w:rFonts w:ascii="Arial" w:hAnsi="Arial" w:cs="Arial"/>
          <w:sz w:val="20"/>
          <w:szCs w:val="20"/>
          <w:lang w:val="en-US" w:eastAsia="en-US"/>
        </w:rPr>
        <w:t>Based on the results obtained, it would appear that CMD is increasingly becoming a major obstacle to the productivity of cassava cultivation, which is essential to national food security. As a result, the current agronomic challenges posed by this disease in Côte d'Ivoire include</w:t>
      </w:r>
      <w:r w:rsidR="00C90B2B">
        <w:rPr>
          <w:rFonts w:ascii="Arial" w:hAnsi="Arial" w:cs="Arial"/>
          <w:sz w:val="20"/>
          <w:szCs w:val="20"/>
          <w:lang w:val="en-US" w:eastAsia="en-US"/>
        </w:rPr>
        <w:t xml:space="preserve"> mainly</w:t>
      </w:r>
      <w:r w:rsidR="00363C1C">
        <w:rPr>
          <w:rFonts w:ascii="Arial" w:hAnsi="Arial" w:cs="Arial"/>
          <w:sz w:val="20"/>
          <w:szCs w:val="20"/>
          <w:lang w:val="en-US" w:eastAsia="en-US"/>
        </w:rPr>
        <w:t>:</w:t>
      </w:r>
    </w:p>
    <w:p w14:paraId="38D67766" w14:textId="77777777" w:rsidR="00363C1C" w:rsidRDefault="00363C1C" w:rsidP="000F78E1">
      <w:pPr>
        <w:pStyle w:val="my-2"/>
        <w:spacing w:before="0" w:beforeAutospacing="0" w:after="0" w:afterAutospacing="0" w:line="360" w:lineRule="auto"/>
        <w:jc w:val="both"/>
        <w:rPr>
          <w:rFonts w:ascii="Arial" w:hAnsi="Arial" w:cs="Arial"/>
          <w:sz w:val="20"/>
          <w:szCs w:val="20"/>
          <w:lang w:val="en-US" w:eastAsia="en-US"/>
        </w:rPr>
      </w:pPr>
      <w:r>
        <w:rPr>
          <w:rFonts w:ascii="Arial" w:hAnsi="Arial" w:cs="Arial"/>
          <w:sz w:val="20"/>
          <w:szCs w:val="20"/>
          <w:lang w:val="en-US" w:eastAsia="en-US"/>
        </w:rPr>
        <w:t xml:space="preserve">- </w:t>
      </w:r>
      <w:r w:rsidR="00941A13" w:rsidRPr="00941A13">
        <w:rPr>
          <w:rFonts w:ascii="Arial" w:hAnsi="Arial" w:cs="Arial"/>
          <w:sz w:val="20"/>
          <w:szCs w:val="20"/>
          <w:lang w:val="en-US" w:eastAsia="en-US"/>
        </w:rPr>
        <w:t>the need to improve the sanitary management of plantations</w:t>
      </w:r>
    </w:p>
    <w:p w14:paraId="6A94D75C" w14:textId="0A0EEB44" w:rsidR="00363C1C" w:rsidRDefault="00363C1C" w:rsidP="000F78E1">
      <w:pPr>
        <w:pStyle w:val="my-2"/>
        <w:spacing w:before="0" w:beforeAutospacing="0" w:after="0" w:afterAutospacing="0" w:line="360" w:lineRule="auto"/>
        <w:jc w:val="both"/>
        <w:rPr>
          <w:rFonts w:ascii="Arial" w:hAnsi="Arial" w:cs="Arial"/>
          <w:sz w:val="20"/>
          <w:szCs w:val="20"/>
          <w:lang w:val="en-US" w:eastAsia="en-US"/>
        </w:rPr>
      </w:pPr>
      <w:r>
        <w:rPr>
          <w:rFonts w:ascii="Arial" w:hAnsi="Arial" w:cs="Arial"/>
          <w:sz w:val="20"/>
          <w:szCs w:val="20"/>
          <w:lang w:val="en-US" w:eastAsia="en-US"/>
        </w:rPr>
        <w:t xml:space="preserve">- </w:t>
      </w:r>
      <w:r w:rsidR="00941A13" w:rsidRPr="00941A13">
        <w:rPr>
          <w:rFonts w:ascii="Arial" w:hAnsi="Arial" w:cs="Arial"/>
          <w:sz w:val="20"/>
          <w:szCs w:val="20"/>
          <w:lang w:val="en-US" w:eastAsia="en-US"/>
        </w:rPr>
        <w:t xml:space="preserve">control virus vectors, </w:t>
      </w:r>
      <w:r w:rsidR="00C90B2B">
        <w:rPr>
          <w:rFonts w:ascii="Arial" w:hAnsi="Arial" w:cs="Arial"/>
          <w:sz w:val="20"/>
          <w:szCs w:val="20"/>
          <w:lang w:val="en-US" w:eastAsia="en-US"/>
        </w:rPr>
        <w:t>specially</w:t>
      </w:r>
      <w:r w:rsidR="00941A13" w:rsidRPr="00941A13">
        <w:rPr>
          <w:rFonts w:ascii="Arial" w:hAnsi="Arial" w:cs="Arial"/>
          <w:sz w:val="20"/>
          <w:szCs w:val="20"/>
          <w:lang w:val="en-US" w:eastAsia="en-US"/>
        </w:rPr>
        <w:t xml:space="preserve"> </w:t>
      </w:r>
      <w:proofErr w:type="spellStart"/>
      <w:r w:rsidR="00941A13" w:rsidRPr="00941A13">
        <w:rPr>
          <w:rFonts w:ascii="Arial" w:hAnsi="Arial" w:cs="Arial"/>
          <w:i/>
          <w:iCs/>
          <w:sz w:val="20"/>
          <w:szCs w:val="20"/>
          <w:lang w:val="en-US" w:eastAsia="en-US"/>
        </w:rPr>
        <w:t>Bemisia</w:t>
      </w:r>
      <w:proofErr w:type="spellEnd"/>
      <w:r w:rsidR="00941A13" w:rsidRPr="00941A13">
        <w:rPr>
          <w:rFonts w:ascii="Arial" w:hAnsi="Arial" w:cs="Arial"/>
          <w:i/>
          <w:iCs/>
          <w:sz w:val="20"/>
          <w:szCs w:val="20"/>
          <w:lang w:val="en-US" w:eastAsia="en-US"/>
        </w:rPr>
        <w:t xml:space="preserve"> </w:t>
      </w:r>
      <w:proofErr w:type="spellStart"/>
      <w:r w:rsidR="00941A13" w:rsidRPr="00941A13">
        <w:rPr>
          <w:rFonts w:ascii="Arial" w:hAnsi="Arial" w:cs="Arial"/>
          <w:i/>
          <w:iCs/>
          <w:sz w:val="20"/>
          <w:szCs w:val="20"/>
          <w:lang w:val="en-US" w:eastAsia="en-US"/>
        </w:rPr>
        <w:t>tabaci</w:t>
      </w:r>
      <w:proofErr w:type="spellEnd"/>
      <w:r w:rsidR="00941A13" w:rsidRPr="00941A13">
        <w:rPr>
          <w:rFonts w:ascii="Arial" w:hAnsi="Arial" w:cs="Arial"/>
          <w:sz w:val="20"/>
          <w:szCs w:val="20"/>
          <w:lang w:val="en-US" w:eastAsia="en-US"/>
        </w:rPr>
        <w:t xml:space="preserve"> </w:t>
      </w:r>
    </w:p>
    <w:p w14:paraId="02E1473A" w14:textId="77777777" w:rsidR="00363C1C" w:rsidRDefault="00363C1C" w:rsidP="000F78E1">
      <w:pPr>
        <w:pStyle w:val="my-2"/>
        <w:spacing w:before="0" w:beforeAutospacing="0" w:after="0" w:afterAutospacing="0" w:line="360" w:lineRule="auto"/>
        <w:jc w:val="both"/>
        <w:rPr>
          <w:rFonts w:ascii="Arial" w:hAnsi="Arial" w:cs="Arial"/>
          <w:sz w:val="20"/>
          <w:szCs w:val="20"/>
          <w:lang w:val="en-US" w:eastAsia="en-US"/>
        </w:rPr>
      </w:pPr>
      <w:r>
        <w:rPr>
          <w:rFonts w:ascii="Arial" w:hAnsi="Arial" w:cs="Arial"/>
          <w:sz w:val="20"/>
          <w:szCs w:val="20"/>
          <w:lang w:val="en-US" w:eastAsia="en-US"/>
        </w:rPr>
        <w:t xml:space="preserve">- </w:t>
      </w:r>
      <w:r w:rsidR="00941A13" w:rsidRPr="00941A13">
        <w:rPr>
          <w:rFonts w:ascii="Arial" w:hAnsi="Arial" w:cs="Arial"/>
          <w:sz w:val="20"/>
          <w:szCs w:val="20"/>
          <w:lang w:val="en-US" w:eastAsia="en-US"/>
        </w:rPr>
        <w:t xml:space="preserve">produce and distribute virus-resistant varieties. </w:t>
      </w:r>
    </w:p>
    <w:p w14:paraId="041F1BBE" w14:textId="77777777" w:rsidR="00C90B2B" w:rsidRDefault="00C90B2B" w:rsidP="000F78E1">
      <w:pPr>
        <w:pStyle w:val="my-2"/>
        <w:spacing w:before="0" w:beforeAutospacing="0" w:after="0" w:afterAutospacing="0" w:line="360" w:lineRule="auto"/>
        <w:jc w:val="both"/>
        <w:rPr>
          <w:rFonts w:ascii="Arial" w:hAnsi="Arial" w:cs="Arial"/>
          <w:sz w:val="20"/>
          <w:szCs w:val="20"/>
          <w:lang w:val="en-US" w:eastAsia="en-US"/>
        </w:rPr>
      </w:pPr>
      <w:r>
        <w:rPr>
          <w:rFonts w:ascii="Arial" w:hAnsi="Arial" w:cs="Arial"/>
          <w:sz w:val="20"/>
          <w:szCs w:val="20"/>
          <w:lang w:val="en-US" w:eastAsia="en-US"/>
        </w:rPr>
        <w:t xml:space="preserve">- control of </w:t>
      </w:r>
      <w:r w:rsidR="00941A13" w:rsidRPr="00941A13">
        <w:rPr>
          <w:rFonts w:ascii="Arial" w:hAnsi="Arial" w:cs="Arial"/>
          <w:sz w:val="20"/>
          <w:szCs w:val="20"/>
          <w:lang w:val="en-US" w:eastAsia="en-US"/>
        </w:rPr>
        <w:t xml:space="preserve">the quality of seeds made available to producers in order to limit the spread of the disease. </w:t>
      </w:r>
    </w:p>
    <w:p w14:paraId="4CC04258" w14:textId="77777777" w:rsidR="00EC1220" w:rsidRDefault="00EC1220" w:rsidP="000F78E1">
      <w:pPr>
        <w:pStyle w:val="my-2"/>
        <w:spacing w:before="0" w:beforeAutospacing="0" w:after="0" w:afterAutospacing="0" w:line="360" w:lineRule="auto"/>
        <w:jc w:val="both"/>
        <w:rPr>
          <w:rFonts w:ascii="Arial" w:hAnsi="Arial" w:cs="Arial"/>
          <w:sz w:val="20"/>
          <w:szCs w:val="20"/>
          <w:lang w:val="en-US" w:eastAsia="en-US"/>
        </w:rPr>
      </w:pPr>
      <w:r>
        <w:rPr>
          <w:rFonts w:ascii="Arial" w:hAnsi="Arial" w:cs="Arial"/>
          <w:sz w:val="20"/>
          <w:szCs w:val="20"/>
          <w:lang w:val="en-US" w:eastAsia="en-US"/>
        </w:rPr>
        <w:t xml:space="preserve">- </w:t>
      </w:r>
      <w:r w:rsidR="00941A13" w:rsidRPr="00941A13">
        <w:rPr>
          <w:rFonts w:ascii="Arial" w:hAnsi="Arial" w:cs="Arial"/>
          <w:sz w:val="20"/>
          <w:szCs w:val="20"/>
          <w:lang w:val="en-US" w:eastAsia="en-US"/>
        </w:rPr>
        <w:t xml:space="preserve">agricultural mechanization and varietal innovations could also be considered. </w:t>
      </w:r>
    </w:p>
    <w:p w14:paraId="3240987C" w14:textId="72A205AA" w:rsidR="00E45905" w:rsidRPr="00941A13" w:rsidRDefault="00941A13" w:rsidP="000F78E1">
      <w:pPr>
        <w:pStyle w:val="my-2"/>
        <w:spacing w:before="0" w:beforeAutospacing="0" w:after="0" w:afterAutospacing="0" w:line="360" w:lineRule="auto"/>
        <w:jc w:val="both"/>
        <w:rPr>
          <w:rFonts w:ascii="Arial" w:hAnsi="Arial" w:cs="Arial"/>
          <w:sz w:val="20"/>
          <w:szCs w:val="20"/>
          <w:lang w:val="en-US" w:eastAsia="en-US"/>
        </w:rPr>
      </w:pPr>
      <w:r w:rsidRPr="00941A13">
        <w:rPr>
          <w:rFonts w:ascii="Arial" w:hAnsi="Arial" w:cs="Arial"/>
          <w:sz w:val="20"/>
          <w:szCs w:val="20"/>
          <w:lang w:val="en-US" w:eastAsia="en-US"/>
        </w:rPr>
        <w:t>This approach will not only limit yield losses, which can reach nearly 50% due to CMD, but also improve producers' incomes, thereby contributing to socioeconomic development.</w:t>
      </w:r>
    </w:p>
    <w:p w14:paraId="2D41BF9D" w14:textId="77777777" w:rsidR="00E45905" w:rsidRPr="004772C5" w:rsidRDefault="00E45905" w:rsidP="000F78E1">
      <w:pPr>
        <w:pStyle w:val="my-2"/>
        <w:spacing w:line="360" w:lineRule="auto"/>
        <w:jc w:val="both"/>
        <w:rPr>
          <w:rFonts w:ascii="Arial" w:hAnsi="Arial" w:cs="Arial"/>
          <w:b/>
          <w:bCs/>
          <w:sz w:val="20"/>
          <w:szCs w:val="20"/>
          <w:lang w:val="en-US" w:eastAsia="en-US"/>
        </w:rPr>
      </w:pPr>
    </w:p>
    <w:p w14:paraId="2F1EEC71" w14:textId="33ED14A6" w:rsidR="00215C1F" w:rsidRDefault="00215C1F" w:rsidP="0061082E">
      <w:pPr>
        <w:pStyle w:val="Head1"/>
        <w:jc w:val="both"/>
        <w:rPr>
          <w:rFonts w:ascii="Arial" w:hAnsi="Arial" w:cs="Arial"/>
        </w:rPr>
      </w:pPr>
      <w:r>
        <w:rPr>
          <w:rFonts w:ascii="Arial" w:hAnsi="Arial" w:cs="Arial"/>
        </w:rPr>
        <w:t>4. discussion</w:t>
      </w:r>
    </w:p>
    <w:p w14:paraId="77065DE7" w14:textId="420F7499" w:rsidR="00215C1F" w:rsidRPr="00215C1F" w:rsidRDefault="00215C1F" w:rsidP="000F78E1">
      <w:pPr>
        <w:pStyle w:val="my-2"/>
        <w:spacing w:before="0" w:beforeAutospacing="0" w:after="0" w:afterAutospacing="0" w:line="360" w:lineRule="auto"/>
        <w:jc w:val="both"/>
        <w:rPr>
          <w:rFonts w:ascii="Arial" w:hAnsi="Arial" w:cs="Arial"/>
          <w:sz w:val="20"/>
          <w:szCs w:val="20"/>
          <w:lang w:val="en-US" w:eastAsia="en-US"/>
        </w:rPr>
      </w:pPr>
      <w:r w:rsidRPr="00215C1F">
        <w:rPr>
          <w:rFonts w:ascii="Arial" w:hAnsi="Arial" w:cs="Arial"/>
          <w:sz w:val="20"/>
          <w:szCs w:val="20"/>
          <w:lang w:val="en-US" w:eastAsia="en-US"/>
        </w:rPr>
        <w:t xml:space="preserve">The present study provides comprehensive insights into the phenotypic characterization and molecular detection of Cassava Mosaic Disease (CMD) in central and central-western Côte d’Ivoire. </w:t>
      </w:r>
      <w:proofErr w:type="gramStart"/>
      <w:r w:rsidRPr="00215C1F">
        <w:rPr>
          <w:rFonts w:ascii="Arial" w:hAnsi="Arial" w:cs="Arial"/>
          <w:sz w:val="20"/>
          <w:szCs w:val="20"/>
          <w:lang w:val="en-US" w:eastAsia="en-US"/>
        </w:rPr>
        <w:t>An</w:t>
      </w:r>
      <w:proofErr w:type="gramEnd"/>
      <w:r w:rsidRPr="00215C1F">
        <w:rPr>
          <w:rFonts w:ascii="Arial" w:hAnsi="Arial" w:cs="Arial"/>
          <w:sz w:val="20"/>
          <w:szCs w:val="20"/>
          <w:lang w:val="en-US" w:eastAsia="en-US"/>
        </w:rPr>
        <w:t xml:space="preserve"> relatively high overall CMD infection rate was recorded across 5,896 cassava plants, with no significant differences among villages in Bouak</w:t>
      </w:r>
      <w:r w:rsidR="00EC1220">
        <w:rPr>
          <w:rFonts w:ascii="Arial" w:hAnsi="Arial" w:cs="Arial"/>
          <w:sz w:val="20"/>
          <w:szCs w:val="20"/>
          <w:lang w:val="en-US" w:eastAsia="en-US"/>
        </w:rPr>
        <w:t>e</w:t>
      </w:r>
      <w:r w:rsidRPr="00215C1F">
        <w:rPr>
          <w:rFonts w:ascii="Arial" w:hAnsi="Arial" w:cs="Arial"/>
          <w:sz w:val="20"/>
          <w:szCs w:val="20"/>
          <w:lang w:val="en-US" w:eastAsia="en-US"/>
        </w:rPr>
        <w:t xml:space="preserve">, Yamoussoukro, and </w:t>
      </w:r>
      <w:proofErr w:type="spellStart"/>
      <w:r w:rsidRPr="00215C1F">
        <w:rPr>
          <w:rFonts w:ascii="Arial" w:hAnsi="Arial" w:cs="Arial"/>
          <w:sz w:val="20"/>
          <w:szCs w:val="20"/>
          <w:lang w:val="en-US" w:eastAsia="en-US"/>
        </w:rPr>
        <w:t>Daloa</w:t>
      </w:r>
      <w:proofErr w:type="spellEnd"/>
      <w:r w:rsidRPr="00215C1F">
        <w:rPr>
          <w:rFonts w:ascii="Arial" w:hAnsi="Arial" w:cs="Arial"/>
          <w:sz w:val="20"/>
          <w:szCs w:val="20"/>
          <w:lang w:val="en-US" w:eastAsia="en-US"/>
        </w:rPr>
        <w:t xml:space="preserve">, reflecting a widespread and relatively uniform disease distribution in these key cassava-producing areas. This prevalence is consistent with regional CMD surveys in West Africa, such as in Cameroon, where </w:t>
      </w:r>
      <w:proofErr w:type="spellStart"/>
      <w:r w:rsidRPr="00215C1F">
        <w:rPr>
          <w:rFonts w:ascii="Arial" w:hAnsi="Arial" w:cs="Arial"/>
          <w:sz w:val="20"/>
          <w:szCs w:val="20"/>
          <w:lang w:val="en-US" w:eastAsia="en-US"/>
        </w:rPr>
        <w:t>Doungous</w:t>
      </w:r>
      <w:proofErr w:type="spellEnd"/>
      <w:r w:rsidRPr="00215C1F">
        <w:rPr>
          <w:rFonts w:ascii="Arial" w:hAnsi="Arial" w:cs="Arial"/>
          <w:sz w:val="20"/>
          <w:szCs w:val="20"/>
          <w:lang w:val="en-US" w:eastAsia="en-US"/>
        </w:rPr>
        <w:t xml:space="preserve"> </w:t>
      </w:r>
      <w:r w:rsidRPr="00215C1F">
        <w:rPr>
          <w:rFonts w:ascii="Arial" w:hAnsi="Arial" w:cs="Arial"/>
          <w:i/>
          <w:iCs/>
          <w:sz w:val="20"/>
          <w:szCs w:val="20"/>
          <w:lang w:val="en-US" w:eastAsia="en-US"/>
        </w:rPr>
        <w:t>et al.</w:t>
      </w:r>
      <w:r w:rsidRPr="00215C1F">
        <w:rPr>
          <w:rFonts w:ascii="Arial" w:hAnsi="Arial" w:cs="Arial"/>
          <w:sz w:val="20"/>
          <w:szCs w:val="20"/>
          <w:lang w:val="en-US" w:eastAsia="en-US"/>
        </w:rPr>
        <w:t xml:space="preserve"> (2022) reported a nationwide CMD incidence of 66.93%, and studies in Ghana and Benin documenting incidences between 40% and 60%, confirming CMD as a major yield-limiting factor in the region (</w:t>
      </w:r>
      <w:proofErr w:type="spellStart"/>
      <w:r w:rsidRPr="00215C1F">
        <w:rPr>
          <w:rFonts w:ascii="Arial" w:hAnsi="Arial" w:cs="Arial"/>
          <w:sz w:val="20"/>
          <w:szCs w:val="20"/>
          <w:lang w:val="en-US" w:eastAsia="en-US"/>
        </w:rPr>
        <w:t>Ahoya</w:t>
      </w:r>
      <w:proofErr w:type="spellEnd"/>
      <w:r w:rsidRPr="00215C1F">
        <w:rPr>
          <w:rFonts w:ascii="Arial" w:hAnsi="Arial" w:cs="Arial"/>
          <w:sz w:val="20"/>
          <w:szCs w:val="20"/>
          <w:lang w:val="en-US" w:eastAsia="en-US"/>
        </w:rPr>
        <w:t xml:space="preserve"> </w:t>
      </w:r>
      <w:r w:rsidRPr="00215C1F">
        <w:rPr>
          <w:rFonts w:ascii="Arial" w:hAnsi="Arial" w:cs="Arial"/>
          <w:i/>
          <w:iCs/>
          <w:sz w:val="20"/>
          <w:szCs w:val="20"/>
          <w:lang w:val="en-US" w:eastAsia="en-US"/>
        </w:rPr>
        <w:t>et al.,</w:t>
      </w:r>
      <w:r w:rsidRPr="00215C1F">
        <w:rPr>
          <w:rFonts w:ascii="Arial" w:hAnsi="Arial" w:cs="Arial"/>
          <w:sz w:val="20"/>
          <w:szCs w:val="20"/>
          <w:lang w:val="en-US" w:eastAsia="en-US"/>
        </w:rPr>
        <w:t xml:space="preserve"> 2025).</w:t>
      </w:r>
    </w:p>
    <w:p w14:paraId="185EFF6C" w14:textId="78D9874D" w:rsidR="00E5047F" w:rsidRPr="00215C1F" w:rsidRDefault="00215C1F" w:rsidP="000F78E1">
      <w:pPr>
        <w:pStyle w:val="my-2"/>
        <w:spacing w:before="0" w:beforeAutospacing="0" w:after="0" w:afterAutospacing="0" w:line="360" w:lineRule="auto"/>
        <w:jc w:val="both"/>
        <w:rPr>
          <w:rFonts w:ascii="Arial" w:hAnsi="Arial" w:cs="Arial"/>
          <w:sz w:val="20"/>
          <w:szCs w:val="20"/>
          <w:lang w:val="en-US" w:eastAsia="en-US"/>
        </w:rPr>
      </w:pPr>
      <w:r w:rsidRPr="00215C1F">
        <w:rPr>
          <w:rFonts w:ascii="Arial" w:hAnsi="Arial" w:cs="Arial"/>
          <w:sz w:val="20"/>
          <w:szCs w:val="20"/>
          <w:lang w:val="en-US" w:eastAsia="en-US"/>
        </w:rPr>
        <w:t xml:space="preserve">Key epidemiological factors identified namely the origin of cuttings, plant age, and seasonality mirror established regional patterns. Notably, plants propagated from informal cuttings exhibited markedly higher infection rates compared to those grown from certified, virus-free planting material sourced from formal institutions. </w:t>
      </w:r>
      <w:r w:rsidR="00494DFC" w:rsidRPr="00494DFC">
        <w:rPr>
          <w:rFonts w:ascii="Arial" w:hAnsi="Arial" w:cs="Arial"/>
          <w:sz w:val="20"/>
          <w:szCs w:val="20"/>
          <w:lang w:val="en-US" w:eastAsia="en-US"/>
        </w:rPr>
        <w:t xml:space="preserve">The informal exchange of cuttings has been confirmed as the main vector for propagation, which reinforces the need to intensify the production and distribution of certified and healthy plant material. However, resistance to the adoption of certification practices, often linked to producers' socio-economic constraints, constitutes a major obstacle. It is therefore imperative to develop </w:t>
      </w:r>
      <w:r w:rsidR="00494DFC" w:rsidRPr="00494DFC">
        <w:rPr>
          <w:rFonts w:ascii="Arial" w:hAnsi="Arial" w:cs="Arial"/>
          <w:sz w:val="20"/>
          <w:szCs w:val="20"/>
          <w:lang w:val="en-US" w:eastAsia="en-US"/>
        </w:rPr>
        <w:lastRenderedPageBreak/>
        <w:t>appropriate awareness campaigns, combined with training programs that can be supported by mobile diagnostic tools</w:t>
      </w:r>
      <w:r w:rsidR="00494DFC">
        <w:rPr>
          <w:rFonts w:ascii="Arial" w:hAnsi="Arial" w:cs="Arial"/>
          <w:sz w:val="20"/>
          <w:szCs w:val="20"/>
          <w:lang w:val="en-US" w:eastAsia="en-US"/>
        </w:rPr>
        <w:t xml:space="preserve">. </w:t>
      </w:r>
      <w:r w:rsidRPr="00215C1F">
        <w:rPr>
          <w:rFonts w:ascii="Arial" w:hAnsi="Arial" w:cs="Arial"/>
          <w:sz w:val="20"/>
          <w:szCs w:val="20"/>
          <w:lang w:val="en-US" w:eastAsia="en-US"/>
        </w:rPr>
        <w:t>This finding aligns with earlier research underscoring farmer-to-farmer exchange of infected cuttings as a principal driver of CMD dissemination (</w:t>
      </w:r>
      <w:proofErr w:type="spellStart"/>
      <w:r w:rsidR="00D75724" w:rsidRPr="00D75724">
        <w:rPr>
          <w:rFonts w:ascii="Arial" w:hAnsi="Arial" w:cs="Arial"/>
          <w:sz w:val="20"/>
          <w:szCs w:val="20"/>
          <w:lang w:val="en-US" w:eastAsia="en-US"/>
        </w:rPr>
        <w:t>Kwibuka</w:t>
      </w:r>
      <w:proofErr w:type="spellEnd"/>
      <w:r w:rsidR="00D75724" w:rsidRPr="00D75724">
        <w:rPr>
          <w:rFonts w:ascii="Arial" w:hAnsi="Arial" w:cs="Arial"/>
          <w:sz w:val="20"/>
          <w:szCs w:val="20"/>
          <w:lang w:val="en-US" w:eastAsia="en-US"/>
        </w:rPr>
        <w:t xml:space="preserve"> </w:t>
      </w:r>
      <w:r w:rsidR="00D75724" w:rsidRPr="00D75724">
        <w:rPr>
          <w:rFonts w:ascii="Arial" w:hAnsi="Arial" w:cs="Arial"/>
          <w:i/>
          <w:iCs/>
          <w:sz w:val="20"/>
          <w:szCs w:val="20"/>
          <w:lang w:val="en-US" w:eastAsia="en-US"/>
        </w:rPr>
        <w:t>et al.,</w:t>
      </w:r>
      <w:r w:rsidR="00D75724">
        <w:rPr>
          <w:rFonts w:ascii="Arial" w:hAnsi="Arial" w:cs="Arial"/>
          <w:sz w:val="20"/>
          <w:szCs w:val="20"/>
          <w:lang w:val="en-US" w:eastAsia="en-US"/>
        </w:rPr>
        <w:t xml:space="preserve"> </w:t>
      </w:r>
      <w:r w:rsidR="00D75724" w:rsidRPr="00D75724">
        <w:rPr>
          <w:rFonts w:ascii="Arial" w:hAnsi="Arial" w:cs="Arial"/>
          <w:sz w:val="20"/>
          <w:szCs w:val="20"/>
          <w:lang w:val="en-US" w:eastAsia="en-US"/>
        </w:rPr>
        <w:t>2021</w:t>
      </w:r>
      <w:r w:rsidRPr="00215C1F">
        <w:rPr>
          <w:rFonts w:ascii="Arial" w:hAnsi="Arial" w:cs="Arial"/>
          <w:sz w:val="20"/>
          <w:szCs w:val="20"/>
          <w:lang w:val="en-US" w:eastAsia="en-US"/>
        </w:rPr>
        <w:t xml:space="preserve">; </w:t>
      </w:r>
      <w:proofErr w:type="spellStart"/>
      <w:r w:rsidR="002B3114" w:rsidRPr="002B3114">
        <w:rPr>
          <w:rFonts w:ascii="Arial" w:hAnsi="Arial" w:cs="Arial"/>
          <w:sz w:val="20"/>
          <w:szCs w:val="20"/>
          <w:lang w:val="en-US" w:eastAsia="en-US"/>
        </w:rPr>
        <w:t>Munguti</w:t>
      </w:r>
      <w:proofErr w:type="spellEnd"/>
      <w:r w:rsidRPr="00215C1F">
        <w:rPr>
          <w:rFonts w:ascii="Arial" w:hAnsi="Arial" w:cs="Arial"/>
          <w:sz w:val="20"/>
          <w:szCs w:val="20"/>
          <w:lang w:val="en-US" w:eastAsia="en-US"/>
        </w:rPr>
        <w:t xml:space="preserve"> </w:t>
      </w:r>
      <w:r w:rsidRPr="002B3114">
        <w:rPr>
          <w:rFonts w:ascii="Arial" w:hAnsi="Arial" w:cs="Arial"/>
          <w:i/>
          <w:iCs/>
          <w:sz w:val="20"/>
          <w:szCs w:val="20"/>
          <w:lang w:val="en-US" w:eastAsia="en-US"/>
        </w:rPr>
        <w:t>et al</w:t>
      </w:r>
      <w:r w:rsidRPr="00215C1F">
        <w:rPr>
          <w:rFonts w:ascii="Arial" w:hAnsi="Arial" w:cs="Arial"/>
          <w:i/>
          <w:iCs/>
          <w:sz w:val="20"/>
          <w:szCs w:val="20"/>
          <w:lang w:val="en-US" w:eastAsia="en-US"/>
        </w:rPr>
        <w:t>.,</w:t>
      </w:r>
      <w:r w:rsidRPr="00215C1F">
        <w:rPr>
          <w:rFonts w:ascii="Arial" w:hAnsi="Arial" w:cs="Arial"/>
          <w:sz w:val="20"/>
          <w:szCs w:val="20"/>
          <w:lang w:val="en-US" w:eastAsia="en-US"/>
        </w:rPr>
        <w:t xml:space="preserve"> 202</w:t>
      </w:r>
      <w:r w:rsidR="002B3114">
        <w:rPr>
          <w:rFonts w:ascii="Arial" w:hAnsi="Arial" w:cs="Arial"/>
          <w:sz w:val="20"/>
          <w:szCs w:val="20"/>
          <w:lang w:val="en-US" w:eastAsia="en-US"/>
        </w:rPr>
        <w:t>3</w:t>
      </w:r>
      <w:r w:rsidRPr="00215C1F">
        <w:rPr>
          <w:rFonts w:ascii="Arial" w:hAnsi="Arial" w:cs="Arial"/>
          <w:sz w:val="20"/>
          <w:szCs w:val="20"/>
          <w:lang w:val="en-US" w:eastAsia="en-US"/>
        </w:rPr>
        <w:t xml:space="preserve">). Furthermore, the highest infection rates occurred in plants aged 3 to 6 months, particularly during the dry season, which is consistent with increased vulnerability due to active vegetative growth and environmental stress, as previously observed </w:t>
      </w:r>
      <w:r w:rsidR="00E5047F" w:rsidRPr="00E5047F">
        <w:rPr>
          <w:rFonts w:ascii="Arial" w:hAnsi="Arial" w:cs="Arial"/>
          <w:sz w:val="20"/>
          <w:szCs w:val="20"/>
          <w:lang w:val="en-US" w:eastAsia="en-US"/>
        </w:rPr>
        <w:t>in other countries</w:t>
      </w:r>
      <w:r w:rsidRPr="00215C1F">
        <w:rPr>
          <w:rFonts w:ascii="Arial" w:hAnsi="Arial" w:cs="Arial"/>
          <w:sz w:val="20"/>
          <w:szCs w:val="20"/>
          <w:lang w:val="en-US" w:eastAsia="en-US"/>
        </w:rPr>
        <w:t xml:space="preserve"> (</w:t>
      </w:r>
      <w:proofErr w:type="spellStart"/>
      <w:r w:rsidR="00E5047F" w:rsidRPr="00D75724">
        <w:rPr>
          <w:rFonts w:ascii="Arial" w:hAnsi="Arial" w:cs="Arial"/>
          <w:sz w:val="20"/>
          <w:szCs w:val="20"/>
          <w:lang w:val="en-US" w:eastAsia="en-US"/>
        </w:rPr>
        <w:t>Ikaa</w:t>
      </w:r>
      <w:proofErr w:type="spellEnd"/>
      <w:r w:rsidR="00E5047F" w:rsidRPr="00D75724">
        <w:rPr>
          <w:rFonts w:ascii="Arial" w:hAnsi="Arial" w:cs="Arial"/>
          <w:sz w:val="20"/>
          <w:szCs w:val="20"/>
          <w:lang w:val="en-US" w:eastAsia="en-US"/>
        </w:rPr>
        <w:t xml:space="preserve"> &amp; </w:t>
      </w:r>
      <w:proofErr w:type="spellStart"/>
      <w:r w:rsidR="00E5047F" w:rsidRPr="00D75724">
        <w:rPr>
          <w:rFonts w:ascii="Arial" w:hAnsi="Arial" w:cs="Arial"/>
          <w:sz w:val="20"/>
          <w:szCs w:val="20"/>
          <w:lang w:val="en-US" w:eastAsia="en-US"/>
        </w:rPr>
        <w:t>Musanga</w:t>
      </w:r>
      <w:proofErr w:type="spellEnd"/>
      <w:r w:rsidR="00E5047F" w:rsidRPr="00D75724">
        <w:rPr>
          <w:rFonts w:ascii="Arial" w:hAnsi="Arial" w:cs="Arial"/>
          <w:sz w:val="20"/>
          <w:szCs w:val="20"/>
          <w:lang w:val="en-US" w:eastAsia="en-US"/>
        </w:rPr>
        <w:t>, 2024</w:t>
      </w:r>
      <w:r w:rsidR="00D75724" w:rsidRPr="00D75724">
        <w:rPr>
          <w:rFonts w:ascii="Arial" w:hAnsi="Arial" w:cs="Arial"/>
          <w:sz w:val="20"/>
          <w:szCs w:val="20"/>
          <w:lang w:val="en-US" w:eastAsia="en-US"/>
        </w:rPr>
        <w:t xml:space="preserve">; </w:t>
      </w:r>
      <w:proofErr w:type="spellStart"/>
      <w:r w:rsidR="00D75724" w:rsidRPr="00D75724">
        <w:rPr>
          <w:rFonts w:ascii="Arial" w:hAnsi="Arial" w:cs="Arial"/>
          <w:sz w:val="20"/>
          <w:szCs w:val="20"/>
          <w:lang w:val="en-US" w:eastAsia="en-US"/>
        </w:rPr>
        <w:t>Nazarov</w:t>
      </w:r>
      <w:proofErr w:type="spellEnd"/>
      <w:r w:rsidR="00D75724" w:rsidRPr="00D75724">
        <w:rPr>
          <w:rFonts w:ascii="Arial" w:hAnsi="Arial" w:cs="Arial"/>
          <w:sz w:val="20"/>
          <w:szCs w:val="20"/>
          <w:lang w:val="en-US" w:eastAsia="en-US"/>
        </w:rPr>
        <w:t xml:space="preserve"> </w:t>
      </w:r>
      <w:r w:rsidR="00D75724" w:rsidRPr="00D75724">
        <w:rPr>
          <w:rFonts w:ascii="Arial" w:hAnsi="Arial" w:cs="Arial"/>
          <w:i/>
          <w:iCs/>
          <w:sz w:val="20"/>
          <w:szCs w:val="20"/>
          <w:lang w:val="en-US" w:eastAsia="en-US"/>
        </w:rPr>
        <w:t>et al.,</w:t>
      </w:r>
      <w:r w:rsidR="00D75724" w:rsidRPr="00D75724">
        <w:rPr>
          <w:rFonts w:ascii="Arial" w:hAnsi="Arial" w:cs="Arial"/>
          <w:sz w:val="20"/>
          <w:szCs w:val="20"/>
          <w:lang w:val="en-US" w:eastAsia="en-US"/>
        </w:rPr>
        <w:t xml:space="preserve"> 2020</w:t>
      </w:r>
      <w:r w:rsidR="00E5047F" w:rsidRPr="00215C1F">
        <w:rPr>
          <w:rFonts w:ascii="Arial" w:hAnsi="Arial" w:cs="Arial"/>
          <w:sz w:val="20"/>
          <w:szCs w:val="20"/>
          <w:lang w:val="en-US" w:eastAsia="en-US"/>
        </w:rPr>
        <w:t>).</w:t>
      </w:r>
    </w:p>
    <w:p w14:paraId="15ADCB1E" w14:textId="607EED01" w:rsidR="00215C1F" w:rsidRPr="00215C1F" w:rsidRDefault="00215C1F" w:rsidP="000F78E1">
      <w:pPr>
        <w:pStyle w:val="my-2"/>
        <w:spacing w:before="0" w:beforeAutospacing="0" w:after="0" w:afterAutospacing="0" w:line="360" w:lineRule="auto"/>
        <w:jc w:val="both"/>
        <w:rPr>
          <w:rFonts w:ascii="Arial" w:hAnsi="Arial" w:cs="Arial"/>
          <w:sz w:val="20"/>
          <w:szCs w:val="20"/>
          <w:lang w:val="en-US" w:eastAsia="en-US"/>
        </w:rPr>
      </w:pPr>
      <w:r w:rsidRPr="00215C1F">
        <w:rPr>
          <w:rFonts w:ascii="Arial" w:hAnsi="Arial" w:cs="Arial"/>
          <w:sz w:val="20"/>
          <w:szCs w:val="20"/>
          <w:lang w:val="en-US" w:eastAsia="en-US"/>
        </w:rPr>
        <w:t xml:space="preserve">Symptom severity was predominantly moderate (level 2) across surveyed villages, with localized hotspots exhibiting severe symptoms (levels 3 and 4) notably in </w:t>
      </w:r>
      <w:proofErr w:type="spellStart"/>
      <w:r w:rsidRPr="00215C1F">
        <w:rPr>
          <w:rFonts w:ascii="Arial" w:hAnsi="Arial" w:cs="Arial"/>
          <w:sz w:val="20"/>
          <w:szCs w:val="20"/>
          <w:lang w:val="en-US" w:eastAsia="en-US"/>
        </w:rPr>
        <w:t>Kekrekouakoukro</w:t>
      </w:r>
      <w:proofErr w:type="spellEnd"/>
      <w:r w:rsidRPr="00215C1F">
        <w:rPr>
          <w:rFonts w:ascii="Arial" w:hAnsi="Arial" w:cs="Arial"/>
          <w:sz w:val="20"/>
          <w:szCs w:val="20"/>
          <w:lang w:val="en-US" w:eastAsia="en-US"/>
        </w:rPr>
        <w:t xml:space="preserve"> (Bouak</w:t>
      </w:r>
      <w:r w:rsidR="00A46BB2">
        <w:rPr>
          <w:rFonts w:ascii="Arial" w:hAnsi="Arial" w:cs="Arial"/>
          <w:sz w:val="20"/>
          <w:szCs w:val="20"/>
          <w:lang w:val="en-US" w:eastAsia="en-US"/>
        </w:rPr>
        <w:t>e</w:t>
      </w:r>
      <w:r w:rsidRPr="00215C1F">
        <w:rPr>
          <w:rFonts w:ascii="Arial" w:hAnsi="Arial" w:cs="Arial"/>
          <w:sz w:val="20"/>
          <w:szCs w:val="20"/>
          <w:lang w:val="en-US" w:eastAsia="en-US"/>
        </w:rPr>
        <w:t xml:space="preserve">) and certain </w:t>
      </w:r>
      <w:proofErr w:type="spellStart"/>
      <w:r w:rsidRPr="00215C1F">
        <w:rPr>
          <w:rFonts w:ascii="Arial" w:hAnsi="Arial" w:cs="Arial"/>
          <w:sz w:val="20"/>
          <w:szCs w:val="20"/>
          <w:lang w:val="en-US" w:eastAsia="en-US"/>
        </w:rPr>
        <w:t>Daloa</w:t>
      </w:r>
      <w:proofErr w:type="spellEnd"/>
      <w:r w:rsidRPr="00215C1F">
        <w:rPr>
          <w:rFonts w:ascii="Arial" w:hAnsi="Arial" w:cs="Arial"/>
          <w:sz w:val="20"/>
          <w:szCs w:val="20"/>
          <w:lang w:val="en-US" w:eastAsia="en-US"/>
        </w:rPr>
        <w:t xml:space="preserve"> areas. These epidemic clusters correspond with patterns reported, where vector population dynamics and local management practices influence symptom severity distributions (</w:t>
      </w:r>
      <w:proofErr w:type="spellStart"/>
      <w:r w:rsidR="00256071" w:rsidRPr="00256071">
        <w:rPr>
          <w:rFonts w:ascii="Arial" w:hAnsi="Arial" w:cs="Arial"/>
          <w:sz w:val="20"/>
          <w:szCs w:val="20"/>
        </w:rPr>
        <w:t>Ikaa</w:t>
      </w:r>
      <w:proofErr w:type="spellEnd"/>
      <w:r w:rsidR="00256071" w:rsidRPr="00256071">
        <w:rPr>
          <w:rFonts w:ascii="Arial" w:hAnsi="Arial" w:cs="Arial"/>
          <w:sz w:val="20"/>
          <w:szCs w:val="20"/>
        </w:rPr>
        <w:t xml:space="preserve"> &amp; </w:t>
      </w:r>
      <w:proofErr w:type="spellStart"/>
      <w:r w:rsidR="00256071" w:rsidRPr="00256071">
        <w:rPr>
          <w:rFonts w:ascii="Arial" w:hAnsi="Arial" w:cs="Arial"/>
          <w:sz w:val="20"/>
          <w:szCs w:val="20"/>
        </w:rPr>
        <w:t>Musanga</w:t>
      </w:r>
      <w:proofErr w:type="spellEnd"/>
      <w:r w:rsidR="00256071">
        <w:rPr>
          <w:rFonts w:ascii="Arial" w:hAnsi="Arial" w:cs="Arial"/>
          <w:sz w:val="20"/>
          <w:szCs w:val="20"/>
        </w:rPr>
        <w:t xml:space="preserve">, </w:t>
      </w:r>
      <w:r w:rsidR="00256071" w:rsidRPr="00256071">
        <w:rPr>
          <w:rFonts w:ascii="Arial" w:hAnsi="Arial" w:cs="Arial"/>
          <w:sz w:val="20"/>
          <w:szCs w:val="20"/>
        </w:rPr>
        <w:t>2024</w:t>
      </w:r>
      <w:r w:rsidRPr="00215C1F">
        <w:rPr>
          <w:rFonts w:ascii="Arial" w:hAnsi="Arial" w:cs="Arial"/>
          <w:sz w:val="20"/>
          <w:szCs w:val="20"/>
          <w:lang w:val="en-US" w:eastAsia="en-US"/>
        </w:rPr>
        <w:t>).</w:t>
      </w:r>
    </w:p>
    <w:p w14:paraId="1F9B15BA" w14:textId="2571160B" w:rsidR="00A46BB2" w:rsidRPr="00A46BB2" w:rsidRDefault="00215C1F" w:rsidP="00A46BB2">
      <w:pPr>
        <w:pStyle w:val="my-2"/>
        <w:spacing w:before="0" w:beforeAutospacing="0" w:after="0" w:afterAutospacing="0" w:line="360" w:lineRule="auto"/>
        <w:jc w:val="both"/>
        <w:rPr>
          <w:rFonts w:ascii="Arial" w:hAnsi="Arial" w:cs="Arial"/>
          <w:sz w:val="20"/>
          <w:szCs w:val="20"/>
          <w:lang w:val="en-US" w:eastAsia="en-US"/>
        </w:rPr>
      </w:pPr>
      <w:r w:rsidRPr="00215C1F">
        <w:rPr>
          <w:rFonts w:ascii="Arial" w:hAnsi="Arial" w:cs="Arial"/>
          <w:sz w:val="20"/>
          <w:szCs w:val="20"/>
          <w:lang w:val="en-US" w:eastAsia="en-US"/>
        </w:rPr>
        <w:t xml:space="preserve">Molecular diagnostics confirmed the concurrent presence of African Cassava Mosaic Virus (ACMV) and East African Cassava Mosaic Virus (EACMV), with ACMV being significantly more prevalent. This mirrors West African trends where ACMV predominates, often associated with milder symptomatology, while EACMV or ACMV-EACMV co-infections contribute to greater virulence and yield reductions (Legg </w:t>
      </w:r>
      <w:r w:rsidRPr="00215C1F">
        <w:rPr>
          <w:rFonts w:ascii="Arial" w:hAnsi="Arial" w:cs="Arial"/>
          <w:i/>
          <w:iCs/>
          <w:sz w:val="20"/>
          <w:szCs w:val="20"/>
          <w:lang w:val="en-US" w:eastAsia="en-US"/>
        </w:rPr>
        <w:t>et al.,</w:t>
      </w:r>
      <w:r w:rsidRPr="00215C1F">
        <w:rPr>
          <w:rFonts w:ascii="Arial" w:hAnsi="Arial" w:cs="Arial"/>
          <w:sz w:val="20"/>
          <w:szCs w:val="20"/>
          <w:lang w:val="en-US" w:eastAsia="en-US"/>
        </w:rPr>
        <w:t xml:space="preserve"> 2014; </w:t>
      </w:r>
      <w:proofErr w:type="spellStart"/>
      <w:r w:rsidRPr="00215C1F">
        <w:rPr>
          <w:rFonts w:ascii="Arial" w:hAnsi="Arial" w:cs="Arial"/>
          <w:sz w:val="20"/>
          <w:szCs w:val="20"/>
          <w:lang w:val="en-US" w:eastAsia="en-US"/>
        </w:rPr>
        <w:t>Doungous</w:t>
      </w:r>
      <w:proofErr w:type="spellEnd"/>
      <w:r w:rsidRPr="00215C1F">
        <w:rPr>
          <w:rFonts w:ascii="Arial" w:hAnsi="Arial" w:cs="Arial"/>
          <w:sz w:val="20"/>
          <w:szCs w:val="20"/>
          <w:lang w:val="en-US" w:eastAsia="en-US"/>
        </w:rPr>
        <w:t xml:space="preserve"> </w:t>
      </w:r>
      <w:r w:rsidRPr="0061082E">
        <w:rPr>
          <w:rFonts w:ascii="Arial" w:hAnsi="Arial" w:cs="Arial"/>
          <w:i/>
          <w:iCs/>
          <w:sz w:val="20"/>
          <w:szCs w:val="20"/>
          <w:lang w:val="en-US" w:eastAsia="en-US"/>
        </w:rPr>
        <w:t>et al.,</w:t>
      </w:r>
      <w:r w:rsidRPr="00215C1F">
        <w:rPr>
          <w:rFonts w:ascii="Arial" w:hAnsi="Arial" w:cs="Arial"/>
          <w:sz w:val="20"/>
          <w:szCs w:val="20"/>
          <w:lang w:val="en-US" w:eastAsia="en-US"/>
        </w:rPr>
        <w:t xml:space="preserve"> 2022). </w:t>
      </w:r>
      <w:r w:rsidR="00A46BB2">
        <w:rPr>
          <w:rFonts w:ascii="Arial" w:hAnsi="Arial" w:cs="Arial"/>
          <w:sz w:val="20"/>
          <w:szCs w:val="20"/>
          <w:lang w:val="en-US" w:eastAsia="en-US"/>
        </w:rPr>
        <w:t>D</w:t>
      </w:r>
      <w:r w:rsidR="00A46BB2" w:rsidRPr="00A46BB2">
        <w:rPr>
          <w:rFonts w:ascii="Arial" w:hAnsi="Arial" w:cs="Arial"/>
          <w:sz w:val="20"/>
          <w:szCs w:val="20"/>
          <w:lang w:val="en-US" w:eastAsia="en-US"/>
        </w:rPr>
        <w:t>etection of co-infections involving mild symptoms suggests complex virus-host dynamics, potentially including less aggressive viral strains or host tolerance mechanisms.</w:t>
      </w:r>
    </w:p>
    <w:p w14:paraId="1B9D456F" w14:textId="68F55FC5" w:rsidR="00A46BB2" w:rsidRPr="00A46BB2" w:rsidRDefault="00A46BB2" w:rsidP="00A46BB2">
      <w:pPr>
        <w:pStyle w:val="Body"/>
        <w:spacing w:after="0" w:line="360" w:lineRule="auto"/>
        <w:rPr>
          <w:rFonts w:ascii="Arial" w:hAnsi="Arial" w:cs="Arial"/>
        </w:rPr>
      </w:pPr>
      <w:r w:rsidRPr="00A46BB2">
        <w:rPr>
          <w:rFonts w:ascii="Arial" w:hAnsi="Arial" w:cs="Arial"/>
        </w:rPr>
        <w:t xml:space="preserve">The notable presence of asymptomatic carriers, with 27-40% of apparently healthy plants testing positive for CMV, aligns with extensive </w:t>
      </w:r>
      <w:proofErr w:type="spellStart"/>
      <w:r w:rsidRPr="00A46BB2">
        <w:rPr>
          <w:rFonts w:ascii="Arial" w:hAnsi="Arial" w:cs="Arial"/>
        </w:rPr>
        <w:t>virological</w:t>
      </w:r>
      <w:proofErr w:type="spellEnd"/>
      <w:r w:rsidRPr="00A46BB2">
        <w:rPr>
          <w:rFonts w:ascii="Arial" w:hAnsi="Arial" w:cs="Arial"/>
        </w:rPr>
        <w:t xml:space="preserve"> evidence indicating that symptom expression is not always predictive of viral infection (</w:t>
      </w:r>
      <w:proofErr w:type="spellStart"/>
      <w:r w:rsidRPr="00A46BB2">
        <w:rPr>
          <w:rFonts w:ascii="Arial" w:hAnsi="Arial" w:cs="Arial"/>
        </w:rPr>
        <w:t>Mivedor</w:t>
      </w:r>
      <w:proofErr w:type="spellEnd"/>
      <w:r w:rsidRPr="00A46BB2">
        <w:rPr>
          <w:rFonts w:ascii="Arial" w:hAnsi="Arial" w:cs="Arial"/>
        </w:rPr>
        <w:t xml:space="preserve"> et al., 2020). Such latent infections pose significant epidemiological challenges, as asymptomatic plants may serve as reservoirs for virus transmission via whitefly vectors. In other words, The significant presence of infected symptomless plants poses a crucial challenge for disease control as these plants act as silent reservoirs allowing the vector </w:t>
      </w:r>
      <w:proofErr w:type="spellStart"/>
      <w:r w:rsidRPr="00A46BB2">
        <w:rPr>
          <w:rFonts w:ascii="Arial" w:hAnsi="Arial" w:cs="Arial"/>
        </w:rPr>
        <w:t>Bemisia</w:t>
      </w:r>
      <w:proofErr w:type="spellEnd"/>
      <w:r w:rsidRPr="00A46BB2">
        <w:rPr>
          <w:rFonts w:ascii="Arial" w:hAnsi="Arial" w:cs="Arial"/>
        </w:rPr>
        <w:t xml:space="preserve"> </w:t>
      </w:r>
      <w:proofErr w:type="spellStart"/>
      <w:r w:rsidRPr="00A46BB2">
        <w:rPr>
          <w:rFonts w:ascii="Arial" w:hAnsi="Arial" w:cs="Arial"/>
        </w:rPr>
        <w:t>tabaci</w:t>
      </w:r>
      <w:proofErr w:type="spellEnd"/>
      <w:r w:rsidRPr="00A46BB2">
        <w:rPr>
          <w:rFonts w:ascii="Arial" w:hAnsi="Arial" w:cs="Arial"/>
        </w:rPr>
        <w:t xml:space="preserve"> to transmit the virus without any obvious visual </w:t>
      </w:r>
      <w:proofErr w:type="spellStart"/>
      <w:r w:rsidRPr="00A46BB2">
        <w:rPr>
          <w:rFonts w:ascii="Arial" w:hAnsi="Arial" w:cs="Arial"/>
        </w:rPr>
        <w:t>indication.The</w:t>
      </w:r>
      <w:proofErr w:type="spellEnd"/>
      <w:r w:rsidRPr="00A46BB2">
        <w:rPr>
          <w:rFonts w:ascii="Arial" w:hAnsi="Arial" w:cs="Arial"/>
        </w:rPr>
        <w:t xml:space="preserve"> disparity between symptom expression and viral presence is influenced by a range of factors including virus strain variability, host genotype, and environmental interactions, with some cassava genotypes harboring high viral loads yet exhibiting mild or no visible symptoms (Were et al., 2021). This highlights the key role of molecular diagnostic techniques in surveillance programs, as they allow for earlier and more reliable detection compared to observation methods based solely on symptoms (Chisholm et al., 2018).</w:t>
      </w:r>
    </w:p>
    <w:p w14:paraId="16E5F3F5" w14:textId="7B7D6406" w:rsidR="00A46BB2" w:rsidRDefault="00A46BB2" w:rsidP="00A46BB2">
      <w:pPr>
        <w:pStyle w:val="Body"/>
        <w:spacing w:after="0" w:line="360" w:lineRule="auto"/>
        <w:rPr>
          <w:rFonts w:ascii="Arial" w:hAnsi="Arial" w:cs="Arial"/>
        </w:rPr>
      </w:pPr>
      <w:r w:rsidRPr="00A46BB2">
        <w:rPr>
          <w:rFonts w:ascii="Arial" w:hAnsi="Arial" w:cs="Arial"/>
        </w:rPr>
        <w:t xml:space="preserve">Finally, the integration of combined measures such as the fight against the vector, the spread of resistant varieties, the sanitary control of cuttings, and agricultural mechanization is the best approach to limit the dissemination of CMD. These measures, together with </w:t>
      </w:r>
      <w:r w:rsidRPr="00A46BB2">
        <w:rPr>
          <w:rFonts w:ascii="Arial" w:hAnsi="Arial" w:cs="Arial"/>
        </w:rPr>
        <w:lastRenderedPageBreak/>
        <w:t>rigorous epidemiological surveillance and active participation of farmers, are essential to preserve yields, improve agricultural incomes and ensure food security in the regions concerned.</w:t>
      </w:r>
    </w:p>
    <w:p w14:paraId="61EBFD60" w14:textId="35642AE3" w:rsidR="00A46BB2" w:rsidRDefault="00A46BB2" w:rsidP="000F78E1">
      <w:pPr>
        <w:pStyle w:val="Body"/>
        <w:spacing w:after="0" w:line="360" w:lineRule="auto"/>
        <w:rPr>
          <w:rFonts w:ascii="Arial" w:hAnsi="Arial" w:cs="Arial"/>
        </w:rPr>
      </w:pPr>
    </w:p>
    <w:p w14:paraId="13E22EEF" w14:textId="05FF551F" w:rsidR="00B01FCD" w:rsidRDefault="00000F8F" w:rsidP="000F78E1">
      <w:pPr>
        <w:pStyle w:val="ConcHead"/>
        <w:spacing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76D3770C" w14:textId="77777777" w:rsidR="0061082E" w:rsidRPr="0061082E" w:rsidRDefault="0061082E" w:rsidP="000F78E1">
      <w:pPr>
        <w:pStyle w:val="my-2"/>
        <w:spacing w:before="0" w:beforeAutospacing="0" w:after="0" w:afterAutospacing="0" w:line="360" w:lineRule="auto"/>
        <w:jc w:val="both"/>
        <w:rPr>
          <w:rFonts w:ascii="Arial" w:hAnsi="Arial" w:cs="Arial"/>
          <w:sz w:val="20"/>
          <w:szCs w:val="20"/>
          <w:lang w:val="en-US" w:eastAsia="en-US"/>
        </w:rPr>
      </w:pPr>
      <w:r w:rsidRPr="0061082E">
        <w:rPr>
          <w:rFonts w:ascii="Arial" w:hAnsi="Arial" w:cs="Arial"/>
          <w:sz w:val="20"/>
          <w:szCs w:val="20"/>
          <w:lang w:val="en-US" w:eastAsia="en-US"/>
        </w:rPr>
        <w:t>Cassava Mosaic Disease (CMD) in central and central-western Côte d’Ivoire, revealing a high and relatively uniform prevalence across major cassava-producing regions. The predominance of African Cassava Mosaic Virus (ACMV) and the detection of co-infections with East African Cassava Mosaic Virus (EACMV) underscore the complex viral landscape driving CMD in the country. Key factors such as the origin of planting material, crop age, and seasonality were identified as major drivers influencing disease dynamics, with informal exchange of cuttings prominently contributing to virus dissemination. The notable presence of asymptomatic yet infected plants highlights the challenges of managing CMD based solely on symptom observation and reinforces the necessity of sensitive molecular diagnostics.</w:t>
      </w:r>
    </w:p>
    <w:p w14:paraId="298B02D8" w14:textId="77777777" w:rsidR="0061082E" w:rsidRPr="0061082E" w:rsidRDefault="0061082E" w:rsidP="000F78E1">
      <w:pPr>
        <w:pStyle w:val="my-2"/>
        <w:spacing w:before="0" w:beforeAutospacing="0" w:after="0" w:afterAutospacing="0" w:line="360" w:lineRule="auto"/>
        <w:jc w:val="both"/>
        <w:rPr>
          <w:rFonts w:ascii="Arial" w:hAnsi="Arial" w:cs="Arial"/>
          <w:sz w:val="20"/>
          <w:szCs w:val="20"/>
          <w:lang w:val="en-US" w:eastAsia="en-US"/>
        </w:rPr>
      </w:pPr>
      <w:r w:rsidRPr="0061082E">
        <w:rPr>
          <w:rFonts w:ascii="Arial" w:hAnsi="Arial" w:cs="Arial"/>
          <w:sz w:val="20"/>
          <w:szCs w:val="20"/>
          <w:lang w:val="en-US" w:eastAsia="en-US"/>
        </w:rPr>
        <w:t>Collectively, these findings emphasize the urgent need for integrated disease management strategies that prioritize the use of certified virus-free planting materials, effective whitefly vector control, and comprehensive surveillance systems. Implementing these approaches will be essential to reduce CMD impact, safeguard cassava production, and ensure food security for vulnerable communities reliant on this staple crop in Côte d’Ivoire</w:t>
      </w:r>
    </w:p>
    <w:p w14:paraId="56068F40" w14:textId="77777777" w:rsidR="00790ADA" w:rsidRPr="00FB3A86" w:rsidRDefault="00790ADA" w:rsidP="00441B6F">
      <w:pPr>
        <w:pStyle w:val="Body"/>
        <w:spacing w:after="0"/>
        <w:rPr>
          <w:rFonts w:ascii="Arial" w:hAnsi="Arial" w:cs="Arial"/>
        </w:rPr>
      </w:pPr>
    </w:p>
    <w:p w14:paraId="582DD2FD" w14:textId="77777777" w:rsidR="007E2B9E" w:rsidRPr="007E2B9E" w:rsidRDefault="007E2B9E" w:rsidP="007E2B9E">
      <w:pPr>
        <w:spacing w:line="276" w:lineRule="auto"/>
        <w:jc w:val="both"/>
        <w:rPr>
          <w:rFonts w:ascii="Arial" w:hAnsi="Arial" w:cs="Arial"/>
          <w:b/>
        </w:rPr>
      </w:pPr>
      <w:r w:rsidRPr="007E2B9E">
        <w:rPr>
          <w:rFonts w:ascii="Arial" w:hAnsi="Arial" w:cs="Arial"/>
          <w:b/>
        </w:rPr>
        <w:t>Disclaimer (Artificial intelligence)</w:t>
      </w:r>
    </w:p>
    <w:p w14:paraId="71040847" w14:textId="77777777" w:rsidR="007E2B9E" w:rsidRPr="007E2B9E" w:rsidRDefault="007E2B9E" w:rsidP="007E2B9E">
      <w:pPr>
        <w:spacing w:line="276" w:lineRule="auto"/>
        <w:jc w:val="both"/>
        <w:rPr>
          <w:rFonts w:ascii="Arial" w:hAnsi="Arial" w:cs="Arial"/>
        </w:rPr>
      </w:pPr>
      <w:r w:rsidRPr="007E2B9E">
        <w:rPr>
          <w:rFonts w:ascii="Arial" w:hAnsi="Arial" w:cs="Arial"/>
        </w:rPr>
        <w:t xml:space="preserve">Option 1: </w:t>
      </w:r>
    </w:p>
    <w:p w14:paraId="42BE79DD" w14:textId="77777777" w:rsidR="007E2B9E" w:rsidRPr="007E2B9E" w:rsidRDefault="007E2B9E" w:rsidP="007E2B9E">
      <w:pPr>
        <w:spacing w:line="276" w:lineRule="auto"/>
        <w:jc w:val="both"/>
        <w:rPr>
          <w:rFonts w:ascii="Arial" w:hAnsi="Arial" w:cs="Arial"/>
        </w:rPr>
      </w:pPr>
      <w:r w:rsidRPr="007E2B9E">
        <w:rPr>
          <w:rFonts w:ascii="Arial" w:hAnsi="Arial" w:cs="Arial"/>
        </w:rPr>
        <w:t>Author(s) hereby declare that NO generative AI technologies such as Large Language Models (</w:t>
      </w:r>
      <w:proofErr w:type="spellStart"/>
      <w:r w:rsidRPr="007E2B9E">
        <w:rPr>
          <w:rFonts w:ascii="Arial" w:hAnsi="Arial" w:cs="Arial"/>
        </w:rPr>
        <w:t>ChatGPT</w:t>
      </w:r>
      <w:proofErr w:type="spellEnd"/>
      <w:r w:rsidRPr="007E2B9E">
        <w:rPr>
          <w:rFonts w:ascii="Arial" w:hAnsi="Arial" w:cs="Arial"/>
        </w:rPr>
        <w:t xml:space="preserve">, COPILOT, etc.) and text-to-image generators have been used during the writing or editing of this manuscript. </w:t>
      </w:r>
    </w:p>
    <w:p w14:paraId="2055E6AF" w14:textId="77777777" w:rsidR="007E2B9E" w:rsidRPr="007E2B9E" w:rsidRDefault="007E2B9E" w:rsidP="007E2B9E">
      <w:pPr>
        <w:spacing w:line="276" w:lineRule="auto"/>
        <w:jc w:val="both"/>
        <w:rPr>
          <w:rFonts w:ascii="Arial" w:hAnsi="Arial" w:cs="Arial"/>
        </w:rPr>
      </w:pPr>
      <w:r w:rsidRPr="007E2B9E">
        <w:rPr>
          <w:rFonts w:ascii="Arial" w:hAnsi="Arial" w:cs="Arial"/>
        </w:rPr>
        <w:t xml:space="preserve">Option 2: </w:t>
      </w:r>
    </w:p>
    <w:p w14:paraId="1A7F816C" w14:textId="77777777" w:rsidR="007E2B9E" w:rsidRPr="007E2B9E" w:rsidRDefault="007E2B9E" w:rsidP="007E2B9E">
      <w:pPr>
        <w:spacing w:line="276" w:lineRule="auto"/>
        <w:jc w:val="both"/>
        <w:rPr>
          <w:rFonts w:ascii="Arial" w:hAnsi="Arial" w:cs="Arial"/>
        </w:rPr>
      </w:pPr>
      <w:r w:rsidRPr="007E2B9E">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94C867" w14:textId="77777777" w:rsidR="007E2B9E" w:rsidRPr="007E2B9E" w:rsidRDefault="007E2B9E" w:rsidP="007E2B9E">
      <w:pPr>
        <w:spacing w:line="276" w:lineRule="auto"/>
        <w:jc w:val="both"/>
        <w:rPr>
          <w:rFonts w:ascii="Arial" w:hAnsi="Arial" w:cs="Arial"/>
        </w:rPr>
      </w:pPr>
      <w:r w:rsidRPr="007E2B9E">
        <w:rPr>
          <w:rFonts w:ascii="Arial" w:hAnsi="Arial" w:cs="Arial"/>
        </w:rPr>
        <w:t>Details of the AI usage are given below:</w:t>
      </w:r>
    </w:p>
    <w:p w14:paraId="6ED8EBC9" w14:textId="77777777" w:rsidR="007E2B9E" w:rsidRPr="007E2B9E" w:rsidRDefault="007E2B9E" w:rsidP="007E2B9E">
      <w:pPr>
        <w:spacing w:line="276" w:lineRule="auto"/>
        <w:jc w:val="both"/>
        <w:rPr>
          <w:rFonts w:ascii="Arial" w:hAnsi="Arial" w:cs="Arial"/>
        </w:rPr>
      </w:pPr>
      <w:r w:rsidRPr="007E2B9E">
        <w:rPr>
          <w:rFonts w:ascii="Arial" w:hAnsi="Arial" w:cs="Arial"/>
        </w:rPr>
        <w:t>1.</w:t>
      </w:r>
    </w:p>
    <w:p w14:paraId="12DA6C18" w14:textId="77777777" w:rsidR="007E2B9E" w:rsidRPr="007E2B9E" w:rsidRDefault="007E2B9E" w:rsidP="007E2B9E">
      <w:pPr>
        <w:spacing w:line="276" w:lineRule="auto"/>
        <w:jc w:val="both"/>
        <w:rPr>
          <w:rFonts w:ascii="Arial" w:hAnsi="Arial" w:cs="Arial"/>
        </w:rPr>
      </w:pPr>
      <w:r w:rsidRPr="007E2B9E">
        <w:rPr>
          <w:rFonts w:ascii="Arial" w:hAnsi="Arial" w:cs="Arial"/>
        </w:rPr>
        <w:t>2.</w:t>
      </w:r>
    </w:p>
    <w:p w14:paraId="7418755C" w14:textId="607181C0" w:rsidR="007503AE" w:rsidRPr="007503AE" w:rsidRDefault="007E2B9E" w:rsidP="007E2B9E">
      <w:pPr>
        <w:spacing w:line="276" w:lineRule="auto"/>
        <w:jc w:val="both"/>
        <w:rPr>
          <w:rFonts w:ascii="Arial" w:hAnsi="Arial" w:cs="Arial"/>
        </w:rPr>
      </w:pPr>
      <w:r w:rsidRPr="007E2B9E">
        <w:rPr>
          <w:rFonts w:ascii="Arial" w:hAnsi="Arial" w:cs="Arial"/>
        </w:rPr>
        <w:t>3.</w:t>
      </w:r>
    </w:p>
    <w:p w14:paraId="3AF21E7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BBB574B" w14:textId="4F3BA189" w:rsidR="00675B23" w:rsidRDefault="00675B23" w:rsidP="007503AE">
      <w:pPr>
        <w:pStyle w:val="Body"/>
        <w:spacing w:before="240" w:after="0"/>
        <w:rPr>
          <w:rStyle w:val="Hyperlink"/>
          <w:rFonts w:ascii="Arial" w:hAnsi="Arial" w:cs="Arial"/>
          <w:u w:val="none"/>
        </w:rPr>
      </w:pPr>
      <w:proofErr w:type="spellStart"/>
      <w:r w:rsidRPr="00675B23">
        <w:rPr>
          <w:rFonts w:ascii="Arial" w:hAnsi="Arial" w:cs="Arial"/>
        </w:rPr>
        <w:t>Ahoya</w:t>
      </w:r>
      <w:proofErr w:type="spellEnd"/>
      <w:r w:rsidRPr="00675B23">
        <w:rPr>
          <w:rFonts w:ascii="Arial" w:hAnsi="Arial" w:cs="Arial"/>
        </w:rPr>
        <w:t xml:space="preserve">, D. K. D., </w:t>
      </w:r>
      <w:proofErr w:type="spellStart"/>
      <w:r w:rsidRPr="00675B23">
        <w:rPr>
          <w:rFonts w:ascii="Arial" w:hAnsi="Arial" w:cs="Arial"/>
        </w:rPr>
        <w:t>Yabi</w:t>
      </w:r>
      <w:proofErr w:type="spellEnd"/>
      <w:r w:rsidRPr="00675B23">
        <w:rPr>
          <w:rFonts w:ascii="Arial" w:hAnsi="Arial" w:cs="Arial"/>
        </w:rPr>
        <w:t xml:space="preserve">, J. A., </w:t>
      </w:r>
      <w:proofErr w:type="spellStart"/>
      <w:r w:rsidRPr="00675B23">
        <w:rPr>
          <w:rFonts w:ascii="Arial" w:hAnsi="Arial" w:cs="Arial"/>
        </w:rPr>
        <w:t>Houngue</w:t>
      </w:r>
      <w:proofErr w:type="spellEnd"/>
      <w:r>
        <w:rPr>
          <w:rFonts w:ascii="Arial" w:hAnsi="Arial" w:cs="Arial"/>
        </w:rPr>
        <w:t>,</w:t>
      </w:r>
      <w:r w:rsidRPr="00675B23">
        <w:rPr>
          <w:rFonts w:ascii="Arial" w:hAnsi="Arial" w:cs="Arial"/>
        </w:rPr>
        <w:t xml:space="preserve"> J. A., </w:t>
      </w:r>
      <w:proofErr w:type="spellStart"/>
      <w:r w:rsidRPr="00675B23">
        <w:rPr>
          <w:rFonts w:ascii="Arial" w:hAnsi="Arial" w:cs="Arial"/>
        </w:rPr>
        <w:t>Houedjissin</w:t>
      </w:r>
      <w:proofErr w:type="spellEnd"/>
      <w:r>
        <w:rPr>
          <w:rFonts w:ascii="Arial" w:hAnsi="Arial" w:cs="Arial"/>
        </w:rPr>
        <w:t>,</w:t>
      </w:r>
      <w:r w:rsidRPr="00675B23">
        <w:rPr>
          <w:rFonts w:ascii="Arial" w:hAnsi="Arial" w:cs="Arial"/>
        </w:rPr>
        <w:t xml:space="preserve"> S. S., </w:t>
      </w:r>
      <w:proofErr w:type="spellStart"/>
      <w:r w:rsidRPr="00675B23">
        <w:rPr>
          <w:rFonts w:ascii="Arial" w:hAnsi="Arial" w:cs="Arial"/>
        </w:rPr>
        <w:t>Zandjanakou-Tachin</w:t>
      </w:r>
      <w:proofErr w:type="spellEnd"/>
      <w:r w:rsidRPr="00675B23">
        <w:rPr>
          <w:rFonts w:ascii="Arial" w:hAnsi="Arial" w:cs="Arial"/>
        </w:rPr>
        <w:t>, M., Adjei</w:t>
      </w:r>
      <w:r>
        <w:rPr>
          <w:rFonts w:ascii="Arial" w:hAnsi="Arial" w:cs="Arial"/>
        </w:rPr>
        <w:t>,</w:t>
      </w:r>
      <w:r w:rsidRPr="00675B23">
        <w:rPr>
          <w:rFonts w:ascii="Arial" w:hAnsi="Arial" w:cs="Arial"/>
        </w:rPr>
        <w:t xml:space="preserve"> E. A., </w:t>
      </w:r>
      <w:proofErr w:type="spellStart"/>
      <w:r w:rsidRPr="00675B23">
        <w:rPr>
          <w:rFonts w:ascii="Arial" w:hAnsi="Arial" w:cs="Arial"/>
        </w:rPr>
        <w:t>Sawadogo-Compaore</w:t>
      </w:r>
      <w:proofErr w:type="spellEnd"/>
      <w:r w:rsidRPr="00675B23">
        <w:rPr>
          <w:rFonts w:ascii="Arial" w:hAnsi="Arial" w:cs="Arial"/>
        </w:rPr>
        <w:t xml:space="preserve">, E. M., Pita, J. S. &amp; </w:t>
      </w:r>
      <w:proofErr w:type="spellStart"/>
      <w:r w:rsidRPr="00675B23">
        <w:rPr>
          <w:rFonts w:ascii="Arial" w:hAnsi="Arial" w:cs="Arial"/>
        </w:rPr>
        <w:t>Ahanhanzo</w:t>
      </w:r>
      <w:proofErr w:type="spellEnd"/>
      <w:r w:rsidRPr="00675B23">
        <w:rPr>
          <w:rFonts w:ascii="Arial" w:hAnsi="Arial" w:cs="Arial"/>
        </w:rPr>
        <w:t xml:space="preserve">, C. (2025). Towards sustainable management of cassava mosaic disease: The impact of awareness campaigns </w:t>
      </w:r>
      <w:r w:rsidRPr="00675B23">
        <w:rPr>
          <w:rFonts w:ascii="Arial" w:hAnsi="Arial" w:cs="Arial"/>
        </w:rPr>
        <w:lastRenderedPageBreak/>
        <w:t xml:space="preserve">in Benin. Journal of Agricultural and Food Research, 21, 101827. DOI/ </w:t>
      </w:r>
      <w:hyperlink r:id="rId22" w:tgtFrame="_blank" w:tooltip="Persistent link using digital object identifier" w:history="1">
        <w:r w:rsidRPr="00675B23">
          <w:rPr>
            <w:rStyle w:val="Hyperlink"/>
            <w:rFonts w:ascii="Arial" w:hAnsi="Arial" w:cs="Arial"/>
            <w:u w:val="none"/>
          </w:rPr>
          <w:t>https://doi.org/10.1016/j.jafr.2025.101827</w:t>
        </w:r>
      </w:hyperlink>
      <w:r w:rsidRPr="00675B23">
        <w:rPr>
          <w:rStyle w:val="Hyperlink"/>
          <w:rFonts w:ascii="Arial" w:hAnsi="Arial" w:cs="Arial"/>
          <w:u w:val="none"/>
        </w:rPr>
        <w:t>.</w:t>
      </w:r>
    </w:p>
    <w:p w14:paraId="383D6797" w14:textId="704F8E2A" w:rsidR="005F0AEB" w:rsidRDefault="005F0AEB" w:rsidP="007503AE">
      <w:pPr>
        <w:pStyle w:val="Body"/>
        <w:spacing w:before="240" w:after="0"/>
      </w:pPr>
      <w:proofErr w:type="spellStart"/>
      <w:r w:rsidRPr="005F0AEB">
        <w:rPr>
          <w:rFonts w:ascii="Arial" w:hAnsi="Arial" w:cs="Arial"/>
        </w:rPr>
        <w:t>Alamu</w:t>
      </w:r>
      <w:proofErr w:type="spellEnd"/>
      <w:r w:rsidRPr="005F0AEB">
        <w:rPr>
          <w:rFonts w:ascii="Arial" w:hAnsi="Arial" w:cs="Arial"/>
        </w:rPr>
        <w:t xml:space="preserve"> E., </w:t>
      </w:r>
      <w:proofErr w:type="spellStart"/>
      <w:r w:rsidRPr="005F0AEB">
        <w:rPr>
          <w:rFonts w:ascii="Arial" w:hAnsi="Arial" w:cs="Arial"/>
        </w:rPr>
        <w:t>Ntawuruhunga</w:t>
      </w:r>
      <w:proofErr w:type="spellEnd"/>
      <w:r w:rsidRPr="005F0AEB">
        <w:rPr>
          <w:rFonts w:ascii="Arial" w:hAnsi="Arial" w:cs="Arial"/>
        </w:rPr>
        <w:t xml:space="preserve"> O.P., </w:t>
      </w:r>
      <w:proofErr w:type="spellStart"/>
      <w:r w:rsidRPr="005F0AEB">
        <w:rPr>
          <w:rFonts w:ascii="Arial" w:hAnsi="Arial" w:cs="Arial"/>
        </w:rPr>
        <w:t>Chibwe</w:t>
      </w:r>
      <w:proofErr w:type="spellEnd"/>
      <w:r w:rsidRPr="005F0AEB">
        <w:rPr>
          <w:rFonts w:ascii="Arial" w:hAnsi="Arial" w:cs="Arial"/>
        </w:rPr>
        <w:t xml:space="preserve"> T., </w:t>
      </w:r>
      <w:proofErr w:type="spellStart"/>
      <w:r w:rsidRPr="005F0AEB">
        <w:rPr>
          <w:rFonts w:ascii="Arial" w:hAnsi="Arial" w:cs="Arial"/>
        </w:rPr>
        <w:t>Mukuka</w:t>
      </w:r>
      <w:proofErr w:type="spellEnd"/>
      <w:r w:rsidRPr="005F0AEB">
        <w:rPr>
          <w:rFonts w:ascii="Arial" w:hAnsi="Arial" w:cs="Arial"/>
        </w:rPr>
        <w:t xml:space="preserve"> I. &amp; </w:t>
      </w:r>
      <w:proofErr w:type="spellStart"/>
      <w:r w:rsidRPr="005F0AEB">
        <w:rPr>
          <w:rFonts w:ascii="Arial" w:hAnsi="Arial" w:cs="Arial"/>
        </w:rPr>
        <w:t>Chiona</w:t>
      </w:r>
      <w:proofErr w:type="spellEnd"/>
      <w:r w:rsidRPr="005F0AEB">
        <w:rPr>
          <w:rFonts w:ascii="Arial" w:hAnsi="Arial" w:cs="Arial"/>
        </w:rPr>
        <w:t xml:space="preserve"> M. (2019). Evaluation of cassava processing and utilization at household level in Zambia. Food Security, 11:141 150.</w:t>
      </w:r>
      <w:r>
        <w:t xml:space="preserve"> DOI: </w:t>
      </w:r>
      <w:hyperlink r:id="rId23" w:history="1">
        <w:r w:rsidRPr="00DC105C">
          <w:rPr>
            <w:rStyle w:val="Hyperlink"/>
          </w:rPr>
          <w:t>https://doi.org/10.1007/s12571-018-0875-3</w:t>
        </w:r>
      </w:hyperlink>
      <w:r>
        <w:t>.</w:t>
      </w:r>
    </w:p>
    <w:p w14:paraId="5D10CF28" w14:textId="2E94AB00" w:rsidR="00675B23" w:rsidRDefault="00675B23" w:rsidP="007503AE">
      <w:pPr>
        <w:pStyle w:val="Body"/>
        <w:spacing w:before="240" w:after="0"/>
        <w:rPr>
          <w:rStyle w:val="Hyperlink"/>
          <w:rFonts w:ascii="Arial" w:hAnsi="Arial" w:cs="Arial"/>
          <w:u w:val="none"/>
        </w:rPr>
      </w:pPr>
      <w:proofErr w:type="spellStart"/>
      <w:r w:rsidRPr="00675B23">
        <w:rPr>
          <w:rFonts w:ascii="Arial" w:hAnsi="Arial" w:cs="Arial"/>
        </w:rPr>
        <w:t>Amoakon</w:t>
      </w:r>
      <w:proofErr w:type="spellEnd"/>
      <w:r w:rsidRPr="00675B23">
        <w:rPr>
          <w:rFonts w:ascii="Arial" w:hAnsi="Arial" w:cs="Arial"/>
        </w:rPr>
        <w:t xml:space="preserve">, W. J. L., Yao A. H. &amp; </w:t>
      </w:r>
      <w:proofErr w:type="spellStart"/>
      <w:r w:rsidRPr="00675B23">
        <w:rPr>
          <w:rFonts w:ascii="Arial" w:hAnsi="Arial" w:cs="Arial"/>
        </w:rPr>
        <w:t>Soro</w:t>
      </w:r>
      <w:proofErr w:type="spellEnd"/>
      <w:r w:rsidRPr="00675B23">
        <w:rPr>
          <w:rFonts w:ascii="Arial" w:hAnsi="Arial" w:cs="Arial"/>
        </w:rPr>
        <w:t xml:space="preserve">, B. G. (2023). Occurrence of cassava mosaic </w:t>
      </w:r>
      <w:proofErr w:type="spellStart"/>
      <w:r w:rsidRPr="00675B23">
        <w:rPr>
          <w:rFonts w:ascii="Arial" w:hAnsi="Arial" w:cs="Arial"/>
        </w:rPr>
        <w:t>begomoviruses</w:t>
      </w:r>
      <w:proofErr w:type="spellEnd"/>
      <w:r w:rsidRPr="00675B23">
        <w:rPr>
          <w:rFonts w:ascii="Arial" w:hAnsi="Arial" w:cs="Arial"/>
        </w:rPr>
        <w:t xml:space="preserve"> in national germplasm of Côte d’Ivoire. Plant Pathology, 72(1), 87-97. DOI: </w:t>
      </w:r>
      <w:r w:rsidRPr="00675B23">
        <w:rPr>
          <w:rStyle w:val="Hyperlink"/>
          <w:rFonts w:ascii="Arial" w:hAnsi="Arial" w:cs="Arial"/>
          <w:u w:val="none"/>
        </w:rPr>
        <w:t>10.1111/ppa.13723.</w:t>
      </w:r>
    </w:p>
    <w:p w14:paraId="1870DBFF" w14:textId="62BB1C3E" w:rsidR="00055F44" w:rsidRDefault="00055F44" w:rsidP="00925505">
      <w:pPr>
        <w:autoSpaceDE w:val="0"/>
        <w:autoSpaceDN w:val="0"/>
        <w:adjustRightInd w:val="0"/>
        <w:spacing w:before="240" w:line="360" w:lineRule="auto"/>
        <w:jc w:val="both"/>
        <w:rPr>
          <w:rFonts w:ascii="Arial" w:hAnsi="Arial" w:cs="Arial"/>
        </w:rPr>
      </w:pPr>
      <w:proofErr w:type="spellStart"/>
      <w:r w:rsidRPr="00055F44">
        <w:rPr>
          <w:rFonts w:ascii="Arial" w:hAnsi="Arial" w:cs="Arial"/>
        </w:rPr>
        <w:t>Bakuzezia</w:t>
      </w:r>
      <w:proofErr w:type="spellEnd"/>
      <w:r>
        <w:rPr>
          <w:rFonts w:ascii="Arial" w:hAnsi="Arial" w:cs="Arial"/>
        </w:rPr>
        <w:t>,</w:t>
      </w:r>
      <w:r w:rsidRPr="00055F44">
        <w:rPr>
          <w:rFonts w:ascii="Arial" w:hAnsi="Arial" w:cs="Arial"/>
        </w:rPr>
        <w:t xml:space="preserve"> M.</w:t>
      </w:r>
      <w:r>
        <w:rPr>
          <w:rFonts w:ascii="Arial" w:hAnsi="Arial" w:cs="Arial"/>
        </w:rPr>
        <w:t xml:space="preserve"> </w:t>
      </w:r>
      <w:r w:rsidRPr="00055F44">
        <w:rPr>
          <w:rFonts w:ascii="Arial" w:hAnsi="Arial" w:cs="Arial"/>
        </w:rPr>
        <w:t xml:space="preserve">M. (2019). The impact of African Cassava Mosaic in </w:t>
      </w:r>
      <w:proofErr w:type="spellStart"/>
      <w:r w:rsidRPr="00055F44">
        <w:rPr>
          <w:rFonts w:ascii="Arial" w:hAnsi="Arial" w:cs="Arial"/>
        </w:rPr>
        <w:t>Kindu</w:t>
      </w:r>
      <w:proofErr w:type="spellEnd"/>
      <w:r w:rsidRPr="00055F44">
        <w:rPr>
          <w:rFonts w:ascii="Arial" w:hAnsi="Arial" w:cs="Arial"/>
        </w:rPr>
        <w:t xml:space="preserve"> and its surroundings (Dr Congo). International Journal of Innovation and Applied Studies, </w:t>
      </w:r>
      <w:proofErr w:type="gramStart"/>
      <w:r w:rsidRPr="00055F44">
        <w:rPr>
          <w:rFonts w:ascii="Arial" w:hAnsi="Arial" w:cs="Arial"/>
        </w:rPr>
        <w:t>2 :</w:t>
      </w:r>
      <w:proofErr w:type="gramEnd"/>
      <w:r w:rsidRPr="00055F44">
        <w:rPr>
          <w:rFonts w:ascii="Arial" w:hAnsi="Arial" w:cs="Arial"/>
        </w:rPr>
        <w:t xml:space="preserve"> 445-456.</w:t>
      </w:r>
      <w:r w:rsidR="00925505" w:rsidRPr="00925505">
        <w:t xml:space="preserve"> </w:t>
      </w:r>
      <w:r w:rsidR="00925505">
        <w:t xml:space="preserve">Link: </w:t>
      </w:r>
      <w:hyperlink r:id="rId24" w:history="1">
        <w:r w:rsidR="00925505" w:rsidRPr="00DC105C">
          <w:rPr>
            <w:rStyle w:val="Hyperlink"/>
            <w:rFonts w:ascii="Arial" w:hAnsi="Arial" w:cs="Arial"/>
          </w:rPr>
          <w:t>https://ijias.issr-journals.org/authid.php?id=10456</w:t>
        </w:r>
      </w:hyperlink>
      <w:r w:rsidR="00925505">
        <w:rPr>
          <w:rFonts w:ascii="Arial" w:hAnsi="Arial" w:cs="Arial"/>
        </w:rPr>
        <w:t>.</w:t>
      </w:r>
    </w:p>
    <w:p w14:paraId="68E8158F" w14:textId="77777777" w:rsidR="00675B23" w:rsidRPr="00675B23" w:rsidRDefault="00675B23" w:rsidP="007503AE">
      <w:pPr>
        <w:pStyle w:val="Body"/>
        <w:spacing w:before="240" w:after="0"/>
        <w:rPr>
          <w:rFonts w:ascii="Arial" w:hAnsi="Arial" w:cs="Arial"/>
        </w:rPr>
      </w:pPr>
      <w:r w:rsidRPr="00675B23">
        <w:rPr>
          <w:rFonts w:ascii="Arial" w:hAnsi="Arial" w:cs="Arial"/>
        </w:rPr>
        <w:t xml:space="preserve">Chisholm, R. H., Nishiura, H. &amp; Ritchie, S. A. (2018). Implications of asymptomatic carriers in infectious disease transmission dynamics: A modeling perspective. Epidemiology &amp; Infection, 146(11), 1355-1363. DOI: </w:t>
      </w:r>
      <w:r w:rsidRPr="00675B23">
        <w:rPr>
          <w:rStyle w:val="Hyperlink"/>
          <w:rFonts w:ascii="Arial" w:hAnsi="Arial" w:cs="Arial"/>
          <w:u w:val="none"/>
        </w:rPr>
        <w:t> </w:t>
      </w:r>
      <w:hyperlink r:id="rId25" w:tgtFrame="_blank" w:history="1">
        <w:r w:rsidRPr="00675B23">
          <w:rPr>
            <w:rStyle w:val="Hyperlink"/>
            <w:rFonts w:ascii="Arial" w:hAnsi="Arial" w:cs="Arial"/>
            <w:u w:val="none"/>
          </w:rPr>
          <w:t>10.1098/rsos.172341</w:t>
        </w:r>
      </w:hyperlink>
      <w:r w:rsidRPr="00675B23">
        <w:rPr>
          <w:rStyle w:val="Hyperlink"/>
          <w:rFonts w:ascii="Arial" w:hAnsi="Arial" w:cs="Arial"/>
          <w:u w:val="none"/>
        </w:rPr>
        <w:t>.</w:t>
      </w:r>
    </w:p>
    <w:p w14:paraId="2A8FFB99" w14:textId="77777777" w:rsidR="00675B23" w:rsidRPr="00675B23" w:rsidRDefault="00675B23" w:rsidP="007503AE">
      <w:pPr>
        <w:pStyle w:val="Body"/>
        <w:spacing w:before="240" w:after="0"/>
        <w:rPr>
          <w:rFonts w:ascii="Arial" w:hAnsi="Arial" w:cs="Arial"/>
        </w:rPr>
      </w:pPr>
      <w:proofErr w:type="spellStart"/>
      <w:r w:rsidRPr="00675B23">
        <w:rPr>
          <w:rFonts w:ascii="Arial" w:hAnsi="Arial" w:cs="Arial"/>
        </w:rPr>
        <w:t>Combala</w:t>
      </w:r>
      <w:proofErr w:type="spellEnd"/>
      <w:r w:rsidRPr="00675B23">
        <w:rPr>
          <w:rFonts w:ascii="Arial" w:hAnsi="Arial" w:cs="Arial"/>
        </w:rPr>
        <w:t xml:space="preserve">, M., </w:t>
      </w:r>
      <w:proofErr w:type="spellStart"/>
      <w:r w:rsidRPr="00675B23">
        <w:rPr>
          <w:rFonts w:ascii="Arial" w:hAnsi="Arial" w:cs="Arial"/>
        </w:rPr>
        <w:t>Kouamé</w:t>
      </w:r>
      <w:proofErr w:type="spellEnd"/>
      <w:r w:rsidRPr="00675B23">
        <w:rPr>
          <w:rFonts w:ascii="Arial" w:hAnsi="Arial" w:cs="Arial"/>
        </w:rPr>
        <w:t xml:space="preserve">, S. A. &amp; </w:t>
      </w:r>
      <w:proofErr w:type="spellStart"/>
      <w:r w:rsidRPr="00675B23">
        <w:rPr>
          <w:rFonts w:ascii="Arial" w:hAnsi="Arial" w:cs="Arial"/>
        </w:rPr>
        <w:t>Soro</w:t>
      </w:r>
      <w:proofErr w:type="spellEnd"/>
      <w:r w:rsidRPr="00675B23">
        <w:rPr>
          <w:rFonts w:ascii="Arial" w:hAnsi="Arial" w:cs="Arial"/>
        </w:rPr>
        <w:t xml:space="preserve">, B. G. (2024). An alarming eastward front of cassava mosaic disease in West Africa. Journal of Plant Pathology, 106(2), 235-248. DOI: </w:t>
      </w:r>
      <w:r w:rsidRPr="00675B23">
        <w:rPr>
          <w:rStyle w:val="Hyperlink"/>
          <w:rFonts w:ascii="Arial" w:hAnsi="Arial" w:cs="Arial"/>
          <w:u w:val="none"/>
        </w:rPr>
        <w:t>10.3390/v16111691.</w:t>
      </w:r>
    </w:p>
    <w:p w14:paraId="70B3DE97" w14:textId="77777777" w:rsidR="00675B23" w:rsidRPr="00675B23" w:rsidRDefault="00675B23" w:rsidP="00CA78BA">
      <w:pPr>
        <w:pStyle w:val="Body"/>
        <w:spacing w:before="240"/>
        <w:rPr>
          <w:rFonts w:ascii="Arial" w:hAnsi="Arial" w:cs="Arial"/>
        </w:rPr>
      </w:pPr>
      <w:proofErr w:type="spellStart"/>
      <w:r w:rsidRPr="00675B23">
        <w:rPr>
          <w:rFonts w:ascii="Arial" w:hAnsi="Arial" w:cs="Arial"/>
        </w:rPr>
        <w:t>Doungous</w:t>
      </w:r>
      <w:proofErr w:type="spellEnd"/>
      <w:r w:rsidRPr="00675B23">
        <w:rPr>
          <w:rFonts w:ascii="Arial" w:hAnsi="Arial" w:cs="Arial"/>
        </w:rPr>
        <w:t xml:space="preserve">, O., </w:t>
      </w:r>
      <w:proofErr w:type="spellStart"/>
      <w:r w:rsidRPr="00675B23">
        <w:rPr>
          <w:rFonts w:ascii="Arial" w:hAnsi="Arial" w:cs="Arial"/>
        </w:rPr>
        <w:t>Masky</w:t>
      </w:r>
      <w:proofErr w:type="spellEnd"/>
      <w:r w:rsidRPr="00675B23">
        <w:rPr>
          <w:rFonts w:ascii="Arial" w:hAnsi="Arial" w:cs="Arial"/>
        </w:rPr>
        <w:t xml:space="preserve">, B. &amp; </w:t>
      </w:r>
      <w:proofErr w:type="spellStart"/>
      <w:r w:rsidRPr="00675B23">
        <w:rPr>
          <w:rFonts w:ascii="Arial" w:hAnsi="Arial" w:cs="Arial"/>
        </w:rPr>
        <w:t>Levai</w:t>
      </w:r>
      <w:proofErr w:type="spellEnd"/>
      <w:r w:rsidRPr="00675B23">
        <w:rPr>
          <w:rFonts w:ascii="Arial" w:hAnsi="Arial" w:cs="Arial"/>
        </w:rPr>
        <w:t xml:space="preserve">, D. L. (2022). Cassava mosaic disease and its whitefly vector in Cameroon: Incidence, severity and whitefly numbers from field surveys. Plant Pathology. 71(5):987-1000. DOI: </w:t>
      </w:r>
      <w:hyperlink r:id="rId26" w:tgtFrame="_blank" w:history="1">
        <w:r w:rsidRPr="00675B23">
          <w:rPr>
            <w:rStyle w:val="Hyperlink"/>
            <w:rFonts w:ascii="Arial" w:hAnsi="Arial" w:cs="Arial"/>
            <w:u w:val="none"/>
          </w:rPr>
          <w:t>10.1016/j.cropro.2022.106017</w:t>
        </w:r>
      </w:hyperlink>
      <w:r w:rsidRPr="00675B23">
        <w:rPr>
          <w:rStyle w:val="Hyperlink"/>
          <w:rFonts w:ascii="Arial" w:hAnsi="Arial" w:cs="Arial"/>
          <w:u w:val="none"/>
        </w:rPr>
        <w:t>.</w:t>
      </w:r>
    </w:p>
    <w:p w14:paraId="3F6F4808" w14:textId="7F119E89" w:rsidR="00675B23" w:rsidRDefault="00675B23" w:rsidP="00256071">
      <w:pPr>
        <w:spacing w:after="160" w:line="259" w:lineRule="auto"/>
        <w:jc w:val="both"/>
        <w:rPr>
          <w:rFonts w:ascii="Arial" w:hAnsi="Arial" w:cs="Arial"/>
        </w:rPr>
      </w:pPr>
      <w:proofErr w:type="spellStart"/>
      <w:r w:rsidRPr="00675B23">
        <w:rPr>
          <w:rFonts w:ascii="Arial" w:hAnsi="Arial" w:cs="Arial"/>
        </w:rPr>
        <w:t>Ikaa</w:t>
      </w:r>
      <w:proofErr w:type="spellEnd"/>
      <w:r w:rsidRPr="00675B23">
        <w:rPr>
          <w:rFonts w:ascii="Arial" w:hAnsi="Arial" w:cs="Arial"/>
        </w:rPr>
        <w:t xml:space="preserve">, L F &amp; </w:t>
      </w:r>
      <w:proofErr w:type="spellStart"/>
      <w:r w:rsidRPr="00675B23">
        <w:rPr>
          <w:rFonts w:ascii="Arial" w:hAnsi="Arial" w:cs="Arial"/>
        </w:rPr>
        <w:t>Musanga</w:t>
      </w:r>
      <w:proofErr w:type="spellEnd"/>
      <w:r w:rsidRPr="00675B23">
        <w:rPr>
          <w:rFonts w:ascii="Arial" w:hAnsi="Arial" w:cs="Arial"/>
        </w:rPr>
        <w:t xml:space="preserve">, M J (2024). The African Cassava Mosaic in </w:t>
      </w:r>
      <w:proofErr w:type="spellStart"/>
      <w:r w:rsidRPr="00675B23">
        <w:rPr>
          <w:rFonts w:ascii="Arial" w:hAnsi="Arial" w:cs="Arial"/>
        </w:rPr>
        <w:t>Gimbi</w:t>
      </w:r>
      <w:proofErr w:type="spellEnd"/>
      <w:r w:rsidRPr="00675B23">
        <w:rPr>
          <w:rFonts w:ascii="Arial" w:hAnsi="Arial" w:cs="Arial"/>
        </w:rPr>
        <w:t xml:space="preserve">/Central Kongo (DR Congo): Influence of age and behavior of some improved varieties. Journal of Oasis Agriculture and Sustainable Development 6(3): 1 - 8. DOI: </w:t>
      </w:r>
      <w:hyperlink r:id="rId27" w:history="1">
        <w:r w:rsidRPr="00675B23">
          <w:rPr>
            <w:rStyle w:val="Hyperlink"/>
            <w:rFonts w:ascii="Arial" w:hAnsi="Arial" w:cs="Arial"/>
          </w:rPr>
          <w:t>https://doi.org/10.56027/JOASD.212024</w:t>
        </w:r>
      </w:hyperlink>
      <w:r w:rsidRPr="00675B23">
        <w:rPr>
          <w:rFonts w:ascii="Arial" w:hAnsi="Arial" w:cs="Arial"/>
        </w:rPr>
        <w:t>.</w:t>
      </w:r>
    </w:p>
    <w:p w14:paraId="61FBE235" w14:textId="21138715" w:rsidR="00CA78BA" w:rsidRPr="00675B23" w:rsidRDefault="00CA78BA" w:rsidP="00256071">
      <w:pPr>
        <w:spacing w:after="160" w:line="259" w:lineRule="auto"/>
        <w:jc w:val="both"/>
        <w:rPr>
          <w:rFonts w:ascii="Arial" w:hAnsi="Arial" w:cs="Arial"/>
        </w:rPr>
      </w:pPr>
      <w:proofErr w:type="spellStart"/>
      <w:r w:rsidRPr="00CA78BA">
        <w:rPr>
          <w:rFonts w:ascii="Arial" w:hAnsi="Arial" w:cs="Arial"/>
        </w:rPr>
        <w:t>Kimno</w:t>
      </w:r>
      <w:proofErr w:type="spellEnd"/>
      <w:r>
        <w:rPr>
          <w:rFonts w:ascii="Arial" w:hAnsi="Arial" w:cs="Arial"/>
        </w:rPr>
        <w:t>, L. C.</w:t>
      </w:r>
      <w:r w:rsidRPr="00CA78BA">
        <w:rPr>
          <w:rFonts w:ascii="Arial" w:hAnsi="Arial" w:cs="Arial"/>
        </w:rPr>
        <w:t xml:space="preserve">, Were, </w:t>
      </w:r>
      <w:r>
        <w:rPr>
          <w:rFonts w:ascii="Arial" w:hAnsi="Arial" w:cs="Arial"/>
        </w:rPr>
        <w:t xml:space="preserve">J. O., </w:t>
      </w:r>
      <w:proofErr w:type="spellStart"/>
      <w:r w:rsidRPr="00CA78BA">
        <w:rPr>
          <w:rFonts w:ascii="Arial" w:hAnsi="Arial" w:cs="Arial"/>
        </w:rPr>
        <w:t>Bimpong</w:t>
      </w:r>
      <w:proofErr w:type="spellEnd"/>
      <w:r w:rsidRPr="00CA78BA">
        <w:rPr>
          <w:rFonts w:ascii="Arial" w:hAnsi="Arial" w:cs="Arial"/>
        </w:rPr>
        <w:t>,</w:t>
      </w:r>
      <w:r>
        <w:rPr>
          <w:rFonts w:ascii="Arial" w:hAnsi="Arial" w:cs="Arial"/>
        </w:rPr>
        <w:t xml:space="preserve"> I. K.,</w:t>
      </w:r>
      <w:r w:rsidRPr="00CA78BA">
        <w:rPr>
          <w:rFonts w:ascii="Arial" w:hAnsi="Arial" w:cs="Arial"/>
        </w:rPr>
        <w:t xml:space="preserve"> Kinyua</w:t>
      </w:r>
      <w:r>
        <w:rPr>
          <w:rFonts w:ascii="Arial" w:hAnsi="Arial" w:cs="Arial"/>
        </w:rPr>
        <w:t>, M. G.</w:t>
      </w:r>
      <w:r w:rsidRPr="00CA78BA">
        <w:rPr>
          <w:rFonts w:ascii="Arial" w:hAnsi="Arial" w:cs="Arial"/>
        </w:rPr>
        <w:t xml:space="preserve"> </w:t>
      </w:r>
      <w:r>
        <w:rPr>
          <w:rFonts w:ascii="Arial" w:hAnsi="Arial" w:cs="Arial"/>
        </w:rPr>
        <w:t>&amp;</w:t>
      </w:r>
      <w:r w:rsidRPr="00CA78BA">
        <w:rPr>
          <w:rFonts w:ascii="Arial" w:hAnsi="Arial" w:cs="Arial"/>
        </w:rPr>
        <w:t xml:space="preserve"> </w:t>
      </w:r>
      <w:proofErr w:type="spellStart"/>
      <w:r w:rsidRPr="00CA78BA">
        <w:rPr>
          <w:rFonts w:ascii="Arial" w:hAnsi="Arial" w:cs="Arial"/>
        </w:rPr>
        <w:t>Kimno</w:t>
      </w:r>
      <w:proofErr w:type="spellEnd"/>
      <w:r>
        <w:rPr>
          <w:rFonts w:ascii="Arial" w:hAnsi="Arial" w:cs="Arial"/>
        </w:rPr>
        <w:t>, S.</w:t>
      </w:r>
      <w:r w:rsidRPr="00CA78BA">
        <w:rPr>
          <w:rFonts w:ascii="Arial" w:hAnsi="Arial" w:cs="Arial"/>
        </w:rPr>
        <w:t xml:space="preserve"> </w:t>
      </w:r>
      <w:r>
        <w:rPr>
          <w:rFonts w:ascii="Arial" w:hAnsi="Arial" w:cs="Arial"/>
        </w:rPr>
        <w:t>(</w:t>
      </w:r>
      <w:r w:rsidRPr="00CA78BA">
        <w:rPr>
          <w:rFonts w:ascii="Arial" w:hAnsi="Arial" w:cs="Arial"/>
        </w:rPr>
        <w:t>2023</w:t>
      </w:r>
      <w:r>
        <w:rPr>
          <w:rFonts w:ascii="Arial" w:hAnsi="Arial" w:cs="Arial"/>
        </w:rPr>
        <w:t>)</w:t>
      </w:r>
      <w:r w:rsidRPr="00CA78BA">
        <w:rPr>
          <w:rFonts w:ascii="Arial" w:hAnsi="Arial" w:cs="Arial"/>
        </w:rPr>
        <w:t>. Virulence and Molecular Detection of Cassava Mosaic and Brown Streak Virus Genes on Elite Mutant Cassava Lines.</w:t>
      </w:r>
      <w:r>
        <w:rPr>
          <w:rFonts w:ascii="Arial" w:hAnsi="Arial" w:cs="Arial"/>
        </w:rPr>
        <w:t xml:space="preserve"> </w:t>
      </w:r>
      <w:r w:rsidRPr="00CA78BA">
        <w:rPr>
          <w:rFonts w:ascii="Arial" w:hAnsi="Arial" w:cs="Arial"/>
        </w:rPr>
        <w:t>Biotechnology Journal International</w:t>
      </w:r>
      <w:r>
        <w:rPr>
          <w:rFonts w:ascii="Arial" w:hAnsi="Arial" w:cs="Arial"/>
        </w:rPr>
        <w:t xml:space="preserve">, </w:t>
      </w:r>
      <w:r w:rsidRPr="00CA78BA">
        <w:rPr>
          <w:rFonts w:ascii="Arial" w:hAnsi="Arial" w:cs="Arial"/>
        </w:rPr>
        <w:t>27 (6</w:t>
      </w:r>
      <w:proofErr w:type="gramStart"/>
      <w:r w:rsidRPr="00CA78BA">
        <w:rPr>
          <w:rFonts w:ascii="Arial" w:hAnsi="Arial" w:cs="Arial"/>
        </w:rPr>
        <w:t>) :</w:t>
      </w:r>
      <w:proofErr w:type="gramEnd"/>
      <w:r w:rsidRPr="00CA78BA">
        <w:rPr>
          <w:rFonts w:ascii="Arial" w:hAnsi="Arial" w:cs="Arial"/>
        </w:rPr>
        <w:t xml:space="preserve"> 1</w:t>
      </w:r>
      <w:r>
        <w:rPr>
          <w:rFonts w:ascii="Arial" w:hAnsi="Arial" w:cs="Arial"/>
        </w:rPr>
        <w:t>-</w:t>
      </w:r>
      <w:r w:rsidRPr="00CA78BA">
        <w:rPr>
          <w:rFonts w:ascii="Arial" w:hAnsi="Arial" w:cs="Arial"/>
        </w:rPr>
        <w:t xml:space="preserve">11. </w:t>
      </w:r>
      <w:r>
        <w:rPr>
          <w:rFonts w:ascii="Arial" w:hAnsi="Arial" w:cs="Arial"/>
        </w:rPr>
        <w:t xml:space="preserve">DOI: </w:t>
      </w:r>
      <w:r w:rsidRPr="00CA78BA">
        <w:rPr>
          <w:rStyle w:val="Hyperlink"/>
          <w:u w:val="none"/>
        </w:rPr>
        <w:t>https://doi.org/10.9734/bji/2023/v27i6701</w:t>
      </w:r>
      <w:r w:rsidRPr="00CA78BA">
        <w:rPr>
          <w:rFonts w:ascii="Arial" w:hAnsi="Arial" w:cs="Arial"/>
        </w:rPr>
        <w:t>.</w:t>
      </w:r>
    </w:p>
    <w:p w14:paraId="2B2B3A71" w14:textId="68057A96" w:rsidR="00675B23" w:rsidRPr="00CA78BA" w:rsidRDefault="00675B23" w:rsidP="00CE7B5A">
      <w:pPr>
        <w:shd w:val="clear" w:color="auto" w:fill="FFFFFF"/>
        <w:spacing w:before="100" w:beforeAutospacing="1" w:after="100" w:afterAutospacing="1"/>
        <w:rPr>
          <w:rFonts w:ascii="Arial" w:hAnsi="Arial" w:cs="Arial"/>
          <w:color w:val="212121"/>
        </w:rPr>
      </w:pPr>
      <w:proofErr w:type="spellStart"/>
      <w:r w:rsidRPr="00675B23">
        <w:rPr>
          <w:rFonts w:ascii="Arial" w:hAnsi="Arial" w:cs="Arial"/>
        </w:rPr>
        <w:t>Kwibuka</w:t>
      </w:r>
      <w:proofErr w:type="spellEnd"/>
      <w:r w:rsidRPr="00675B23">
        <w:rPr>
          <w:rFonts w:ascii="Arial" w:hAnsi="Arial" w:cs="Arial"/>
        </w:rPr>
        <w:t xml:space="preserve">, Y, </w:t>
      </w:r>
      <w:proofErr w:type="spellStart"/>
      <w:r w:rsidRPr="00675B23">
        <w:rPr>
          <w:rFonts w:ascii="Arial" w:hAnsi="Arial" w:cs="Arial"/>
        </w:rPr>
        <w:t>Bisimwa</w:t>
      </w:r>
      <w:proofErr w:type="spellEnd"/>
      <w:r w:rsidRPr="00675B23">
        <w:rPr>
          <w:rFonts w:ascii="Arial" w:hAnsi="Arial" w:cs="Arial"/>
        </w:rPr>
        <w:t xml:space="preserve">, E, Blouin, A G, </w:t>
      </w:r>
      <w:proofErr w:type="spellStart"/>
      <w:r w:rsidRPr="00675B23">
        <w:rPr>
          <w:rFonts w:ascii="Arial" w:hAnsi="Arial" w:cs="Arial"/>
        </w:rPr>
        <w:t>Bragard</w:t>
      </w:r>
      <w:proofErr w:type="spellEnd"/>
      <w:r w:rsidRPr="00675B23">
        <w:rPr>
          <w:rFonts w:ascii="Arial" w:hAnsi="Arial" w:cs="Arial"/>
        </w:rPr>
        <w:t xml:space="preserve">, C, </w:t>
      </w:r>
      <w:proofErr w:type="spellStart"/>
      <w:r w:rsidRPr="00675B23">
        <w:rPr>
          <w:rFonts w:ascii="Arial" w:hAnsi="Arial" w:cs="Arial"/>
        </w:rPr>
        <w:t>Candresse</w:t>
      </w:r>
      <w:proofErr w:type="spellEnd"/>
      <w:r w:rsidRPr="00675B23">
        <w:rPr>
          <w:rFonts w:ascii="Arial" w:hAnsi="Arial" w:cs="Arial"/>
        </w:rPr>
        <w:t xml:space="preserve">, T, Faure, C, </w:t>
      </w:r>
      <w:proofErr w:type="spellStart"/>
      <w:r w:rsidRPr="00675B23">
        <w:rPr>
          <w:rFonts w:ascii="Arial" w:hAnsi="Arial" w:cs="Arial"/>
        </w:rPr>
        <w:t>Filloux</w:t>
      </w:r>
      <w:proofErr w:type="spellEnd"/>
      <w:r w:rsidRPr="00675B23">
        <w:rPr>
          <w:rFonts w:ascii="Arial" w:hAnsi="Arial" w:cs="Arial"/>
        </w:rPr>
        <w:t xml:space="preserve">, D, Lett, J M, </w:t>
      </w:r>
      <w:proofErr w:type="spellStart"/>
      <w:r w:rsidRPr="00675B23">
        <w:rPr>
          <w:rFonts w:ascii="Arial" w:hAnsi="Arial" w:cs="Arial"/>
        </w:rPr>
        <w:t>Maclot</w:t>
      </w:r>
      <w:proofErr w:type="spellEnd"/>
      <w:r w:rsidRPr="00675B23">
        <w:rPr>
          <w:rFonts w:ascii="Arial" w:hAnsi="Arial" w:cs="Arial"/>
        </w:rPr>
        <w:t xml:space="preserve">, F, Marais, A, </w:t>
      </w:r>
      <w:proofErr w:type="spellStart"/>
      <w:r w:rsidRPr="00675B23">
        <w:rPr>
          <w:rFonts w:ascii="Arial" w:hAnsi="Arial" w:cs="Arial"/>
        </w:rPr>
        <w:t>Ravelomanantsoa</w:t>
      </w:r>
      <w:proofErr w:type="spellEnd"/>
      <w:r w:rsidRPr="00675B23">
        <w:rPr>
          <w:rFonts w:ascii="Arial" w:hAnsi="Arial" w:cs="Arial"/>
        </w:rPr>
        <w:t xml:space="preserve">, S, Shakir, S, </w:t>
      </w:r>
      <w:proofErr w:type="spellStart"/>
      <w:r w:rsidRPr="00675B23">
        <w:rPr>
          <w:rFonts w:ascii="Arial" w:hAnsi="Arial" w:cs="Arial"/>
        </w:rPr>
        <w:t>Vanderschuren</w:t>
      </w:r>
      <w:proofErr w:type="spellEnd"/>
      <w:r w:rsidRPr="00675B23">
        <w:rPr>
          <w:rFonts w:ascii="Arial" w:hAnsi="Arial" w:cs="Arial"/>
        </w:rPr>
        <w:t xml:space="preserve">, H, &amp; </w:t>
      </w:r>
      <w:proofErr w:type="spellStart"/>
      <w:r w:rsidRPr="00675B23">
        <w:rPr>
          <w:rFonts w:ascii="Arial" w:hAnsi="Arial" w:cs="Arial"/>
        </w:rPr>
        <w:t>Massart</w:t>
      </w:r>
      <w:proofErr w:type="spellEnd"/>
      <w:r w:rsidRPr="00675B23">
        <w:rPr>
          <w:rFonts w:ascii="Arial" w:hAnsi="Arial" w:cs="Arial"/>
        </w:rPr>
        <w:t xml:space="preserve">, S, (2021). Novel </w:t>
      </w:r>
      <w:proofErr w:type="spellStart"/>
      <w:r w:rsidRPr="00675B23">
        <w:rPr>
          <w:rFonts w:ascii="Arial" w:hAnsi="Arial" w:cs="Arial"/>
        </w:rPr>
        <w:t>Ampeloviruses</w:t>
      </w:r>
      <w:proofErr w:type="spellEnd"/>
      <w:r w:rsidRPr="00675B23">
        <w:rPr>
          <w:rFonts w:ascii="Arial" w:hAnsi="Arial" w:cs="Arial"/>
        </w:rPr>
        <w:t xml:space="preserve"> Infecting Cassava in Central Africa and the South West Indian Ocean Islands. Viruses, </w:t>
      </w:r>
      <w:proofErr w:type="spellStart"/>
      <w:r w:rsidRPr="00675B23">
        <w:rPr>
          <w:rFonts w:ascii="Arial" w:hAnsi="Arial" w:cs="Arial"/>
        </w:rPr>
        <w:t>meye</w:t>
      </w:r>
      <w:proofErr w:type="spellEnd"/>
      <w:r w:rsidRPr="00675B23">
        <w:rPr>
          <w:rFonts w:ascii="Arial" w:hAnsi="Arial" w:cs="Arial"/>
        </w:rPr>
        <w:t xml:space="preserve"> </w:t>
      </w:r>
      <w:proofErr w:type="gramStart"/>
      <w:r w:rsidRPr="00675B23">
        <w:rPr>
          <w:rFonts w:ascii="Arial" w:hAnsi="Arial" w:cs="Arial"/>
        </w:rPr>
        <w:t>13 :</w:t>
      </w:r>
      <w:proofErr w:type="gramEnd"/>
      <w:r w:rsidRPr="00675B23">
        <w:rPr>
          <w:rFonts w:ascii="Arial" w:hAnsi="Arial" w:cs="Arial"/>
        </w:rPr>
        <w:t xml:space="preserve"> 1030-1047. </w:t>
      </w:r>
      <w:proofErr w:type="gramStart"/>
      <w:r w:rsidRPr="00675B23">
        <w:rPr>
          <w:rFonts w:ascii="Arial" w:hAnsi="Arial" w:cs="Arial"/>
        </w:rPr>
        <w:t>DOI </w:t>
      </w:r>
      <w:r w:rsidRPr="00CA78BA">
        <w:rPr>
          <w:rFonts w:ascii="Arial" w:hAnsi="Arial" w:cs="Arial"/>
        </w:rPr>
        <w:t>:</w:t>
      </w:r>
      <w:proofErr w:type="gramEnd"/>
      <w:r w:rsidR="00CA78BA" w:rsidRPr="00CA78BA">
        <w:rPr>
          <w:rStyle w:val="Hyperlink"/>
          <w:rFonts w:ascii="Arial" w:hAnsi="Arial" w:cs="Arial"/>
          <w:u w:val="none"/>
        </w:rPr>
        <w:t xml:space="preserve"> </w:t>
      </w:r>
      <w:hyperlink r:id="rId28" w:tgtFrame="_blank" w:history="1">
        <w:r w:rsidRPr="00CA78BA">
          <w:rPr>
            <w:rStyle w:val="Hyperlink"/>
            <w:rFonts w:ascii="Arial" w:hAnsi="Arial" w:cs="Arial"/>
            <w:u w:val="none"/>
          </w:rPr>
          <w:t>10.3390/v13061030</w:t>
        </w:r>
      </w:hyperlink>
      <w:r w:rsidRPr="00CA78BA">
        <w:rPr>
          <w:rStyle w:val="identifier"/>
          <w:rFonts w:ascii="Arial" w:hAnsi="Arial" w:cs="Arial"/>
          <w:color w:val="212121"/>
        </w:rPr>
        <w:t>.</w:t>
      </w:r>
    </w:p>
    <w:p w14:paraId="346DCB3B" w14:textId="77777777" w:rsidR="00675B23" w:rsidRPr="00675B23" w:rsidRDefault="00675B23" w:rsidP="007503AE">
      <w:pPr>
        <w:pStyle w:val="Body"/>
        <w:spacing w:before="240" w:after="0"/>
        <w:rPr>
          <w:rFonts w:ascii="Arial" w:hAnsi="Arial" w:cs="Arial"/>
        </w:rPr>
      </w:pPr>
      <w:r w:rsidRPr="00675B23">
        <w:rPr>
          <w:rFonts w:ascii="Arial" w:hAnsi="Arial" w:cs="Arial"/>
        </w:rPr>
        <w:t xml:space="preserve">Legg JP, </w:t>
      </w:r>
      <w:proofErr w:type="spellStart"/>
      <w:r w:rsidRPr="00675B23">
        <w:rPr>
          <w:rFonts w:ascii="Arial" w:hAnsi="Arial" w:cs="Arial"/>
        </w:rPr>
        <w:t>Ndunguru</w:t>
      </w:r>
      <w:proofErr w:type="spellEnd"/>
      <w:r w:rsidRPr="00675B23">
        <w:rPr>
          <w:rFonts w:ascii="Arial" w:hAnsi="Arial" w:cs="Arial"/>
        </w:rPr>
        <w:t xml:space="preserve"> J &amp; </w:t>
      </w:r>
      <w:proofErr w:type="spellStart"/>
      <w:r w:rsidRPr="00675B23">
        <w:rPr>
          <w:rFonts w:ascii="Arial" w:hAnsi="Arial" w:cs="Arial"/>
        </w:rPr>
        <w:t>Maruthi</w:t>
      </w:r>
      <w:proofErr w:type="spellEnd"/>
      <w:r w:rsidRPr="00675B23">
        <w:rPr>
          <w:rFonts w:ascii="Arial" w:hAnsi="Arial" w:cs="Arial"/>
        </w:rPr>
        <w:t xml:space="preserve"> MN (2014). Cassava virus diseases: Biology, epidemiology and management. Advances in Virus Research, 91, 85-142. DOI: </w:t>
      </w:r>
      <w:hyperlink r:id="rId29" w:history="1">
        <w:r w:rsidRPr="00675B23">
          <w:rPr>
            <w:rStyle w:val="Hyperlink"/>
            <w:rFonts w:ascii="Arial" w:hAnsi="Arial" w:cs="Arial"/>
            <w:u w:val="none"/>
          </w:rPr>
          <w:t>https://doi.org/10.1016/bs.aivir.2014.10.001</w:t>
        </w:r>
      </w:hyperlink>
      <w:r w:rsidRPr="00675B23">
        <w:rPr>
          <w:rStyle w:val="Hyperlink"/>
          <w:rFonts w:ascii="Arial" w:hAnsi="Arial" w:cs="Arial"/>
          <w:u w:val="none"/>
        </w:rPr>
        <w:t>.</w:t>
      </w:r>
    </w:p>
    <w:p w14:paraId="2B70D343" w14:textId="65F8DB16" w:rsidR="00CA78BA" w:rsidRDefault="00675B23" w:rsidP="00CA78BA">
      <w:pPr>
        <w:pStyle w:val="Body"/>
        <w:spacing w:before="240"/>
        <w:rPr>
          <w:rFonts w:ascii="Arial" w:hAnsi="Arial" w:cs="Arial"/>
        </w:rPr>
      </w:pPr>
      <w:proofErr w:type="spellStart"/>
      <w:r w:rsidRPr="00675B23">
        <w:rPr>
          <w:rFonts w:ascii="Arial" w:hAnsi="Arial" w:cs="Arial"/>
        </w:rPr>
        <w:t>Mivedor</w:t>
      </w:r>
      <w:proofErr w:type="spellEnd"/>
      <w:r w:rsidRPr="00675B23">
        <w:rPr>
          <w:rFonts w:ascii="Arial" w:hAnsi="Arial" w:cs="Arial"/>
        </w:rPr>
        <w:t xml:space="preserve">, A S, </w:t>
      </w:r>
      <w:proofErr w:type="spellStart"/>
      <w:r w:rsidRPr="00675B23">
        <w:rPr>
          <w:rFonts w:ascii="Arial" w:hAnsi="Arial" w:cs="Arial"/>
        </w:rPr>
        <w:t>Dansou-Kodjo</w:t>
      </w:r>
      <w:proofErr w:type="spellEnd"/>
      <w:r w:rsidRPr="00675B23">
        <w:rPr>
          <w:rFonts w:ascii="Arial" w:hAnsi="Arial" w:cs="Arial"/>
        </w:rPr>
        <w:t xml:space="preserve">, K A, </w:t>
      </w:r>
      <w:proofErr w:type="spellStart"/>
      <w:r w:rsidRPr="00675B23">
        <w:rPr>
          <w:rFonts w:ascii="Arial" w:hAnsi="Arial" w:cs="Arial"/>
        </w:rPr>
        <w:t>Adjata</w:t>
      </w:r>
      <w:proofErr w:type="spellEnd"/>
      <w:r w:rsidRPr="00675B23">
        <w:rPr>
          <w:rFonts w:ascii="Arial" w:hAnsi="Arial" w:cs="Arial"/>
        </w:rPr>
        <w:t xml:space="preserve">, D K. &amp; Pita, J S. (2020). Identification and incidence of Cassava Mosaic </w:t>
      </w:r>
      <w:proofErr w:type="spellStart"/>
      <w:r w:rsidRPr="00675B23">
        <w:rPr>
          <w:rFonts w:ascii="Arial" w:hAnsi="Arial" w:cs="Arial"/>
        </w:rPr>
        <w:t>Begomoviruses</w:t>
      </w:r>
      <w:proofErr w:type="spellEnd"/>
      <w:r w:rsidRPr="00675B23">
        <w:rPr>
          <w:rFonts w:ascii="Arial" w:hAnsi="Arial" w:cs="Arial"/>
        </w:rPr>
        <w:t xml:space="preserve"> in Togo. Asian Journal of Plant Pathology 14: 11-20. DOI: </w:t>
      </w:r>
      <w:hyperlink r:id="rId30" w:history="1">
        <w:r w:rsidRPr="00CA78BA">
          <w:rPr>
            <w:rStyle w:val="Hyperlink"/>
            <w:rFonts w:ascii="Arial" w:hAnsi="Arial" w:cs="Arial"/>
            <w:u w:val="none"/>
          </w:rPr>
          <w:t>https://scialert.net/abstract/?doi=ajppaj.2020.11.20</w:t>
        </w:r>
      </w:hyperlink>
      <w:r w:rsidRPr="00CA78BA">
        <w:rPr>
          <w:rFonts w:ascii="Arial" w:hAnsi="Arial" w:cs="Arial"/>
        </w:rPr>
        <w:t>.</w:t>
      </w:r>
    </w:p>
    <w:p w14:paraId="2218B564" w14:textId="4BFDF872" w:rsidR="00EC1220" w:rsidRDefault="00EC1220" w:rsidP="00EC1220">
      <w:pPr>
        <w:pStyle w:val="Body"/>
        <w:spacing w:before="240" w:after="0"/>
      </w:pPr>
      <w:r>
        <w:lastRenderedPageBreak/>
        <w:t xml:space="preserve">Mullis, K. B., </w:t>
      </w:r>
      <w:proofErr w:type="spellStart"/>
      <w:r>
        <w:t>Erlich</w:t>
      </w:r>
      <w:proofErr w:type="spellEnd"/>
      <w:r>
        <w:t xml:space="preserve">, H. A., </w:t>
      </w:r>
      <w:proofErr w:type="spellStart"/>
      <w:r>
        <w:t>Arnheim</w:t>
      </w:r>
      <w:proofErr w:type="spellEnd"/>
      <w:r>
        <w:t xml:space="preserve">, N., Horn, G. T., Saiki. R. K., Scharf, S. J. (1987). Process for amplifying, detecting and/or cloning nucleic acid sequences. United States Patent and Trademark Office, 31 p. </w:t>
      </w:r>
    </w:p>
    <w:p w14:paraId="16F9BC1A" w14:textId="4AE3D96B" w:rsidR="00EC1220" w:rsidRDefault="00EC1220" w:rsidP="00EC1220">
      <w:pPr>
        <w:pStyle w:val="Body"/>
      </w:pPr>
      <w:r>
        <w:t xml:space="preserve">Link: </w:t>
      </w:r>
      <w:hyperlink r:id="rId31" w:history="1">
        <w:r w:rsidRPr="00DC105C">
          <w:rPr>
            <w:rStyle w:val="Hyperlink"/>
          </w:rPr>
          <w:t>https://patentimages.storage.googleapis.com/05/52/78/abd6d789369d5c/US4800159.pdf</w:t>
        </w:r>
      </w:hyperlink>
      <w:r>
        <w:t>.</w:t>
      </w:r>
    </w:p>
    <w:p w14:paraId="105610EE" w14:textId="77777777" w:rsidR="00EC1220" w:rsidRPr="00675B23" w:rsidRDefault="00EC1220" w:rsidP="00CA78BA">
      <w:pPr>
        <w:pStyle w:val="Body"/>
        <w:spacing w:before="240"/>
        <w:rPr>
          <w:rFonts w:ascii="Arial" w:hAnsi="Arial" w:cs="Arial"/>
        </w:rPr>
      </w:pPr>
    </w:p>
    <w:p w14:paraId="574F4ABD" w14:textId="77777777" w:rsidR="00675B23" w:rsidRPr="00675B23" w:rsidRDefault="00675B23" w:rsidP="00256071">
      <w:pPr>
        <w:spacing w:after="160" w:line="259" w:lineRule="auto"/>
        <w:jc w:val="both"/>
        <w:rPr>
          <w:rStyle w:val="Hyperlink"/>
          <w:rFonts w:ascii="Arial" w:hAnsi="Arial" w:cs="Arial"/>
        </w:rPr>
      </w:pPr>
      <w:proofErr w:type="spellStart"/>
      <w:r w:rsidRPr="00675B23">
        <w:rPr>
          <w:rFonts w:ascii="Arial" w:hAnsi="Arial" w:cs="Arial"/>
        </w:rPr>
        <w:t>Munguti</w:t>
      </w:r>
      <w:proofErr w:type="spellEnd"/>
      <w:r w:rsidRPr="00675B23">
        <w:rPr>
          <w:rFonts w:ascii="Arial" w:hAnsi="Arial" w:cs="Arial"/>
        </w:rPr>
        <w:t xml:space="preserve">, F M, </w:t>
      </w:r>
      <w:proofErr w:type="spellStart"/>
      <w:r w:rsidRPr="00675B23">
        <w:rPr>
          <w:rFonts w:ascii="Arial" w:hAnsi="Arial" w:cs="Arial"/>
        </w:rPr>
        <w:t>Nyaboga</w:t>
      </w:r>
      <w:proofErr w:type="spellEnd"/>
      <w:r w:rsidRPr="00675B23">
        <w:rPr>
          <w:rFonts w:ascii="Arial" w:hAnsi="Arial" w:cs="Arial"/>
        </w:rPr>
        <w:t xml:space="preserve">, E N, </w:t>
      </w:r>
      <w:proofErr w:type="spellStart"/>
      <w:r w:rsidRPr="00675B23">
        <w:rPr>
          <w:rFonts w:ascii="Arial" w:hAnsi="Arial" w:cs="Arial"/>
        </w:rPr>
        <w:t>Kilalo</w:t>
      </w:r>
      <w:proofErr w:type="spellEnd"/>
      <w:r w:rsidRPr="00675B23">
        <w:rPr>
          <w:rFonts w:ascii="Arial" w:hAnsi="Arial" w:cs="Arial"/>
        </w:rPr>
        <w:t xml:space="preserve">, D C, </w:t>
      </w:r>
      <w:proofErr w:type="spellStart"/>
      <w:r w:rsidRPr="00675B23">
        <w:rPr>
          <w:rFonts w:ascii="Arial" w:hAnsi="Arial" w:cs="Arial"/>
        </w:rPr>
        <w:t>Yegon</w:t>
      </w:r>
      <w:proofErr w:type="spellEnd"/>
      <w:r w:rsidRPr="00675B23">
        <w:rPr>
          <w:rFonts w:ascii="Arial" w:hAnsi="Arial" w:cs="Arial"/>
        </w:rPr>
        <w:t xml:space="preserve">, H K, Macharia, I &amp; </w:t>
      </w:r>
      <w:proofErr w:type="spellStart"/>
      <w:r w:rsidRPr="00675B23">
        <w:rPr>
          <w:rFonts w:ascii="Arial" w:hAnsi="Arial" w:cs="Arial"/>
        </w:rPr>
        <w:t>Mwango’mbe</w:t>
      </w:r>
      <w:proofErr w:type="spellEnd"/>
      <w:r w:rsidRPr="00675B23">
        <w:rPr>
          <w:rFonts w:ascii="Arial" w:hAnsi="Arial" w:cs="Arial"/>
        </w:rPr>
        <w:t xml:space="preserve">, A W (2023). Survey of cassava brown streak disease and association of factors influencing its epidemics in smallholder cassava cropping systems of coastal Kenya. </w:t>
      </w:r>
      <w:hyperlink r:id="rId32" w:history="1">
        <w:r w:rsidRPr="00CF0F78">
          <w:rPr>
            <w:rFonts w:ascii="Arial" w:hAnsi="Arial" w:cs="Arial"/>
          </w:rPr>
          <w:t>Frontiers in</w:t>
        </w:r>
        <w:r w:rsidRPr="00675B23">
          <w:rPr>
            <w:rFonts w:ascii="Arial" w:hAnsi="Arial" w:cs="Arial"/>
          </w:rPr>
          <w:t xml:space="preserve"> </w:t>
        </w:r>
        <w:r w:rsidRPr="00CF0F78">
          <w:rPr>
            <w:rFonts w:ascii="Arial" w:hAnsi="Arial" w:cs="Arial"/>
          </w:rPr>
          <w:t>Sustainable Food Systems</w:t>
        </w:r>
        <w:r w:rsidRPr="00675B23">
          <w:rPr>
            <w:rFonts w:ascii="Arial" w:hAnsi="Arial" w:cs="Arial"/>
          </w:rPr>
          <w:t xml:space="preserve"> 6 : 1015315</w:t>
        </w:r>
      </w:hyperlink>
      <w:r w:rsidRPr="00675B23">
        <w:rPr>
          <w:rFonts w:ascii="Arial" w:hAnsi="Arial" w:cs="Arial"/>
        </w:rPr>
        <w:t xml:space="preserve">. Doi: </w:t>
      </w:r>
      <w:hyperlink r:id="rId33" w:history="1">
        <w:r w:rsidRPr="00CA78BA">
          <w:rPr>
            <w:rStyle w:val="Hyperlink"/>
            <w:rFonts w:ascii="Arial" w:hAnsi="Arial" w:cs="Arial"/>
            <w:u w:val="none"/>
          </w:rPr>
          <w:t>https://doi.org/10.3389/fsufs.2022.1015315</w:t>
        </w:r>
      </w:hyperlink>
      <w:r w:rsidRPr="00CA78BA">
        <w:rPr>
          <w:rStyle w:val="Hyperlink"/>
          <w:rFonts w:ascii="Arial" w:hAnsi="Arial" w:cs="Arial"/>
          <w:u w:val="none"/>
        </w:rPr>
        <w:t xml:space="preserve"> </w:t>
      </w:r>
    </w:p>
    <w:p w14:paraId="17F327AE" w14:textId="77777777" w:rsidR="00675B23" w:rsidRPr="00675B23" w:rsidRDefault="00675B23" w:rsidP="00D75724">
      <w:pPr>
        <w:pStyle w:val="Body"/>
        <w:spacing w:before="240" w:after="0"/>
        <w:rPr>
          <w:rFonts w:ascii="Arial" w:hAnsi="Arial" w:cs="Arial"/>
        </w:rPr>
      </w:pPr>
      <w:proofErr w:type="spellStart"/>
      <w:r w:rsidRPr="00675B23">
        <w:rPr>
          <w:rFonts w:ascii="Arial" w:hAnsi="Arial" w:cs="Arial"/>
        </w:rPr>
        <w:t>Nazarov</w:t>
      </w:r>
      <w:proofErr w:type="spellEnd"/>
      <w:r w:rsidRPr="00675B23">
        <w:rPr>
          <w:rFonts w:ascii="Arial" w:hAnsi="Arial" w:cs="Arial"/>
        </w:rPr>
        <w:t xml:space="preserve">, P A., </w:t>
      </w:r>
      <w:proofErr w:type="spellStart"/>
      <w:r w:rsidRPr="00675B23">
        <w:rPr>
          <w:rFonts w:ascii="Arial" w:hAnsi="Arial" w:cs="Arial"/>
        </w:rPr>
        <w:t>Baleev</w:t>
      </w:r>
      <w:proofErr w:type="spellEnd"/>
      <w:r w:rsidRPr="00675B23">
        <w:rPr>
          <w:rFonts w:ascii="Arial" w:hAnsi="Arial" w:cs="Arial"/>
        </w:rPr>
        <w:t xml:space="preserve">, D N., Ivanova, M I., </w:t>
      </w:r>
      <w:proofErr w:type="spellStart"/>
      <w:r w:rsidRPr="00675B23">
        <w:rPr>
          <w:rFonts w:ascii="Arial" w:hAnsi="Arial" w:cs="Arial"/>
        </w:rPr>
        <w:t>Sokolova</w:t>
      </w:r>
      <w:proofErr w:type="spellEnd"/>
      <w:r w:rsidRPr="00675B23">
        <w:rPr>
          <w:rFonts w:ascii="Arial" w:hAnsi="Arial" w:cs="Arial"/>
        </w:rPr>
        <w:t xml:space="preserve">, L M. &amp;. </w:t>
      </w:r>
      <w:proofErr w:type="spellStart"/>
      <w:r w:rsidRPr="00675B23">
        <w:rPr>
          <w:rFonts w:ascii="Arial" w:hAnsi="Arial" w:cs="Arial"/>
        </w:rPr>
        <w:t>Karakozova</w:t>
      </w:r>
      <w:proofErr w:type="spellEnd"/>
      <w:r w:rsidRPr="00675B23">
        <w:rPr>
          <w:rFonts w:ascii="Arial" w:hAnsi="Arial" w:cs="Arial"/>
        </w:rPr>
        <w:t xml:space="preserve">, M V (2020). Infectious Plant Diseases: Etiology, Current Status, Problems and Prospects in Plant Protection. Acta </w:t>
      </w:r>
      <w:proofErr w:type="spellStart"/>
      <w:r w:rsidRPr="00675B23">
        <w:rPr>
          <w:rFonts w:ascii="Arial" w:hAnsi="Arial" w:cs="Arial"/>
        </w:rPr>
        <w:t>Naturae</w:t>
      </w:r>
      <w:proofErr w:type="spellEnd"/>
      <w:r w:rsidRPr="00675B23">
        <w:rPr>
          <w:rFonts w:ascii="Arial" w:hAnsi="Arial" w:cs="Arial"/>
        </w:rPr>
        <w:t xml:space="preserve">, 12(3): 46-59. DOI: </w:t>
      </w:r>
      <w:hyperlink r:id="rId34" w:tgtFrame="_blank" w:history="1">
        <w:r w:rsidRPr="00CA78BA">
          <w:rPr>
            <w:rStyle w:val="Hyperlink"/>
            <w:rFonts w:ascii="Arial" w:hAnsi="Arial" w:cs="Arial"/>
            <w:u w:val="none"/>
          </w:rPr>
          <w:t>10.32607/actanaturae.11026</w:t>
        </w:r>
      </w:hyperlink>
      <w:r w:rsidRPr="00CA78BA">
        <w:rPr>
          <w:rFonts w:ascii="Arial" w:hAnsi="Arial" w:cs="Arial"/>
        </w:rPr>
        <w:t>.</w:t>
      </w:r>
    </w:p>
    <w:p w14:paraId="6645EAB7" w14:textId="77777777" w:rsidR="00675B23" w:rsidRPr="00675B23" w:rsidRDefault="00675B23" w:rsidP="007503AE">
      <w:pPr>
        <w:pStyle w:val="Body"/>
        <w:spacing w:before="240" w:after="0"/>
        <w:rPr>
          <w:rFonts w:ascii="Arial" w:hAnsi="Arial" w:cs="Arial"/>
        </w:rPr>
      </w:pPr>
      <w:proofErr w:type="spellStart"/>
      <w:r w:rsidRPr="00675B23">
        <w:rPr>
          <w:rFonts w:ascii="Arial" w:hAnsi="Arial" w:cs="Arial"/>
        </w:rPr>
        <w:t>Sseruwagi</w:t>
      </w:r>
      <w:proofErr w:type="spellEnd"/>
      <w:r w:rsidRPr="00675B23">
        <w:rPr>
          <w:rFonts w:ascii="Arial" w:hAnsi="Arial" w:cs="Arial"/>
        </w:rPr>
        <w:t xml:space="preserve">, P., </w:t>
      </w:r>
      <w:proofErr w:type="spellStart"/>
      <w:r w:rsidRPr="00675B23">
        <w:rPr>
          <w:rFonts w:ascii="Arial" w:hAnsi="Arial" w:cs="Arial"/>
        </w:rPr>
        <w:t>Sserubombwe</w:t>
      </w:r>
      <w:proofErr w:type="spellEnd"/>
      <w:r w:rsidRPr="00675B23">
        <w:rPr>
          <w:rFonts w:ascii="Arial" w:hAnsi="Arial" w:cs="Arial"/>
        </w:rPr>
        <w:t xml:space="preserve">, W. S., Legg J. B., </w:t>
      </w:r>
      <w:proofErr w:type="spellStart"/>
      <w:r w:rsidRPr="00675B23">
        <w:rPr>
          <w:rFonts w:ascii="Arial" w:hAnsi="Arial" w:cs="Arial"/>
        </w:rPr>
        <w:t>Ndunguru</w:t>
      </w:r>
      <w:proofErr w:type="spellEnd"/>
      <w:r w:rsidRPr="00675B23">
        <w:rPr>
          <w:rFonts w:ascii="Arial" w:hAnsi="Arial" w:cs="Arial"/>
        </w:rPr>
        <w:t xml:space="preserve">, J. &amp; Thresh, J. M. (2004). Methods of surveying the incidence and severity of Cassava Mosaic Disease and whitefly vector populations on cassava in Africa: A review. Virus Research, </w:t>
      </w:r>
      <w:proofErr w:type="gramStart"/>
      <w:r w:rsidRPr="00675B23">
        <w:rPr>
          <w:rFonts w:ascii="Arial" w:hAnsi="Arial" w:cs="Arial"/>
        </w:rPr>
        <w:t>100 :</w:t>
      </w:r>
      <w:proofErr w:type="gramEnd"/>
      <w:r w:rsidRPr="00675B23">
        <w:rPr>
          <w:rFonts w:ascii="Arial" w:hAnsi="Arial" w:cs="Arial"/>
        </w:rPr>
        <w:t xml:space="preserve"> 129-142. DOI: </w:t>
      </w:r>
      <w:hyperlink r:id="rId35" w:history="1">
        <w:r w:rsidRPr="00CA78BA">
          <w:rPr>
            <w:rStyle w:val="Hyperlink"/>
            <w:rFonts w:ascii="Arial" w:hAnsi="Arial" w:cs="Arial"/>
            <w:u w:val="none"/>
          </w:rPr>
          <w:t>https://pubmed.ncbi.nlm.nih.gov/15036844/</w:t>
        </w:r>
      </w:hyperlink>
      <w:r w:rsidRPr="00CA78BA">
        <w:rPr>
          <w:rFonts w:ascii="Arial" w:hAnsi="Arial" w:cs="Arial"/>
        </w:rPr>
        <w:t>.</w:t>
      </w:r>
    </w:p>
    <w:p w14:paraId="234A6AA4" w14:textId="77777777" w:rsidR="00675B23" w:rsidRPr="00675B23" w:rsidRDefault="00675B23" w:rsidP="007503AE">
      <w:pPr>
        <w:pStyle w:val="Body"/>
        <w:spacing w:before="240" w:after="0"/>
        <w:rPr>
          <w:rFonts w:ascii="Arial" w:hAnsi="Arial" w:cs="Arial"/>
        </w:rPr>
      </w:pPr>
      <w:r w:rsidRPr="00675B23">
        <w:rPr>
          <w:rFonts w:ascii="Arial" w:hAnsi="Arial" w:cs="Arial"/>
        </w:rPr>
        <w:t xml:space="preserve">Were, M, </w:t>
      </w:r>
      <w:proofErr w:type="spellStart"/>
      <w:r w:rsidRPr="00675B23">
        <w:rPr>
          <w:rFonts w:ascii="Arial" w:hAnsi="Arial" w:cs="Arial"/>
        </w:rPr>
        <w:t>Ndong'a</w:t>
      </w:r>
      <w:proofErr w:type="spellEnd"/>
      <w:r w:rsidRPr="00675B23">
        <w:rPr>
          <w:rFonts w:ascii="Arial" w:hAnsi="Arial" w:cs="Arial"/>
        </w:rPr>
        <w:t xml:space="preserve">, M, </w:t>
      </w:r>
      <w:proofErr w:type="spellStart"/>
      <w:r w:rsidRPr="00675B23">
        <w:rPr>
          <w:rFonts w:ascii="Arial" w:hAnsi="Arial" w:cs="Arial"/>
        </w:rPr>
        <w:t>Ogemah</w:t>
      </w:r>
      <w:proofErr w:type="spellEnd"/>
      <w:r w:rsidRPr="00675B23">
        <w:rPr>
          <w:rFonts w:ascii="Arial" w:hAnsi="Arial" w:cs="Arial"/>
        </w:rPr>
        <w:t xml:space="preserve">, Vitalis, </w:t>
      </w:r>
      <w:proofErr w:type="spellStart"/>
      <w:r w:rsidRPr="00675B23">
        <w:rPr>
          <w:rFonts w:ascii="Arial" w:hAnsi="Arial" w:cs="Arial"/>
        </w:rPr>
        <w:t>Mabele</w:t>
      </w:r>
      <w:proofErr w:type="spellEnd"/>
      <w:r w:rsidRPr="00675B23">
        <w:rPr>
          <w:rFonts w:ascii="Arial" w:hAnsi="Arial" w:cs="Arial"/>
        </w:rPr>
        <w:t xml:space="preserve">, Anthony, Were &amp; Hassan (2021). Diversity of cassava mosaic disease causal viruses in Kenya. East African Agricultural and Forestry Journal. 85. 423-430. DOI: </w:t>
      </w:r>
      <w:hyperlink r:id="rId36" w:history="1">
        <w:r w:rsidRPr="00675B23">
          <w:rPr>
            <w:rStyle w:val="Hyperlink"/>
            <w:rFonts w:ascii="Arial" w:hAnsi="Arial" w:cs="Arial"/>
            <w:u w:val="none"/>
          </w:rPr>
          <w:t>https://www.researchgate.net/publication/369503835</w:t>
        </w:r>
      </w:hyperlink>
      <w:r w:rsidRPr="00675B23">
        <w:rPr>
          <w:rFonts w:ascii="Arial" w:hAnsi="Arial" w:cs="Arial"/>
        </w:rPr>
        <w:t>.</w:t>
      </w:r>
    </w:p>
    <w:p w14:paraId="5B2797F3" w14:textId="77777777" w:rsidR="004D4277" w:rsidRDefault="004D4277" w:rsidP="00441B6F">
      <w:pPr>
        <w:pStyle w:val="Appendix"/>
        <w:spacing w:after="0"/>
        <w:jc w:val="both"/>
        <w:rPr>
          <w:rFonts w:ascii="Arial" w:hAnsi="Arial" w:cs="Arial"/>
          <w:b w:val="0"/>
        </w:rPr>
      </w:pPr>
    </w:p>
    <w:p w14:paraId="0E386D08" w14:textId="68DF575E" w:rsidR="00FA3563" w:rsidRPr="00FB3A86" w:rsidRDefault="00FA3563" w:rsidP="00441B6F">
      <w:pPr>
        <w:pStyle w:val="Appendix"/>
        <w:spacing w:after="0"/>
        <w:jc w:val="both"/>
        <w:rPr>
          <w:rFonts w:ascii="Arial" w:hAnsi="Arial" w:cs="Arial"/>
          <w:b w:val="0"/>
        </w:rPr>
        <w:sectPr w:rsidR="00FA3563" w:rsidRPr="00FB3A86" w:rsidSect="005F68F2">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docGrid w:linePitch="272"/>
        </w:sectPr>
      </w:pPr>
    </w:p>
    <w:p w14:paraId="25BB76B1" w14:textId="77777777" w:rsidR="00B01FCD" w:rsidRPr="00FB3A86" w:rsidRDefault="00B01FCD" w:rsidP="00441B6F">
      <w:pPr>
        <w:pStyle w:val="Appendix"/>
        <w:spacing w:after="0"/>
        <w:jc w:val="both"/>
        <w:rPr>
          <w:rFonts w:ascii="Arial" w:hAnsi="Arial" w:cs="Arial"/>
          <w:b w:val="0"/>
        </w:rPr>
      </w:pPr>
    </w:p>
    <w:sectPr w:rsidR="00B01FCD" w:rsidRPr="00FB3A86" w:rsidSect="005F68F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055CB" w14:textId="77777777" w:rsidR="0005261F" w:rsidRDefault="0005261F" w:rsidP="00C37E61">
      <w:r>
        <w:separator/>
      </w:r>
    </w:p>
  </w:endnote>
  <w:endnote w:type="continuationSeparator" w:id="0">
    <w:p w14:paraId="0AB3DD12" w14:textId="77777777" w:rsidR="0005261F" w:rsidRDefault="0005261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A0C6" w14:textId="77777777" w:rsidR="005F68F2" w:rsidRDefault="005F6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54736" w14:textId="77777777" w:rsidR="005F68F2" w:rsidRDefault="005F6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14773" w14:textId="58F75219" w:rsidR="00754C9A" w:rsidRPr="00CD2911" w:rsidRDefault="00754C9A" w:rsidP="00CD29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3DCF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57ABA" w14:textId="77777777" w:rsidR="0005261F" w:rsidRDefault="0005261F" w:rsidP="00C37E61">
      <w:r>
        <w:separator/>
      </w:r>
    </w:p>
  </w:footnote>
  <w:footnote w:type="continuationSeparator" w:id="0">
    <w:p w14:paraId="7C74A5A5" w14:textId="77777777" w:rsidR="0005261F" w:rsidRDefault="0005261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DD75C" w14:textId="0E2ECDD0" w:rsidR="005F68F2" w:rsidRDefault="007E2B9E">
    <w:pPr>
      <w:pStyle w:val="Header"/>
    </w:pPr>
    <w:r>
      <w:rPr>
        <w:noProof/>
      </w:rPr>
      <w:pict w14:anchorId="38F44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F287B" w14:textId="11575929" w:rsidR="005F68F2" w:rsidRDefault="007E2B9E">
    <w:pPr>
      <w:pStyle w:val="Header"/>
    </w:pPr>
    <w:r>
      <w:rPr>
        <w:noProof/>
      </w:rPr>
      <w:pict w14:anchorId="67E32D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B0CA7" w14:textId="29E742DB" w:rsidR="00296529" w:rsidRPr="00296529" w:rsidRDefault="007E2B9E" w:rsidP="00296529">
    <w:pPr>
      <w:ind w:left="2160"/>
      <w:jc w:val="center"/>
      <w:rPr>
        <w:rFonts w:ascii="Times New Roman" w:eastAsia="Calibri" w:hAnsi="Times New Roman"/>
        <w:i/>
        <w:sz w:val="18"/>
        <w:szCs w:val="22"/>
      </w:rPr>
    </w:pPr>
    <w:r>
      <w:rPr>
        <w:noProof/>
      </w:rPr>
      <w:pict w14:anchorId="746D8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D12BA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8455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E3F79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9F5C7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AB02A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B913D7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5E6E2" w14:textId="5885BFF1" w:rsidR="005F68F2" w:rsidRDefault="007E2B9E">
    <w:pPr>
      <w:pStyle w:val="Header"/>
    </w:pPr>
    <w:r>
      <w:rPr>
        <w:noProof/>
      </w:rPr>
      <w:pict w14:anchorId="21446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346C" w14:textId="4C3B31F7" w:rsidR="005F68F2" w:rsidRDefault="007E2B9E">
    <w:pPr>
      <w:pStyle w:val="Header"/>
    </w:pPr>
    <w:r>
      <w:rPr>
        <w:noProof/>
      </w:rPr>
      <w:pict w14:anchorId="5EC87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97E00" w14:textId="12F653EA" w:rsidR="005F68F2" w:rsidRDefault="007E2B9E">
    <w:pPr>
      <w:pStyle w:val="Header"/>
    </w:pPr>
    <w:r>
      <w:rPr>
        <w:noProof/>
      </w:rPr>
      <w:pict w14:anchorId="2D077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004181"/>
    <w:multiLevelType w:val="multilevel"/>
    <w:tmpl w:val="4FC6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BE6C89"/>
    <w:multiLevelType w:val="multilevel"/>
    <w:tmpl w:val="0C88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D1063F"/>
    <w:multiLevelType w:val="hybridMultilevel"/>
    <w:tmpl w:val="28CED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7"/>
  </w:num>
  <w:num w:numId="32">
    <w:abstractNumId w:val="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743"/>
    <w:rsid w:val="00030174"/>
    <w:rsid w:val="0004579C"/>
    <w:rsid w:val="000458C5"/>
    <w:rsid w:val="0005261F"/>
    <w:rsid w:val="00055F44"/>
    <w:rsid w:val="00074FC5"/>
    <w:rsid w:val="0009633B"/>
    <w:rsid w:val="000A47FA"/>
    <w:rsid w:val="000A65D3"/>
    <w:rsid w:val="000B1E33"/>
    <w:rsid w:val="000D689F"/>
    <w:rsid w:val="000E7B7B"/>
    <w:rsid w:val="000E7D62"/>
    <w:rsid w:val="000F07CF"/>
    <w:rsid w:val="000F78E1"/>
    <w:rsid w:val="00103357"/>
    <w:rsid w:val="001230A3"/>
    <w:rsid w:val="00123C9F"/>
    <w:rsid w:val="00126190"/>
    <w:rsid w:val="00130F17"/>
    <w:rsid w:val="001320BF"/>
    <w:rsid w:val="001435C1"/>
    <w:rsid w:val="00163BC4"/>
    <w:rsid w:val="00191062"/>
    <w:rsid w:val="00192B72"/>
    <w:rsid w:val="001A29D8"/>
    <w:rsid w:val="001A5CAA"/>
    <w:rsid w:val="001B0427"/>
    <w:rsid w:val="001D3827"/>
    <w:rsid w:val="001D3A51"/>
    <w:rsid w:val="001E10D2"/>
    <w:rsid w:val="001E25B4"/>
    <w:rsid w:val="001E44FE"/>
    <w:rsid w:val="00200595"/>
    <w:rsid w:val="0020301D"/>
    <w:rsid w:val="00204835"/>
    <w:rsid w:val="00215C1F"/>
    <w:rsid w:val="002173F3"/>
    <w:rsid w:val="00231920"/>
    <w:rsid w:val="0023195C"/>
    <w:rsid w:val="0024282C"/>
    <w:rsid w:val="002460DC"/>
    <w:rsid w:val="002508E5"/>
    <w:rsid w:val="00250985"/>
    <w:rsid w:val="002556F6"/>
    <w:rsid w:val="00256071"/>
    <w:rsid w:val="00283105"/>
    <w:rsid w:val="00284C4C"/>
    <w:rsid w:val="00287E68"/>
    <w:rsid w:val="00296529"/>
    <w:rsid w:val="002B1720"/>
    <w:rsid w:val="002B27FB"/>
    <w:rsid w:val="002B3114"/>
    <w:rsid w:val="002B685A"/>
    <w:rsid w:val="002C57D2"/>
    <w:rsid w:val="002C77B5"/>
    <w:rsid w:val="002E0D56"/>
    <w:rsid w:val="002E1152"/>
    <w:rsid w:val="002E3DE2"/>
    <w:rsid w:val="00315186"/>
    <w:rsid w:val="0033343E"/>
    <w:rsid w:val="003512C2"/>
    <w:rsid w:val="00363C1C"/>
    <w:rsid w:val="00371FB6"/>
    <w:rsid w:val="003763C1"/>
    <w:rsid w:val="003765BD"/>
    <w:rsid w:val="00376BBE"/>
    <w:rsid w:val="0039224F"/>
    <w:rsid w:val="003A43A4"/>
    <w:rsid w:val="003A7E18"/>
    <w:rsid w:val="003C4C86"/>
    <w:rsid w:val="003C6258"/>
    <w:rsid w:val="003D4A3C"/>
    <w:rsid w:val="003E1DFB"/>
    <w:rsid w:val="003E2904"/>
    <w:rsid w:val="003F05D2"/>
    <w:rsid w:val="003F7B61"/>
    <w:rsid w:val="00401927"/>
    <w:rsid w:val="0041027F"/>
    <w:rsid w:val="00412475"/>
    <w:rsid w:val="00423789"/>
    <w:rsid w:val="00433CB4"/>
    <w:rsid w:val="00440F43"/>
    <w:rsid w:val="00441B6F"/>
    <w:rsid w:val="00446221"/>
    <w:rsid w:val="00450E62"/>
    <w:rsid w:val="004539DB"/>
    <w:rsid w:val="00471A80"/>
    <w:rsid w:val="00474FDD"/>
    <w:rsid w:val="00475F7A"/>
    <w:rsid w:val="004772C5"/>
    <w:rsid w:val="00494DFC"/>
    <w:rsid w:val="004D305E"/>
    <w:rsid w:val="004D3193"/>
    <w:rsid w:val="004D4277"/>
    <w:rsid w:val="00502516"/>
    <w:rsid w:val="00505F06"/>
    <w:rsid w:val="00506828"/>
    <w:rsid w:val="0051363D"/>
    <w:rsid w:val="0053056E"/>
    <w:rsid w:val="00554FDA"/>
    <w:rsid w:val="005A0AE2"/>
    <w:rsid w:val="005C784C"/>
    <w:rsid w:val="005D17F6"/>
    <w:rsid w:val="005E5539"/>
    <w:rsid w:val="005F0AEB"/>
    <w:rsid w:val="005F4F59"/>
    <w:rsid w:val="005F68F2"/>
    <w:rsid w:val="00602BF5"/>
    <w:rsid w:val="0060785A"/>
    <w:rsid w:val="00610033"/>
    <w:rsid w:val="0061082E"/>
    <w:rsid w:val="0061309E"/>
    <w:rsid w:val="00617FDD"/>
    <w:rsid w:val="00620E3B"/>
    <w:rsid w:val="00633614"/>
    <w:rsid w:val="00633F68"/>
    <w:rsid w:val="00636EB2"/>
    <w:rsid w:val="006375B8"/>
    <w:rsid w:val="0066510A"/>
    <w:rsid w:val="00673F9F"/>
    <w:rsid w:val="00675B23"/>
    <w:rsid w:val="00686953"/>
    <w:rsid w:val="00687DEA"/>
    <w:rsid w:val="00687E67"/>
    <w:rsid w:val="006967F7"/>
    <w:rsid w:val="006A250C"/>
    <w:rsid w:val="006B144A"/>
    <w:rsid w:val="006B21D3"/>
    <w:rsid w:val="006B57D0"/>
    <w:rsid w:val="006C333F"/>
    <w:rsid w:val="006D30FF"/>
    <w:rsid w:val="006D6940"/>
    <w:rsid w:val="006E26F6"/>
    <w:rsid w:val="006F11EC"/>
    <w:rsid w:val="0070082C"/>
    <w:rsid w:val="007369E6"/>
    <w:rsid w:val="00741614"/>
    <w:rsid w:val="00746E59"/>
    <w:rsid w:val="007503AE"/>
    <w:rsid w:val="00754C9A"/>
    <w:rsid w:val="0075599A"/>
    <w:rsid w:val="00761D52"/>
    <w:rsid w:val="007636D0"/>
    <w:rsid w:val="0077749E"/>
    <w:rsid w:val="007822E1"/>
    <w:rsid w:val="00790ADA"/>
    <w:rsid w:val="007B39FB"/>
    <w:rsid w:val="007D2288"/>
    <w:rsid w:val="007E088F"/>
    <w:rsid w:val="007E2B9E"/>
    <w:rsid w:val="007E5A12"/>
    <w:rsid w:val="007F7B32"/>
    <w:rsid w:val="00801B95"/>
    <w:rsid w:val="00804BC2"/>
    <w:rsid w:val="0081431A"/>
    <w:rsid w:val="0083216F"/>
    <w:rsid w:val="00860000"/>
    <w:rsid w:val="00863BD3"/>
    <w:rsid w:val="008641ED"/>
    <w:rsid w:val="00866D66"/>
    <w:rsid w:val="008671C6"/>
    <w:rsid w:val="00867E39"/>
    <w:rsid w:val="00875803"/>
    <w:rsid w:val="008A6CAC"/>
    <w:rsid w:val="008B459E"/>
    <w:rsid w:val="008E13AE"/>
    <w:rsid w:val="008E1506"/>
    <w:rsid w:val="008E59F7"/>
    <w:rsid w:val="008E710C"/>
    <w:rsid w:val="008F69D6"/>
    <w:rsid w:val="00902823"/>
    <w:rsid w:val="00915CA6"/>
    <w:rsid w:val="00925505"/>
    <w:rsid w:val="00927834"/>
    <w:rsid w:val="00941A13"/>
    <w:rsid w:val="009500A6"/>
    <w:rsid w:val="00957C18"/>
    <w:rsid w:val="009659BA"/>
    <w:rsid w:val="00983040"/>
    <w:rsid w:val="009B3FB9"/>
    <w:rsid w:val="009C2465"/>
    <w:rsid w:val="009D35A0"/>
    <w:rsid w:val="009D7EB7"/>
    <w:rsid w:val="009E048A"/>
    <w:rsid w:val="009E08E9"/>
    <w:rsid w:val="009E3DB9"/>
    <w:rsid w:val="009E6E35"/>
    <w:rsid w:val="009F0EDA"/>
    <w:rsid w:val="009F1F08"/>
    <w:rsid w:val="00A03B96"/>
    <w:rsid w:val="00A05B19"/>
    <w:rsid w:val="00A1134E"/>
    <w:rsid w:val="00A20F59"/>
    <w:rsid w:val="00A24E7E"/>
    <w:rsid w:val="00A258C3"/>
    <w:rsid w:val="00A347C0"/>
    <w:rsid w:val="00A46BB2"/>
    <w:rsid w:val="00A51431"/>
    <w:rsid w:val="00A539AD"/>
    <w:rsid w:val="00A66D1E"/>
    <w:rsid w:val="00A94063"/>
    <w:rsid w:val="00AA6219"/>
    <w:rsid w:val="00AA74E0"/>
    <w:rsid w:val="00AB703F"/>
    <w:rsid w:val="00AC6BB8"/>
    <w:rsid w:val="00AD1A28"/>
    <w:rsid w:val="00AE008F"/>
    <w:rsid w:val="00B01FCD"/>
    <w:rsid w:val="00B04D1C"/>
    <w:rsid w:val="00B1776C"/>
    <w:rsid w:val="00B52583"/>
    <w:rsid w:val="00B52896"/>
    <w:rsid w:val="00B667B0"/>
    <w:rsid w:val="00B86145"/>
    <w:rsid w:val="00B95236"/>
    <w:rsid w:val="00B96BD9"/>
    <w:rsid w:val="00BA1B01"/>
    <w:rsid w:val="00BA2641"/>
    <w:rsid w:val="00BB37AA"/>
    <w:rsid w:val="00BC53A0"/>
    <w:rsid w:val="00BD7404"/>
    <w:rsid w:val="00BE62AD"/>
    <w:rsid w:val="00BF121F"/>
    <w:rsid w:val="00BF1F80"/>
    <w:rsid w:val="00C10BB8"/>
    <w:rsid w:val="00C166EF"/>
    <w:rsid w:val="00C17EB0"/>
    <w:rsid w:val="00C22778"/>
    <w:rsid w:val="00C27F5F"/>
    <w:rsid w:val="00C30A0F"/>
    <w:rsid w:val="00C37E61"/>
    <w:rsid w:val="00C50346"/>
    <w:rsid w:val="00C70F1B"/>
    <w:rsid w:val="00C71A47"/>
    <w:rsid w:val="00C7464C"/>
    <w:rsid w:val="00C85588"/>
    <w:rsid w:val="00C90B2B"/>
    <w:rsid w:val="00CA78BA"/>
    <w:rsid w:val="00CD0D4C"/>
    <w:rsid w:val="00CD2911"/>
    <w:rsid w:val="00CD6755"/>
    <w:rsid w:val="00CD6856"/>
    <w:rsid w:val="00CE0089"/>
    <w:rsid w:val="00CE793C"/>
    <w:rsid w:val="00CE7B5A"/>
    <w:rsid w:val="00CF193C"/>
    <w:rsid w:val="00D1498E"/>
    <w:rsid w:val="00D173F1"/>
    <w:rsid w:val="00D74CB0"/>
    <w:rsid w:val="00D75724"/>
    <w:rsid w:val="00D8295D"/>
    <w:rsid w:val="00DC2A65"/>
    <w:rsid w:val="00DD36E0"/>
    <w:rsid w:val="00DE15F0"/>
    <w:rsid w:val="00DE5663"/>
    <w:rsid w:val="00DE78AA"/>
    <w:rsid w:val="00E053D0"/>
    <w:rsid w:val="00E15994"/>
    <w:rsid w:val="00E3114E"/>
    <w:rsid w:val="00E31A70"/>
    <w:rsid w:val="00E35B02"/>
    <w:rsid w:val="00E45905"/>
    <w:rsid w:val="00E5047F"/>
    <w:rsid w:val="00E66496"/>
    <w:rsid w:val="00E66B35"/>
    <w:rsid w:val="00E66E10"/>
    <w:rsid w:val="00E769F6"/>
    <w:rsid w:val="00E8407C"/>
    <w:rsid w:val="00E84F3C"/>
    <w:rsid w:val="00EA012C"/>
    <w:rsid w:val="00EC1220"/>
    <w:rsid w:val="00EC6A55"/>
    <w:rsid w:val="00EC6EFA"/>
    <w:rsid w:val="00ED0288"/>
    <w:rsid w:val="00EE52CB"/>
    <w:rsid w:val="00EF581D"/>
    <w:rsid w:val="00EF7FD8"/>
    <w:rsid w:val="00F06C77"/>
    <w:rsid w:val="00F06F59"/>
    <w:rsid w:val="00F17988"/>
    <w:rsid w:val="00F469F0"/>
    <w:rsid w:val="00F53273"/>
    <w:rsid w:val="00F6070A"/>
    <w:rsid w:val="00F755E4"/>
    <w:rsid w:val="00F77D02"/>
    <w:rsid w:val="00FA356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2" type="connector" idref="#_x0000_s2050"/>
      </o:rules>
    </o:shapelayout>
  </w:shapeDefaults>
  <w:decimalSymbol w:val="."/>
  <w:listSeparator w:val=","/>
  <w14:docId w14:val="38238FE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56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y-2">
    <w:name w:val="my-2"/>
    <w:basedOn w:val="Normal"/>
    <w:rsid w:val="00620E3B"/>
    <w:pPr>
      <w:spacing w:before="100" w:beforeAutospacing="1" w:after="100" w:afterAutospacing="1"/>
    </w:pPr>
    <w:rPr>
      <w:rFonts w:ascii="Times New Roman" w:hAnsi="Times New Roman"/>
      <w:sz w:val="24"/>
      <w:szCs w:val="24"/>
      <w:lang w:val="fr-FR" w:eastAsia="fr-FR"/>
    </w:rPr>
  </w:style>
  <w:style w:type="paragraph" w:styleId="ListParagraph">
    <w:name w:val="List Paragraph"/>
    <w:basedOn w:val="Normal"/>
    <w:uiPriority w:val="1"/>
    <w:qFormat/>
    <w:rsid w:val="00EC6EFA"/>
    <w:pPr>
      <w:widowControl w:val="0"/>
      <w:autoSpaceDE w:val="0"/>
      <w:autoSpaceDN w:val="0"/>
      <w:spacing w:before="3"/>
      <w:ind w:left="724" w:hanging="365"/>
      <w:jc w:val="both"/>
    </w:pPr>
    <w:rPr>
      <w:rFonts w:ascii="Tahoma" w:eastAsia="Tahoma" w:hAnsi="Tahoma" w:cs="Tahoma"/>
      <w:sz w:val="22"/>
      <w:szCs w:val="22"/>
    </w:rPr>
  </w:style>
  <w:style w:type="table" w:customStyle="1" w:styleId="TableNormal1">
    <w:name w:val="Table Normal1"/>
    <w:uiPriority w:val="2"/>
    <w:semiHidden/>
    <w:unhideWhenUsed/>
    <w:qFormat/>
    <w:rsid w:val="00EC6EFA"/>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6EFA"/>
    <w:pPr>
      <w:widowControl w:val="0"/>
      <w:autoSpaceDE w:val="0"/>
      <w:autoSpaceDN w:val="0"/>
    </w:pPr>
    <w:rPr>
      <w:rFonts w:ascii="Tahoma" w:eastAsia="Tahoma" w:hAnsi="Tahoma" w:cs="Tahoma"/>
      <w:sz w:val="22"/>
      <w:szCs w:val="22"/>
    </w:rPr>
  </w:style>
  <w:style w:type="character" w:customStyle="1" w:styleId="Heading2Char">
    <w:name w:val="Heading 2 Char"/>
    <w:basedOn w:val="DefaultParagraphFont"/>
    <w:link w:val="Heading2"/>
    <w:semiHidden/>
    <w:rsid w:val="00256071"/>
    <w:rPr>
      <w:rFonts w:asciiTheme="majorHAnsi" w:eastAsiaTheme="majorEastAsia" w:hAnsiTheme="majorHAnsi" w:cstheme="majorBidi"/>
      <w:color w:val="365F91" w:themeColor="accent1" w:themeShade="BF"/>
      <w:sz w:val="26"/>
      <w:szCs w:val="26"/>
    </w:rPr>
  </w:style>
  <w:style w:type="character" w:customStyle="1" w:styleId="identifier">
    <w:name w:val="identifier"/>
    <w:basedOn w:val="DefaultParagraphFont"/>
    <w:rsid w:val="00D75724"/>
  </w:style>
  <w:style w:type="character" w:customStyle="1" w:styleId="id-label">
    <w:name w:val="id-label"/>
    <w:basedOn w:val="DefaultParagraphFont"/>
    <w:rsid w:val="00D75724"/>
  </w:style>
  <w:style w:type="character" w:customStyle="1" w:styleId="anchor-text">
    <w:name w:val="anchor-text"/>
    <w:basedOn w:val="DefaultParagraphFont"/>
    <w:rsid w:val="00801B95"/>
  </w:style>
  <w:style w:type="paragraph" w:styleId="HTMLPreformatted">
    <w:name w:val="HTML Preformatted"/>
    <w:basedOn w:val="Normal"/>
    <w:link w:val="HTMLPreformattedChar"/>
    <w:uiPriority w:val="99"/>
    <w:unhideWhenUsed/>
    <w:rsid w:val="00B6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eastAsia="fr-FR"/>
    </w:rPr>
  </w:style>
  <w:style w:type="character" w:customStyle="1" w:styleId="HTMLPreformattedChar">
    <w:name w:val="HTML Preformatted Char"/>
    <w:basedOn w:val="DefaultParagraphFont"/>
    <w:link w:val="HTMLPreformatted"/>
    <w:uiPriority w:val="99"/>
    <w:rsid w:val="00B667B0"/>
    <w:rPr>
      <w:rFonts w:ascii="Courier New" w:hAnsi="Courier New" w:cs="Courier New"/>
      <w:lang w:val="fr-FR" w:eastAsia="fr-FR"/>
    </w:rPr>
  </w:style>
  <w:style w:type="character" w:customStyle="1" w:styleId="y2iqfc">
    <w:name w:val="y2iqfc"/>
    <w:basedOn w:val="DefaultParagraphFont"/>
    <w:rsid w:val="00B66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464070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2104141">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36753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16/j.cropro.2022.106017" TargetMode="External"/><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yperlink" Target="https://doi.org/10.32607/actanaturae.11026"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016/bs.aivir.2014.10.00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jias.issr-journals.org/authid.php?id=10456" TargetMode="External"/><Relationship Id="rId32" Type="http://schemas.openxmlformats.org/officeDocument/2006/relationships/hyperlink" Target="Frontiers%20in&#160;Sustainable%20Food%20Systems%206&#160;:%201015315"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12571-018-0875-3" TargetMode="External"/><Relationship Id="rId28" Type="http://schemas.openxmlformats.org/officeDocument/2006/relationships/hyperlink" Target="https://doi.org/10.3390/v13061030" TargetMode="External"/><Relationship Id="rId36" Type="http://schemas.openxmlformats.org/officeDocument/2006/relationships/hyperlink" Target="https://www.researchgate.net/publication/369503835"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patentimages.storage.googleapis.com/05/52/78/abd6d789369d5c/US4800159.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jafr.2025.101827" TargetMode="External"/><Relationship Id="rId27" Type="http://schemas.openxmlformats.org/officeDocument/2006/relationships/hyperlink" Target="https://doi.org/10.56027/JOASD.212024" TargetMode="External"/><Relationship Id="rId30" Type="http://schemas.openxmlformats.org/officeDocument/2006/relationships/hyperlink" Target="https://scialert.net/abstract/?doi=ajppaj.2020.11.20" TargetMode="External"/><Relationship Id="rId35" Type="http://schemas.openxmlformats.org/officeDocument/2006/relationships/hyperlink" Target="https://pubmed.ncbi.nlm.nih.gov/15036844/"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98/rsos.172341" TargetMode="External"/><Relationship Id="rId33" Type="http://schemas.openxmlformats.org/officeDocument/2006/relationships/hyperlink" Target="https://doi.org/10.3389/fsufs.2022.1015315" TargetMode="Externa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77620-769B-4F38-93F6-9E390000D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686</TotalTime>
  <Pages>14</Pages>
  <Words>4700</Words>
  <Characters>26792</Characters>
  <Application>Microsoft Office Word</Application>
  <DocSecurity>0</DocSecurity>
  <Lines>223</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31430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28</cp:revision>
  <cp:lastPrinted>1999-07-06T11:00:00Z</cp:lastPrinted>
  <dcterms:created xsi:type="dcterms:W3CDTF">2014-10-25T14:34:00Z</dcterms:created>
  <dcterms:modified xsi:type="dcterms:W3CDTF">2025-10-13T10:40:00Z</dcterms:modified>
</cp:coreProperties>
</file>