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A7612" w14:textId="36D85743" w:rsidR="0087193A" w:rsidRDefault="00ED54FC" w:rsidP="00AA0365">
      <w:pPr>
        <w:spacing w:after="0" w:line="360" w:lineRule="auto"/>
        <w:jc w:val="center"/>
        <w:rPr>
          <w:rFonts w:ascii="Times New Roman" w:hAnsi="Times New Roman" w:cs="Times New Roman"/>
          <w:b/>
          <w:bCs/>
          <w:sz w:val="28"/>
          <w:szCs w:val="28"/>
        </w:rPr>
      </w:pPr>
      <w:r w:rsidRPr="00ED54FC">
        <w:rPr>
          <w:rFonts w:ascii="Times New Roman" w:hAnsi="Times New Roman" w:cs="Times New Roman"/>
          <w:b/>
          <w:bCs/>
          <w:sz w:val="28"/>
          <w:szCs w:val="28"/>
        </w:rPr>
        <w:t>Effects of seed priming with plant growth regulators (PGRs) on the quality and vigour of chickpea (</w:t>
      </w:r>
      <w:r w:rsidRPr="00ED54FC">
        <w:rPr>
          <w:rFonts w:ascii="Times New Roman" w:hAnsi="Times New Roman" w:cs="Times New Roman"/>
          <w:b/>
          <w:bCs/>
          <w:i/>
          <w:iCs/>
          <w:sz w:val="28"/>
          <w:szCs w:val="28"/>
        </w:rPr>
        <w:t>Cicer arietinum</w:t>
      </w:r>
      <w:r w:rsidRPr="00ED54FC">
        <w:rPr>
          <w:rFonts w:ascii="Times New Roman" w:hAnsi="Times New Roman" w:cs="Times New Roman"/>
          <w:b/>
          <w:bCs/>
          <w:sz w:val="28"/>
          <w:szCs w:val="28"/>
        </w:rPr>
        <w:t xml:space="preserve"> L)</w:t>
      </w:r>
    </w:p>
    <w:p w14:paraId="3DF9CF64" w14:textId="77777777" w:rsidR="0087193A" w:rsidRPr="00963E50" w:rsidRDefault="0087193A" w:rsidP="00963E50">
      <w:pPr>
        <w:spacing w:after="0" w:line="360" w:lineRule="auto"/>
        <w:jc w:val="center"/>
        <w:rPr>
          <w:rFonts w:ascii="Times New Roman" w:hAnsi="Times New Roman" w:cs="Times New Roman"/>
        </w:rPr>
      </w:pPr>
    </w:p>
    <w:p w14:paraId="4571D2CA" w14:textId="47F3B381" w:rsidR="002D7811" w:rsidRPr="002D7811" w:rsidRDefault="0059797C" w:rsidP="002D7811">
      <w:pPr>
        <w:spacing w:after="0" w:line="360" w:lineRule="auto"/>
        <w:jc w:val="both"/>
        <w:rPr>
          <w:rFonts w:ascii="Times New Roman" w:hAnsi="Times New Roman" w:cs="Times New Roman"/>
        </w:rPr>
      </w:pPr>
      <w:r>
        <w:rPr>
          <w:rFonts w:ascii="Times New Roman" w:hAnsi="Times New Roman" w:cs="Times New Roman"/>
          <w:b/>
          <w:bCs/>
        </w:rPr>
        <w:t>Abstract:</w:t>
      </w:r>
      <w:r w:rsidR="00963E50">
        <w:rPr>
          <w:rFonts w:ascii="Segoe UI" w:eastAsia="Times New Roman" w:hAnsi="Segoe UI" w:cs="Segoe UI"/>
          <w:color w:val="404040"/>
          <w:kern w:val="0"/>
          <w:lang w:bidi="hi-IN"/>
          <w14:ligatures w14:val="none"/>
        </w:rPr>
        <w:t xml:space="preserve"> </w:t>
      </w:r>
      <w:r w:rsidR="002D7811" w:rsidRPr="002D7811">
        <w:rPr>
          <w:rFonts w:ascii="Times New Roman" w:hAnsi="Times New Roman" w:cs="Times New Roman"/>
        </w:rPr>
        <w:t>A field experiment was conducted at Student’s Instructional Farm of C.S. Azad University of Agriculture and Technology, Kanpur</w:t>
      </w:r>
      <w:r w:rsidR="00C337CE">
        <w:rPr>
          <w:rFonts w:ascii="Times New Roman" w:hAnsi="Times New Roman" w:cs="Times New Roman"/>
        </w:rPr>
        <w:t>, during the rabi seasons of 2023-24 and 2024-25</w:t>
      </w:r>
      <w:r w:rsidR="002D7811" w:rsidRPr="002D7811">
        <w:rPr>
          <w:rFonts w:ascii="Times New Roman" w:hAnsi="Times New Roman" w:cs="Times New Roman"/>
        </w:rPr>
        <w:t xml:space="preserve"> to assess effect of various priming treatments on seed quality and vigour parameters on chickpea (</w:t>
      </w:r>
      <w:r w:rsidR="002D7811" w:rsidRPr="002D7811">
        <w:rPr>
          <w:rFonts w:ascii="Times New Roman" w:hAnsi="Times New Roman" w:cs="Times New Roman"/>
          <w:i/>
          <w:iCs/>
        </w:rPr>
        <w:t xml:space="preserve">Cicer arietinum </w:t>
      </w:r>
      <w:r w:rsidR="002D7811" w:rsidRPr="002D7811">
        <w:rPr>
          <w:rFonts w:ascii="Times New Roman" w:hAnsi="Times New Roman" w:cs="Times New Roman"/>
        </w:rPr>
        <w:t>L. cv. KWR 108).</w:t>
      </w:r>
      <w:r w:rsidR="00ED54FC" w:rsidRPr="00F44643">
        <w:rPr>
          <w:rFonts w:ascii="Times New Roman" w:hAnsi="Times New Roman" w:cs="Times New Roman"/>
          <w:lang w:val="en-GB"/>
        </w:rPr>
        <w:t xml:space="preserve"> </w:t>
      </w:r>
      <w:r w:rsidR="00C337CE">
        <w:rPr>
          <w:rFonts w:ascii="Times New Roman" w:hAnsi="Times New Roman" w:cs="Times New Roman"/>
          <w:lang w:val="en-GB"/>
        </w:rPr>
        <w:t xml:space="preserve">Laboratory evaluations were carried out in the Department of Seed Science and Technology, using a Completely Randomised Design (CRD) with four replications. </w:t>
      </w:r>
      <w:r w:rsidR="002D7811" w:rsidRPr="002D7811">
        <w:rPr>
          <w:rFonts w:ascii="Times New Roman" w:hAnsi="Times New Roman" w:cs="Times New Roman"/>
        </w:rPr>
        <w:t>The experiment examined fifteen treatments which included different plant growth regulators and in different concentrations. Germination parameters (standard germination, peak value of germination and mean daily germination), growth indices (relative growth index and germination value), seed viability, seedling metrics (seedling length and</w:t>
      </w:r>
      <w:r w:rsidR="00E97056" w:rsidRPr="00E97056">
        <w:rPr>
          <w:rFonts w:ascii="Times New Roman" w:hAnsi="Times New Roman" w:cs="Times New Roman"/>
        </w:rPr>
        <w:t xml:space="preserve"> </w:t>
      </w:r>
      <w:r w:rsidR="00E97056" w:rsidRPr="002D7811">
        <w:rPr>
          <w:rFonts w:ascii="Times New Roman" w:hAnsi="Times New Roman" w:cs="Times New Roman"/>
        </w:rPr>
        <w:t>seedling</w:t>
      </w:r>
      <w:r w:rsidR="002D7811" w:rsidRPr="002D7811">
        <w:rPr>
          <w:rFonts w:ascii="Times New Roman" w:hAnsi="Times New Roman" w:cs="Times New Roman"/>
        </w:rPr>
        <w:t xml:space="preserve"> dry weight), and vigor indices revealed significant treatment effects. However, priming with GA₃ @ 100 ppm for 8 hours gave peak responses for standard germination (92.38%), peak value (20.80), mean daily germination (11.55%), relative growth index (72.54), germination value (240.21), </w:t>
      </w:r>
      <w:r w:rsidR="00E97056">
        <w:rPr>
          <w:rFonts w:ascii="Times New Roman" w:hAnsi="Times New Roman" w:cs="Times New Roman"/>
        </w:rPr>
        <w:t xml:space="preserve">seed </w:t>
      </w:r>
      <w:r w:rsidR="002D7811" w:rsidRPr="002D7811">
        <w:rPr>
          <w:rFonts w:ascii="Times New Roman" w:hAnsi="Times New Roman" w:cs="Times New Roman"/>
        </w:rPr>
        <w:t xml:space="preserve">viability (94.09%), seedling length (10.54 cm), </w:t>
      </w:r>
      <w:r w:rsidR="00E97056" w:rsidRPr="002D7811">
        <w:rPr>
          <w:rFonts w:ascii="Times New Roman" w:hAnsi="Times New Roman" w:cs="Times New Roman"/>
        </w:rPr>
        <w:t xml:space="preserve">seedling </w:t>
      </w:r>
      <w:r w:rsidR="002D7811" w:rsidRPr="002D7811">
        <w:rPr>
          <w:rFonts w:ascii="Times New Roman" w:hAnsi="Times New Roman" w:cs="Times New Roman"/>
        </w:rPr>
        <w:t>dry weight (1.81 g), vigor-I (970.02), and vigor-II (166.90). Apart from this, untreated control showed lowest results for all the parameters studied. Hence, from the above results it could be concluded that the optimal priming with GA₃ @ 100 ppm for 8h substantially enhanced the seed quality and vigor indices in chickpea.</w:t>
      </w:r>
    </w:p>
    <w:p w14:paraId="288A6B83" w14:textId="3AB06374" w:rsidR="00426101" w:rsidRDefault="00426101" w:rsidP="00426101">
      <w:pPr>
        <w:spacing w:after="0" w:line="360" w:lineRule="auto"/>
        <w:jc w:val="both"/>
        <w:rPr>
          <w:rFonts w:ascii="Times New Roman" w:hAnsi="Times New Roman" w:cs="Times New Roman"/>
        </w:rPr>
      </w:pPr>
      <w:r w:rsidRPr="00426101">
        <w:rPr>
          <w:rFonts w:ascii="Times New Roman" w:hAnsi="Times New Roman" w:cs="Times New Roman"/>
          <w:b/>
          <w:bCs/>
        </w:rPr>
        <w:t xml:space="preserve">Keyword: </w:t>
      </w:r>
      <w:r w:rsidRPr="00426101">
        <w:rPr>
          <w:rFonts w:ascii="Times New Roman" w:hAnsi="Times New Roman" w:cs="Times New Roman"/>
        </w:rPr>
        <w:t>Germination, GA</w:t>
      </w:r>
      <w:r w:rsidRPr="00426101">
        <w:rPr>
          <w:rFonts w:ascii="Times New Roman" w:hAnsi="Times New Roman" w:cs="Times New Roman"/>
          <w:vertAlign w:val="subscript"/>
        </w:rPr>
        <w:t>3</w:t>
      </w:r>
      <w:r w:rsidRPr="00426101">
        <w:rPr>
          <w:rFonts w:ascii="Times New Roman" w:hAnsi="Times New Roman" w:cs="Times New Roman"/>
        </w:rPr>
        <w:t>, IAA, Viability, Relative growth.</w:t>
      </w:r>
    </w:p>
    <w:p w14:paraId="46DE4D92" w14:textId="2406F78D" w:rsidR="00874876" w:rsidRPr="00874876" w:rsidRDefault="00874876" w:rsidP="00426101">
      <w:pPr>
        <w:spacing w:after="0" w:line="360" w:lineRule="auto"/>
        <w:jc w:val="both"/>
        <w:rPr>
          <w:rFonts w:ascii="Times New Roman" w:hAnsi="Times New Roman" w:cs="Times New Roman"/>
        </w:rPr>
      </w:pPr>
      <w:r w:rsidRPr="00874876">
        <w:rPr>
          <w:rFonts w:ascii="Times New Roman" w:hAnsi="Times New Roman" w:cs="Times New Roman"/>
          <w:b/>
          <w:bCs/>
        </w:rPr>
        <w:t>Introduction</w:t>
      </w:r>
    </w:p>
    <w:p w14:paraId="6611F289" w14:textId="4ADAA33C" w:rsidR="00E5339F" w:rsidRPr="00E5339F" w:rsidRDefault="00075AAA" w:rsidP="00A569A2">
      <w:pPr>
        <w:spacing w:after="0" w:line="360" w:lineRule="auto"/>
        <w:ind w:firstLine="720"/>
        <w:jc w:val="both"/>
        <w:rPr>
          <w:rFonts w:ascii="Times New Roman" w:hAnsi="Times New Roman" w:cs="Times New Roman"/>
        </w:rPr>
      </w:pPr>
      <w:r>
        <w:rPr>
          <w:rFonts w:ascii="Times New Roman" w:hAnsi="Times New Roman" w:cs="Times New Roman"/>
        </w:rPr>
        <w:t>“</w:t>
      </w:r>
      <w:r w:rsidR="00A569A2" w:rsidRPr="00A569A2">
        <w:rPr>
          <w:rFonts w:ascii="Times New Roman" w:hAnsi="Times New Roman" w:cs="Times New Roman"/>
        </w:rPr>
        <w:t>Chickpea (</w:t>
      </w:r>
      <w:r w:rsidR="00A569A2" w:rsidRPr="00A569A2">
        <w:rPr>
          <w:rFonts w:ascii="Times New Roman" w:hAnsi="Times New Roman" w:cs="Times New Roman"/>
          <w:i/>
          <w:iCs/>
        </w:rPr>
        <w:t>Cicer arietinum</w:t>
      </w:r>
      <w:r w:rsidR="00A569A2" w:rsidRPr="00A569A2">
        <w:rPr>
          <w:rFonts w:ascii="Times New Roman" w:hAnsi="Times New Roman" w:cs="Times New Roman"/>
        </w:rPr>
        <w:t xml:space="preserve">) is a self-pollinated diploid (2n=2x=16) pulse crop with a genome size of </w:t>
      </w:r>
      <w:r w:rsidR="00A569A2" w:rsidRPr="00771072">
        <w:rPr>
          <w:rFonts w:ascii="Times New Roman" w:hAnsi="Times New Roman" w:cs="Times New Roman"/>
        </w:rPr>
        <w:t>738Mbp</w:t>
      </w:r>
      <w:r>
        <w:rPr>
          <w:rFonts w:ascii="Times New Roman" w:hAnsi="Times New Roman" w:cs="Times New Roman"/>
        </w:rPr>
        <w:t>”</w:t>
      </w:r>
      <w:r w:rsidR="00A569A2" w:rsidRPr="00771072">
        <w:rPr>
          <w:rFonts w:ascii="Times New Roman" w:hAnsi="Times New Roman" w:cs="Times New Roman"/>
        </w:rPr>
        <w:t xml:space="preserve"> (Varshney </w:t>
      </w:r>
      <w:r w:rsidR="00A569A2" w:rsidRPr="00771072">
        <w:rPr>
          <w:rFonts w:ascii="Times New Roman" w:hAnsi="Times New Roman" w:cs="Times New Roman"/>
          <w:i/>
          <w:iCs/>
        </w:rPr>
        <w:t>et al.,</w:t>
      </w:r>
      <w:r w:rsidR="00A569A2" w:rsidRPr="00771072">
        <w:rPr>
          <w:rFonts w:ascii="Times New Roman" w:hAnsi="Times New Roman" w:cs="Times New Roman"/>
        </w:rPr>
        <w:t xml:space="preserve"> 2013).</w:t>
      </w:r>
      <w:r w:rsidR="00A569A2" w:rsidRPr="00A569A2">
        <w:rPr>
          <w:rFonts w:ascii="Times New Roman" w:hAnsi="Times New Roman" w:cs="Times New Roman"/>
        </w:rPr>
        <w:t xml:space="preserve"> </w:t>
      </w:r>
      <w:r>
        <w:rPr>
          <w:rFonts w:ascii="Times New Roman" w:hAnsi="Times New Roman" w:cs="Times New Roman"/>
        </w:rPr>
        <w:t>“</w:t>
      </w:r>
      <w:r w:rsidR="00A569A2" w:rsidRPr="00A569A2">
        <w:rPr>
          <w:rFonts w:ascii="Times New Roman" w:hAnsi="Times New Roman" w:cs="Times New Roman"/>
        </w:rPr>
        <w:t>Chickpea is believed to have originated in an area between south-eastern Turkey and adjoining Syria</w:t>
      </w:r>
      <w:r>
        <w:rPr>
          <w:rFonts w:ascii="Times New Roman" w:hAnsi="Times New Roman" w:cs="Times New Roman"/>
        </w:rPr>
        <w:t>”</w:t>
      </w:r>
      <w:r w:rsidR="00A569A2" w:rsidRPr="00A569A2">
        <w:rPr>
          <w:rFonts w:ascii="Times New Roman" w:hAnsi="Times New Roman" w:cs="Times New Roman"/>
        </w:rPr>
        <w:t xml:space="preserve"> </w:t>
      </w:r>
      <w:r w:rsidR="00A569A2" w:rsidRPr="00771072">
        <w:rPr>
          <w:rFonts w:ascii="Times New Roman" w:hAnsi="Times New Roman" w:cs="Times New Roman"/>
        </w:rPr>
        <w:t xml:space="preserve">(Van der </w:t>
      </w:r>
      <w:proofErr w:type="spellStart"/>
      <w:r w:rsidR="00A569A2" w:rsidRPr="00771072">
        <w:rPr>
          <w:rFonts w:ascii="Times New Roman" w:hAnsi="Times New Roman" w:cs="Times New Roman"/>
        </w:rPr>
        <w:t>Maesen</w:t>
      </w:r>
      <w:proofErr w:type="spellEnd"/>
      <w:r w:rsidR="00A569A2" w:rsidRPr="00771072">
        <w:rPr>
          <w:rFonts w:ascii="Times New Roman" w:hAnsi="Times New Roman" w:cs="Times New Roman"/>
        </w:rPr>
        <w:t>, 1987</w:t>
      </w:r>
      <w:r w:rsidR="00A569A2" w:rsidRPr="00A569A2">
        <w:rPr>
          <w:rFonts w:ascii="Times New Roman" w:hAnsi="Times New Roman" w:cs="Times New Roman"/>
        </w:rPr>
        <w:t xml:space="preserve">) as this is where three closely related wild annual species of chickpea, </w:t>
      </w:r>
      <w:r w:rsidR="00A569A2" w:rsidRPr="003E2AB0">
        <w:rPr>
          <w:rFonts w:ascii="Times New Roman" w:hAnsi="Times New Roman" w:cs="Times New Roman"/>
          <w:i/>
          <w:iCs/>
        </w:rPr>
        <w:t xml:space="preserve">C. </w:t>
      </w:r>
      <w:proofErr w:type="spellStart"/>
      <w:r w:rsidR="00A569A2" w:rsidRPr="003E2AB0">
        <w:rPr>
          <w:rFonts w:ascii="Times New Roman" w:hAnsi="Times New Roman" w:cs="Times New Roman"/>
          <w:i/>
          <w:iCs/>
        </w:rPr>
        <w:t>bijugum</w:t>
      </w:r>
      <w:proofErr w:type="spellEnd"/>
      <w:r w:rsidR="00A569A2" w:rsidRPr="003E2AB0">
        <w:rPr>
          <w:rFonts w:ascii="Times New Roman" w:hAnsi="Times New Roman" w:cs="Times New Roman"/>
          <w:i/>
          <w:iCs/>
        </w:rPr>
        <w:t xml:space="preserve">, C. </w:t>
      </w:r>
      <w:proofErr w:type="spellStart"/>
      <w:r w:rsidR="00A569A2" w:rsidRPr="003E2AB0">
        <w:rPr>
          <w:rFonts w:ascii="Times New Roman" w:hAnsi="Times New Roman" w:cs="Times New Roman"/>
          <w:i/>
          <w:iCs/>
        </w:rPr>
        <w:t>echinospermum</w:t>
      </w:r>
      <w:proofErr w:type="spellEnd"/>
      <w:r w:rsidR="00A569A2" w:rsidRPr="003E2AB0">
        <w:rPr>
          <w:rFonts w:ascii="Times New Roman" w:hAnsi="Times New Roman" w:cs="Times New Roman"/>
          <w:i/>
          <w:iCs/>
        </w:rPr>
        <w:t xml:space="preserve">, and C. </w:t>
      </w:r>
      <w:proofErr w:type="spellStart"/>
      <w:r w:rsidR="00A569A2" w:rsidRPr="003E2AB0">
        <w:rPr>
          <w:rFonts w:ascii="Times New Roman" w:hAnsi="Times New Roman" w:cs="Times New Roman"/>
          <w:i/>
          <w:iCs/>
        </w:rPr>
        <w:t>reticulatum</w:t>
      </w:r>
      <w:proofErr w:type="spellEnd"/>
      <w:r w:rsidR="00A569A2" w:rsidRPr="003E2AB0">
        <w:rPr>
          <w:rFonts w:ascii="Times New Roman" w:hAnsi="Times New Roman" w:cs="Times New Roman"/>
          <w:i/>
          <w:iCs/>
        </w:rPr>
        <w:t>,</w:t>
      </w:r>
      <w:r w:rsidR="00A569A2" w:rsidRPr="00A569A2">
        <w:rPr>
          <w:rFonts w:ascii="Times New Roman" w:hAnsi="Times New Roman" w:cs="Times New Roman"/>
        </w:rPr>
        <w:t xml:space="preserve"> are found. Out of these, </w:t>
      </w:r>
      <w:r w:rsidR="00A569A2" w:rsidRPr="00A569A2">
        <w:rPr>
          <w:rFonts w:ascii="Times New Roman" w:hAnsi="Times New Roman" w:cs="Times New Roman"/>
          <w:i/>
          <w:iCs/>
        </w:rPr>
        <w:t xml:space="preserve">C. </w:t>
      </w:r>
      <w:proofErr w:type="spellStart"/>
      <w:r w:rsidR="00A569A2" w:rsidRPr="00A569A2">
        <w:rPr>
          <w:rFonts w:ascii="Times New Roman" w:hAnsi="Times New Roman" w:cs="Times New Roman"/>
          <w:i/>
          <w:iCs/>
        </w:rPr>
        <w:t>reticulatum</w:t>
      </w:r>
      <w:proofErr w:type="spellEnd"/>
      <w:r w:rsidR="00A569A2" w:rsidRPr="00A569A2">
        <w:rPr>
          <w:rFonts w:ascii="Times New Roman" w:hAnsi="Times New Roman" w:cs="Times New Roman"/>
        </w:rPr>
        <w:t xml:space="preserve"> is taken as the ancestor of cultivated chickpea (</w:t>
      </w:r>
      <w:r w:rsidR="00A569A2" w:rsidRPr="00A569A2">
        <w:rPr>
          <w:rFonts w:ascii="Times New Roman" w:hAnsi="Times New Roman" w:cs="Times New Roman"/>
          <w:i/>
          <w:iCs/>
        </w:rPr>
        <w:t>Cicer arietinum</w:t>
      </w:r>
      <w:r w:rsidR="00A569A2" w:rsidRPr="00A569A2">
        <w:rPr>
          <w:rFonts w:ascii="Times New Roman" w:hAnsi="Times New Roman" w:cs="Times New Roman"/>
        </w:rPr>
        <w:t xml:space="preserve">). </w:t>
      </w:r>
      <w:r w:rsidR="00A569A2" w:rsidRPr="00771072">
        <w:rPr>
          <w:rFonts w:ascii="Times New Roman" w:hAnsi="Times New Roman" w:cs="Times New Roman"/>
        </w:rPr>
        <w:t>Holm (1920)</w:t>
      </w:r>
      <w:r w:rsidR="00A569A2" w:rsidRPr="00A569A2">
        <w:rPr>
          <w:rFonts w:ascii="Times New Roman" w:hAnsi="Times New Roman" w:cs="Times New Roman"/>
        </w:rPr>
        <w:t xml:space="preserve"> stated that </w:t>
      </w:r>
      <w:r>
        <w:rPr>
          <w:rFonts w:ascii="Times New Roman" w:hAnsi="Times New Roman" w:cs="Times New Roman"/>
        </w:rPr>
        <w:t>“</w:t>
      </w:r>
      <w:r w:rsidR="00A569A2" w:rsidRPr="00A569A2">
        <w:rPr>
          <w:rFonts w:ascii="Times New Roman" w:hAnsi="Times New Roman" w:cs="Times New Roman"/>
        </w:rPr>
        <w:t xml:space="preserve">Pliny proposed the generic name and </w:t>
      </w:r>
      <w:proofErr w:type="spellStart"/>
      <w:r w:rsidR="00A569A2" w:rsidRPr="00A569A2">
        <w:rPr>
          <w:rFonts w:ascii="Times New Roman" w:hAnsi="Times New Roman" w:cs="Times New Roman"/>
        </w:rPr>
        <w:t>Dodonaeus</w:t>
      </w:r>
      <w:proofErr w:type="spellEnd"/>
      <w:r w:rsidR="00A569A2" w:rsidRPr="00A569A2">
        <w:rPr>
          <w:rFonts w:ascii="Times New Roman" w:hAnsi="Times New Roman" w:cs="Times New Roman"/>
        </w:rPr>
        <w:t xml:space="preserve"> the specific name; Linnaeus accepted these names. The Latin words </w:t>
      </w:r>
      <w:r w:rsidR="00A569A2" w:rsidRPr="00A569A2">
        <w:rPr>
          <w:rFonts w:ascii="Times New Roman" w:hAnsi="Times New Roman" w:cs="Times New Roman"/>
          <w:i/>
          <w:iCs/>
        </w:rPr>
        <w:t>Cicer</w:t>
      </w:r>
      <w:r w:rsidR="00A569A2" w:rsidRPr="00A569A2">
        <w:rPr>
          <w:rFonts w:ascii="Times New Roman" w:hAnsi="Times New Roman" w:cs="Times New Roman"/>
        </w:rPr>
        <w:t xml:space="preserve"> and </w:t>
      </w:r>
      <w:r w:rsidR="00A569A2" w:rsidRPr="00A569A2">
        <w:rPr>
          <w:rFonts w:ascii="Times New Roman" w:hAnsi="Times New Roman" w:cs="Times New Roman"/>
          <w:i/>
          <w:iCs/>
        </w:rPr>
        <w:t>arietinum</w:t>
      </w:r>
      <w:r w:rsidR="00A569A2" w:rsidRPr="00A569A2">
        <w:rPr>
          <w:rFonts w:ascii="Times New Roman" w:hAnsi="Times New Roman" w:cs="Times New Roman"/>
        </w:rPr>
        <w:t xml:space="preserve"> were taken from the Greek words </w:t>
      </w:r>
      <w:proofErr w:type="spellStart"/>
      <w:r w:rsidR="00A569A2" w:rsidRPr="00A569A2">
        <w:rPr>
          <w:rFonts w:ascii="Times New Roman" w:hAnsi="Times New Roman" w:cs="Times New Roman"/>
          <w:i/>
          <w:iCs/>
        </w:rPr>
        <w:t>Kikus</w:t>
      </w:r>
      <w:proofErr w:type="spellEnd"/>
      <w:r w:rsidR="00326C70">
        <w:rPr>
          <w:rFonts w:ascii="Times New Roman" w:hAnsi="Times New Roman" w:cs="Times New Roman"/>
          <w:i/>
          <w:iCs/>
        </w:rPr>
        <w:t>,</w:t>
      </w:r>
      <w:r w:rsidR="00A569A2" w:rsidRPr="00A569A2">
        <w:rPr>
          <w:rFonts w:ascii="Times New Roman" w:hAnsi="Times New Roman" w:cs="Times New Roman"/>
        </w:rPr>
        <w:t xml:space="preserve"> meaning ‘force of strength’ and </w:t>
      </w:r>
      <w:proofErr w:type="spellStart"/>
      <w:r w:rsidR="00A569A2" w:rsidRPr="00A569A2">
        <w:rPr>
          <w:rFonts w:ascii="Times New Roman" w:hAnsi="Times New Roman" w:cs="Times New Roman"/>
          <w:i/>
          <w:iCs/>
        </w:rPr>
        <w:t>Krios</w:t>
      </w:r>
      <w:proofErr w:type="spellEnd"/>
      <w:r w:rsidR="00326C70">
        <w:rPr>
          <w:rFonts w:ascii="Times New Roman" w:hAnsi="Times New Roman" w:cs="Times New Roman"/>
          <w:i/>
          <w:iCs/>
        </w:rPr>
        <w:t>,</w:t>
      </w:r>
      <w:r w:rsidR="00A569A2" w:rsidRPr="00A569A2">
        <w:rPr>
          <w:rFonts w:ascii="Times New Roman" w:hAnsi="Times New Roman" w:cs="Times New Roman"/>
        </w:rPr>
        <w:t xml:space="preserve"> referring to ram, respectively, because of the resemblance of seed shape to that of a </w:t>
      </w:r>
      <w:r w:rsidR="00326C70">
        <w:rPr>
          <w:rFonts w:ascii="Times New Roman" w:hAnsi="Times New Roman" w:cs="Times New Roman"/>
        </w:rPr>
        <w:t>ram's</w:t>
      </w:r>
      <w:r w:rsidR="00A569A2" w:rsidRPr="00A569A2">
        <w:rPr>
          <w:rFonts w:ascii="Times New Roman" w:hAnsi="Times New Roman" w:cs="Times New Roman"/>
        </w:rPr>
        <w:t xml:space="preserve"> head (Aries)</w:t>
      </w:r>
      <w:r>
        <w:rPr>
          <w:rFonts w:ascii="Times New Roman" w:hAnsi="Times New Roman" w:cs="Times New Roman"/>
        </w:rPr>
        <w:t>”</w:t>
      </w:r>
      <w:r w:rsidR="00A569A2" w:rsidRPr="00A569A2">
        <w:rPr>
          <w:rFonts w:ascii="Times New Roman" w:hAnsi="Times New Roman" w:cs="Times New Roman"/>
        </w:rPr>
        <w:t xml:space="preserve"> (Van der Maesen, 1987). </w:t>
      </w:r>
      <w:r>
        <w:rPr>
          <w:rFonts w:ascii="Times New Roman" w:hAnsi="Times New Roman" w:cs="Times New Roman"/>
        </w:rPr>
        <w:t>“</w:t>
      </w:r>
      <w:r w:rsidR="00A569A2" w:rsidRPr="00A569A2">
        <w:rPr>
          <w:rFonts w:ascii="Times New Roman" w:hAnsi="Times New Roman" w:cs="Times New Roman"/>
        </w:rPr>
        <w:t xml:space="preserve">The Sanskrit name for chickpea is </w:t>
      </w:r>
      <w:proofErr w:type="spellStart"/>
      <w:r w:rsidR="00A569A2" w:rsidRPr="00A569A2">
        <w:rPr>
          <w:rFonts w:ascii="Times New Roman" w:hAnsi="Times New Roman" w:cs="Times New Roman"/>
          <w:i/>
          <w:iCs/>
        </w:rPr>
        <w:t>chennuka</w:t>
      </w:r>
      <w:proofErr w:type="spellEnd"/>
      <w:r w:rsidR="00A569A2" w:rsidRPr="00A569A2">
        <w:rPr>
          <w:rFonts w:ascii="Times New Roman" w:hAnsi="Times New Roman" w:cs="Times New Roman"/>
        </w:rPr>
        <w:t xml:space="preserve">, and hence, the name chana in the Sanskrit-derived </w:t>
      </w:r>
      <w:r w:rsidR="00A569A2" w:rsidRPr="00A569A2">
        <w:rPr>
          <w:rFonts w:ascii="Times New Roman" w:hAnsi="Times New Roman" w:cs="Times New Roman"/>
        </w:rPr>
        <w:lastRenderedPageBreak/>
        <w:t>languages such as Hindi.</w:t>
      </w:r>
      <w:r w:rsidR="00A569A2" w:rsidRPr="00A569A2">
        <w:rPr>
          <w:rFonts w:ascii="Times New Roman" w:hAnsi="Times New Roman" w:cs="Times New Roman"/>
          <w:sz w:val="28"/>
          <w:szCs w:val="28"/>
        </w:rPr>
        <w:t xml:space="preserve"> </w:t>
      </w:r>
      <w:r w:rsidR="00A569A2" w:rsidRPr="00A569A2">
        <w:rPr>
          <w:rFonts w:ascii="Times New Roman" w:hAnsi="Times New Roman" w:cs="Times New Roman"/>
        </w:rPr>
        <w:t>The consumption of chickpeas is popular in many regions worldwide, chiefly due to the high nutrient content it offers. The chickpea seed matrix constitutes carbohydrates (50-58%), proteins (15-22%), moisture (7-8%), fats (3.8-10.20%), and micronutrients constituting less than 1%</w:t>
      </w:r>
      <w:r>
        <w:rPr>
          <w:rFonts w:ascii="Times New Roman" w:hAnsi="Times New Roman" w:cs="Times New Roman"/>
        </w:rPr>
        <w:t>”</w:t>
      </w:r>
      <w:r w:rsidR="00A569A2" w:rsidRPr="00A569A2">
        <w:rPr>
          <w:rFonts w:ascii="Times New Roman" w:hAnsi="Times New Roman" w:cs="Times New Roman"/>
        </w:rPr>
        <w:t xml:space="preserve"> (</w:t>
      </w:r>
      <w:proofErr w:type="spellStart"/>
      <w:r w:rsidR="00A569A2" w:rsidRPr="00A569A2">
        <w:rPr>
          <w:rFonts w:ascii="Times New Roman" w:hAnsi="Times New Roman" w:cs="Times New Roman"/>
        </w:rPr>
        <w:t>Jukanti</w:t>
      </w:r>
      <w:proofErr w:type="spellEnd"/>
      <w:r w:rsidR="00A569A2" w:rsidRPr="00A569A2">
        <w:rPr>
          <w:rFonts w:ascii="Times New Roman" w:hAnsi="Times New Roman" w:cs="Times New Roman"/>
        </w:rPr>
        <w:t xml:space="preserve"> </w:t>
      </w:r>
      <w:r w:rsidR="00A569A2" w:rsidRPr="00A569A2">
        <w:rPr>
          <w:rFonts w:ascii="Times New Roman" w:hAnsi="Times New Roman" w:cs="Times New Roman"/>
          <w:i/>
          <w:iCs/>
        </w:rPr>
        <w:t>et al.,</w:t>
      </w:r>
      <w:r w:rsidR="00A569A2" w:rsidRPr="00A569A2">
        <w:rPr>
          <w:rFonts w:ascii="Times New Roman" w:hAnsi="Times New Roman" w:cs="Times New Roman"/>
        </w:rPr>
        <w:t xml:space="preserve"> 2012; </w:t>
      </w:r>
      <w:r w:rsidR="00444040">
        <w:rPr>
          <w:rFonts w:ascii="Times New Roman" w:hAnsi="Times New Roman" w:cs="Times New Roman"/>
        </w:rPr>
        <w:t>Anonymous</w:t>
      </w:r>
      <w:r w:rsidR="00A569A2" w:rsidRPr="00A569A2">
        <w:rPr>
          <w:rFonts w:ascii="Times New Roman" w:hAnsi="Times New Roman" w:cs="Times New Roman"/>
        </w:rPr>
        <w:t xml:space="preserve">, 2021). </w:t>
      </w:r>
      <w:r>
        <w:rPr>
          <w:rFonts w:ascii="Times New Roman" w:hAnsi="Times New Roman" w:cs="Times New Roman"/>
        </w:rPr>
        <w:t>“</w:t>
      </w:r>
      <w:r w:rsidR="00A569A2" w:rsidRPr="00A569A2">
        <w:rPr>
          <w:rFonts w:ascii="Times New Roman" w:hAnsi="Times New Roman" w:cs="Times New Roman"/>
        </w:rPr>
        <w:t>Chickpeas store prebiotic carbohydrates such as sugar alcohols, fructo-oligosaccharides, raffinose family oligosaccharides, inulin, and resistant starch</w:t>
      </w:r>
      <w:r>
        <w:rPr>
          <w:rFonts w:ascii="Times New Roman" w:hAnsi="Times New Roman" w:cs="Times New Roman"/>
        </w:rPr>
        <w:t>”</w:t>
      </w:r>
      <w:r w:rsidR="00A569A2" w:rsidRPr="00A569A2">
        <w:rPr>
          <w:rFonts w:ascii="Times New Roman" w:hAnsi="Times New Roman" w:cs="Times New Roman"/>
        </w:rPr>
        <w:t xml:space="preserve"> </w:t>
      </w:r>
      <w:r w:rsidR="00A569A2" w:rsidRPr="00771072">
        <w:rPr>
          <w:rFonts w:ascii="Times New Roman" w:hAnsi="Times New Roman" w:cs="Times New Roman"/>
        </w:rPr>
        <w:t>(</w:t>
      </w:r>
      <w:proofErr w:type="spellStart"/>
      <w:r w:rsidR="00A569A2" w:rsidRPr="00771072">
        <w:rPr>
          <w:rFonts w:ascii="Times New Roman" w:hAnsi="Times New Roman" w:cs="Times New Roman"/>
        </w:rPr>
        <w:t>Peterbauer</w:t>
      </w:r>
      <w:proofErr w:type="spellEnd"/>
      <w:r w:rsidR="00A569A2" w:rsidRPr="00771072">
        <w:rPr>
          <w:rFonts w:ascii="Times New Roman" w:hAnsi="Times New Roman" w:cs="Times New Roman"/>
        </w:rPr>
        <w:t xml:space="preserve"> and Richter, 2001; Johnson </w:t>
      </w:r>
      <w:r w:rsidR="00A569A2" w:rsidRPr="00771072">
        <w:rPr>
          <w:rFonts w:ascii="Times New Roman" w:hAnsi="Times New Roman" w:cs="Times New Roman"/>
          <w:i/>
          <w:iCs/>
        </w:rPr>
        <w:t>et al.,</w:t>
      </w:r>
      <w:r w:rsidR="00A569A2" w:rsidRPr="00771072">
        <w:rPr>
          <w:rFonts w:ascii="Times New Roman" w:hAnsi="Times New Roman" w:cs="Times New Roman"/>
        </w:rPr>
        <w:t xml:space="preserve"> 2020)</w:t>
      </w:r>
      <w:r w:rsidR="00A569A2" w:rsidRPr="00A569A2">
        <w:rPr>
          <w:rFonts w:ascii="Times New Roman" w:hAnsi="Times New Roman" w:cs="Times New Roman"/>
        </w:rPr>
        <w:t xml:space="preserve">, </w:t>
      </w:r>
      <w:r>
        <w:rPr>
          <w:rFonts w:ascii="Times New Roman" w:hAnsi="Times New Roman" w:cs="Times New Roman"/>
        </w:rPr>
        <w:t>“</w:t>
      </w:r>
      <w:r w:rsidR="00A569A2" w:rsidRPr="00A569A2">
        <w:rPr>
          <w:rFonts w:ascii="Times New Roman" w:hAnsi="Times New Roman" w:cs="Times New Roman"/>
        </w:rPr>
        <w:t>which alter the gut microbiome and augment human gut health</w:t>
      </w:r>
      <w:r>
        <w:rPr>
          <w:rFonts w:ascii="Times New Roman" w:hAnsi="Times New Roman" w:cs="Times New Roman"/>
        </w:rPr>
        <w:t>”</w:t>
      </w:r>
      <w:r w:rsidR="00A569A2" w:rsidRPr="00A569A2">
        <w:rPr>
          <w:rFonts w:ascii="Times New Roman" w:hAnsi="Times New Roman" w:cs="Times New Roman"/>
        </w:rPr>
        <w:t xml:space="preserve"> </w:t>
      </w:r>
      <w:r w:rsidR="00A569A2" w:rsidRPr="00771072">
        <w:rPr>
          <w:rFonts w:ascii="Times New Roman" w:hAnsi="Times New Roman" w:cs="Times New Roman"/>
        </w:rPr>
        <w:t>(</w:t>
      </w:r>
      <w:proofErr w:type="spellStart"/>
      <w:r w:rsidR="00A569A2" w:rsidRPr="00771072">
        <w:rPr>
          <w:rFonts w:ascii="Times New Roman" w:hAnsi="Times New Roman" w:cs="Times New Roman"/>
        </w:rPr>
        <w:t>Roberfroid</w:t>
      </w:r>
      <w:proofErr w:type="spellEnd"/>
      <w:r w:rsidR="00A569A2" w:rsidRPr="00771072">
        <w:rPr>
          <w:rFonts w:ascii="Times New Roman" w:hAnsi="Times New Roman" w:cs="Times New Roman"/>
        </w:rPr>
        <w:t xml:space="preserve"> </w:t>
      </w:r>
      <w:r w:rsidR="00A569A2" w:rsidRPr="00771072">
        <w:rPr>
          <w:rFonts w:ascii="Times New Roman" w:hAnsi="Times New Roman" w:cs="Times New Roman"/>
          <w:i/>
          <w:iCs/>
        </w:rPr>
        <w:t>et al.,</w:t>
      </w:r>
      <w:r w:rsidR="00A569A2" w:rsidRPr="00771072">
        <w:rPr>
          <w:rFonts w:ascii="Times New Roman" w:hAnsi="Times New Roman" w:cs="Times New Roman"/>
        </w:rPr>
        <w:t xml:space="preserve"> 2009).</w:t>
      </w:r>
      <w:r w:rsidR="00A569A2" w:rsidRPr="00A569A2">
        <w:rPr>
          <w:rFonts w:ascii="Times New Roman" w:hAnsi="Times New Roman" w:cs="Times New Roman"/>
        </w:rPr>
        <w:t xml:space="preserve"> </w:t>
      </w:r>
      <w:r>
        <w:rPr>
          <w:rFonts w:ascii="Times New Roman" w:hAnsi="Times New Roman" w:cs="Times New Roman"/>
        </w:rPr>
        <w:t>“</w:t>
      </w:r>
      <w:r w:rsidR="00A569A2" w:rsidRPr="00A569A2">
        <w:rPr>
          <w:rFonts w:ascii="Times New Roman" w:hAnsi="Times New Roman" w:cs="Times New Roman"/>
        </w:rPr>
        <w:t>It is high in lysine and arginine but low in sulfur (S)-containing amino acids such as cysteine and methionine</w:t>
      </w:r>
      <w:r>
        <w:rPr>
          <w:rFonts w:ascii="Times New Roman" w:hAnsi="Times New Roman" w:cs="Times New Roman"/>
        </w:rPr>
        <w:t>”</w:t>
      </w:r>
      <w:r w:rsidR="00A569A2" w:rsidRPr="00A569A2">
        <w:rPr>
          <w:rFonts w:ascii="Times New Roman" w:hAnsi="Times New Roman" w:cs="Times New Roman"/>
        </w:rPr>
        <w:t xml:space="preserve"> (</w:t>
      </w:r>
      <w:proofErr w:type="spellStart"/>
      <w:r w:rsidR="00A569A2" w:rsidRPr="00A569A2">
        <w:rPr>
          <w:rFonts w:ascii="Times New Roman" w:hAnsi="Times New Roman" w:cs="Times New Roman"/>
        </w:rPr>
        <w:t>Jukanti</w:t>
      </w:r>
      <w:proofErr w:type="spellEnd"/>
      <w:r w:rsidR="00A569A2" w:rsidRPr="00A569A2">
        <w:rPr>
          <w:rFonts w:ascii="Times New Roman" w:hAnsi="Times New Roman" w:cs="Times New Roman"/>
        </w:rPr>
        <w:t xml:space="preserve"> </w:t>
      </w:r>
      <w:r w:rsidR="00A569A2" w:rsidRPr="003E2AB0">
        <w:rPr>
          <w:rFonts w:ascii="Times New Roman" w:hAnsi="Times New Roman" w:cs="Times New Roman"/>
          <w:i/>
          <w:iCs/>
        </w:rPr>
        <w:t>et al.,</w:t>
      </w:r>
      <w:r w:rsidR="00A569A2" w:rsidRPr="00A569A2">
        <w:rPr>
          <w:rFonts w:ascii="Times New Roman" w:hAnsi="Times New Roman" w:cs="Times New Roman"/>
        </w:rPr>
        <w:t xml:space="preserve"> 2012). </w:t>
      </w:r>
      <w:r>
        <w:rPr>
          <w:rFonts w:ascii="Times New Roman" w:hAnsi="Times New Roman" w:cs="Times New Roman"/>
        </w:rPr>
        <w:t>“</w:t>
      </w:r>
      <w:r w:rsidR="00A569A2" w:rsidRPr="00A569A2">
        <w:rPr>
          <w:rFonts w:ascii="Times New Roman" w:hAnsi="Times New Roman" w:cs="Times New Roman"/>
        </w:rPr>
        <w:t>Additionally, chickpeas are a rich source of minerals such as iron (Fe), zinc (Zn), and selenium (Se).</w:t>
      </w:r>
      <w:r w:rsidR="00A569A2">
        <w:rPr>
          <w:rFonts w:ascii="Times New Roman" w:hAnsi="Times New Roman" w:cs="Times New Roman"/>
        </w:rPr>
        <w:t xml:space="preserve"> </w:t>
      </w:r>
      <w:r w:rsidR="00E5339F" w:rsidRPr="00E5339F">
        <w:rPr>
          <w:rFonts w:ascii="Times New Roman" w:hAnsi="Times New Roman" w:cs="Times New Roman"/>
        </w:rPr>
        <w:t>Chickpea is the third most important food legume in the world and a staple crop for millions of people, particularly in developing countries</w:t>
      </w:r>
      <w:r>
        <w:rPr>
          <w:rFonts w:ascii="Times New Roman" w:hAnsi="Times New Roman" w:cs="Times New Roman"/>
        </w:rPr>
        <w:t>”</w:t>
      </w:r>
      <w:r w:rsidR="00E5339F" w:rsidRPr="00E5339F">
        <w:rPr>
          <w:rFonts w:ascii="Times New Roman" w:hAnsi="Times New Roman" w:cs="Times New Roman"/>
        </w:rPr>
        <w:t xml:space="preserve"> (Anonymous, 2022; Varshney </w:t>
      </w:r>
      <w:r w:rsidR="00E5339F" w:rsidRPr="00E5339F">
        <w:rPr>
          <w:rFonts w:ascii="Times New Roman" w:hAnsi="Times New Roman" w:cs="Times New Roman"/>
          <w:i/>
          <w:iCs/>
        </w:rPr>
        <w:t>et al.,</w:t>
      </w:r>
      <w:r w:rsidR="00E5339F" w:rsidRPr="00E5339F">
        <w:rPr>
          <w:rFonts w:ascii="Times New Roman" w:hAnsi="Times New Roman" w:cs="Times New Roman"/>
        </w:rPr>
        <w:t xml:space="preserve"> 2013). </w:t>
      </w:r>
      <w:r>
        <w:rPr>
          <w:rFonts w:ascii="Times New Roman" w:hAnsi="Times New Roman" w:cs="Times New Roman"/>
        </w:rPr>
        <w:t>“</w:t>
      </w:r>
      <w:r w:rsidR="00E5339F" w:rsidRPr="00E5339F">
        <w:rPr>
          <w:rFonts w:ascii="Times New Roman" w:hAnsi="Times New Roman" w:cs="Times New Roman"/>
        </w:rPr>
        <w:t xml:space="preserve">Chickpea is an important legume worldwide; however, there are seed quality problems such as low germination, non-uniform emergence in the field, and susceptibility to abiotic stresses. These conditions further increase yield gaps, particularly in rainfed systems where drought and soil salinity </w:t>
      </w:r>
      <w:r w:rsidR="00D95938" w:rsidRPr="00E5339F">
        <w:rPr>
          <w:rFonts w:ascii="Times New Roman" w:hAnsi="Times New Roman" w:cs="Times New Roman"/>
        </w:rPr>
        <w:t>prevail</w:t>
      </w:r>
      <w:r>
        <w:rPr>
          <w:rFonts w:ascii="Times New Roman" w:hAnsi="Times New Roman" w:cs="Times New Roman"/>
        </w:rPr>
        <w:t>”</w:t>
      </w:r>
      <w:r w:rsidR="00E5339F" w:rsidRPr="00E5339F">
        <w:rPr>
          <w:rFonts w:ascii="Times New Roman" w:hAnsi="Times New Roman" w:cs="Times New Roman"/>
        </w:rPr>
        <w:t xml:space="preserve"> (</w:t>
      </w:r>
      <w:proofErr w:type="spellStart"/>
      <w:r w:rsidR="00E5339F" w:rsidRPr="00E5339F">
        <w:rPr>
          <w:rFonts w:ascii="Times New Roman" w:hAnsi="Times New Roman" w:cs="Times New Roman"/>
        </w:rPr>
        <w:t>Passioura</w:t>
      </w:r>
      <w:proofErr w:type="spellEnd"/>
      <w:r w:rsidR="00E5339F" w:rsidRPr="00E5339F">
        <w:rPr>
          <w:rFonts w:ascii="Times New Roman" w:hAnsi="Times New Roman" w:cs="Times New Roman"/>
        </w:rPr>
        <w:t xml:space="preserve">, 2006; </w:t>
      </w:r>
      <w:proofErr w:type="spellStart"/>
      <w:r w:rsidR="00E5339F" w:rsidRPr="00E5339F">
        <w:rPr>
          <w:rFonts w:ascii="Times New Roman" w:hAnsi="Times New Roman" w:cs="Times New Roman"/>
        </w:rPr>
        <w:t>Pushpavalli</w:t>
      </w:r>
      <w:proofErr w:type="spellEnd"/>
      <w:r w:rsidR="00E5339F" w:rsidRPr="00E5339F">
        <w:rPr>
          <w:rFonts w:ascii="Times New Roman" w:hAnsi="Times New Roman" w:cs="Times New Roman"/>
        </w:rPr>
        <w:t xml:space="preserve"> </w:t>
      </w:r>
      <w:r w:rsidR="00E5339F" w:rsidRPr="00E5339F">
        <w:rPr>
          <w:rFonts w:ascii="Times New Roman" w:hAnsi="Times New Roman" w:cs="Times New Roman"/>
          <w:i/>
          <w:iCs/>
        </w:rPr>
        <w:t>et al.,</w:t>
      </w:r>
      <w:r w:rsidR="00E5339F" w:rsidRPr="00E5339F">
        <w:rPr>
          <w:rFonts w:ascii="Times New Roman" w:hAnsi="Times New Roman" w:cs="Times New Roman"/>
        </w:rPr>
        <w:t xml:space="preserve"> 2020).</w:t>
      </w:r>
      <w:r w:rsidR="0034711C">
        <w:rPr>
          <w:rFonts w:ascii="Times New Roman" w:hAnsi="Times New Roman" w:cs="Times New Roman"/>
        </w:rPr>
        <w:t xml:space="preserve"> </w:t>
      </w:r>
      <w:r>
        <w:rPr>
          <w:rFonts w:ascii="Times New Roman" w:hAnsi="Times New Roman" w:cs="Times New Roman"/>
        </w:rPr>
        <w:t>“</w:t>
      </w:r>
      <w:r w:rsidR="00E5339F" w:rsidRPr="00E5339F">
        <w:rPr>
          <w:rFonts w:ascii="Times New Roman" w:hAnsi="Times New Roman" w:cs="Times New Roman"/>
        </w:rPr>
        <w:t>Seed priming has been identified as the low cost and farmer-friendly technique for restoration of these limitations, which ensures better crop stand establishment and yield stability under marginal environments</w:t>
      </w:r>
      <w:r>
        <w:rPr>
          <w:rFonts w:ascii="Times New Roman" w:hAnsi="Times New Roman" w:cs="Times New Roman"/>
        </w:rPr>
        <w:t>”</w:t>
      </w:r>
      <w:r w:rsidR="00E5339F" w:rsidRPr="00E5339F">
        <w:rPr>
          <w:rFonts w:ascii="Times New Roman" w:hAnsi="Times New Roman" w:cs="Times New Roman"/>
        </w:rPr>
        <w:t xml:space="preserve"> (Farooq </w:t>
      </w:r>
      <w:r w:rsidR="00E5339F" w:rsidRPr="003E2AB0">
        <w:rPr>
          <w:rFonts w:ascii="Times New Roman" w:hAnsi="Times New Roman" w:cs="Times New Roman"/>
          <w:i/>
          <w:iCs/>
        </w:rPr>
        <w:t>et al.,</w:t>
      </w:r>
      <w:r w:rsidR="00E5339F" w:rsidRPr="00E5339F">
        <w:rPr>
          <w:rFonts w:ascii="Times New Roman" w:hAnsi="Times New Roman" w:cs="Times New Roman"/>
        </w:rPr>
        <w:t xml:space="preserve"> 2006; 2019; Shareef </w:t>
      </w:r>
      <w:r w:rsidR="00E5339F" w:rsidRPr="003E2AB0">
        <w:rPr>
          <w:rFonts w:ascii="Times New Roman" w:hAnsi="Times New Roman" w:cs="Times New Roman"/>
          <w:i/>
          <w:iCs/>
        </w:rPr>
        <w:t>et al.,</w:t>
      </w:r>
      <w:r w:rsidR="00E5339F" w:rsidRPr="00E5339F">
        <w:rPr>
          <w:rFonts w:ascii="Times New Roman" w:hAnsi="Times New Roman" w:cs="Times New Roman"/>
        </w:rPr>
        <w:t xml:space="preserve"> 2023). </w:t>
      </w:r>
      <w:r>
        <w:rPr>
          <w:rFonts w:ascii="Times New Roman" w:hAnsi="Times New Roman" w:cs="Times New Roman"/>
        </w:rPr>
        <w:t>“</w:t>
      </w:r>
      <w:r w:rsidR="00E5339F" w:rsidRPr="00E5339F">
        <w:rPr>
          <w:rFonts w:ascii="Times New Roman" w:hAnsi="Times New Roman" w:cs="Times New Roman"/>
        </w:rPr>
        <w:t>Of the several methods tested, hormonal priming has been particularly explored for improving seed vigour and stress tolerance</w:t>
      </w:r>
      <w:r>
        <w:rPr>
          <w:rFonts w:ascii="Times New Roman" w:hAnsi="Times New Roman" w:cs="Times New Roman"/>
        </w:rPr>
        <w:t>”</w:t>
      </w:r>
      <w:r w:rsidR="00E5339F" w:rsidRPr="00E5339F">
        <w:rPr>
          <w:rFonts w:ascii="Times New Roman" w:hAnsi="Times New Roman" w:cs="Times New Roman"/>
        </w:rPr>
        <w:t xml:space="preserve"> (Ashraf, 2010). </w:t>
      </w:r>
      <w:r>
        <w:rPr>
          <w:rFonts w:ascii="Times New Roman" w:hAnsi="Times New Roman" w:cs="Times New Roman"/>
        </w:rPr>
        <w:t>“</w:t>
      </w:r>
      <w:r w:rsidR="00E5339F" w:rsidRPr="00E5339F">
        <w:rPr>
          <w:rFonts w:ascii="Times New Roman" w:hAnsi="Times New Roman" w:cs="Times New Roman"/>
        </w:rPr>
        <w:t xml:space="preserve">Hormonal phytochemicals are key in the physiology of seed and process of germination, as gibberellins (GA₃) play a role in the release of dormancy end promotion of germination, auxins (IAA, IBA, NAA) regulate the initiation of roots, cytokinin’s (kinetin) drive the division of cells, and the regulators of growth (early CCC and </w:t>
      </w:r>
      <w:proofErr w:type="spellStart"/>
      <w:r w:rsidR="00E5339F" w:rsidRPr="00E5339F">
        <w:rPr>
          <w:rFonts w:ascii="Times New Roman" w:hAnsi="Times New Roman" w:cs="Times New Roman"/>
        </w:rPr>
        <w:t>ethrel</w:t>
      </w:r>
      <w:proofErr w:type="spellEnd"/>
      <w:r w:rsidR="00E5339F" w:rsidRPr="00E5339F">
        <w:rPr>
          <w:rFonts w:ascii="Times New Roman" w:hAnsi="Times New Roman" w:cs="Times New Roman"/>
        </w:rPr>
        <w:t>) are involved stress signaling and architecture of the plant</w:t>
      </w:r>
      <w:r>
        <w:rPr>
          <w:rFonts w:ascii="Times New Roman" w:hAnsi="Times New Roman" w:cs="Times New Roman"/>
        </w:rPr>
        <w:t>”</w:t>
      </w:r>
      <w:bookmarkStart w:id="0" w:name="_GoBack"/>
      <w:bookmarkEnd w:id="0"/>
      <w:r w:rsidR="00E5339F" w:rsidRPr="00E5339F">
        <w:rPr>
          <w:rFonts w:ascii="Times New Roman" w:hAnsi="Times New Roman" w:cs="Times New Roman"/>
        </w:rPr>
        <w:t xml:space="preserve"> (Khan </w:t>
      </w:r>
      <w:r w:rsidR="00E5339F" w:rsidRPr="003E2AB0">
        <w:rPr>
          <w:rFonts w:ascii="Times New Roman" w:hAnsi="Times New Roman" w:cs="Times New Roman"/>
          <w:i/>
          <w:iCs/>
        </w:rPr>
        <w:t>et al.,</w:t>
      </w:r>
      <w:r w:rsidR="00E5339F" w:rsidRPr="00E5339F">
        <w:rPr>
          <w:rFonts w:ascii="Times New Roman" w:hAnsi="Times New Roman" w:cs="Times New Roman"/>
        </w:rPr>
        <w:t xml:space="preserve"> 2009; Taiz </w:t>
      </w:r>
      <w:r w:rsidR="00E5339F" w:rsidRPr="003E2AB0">
        <w:rPr>
          <w:rFonts w:ascii="Times New Roman" w:hAnsi="Times New Roman" w:cs="Times New Roman"/>
          <w:i/>
          <w:iCs/>
        </w:rPr>
        <w:t>et al.,</w:t>
      </w:r>
      <w:r w:rsidR="00E5339F" w:rsidRPr="00E5339F">
        <w:rPr>
          <w:rFonts w:ascii="Times New Roman" w:hAnsi="Times New Roman" w:cs="Times New Roman"/>
        </w:rPr>
        <w:t xml:space="preserve"> 2015; Paparella </w:t>
      </w:r>
      <w:r w:rsidR="00E5339F" w:rsidRPr="003E2AB0">
        <w:rPr>
          <w:rFonts w:ascii="Times New Roman" w:hAnsi="Times New Roman" w:cs="Times New Roman"/>
          <w:i/>
          <w:iCs/>
        </w:rPr>
        <w:t>et al.,</w:t>
      </w:r>
      <w:r w:rsidR="00E5339F" w:rsidRPr="00E5339F">
        <w:rPr>
          <w:rFonts w:ascii="Times New Roman" w:hAnsi="Times New Roman" w:cs="Times New Roman"/>
        </w:rPr>
        <w:t xml:space="preserve"> 2015).</w:t>
      </w:r>
    </w:p>
    <w:p w14:paraId="73C736BF" w14:textId="234437A8" w:rsidR="00426101" w:rsidRPr="00426101" w:rsidRDefault="00426101" w:rsidP="00426101">
      <w:pPr>
        <w:autoSpaceDE w:val="0"/>
        <w:autoSpaceDN w:val="0"/>
        <w:adjustRightInd w:val="0"/>
        <w:spacing w:after="0" w:line="360" w:lineRule="auto"/>
        <w:jc w:val="both"/>
        <w:rPr>
          <w:rFonts w:ascii="Times New Roman" w:hAnsi="Times New Roman" w:cs="Times New Roman"/>
          <w:b/>
          <w:bCs/>
        </w:rPr>
      </w:pPr>
      <w:r w:rsidRPr="00426101">
        <w:rPr>
          <w:rFonts w:ascii="Times New Roman" w:hAnsi="Times New Roman" w:cs="Times New Roman"/>
          <w:b/>
          <w:bCs/>
        </w:rPr>
        <w:t>Materials and Methods</w:t>
      </w:r>
    </w:p>
    <w:p w14:paraId="6B1DC646" w14:textId="6E8836E4" w:rsidR="00771072" w:rsidRDefault="001A5077" w:rsidP="00BB6820">
      <w:pPr>
        <w:autoSpaceDE w:val="0"/>
        <w:autoSpaceDN w:val="0"/>
        <w:adjustRightInd w:val="0"/>
        <w:spacing w:after="0" w:line="360" w:lineRule="auto"/>
        <w:ind w:firstLine="720"/>
        <w:jc w:val="both"/>
        <w:rPr>
          <w:rFonts w:ascii="Times New Roman" w:hAnsi="Times New Roman" w:cs="Times New Roman"/>
          <w:lang w:val="en-GB"/>
        </w:rPr>
      </w:pPr>
      <w:r>
        <w:rPr>
          <w:rFonts w:ascii="Times New Roman" w:hAnsi="Times New Roman" w:cs="Times New Roman"/>
        </w:rPr>
        <w:t>To</w:t>
      </w:r>
      <w:r w:rsidR="00426101" w:rsidRPr="00426101">
        <w:rPr>
          <w:rFonts w:ascii="Times New Roman" w:hAnsi="Times New Roman" w:cs="Times New Roman"/>
        </w:rPr>
        <w:t xml:space="preserve"> assess the effect of various priming treatments on seed quality and vigour parameters on chickpea (</w:t>
      </w:r>
      <w:r w:rsidR="00426101" w:rsidRPr="00426101">
        <w:rPr>
          <w:rFonts w:ascii="Times New Roman" w:hAnsi="Times New Roman" w:cs="Times New Roman"/>
          <w:i/>
          <w:iCs/>
        </w:rPr>
        <w:t xml:space="preserve">Cicer arietinum </w:t>
      </w:r>
      <w:r w:rsidR="00426101" w:rsidRPr="00426101">
        <w:rPr>
          <w:rFonts w:ascii="Times New Roman" w:hAnsi="Times New Roman" w:cs="Times New Roman"/>
        </w:rPr>
        <w:t xml:space="preserve">L. cv. KWR 108). </w:t>
      </w:r>
      <w:r w:rsidR="00F44643" w:rsidRPr="00F44643">
        <w:rPr>
          <w:rFonts w:ascii="Times New Roman" w:hAnsi="Times New Roman" w:cs="Times New Roman"/>
          <w:lang w:val="en-GB"/>
        </w:rPr>
        <w:t xml:space="preserve">A field experiment was conducted at the SIF of C.S. Azad University of Agriculture and Technology in Kanpur. The experiment investigated fifteen treatments: GA₃ (50 ppm for 12 hours; 100 ppm for 8 hours), IAA (50 ppm for 12 hours; 100 ppm for 8 hours), IBA (50 ppm for 12 hours; 100 ppm for 8 hours), CCC (50 ppm for 12 hours; 100 ppm for 8 hours), </w:t>
      </w:r>
      <w:proofErr w:type="spellStart"/>
      <w:r w:rsidR="00F44643" w:rsidRPr="00F44643">
        <w:rPr>
          <w:rFonts w:ascii="Times New Roman" w:hAnsi="Times New Roman" w:cs="Times New Roman"/>
          <w:lang w:val="en-GB"/>
        </w:rPr>
        <w:t>Ethrel</w:t>
      </w:r>
      <w:proofErr w:type="spellEnd"/>
      <w:r w:rsidR="00F44643" w:rsidRPr="00F44643">
        <w:rPr>
          <w:rFonts w:ascii="Times New Roman" w:hAnsi="Times New Roman" w:cs="Times New Roman"/>
          <w:lang w:val="en-GB"/>
        </w:rPr>
        <w:t xml:space="preserve"> (50 ppm for 12 hours; 100 ppm for 8 hours), NAA (50 ppm </w:t>
      </w:r>
      <w:r w:rsidR="00F44643" w:rsidRPr="00F44643">
        <w:rPr>
          <w:rFonts w:ascii="Times New Roman" w:hAnsi="Times New Roman" w:cs="Times New Roman"/>
          <w:lang w:val="en-GB"/>
        </w:rPr>
        <w:lastRenderedPageBreak/>
        <w:t>for 12 hours; 100 ppm for 8 hours), Kinetin (50 ppm for 12 hours; 100 ppm for 8 hours), and an untreated control group. Seeds were prepped according to the procedures. The seeds were obtained from the University’s Seed Processing Unit. The study was performed throughout the rabi season of 2023-24 and 2024-25. The seeds were picked and dried to a safe moisture level, namely 10%. The observation documented multiple seed quality parameters, including standard germination (%), peak germination value (%), mean daily germination (%), germination value, relative growth index, seed viability (%), seedling length (cm), seedling dry weight (g), vigour index I, and vigour index II. The laboratory evaluations used a Completely Randomised Design (CRD) with four replications, and the seed quality study was performed in the Department of Seed Science and Technology.</w:t>
      </w:r>
    </w:p>
    <w:p w14:paraId="04B5AFE0" w14:textId="60E157D0" w:rsidR="00771072" w:rsidRDefault="00771072" w:rsidP="00771072">
      <w:pPr>
        <w:autoSpaceDE w:val="0"/>
        <w:autoSpaceDN w:val="0"/>
        <w:adjustRightInd w:val="0"/>
        <w:spacing w:after="0" w:line="360" w:lineRule="auto"/>
        <w:jc w:val="both"/>
        <w:rPr>
          <w:rFonts w:ascii="Times New Roman" w:hAnsi="Times New Roman" w:cs="Times New Roman"/>
          <w:b/>
          <w:bCs/>
          <w:lang w:val="en-GB"/>
        </w:rPr>
      </w:pPr>
      <w:r w:rsidRPr="00771072">
        <w:rPr>
          <w:rFonts w:ascii="Times New Roman" w:hAnsi="Times New Roman" w:cs="Times New Roman"/>
          <w:b/>
          <w:bCs/>
          <w:lang w:val="en-GB"/>
        </w:rPr>
        <w:t>Seed quality testing</w:t>
      </w:r>
      <w:r>
        <w:rPr>
          <w:rFonts w:ascii="Times New Roman" w:hAnsi="Times New Roman" w:cs="Times New Roman"/>
          <w:b/>
          <w:bCs/>
          <w:lang w:val="en-GB"/>
        </w:rPr>
        <w:t xml:space="preserve"> </w:t>
      </w:r>
    </w:p>
    <w:p w14:paraId="5AE656BE" w14:textId="2A617B0D" w:rsidR="00771072" w:rsidRPr="00A6066A" w:rsidRDefault="00771072" w:rsidP="00771072">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lang w:val="en-GB"/>
        </w:rPr>
        <w:tab/>
      </w:r>
      <w:r w:rsidR="00A6066A" w:rsidRPr="00A6066A">
        <w:rPr>
          <w:rFonts w:ascii="Times New Roman" w:hAnsi="Times New Roman" w:cs="Times New Roman"/>
        </w:rPr>
        <w:t>In a standard germination test, there are 100 seeds taken from each of the four replications and spread uniformly on a moist germination medium. During the set period (usually 8 days), the seeds are observed, and the number that germinated successfully is recorded as a percentage</w:t>
      </w:r>
      <w:r w:rsidR="000B25F2">
        <w:rPr>
          <w:rFonts w:ascii="Times New Roman" w:hAnsi="Times New Roman" w:cs="Times New Roman"/>
        </w:rPr>
        <w:t xml:space="preserve"> and calculated as per following formula:</w:t>
      </w:r>
    </w:p>
    <w:p w14:paraId="6EEC4F8F" w14:textId="63D67122" w:rsidR="00A6066A" w:rsidRPr="000B25F2" w:rsidRDefault="000B25F2" w:rsidP="00771072">
      <w:pPr>
        <w:autoSpaceDE w:val="0"/>
        <w:autoSpaceDN w:val="0"/>
        <w:adjustRightInd w:val="0"/>
        <w:spacing w:after="0" w:line="360" w:lineRule="auto"/>
        <w:jc w:val="both"/>
        <w:rPr>
          <w:rFonts w:ascii="Times New Roman" w:hAnsi="Times New Roman" w:cs="Times New Roman"/>
          <w:iCs/>
          <w:lang w:val="en-GB"/>
        </w:rPr>
      </w:pPr>
      <m:oMathPara>
        <m:oMath>
          <m:r>
            <m:rPr>
              <m:sty m:val="p"/>
            </m:rPr>
            <w:rPr>
              <w:rFonts w:ascii="Cambria Math" w:hAnsi="Cambria Math" w:cs="Times New Roman"/>
              <w:lang w:val="en-GB"/>
            </w:rPr>
            <m:t>Germination %=</m:t>
          </m:r>
          <m:f>
            <m:fPr>
              <m:ctrlPr>
                <w:rPr>
                  <w:rFonts w:ascii="Cambria Math" w:hAnsi="Cambria Math" w:cs="Times New Roman"/>
                  <w:iCs/>
                  <w:lang w:val="en-GB"/>
                </w:rPr>
              </m:ctrlPr>
            </m:fPr>
            <m:num>
              <m:r>
                <m:rPr>
                  <m:sty m:val="p"/>
                </m:rPr>
                <w:rPr>
                  <w:rFonts w:ascii="Cambria Math" w:hAnsi="Cambria Math" w:cs="Times New Roman"/>
                  <w:lang w:val="en-GB"/>
                </w:rPr>
                <m:t>Germinated seeds</m:t>
              </m:r>
            </m:num>
            <m:den>
              <m:r>
                <m:rPr>
                  <m:sty m:val="p"/>
                </m:rPr>
                <w:rPr>
                  <w:rFonts w:ascii="Cambria Math" w:hAnsi="Cambria Math" w:cs="Times New Roman"/>
                  <w:lang w:val="en-GB"/>
                </w:rPr>
                <m:t>Total seeds tested</m:t>
              </m:r>
            </m:den>
          </m:f>
          <m:r>
            <m:rPr>
              <m:sty m:val="p"/>
            </m:rPr>
            <w:rPr>
              <w:rFonts w:ascii="Cambria Math" w:hAnsi="Cambria Math" w:cs="Times New Roman"/>
              <w:lang w:val="en-GB"/>
            </w:rPr>
            <m:t>×100</m:t>
          </m:r>
        </m:oMath>
      </m:oMathPara>
    </w:p>
    <w:p w14:paraId="18D2C736" w14:textId="1EAD134D" w:rsidR="00F86CC8" w:rsidRDefault="0055443A" w:rsidP="00937FA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b/>
      </w:r>
      <w:r w:rsidR="00A6066A" w:rsidRPr="00A6066A">
        <w:rPr>
          <w:rFonts w:ascii="Times New Roman" w:hAnsi="Times New Roman" w:cs="Times New Roman"/>
        </w:rPr>
        <w:t>The peak</w:t>
      </w:r>
      <w:r w:rsidR="00A6066A">
        <w:rPr>
          <w:rFonts w:ascii="Times New Roman" w:hAnsi="Times New Roman" w:cs="Times New Roman"/>
        </w:rPr>
        <w:t xml:space="preserve"> </w:t>
      </w:r>
      <w:r w:rsidR="000B25F2">
        <w:rPr>
          <w:rFonts w:ascii="Times New Roman" w:hAnsi="Times New Roman" w:cs="Times New Roman"/>
        </w:rPr>
        <w:t>value</w:t>
      </w:r>
      <w:r w:rsidR="00A6066A" w:rsidRPr="00A6066A">
        <w:rPr>
          <w:rFonts w:ascii="Times New Roman" w:hAnsi="Times New Roman" w:cs="Times New Roman"/>
        </w:rPr>
        <w:t xml:space="preserve"> germination percentage is an indicator of the maximum germination rate</w:t>
      </w:r>
      <w:r w:rsidR="0018520A">
        <w:rPr>
          <w:rFonts w:ascii="Times New Roman" w:hAnsi="Times New Roman" w:cs="Times New Roman"/>
        </w:rPr>
        <w:t>,</w:t>
      </w:r>
      <w:r w:rsidR="00A6066A" w:rsidRPr="00A6066A">
        <w:rPr>
          <w:rFonts w:ascii="Times New Roman" w:hAnsi="Times New Roman" w:cs="Times New Roman"/>
        </w:rPr>
        <w:t xml:space="preserve"> which has been recorded during the germination test.</w:t>
      </w:r>
      <w:r w:rsidR="000B25F2">
        <w:rPr>
          <w:rFonts w:ascii="Times New Roman" w:hAnsi="Times New Roman" w:cs="Times New Roman"/>
        </w:rPr>
        <w:t xml:space="preserve"> Peak value was calculated according to </w:t>
      </w:r>
      <w:r w:rsidR="0018520A">
        <w:rPr>
          <w:rFonts w:ascii="Times New Roman" w:hAnsi="Times New Roman" w:cs="Times New Roman"/>
        </w:rPr>
        <w:t xml:space="preserve">the </w:t>
      </w:r>
      <w:r w:rsidR="000B25F2">
        <w:rPr>
          <w:rFonts w:ascii="Times New Roman" w:hAnsi="Times New Roman" w:cs="Times New Roman"/>
        </w:rPr>
        <w:t>following</w:t>
      </w:r>
      <w:r w:rsidR="000B25F2" w:rsidRPr="000B25F2">
        <w:rPr>
          <w:rFonts w:ascii="Times New Roman" w:hAnsi="Times New Roman" w:cs="Times New Roman"/>
        </w:rPr>
        <w:t xml:space="preserve"> </w:t>
      </w:r>
      <w:r w:rsidR="000B25F2">
        <w:rPr>
          <w:rFonts w:ascii="Times New Roman" w:hAnsi="Times New Roman" w:cs="Times New Roman"/>
        </w:rPr>
        <w:t>formula:</w:t>
      </w:r>
    </w:p>
    <w:p w14:paraId="27FD4602" w14:textId="338849B9" w:rsidR="00937FA4" w:rsidRPr="00937FA4" w:rsidRDefault="00937FA4" w:rsidP="00937FA4">
      <w:pPr>
        <w:autoSpaceDE w:val="0"/>
        <w:autoSpaceDN w:val="0"/>
        <w:adjustRightInd w:val="0"/>
        <w:spacing w:after="0" w:line="360" w:lineRule="auto"/>
        <w:jc w:val="both"/>
        <w:rPr>
          <w:rFonts w:ascii="Times New Roman" w:hAnsi="Times New Roman" w:cs="Times New Roman"/>
          <w:iCs/>
          <w:lang w:val="en-GB"/>
        </w:rPr>
      </w:pPr>
      <m:oMathPara>
        <m:oMath>
          <m:r>
            <m:rPr>
              <m:sty m:val="p"/>
            </m:rPr>
            <w:rPr>
              <w:rFonts w:ascii="Cambria Math" w:hAnsi="Cambria Math" w:cs="Times New Roman"/>
              <w:lang w:val="en-GB"/>
            </w:rPr>
            <m:t>Peak value=</m:t>
          </m:r>
          <m:f>
            <m:fPr>
              <m:ctrlPr>
                <w:rPr>
                  <w:rFonts w:ascii="Cambria Math" w:hAnsi="Cambria Math" w:cs="Times New Roman"/>
                  <w:iCs/>
                  <w:lang w:val="en-GB"/>
                </w:rPr>
              </m:ctrlPr>
            </m:fPr>
            <m:num>
              <m:r>
                <m:rPr>
                  <m:sty m:val="p"/>
                </m:rPr>
                <w:rPr>
                  <w:rFonts w:ascii="Cambria Math" w:hAnsi="Cambria Math" w:cs="Times New Roman"/>
                  <w:lang w:val="en-GB"/>
                </w:rPr>
                <m:t>Germination %</m:t>
              </m:r>
            </m:num>
            <m:den>
              <m:r>
                <m:rPr>
                  <m:sty m:val="p"/>
                </m:rPr>
                <w:rPr>
                  <w:rFonts w:ascii="Cambria Math" w:hAnsi="Cambria Math" w:cs="Times New Roman"/>
                  <w:lang w:val="en-GB"/>
                </w:rPr>
                <m:t>Number of days to reach maximum germination</m:t>
              </m:r>
            </m:den>
          </m:f>
        </m:oMath>
      </m:oMathPara>
    </w:p>
    <w:p w14:paraId="4489C1AF" w14:textId="0DDFC778" w:rsidR="00937FA4" w:rsidRDefault="00937FA4" w:rsidP="00937FA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Mean daily germination was</w:t>
      </w:r>
      <w:r w:rsidRPr="00937FA4">
        <w:rPr>
          <w:rFonts w:ascii="Times New Roman" w:hAnsi="Times New Roman" w:cs="Times New Roman"/>
        </w:rPr>
        <w:t xml:space="preserve"> </w:t>
      </w:r>
      <w:r>
        <w:rPr>
          <w:rFonts w:ascii="Times New Roman" w:hAnsi="Times New Roman" w:cs="Times New Roman"/>
        </w:rPr>
        <w:t>calculated according to following</w:t>
      </w:r>
      <w:r w:rsidRPr="000B25F2">
        <w:rPr>
          <w:rFonts w:ascii="Times New Roman" w:hAnsi="Times New Roman" w:cs="Times New Roman"/>
        </w:rPr>
        <w:t xml:space="preserve"> </w:t>
      </w:r>
      <w:r>
        <w:rPr>
          <w:rFonts w:ascii="Times New Roman" w:hAnsi="Times New Roman" w:cs="Times New Roman"/>
        </w:rPr>
        <w:t>formula:</w:t>
      </w:r>
    </w:p>
    <w:p w14:paraId="7F147843" w14:textId="17E18ACE" w:rsidR="00937FA4" w:rsidRPr="00937FA4" w:rsidRDefault="0055443A" w:rsidP="00937FA4">
      <w:pPr>
        <w:autoSpaceDE w:val="0"/>
        <w:autoSpaceDN w:val="0"/>
        <w:adjustRightInd w:val="0"/>
        <w:spacing w:after="0" w:line="360" w:lineRule="auto"/>
        <w:jc w:val="both"/>
        <w:rPr>
          <w:rFonts w:ascii="Times New Roman" w:hAnsi="Times New Roman" w:cs="Times New Roman"/>
          <w:iCs/>
          <w:lang w:val="en-GB"/>
        </w:rPr>
      </w:pPr>
      <m:oMathPara>
        <m:oMath>
          <m:r>
            <m:rPr>
              <m:sty m:val="p"/>
            </m:rPr>
            <w:rPr>
              <w:rFonts w:ascii="Cambria Math" w:hAnsi="Cambria Math" w:cs="Times New Roman"/>
            </w:rPr>
            <m:t>Mean daily germination</m:t>
          </m:r>
          <m:r>
            <m:rPr>
              <m:sty m:val="p"/>
            </m:rPr>
            <w:rPr>
              <w:rFonts w:ascii="Cambria Math" w:hAnsi="Cambria Math" w:cs="Times New Roman"/>
              <w:lang w:val="en-GB"/>
            </w:rPr>
            <m:t>=</m:t>
          </m:r>
          <m:f>
            <m:fPr>
              <m:ctrlPr>
                <w:rPr>
                  <w:rFonts w:ascii="Cambria Math" w:hAnsi="Cambria Math" w:cs="Times New Roman"/>
                  <w:iCs/>
                  <w:lang w:val="en-GB"/>
                </w:rPr>
              </m:ctrlPr>
            </m:fPr>
            <m:num>
              <m:r>
                <m:rPr>
                  <m:sty m:val="p"/>
                </m:rPr>
                <w:rPr>
                  <w:rFonts w:ascii="Cambria Math" w:hAnsi="Cambria Math" w:cs="Times New Roman"/>
                  <w:lang w:val="en-GB"/>
                </w:rPr>
                <m:t>Germination %</m:t>
              </m:r>
            </m:num>
            <m:den>
              <m:r>
                <m:rPr>
                  <m:sty m:val="p"/>
                </m:rPr>
                <w:rPr>
                  <w:rFonts w:ascii="Cambria Math" w:hAnsi="Cambria Math" w:cs="Times New Roman"/>
                  <w:lang w:val="en-GB"/>
                </w:rPr>
                <m:t xml:space="preserve">Total number of days </m:t>
              </m:r>
            </m:den>
          </m:f>
        </m:oMath>
      </m:oMathPara>
    </w:p>
    <w:p w14:paraId="56DA2769" w14:textId="0B7E7875" w:rsidR="0055443A" w:rsidRDefault="0055443A" w:rsidP="0055443A">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Germination value</w:t>
      </w:r>
      <w:r w:rsidRPr="0055443A">
        <w:rPr>
          <w:rFonts w:ascii="Times New Roman" w:hAnsi="Times New Roman" w:cs="Times New Roman"/>
        </w:rPr>
        <w:t xml:space="preserve"> </w:t>
      </w:r>
      <w:r>
        <w:rPr>
          <w:rFonts w:ascii="Times New Roman" w:hAnsi="Times New Roman" w:cs="Times New Roman"/>
        </w:rPr>
        <w:t>was calculated according to following</w:t>
      </w:r>
      <w:r w:rsidRPr="000B25F2">
        <w:rPr>
          <w:rFonts w:ascii="Times New Roman" w:hAnsi="Times New Roman" w:cs="Times New Roman"/>
        </w:rPr>
        <w:t xml:space="preserve"> </w:t>
      </w:r>
      <w:r>
        <w:rPr>
          <w:rFonts w:ascii="Times New Roman" w:hAnsi="Times New Roman" w:cs="Times New Roman"/>
        </w:rPr>
        <w:t>formula:</w:t>
      </w:r>
    </w:p>
    <w:p w14:paraId="4D3E03D4" w14:textId="68AC1D82" w:rsidR="00937FA4" w:rsidRPr="0055443A" w:rsidRDefault="0055443A" w:rsidP="00937FA4">
      <w:pPr>
        <w:autoSpaceDE w:val="0"/>
        <w:autoSpaceDN w:val="0"/>
        <w:adjustRightInd w:val="0"/>
        <w:spacing w:after="0" w:line="360" w:lineRule="auto"/>
        <w:jc w:val="both"/>
        <w:rPr>
          <w:rFonts w:ascii="Times New Roman" w:eastAsiaTheme="minorEastAsia" w:hAnsi="Times New Roman" w:cs="Times New Roman"/>
          <w:iCs/>
        </w:rPr>
      </w:pPr>
      <m:oMathPara>
        <m:oMath>
          <m:r>
            <m:rPr>
              <m:sty m:val="p"/>
            </m:rPr>
            <w:rPr>
              <w:rFonts w:ascii="Cambria Math" w:hAnsi="Cambria Math" w:cs="Times New Roman"/>
            </w:rPr>
            <m:t xml:space="preserve">Germination value = Peak value </m:t>
          </m:r>
          <m:r>
            <w:rPr>
              <w:rFonts w:ascii="Cambria Math" w:hAnsi="Cambria Math" w:cs="Times New Roman"/>
            </w:rPr>
            <m:t>×</m:t>
          </m:r>
          <m:r>
            <m:rPr>
              <m:sty m:val="p"/>
            </m:rPr>
            <w:rPr>
              <w:rFonts w:ascii="Cambria Math" w:hAnsi="Cambria Math" w:cs="Times New Roman"/>
            </w:rPr>
            <m:t>Mean daily germination</m:t>
          </m:r>
        </m:oMath>
      </m:oMathPara>
    </w:p>
    <w:p w14:paraId="2AB7ED25" w14:textId="48FE370B" w:rsidR="0055443A" w:rsidRDefault="0018520A" w:rsidP="00937FA4">
      <w:pPr>
        <w:autoSpaceDE w:val="0"/>
        <w:autoSpaceDN w:val="0"/>
        <w:adjustRightInd w:val="0"/>
        <w:spacing w:after="0" w:line="360" w:lineRule="auto"/>
        <w:jc w:val="both"/>
        <w:rPr>
          <w:rFonts w:ascii="Times New Roman" w:hAnsi="Times New Roman" w:cs="Times New Roman"/>
        </w:rPr>
      </w:pPr>
      <w:r>
        <w:rPr>
          <w:rFonts w:ascii="Times New Roman" w:eastAsiaTheme="minorEastAsia" w:hAnsi="Times New Roman" w:cs="Times New Roman"/>
          <w:iCs/>
        </w:rPr>
        <w:t>The relative</w:t>
      </w:r>
      <w:r w:rsidR="0055443A">
        <w:rPr>
          <w:rFonts w:ascii="Times New Roman" w:eastAsiaTheme="minorEastAsia" w:hAnsi="Times New Roman" w:cs="Times New Roman"/>
          <w:iCs/>
        </w:rPr>
        <w:t xml:space="preserve"> growth index of seedlings was</w:t>
      </w:r>
      <w:r w:rsidR="0055443A" w:rsidRPr="0055443A">
        <w:rPr>
          <w:rFonts w:ascii="Times New Roman" w:hAnsi="Times New Roman" w:cs="Times New Roman"/>
        </w:rPr>
        <w:t xml:space="preserve"> </w:t>
      </w:r>
      <w:r w:rsidR="0055443A">
        <w:rPr>
          <w:rFonts w:ascii="Times New Roman" w:hAnsi="Times New Roman" w:cs="Times New Roman"/>
        </w:rPr>
        <w:t>calculated according to following</w:t>
      </w:r>
      <w:r w:rsidR="0055443A" w:rsidRPr="000B25F2">
        <w:rPr>
          <w:rFonts w:ascii="Times New Roman" w:hAnsi="Times New Roman" w:cs="Times New Roman"/>
        </w:rPr>
        <w:t xml:space="preserve"> </w:t>
      </w:r>
      <w:r w:rsidR="0055443A">
        <w:rPr>
          <w:rFonts w:ascii="Times New Roman" w:hAnsi="Times New Roman" w:cs="Times New Roman"/>
        </w:rPr>
        <w:t>formula given by Brown and May</w:t>
      </w:r>
      <w:r w:rsidR="00BE1895">
        <w:rPr>
          <w:rFonts w:ascii="Times New Roman" w:hAnsi="Times New Roman" w:cs="Times New Roman"/>
        </w:rPr>
        <w:t>er (1986).</w:t>
      </w:r>
    </w:p>
    <w:p w14:paraId="3843063D" w14:textId="3EA0C42A" w:rsidR="00BE1895" w:rsidRPr="00787C2B" w:rsidRDefault="00BE1895" w:rsidP="00BE1895">
      <w:pPr>
        <w:autoSpaceDE w:val="0"/>
        <w:autoSpaceDN w:val="0"/>
        <w:adjustRightInd w:val="0"/>
        <w:spacing w:after="0" w:line="360" w:lineRule="auto"/>
        <w:jc w:val="both"/>
        <w:rPr>
          <w:rFonts w:ascii="Times New Roman" w:eastAsiaTheme="minorEastAsia" w:hAnsi="Times New Roman" w:cs="Times New Roman"/>
          <w:iCs/>
          <w:lang w:val="en-GB"/>
        </w:rPr>
      </w:pPr>
      <m:oMathPara>
        <m:oMath>
          <m:r>
            <m:rPr>
              <m:sty m:val="p"/>
            </m:rPr>
            <w:rPr>
              <w:rFonts w:ascii="Cambria Math" w:hAnsi="Cambria Math" w:cs="Times New Roman"/>
              <w:lang w:val="en-GB"/>
            </w:rPr>
            <m:t>RGI=</m:t>
          </m:r>
          <m:f>
            <m:fPr>
              <m:ctrlPr>
                <w:rPr>
                  <w:rFonts w:ascii="Cambria Math" w:hAnsi="Cambria Math" w:cs="Times New Roman"/>
                  <w:iCs/>
                  <w:lang w:val="en-GB"/>
                </w:rPr>
              </m:ctrlPr>
            </m:fPr>
            <m:num>
              <m:r>
                <m:rPr>
                  <m:sty m:val="p"/>
                </m:rPr>
                <w:rPr>
                  <w:rFonts w:ascii="Cambria Math" w:hAnsi="Cambria Math" w:cs="Times New Roman"/>
                  <w:lang w:val="en-GB"/>
                </w:rPr>
                <m:t>No.of germinated seeds at first count (</m:t>
              </m:r>
              <m:sSup>
                <m:sSupPr>
                  <m:ctrlPr>
                    <w:rPr>
                      <w:rFonts w:ascii="Cambria Math" w:hAnsi="Cambria Math" w:cs="Times New Roman"/>
                      <w:lang w:val="en-GB"/>
                    </w:rPr>
                  </m:ctrlPr>
                </m:sSupPr>
                <m:e>
                  <m:r>
                    <m:rPr>
                      <m:sty m:val="p"/>
                    </m:rPr>
                    <w:rPr>
                      <w:rFonts w:ascii="Cambria Math" w:hAnsi="Cambria Math" w:cs="Times New Roman"/>
                      <w:lang w:val="en-GB"/>
                    </w:rPr>
                    <m:t>4</m:t>
                  </m:r>
                </m:e>
                <m:sup>
                  <m:r>
                    <m:rPr>
                      <m:sty m:val="p"/>
                    </m:rPr>
                    <w:rPr>
                      <w:rFonts w:ascii="Cambria Math" w:hAnsi="Cambria Math" w:cs="Times New Roman"/>
                      <w:lang w:val="en-GB"/>
                    </w:rPr>
                    <m:t>th</m:t>
                  </m:r>
                </m:sup>
              </m:sSup>
              <m:r>
                <m:rPr>
                  <m:sty m:val="p"/>
                </m:rPr>
                <w:rPr>
                  <w:rFonts w:ascii="Cambria Math" w:hAnsi="Cambria Math" w:cs="Times New Roman"/>
                  <w:lang w:val="en-GB"/>
                </w:rPr>
                <m:t xml:space="preserve"> days)</m:t>
              </m:r>
            </m:num>
            <m:den>
              <m:r>
                <m:rPr>
                  <m:sty m:val="p"/>
                </m:rPr>
                <w:rPr>
                  <w:rFonts w:ascii="Cambria Math" w:hAnsi="Cambria Math" w:cs="Times New Roman"/>
                  <w:lang w:val="en-GB"/>
                </w:rPr>
                <m:t>No.of germinated seeds at final count (</m:t>
              </m:r>
              <m:sSup>
                <m:sSupPr>
                  <m:ctrlPr>
                    <w:rPr>
                      <w:rFonts w:ascii="Cambria Math" w:hAnsi="Cambria Math" w:cs="Times New Roman"/>
                      <w:lang w:val="en-GB"/>
                    </w:rPr>
                  </m:ctrlPr>
                </m:sSupPr>
                <m:e>
                  <m:r>
                    <m:rPr>
                      <m:sty m:val="p"/>
                    </m:rPr>
                    <w:rPr>
                      <w:rFonts w:ascii="Cambria Math" w:hAnsi="Cambria Math" w:cs="Times New Roman"/>
                      <w:lang w:val="en-GB"/>
                    </w:rPr>
                    <m:t>8</m:t>
                  </m:r>
                </m:e>
                <m:sup>
                  <m:r>
                    <m:rPr>
                      <m:sty m:val="p"/>
                    </m:rPr>
                    <w:rPr>
                      <w:rFonts w:ascii="Cambria Math" w:hAnsi="Cambria Math" w:cs="Times New Roman"/>
                      <w:lang w:val="en-GB"/>
                    </w:rPr>
                    <m:t>th</m:t>
                  </m:r>
                </m:sup>
              </m:sSup>
              <m:r>
                <m:rPr>
                  <m:sty m:val="p"/>
                </m:rPr>
                <w:rPr>
                  <w:rFonts w:ascii="Cambria Math" w:hAnsi="Cambria Math" w:cs="Times New Roman"/>
                  <w:lang w:val="en-GB"/>
                </w:rPr>
                <m:t xml:space="preserve"> days)</m:t>
              </m:r>
            </m:den>
          </m:f>
          <m:r>
            <m:rPr>
              <m:sty m:val="p"/>
            </m:rPr>
            <w:rPr>
              <w:rFonts w:ascii="Cambria Math" w:hAnsi="Cambria Math" w:cs="Times New Roman"/>
              <w:lang w:val="en-GB"/>
            </w:rPr>
            <m:t>×100</m:t>
          </m:r>
        </m:oMath>
      </m:oMathPara>
    </w:p>
    <w:p w14:paraId="03BD2EBE" w14:textId="18C50058" w:rsidR="00787C2B" w:rsidRDefault="00787C2B" w:rsidP="00BE1895">
      <w:pPr>
        <w:autoSpaceDE w:val="0"/>
        <w:autoSpaceDN w:val="0"/>
        <w:adjustRightInd w:val="0"/>
        <w:spacing w:after="0" w:line="360" w:lineRule="auto"/>
        <w:jc w:val="both"/>
        <w:rPr>
          <w:rFonts w:ascii="Times New Roman" w:hAnsi="Times New Roman" w:cs="Times New Roman"/>
        </w:rPr>
      </w:pPr>
      <w:r>
        <w:rPr>
          <w:rFonts w:ascii="Times New Roman" w:eastAsiaTheme="minorEastAsia" w:hAnsi="Times New Roman" w:cs="Times New Roman"/>
          <w:iCs/>
          <w:lang w:val="en-GB"/>
        </w:rPr>
        <w:t>Vigour Index-I</w:t>
      </w:r>
      <w:r w:rsidRPr="00787C2B">
        <w:rPr>
          <w:rFonts w:ascii="Times New Roman" w:hAnsi="Times New Roman" w:cs="Times New Roman"/>
        </w:rPr>
        <w:t xml:space="preserve"> </w:t>
      </w:r>
      <w:r>
        <w:rPr>
          <w:rFonts w:ascii="Times New Roman" w:hAnsi="Times New Roman" w:cs="Times New Roman"/>
        </w:rPr>
        <w:t>and</w:t>
      </w:r>
      <w:r w:rsidRPr="00787C2B">
        <w:rPr>
          <w:rFonts w:ascii="Times New Roman" w:eastAsiaTheme="minorEastAsia" w:hAnsi="Times New Roman" w:cs="Times New Roman"/>
          <w:iCs/>
          <w:lang w:val="en-GB"/>
        </w:rPr>
        <w:t xml:space="preserve"> </w:t>
      </w:r>
      <w:r>
        <w:rPr>
          <w:rFonts w:ascii="Times New Roman" w:eastAsiaTheme="minorEastAsia" w:hAnsi="Times New Roman" w:cs="Times New Roman"/>
          <w:iCs/>
          <w:lang w:val="en-GB"/>
        </w:rPr>
        <w:t>Vigour Index-II</w:t>
      </w:r>
      <w:r>
        <w:rPr>
          <w:rFonts w:ascii="Times New Roman" w:hAnsi="Times New Roman" w:cs="Times New Roman"/>
        </w:rPr>
        <w:t xml:space="preserve"> </w:t>
      </w:r>
      <w:r w:rsidR="0018520A">
        <w:rPr>
          <w:rFonts w:ascii="Times New Roman" w:hAnsi="Times New Roman" w:cs="Times New Roman"/>
        </w:rPr>
        <w:t>were</w:t>
      </w:r>
      <w:r w:rsidRPr="00937FA4">
        <w:rPr>
          <w:rFonts w:ascii="Times New Roman" w:hAnsi="Times New Roman" w:cs="Times New Roman"/>
        </w:rPr>
        <w:t xml:space="preserve"> </w:t>
      </w:r>
      <w:r>
        <w:rPr>
          <w:rFonts w:ascii="Times New Roman" w:hAnsi="Times New Roman" w:cs="Times New Roman"/>
        </w:rPr>
        <w:t>calculated according to following</w:t>
      </w:r>
      <w:r w:rsidRPr="000B25F2">
        <w:rPr>
          <w:rFonts w:ascii="Times New Roman" w:hAnsi="Times New Roman" w:cs="Times New Roman"/>
        </w:rPr>
        <w:t xml:space="preserve"> </w:t>
      </w:r>
      <w:r>
        <w:rPr>
          <w:rFonts w:ascii="Times New Roman" w:hAnsi="Times New Roman" w:cs="Times New Roman"/>
        </w:rPr>
        <w:t>formula:</w:t>
      </w:r>
    </w:p>
    <w:p w14:paraId="3D62FA65" w14:textId="77777777" w:rsidR="00787C2B" w:rsidRPr="00787C2B" w:rsidRDefault="00787C2B" w:rsidP="00787C2B">
      <w:pPr>
        <w:autoSpaceDE w:val="0"/>
        <w:autoSpaceDN w:val="0"/>
        <w:adjustRightInd w:val="0"/>
        <w:spacing w:after="0" w:line="360" w:lineRule="auto"/>
        <w:jc w:val="both"/>
        <w:rPr>
          <w:rFonts w:ascii="Times New Roman" w:eastAsiaTheme="minorEastAsia" w:hAnsi="Times New Roman" w:cs="Times New Roman"/>
          <w:iCs/>
        </w:rPr>
      </w:pPr>
      <m:oMathPara>
        <m:oMath>
          <m:r>
            <m:rPr>
              <m:sty m:val="p"/>
            </m:rPr>
            <w:rPr>
              <w:rFonts w:ascii="Cambria Math" w:hAnsi="Cambria Math" w:cs="Times New Roman"/>
            </w:rPr>
            <w:lastRenderedPageBreak/>
            <m:t>VI-I = Germination%</m:t>
          </m:r>
          <m:r>
            <w:rPr>
              <w:rFonts w:ascii="Cambria Math" w:hAnsi="Cambria Math" w:cs="Times New Roman"/>
            </w:rPr>
            <m:t>×</m:t>
          </m:r>
          <m:r>
            <m:rPr>
              <m:sty m:val="p"/>
            </m:rPr>
            <w:rPr>
              <w:rFonts w:ascii="Cambria Math" w:hAnsi="Cambria Math" w:cs="Times New Roman"/>
            </w:rPr>
            <m:t>Seedling length (cm)</m:t>
          </m:r>
        </m:oMath>
      </m:oMathPara>
    </w:p>
    <w:p w14:paraId="01B5927C" w14:textId="1DE03521" w:rsidR="00787C2B" w:rsidRPr="00782148" w:rsidRDefault="00787C2B" w:rsidP="00787C2B">
      <w:pPr>
        <w:autoSpaceDE w:val="0"/>
        <w:autoSpaceDN w:val="0"/>
        <w:adjustRightInd w:val="0"/>
        <w:spacing w:after="0" w:line="360" w:lineRule="auto"/>
        <w:jc w:val="both"/>
        <w:rPr>
          <w:rFonts w:ascii="Times New Roman" w:eastAsiaTheme="minorEastAsia" w:hAnsi="Times New Roman" w:cs="Times New Roman"/>
        </w:rPr>
      </w:pPr>
      <m:oMathPara>
        <m:oMath>
          <m:r>
            <m:rPr>
              <m:sty m:val="p"/>
            </m:rPr>
            <w:rPr>
              <w:rFonts w:ascii="Cambria Math" w:hAnsi="Cambria Math" w:cs="Times New Roman"/>
            </w:rPr>
            <m:t>VI-II = Germination%</m:t>
          </m:r>
          <m:r>
            <w:rPr>
              <w:rFonts w:ascii="Cambria Math" w:hAnsi="Cambria Math" w:cs="Times New Roman"/>
            </w:rPr>
            <m:t>×</m:t>
          </m:r>
          <m:r>
            <m:rPr>
              <m:sty m:val="p"/>
            </m:rPr>
            <w:rPr>
              <w:rFonts w:ascii="Cambria Math" w:hAnsi="Cambria Math" w:cs="Times New Roman"/>
            </w:rPr>
            <m:t>Seedling dry weight (g)</m:t>
          </m:r>
        </m:oMath>
      </m:oMathPara>
    </w:p>
    <w:p w14:paraId="256AF92A" w14:textId="769606E9" w:rsidR="00782148" w:rsidRPr="00FC7914" w:rsidRDefault="00782148" w:rsidP="00787C2B">
      <w:pPr>
        <w:autoSpaceDE w:val="0"/>
        <w:autoSpaceDN w:val="0"/>
        <w:adjustRightInd w:val="0"/>
        <w:spacing w:after="0" w:line="360" w:lineRule="auto"/>
        <w:jc w:val="both"/>
        <w:rPr>
          <w:rFonts w:ascii="Times New Roman" w:eastAsiaTheme="minorEastAsia" w:hAnsi="Times New Roman" w:cs="Times New Roman"/>
          <w:b/>
          <w:bCs/>
        </w:rPr>
      </w:pPr>
      <w:r w:rsidRPr="00FC7914">
        <w:rPr>
          <w:rFonts w:ascii="Times New Roman" w:eastAsiaTheme="minorEastAsia" w:hAnsi="Times New Roman" w:cs="Times New Roman"/>
          <w:b/>
          <w:bCs/>
        </w:rPr>
        <w:t>Statistical a</w:t>
      </w:r>
      <w:r w:rsidR="007E6BCC" w:rsidRPr="00FC7914">
        <w:rPr>
          <w:rFonts w:ascii="Times New Roman" w:eastAsiaTheme="minorEastAsia" w:hAnsi="Times New Roman" w:cs="Times New Roman"/>
          <w:b/>
          <w:bCs/>
        </w:rPr>
        <w:t>nalysis</w:t>
      </w:r>
    </w:p>
    <w:p w14:paraId="71E2FF0F" w14:textId="29542D0F" w:rsidR="007E6BCC" w:rsidRPr="00C337CE" w:rsidRDefault="007E6BCC" w:rsidP="00787C2B">
      <w:pPr>
        <w:autoSpaceDE w:val="0"/>
        <w:autoSpaceDN w:val="0"/>
        <w:adjustRightInd w:val="0"/>
        <w:spacing w:after="0" w:line="360" w:lineRule="auto"/>
        <w:jc w:val="both"/>
        <w:rPr>
          <w:rFonts w:ascii="Times New Roman" w:eastAsiaTheme="minorEastAsia" w:hAnsi="Times New Roman" w:cs="Times New Roman"/>
          <w:iCs/>
        </w:rPr>
      </w:pPr>
      <w:r>
        <w:rPr>
          <w:rFonts w:ascii="Times New Roman" w:eastAsiaTheme="minorEastAsia" w:hAnsi="Times New Roman" w:cs="Times New Roman"/>
        </w:rPr>
        <w:tab/>
      </w:r>
      <w:bookmarkStart w:id="1" w:name="_Hlk209908699"/>
      <w:r>
        <w:rPr>
          <w:rFonts w:ascii="Times New Roman" w:eastAsiaTheme="minorEastAsia" w:hAnsi="Times New Roman" w:cs="Times New Roman"/>
        </w:rPr>
        <w:t>OPState software was used to analyze data obtained on various parameters for a CRD to determine the significant difference at the 5% level. This was used to see if the means of the 15 treatments differed significantly.</w:t>
      </w:r>
    </w:p>
    <w:bookmarkEnd w:id="1"/>
    <w:p w14:paraId="07942BA1" w14:textId="2BBC4A45" w:rsidR="00651B40" w:rsidRDefault="0059797C" w:rsidP="008E0950">
      <w:pPr>
        <w:spacing w:after="0" w:line="360" w:lineRule="auto"/>
        <w:jc w:val="both"/>
        <w:rPr>
          <w:rFonts w:ascii="Times New Roman" w:hAnsi="Times New Roman" w:cs="Times New Roman"/>
          <w:b/>
          <w:bCs/>
        </w:rPr>
      </w:pPr>
      <w:r>
        <w:rPr>
          <w:rFonts w:ascii="Times New Roman" w:hAnsi="Times New Roman" w:cs="Times New Roman"/>
          <w:b/>
          <w:bCs/>
        </w:rPr>
        <w:t xml:space="preserve">Results and </w:t>
      </w:r>
      <w:r w:rsidR="005A2F4B">
        <w:rPr>
          <w:rFonts w:ascii="Times New Roman" w:hAnsi="Times New Roman" w:cs="Times New Roman"/>
          <w:b/>
          <w:bCs/>
        </w:rPr>
        <w:t>D</w:t>
      </w:r>
      <w:r>
        <w:rPr>
          <w:rFonts w:ascii="Times New Roman" w:hAnsi="Times New Roman" w:cs="Times New Roman"/>
          <w:b/>
          <w:bCs/>
        </w:rPr>
        <w:t>is</w:t>
      </w:r>
      <w:r w:rsidR="005A2F4B">
        <w:rPr>
          <w:rFonts w:ascii="Times New Roman" w:hAnsi="Times New Roman" w:cs="Times New Roman"/>
          <w:b/>
          <w:bCs/>
        </w:rPr>
        <w:t>cuss</w:t>
      </w:r>
      <w:r>
        <w:rPr>
          <w:rFonts w:ascii="Times New Roman" w:hAnsi="Times New Roman" w:cs="Times New Roman"/>
          <w:b/>
          <w:bCs/>
        </w:rPr>
        <w:t>ion</w:t>
      </w:r>
    </w:p>
    <w:p w14:paraId="38D4851D" w14:textId="7AACB12E" w:rsidR="00FC2A2B" w:rsidRPr="00FC2A2B" w:rsidRDefault="00FC2A2B" w:rsidP="00610940">
      <w:pPr>
        <w:spacing w:after="0" w:line="360" w:lineRule="auto"/>
        <w:ind w:firstLine="720"/>
        <w:jc w:val="both"/>
        <w:rPr>
          <w:rFonts w:ascii="Times New Roman" w:hAnsi="Times New Roman" w:cs="Times New Roman"/>
          <w:bCs/>
          <w:lang w:val="en-GB"/>
        </w:rPr>
      </w:pPr>
      <w:r w:rsidRPr="00FC2A2B">
        <w:rPr>
          <w:rFonts w:ascii="Times New Roman" w:hAnsi="Times New Roman" w:cs="Times New Roman"/>
          <w:bCs/>
          <w:lang w:val="en-GB"/>
        </w:rPr>
        <w:t>The study examined various parameters of seed quality, including standard germination percentage, peak germination percentage, mean daily germination percentage, germination value, relative growth index, seed viability percentage, seedling length in centimetres, seedling dry weight in grammes, vigour index</w:t>
      </w:r>
      <w:r>
        <w:rPr>
          <w:rFonts w:ascii="Times New Roman" w:hAnsi="Times New Roman" w:cs="Times New Roman"/>
          <w:bCs/>
          <w:lang w:val="en-GB"/>
        </w:rPr>
        <w:t>-</w:t>
      </w:r>
      <w:r w:rsidRPr="00FC2A2B">
        <w:rPr>
          <w:rFonts w:ascii="Times New Roman" w:hAnsi="Times New Roman" w:cs="Times New Roman"/>
          <w:bCs/>
          <w:lang w:val="en-GB"/>
        </w:rPr>
        <w:t xml:space="preserve"> I, and vigour index</w:t>
      </w:r>
      <w:r>
        <w:rPr>
          <w:rFonts w:ascii="Times New Roman" w:hAnsi="Times New Roman" w:cs="Times New Roman"/>
          <w:bCs/>
          <w:lang w:val="en-GB"/>
        </w:rPr>
        <w:t>-</w:t>
      </w:r>
      <w:r w:rsidRPr="00FC2A2B">
        <w:rPr>
          <w:rFonts w:ascii="Times New Roman" w:hAnsi="Times New Roman" w:cs="Times New Roman"/>
          <w:bCs/>
          <w:lang w:val="en-GB"/>
        </w:rPr>
        <w:t xml:space="preserve"> II. The seed quality indicators and seed end quality were statistically evaluated and are provided in the accompanying tables, with comparisons from existing literature.</w:t>
      </w:r>
    </w:p>
    <w:p w14:paraId="3C93BF6F" w14:textId="77777777" w:rsidR="00426101" w:rsidRPr="00426101" w:rsidRDefault="00426101" w:rsidP="00426101">
      <w:pPr>
        <w:spacing w:after="0"/>
        <w:jc w:val="both"/>
        <w:rPr>
          <w:rFonts w:ascii="Times New Roman" w:hAnsi="Times New Roman" w:cs="Times New Roman"/>
          <w:b/>
          <w:bCs/>
        </w:rPr>
      </w:pPr>
      <w:r w:rsidRPr="00426101">
        <w:rPr>
          <w:rFonts w:ascii="Times New Roman" w:hAnsi="Times New Roman" w:cs="Times New Roman"/>
          <w:b/>
          <w:bCs/>
        </w:rPr>
        <w:t>Standard germination</w:t>
      </w:r>
    </w:p>
    <w:p w14:paraId="1A263AFE" w14:textId="58AAF653" w:rsidR="00DE253D" w:rsidRPr="00246EFD" w:rsidRDefault="00EC26CB" w:rsidP="00246EFD">
      <w:pPr>
        <w:spacing w:after="0" w:line="360" w:lineRule="auto"/>
        <w:ind w:firstLine="720"/>
        <w:jc w:val="both"/>
        <w:rPr>
          <w:rFonts w:ascii="Times New Roman" w:hAnsi="Times New Roman" w:cs="Times New Roman"/>
          <w:bCs/>
          <w:lang w:val="en-GB"/>
        </w:rPr>
      </w:pPr>
      <w:r w:rsidRPr="00EC26CB">
        <w:rPr>
          <w:rFonts w:ascii="Times New Roman" w:hAnsi="Times New Roman" w:cs="Times New Roman"/>
          <w:bCs/>
          <w:lang w:val="en-GB"/>
        </w:rPr>
        <w:t xml:space="preserve">The difference of Table 1 and Figure 1 </w:t>
      </w:r>
      <w:r w:rsidR="00426101" w:rsidRPr="00426101">
        <w:rPr>
          <w:rFonts w:ascii="Times New Roman" w:hAnsi="Times New Roman" w:cs="Times New Roman"/>
          <w:bCs/>
        </w:rPr>
        <w:t xml:space="preserve">clearly shows that the treatments significantly influenced standard germination. </w:t>
      </w:r>
      <w:r w:rsidR="006724B3" w:rsidRPr="006724B3">
        <w:rPr>
          <w:rFonts w:ascii="Times New Roman" w:hAnsi="Times New Roman" w:cs="Times New Roman"/>
          <w:bCs/>
        </w:rPr>
        <w:t xml:space="preserve">The highest pooled </w:t>
      </w:r>
      <w:r w:rsidR="008172DB" w:rsidRPr="008172DB">
        <w:rPr>
          <w:rFonts w:ascii="Times New Roman" w:hAnsi="Times New Roman" w:cs="Times New Roman"/>
          <w:bCs/>
        </w:rPr>
        <w:t>Standard germination</w:t>
      </w:r>
      <w:r w:rsidR="008172DB">
        <w:rPr>
          <w:rFonts w:ascii="Times New Roman" w:hAnsi="Times New Roman" w:cs="Times New Roman"/>
          <w:bCs/>
        </w:rPr>
        <w:t xml:space="preserve"> </w:t>
      </w:r>
      <w:r w:rsidR="006724B3" w:rsidRPr="006724B3">
        <w:rPr>
          <w:rFonts w:ascii="Times New Roman" w:hAnsi="Times New Roman" w:cs="Times New Roman"/>
          <w:bCs/>
        </w:rPr>
        <w:t>occurred in GA</w:t>
      </w:r>
      <w:r w:rsidR="006724B3" w:rsidRPr="006724B3">
        <w:rPr>
          <w:rFonts w:ascii="Times New Roman" w:hAnsi="Times New Roman" w:cs="Times New Roman"/>
          <w:bCs/>
          <w:vertAlign w:val="subscript"/>
        </w:rPr>
        <w:t>3</w:t>
      </w:r>
      <w:r w:rsidR="006724B3" w:rsidRPr="006724B3">
        <w:rPr>
          <w:rFonts w:ascii="Times New Roman" w:hAnsi="Times New Roman" w:cs="Times New Roman"/>
          <w:bCs/>
        </w:rPr>
        <w:t xml:space="preserve"> </w:t>
      </w:r>
      <w:r w:rsidR="00CE11C1">
        <w:rPr>
          <w:rFonts w:ascii="Times New Roman" w:hAnsi="Times New Roman" w:cs="Times New Roman"/>
          <w:bCs/>
        </w:rPr>
        <w:t>at</w:t>
      </w:r>
      <w:r w:rsidR="006724B3" w:rsidRPr="006724B3">
        <w:rPr>
          <w:rFonts w:ascii="Times New Roman" w:hAnsi="Times New Roman" w:cs="Times New Roman"/>
          <w:bCs/>
        </w:rPr>
        <w:t xml:space="preserve"> 100 ppm for 8 h</w:t>
      </w:r>
      <w:r w:rsidR="00FD2F85">
        <w:rPr>
          <w:rFonts w:ascii="Times New Roman" w:hAnsi="Times New Roman" w:cs="Times New Roman"/>
          <w:bCs/>
        </w:rPr>
        <w:t>o</w:t>
      </w:r>
      <w:r w:rsidR="006A2E35">
        <w:rPr>
          <w:rFonts w:ascii="Times New Roman" w:hAnsi="Times New Roman" w:cs="Times New Roman"/>
          <w:bCs/>
        </w:rPr>
        <w:t>urs</w:t>
      </w:r>
      <w:r w:rsidR="006724B3" w:rsidRPr="00061CC4">
        <w:rPr>
          <w:rFonts w:ascii="Times New Roman" w:hAnsi="Times New Roman" w:cs="Times New Roman"/>
          <w:b/>
        </w:rPr>
        <w:t xml:space="preserve"> </w:t>
      </w:r>
      <w:r w:rsidR="00542788" w:rsidRPr="00542788">
        <w:rPr>
          <w:rFonts w:ascii="Times New Roman" w:hAnsi="Times New Roman" w:cs="Times New Roman"/>
          <w:bCs/>
          <w:lang w:val="en-GB"/>
        </w:rPr>
        <w:t>(92.38%)</w:t>
      </w:r>
      <w:r w:rsidR="00DF4144">
        <w:rPr>
          <w:rFonts w:ascii="Times New Roman" w:hAnsi="Times New Roman" w:cs="Times New Roman"/>
          <w:bCs/>
          <w:lang w:val="en-GB"/>
        </w:rPr>
        <w:t>,</w:t>
      </w:r>
      <w:r w:rsidR="00542788" w:rsidRPr="00542788">
        <w:rPr>
          <w:rFonts w:ascii="Times New Roman" w:hAnsi="Times New Roman" w:cs="Times New Roman"/>
          <w:bCs/>
          <w:lang w:val="en-GB"/>
        </w:rPr>
        <w:t xml:space="preserve"> </w:t>
      </w:r>
      <w:r w:rsidR="008661C6" w:rsidRPr="00DF4144">
        <w:rPr>
          <w:rFonts w:ascii="Times New Roman" w:hAnsi="Times New Roman" w:cs="Times New Roman"/>
          <w:bCs/>
        </w:rPr>
        <w:t xml:space="preserve">followed by IAA </w:t>
      </w:r>
      <w:r w:rsidR="00CE11C1">
        <w:rPr>
          <w:rFonts w:ascii="Times New Roman" w:hAnsi="Times New Roman" w:cs="Times New Roman"/>
          <w:bCs/>
        </w:rPr>
        <w:t>at</w:t>
      </w:r>
      <w:r w:rsidR="008661C6" w:rsidRPr="00DF4144">
        <w:rPr>
          <w:rFonts w:ascii="Times New Roman" w:hAnsi="Times New Roman" w:cs="Times New Roman"/>
          <w:bCs/>
        </w:rPr>
        <w:t xml:space="preserve"> 100 ppm for 8</w:t>
      </w:r>
      <w:r w:rsidR="006A2E35">
        <w:rPr>
          <w:rFonts w:ascii="Times New Roman" w:hAnsi="Times New Roman" w:cs="Times New Roman"/>
          <w:bCs/>
        </w:rPr>
        <w:t xml:space="preserve"> hours </w:t>
      </w:r>
      <w:r w:rsidR="00542788" w:rsidRPr="00542788">
        <w:rPr>
          <w:rFonts w:ascii="Times New Roman" w:hAnsi="Times New Roman" w:cs="Times New Roman"/>
          <w:bCs/>
          <w:lang w:val="en-GB"/>
        </w:rPr>
        <w:t>(92.09%)</w:t>
      </w:r>
      <w:r w:rsidR="008172DB">
        <w:rPr>
          <w:rFonts w:ascii="Times New Roman" w:hAnsi="Times New Roman" w:cs="Times New Roman"/>
          <w:bCs/>
          <w:lang w:val="en-GB"/>
        </w:rPr>
        <w:t>,</w:t>
      </w:r>
      <w:r w:rsidR="00C605E7">
        <w:rPr>
          <w:rFonts w:ascii="Times New Roman" w:hAnsi="Times New Roman" w:cs="Times New Roman"/>
          <w:bCs/>
          <w:lang w:val="en-GB"/>
        </w:rPr>
        <w:t xml:space="preserve"> IBA at 100 ppm for 8 hours (91.94%),</w:t>
      </w:r>
      <w:r w:rsidR="00C605E7" w:rsidRPr="00C605E7">
        <w:rPr>
          <w:rFonts w:ascii="Times New Roman" w:hAnsi="Times New Roman" w:cs="Times New Roman"/>
          <w:bCs/>
          <w:lang w:val="en-GB"/>
        </w:rPr>
        <w:t xml:space="preserve"> </w:t>
      </w:r>
      <w:r w:rsidR="00C605E7">
        <w:rPr>
          <w:rFonts w:ascii="Times New Roman" w:hAnsi="Times New Roman" w:cs="Times New Roman"/>
          <w:bCs/>
          <w:lang w:val="en-GB"/>
        </w:rPr>
        <w:t>NAA</w:t>
      </w:r>
      <w:r w:rsidR="00C605E7" w:rsidRPr="00C605E7">
        <w:rPr>
          <w:rFonts w:ascii="Times New Roman" w:hAnsi="Times New Roman" w:cs="Times New Roman"/>
          <w:bCs/>
          <w:lang w:val="en-GB"/>
        </w:rPr>
        <w:t xml:space="preserve"> </w:t>
      </w:r>
      <w:r w:rsidR="00C605E7">
        <w:rPr>
          <w:rFonts w:ascii="Times New Roman" w:hAnsi="Times New Roman" w:cs="Times New Roman"/>
          <w:bCs/>
          <w:lang w:val="en-GB"/>
        </w:rPr>
        <w:t>at 100 ppm for 8 hours (91.91%),</w:t>
      </w:r>
      <w:r w:rsidR="00C605E7" w:rsidRPr="00C605E7">
        <w:rPr>
          <w:rFonts w:ascii="Times New Roman" w:hAnsi="Times New Roman" w:cs="Times New Roman"/>
          <w:bCs/>
        </w:rPr>
        <w:t xml:space="preserve"> </w:t>
      </w:r>
      <w:r w:rsidR="00C605E7" w:rsidRPr="006724B3">
        <w:rPr>
          <w:rFonts w:ascii="Times New Roman" w:hAnsi="Times New Roman" w:cs="Times New Roman"/>
          <w:bCs/>
        </w:rPr>
        <w:t>GA</w:t>
      </w:r>
      <w:r w:rsidR="00C605E7" w:rsidRPr="006724B3">
        <w:rPr>
          <w:rFonts w:ascii="Times New Roman" w:hAnsi="Times New Roman" w:cs="Times New Roman"/>
          <w:bCs/>
          <w:vertAlign w:val="subscript"/>
        </w:rPr>
        <w:t>3</w:t>
      </w:r>
      <w:r w:rsidR="00C605E7" w:rsidRPr="006724B3">
        <w:rPr>
          <w:rFonts w:ascii="Times New Roman" w:hAnsi="Times New Roman" w:cs="Times New Roman"/>
          <w:bCs/>
        </w:rPr>
        <w:t xml:space="preserve"> </w:t>
      </w:r>
      <w:r w:rsidR="00C605E7">
        <w:rPr>
          <w:rFonts w:ascii="Times New Roman" w:hAnsi="Times New Roman" w:cs="Times New Roman"/>
          <w:bCs/>
        </w:rPr>
        <w:t>at</w:t>
      </w:r>
      <w:r w:rsidR="00C605E7" w:rsidRPr="006724B3">
        <w:rPr>
          <w:rFonts w:ascii="Times New Roman" w:hAnsi="Times New Roman" w:cs="Times New Roman"/>
          <w:bCs/>
        </w:rPr>
        <w:t xml:space="preserve"> </w:t>
      </w:r>
      <w:r w:rsidR="00C605E7">
        <w:rPr>
          <w:rFonts w:ascii="Times New Roman" w:hAnsi="Times New Roman" w:cs="Times New Roman"/>
          <w:bCs/>
        </w:rPr>
        <w:t>5</w:t>
      </w:r>
      <w:r w:rsidR="00C605E7" w:rsidRPr="006724B3">
        <w:rPr>
          <w:rFonts w:ascii="Times New Roman" w:hAnsi="Times New Roman" w:cs="Times New Roman"/>
          <w:bCs/>
        </w:rPr>
        <w:t xml:space="preserve">0 ppm for </w:t>
      </w:r>
      <w:r w:rsidR="00C605E7">
        <w:rPr>
          <w:rFonts w:ascii="Times New Roman" w:hAnsi="Times New Roman" w:cs="Times New Roman"/>
          <w:bCs/>
        </w:rPr>
        <w:t>12</w:t>
      </w:r>
      <w:r w:rsidR="00C605E7" w:rsidRPr="006724B3">
        <w:rPr>
          <w:rFonts w:ascii="Times New Roman" w:hAnsi="Times New Roman" w:cs="Times New Roman"/>
          <w:bCs/>
        </w:rPr>
        <w:t xml:space="preserve"> h</w:t>
      </w:r>
      <w:r w:rsidR="00C605E7">
        <w:rPr>
          <w:rFonts w:ascii="Times New Roman" w:hAnsi="Times New Roman" w:cs="Times New Roman"/>
          <w:bCs/>
        </w:rPr>
        <w:t>ours</w:t>
      </w:r>
      <w:r w:rsidR="00C605E7" w:rsidRPr="00061CC4">
        <w:rPr>
          <w:rFonts w:ascii="Times New Roman" w:hAnsi="Times New Roman" w:cs="Times New Roman"/>
          <w:b/>
        </w:rPr>
        <w:t xml:space="preserve"> </w:t>
      </w:r>
      <w:r w:rsidR="00C605E7" w:rsidRPr="00542788">
        <w:rPr>
          <w:rFonts w:ascii="Times New Roman" w:hAnsi="Times New Roman" w:cs="Times New Roman"/>
          <w:bCs/>
          <w:lang w:val="en-GB"/>
        </w:rPr>
        <w:t>(9</w:t>
      </w:r>
      <w:r w:rsidR="00C605E7">
        <w:rPr>
          <w:rFonts w:ascii="Times New Roman" w:hAnsi="Times New Roman" w:cs="Times New Roman"/>
          <w:bCs/>
          <w:lang w:val="en-GB"/>
        </w:rPr>
        <w:t>1</w:t>
      </w:r>
      <w:r w:rsidR="00C605E7" w:rsidRPr="00542788">
        <w:rPr>
          <w:rFonts w:ascii="Times New Roman" w:hAnsi="Times New Roman" w:cs="Times New Roman"/>
          <w:bCs/>
          <w:lang w:val="en-GB"/>
        </w:rPr>
        <w:t>.</w:t>
      </w:r>
      <w:r w:rsidR="00C605E7">
        <w:rPr>
          <w:rFonts w:ascii="Times New Roman" w:hAnsi="Times New Roman" w:cs="Times New Roman"/>
          <w:bCs/>
          <w:lang w:val="en-GB"/>
        </w:rPr>
        <w:t>04</w:t>
      </w:r>
      <w:r w:rsidR="00C605E7" w:rsidRPr="00542788">
        <w:rPr>
          <w:rFonts w:ascii="Times New Roman" w:hAnsi="Times New Roman" w:cs="Times New Roman"/>
          <w:bCs/>
          <w:lang w:val="en-GB"/>
        </w:rPr>
        <w:t>%)</w:t>
      </w:r>
      <w:r w:rsidR="00C605E7">
        <w:rPr>
          <w:rFonts w:ascii="Times New Roman" w:hAnsi="Times New Roman" w:cs="Times New Roman"/>
          <w:bCs/>
          <w:lang w:val="en-GB"/>
        </w:rPr>
        <w:t xml:space="preserve">, </w:t>
      </w:r>
      <w:r w:rsidR="000C117E">
        <w:rPr>
          <w:rFonts w:ascii="Times New Roman" w:hAnsi="Times New Roman" w:cs="Times New Roman"/>
          <w:bCs/>
          <w:lang w:val="en-GB"/>
        </w:rPr>
        <w:t xml:space="preserve">and </w:t>
      </w:r>
      <w:r w:rsidR="00C605E7">
        <w:rPr>
          <w:rFonts w:ascii="Times New Roman" w:hAnsi="Times New Roman" w:cs="Times New Roman"/>
          <w:bCs/>
          <w:lang w:val="en-GB"/>
        </w:rPr>
        <w:t>CCC at 100 ppm for 8 hours (90.05%)</w:t>
      </w:r>
      <w:r w:rsidR="00DE204F">
        <w:rPr>
          <w:rFonts w:ascii="Times New Roman" w:hAnsi="Times New Roman" w:cs="Times New Roman"/>
          <w:bCs/>
          <w:lang w:val="en-GB"/>
        </w:rPr>
        <w:t>,</w:t>
      </w:r>
      <w:r w:rsidR="000A533F" w:rsidRPr="008172DB">
        <w:rPr>
          <w:rFonts w:ascii="Times New Roman" w:hAnsi="Times New Roman" w:cs="Times New Roman"/>
          <w:bCs/>
        </w:rPr>
        <w:t xml:space="preserve"> </w:t>
      </w:r>
      <w:r w:rsidR="000C117E">
        <w:rPr>
          <w:rFonts w:ascii="Times New Roman" w:hAnsi="Times New Roman" w:cs="Times New Roman"/>
          <w:bCs/>
        </w:rPr>
        <w:t xml:space="preserve">was </w:t>
      </w:r>
      <w:r w:rsidR="000A533F" w:rsidRPr="008172DB">
        <w:rPr>
          <w:rFonts w:ascii="Times New Roman" w:hAnsi="Times New Roman" w:cs="Times New Roman"/>
          <w:bCs/>
        </w:rPr>
        <w:t>significantly superior to control</w:t>
      </w:r>
      <w:r w:rsidR="00542788" w:rsidRPr="008172DB">
        <w:rPr>
          <w:rFonts w:ascii="Times New Roman" w:hAnsi="Times New Roman" w:cs="Times New Roman"/>
          <w:bCs/>
          <w:lang w:val="en-GB"/>
        </w:rPr>
        <w:t xml:space="preserve"> </w:t>
      </w:r>
      <w:r w:rsidR="00542788" w:rsidRPr="00542788">
        <w:rPr>
          <w:rFonts w:ascii="Times New Roman" w:hAnsi="Times New Roman" w:cs="Times New Roman"/>
          <w:bCs/>
          <w:lang w:val="en-GB"/>
        </w:rPr>
        <w:t>(85.71%). Higher germination percentage shows the potential of gibberellin and auxin treatments by accelerating metabolic activities in the seeds</w:t>
      </w:r>
      <w:r w:rsidR="0018520A">
        <w:rPr>
          <w:rFonts w:ascii="Times New Roman" w:hAnsi="Times New Roman" w:cs="Times New Roman"/>
          <w:bCs/>
          <w:lang w:val="en-GB"/>
        </w:rPr>
        <w:t>,</w:t>
      </w:r>
      <w:r w:rsidR="00542788" w:rsidRPr="00542788">
        <w:rPr>
          <w:rFonts w:ascii="Times New Roman" w:hAnsi="Times New Roman" w:cs="Times New Roman"/>
          <w:bCs/>
          <w:lang w:val="en-GB"/>
        </w:rPr>
        <w:t xml:space="preserve"> leading to a decrease in seed dormancy. Similar observations were reported as well by</w:t>
      </w:r>
      <w:r w:rsidR="00133125" w:rsidRPr="00133125">
        <w:rPr>
          <w:rFonts w:ascii="Times New Roman" w:hAnsi="Times New Roman" w:cs="Times New Roman"/>
          <w:bCs/>
        </w:rPr>
        <w:t xml:space="preserve"> green gram (Ganesh </w:t>
      </w:r>
      <w:r w:rsidR="00133125" w:rsidRPr="00133125">
        <w:rPr>
          <w:rFonts w:ascii="Times New Roman" w:hAnsi="Times New Roman" w:cs="Times New Roman"/>
          <w:bCs/>
          <w:i/>
          <w:iCs/>
        </w:rPr>
        <w:t>et al</w:t>
      </w:r>
      <w:r w:rsidR="00133125" w:rsidRPr="00133125">
        <w:rPr>
          <w:rFonts w:ascii="Times New Roman" w:hAnsi="Times New Roman" w:cs="Times New Roman"/>
          <w:bCs/>
        </w:rPr>
        <w:t>., 2013), mung bean (Tiwari </w:t>
      </w:r>
      <w:r w:rsidR="00133125" w:rsidRPr="00133125">
        <w:rPr>
          <w:rFonts w:ascii="Times New Roman" w:hAnsi="Times New Roman" w:cs="Times New Roman"/>
          <w:bCs/>
          <w:i/>
          <w:iCs/>
        </w:rPr>
        <w:t>et al</w:t>
      </w:r>
      <w:r w:rsidR="00133125" w:rsidRPr="00133125">
        <w:rPr>
          <w:rFonts w:ascii="Times New Roman" w:hAnsi="Times New Roman" w:cs="Times New Roman"/>
          <w:bCs/>
        </w:rPr>
        <w:t>., 2015), bitter gourd (Islam </w:t>
      </w:r>
      <w:r w:rsidR="00133125" w:rsidRPr="00133125">
        <w:rPr>
          <w:rFonts w:ascii="Times New Roman" w:hAnsi="Times New Roman" w:cs="Times New Roman"/>
          <w:bCs/>
          <w:i/>
          <w:iCs/>
        </w:rPr>
        <w:t>et al</w:t>
      </w:r>
      <w:r w:rsidR="00133125" w:rsidRPr="00133125">
        <w:rPr>
          <w:rFonts w:ascii="Times New Roman" w:hAnsi="Times New Roman" w:cs="Times New Roman"/>
          <w:bCs/>
        </w:rPr>
        <w:t>., 2012)</w:t>
      </w:r>
      <w:r w:rsidR="00133125">
        <w:rPr>
          <w:rFonts w:ascii="Times New Roman" w:hAnsi="Times New Roman" w:cs="Times New Roman"/>
          <w:bCs/>
        </w:rPr>
        <w:t xml:space="preserve">, </w:t>
      </w:r>
      <w:r w:rsidR="00133125" w:rsidRPr="00133125">
        <w:rPr>
          <w:rFonts w:ascii="Times New Roman" w:hAnsi="Times New Roman" w:cs="Times New Roman"/>
          <w:bCs/>
        </w:rPr>
        <w:t>mung bean (Sivakumar and Nandhita, 2017)</w:t>
      </w:r>
      <w:r w:rsidR="00133125">
        <w:rPr>
          <w:rFonts w:ascii="Times New Roman" w:hAnsi="Times New Roman" w:cs="Times New Roman"/>
          <w:bCs/>
        </w:rPr>
        <w:t>, and chickpea</w:t>
      </w:r>
      <w:r w:rsidR="00542788" w:rsidRPr="00542788">
        <w:rPr>
          <w:rFonts w:ascii="Times New Roman" w:hAnsi="Times New Roman" w:cs="Times New Roman"/>
          <w:bCs/>
          <w:lang w:val="en-GB"/>
        </w:rPr>
        <w:t xml:space="preserve"> </w:t>
      </w:r>
      <w:r w:rsidR="00133125">
        <w:rPr>
          <w:rFonts w:ascii="Times New Roman" w:hAnsi="Times New Roman" w:cs="Times New Roman"/>
          <w:bCs/>
          <w:lang w:val="en-GB"/>
        </w:rPr>
        <w:t>(</w:t>
      </w:r>
      <w:proofErr w:type="spellStart"/>
      <w:r w:rsidR="00916163">
        <w:rPr>
          <w:rFonts w:ascii="Times New Roman" w:hAnsi="Times New Roman" w:cs="Times New Roman"/>
          <w:bCs/>
          <w:lang w:val="en-GB"/>
        </w:rPr>
        <w:t>Elangbam</w:t>
      </w:r>
      <w:proofErr w:type="spellEnd"/>
      <w:r w:rsidR="00916163" w:rsidRPr="00916163">
        <w:rPr>
          <w:rFonts w:ascii="Times New Roman" w:hAnsi="Times New Roman" w:cs="Times New Roman"/>
          <w:bCs/>
          <w:i/>
          <w:iCs/>
          <w:lang w:val="en-GB"/>
        </w:rPr>
        <w:t xml:space="preserve"> </w:t>
      </w:r>
      <w:r w:rsidR="00916163" w:rsidRPr="00133125">
        <w:rPr>
          <w:rFonts w:ascii="Times New Roman" w:hAnsi="Times New Roman" w:cs="Times New Roman"/>
          <w:bCs/>
          <w:i/>
          <w:iCs/>
          <w:lang w:val="en-GB"/>
        </w:rPr>
        <w:t>et al.,</w:t>
      </w:r>
      <w:r w:rsidR="00916163" w:rsidRPr="00542788">
        <w:rPr>
          <w:rFonts w:ascii="Times New Roman" w:hAnsi="Times New Roman" w:cs="Times New Roman"/>
          <w:bCs/>
          <w:lang w:val="en-GB"/>
        </w:rPr>
        <w:t xml:space="preserve"> 2017</w:t>
      </w:r>
      <w:r w:rsidR="00916163">
        <w:rPr>
          <w:rFonts w:ascii="Times New Roman" w:hAnsi="Times New Roman" w:cs="Times New Roman"/>
          <w:bCs/>
          <w:lang w:val="en-GB"/>
        </w:rPr>
        <w:t xml:space="preserve">, </w:t>
      </w:r>
      <w:r w:rsidR="00542788" w:rsidRPr="00542788">
        <w:rPr>
          <w:rFonts w:ascii="Times New Roman" w:hAnsi="Times New Roman" w:cs="Times New Roman"/>
          <w:bCs/>
          <w:lang w:val="en-GB"/>
        </w:rPr>
        <w:t xml:space="preserve">Parimala </w:t>
      </w:r>
      <w:r w:rsidR="00542788" w:rsidRPr="00133125">
        <w:rPr>
          <w:rFonts w:ascii="Times New Roman" w:hAnsi="Times New Roman" w:cs="Times New Roman"/>
          <w:bCs/>
          <w:i/>
          <w:iCs/>
          <w:lang w:val="en-GB"/>
        </w:rPr>
        <w:t>et al.,</w:t>
      </w:r>
      <w:r w:rsidR="00542788" w:rsidRPr="00542788">
        <w:rPr>
          <w:rFonts w:ascii="Times New Roman" w:hAnsi="Times New Roman" w:cs="Times New Roman"/>
          <w:bCs/>
          <w:lang w:val="en-GB"/>
        </w:rPr>
        <w:t xml:space="preserve"> 2017</w:t>
      </w:r>
      <w:r w:rsidR="0041336B">
        <w:rPr>
          <w:rFonts w:ascii="Times New Roman" w:hAnsi="Times New Roman" w:cs="Times New Roman"/>
          <w:bCs/>
          <w:lang w:val="en-GB"/>
        </w:rPr>
        <w:t>, Shareef</w:t>
      </w:r>
      <w:r w:rsidR="0041336B" w:rsidRPr="0041336B">
        <w:rPr>
          <w:rFonts w:ascii="Times New Roman" w:hAnsi="Times New Roman" w:cs="Times New Roman"/>
          <w:bCs/>
          <w:i/>
          <w:iCs/>
          <w:lang w:val="en-GB"/>
        </w:rPr>
        <w:t xml:space="preserve"> </w:t>
      </w:r>
      <w:r w:rsidR="0041336B" w:rsidRPr="00133125">
        <w:rPr>
          <w:rFonts w:ascii="Times New Roman" w:hAnsi="Times New Roman" w:cs="Times New Roman"/>
          <w:bCs/>
          <w:i/>
          <w:iCs/>
          <w:lang w:val="en-GB"/>
        </w:rPr>
        <w:t>et al.,</w:t>
      </w:r>
      <w:r w:rsidR="0041336B">
        <w:rPr>
          <w:rFonts w:ascii="Times New Roman" w:hAnsi="Times New Roman" w:cs="Times New Roman"/>
          <w:bCs/>
          <w:lang w:val="en-GB"/>
        </w:rPr>
        <w:t xml:space="preserve"> 2023</w:t>
      </w:r>
      <w:r w:rsidR="00542788" w:rsidRPr="00542788">
        <w:rPr>
          <w:rFonts w:ascii="Times New Roman" w:hAnsi="Times New Roman" w:cs="Times New Roman"/>
          <w:bCs/>
          <w:lang w:val="en-GB"/>
        </w:rPr>
        <w:t xml:space="preserve"> and Kumar </w:t>
      </w:r>
      <w:r w:rsidR="00542788" w:rsidRPr="00133125">
        <w:rPr>
          <w:rFonts w:ascii="Times New Roman" w:hAnsi="Times New Roman" w:cs="Times New Roman"/>
          <w:bCs/>
          <w:i/>
          <w:iCs/>
          <w:lang w:val="en-GB"/>
        </w:rPr>
        <w:t>et al.,</w:t>
      </w:r>
      <w:r w:rsidR="00542788" w:rsidRPr="00542788">
        <w:rPr>
          <w:rFonts w:ascii="Times New Roman" w:hAnsi="Times New Roman" w:cs="Times New Roman"/>
          <w:bCs/>
          <w:lang w:val="en-GB"/>
        </w:rPr>
        <w:t xml:space="preserve"> 2019</w:t>
      </w:r>
      <w:r w:rsidR="00133125">
        <w:rPr>
          <w:rFonts w:ascii="Times New Roman" w:hAnsi="Times New Roman" w:cs="Times New Roman"/>
          <w:bCs/>
          <w:lang w:val="en-GB"/>
        </w:rPr>
        <w:t>)</w:t>
      </w:r>
      <w:r w:rsidR="00542788" w:rsidRPr="00542788">
        <w:rPr>
          <w:rFonts w:ascii="Times New Roman" w:hAnsi="Times New Roman" w:cs="Times New Roman"/>
          <w:bCs/>
          <w:lang w:val="en-GB"/>
        </w:rPr>
        <w:t>.</w:t>
      </w:r>
    </w:p>
    <w:p w14:paraId="784F55C8" w14:textId="69526CD6"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Peak value of germination</w:t>
      </w:r>
    </w:p>
    <w:p w14:paraId="7A8402AD" w14:textId="2149AFED" w:rsidR="0039486C" w:rsidRPr="0039486C" w:rsidRDefault="00426101" w:rsidP="00610940">
      <w:pPr>
        <w:spacing w:after="0" w:line="360" w:lineRule="auto"/>
        <w:ind w:firstLine="720"/>
        <w:jc w:val="both"/>
        <w:rPr>
          <w:rFonts w:ascii="Times New Roman" w:hAnsi="Times New Roman" w:cs="Times New Roman"/>
          <w:bCs/>
          <w:lang w:val="en-GB"/>
        </w:rPr>
      </w:pPr>
      <w:r w:rsidRPr="00426101">
        <w:rPr>
          <w:rFonts w:ascii="Times New Roman" w:hAnsi="Times New Roman" w:cs="Times New Roman"/>
          <w:bCs/>
        </w:rPr>
        <w:t xml:space="preserve">It is evident from Table 1 and fig. 1 that the treatments have </w:t>
      </w:r>
      <w:r w:rsidR="0018520A">
        <w:rPr>
          <w:rFonts w:ascii="Times New Roman" w:hAnsi="Times New Roman" w:cs="Times New Roman"/>
          <w:bCs/>
        </w:rPr>
        <w:t xml:space="preserve">a </w:t>
      </w:r>
      <w:r w:rsidRPr="00426101">
        <w:rPr>
          <w:rFonts w:ascii="Times New Roman" w:hAnsi="Times New Roman" w:cs="Times New Roman"/>
          <w:bCs/>
        </w:rPr>
        <w:t xml:space="preserve">significant effect on peak value of germination. </w:t>
      </w:r>
      <w:r w:rsidR="0039486C" w:rsidRPr="0039486C">
        <w:rPr>
          <w:rFonts w:ascii="Times New Roman" w:hAnsi="Times New Roman" w:cs="Times New Roman"/>
          <w:bCs/>
          <w:lang w:val="en-GB"/>
        </w:rPr>
        <w:t>The highest pooled peak value was noted in GA</w:t>
      </w:r>
      <w:r w:rsidR="0039486C" w:rsidRPr="00440EB3">
        <w:rPr>
          <w:rFonts w:ascii="Times New Roman" w:hAnsi="Times New Roman" w:cs="Times New Roman"/>
          <w:bCs/>
          <w:vertAlign w:val="subscript"/>
          <w:lang w:val="en-GB"/>
        </w:rPr>
        <w:t>3</w:t>
      </w:r>
      <w:r w:rsidR="0039486C" w:rsidRPr="0039486C">
        <w:rPr>
          <w:rFonts w:ascii="Times New Roman" w:hAnsi="Times New Roman" w:cs="Times New Roman"/>
          <w:bCs/>
          <w:lang w:val="en-GB"/>
        </w:rPr>
        <w:t xml:space="preserve"> at 100 ppm for 8 hours (20.80) followed by IAA at 100 ppm for 8 hours (20.04)</w:t>
      </w:r>
      <w:r w:rsidR="000C117E">
        <w:rPr>
          <w:rFonts w:ascii="Times New Roman" w:hAnsi="Times New Roman" w:cs="Times New Roman"/>
          <w:bCs/>
          <w:lang w:val="en-GB"/>
        </w:rPr>
        <w:t>, IBA at 100 ppm for 8 hours (19.59),</w:t>
      </w:r>
      <w:r w:rsidR="000C117E" w:rsidRPr="00C605E7">
        <w:rPr>
          <w:rFonts w:ascii="Times New Roman" w:hAnsi="Times New Roman" w:cs="Times New Roman"/>
          <w:bCs/>
          <w:lang w:val="en-GB"/>
        </w:rPr>
        <w:t xml:space="preserve"> </w:t>
      </w:r>
      <w:r w:rsidR="000C117E">
        <w:rPr>
          <w:rFonts w:ascii="Times New Roman" w:hAnsi="Times New Roman" w:cs="Times New Roman"/>
          <w:bCs/>
          <w:lang w:val="en-GB"/>
        </w:rPr>
        <w:t>NAA</w:t>
      </w:r>
      <w:r w:rsidR="000C117E" w:rsidRPr="00C605E7">
        <w:rPr>
          <w:rFonts w:ascii="Times New Roman" w:hAnsi="Times New Roman" w:cs="Times New Roman"/>
          <w:bCs/>
          <w:lang w:val="en-GB"/>
        </w:rPr>
        <w:t xml:space="preserve"> </w:t>
      </w:r>
      <w:r w:rsidR="000C117E">
        <w:rPr>
          <w:rFonts w:ascii="Times New Roman" w:hAnsi="Times New Roman" w:cs="Times New Roman"/>
          <w:bCs/>
          <w:lang w:val="en-GB"/>
        </w:rPr>
        <w:t>at 100 ppm for 8 hours (19.33),</w:t>
      </w:r>
      <w:r w:rsidR="000C117E" w:rsidRPr="00C605E7">
        <w:rPr>
          <w:rFonts w:ascii="Times New Roman" w:hAnsi="Times New Roman" w:cs="Times New Roman"/>
          <w:bCs/>
        </w:rPr>
        <w:t xml:space="preserve"> </w:t>
      </w:r>
      <w:r w:rsidR="000C117E" w:rsidRPr="006724B3">
        <w:rPr>
          <w:rFonts w:ascii="Times New Roman" w:hAnsi="Times New Roman" w:cs="Times New Roman"/>
          <w:bCs/>
        </w:rPr>
        <w:t>GA</w:t>
      </w:r>
      <w:r w:rsidR="000C117E" w:rsidRPr="006724B3">
        <w:rPr>
          <w:rFonts w:ascii="Times New Roman" w:hAnsi="Times New Roman" w:cs="Times New Roman"/>
          <w:bCs/>
          <w:vertAlign w:val="subscript"/>
        </w:rPr>
        <w:t>3</w:t>
      </w:r>
      <w:r w:rsidR="000C117E" w:rsidRPr="006724B3">
        <w:rPr>
          <w:rFonts w:ascii="Times New Roman" w:hAnsi="Times New Roman" w:cs="Times New Roman"/>
          <w:bCs/>
        </w:rPr>
        <w:t xml:space="preserve"> </w:t>
      </w:r>
      <w:r w:rsidR="000C117E">
        <w:rPr>
          <w:rFonts w:ascii="Times New Roman" w:hAnsi="Times New Roman" w:cs="Times New Roman"/>
          <w:bCs/>
        </w:rPr>
        <w:t>at</w:t>
      </w:r>
      <w:r w:rsidR="000C117E" w:rsidRPr="006724B3">
        <w:rPr>
          <w:rFonts w:ascii="Times New Roman" w:hAnsi="Times New Roman" w:cs="Times New Roman"/>
          <w:bCs/>
        </w:rPr>
        <w:t xml:space="preserve"> </w:t>
      </w:r>
      <w:r w:rsidR="000C117E">
        <w:rPr>
          <w:rFonts w:ascii="Times New Roman" w:hAnsi="Times New Roman" w:cs="Times New Roman"/>
          <w:bCs/>
        </w:rPr>
        <w:t>5</w:t>
      </w:r>
      <w:r w:rsidR="000C117E" w:rsidRPr="006724B3">
        <w:rPr>
          <w:rFonts w:ascii="Times New Roman" w:hAnsi="Times New Roman" w:cs="Times New Roman"/>
          <w:bCs/>
        </w:rPr>
        <w:t xml:space="preserve">0 ppm for </w:t>
      </w:r>
      <w:r w:rsidR="000C117E">
        <w:rPr>
          <w:rFonts w:ascii="Times New Roman" w:hAnsi="Times New Roman" w:cs="Times New Roman"/>
          <w:bCs/>
        </w:rPr>
        <w:t>12</w:t>
      </w:r>
      <w:r w:rsidR="000C117E" w:rsidRPr="006724B3">
        <w:rPr>
          <w:rFonts w:ascii="Times New Roman" w:hAnsi="Times New Roman" w:cs="Times New Roman"/>
          <w:bCs/>
        </w:rPr>
        <w:t xml:space="preserve"> h</w:t>
      </w:r>
      <w:r w:rsidR="000C117E">
        <w:rPr>
          <w:rFonts w:ascii="Times New Roman" w:hAnsi="Times New Roman" w:cs="Times New Roman"/>
          <w:bCs/>
        </w:rPr>
        <w:t>ours</w:t>
      </w:r>
      <w:r w:rsidR="000C117E" w:rsidRPr="00061CC4">
        <w:rPr>
          <w:rFonts w:ascii="Times New Roman" w:hAnsi="Times New Roman" w:cs="Times New Roman"/>
          <w:b/>
        </w:rPr>
        <w:t xml:space="preserve"> </w:t>
      </w:r>
      <w:r w:rsidR="000C117E" w:rsidRPr="00542788">
        <w:rPr>
          <w:rFonts w:ascii="Times New Roman" w:hAnsi="Times New Roman" w:cs="Times New Roman"/>
          <w:bCs/>
          <w:lang w:val="en-GB"/>
        </w:rPr>
        <w:t>(</w:t>
      </w:r>
      <w:r w:rsidR="000C117E">
        <w:rPr>
          <w:rFonts w:ascii="Times New Roman" w:hAnsi="Times New Roman" w:cs="Times New Roman"/>
          <w:bCs/>
          <w:lang w:val="en-GB"/>
        </w:rPr>
        <w:t>18.68</w:t>
      </w:r>
      <w:r w:rsidR="000C117E" w:rsidRPr="00542788">
        <w:rPr>
          <w:rFonts w:ascii="Times New Roman" w:hAnsi="Times New Roman" w:cs="Times New Roman"/>
          <w:bCs/>
          <w:lang w:val="en-GB"/>
        </w:rPr>
        <w:t>)</w:t>
      </w:r>
      <w:r w:rsidR="000C117E">
        <w:rPr>
          <w:rFonts w:ascii="Times New Roman" w:hAnsi="Times New Roman" w:cs="Times New Roman"/>
          <w:bCs/>
          <w:lang w:val="en-GB"/>
        </w:rPr>
        <w:t>, and CCC at 100 ppm for 8 hours (18.06),</w:t>
      </w:r>
      <w:r w:rsidR="0039486C" w:rsidRPr="0039486C">
        <w:rPr>
          <w:rFonts w:ascii="Times New Roman" w:hAnsi="Times New Roman" w:cs="Times New Roman"/>
          <w:bCs/>
          <w:lang w:val="en-GB"/>
        </w:rPr>
        <w:t xml:space="preserve"> which was significantly superior to the Control (14.44). However, the high </w:t>
      </w:r>
      <w:r w:rsidR="0039486C" w:rsidRPr="0039486C">
        <w:rPr>
          <w:rFonts w:ascii="Times New Roman" w:hAnsi="Times New Roman" w:cs="Times New Roman"/>
          <w:bCs/>
          <w:lang w:val="en-GB"/>
        </w:rPr>
        <w:lastRenderedPageBreak/>
        <w:t>level of synchronised germination on peak day could be due to uniform hormone signalling that triggers metabolic activation of embryos</w:t>
      </w:r>
      <w:r w:rsidR="0018520A">
        <w:rPr>
          <w:rFonts w:ascii="Times New Roman" w:hAnsi="Times New Roman" w:cs="Times New Roman"/>
          <w:bCs/>
          <w:lang w:val="en-GB"/>
        </w:rPr>
        <w:t>,</w:t>
      </w:r>
      <w:r w:rsidR="0039486C" w:rsidRPr="0039486C">
        <w:rPr>
          <w:rFonts w:ascii="Times New Roman" w:hAnsi="Times New Roman" w:cs="Times New Roman"/>
          <w:bCs/>
          <w:lang w:val="en-GB"/>
        </w:rPr>
        <w:t xml:space="preserve"> resulting in uniform radicle protrusion.</w:t>
      </w:r>
    </w:p>
    <w:p w14:paraId="4E767527" w14:textId="7E76BB39"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Mean daily germination</w:t>
      </w:r>
    </w:p>
    <w:p w14:paraId="05FC1F5B" w14:textId="40BE19F8" w:rsidR="00C332C8" w:rsidRPr="00C332C8" w:rsidRDefault="00C332C8" w:rsidP="00610940">
      <w:pPr>
        <w:spacing w:after="0" w:line="360" w:lineRule="auto"/>
        <w:ind w:firstLine="720"/>
        <w:jc w:val="both"/>
        <w:rPr>
          <w:rFonts w:ascii="Times New Roman" w:hAnsi="Times New Roman" w:cs="Times New Roman"/>
          <w:bCs/>
          <w:lang w:val="en-GB"/>
        </w:rPr>
      </w:pPr>
      <w:r w:rsidRPr="00C332C8">
        <w:rPr>
          <w:rFonts w:ascii="Times New Roman" w:hAnsi="Times New Roman" w:cs="Times New Roman"/>
          <w:bCs/>
          <w:lang w:val="en-GB"/>
        </w:rPr>
        <w:t xml:space="preserve">The interventions had a </w:t>
      </w:r>
      <w:r w:rsidR="00DA6DB5">
        <w:rPr>
          <w:rFonts w:ascii="Times New Roman" w:hAnsi="Times New Roman" w:cs="Times New Roman"/>
          <w:bCs/>
          <w:lang w:val="en-GB"/>
        </w:rPr>
        <w:t>significant</w:t>
      </w:r>
      <w:r w:rsidRPr="00C332C8">
        <w:rPr>
          <w:rFonts w:ascii="Times New Roman" w:hAnsi="Times New Roman" w:cs="Times New Roman"/>
          <w:bCs/>
          <w:lang w:val="en-GB"/>
        </w:rPr>
        <w:t xml:space="preserve"> impact on the mean daily germination rate as shown in Table 1 and Figure 1. The highest mean daily germination was pooled for GA</w:t>
      </w:r>
      <w:r w:rsidRPr="005337DE">
        <w:rPr>
          <w:rFonts w:ascii="Times New Roman" w:hAnsi="Times New Roman" w:cs="Times New Roman"/>
          <w:bCs/>
          <w:vertAlign w:val="subscript"/>
          <w:lang w:val="en-GB"/>
        </w:rPr>
        <w:t>3</w:t>
      </w:r>
      <w:r w:rsidRPr="00C332C8">
        <w:rPr>
          <w:rFonts w:ascii="Times New Roman" w:hAnsi="Times New Roman" w:cs="Times New Roman"/>
          <w:bCs/>
          <w:lang w:val="en-GB"/>
        </w:rPr>
        <w:t xml:space="preserve"> at 100 ppm for 8 hours (11.55) followed by IBA</w:t>
      </w:r>
      <w:r w:rsidR="00440EB3">
        <w:rPr>
          <w:rFonts w:ascii="Times New Roman" w:hAnsi="Times New Roman" w:cs="Times New Roman"/>
          <w:bCs/>
          <w:lang w:val="en-GB"/>
        </w:rPr>
        <w:t xml:space="preserve"> at </w:t>
      </w:r>
      <w:r w:rsidR="00440EB3" w:rsidRPr="00C332C8">
        <w:rPr>
          <w:rFonts w:ascii="Times New Roman" w:hAnsi="Times New Roman" w:cs="Times New Roman"/>
          <w:bCs/>
          <w:lang w:val="en-GB"/>
        </w:rPr>
        <w:t>100 ppm</w:t>
      </w:r>
      <w:r w:rsidRPr="00C332C8">
        <w:rPr>
          <w:rFonts w:ascii="Times New Roman" w:hAnsi="Times New Roman" w:cs="Times New Roman"/>
          <w:bCs/>
          <w:lang w:val="en-GB"/>
        </w:rPr>
        <w:t xml:space="preserve"> for 8 hours (11.51)</w:t>
      </w:r>
      <w:r w:rsidR="000C117E">
        <w:rPr>
          <w:rFonts w:ascii="Times New Roman" w:hAnsi="Times New Roman" w:cs="Times New Roman"/>
          <w:bCs/>
          <w:lang w:val="en-GB"/>
        </w:rPr>
        <w:t>,</w:t>
      </w:r>
      <w:r w:rsidR="000C117E" w:rsidRPr="000C117E">
        <w:rPr>
          <w:rFonts w:ascii="Times New Roman" w:hAnsi="Times New Roman" w:cs="Times New Roman"/>
          <w:bCs/>
          <w:lang w:val="en-GB"/>
        </w:rPr>
        <w:t xml:space="preserve"> </w:t>
      </w:r>
      <w:r w:rsidR="000C117E" w:rsidRPr="0039486C">
        <w:rPr>
          <w:rFonts w:ascii="Times New Roman" w:hAnsi="Times New Roman" w:cs="Times New Roman"/>
          <w:bCs/>
          <w:lang w:val="en-GB"/>
        </w:rPr>
        <w:t>IAA at 100 ppm for 8 hours (</w:t>
      </w:r>
      <w:r w:rsidR="00C8494E">
        <w:rPr>
          <w:rFonts w:ascii="Times New Roman" w:hAnsi="Times New Roman" w:cs="Times New Roman"/>
          <w:bCs/>
          <w:lang w:val="en-GB"/>
        </w:rPr>
        <w:t>11.50</w:t>
      </w:r>
      <w:r w:rsidR="000C117E" w:rsidRPr="0039486C">
        <w:rPr>
          <w:rFonts w:ascii="Times New Roman" w:hAnsi="Times New Roman" w:cs="Times New Roman"/>
          <w:bCs/>
          <w:lang w:val="en-GB"/>
        </w:rPr>
        <w:t>),</w:t>
      </w:r>
      <w:r w:rsidR="000C117E" w:rsidRPr="000C117E">
        <w:rPr>
          <w:rFonts w:ascii="Times New Roman" w:hAnsi="Times New Roman" w:cs="Times New Roman"/>
          <w:bCs/>
          <w:lang w:val="en-GB"/>
        </w:rPr>
        <w:t xml:space="preserve"> </w:t>
      </w:r>
      <w:r w:rsidR="000C117E">
        <w:rPr>
          <w:rFonts w:ascii="Times New Roman" w:hAnsi="Times New Roman" w:cs="Times New Roman"/>
          <w:bCs/>
          <w:lang w:val="en-GB"/>
        </w:rPr>
        <w:t>NAA</w:t>
      </w:r>
      <w:r w:rsidR="000C117E" w:rsidRPr="00C605E7">
        <w:rPr>
          <w:rFonts w:ascii="Times New Roman" w:hAnsi="Times New Roman" w:cs="Times New Roman"/>
          <w:bCs/>
          <w:lang w:val="en-GB"/>
        </w:rPr>
        <w:t xml:space="preserve"> </w:t>
      </w:r>
      <w:r w:rsidR="000C117E">
        <w:rPr>
          <w:rFonts w:ascii="Times New Roman" w:hAnsi="Times New Roman" w:cs="Times New Roman"/>
          <w:bCs/>
          <w:lang w:val="en-GB"/>
        </w:rPr>
        <w:t>at 100 ppm for 8 hours (</w:t>
      </w:r>
      <w:r w:rsidR="00C8494E">
        <w:rPr>
          <w:rFonts w:ascii="Times New Roman" w:hAnsi="Times New Roman" w:cs="Times New Roman"/>
          <w:bCs/>
          <w:lang w:val="en-GB"/>
        </w:rPr>
        <w:t>11.49</w:t>
      </w:r>
      <w:r w:rsidR="000C117E">
        <w:rPr>
          <w:rFonts w:ascii="Times New Roman" w:hAnsi="Times New Roman" w:cs="Times New Roman"/>
          <w:bCs/>
          <w:lang w:val="en-GB"/>
        </w:rPr>
        <w:t>),</w:t>
      </w:r>
      <w:r w:rsidRPr="00C332C8">
        <w:rPr>
          <w:rFonts w:ascii="Times New Roman" w:hAnsi="Times New Roman" w:cs="Times New Roman"/>
          <w:bCs/>
          <w:lang w:val="en-GB"/>
        </w:rPr>
        <w:t xml:space="preserve"> </w:t>
      </w:r>
      <w:r w:rsidR="000C117E" w:rsidRPr="006724B3">
        <w:rPr>
          <w:rFonts w:ascii="Times New Roman" w:hAnsi="Times New Roman" w:cs="Times New Roman"/>
          <w:bCs/>
        </w:rPr>
        <w:t>GA</w:t>
      </w:r>
      <w:r w:rsidR="000C117E" w:rsidRPr="006724B3">
        <w:rPr>
          <w:rFonts w:ascii="Times New Roman" w:hAnsi="Times New Roman" w:cs="Times New Roman"/>
          <w:bCs/>
          <w:vertAlign w:val="subscript"/>
        </w:rPr>
        <w:t>3</w:t>
      </w:r>
      <w:r w:rsidR="000C117E" w:rsidRPr="006724B3">
        <w:rPr>
          <w:rFonts w:ascii="Times New Roman" w:hAnsi="Times New Roman" w:cs="Times New Roman"/>
          <w:bCs/>
        </w:rPr>
        <w:t xml:space="preserve"> </w:t>
      </w:r>
      <w:r w:rsidR="000C117E">
        <w:rPr>
          <w:rFonts w:ascii="Times New Roman" w:hAnsi="Times New Roman" w:cs="Times New Roman"/>
          <w:bCs/>
        </w:rPr>
        <w:t>at</w:t>
      </w:r>
      <w:r w:rsidR="000C117E" w:rsidRPr="006724B3">
        <w:rPr>
          <w:rFonts w:ascii="Times New Roman" w:hAnsi="Times New Roman" w:cs="Times New Roman"/>
          <w:bCs/>
        </w:rPr>
        <w:t xml:space="preserve"> </w:t>
      </w:r>
      <w:r w:rsidR="000C117E">
        <w:rPr>
          <w:rFonts w:ascii="Times New Roman" w:hAnsi="Times New Roman" w:cs="Times New Roman"/>
          <w:bCs/>
        </w:rPr>
        <w:t>5</w:t>
      </w:r>
      <w:r w:rsidR="000C117E" w:rsidRPr="006724B3">
        <w:rPr>
          <w:rFonts w:ascii="Times New Roman" w:hAnsi="Times New Roman" w:cs="Times New Roman"/>
          <w:bCs/>
        </w:rPr>
        <w:t xml:space="preserve">0 ppm for </w:t>
      </w:r>
      <w:r w:rsidR="000C117E">
        <w:rPr>
          <w:rFonts w:ascii="Times New Roman" w:hAnsi="Times New Roman" w:cs="Times New Roman"/>
          <w:bCs/>
        </w:rPr>
        <w:t>12</w:t>
      </w:r>
      <w:r w:rsidR="000C117E" w:rsidRPr="006724B3">
        <w:rPr>
          <w:rFonts w:ascii="Times New Roman" w:hAnsi="Times New Roman" w:cs="Times New Roman"/>
          <w:bCs/>
        </w:rPr>
        <w:t xml:space="preserve"> h</w:t>
      </w:r>
      <w:r w:rsidR="000C117E">
        <w:rPr>
          <w:rFonts w:ascii="Times New Roman" w:hAnsi="Times New Roman" w:cs="Times New Roman"/>
          <w:bCs/>
        </w:rPr>
        <w:t>ours</w:t>
      </w:r>
      <w:r w:rsidR="000C117E" w:rsidRPr="00061CC4">
        <w:rPr>
          <w:rFonts w:ascii="Times New Roman" w:hAnsi="Times New Roman" w:cs="Times New Roman"/>
          <w:b/>
        </w:rPr>
        <w:t xml:space="preserve"> </w:t>
      </w:r>
      <w:r w:rsidR="000C117E" w:rsidRPr="00542788">
        <w:rPr>
          <w:rFonts w:ascii="Times New Roman" w:hAnsi="Times New Roman" w:cs="Times New Roman"/>
          <w:bCs/>
          <w:lang w:val="en-GB"/>
        </w:rPr>
        <w:t>(</w:t>
      </w:r>
      <w:r w:rsidR="00C8494E">
        <w:rPr>
          <w:rFonts w:ascii="Times New Roman" w:hAnsi="Times New Roman" w:cs="Times New Roman"/>
          <w:bCs/>
          <w:lang w:val="en-GB"/>
        </w:rPr>
        <w:t>11.38</w:t>
      </w:r>
      <w:r w:rsidR="000C117E" w:rsidRPr="00542788">
        <w:rPr>
          <w:rFonts w:ascii="Times New Roman" w:hAnsi="Times New Roman" w:cs="Times New Roman"/>
          <w:bCs/>
          <w:lang w:val="en-GB"/>
        </w:rPr>
        <w:t>)</w:t>
      </w:r>
      <w:r w:rsidR="000C117E">
        <w:rPr>
          <w:rFonts w:ascii="Times New Roman" w:hAnsi="Times New Roman" w:cs="Times New Roman"/>
          <w:bCs/>
          <w:lang w:val="en-GB"/>
        </w:rPr>
        <w:t>, and CCC at 100 ppm for 8 hours (1</w:t>
      </w:r>
      <w:r w:rsidR="00C8494E">
        <w:rPr>
          <w:rFonts w:ascii="Times New Roman" w:hAnsi="Times New Roman" w:cs="Times New Roman"/>
          <w:bCs/>
          <w:lang w:val="en-GB"/>
        </w:rPr>
        <w:t>1.26</w:t>
      </w:r>
      <w:r w:rsidR="000C117E">
        <w:rPr>
          <w:rFonts w:ascii="Times New Roman" w:hAnsi="Times New Roman" w:cs="Times New Roman"/>
          <w:bCs/>
          <w:lang w:val="en-GB"/>
        </w:rPr>
        <w:t>),</w:t>
      </w:r>
      <w:r w:rsidR="000C117E" w:rsidRPr="0039486C">
        <w:rPr>
          <w:rFonts w:ascii="Times New Roman" w:hAnsi="Times New Roman" w:cs="Times New Roman"/>
          <w:bCs/>
          <w:lang w:val="en-GB"/>
        </w:rPr>
        <w:t xml:space="preserve"> </w:t>
      </w:r>
      <w:r w:rsidR="000C117E">
        <w:rPr>
          <w:rFonts w:ascii="Times New Roman" w:hAnsi="Times New Roman" w:cs="Times New Roman"/>
          <w:bCs/>
          <w:lang w:val="en-GB"/>
        </w:rPr>
        <w:t>was</w:t>
      </w:r>
      <w:r w:rsidR="00BD246D" w:rsidRPr="00BD246D">
        <w:rPr>
          <w:rFonts w:ascii="Times New Roman" w:hAnsi="Times New Roman" w:cs="Times New Roman"/>
          <w:bCs/>
          <w:lang w:val="en-GB"/>
        </w:rPr>
        <w:t xml:space="preserve"> </w:t>
      </w:r>
      <w:r w:rsidR="00C8494E" w:rsidRPr="0039486C">
        <w:rPr>
          <w:rFonts w:ascii="Times New Roman" w:hAnsi="Times New Roman" w:cs="Times New Roman"/>
          <w:bCs/>
          <w:lang w:val="en-GB"/>
        </w:rPr>
        <w:t>significantly</w:t>
      </w:r>
      <w:r w:rsidR="00C8494E" w:rsidRPr="00C332C8">
        <w:rPr>
          <w:rFonts w:ascii="Times New Roman" w:hAnsi="Times New Roman" w:cs="Times New Roman"/>
          <w:bCs/>
          <w:lang w:val="en-GB"/>
        </w:rPr>
        <w:t xml:space="preserve"> higher</w:t>
      </w:r>
      <w:r w:rsidRPr="00C332C8">
        <w:rPr>
          <w:rFonts w:ascii="Times New Roman" w:hAnsi="Times New Roman" w:cs="Times New Roman"/>
          <w:bCs/>
          <w:lang w:val="en-GB"/>
        </w:rPr>
        <w:t xml:space="preserve"> than that for control (10.72). The significant increase in average daily germination could possibly be attributed to the improved efficiency of mitochondria and ATP synthesis by GA</w:t>
      </w:r>
      <w:r w:rsidRPr="005337DE">
        <w:rPr>
          <w:rFonts w:ascii="Times New Roman" w:hAnsi="Times New Roman" w:cs="Times New Roman"/>
          <w:bCs/>
          <w:vertAlign w:val="subscript"/>
          <w:lang w:val="en-GB"/>
        </w:rPr>
        <w:t>3</w:t>
      </w:r>
      <w:r w:rsidRPr="00C332C8">
        <w:rPr>
          <w:rFonts w:ascii="Times New Roman" w:hAnsi="Times New Roman" w:cs="Times New Roman"/>
          <w:bCs/>
          <w:lang w:val="en-GB"/>
        </w:rPr>
        <w:t xml:space="preserve"> treatment </w:t>
      </w:r>
      <w:r w:rsidR="0018520A">
        <w:rPr>
          <w:rFonts w:ascii="Times New Roman" w:hAnsi="Times New Roman" w:cs="Times New Roman"/>
          <w:bCs/>
          <w:lang w:val="en-GB"/>
        </w:rPr>
        <w:t>which</w:t>
      </w:r>
      <w:r w:rsidRPr="00C332C8">
        <w:rPr>
          <w:rFonts w:ascii="Times New Roman" w:hAnsi="Times New Roman" w:cs="Times New Roman"/>
          <w:bCs/>
          <w:lang w:val="en-GB"/>
        </w:rPr>
        <w:t xml:space="preserve"> provides sustained energy resources for seedling development.</w:t>
      </w:r>
    </w:p>
    <w:p w14:paraId="0FC5193F" w14:textId="77777777" w:rsid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Germination value</w:t>
      </w:r>
    </w:p>
    <w:p w14:paraId="592AB6FE" w14:textId="3426A3B1" w:rsidR="00511E6D" w:rsidRPr="00511E6D" w:rsidRDefault="00511E6D" w:rsidP="002B489C">
      <w:pPr>
        <w:spacing w:after="0" w:line="360" w:lineRule="auto"/>
        <w:ind w:firstLine="720"/>
        <w:jc w:val="both"/>
        <w:rPr>
          <w:rFonts w:ascii="Times New Roman" w:hAnsi="Times New Roman" w:cs="Times New Roman"/>
        </w:rPr>
      </w:pPr>
      <w:r w:rsidRPr="00511E6D">
        <w:rPr>
          <w:rFonts w:ascii="Times New Roman" w:hAnsi="Times New Roman" w:cs="Times New Roman"/>
        </w:rPr>
        <w:t>As it is evident from Table 1 and Figure 1, the treatments had a significant influence on germination value. The highest pooled germination value was observed in GA</w:t>
      </w:r>
      <w:r w:rsidRPr="00A17549">
        <w:rPr>
          <w:rFonts w:ascii="Times New Roman" w:hAnsi="Times New Roman" w:cs="Times New Roman"/>
          <w:vertAlign w:val="subscript"/>
        </w:rPr>
        <w:t>3</w:t>
      </w:r>
      <w:r w:rsidR="00A17549">
        <w:rPr>
          <w:rFonts w:ascii="Times New Roman" w:hAnsi="Times New Roman" w:cs="Times New Roman"/>
        </w:rPr>
        <w:t xml:space="preserve"> </w:t>
      </w:r>
      <w:r w:rsidR="005337DE">
        <w:rPr>
          <w:rFonts w:ascii="Times New Roman" w:hAnsi="Times New Roman" w:cs="Times New Roman"/>
        </w:rPr>
        <w:t>at</w:t>
      </w:r>
      <w:r w:rsidRPr="00511E6D">
        <w:rPr>
          <w:rFonts w:ascii="Times New Roman" w:hAnsi="Times New Roman" w:cs="Times New Roman"/>
        </w:rPr>
        <w:t xml:space="preserve"> 100 ppm for 8 </w:t>
      </w:r>
      <w:r w:rsidR="00483005" w:rsidRPr="00C332C8">
        <w:rPr>
          <w:rFonts w:ascii="Times New Roman" w:hAnsi="Times New Roman" w:cs="Times New Roman"/>
          <w:bCs/>
          <w:lang w:val="en-GB"/>
        </w:rPr>
        <w:t>hours</w:t>
      </w:r>
      <w:r w:rsidRPr="00511E6D">
        <w:rPr>
          <w:rFonts w:ascii="Times New Roman" w:hAnsi="Times New Roman" w:cs="Times New Roman"/>
        </w:rPr>
        <w:t xml:space="preserve"> (240.21) and IAA </w:t>
      </w:r>
      <w:r w:rsidR="005337DE">
        <w:rPr>
          <w:rFonts w:ascii="Times New Roman" w:hAnsi="Times New Roman" w:cs="Times New Roman"/>
        </w:rPr>
        <w:t>at</w:t>
      </w:r>
      <w:r w:rsidR="00440EB3">
        <w:rPr>
          <w:rFonts w:ascii="Times New Roman" w:hAnsi="Times New Roman" w:cs="Times New Roman"/>
        </w:rPr>
        <w:t xml:space="preserve"> </w:t>
      </w:r>
      <w:r w:rsidRPr="00511E6D">
        <w:rPr>
          <w:rFonts w:ascii="Times New Roman" w:hAnsi="Times New Roman" w:cs="Times New Roman"/>
        </w:rPr>
        <w:t xml:space="preserve">100ppm for 8 </w:t>
      </w:r>
      <w:r w:rsidR="00061CC4">
        <w:rPr>
          <w:rFonts w:ascii="Times New Roman" w:hAnsi="Times New Roman" w:cs="Times New Roman"/>
        </w:rPr>
        <w:t>h.</w:t>
      </w:r>
      <w:r w:rsidRPr="00511E6D">
        <w:rPr>
          <w:rFonts w:ascii="Times New Roman" w:hAnsi="Times New Roman" w:cs="Times New Roman"/>
        </w:rPr>
        <w:t xml:space="preserve"> (230.53),</w:t>
      </w:r>
      <w:r w:rsidR="00C8494E" w:rsidRPr="00C8494E">
        <w:rPr>
          <w:rFonts w:ascii="Times New Roman" w:hAnsi="Times New Roman" w:cs="Times New Roman"/>
          <w:bCs/>
          <w:lang w:val="en-GB"/>
        </w:rPr>
        <w:t xml:space="preserve"> </w:t>
      </w:r>
      <w:r w:rsidR="00C8494E">
        <w:rPr>
          <w:rFonts w:ascii="Times New Roman" w:hAnsi="Times New Roman" w:cs="Times New Roman"/>
          <w:bCs/>
          <w:lang w:val="en-GB"/>
        </w:rPr>
        <w:t>IBA at 100 ppm for 8 hours (225.54),</w:t>
      </w:r>
      <w:r w:rsidR="00C8494E" w:rsidRPr="00C8494E">
        <w:rPr>
          <w:rFonts w:ascii="Times New Roman" w:hAnsi="Times New Roman" w:cs="Times New Roman"/>
          <w:bCs/>
        </w:rPr>
        <w:t xml:space="preserve"> </w:t>
      </w:r>
      <w:r w:rsidR="00C8494E" w:rsidRPr="006724B3">
        <w:rPr>
          <w:rFonts w:ascii="Times New Roman" w:hAnsi="Times New Roman" w:cs="Times New Roman"/>
          <w:bCs/>
        </w:rPr>
        <w:t>GA</w:t>
      </w:r>
      <w:r w:rsidR="00C8494E" w:rsidRPr="006724B3">
        <w:rPr>
          <w:rFonts w:ascii="Times New Roman" w:hAnsi="Times New Roman" w:cs="Times New Roman"/>
          <w:bCs/>
          <w:vertAlign w:val="subscript"/>
        </w:rPr>
        <w:t>3</w:t>
      </w:r>
      <w:r w:rsidR="00C8494E" w:rsidRPr="006724B3">
        <w:rPr>
          <w:rFonts w:ascii="Times New Roman" w:hAnsi="Times New Roman" w:cs="Times New Roman"/>
          <w:bCs/>
        </w:rPr>
        <w:t xml:space="preserve"> </w:t>
      </w:r>
      <w:r w:rsidR="00C8494E">
        <w:rPr>
          <w:rFonts w:ascii="Times New Roman" w:hAnsi="Times New Roman" w:cs="Times New Roman"/>
          <w:bCs/>
        </w:rPr>
        <w:t>at</w:t>
      </w:r>
      <w:r w:rsidR="00C8494E" w:rsidRPr="006724B3">
        <w:rPr>
          <w:rFonts w:ascii="Times New Roman" w:hAnsi="Times New Roman" w:cs="Times New Roman"/>
          <w:bCs/>
        </w:rPr>
        <w:t xml:space="preserve"> </w:t>
      </w:r>
      <w:r w:rsidR="00C8494E">
        <w:rPr>
          <w:rFonts w:ascii="Times New Roman" w:hAnsi="Times New Roman" w:cs="Times New Roman"/>
          <w:bCs/>
        </w:rPr>
        <w:t>5</w:t>
      </w:r>
      <w:r w:rsidR="00C8494E" w:rsidRPr="006724B3">
        <w:rPr>
          <w:rFonts w:ascii="Times New Roman" w:hAnsi="Times New Roman" w:cs="Times New Roman"/>
          <w:bCs/>
        </w:rPr>
        <w:t xml:space="preserve">0 ppm for </w:t>
      </w:r>
      <w:r w:rsidR="00C8494E">
        <w:rPr>
          <w:rFonts w:ascii="Times New Roman" w:hAnsi="Times New Roman" w:cs="Times New Roman"/>
          <w:bCs/>
        </w:rPr>
        <w:t>12</w:t>
      </w:r>
      <w:r w:rsidR="00C8494E" w:rsidRPr="006724B3">
        <w:rPr>
          <w:rFonts w:ascii="Times New Roman" w:hAnsi="Times New Roman" w:cs="Times New Roman"/>
          <w:bCs/>
        </w:rPr>
        <w:t xml:space="preserve"> h</w:t>
      </w:r>
      <w:r w:rsidR="00C8494E">
        <w:rPr>
          <w:rFonts w:ascii="Times New Roman" w:hAnsi="Times New Roman" w:cs="Times New Roman"/>
          <w:bCs/>
        </w:rPr>
        <w:t>ours</w:t>
      </w:r>
      <w:r w:rsidR="00C8494E" w:rsidRPr="00061CC4">
        <w:rPr>
          <w:rFonts w:ascii="Times New Roman" w:hAnsi="Times New Roman" w:cs="Times New Roman"/>
          <w:b/>
        </w:rPr>
        <w:t xml:space="preserve"> </w:t>
      </w:r>
      <w:r w:rsidR="00C8494E" w:rsidRPr="00542788">
        <w:rPr>
          <w:rFonts w:ascii="Times New Roman" w:hAnsi="Times New Roman" w:cs="Times New Roman"/>
          <w:bCs/>
          <w:lang w:val="en-GB"/>
        </w:rPr>
        <w:t>(</w:t>
      </w:r>
      <w:r w:rsidR="00C8494E">
        <w:rPr>
          <w:rFonts w:ascii="Times New Roman" w:hAnsi="Times New Roman" w:cs="Times New Roman"/>
          <w:bCs/>
          <w:lang w:val="en-GB"/>
        </w:rPr>
        <w:t>225.54</w:t>
      </w:r>
      <w:r w:rsidR="00C8494E" w:rsidRPr="00542788">
        <w:rPr>
          <w:rFonts w:ascii="Times New Roman" w:hAnsi="Times New Roman" w:cs="Times New Roman"/>
          <w:bCs/>
          <w:lang w:val="en-GB"/>
        </w:rPr>
        <w:t>)</w:t>
      </w:r>
      <w:r w:rsidR="00C8494E">
        <w:rPr>
          <w:rFonts w:ascii="Times New Roman" w:hAnsi="Times New Roman" w:cs="Times New Roman"/>
          <w:bCs/>
          <w:lang w:val="en-GB"/>
        </w:rPr>
        <w:t>,</w:t>
      </w:r>
      <w:r w:rsidR="00C8494E" w:rsidRPr="00C605E7">
        <w:rPr>
          <w:rFonts w:ascii="Times New Roman" w:hAnsi="Times New Roman" w:cs="Times New Roman"/>
          <w:bCs/>
          <w:lang w:val="en-GB"/>
        </w:rPr>
        <w:t xml:space="preserve"> </w:t>
      </w:r>
      <w:r w:rsidR="00C8494E">
        <w:rPr>
          <w:rFonts w:ascii="Times New Roman" w:hAnsi="Times New Roman" w:cs="Times New Roman"/>
          <w:bCs/>
          <w:lang w:val="en-GB"/>
        </w:rPr>
        <w:t>NAA</w:t>
      </w:r>
      <w:r w:rsidR="00C8494E" w:rsidRPr="00C605E7">
        <w:rPr>
          <w:rFonts w:ascii="Times New Roman" w:hAnsi="Times New Roman" w:cs="Times New Roman"/>
          <w:bCs/>
          <w:lang w:val="en-GB"/>
        </w:rPr>
        <w:t xml:space="preserve"> </w:t>
      </w:r>
      <w:r w:rsidR="00C8494E">
        <w:rPr>
          <w:rFonts w:ascii="Times New Roman" w:hAnsi="Times New Roman" w:cs="Times New Roman"/>
          <w:bCs/>
          <w:lang w:val="en-GB"/>
        </w:rPr>
        <w:t>at 100 ppm for 8 hours (222.13), CCC at 100 ppm for 8 hours (203.30),</w:t>
      </w:r>
      <w:r w:rsidRPr="00511E6D">
        <w:rPr>
          <w:rFonts w:ascii="Times New Roman" w:hAnsi="Times New Roman" w:cs="Times New Roman"/>
        </w:rPr>
        <w:t xml:space="preserve"> and these were significantly higher than the control (154.65). The increased germination figures, obviously, imply a role played by the plant growth regulators in promoting rate as well as percentage of germination through increased metabolic activity and decreasing dormancy.</w:t>
      </w:r>
    </w:p>
    <w:p w14:paraId="4A2BDA01"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Relative growth index</w:t>
      </w:r>
    </w:p>
    <w:p w14:paraId="667BAB0C" w14:textId="359C9220" w:rsidR="007C720C" w:rsidRPr="007C720C" w:rsidRDefault="007C720C" w:rsidP="00610940">
      <w:pPr>
        <w:spacing w:after="0" w:line="360" w:lineRule="auto"/>
        <w:ind w:firstLine="720"/>
        <w:jc w:val="both"/>
        <w:rPr>
          <w:rFonts w:ascii="Times New Roman" w:hAnsi="Times New Roman" w:cs="Times New Roman"/>
          <w:bCs/>
          <w:lang w:val="en-GB"/>
        </w:rPr>
      </w:pPr>
      <w:r w:rsidRPr="007C720C">
        <w:rPr>
          <w:rFonts w:ascii="Times New Roman" w:hAnsi="Times New Roman" w:cs="Times New Roman"/>
          <w:bCs/>
          <w:lang w:val="en-GB"/>
        </w:rPr>
        <w:t>The effect of treatments on relative growth index was highly significant as shown in Table 1 and Figure 1. The maximum pooled value was also recorded in GA</w:t>
      </w:r>
      <w:r w:rsidRPr="002679FA">
        <w:rPr>
          <w:rFonts w:ascii="Times New Roman" w:hAnsi="Times New Roman" w:cs="Times New Roman"/>
          <w:bCs/>
          <w:vertAlign w:val="subscript"/>
          <w:lang w:val="en-GB"/>
        </w:rPr>
        <w:t>3</w:t>
      </w:r>
      <w:r w:rsidR="005B74E1">
        <w:rPr>
          <w:rFonts w:ascii="Times New Roman" w:hAnsi="Times New Roman" w:cs="Times New Roman"/>
          <w:bCs/>
          <w:lang w:val="en-GB"/>
        </w:rPr>
        <w:t xml:space="preserve"> at </w:t>
      </w:r>
      <w:r w:rsidR="005B74E1" w:rsidRPr="007C720C">
        <w:rPr>
          <w:rFonts w:ascii="Times New Roman" w:hAnsi="Times New Roman" w:cs="Times New Roman"/>
          <w:bCs/>
          <w:lang w:val="en-GB"/>
        </w:rPr>
        <w:t>100 ppm</w:t>
      </w:r>
      <w:r w:rsidRPr="007C720C">
        <w:rPr>
          <w:rFonts w:ascii="Times New Roman" w:hAnsi="Times New Roman" w:cs="Times New Roman"/>
          <w:bCs/>
          <w:lang w:val="en-GB"/>
        </w:rPr>
        <w:t xml:space="preserve"> for 8 h</w:t>
      </w:r>
      <w:r w:rsidR="002679FA">
        <w:rPr>
          <w:rFonts w:ascii="Times New Roman" w:hAnsi="Times New Roman" w:cs="Times New Roman"/>
          <w:bCs/>
          <w:lang w:val="en-GB"/>
        </w:rPr>
        <w:t>ours</w:t>
      </w:r>
      <w:r w:rsidRPr="007C720C">
        <w:rPr>
          <w:rFonts w:ascii="Times New Roman" w:hAnsi="Times New Roman" w:cs="Times New Roman"/>
          <w:bCs/>
          <w:lang w:val="en-GB"/>
        </w:rPr>
        <w:t xml:space="preserve"> (72.54) followed by IAA 100 ppm for 8 h</w:t>
      </w:r>
      <w:r w:rsidR="002679FA">
        <w:rPr>
          <w:rFonts w:ascii="Times New Roman" w:hAnsi="Times New Roman" w:cs="Times New Roman"/>
          <w:bCs/>
          <w:lang w:val="en-GB"/>
        </w:rPr>
        <w:t>ours</w:t>
      </w:r>
      <w:r w:rsidRPr="007C720C">
        <w:rPr>
          <w:rFonts w:ascii="Times New Roman" w:hAnsi="Times New Roman" w:cs="Times New Roman"/>
          <w:bCs/>
          <w:lang w:val="en-GB"/>
        </w:rPr>
        <w:t xml:space="preserve"> (71.36)</w:t>
      </w:r>
      <w:r w:rsidR="00C8494E">
        <w:rPr>
          <w:rFonts w:ascii="Times New Roman" w:hAnsi="Times New Roman" w:cs="Times New Roman"/>
          <w:bCs/>
          <w:lang w:val="en-GB"/>
        </w:rPr>
        <w:t>,</w:t>
      </w:r>
      <w:r w:rsidR="00C8494E" w:rsidRPr="00C8494E">
        <w:rPr>
          <w:rFonts w:ascii="Times New Roman" w:hAnsi="Times New Roman" w:cs="Times New Roman"/>
          <w:bCs/>
          <w:lang w:val="en-GB"/>
        </w:rPr>
        <w:t xml:space="preserve"> </w:t>
      </w:r>
      <w:r w:rsidR="00C8494E">
        <w:rPr>
          <w:rFonts w:ascii="Times New Roman" w:hAnsi="Times New Roman" w:cs="Times New Roman"/>
          <w:bCs/>
          <w:lang w:val="en-GB"/>
        </w:rPr>
        <w:t>IBA at 100 ppm for 8 hours (70.67),</w:t>
      </w:r>
      <w:r w:rsidR="00C8494E" w:rsidRPr="00C8494E">
        <w:rPr>
          <w:rFonts w:ascii="Times New Roman" w:hAnsi="Times New Roman" w:cs="Times New Roman"/>
          <w:bCs/>
        </w:rPr>
        <w:t xml:space="preserve"> </w:t>
      </w:r>
      <w:r w:rsidR="00C8494E" w:rsidRPr="006724B3">
        <w:rPr>
          <w:rFonts w:ascii="Times New Roman" w:hAnsi="Times New Roman" w:cs="Times New Roman"/>
          <w:bCs/>
        </w:rPr>
        <w:t>GA</w:t>
      </w:r>
      <w:r w:rsidR="00C8494E" w:rsidRPr="006724B3">
        <w:rPr>
          <w:rFonts w:ascii="Times New Roman" w:hAnsi="Times New Roman" w:cs="Times New Roman"/>
          <w:bCs/>
          <w:vertAlign w:val="subscript"/>
        </w:rPr>
        <w:t>3</w:t>
      </w:r>
      <w:r w:rsidR="00C8494E" w:rsidRPr="006724B3">
        <w:rPr>
          <w:rFonts w:ascii="Times New Roman" w:hAnsi="Times New Roman" w:cs="Times New Roman"/>
          <w:bCs/>
        </w:rPr>
        <w:t xml:space="preserve"> </w:t>
      </w:r>
      <w:r w:rsidR="00C8494E">
        <w:rPr>
          <w:rFonts w:ascii="Times New Roman" w:hAnsi="Times New Roman" w:cs="Times New Roman"/>
          <w:bCs/>
        </w:rPr>
        <w:t>at</w:t>
      </w:r>
      <w:r w:rsidR="00C8494E" w:rsidRPr="006724B3">
        <w:rPr>
          <w:rFonts w:ascii="Times New Roman" w:hAnsi="Times New Roman" w:cs="Times New Roman"/>
          <w:bCs/>
        </w:rPr>
        <w:t xml:space="preserve"> </w:t>
      </w:r>
      <w:r w:rsidR="00C8494E">
        <w:rPr>
          <w:rFonts w:ascii="Times New Roman" w:hAnsi="Times New Roman" w:cs="Times New Roman"/>
          <w:bCs/>
        </w:rPr>
        <w:t>5</w:t>
      </w:r>
      <w:r w:rsidR="00C8494E" w:rsidRPr="006724B3">
        <w:rPr>
          <w:rFonts w:ascii="Times New Roman" w:hAnsi="Times New Roman" w:cs="Times New Roman"/>
          <w:bCs/>
        </w:rPr>
        <w:t xml:space="preserve">0 ppm for </w:t>
      </w:r>
      <w:r w:rsidR="00C8494E">
        <w:rPr>
          <w:rFonts w:ascii="Times New Roman" w:hAnsi="Times New Roman" w:cs="Times New Roman"/>
          <w:bCs/>
        </w:rPr>
        <w:t>12</w:t>
      </w:r>
      <w:r w:rsidR="00C8494E" w:rsidRPr="006724B3">
        <w:rPr>
          <w:rFonts w:ascii="Times New Roman" w:hAnsi="Times New Roman" w:cs="Times New Roman"/>
          <w:bCs/>
        </w:rPr>
        <w:t xml:space="preserve"> h</w:t>
      </w:r>
      <w:r w:rsidR="00C8494E">
        <w:rPr>
          <w:rFonts w:ascii="Times New Roman" w:hAnsi="Times New Roman" w:cs="Times New Roman"/>
          <w:bCs/>
        </w:rPr>
        <w:t>ours</w:t>
      </w:r>
      <w:r w:rsidR="00C8494E" w:rsidRPr="00061CC4">
        <w:rPr>
          <w:rFonts w:ascii="Times New Roman" w:hAnsi="Times New Roman" w:cs="Times New Roman"/>
          <w:b/>
        </w:rPr>
        <w:t xml:space="preserve"> </w:t>
      </w:r>
      <w:r w:rsidR="00C8494E" w:rsidRPr="00542788">
        <w:rPr>
          <w:rFonts w:ascii="Times New Roman" w:hAnsi="Times New Roman" w:cs="Times New Roman"/>
          <w:bCs/>
          <w:lang w:val="en-GB"/>
        </w:rPr>
        <w:t>(</w:t>
      </w:r>
      <w:r w:rsidR="00C8494E">
        <w:rPr>
          <w:rFonts w:ascii="Times New Roman" w:hAnsi="Times New Roman" w:cs="Times New Roman"/>
          <w:bCs/>
          <w:lang w:val="en-GB"/>
        </w:rPr>
        <w:t>70.43</w:t>
      </w:r>
      <w:r w:rsidR="00C8494E" w:rsidRPr="00542788">
        <w:rPr>
          <w:rFonts w:ascii="Times New Roman" w:hAnsi="Times New Roman" w:cs="Times New Roman"/>
          <w:bCs/>
          <w:lang w:val="en-GB"/>
        </w:rPr>
        <w:t>)</w:t>
      </w:r>
      <w:r w:rsidR="00C8494E">
        <w:rPr>
          <w:rFonts w:ascii="Times New Roman" w:hAnsi="Times New Roman" w:cs="Times New Roman"/>
          <w:bCs/>
          <w:lang w:val="en-GB"/>
        </w:rPr>
        <w:t>,</w:t>
      </w:r>
      <w:r w:rsidR="00C8494E" w:rsidRPr="00C605E7">
        <w:rPr>
          <w:rFonts w:ascii="Times New Roman" w:hAnsi="Times New Roman" w:cs="Times New Roman"/>
          <w:bCs/>
          <w:lang w:val="en-GB"/>
        </w:rPr>
        <w:t xml:space="preserve"> </w:t>
      </w:r>
      <w:r w:rsidR="00C8494E">
        <w:rPr>
          <w:rFonts w:ascii="Times New Roman" w:hAnsi="Times New Roman" w:cs="Times New Roman"/>
          <w:bCs/>
          <w:lang w:val="en-GB"/>
        </w:rPr>
        <w:t>NAA</w:t>
      </w:r>
      <w:r w:rsidR="00C8494E" w:rsidRPr="00C605E7">
        <w:rPr>
          <w:rFonts w:ascii="Times New Roman" w:hAnsi="Times New Roman" w:cs="Times New Roman"/>
          <w:bCs/>
          <w:lang w:val="en-GB"/>
        </w:rPr>
        <w:t xml:space="preserve"> </w:t>
      </w:r>
      <w:r w:rsidR="00C8494E">
        <w:rPr>
          <w:rFonts w:ascii="Times New Roman" w:hAnsi="Times New Roman" w:cs="Times New Roman"/>
          <w:bCs/>
          <w:lang w:val="en-GB"/>
        </w:rPr>
        <w:t>at 100 ppm for 8 hours (70.42) and CCC at 100 ppm for 8 hours (68.03),</w:t>
      </w:r>
      <w:r w:rsidRPr="007C720C">
        <w:rPr>
          <w:rFonts w:ascii="Times New Roman" w:hAnsi="Times New Roman" w:cs="Times New Roman"/>
          <w:bCs/>
          <w:lang w:val="en-GB"/>
        </w:rPr>
        <w:t xml:space="preserve"> which were </w:t>
      </w:r>
      <w:r w:rsidR="00444C7E" w:rsidRPr="008672CA">
        <w:rPr>
          <w:rFonts w:ascii="Times New Roman" w:hAnsi="Times New Roman" w:cs="Times New Roman"/>
          <w:bCs/>
          <w:lang w:val="en-GB"/>
        </w:rPr>
        <w:t>significantly</w:t>
      </w:r>
      <w:r w:rsidR="00444C7E" w:rsidRPr="007C720C">
        <w:rPr>
          <w:rFonts w:ascii="Times New Roman" w:hAnsi="Times New Roman" w:cs="Times New Roman"/>
          <w:bCs/>
          <w:lang w:val="en-GB"/>
        </w:rPr>
        <w:t xml:space="preserve"> </w:t>
      </w:r>
      <w:r w:rsidRPr="007C720C">
        <w:rPr>
          <w:rFonts w:ascii="Times New Roman" w:hAnsi="Times New Roman" w:cs="Times New Roman"/>
          <w:bCs/>
          <w:lang w:val="en-GB"/>
        </w:rPr>
        <w:t>well above the control (61.14). This significant elevate of relative growth index can be interpreted by better use efficiency of photosynthetic resources to the plant organs through balancing leaf expansion and the distribution of root biomass</w:t>
      </w:r>
      <w:r w:rsidR="00916163">
        <w:rPr>
          <w:rFonts w:ascii="Times New Roman" w:hAnsi="Times New Roman" w:cs="Times New Roman"/>
          <w:bCs/>
          <w:lang w:val="en-GB"/>
        </w:rPr>
        <w:t>.</w:t>
      </w:r>
      <w:r w:rsidR="00916163" w:rsidRPr="00916163">
        <w:rPr>
          <w:rFonts w:ascii="Times New Roman" w:hAnsi="Times New Roman" w:cs="Times New Roman"/>
          <w:bCs/>
          <w:lang w:val="en-GB"/>
        </w:rPr>
        <w:t xml:space="preserve"> </w:t>
      </w:r>
      <w:r w:rsidR="00916163" w:rsidRPr="00542788">
        <w:rPr>
          <w:rFonts w:ascii="Times New Roman" w:hAnsi="Times New Roman" w:cs="Times New Roman"/>
          <w:bCs/>
          <w:lang w:val="en-GB"/>
        </w:rPr>
        <w:t>Similar observations were reported as well by</w:t>
      </w:r>
      <w:r w:rsidR="00916163">
        <w:rPr>
          <w:rFonts w:ascii="Times New Roman" w:hAnsi="Times New Roman" w:cs="Times New Roman"/>
          <w:bCs/>
          <w:lang w:val="en-GB"/>
        </w:rPr>
        <w:t xml:space="preserve"> chickpea (</w:t>
      </w:r>
      <w:proofErr w:type="spellStart"/>
      <w:r w:rsidR="00916163">
        <w:rPr>
          <w:rFonts w:ascii="Times New Roman" w:hAnsi="Times New Roman" w:cs="Times New Roman"/>
          <w:bCs/>
          <w:lang w:val="en-GB"/>
        </w:rPr>
        <w:t>Elangbam</w:t>
      </w:r>
      <w:proofErr w:type="spellEnd"/>
      <w:r w:rsidR="00916163" w:rsidRPr="00916163">
        <w:rPr>
          <w:rFonts w:ascii="Times New Roman" w:hAnsi="Times New Roman" w:cs="Times New Roman"/>
          <w:bCs/>
          <w:i/>
          <w:iCs/>
          <w:lang w:val="en-GB"/>
        </w:rPr>
        <w:t xml:space="preserve"> </w:t>
      </w:r>
      <w:r w:rsidR="00916163" w:rsidRPr="00133125">
        <w:rPr>
          <w:rFonts w:ascii="Times New Roman" w:hAnsi="Times New Roman" w:cs="Times New Roman"/>
          <w:bCs/>
          <w:i/>
          <w:iCs/>
          <w:lang w:val="en-GB"/>
        </w:rPr>
        <w:t>et al.,</w:t>
      </w:r>
      <w:r w:rsidR="00916163" w:rsidRPr="00542788">
        <w:rPr>
          <w:rFonts w:ascii="Times New Roman" w:hAnsi="Times New Roman" w:cs="Times New Roman"/>
          <w:bCs/>
          <w:lang w:val="en-GB"/>
        </w:rPr>
        <w:t xml:space="preserve"> 2017</w:t>
      </w:r>
      <w:r w:rsidR="00916163">
        <w:rPr>
          <w:rFonts w:ascii="Times New Roman" w:hAnsi="Times New Roman" w:cs="Times New Roman"/>
          <w:bCs/>
          <w:lang w:val="en-GB"/>
        </w:rPr>
        <w:t>)</w:t>
      </w:r>
      <w:r w:rsidRPr="007C720C">
        <w:rPr>
          <w:rFonts w:ascii="Times New Roman" w:hAnsi="Times New Roman" w:cs="Times New Roman"/>
          <w:bCs/>
          <w:lang w:val="en-GB"/>
        </w:rPr>
        <w:t>.</w:t>
      </w:r>
    </w:p>
    <w:p w14:paraId="28742B4E" w14:textId="77777777" w:rsidR="00C8494E" w:rsidRDefault="00C8494E" w:rsidP="00610940">
      <w:pPr>
        <w:spacing w:after="0" w:line="360" w:lineRule="auto"/>
        <w:jc w:val="both"/>
        <w:rPr>
          <w:rFonts w:ascii="Times New Roman" w:hAnsi="Times New Roman" w:cs="Times New Roman"/>
          <w:b/>
          <w:bCs/>
        </w:rPr>
      </w:pPr>
    </w:p>
    <w:p w14:paraId="3390F378" w14:textId="77777777" w:rsidR="00C8494E" w:rsidRDefault="00C8494E" w:rsidP="00610940">
      <w:pPr>
        <w:spacing w:after="0" w:line="360" w:lineRule="auto"/>
        <w:jc w:val="both"/>
        <w:rPr>
          <w:rFonts w:ascii="Times New Roman" w:hAnsi="Times New Roman" w:cs="Times New Roman"/>
          <w:b/>
          <w:bCs/>
        </w:rPr>
      </w:pPr>
    </w:p>
    <w:p w14:paraId="2138EF07" w14:textId="0BAE2A14"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lastRenderedPageBreak/>
        <w:t>Seed viability</w:t>
      </w:r>
    </w:p>
    <w:p w14:paraId="025C2219" w14:textId="6C49B1EA" w:rsidR="003149C0" w:rsidRPr="00C8494E" w:rsidRDefault="008672CA" w:rsidP="00C8494E">
      <w:pPr>
        <w:spacing w:after="0" w:line="360" w:lineRule="auto"/>
        <w:ind w:firstLine="720"/>
        <w:jc w:val="both"/>
        <w:rPr>
          <w:rFonts w:ascii="Times New Roman" w:hAnsi="Times New Roman" w:cs="Times New Roman"/>
          <w:bCs/>
          <w:lang w:val="en-GB"/>
        </w:rPr>
      </w:pPr>
      <w:r w:rsidRPr="008672CA">
        <w:rPr>
          <w:rFonts w:ascii="Times New Roman" w:hAnsi="Times New Roman" w:cs="Times New Roman"/>
          <w:bCs/>
          <w:lang w:val="en-GB"/>
        </w:rPr>
        <w:t>Table 1 and Figure 1 show that the treatments significantly influenced the seed viability. The highest pooled seed viability was observed with GA</w:t>
      </w:r>
      <w:r w:rsidRPr="00A17549">
        <w:rPr>
          <w:rFonts w:ascii="Times New Roman" w:hAnsi="Times New Roman" w:cs="Times New Roman"/>
          <w:bCs/>
          <w:vertAlign w:val="subscript"/>
          <w:lang w:val="en-GB"/>
        </w:rPr>
        <w:t>3</w:t>
      </w:r>
      <w:r w:rsidRPr="008672CA">
        <w:rPr>
          <w:rFonts w:ascii="Times New Roman" w:hAnsi="Times New Roman" w:cs="Times New Roman"/>
          <w:bCs/>
          <w:lang w:val="en-GB"/>
        </w:rPr>
        <w:t xml:space="preserve"> at 100 ppm for 8 h</w:t>
      </w:r>
      <w:r w:rsidR="00F15D8D">
        <w:rPr>
          <w:rFonts w:ascii="Times New Roman" w:hAnsi="Times New Roman" w:cs="Times New Roman"/>
          <w:bCs/>
          <w:lang w:val="en-GB"/>
        </w:rPr>
        <w:t>ours</w:t>
      </w:r>
      <w:r w:rsidRPr="008672CA">
        <w:rPr>
          <w:rFonts w:ascii="Times New Roman" w:hAnsi="Times New Roman" w:cs="Times New Roman"/>
          <w:bCs/>
          <w:lang w:val="en-GB"/>
        </w:rPr>
        <w:t xml:space="preserve"> (94.09%) followed by IAA at 100 ppm for 8 h</w:t>
      </w:r>
      <w:r w:rsidR="00F15D8D">
        <w:rPr>
          <w:rFonts w:ascii="Times New Roman" w:hAnsi="Times New Roman" w:cs="Times New Roman"/>
          <w:bCs/>
          <w:lang w:val="en-GB"/>
        </w:rPr>
        <w:t>ours</w:t>
      </w:r>
      <w:r w:rsidRPr="008672CA">
        <w:rPr>
          <w:rFonts w:ascii="Times New Roman" w:hAnsi="Times New Roman" w:cs="Times New Roman"/>
          <w:bCs/>
          <w:lang w:val="en-GB"/>
        </w:rPr>
        <w:t xml:space="preserve"> (93.47%)</w:t>
      </w:r>
      <w:r w:rsidR="00DE204F">
        <w:rPr>
          <w:rFonts w:ascii="Times New Roman" w:hAnsi="Times New Roman" w:cs="Times New Roman"/>
          <w:bCs/>
          <w:lang w:val="en-GB"/>
        </w:rPr>
        <w:t>, IBA at 100 ppm for 8 hours (992.64%),</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NAA</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at 100 ppm for 8 hours (992.37%),</w:t>
      </w:r>
      <w:r w:rsidR="00DE204F" w:rsidRPr="00C605E7">
        <w:rPr>
          <w:rFonts w:ascii="Times New Roman" w:hAnsi="Times New Roman" w:cs="Times New Roman"/>
          <w:bCs/>
        </w:rPr>
        <w:t xml:space="preserve"> </w:t>
      </w:r>
      <w:r w:rsidR="00DE204F" w:rsidRPr="006724B3">
        <w:rPr>
          <w:rFonts w:ascii="Times New Roman" w:hAnsi="Times New Roman" w:cs="Times New Roman"/>
          <w:bCs/>
        </w:rPr>
        <w:t>GA</w:t>
      </w:r>
      <w:r w:rsidR="00DE204F" w:rsidRPr="006724B3">
        <w:rPr>
          <w:rFonts w:ascii="Times New Roman" w:hAnsi="Times New Roman" w:cs="Times New Roman"/>
          <w:bCs/>
          <w:vertAlign w:val="subscript"/>
        </w:rPr>
        <w:t>3</w:t>
      </w:r>
      <w:r w:rsidR="00DE204F" w:rsidRPr="006724B3">
        <w:rPr>
          <w:rFonts w:ascii="Times New Roman" w:hAnsi="Times New Roman" w:cs="Times New Roman"/>
          <w:bCs/>
        </w:rPr>
        <w:t xml:space="preserve"> </w:t>
      </w:r>
      <w:r w:rsidR="00DE204F">
        <w:rPr>
          <w:rFonts w:ascii="Times New Roman" w:hAnsi="Times New Roman" w:cs="Times New Roman"/>
          <w:bCs/>
        </w:rPr>
        <w:t>at</w:t>
      </w:r>
      <w:r w:rsidR="00DE204F" w:rsidRPr="006724B3">
        <w:rPr>
          <w:rFonts w:ascii="Times New Roman" w:hAnsi="Times New Roman" w:cs="Times New Roman"/>
          <w:bCs/>
        </w:rPr>
        <w:t xml:space="preserve"> </w:t>
      </w:r>
      <w:r w:rsidR="00DE204F">
        <w:rPr>
          <w:rFonts w:ascii="Times New Roman" w:hAnsi="Times New Roman" w:cs="Times New Roman"/>
          <w:bCs/>
        </w:rPr>
        <w:t>5</w:t>
      </w:r>
      <w:r w:rsidR="00DE204F" w:rsidRPr="006724B3">
        <w:rPr>
          <w:rFonts w:ascii="Times New Roman" w:hAnsi="Times New Roman" w:cs="Times New Roman"/>
          <w:bCs/>
        </w:rPr>
        <w:t xml:space="preserve">0 ppm for </w:t>
      </w:r>
      <w:r w:rsidR="00DE204F">
        <w:rPr>
          <w:rFonts w:ascii="Times New Roman" w:hAnsi="Times New Roman" w:cs="Times New Roman"/>
          <w:bCs/>
        </w:rPr>
        <w:t>12</w:t>
      </w:r>
      <w:r w:rsidR="00DE204F" w:rsidRPr="006724B3">
        <w:rPr>
          <w:rFonts w:ascii="Times New Roman" w:hAnsi="Times New Roman" w:cs="Times New Roman"/>
          <w:bCs/>
        </w:rPr>
        <w:t xml:space="preserve"> h</w:t>
      </w:r>
      <w:r w:rsidR="00DE204F">
        <w:rPr>
          <w:rFonts w:ascii="Times New Roman" w:hAnsi="Times New Roman" w:cs="Times New Roman"/>
          <w:bCs/>
        </w:rPr>
        <w:t>ours</w:t>
      </w:r>
      <w:r w:rsidR="00DE204F" w:rsidRPr="00061CC4">
        <w:rPr>
          <w:rFonts w:ascii="Times New Roman" w:hAnsi="Times New Roman" w:cs="Times New Roman"/>
          <w:b/>
        </w:rPr>
        <w:t xml:space="preserve"> </w:t>
      </w:r>
      <w:r w:rsidR="00DE204F" w:rsidRPr="00542788">
        <w:rPr>
          <w:rFonts w:ascii="Times New Roman" w:hAnsi="Times New Roman" w:cs="Times New Roman"/>
          <w:bCs/>
          <w:lang w:val="en-GB"/>
        </w:rPr>
        <w:t>(9</w:t>
      </w:r>
      <w:r w:rsidR="00DE204F">
        <w:rPr>
          <w:rFonts w:ascii="Times New Roman" w:hAnsi="Times New Roman" w:cs="Times New Roman"/>
          <w:bCs/>
          <w:lang w:val="en-GB"/>
        </w:rPr>
        <w:t>91.42</w:t>
      </w:r>
      <w:r w:rsidR="00DE204F" w:rsidRPr="00542788">
        <w:rPr>
          <w:rFonts w:ascii="Times New Roman" w:hAnsi="Times New Roman" w:cs="Times New Roman"/>
          <w:bCs/>
          <w:lang w:val="en-GB"/>
        </w:rPr>
        <w:t>%)</w:t>
      </w:r>
      <w:r w:rsidR="00DE204F">
        <w:rPr>
          <w:rFonts w:ascii="Times New Roman" w:hAnsi="Times New Roman" w:cs="Times New Roman"/>
          <w:bCs/>
          <w:lang w:val="en-GB"/>
        </w:rPr>
        <w:t>, and CCC at 100 ppm for 8 hours (90.87%)</w:t>
      </w:r>
      <w:r w:rsidRPr="008672CA">
        <w:rPr>
          <w:rFonts w:ascii="Times New Roman" w:hAnsi="Times New Roman" w:cs="Times New Roman"/>
          <w:bCs/>
          <w:lang w:val="en-GB"/>
        </w:rPr>
        <w:t xml:space="preserve"> which were significantly greater than their respective control (85.58%). The enhancement of seed viability suggests that gibberellins and auxins stimulate metabolic repair reactions or decrease the seed deterioration during imbibition. </w:t>
      </w:r>
      <w:r w:rsidRPr="008672CA">
        <w:rPr>
          <w:rFonts w:ascii="Times New Roman" w:hAnsi="Times New Roman" w:cs="Times New Roman"/>
          <w:bCs/>
        </w:rPr>
        <w:t>The above findings are in accordance to the results reported by</w:t>
      </w:r>
      <w:r w:rsidRPr="008672CA">
        <w:rPr>
          <w:rFonts w:ascii="Times New Roman" w:hAnsi="Times New Roman" w:cs="Times New Roman"/>
          <w:b/>
          <w:bCs/>
        </w:rPr>
        <w:t xml:space="preserve"> </w:t>
      </w:r>
      <w:r w:rsidRPr="008672CA">
        <w:rPr>
          <w:rFonts w:ascii="Times New Roman" w:hAnsi="Times New Roman" w:cs="Times New Roman"/>
          <w:bCs/>
        </w:rPr>
        <w:t xml:space="preserve">Kumar </w:t>
      </w:r>
      <w:r w:rsidRPr="008672CA">
        <w:rPr>
          <w:rFonts w:ascii="Times New Roman" w:hAnsi="Times New Roman" w:cs="Times New Roman"/>
          <w:bCs/>
          <w:i/>
          <w:iCs/>
        </w:rPr>
        <w:t xml:space="preserve">et al., </w:t>
      </w:r>
      <w:r w:rsidRPr="008672CA">
        <w:rPr>
          <w:rFonts w:ascii="Times New Roman" w:hAnsi="Times New Roman" w:cs="Times New Roman"/>
          <w:bCs/>
        </w:rPr>
        <w:t xml:space="preserve">2019. </w:t>
      </w:r>
    </w:p>
    <w:p w14:paraId="6B36DB84" w14:textId="4DC7BAF5"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Seedling length</w:t>
      </w:r>
    </w:p>
    <w:p w14:paraId="570AA92F" w14:textId="2B04E2F9" w:rsidR="00BF760E" w:rsidRPr="00BF760E" w:rsidRDefault="00BF760E" w:rsidP="00610940">
      <w:pPr>
        <w:spacing w:after="0" w:line="360" w:lineRule="auto"/>
        <w:ind w:firstLine="720"/>
        <w:jc w:val="both"/>
        <w:rPr>
          <w:rFonts w:ascii="Times New Roman" w:hAnsi="Times New Roman" w:cs="Times New Roman"/>
          <w:bCs/>
          <w:lang w:val="en-GB"/>
        </w:rPr>
      </w:pPr>
      <w:r w:rsidRPr="00BF760E">
        <w:rPr>
          <w:rFonts w:ascii="Times New Roman" w:hAnsi="Times New Roman" w:cs="Times New Roman"/>
          <w:bCs/>
          <w:lang w:val="en-GB"/>
        </w:rPr>
        <w:t>The results of Table 1 and Figure 1 show that the treatments have a significant impact on seedling length. The maximum pooled seedling length was observed for GA</w:t>
      </w:r>
      <w:r w:rsidRPr="00A17549">
        <w:rPr>
          <w:rFonts w:ascii="Times New Roman" w:hAnsi="Times New Roman" w:cs="Times New Roman"/>
          <w:bCs/>
          <w:vertAlign w:val="subscript"/>
          <w:lang w:val="en-GB"/>
        </w:rPr>
        <w:t>3</w:t>
      </w:r>
      <w:r w:rsidRPr="00BF760E">
        <w:rPr>
          <w:rFonts w:ascii="Times New Roman" w:hAnsi="Times New Roman" w:cs="Times New Roman"/>
          <w:bCs/>
          <w:lang w:val="en-GB"/>
        </w:rPr>
        <w:t xml:space="preserve"> 100 ppm for 8 hours (10.54 cm) followed by IAA 100 ppm for 8 hours (9.78 cm),</w:t>
      </w:r>
      <w:r w:rsidR="00DE204F">
        <w:rPr>
          <w:rFonts w:ascii="Times New Roman" w:hAnsi="Times New Roman" w:cs="Times New Roman"/>
          <w:bCs/>
          <w:lang w:val="en-GB"/>
        </w:rPr>
        <w:t xml:space="preserve"> IBA at 100 ppm for 8 hours (9.78 cm),</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NAA</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at 100 ppm for 8 hours (8.80 cm),</w:t>
      </w:r>
      <w:r w:rsidR="00DE204F" w:rsidRPr="00C605E7">
        <w:rPr>
          <w:rFonts w:ascii="Times New Roman" w:hAnsi="Times New Roman" w:cs="Times New Roman"/>
          <w:bCs/>
        </w:rPr>
        <w:t xml:space="preserve"> </w:t>
      </w:r>
      <w:r w:rsidR="00DE204F" w:rsidRPr="006724B3">
        <w:rPr>
          <w:rFonts w:ascii="Times New Roman" w:hAnsi="Times New Roman" w:cs="Times New Roman"/>
          <w:bCs/>
        </w:rPr>
        <w:t>GA</w:t>
      </w:r>
      <w:r w:rsidR="00DE204F" w:rsidRPr="006724B3">
        <w:rPr>
          <w:rFonts w:ascii="Times New Roman" w:hAnsi="Times New Roman" w:cs="Times New Roman"/>
          <w:bCs/>
          <w:vertAlign w:val="subscript"/>
        </w:rPr>
        <w:t>3</w:t>
      </w:r>
      <w:r w:rsidR="00DE204F" w:rsidRPr="006724B3">
        <w:rPr>
          <w:rFonts w:ascii="Times New Roman" w:hAnsi="Times New Roman" w:cs="Times New Roman"/>
          <w:bCs/>
        </w:rPr>
        <w:t xml:space="preserve"> </w:t>
      </w:r>
      <w:r w:rsidR="00DE204F">
        <w:rPr>
          <w:rFonts w:ascii="Times New Roman" w:hAnsi="Times New Roman" w:cs="Times New Roman"/>
          <w:bCs/>
        </w:rPr>
        <w:t>at</w:t>
      </w:r>
      <w:r w:rsidR="00DE204F" w:rsidRPr="006724B3">
        <w:rPr>
          <w:rFonts w:ascii="Times New Roman" w:hAnsi="Times New Roman" w:cs="Times New Roman"/>
          <w:bCs/>
        </w:rPr>
        <w:t xml:space="preserve"> </w:t>
      </w:r>
      <w:r w:rsidR="00DE204F">
        <w:rPr>
          <w:rFonts w:ascii="Times New Roman" w:hAnsi="Times New Roman" w:cs="Times New Roman"/>
          <w:bCs/>
        </w:rPr>
        <w:t>5</w:t>
      </w:r>
      <w:r w:rsidR="00DE204F" w:rsidRPr="006724B3">
        <w:rPr>
          <w:rFonts w:ascii="Times New Roman" w:hAnsi="Times New Roman" w:cs="Times New Roman"/>
          <w:bCs/>
        </w:rPr>
        <w:t xml:space="preserve">0 ppm for </w:t>
      </w:r>
      <w:r w:rsidR="00DE204F">
        <w:rPr>
          <w:rFonts w:ascii="Times New Roman" w:hAnsi="Times New Roman" w:cs="Times New Roman"/>
          <w:bCs/>
        </w:rPr>
        <w:t>12</w:t>
      </w:r>
      <w:r w:rsidR="00DE204F" w:rsidRPr="006724B3">
        <w:rPr>
          <w:rFonts w:ascii="Times New Roman" w:hAnsi="Times New Roman" w:cs="Times New Roman"/>
          <w:bCs/>
        </w:rPr>
        <w:t xml:space="preserve"> h</w:t>
      </w:r>
      <w:r w:rsidR="00DE204F">
        <w:rPr>
          <w:rFonts w:ascii="Times New Roman" w:hAnsi="Times New Roman" w:cs="Times New Roman"/>
          <w:bCs/>
        </w:rPr>
        <w:t>ours</w:t>
      </w:r>
      <w:r w:rsidR="00DE204F" w:rsidRPr="00061CC4">
        <w:rPr>
          <w:rFonts w:ascii="Times New Roman" w:hAnsi="Times New Roman" w:cs="Times New Roman"/>
          <w:b/>
        </w:rPr>
        <w:t xml:space="preserve"> </w:t>
      </w:r>
      <w:r w:rsidR="00DE204F" w:rsidRPr="00542788">
        <w:rPr>
          <w:rFonts w:ascii="Times New Roman" w:hAnsi="Times New Roman" w:cs="Times New Roman"/>
          <w:bCs/>
          <w:lang w:val="en-GB"/>
        </w:rPr>
        <w:t>(</w:t>
      </w:r>
      <w:r w:rsidR="00DE204F">
        <w:rPr>
          <w:rFonts w:ascii="Times New Roman" w:hAnsi="Times New Roman" w:cs="Times New Roman"/>
          <w:bCs/>
          <w:lang w:val="en-GB"/>
        </w:rPr>
        <w:t>6.94 cm</w:t>
      </w:r>
      <w:r w:rsidR="00DE204F" w:rsidRPr="00542788">
        <w:rPr>
          <w:rFonts w:ascii="Times New Roman" w:hAnsi="Times New Roman" w:cs="Times New Roman"/>
          <w:bCs/>
          <w:lang w:val="en-GB"/>
        </w:rPr>
        <w:t>)</w:t>
      </w:r>
      <w:r w:rsidR="00DE204F">
        <w:rPr>
          <w:rFonts w:ascii="Times New Roman" w:hAnsi="Times New Roman" w:cs="Times New Roman"/>
          <w:bCs/>
          <w:lang w:val="en-GB"/>
        </w:rPr>
        <w:t>, and CCC at 100 ppm for 8 hours (6.90 cm),</w:t>
      </w:r>
      <w:r w:rsidRPr="00BF760E">
        <w:rPr>
          <w:rFonts w:ascii="Times New Roman" w:hAnsi="Times New Roman" w:cs="Times New Roman"/>
          <w:bCs/>
          <w:lang w:val="en-GB"/>
        </w:rPr>
        <w:t xml:space="preserve"> significantly higher than the negative control (6.06 cm). The significant enhancement of seedling elongation caused by GA and auxin may be due to their primary roles in the elongation, division and proliferation of cells. </w:t>
      </w:r>
      <w:r w:rsidRPr="00BF760E">
        <w:rPr>
          <w:rFonts w:ascii="Times New Roman" w:hAnsi="Times New Roman" w:cs="Times New Roman"/>
          <w:bCs/>
        </w:rPr>
        <w:t>Similar results were also reported by</w:t>
      </w:r>
      <w:r w:rsidR="00133125" w:rsidRPr="00133125">
        <w:rPr>
          <w:rFonts w:ascii="Poppins" w:hAnsi="Poppins" w:cs="Poppins"/>
          <w:color w:val="000000"/>
          <w:sz w:val="21"/>
          <w:szCs w:val="21"/>
          <w:shd w:val="clear" w:color="auto" w:fill="FFFFFF"/>
        </w:rPr>
        <w:t xml:space="preserve"> </w:t>
      </w:r>
      <w:r w:rsidR="00133125" w:rsidRPr="00133125">
        <w:rPr>
          <w:rFonts w:ascii="Times New Roman" w:hAnsi="Times New Roman" w:cs="Times New Roman"/>
          <w:bCs/>
        </w:rPr>
        <w:t>wheat (Iqbal and Ashraf, 2007), mung bean (Tiwari </w:t>
      </w:r>
      <w:r w:rsidR="00133125" w:rsidRPr="00133125">
        <w:rPr>
          <w:rFonts w:ascii="Times New Roman" w:hAnsi="Times New Roman" w:cs="Times New Roman"/>
          <w:bCs/>
          <w:i/>
          <w:iCs/>
        </w:rPr>
        <w:t>et al</w:t>
      </w:r>
      <w:r w:rsidR="00133125" w:rsidRPr="00133125">
        <w:rPr>
          <w:rFonts w:ascii="Times New Roman" w:hAnsi="Times New Roman" w:cs="Times New Roman"/>
          <w:bCs/>
        </w:rPr>
        <w:t>., 2013) and chickpea (</w:t>
      </w:r>
      <w:proofErr w:type="spellStart"/>
      <w:r w:rsidR="00916163">
        <w:rPr>
          <w:rFonts w:ascii="Times New Roman" w:hAnsi="Times New Roman" w:cs="Times New Roman"/>
          <w:bCs/>
          <w:lang w:val="en-GB"/>
        </w:rPr>
        <w:t>Elangbam</w:t>
      </w:r>
      <w:proofErr w:type="spellEnd"/>
      <w:r w:rsidR="00916163" w:rsidRPr="00916163">
        <w:rPr>
          <w:rFonts w:ascii="Times New Roman" w:hAnsi="Times New Roman" w:cs="Times New Roman"/>
          <w:bCs/>
          <w:i/>
          <w:iCs/>
          <w:lang w:val="en-GB"/>
        </w:rPr>
        <w:t xml:space="preserve"> </w:t>
      </w:r>
      <w:r w:rsidR="00916163" w:rsidRPr="00133125">
        <w:rPr>
          <w:rFonts w:ascii="Times New Roman" w:hAnsi="Times New Roman" w:cs="Times New Roman"/>
          <w:bCs/>
          <w:i/>
          <w:iCs/>
          <w:lang w:val="en-GB"/>
        </w:rPr>
        <w:t>et al.,</w:t>
      </w:r>
      <w:r w:rsidR="00916163" w:rsidRPr="00542788">
        <w:rPr>
          <w:rFonts w:ascii="Times New Roman" w:hAnsi="Times New Roman" w:cs="Times New Roman"/>
          <w:bCs/>
          <w:lang w:val="en-GB"/>
        </w:rPr>
        <w:t xml:space="preserve"> 2017</w:t>
      </w:r>
      <w:r w:rsidR="00916163">
        <w:rPr>
          <w:rFonts w:ascii="Times New Roman" w:hAnsi="Times New Roman" w:cs="Times New Roman"/>
          <w:bCs/>
          <w:lang w:val="en-GB"/>
        </w:rPr>
        <w:t xml:space="preserve">, </w:t>
      </w:r>
      <w:r w:rsidR="00133125" w:rsidRPr="00133125">
        <w:rPr>
          <w:rFonts w:ascii="Times New Roman" w:hAnsi="Times New Roman" w:cs="Times New Roman"/>
          <w:bCs/>
        </w:rPr>
        <w:t>Rashid </w:t>
      </w:r>
      <w:r w:rsidR="00133125" w:rsidRPr="00133125">
        <w:rPr>
          <w:rFonts w:ascii="Times New Roman" w:hAnsi="Times New Roman" w:cs="Times New Roman"/>
          <w:bCs/>
          <w:i/>
          <w:iCs/>
        </w:rPr>
        <w:t>et al</w:t>
      </w:r>
      <w:r w:rsidR="00133125" w:rsidRPr="00133125">
        <w:rPr>
          <w:rFonts w:ascii="Times New Roman" w:hAnsi="Times New Roman" w:cs="Times New Roman"/>
          <w:bCs/>
        </w:rPr>
        <w:t>., 2004</w:t>
      </w:r>
      <w:r w:rsidR="00133125">
        <w:rPr>
          <w:rFonts w:ascii="Times New Roman" w:hAnsi="Times New Roman" w:cs="Times New Roman"/>
          <w:bCs/>
        </w:rPr>
        <w:t>,</w:t>
      </w:r>
      <w:r w:rsidRPr="00BF760E">
        <w:rPr>
          <w:rFonts w:ascii="Times New Roman" w:hAnsi="Times New Roman" w:cs="Times New Roman"/>
          <w:bCs/>
        </w:rPr>
        <w:t xml:space="preserve"> Kumar </w:t>
      </w:r>
      <w:r w:rsidRPr="00BF760E">
        <w:rPr>
          <w:rFonts w:ascii="Times New Roman" w:hAnsi="Times New Roman" w:cs="Times New Roman"/>
          <w:bCs/>
          <w:i/>
          <w:iCs/>
        </w:rPr>
        <w:t xml:space="preserve">et al., </w:t>
      </w:r>
      <w:r w:rsidRPr="00BF760E">
        <w:rPr>
          <w:rFonts w:ascii="Times New Roman" w:hAnsi="Times New Roman" w:cs="Times New Roman"/>
          <w:bCs/>
        </w:rPr>
        <w:t>2019</w:t>
      </w:r>
      <w:r w:rsidR="0041336B">
        <w:rPr>
          <w:rFonts w:ascii="Times New Roman" w:hAnsi="Times New Roman" w:cs="Times New Roman"/>
          <w:bCs/>
        </w:rPr>
        <w:t>,</w:t>
      </w:r>
      <w:r w:rsidR="0041336B" w:rsidRPr="0041336B">
        <w:rPr>
          <w:rFonts w:ascii="Times New Roman" w:hAnsi="Times New Roman" w:cs="Times New Roman"/>
          <w:bCs/>
          <w:lang w:val="en-GB"/>
        </w:rPr>
        <w:t xml:space="preserve"> </w:t>
      </w:r>
      <w:r w:rsidR="0041336B">
        <w:rPr>
          <w:rFonts w:ascii="Times New Roman" w:hAnsi="Times New Roman" w:cs="Times New Roman"/>
          <w:bCs/>
          <w:lang w:val="en-GB"/>
        </w:rPr>
        <w:t>Shareef</w:t>
      </w:r>
      <w:r w:rsidR="0041336B" w:rsidRPr="0041336B">
        <w:rPr>
          <w:rFonts w:ascii="Times New Roman" w:hAnsi="Times New Roman" w:cs="Times New Roman"/>
          <w:bCs/>
          <w:i/>
          <w:iCs/>
          <w:lang w:val="en-GB"/>
        </w:rPr>
        <w:t xml:space="preserve"> </w:t>
      </w:r>
      <w:r w:rsidR="0041336B" w:rsidRPr="00133125">
        <w:rPr>
          <w:rFonts w:ascii="Times New Roman" w:hAnsi="Times New Roman" w:cs="Times New Roman"/>
          <w:bCs/>
          <w:i/>
          <w:iCs/>
          <w:lang w:val="en-GB"/>
        </w:rPr>
        <w:t>et al.,</w:t>
      </w:r>
      <w:r w:rsidR="0041336B">
        <w:rPr>
          <w:rFonts w:ascii="Times New Roman" w:hAnsi="Times New Roman" w:cs="Times New Roman"/>
          <w:bCs/>
          <w:lang w:val="en-GB"/>
        </w:rPr>
        <w:t xml:space="preserve"> 2023</w:t>
      </w:r>
      <w:r w:rsidR="00782148">
        <w:rPr>
          <w:rFonts w:ascii="Times New Roman" w:hAnsi="Times New Roman" w:cs="Times New Roman"/>
          <w:bCs/>
        </w:rPr>
        <w:t xml:space="preserve">, </w:t>
      </w:r>
      <w:r w:rsidRPr="00BF760E">
        <w:rPr>
          <w:rFonts w:ascii="Times New Roman" w:hAnsi="Times New Roman" w:cs="Times New Roman"/>
          <w:bCs/>
        </w:rPr>
        <w:t xml:space="preserve">Tiwari </w:t>
      </w:r>
      <w:r w:rsidR="00782148">
        <w:rPr>
          <w:rFonts w:ascii="Times New Roman" w:hAnsi="Times New Roman" w:cs="Times New Roman"/>
          <w:bCs/>
        </w:rPr>
        <w:t>and</w:t>
      </w:r>
      <w:r w:rsidRPr="00BF760E">
        <w:rPr>
          <w:rFonts w:ascii="Times New Roman" w:hAnsi="Times New Roman" w:cs="Times New Roman"/>
          <w:bCs/>
        </w:rPr>
        <w:t xml:space="preserve"> Agarwal 2021</w:t>
      </w:r>
      <w:r w:rsidR="00133125">
        <w:rPr>
          <w:rFonts w:ascii="Times New Roman" w:hAnsi="Times New Roman" w:cs="Times New Roman"/>
          <w:bCs/>
        </w:rPr>
        <w:t>)</w:t>
      </w:r>
      <w:r w:rsidRPr="00BF760E">
        <w:rPr>
          <w:rFonts w:ascii="Times New Roman" w:hAnsi="Times New Roman" w:cs="Times New Roman"/>
          <w:bCs/>
        </w:rPr>
        <w:t>.</w:t>
      </w:r>
    </w:p>
    <w:p w14:paraId="65FF3031"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Seedling dry weight</w:t>
      </w:r>
    </w:p>
    <w:p w14:paraId="24C3FF0C" w14:textId="7A5E5B24" w:rsidR="00E824FB" w:rsidRPr="00E824FB" w:rsidRDefault="00E824FB" w:rsidP="002B489C">
      <w:pPr>
        <w:spacing w:after="0" w:line="360" w:lineRule="auto"/>
        <w:ind w:firstLine="720"/>
        <w:jc w:val="both"/>
        <w:rPr>
          <w:rFonts w:ascii="Times New Roman" w:hAnsi="Times New Roman" w:cs="Times New Roman"/>
          <w:bCs/>
          <w:lang w:val="en-GB"/>
        </w:rPr>
      </w:pPr>
      <w:r w:rsidRPr="00E824FB">
        <w:rPr>
          <w:rFonts w:ascii="Times New Roman" w:hAnsi="Times New Roman" w:cs="Times New Roman"/>
          <w:bCs/>
          <w:lang w:val="en-GB"/>
        </w:rPr>
        <w:t xml:space="preserve">Table 1 and Figure 1 indicate the treatments significantly influenced the dry weight of seedlings. </w:t>
      </w:r>
      <w:r w:rsidR="0018520A">
        <w:rPr>
          <w:rFonts w:ascii="Times New Roman" w:hAnsi="Times New Roman" w:cs="Times New Roman"/>
          <w:bCs/>
          <w:lang w:val="en-GB"/>
        </w:rPr>
        <w:t>The highest</w:t>
      </w:r>
      <w:r w:rsidRPr="00E824FB">
        <w:rPr>
          <w:rFonts w:ascii="Times New Roman" w:hAnsi="Times New Roman" w:cs="Times New Roman"/>
          <w:bCs/>
          <w:lang w:val="en-GB"/>
        </w:rPr>
        <w:t xml:space="preserve"> pooled seedling dry weight was recorded in GA</w:t>
      </w:r>
      <w:r w:rsidRPr="00A17549">
        <w:rPr>
          <w:rFonts w:ascii="Times New Roman" w:hAnsi="Times New Roman" w:cs="Times New Roman"/>
          <w:bCs/>
          <w:vertAlign w:val="subscript"/>
          <w:lang w:val="en-GB"/>
        </w:rPr>
        <w:t>3</w:t>
      </w:r>
      <w:r w:rsidRPr="00E824FB">
        <w:rPr>
          <w:rFonts w:ascii="Times New Roman" w:hAnsi="Times New Roman" w:cs="Times New Roman"/>
          <w:bCs/>
          <w:lang w:val="en-GB"/>
        </w:rPr>
        <w:t xml:space="preserve"> at 100 ppm </w:t>
      </w:r>
      <w:r w:rsidR="00997792">
        <w:rPr>
          <w:rFonts w:ascii="Times New Roman" w:hAnsi="Times New Roman" w:cs="Times New Roman"/>
          <w:bCs/>
          <w:lang w:val="en-GB"/>
        </w:rPr>
        <w:t xml:space="preserve">for </w:t>
      </w:r>
      <w:r w:rsidRPr="00E824FB">
        <w:rPr>
          <w:rFonts w:ascii="Times New Roman" w:hAnsi="Times New Roman" w:cs="Times New Roman"/>
          <w:bCs/>
          <w:lang w:val="en-GB"/>
        </w:rPr>
        <w:t>8 hours (1.81 g) followed by IAA</w:t>
      </w:r>
      <w:r w:rsidR="00E77112">
        <w:rPr>
          <w:rFonts w:ascii="Times New Roman" w:hAnsi="Times New Roman" w:cs="Times New Roman"/>
          <w:bCs/>
          <w:lang w:val="en-GB"/>
        </w:rPr>
        <w:t xml:space="preserve"> at</w:t>
      </w:r>
      <w:r w:rsidRPr="00E824FB">
        <w:rPr>
          <w:rFonts w:ascii="Times New Roman" w:hAnsi="Times New Roman" w:cs="Times New Roman"/>
          <w:bCs/>
          <w:lang w:val="en-GB"/>
        </w:rPr>
        <w:t xml:space="preserve"> 100 ppm </w:t>
      </w:r>
      <w:r w:rsidR="00E77112">
        <w:rPr>
          <w:rFonts w:ascii="Times New Roman" w:hAnsi="Times New Roman" w:cs="Times New Roman"/>
          <w:bCs/>
          <w:lang w:val="en-GB"/>
        </w:rPr>
        <w:t xml:space="preserve">for </w:t>
      </w:r>
      <w:r w:rsidRPr="00E824FB">
        <w:rPr>
          <w:rFonts w:ascii="Times New Roman" w:hAnsi="Times New Roman" w:cs="Times New Roman"/>
          <w:bCs/>
          <w:lang w:val="en-GB"/>
        </w:rPr>
        <w:t>8 hours) (1.72 g)</w:t>
      </w:r>
      <w:r w:rsidR="00DE204F">
        <w:rPr>
          <w:rFonts w:ascii="Times New Roman" w:hAnsi="Times New Roman" w:cs="Times New Roman"/>
          <w:bCs/>
          <w:lang w:val="en-GB"/>
        </w:rPr>
        <w:t xml:space="preserve"> IBA at 100 ppm for 8 hours (1.53 g),</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NAA</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at 100 ppm for 8 hours (1.52 g),</w:t>
      </w:r>
      <w:r w:rsidR="00DE204F" w:rsidRPr="00C605E7">
        <w:rPr>
          <w:rFonts w:ascii="Times New Roman" w:hAnsi="Times New Roman" w:cs="Times New Roman"/>
          <w:bCs/>
        </w:rPr>
        <w:t xml:space="preserve"> </w:t>
      </w:r>
      <w:r w:rsidR="00DE204F" w:rsidRPr="006724B3">
        <w:rPr>
          <w:rFonts w:ascii="Times New Roman" w:hAnsi="Times New Roman" w:cs="Times New Roman"/>
          <w:bCs/>
        </w:rPr>
        <w:t>GA</w:t>
      </w:r>
      <w:r w:rsidR="00DE204F" w:rsidRPr="006724B3">
        <w:rPr>
          <w:rFonts w:ascii="Times New Roman" w:hAnsi="Times New Roman" w:cs="Times New Roman"/>
          <w:bCs/>
          <w:vertAlign w:val="subscript"/>
        </w:rPr>
        <w:t>3</w:t>
      </w:r>
      <w:r w:rsidR="00DE204F" w:rsidRPr="006724B3">
        <w:rPr>
          <w:rFonts w:ascii="Times New Roman" w:hAnsi="Times New Roman" w:cs="Times New Roman"/>
          <w:bCs/>
        </w:rPr>
        <w:t xml:space="preserve"> </w:t>
      </w:r>
      <w:r w:rsidR="00DE204F">
        <w:rPr>
          <w:rFonts w:ascii="Times New Roman" w:hAnsi="Times New Roman" w:cs="Times New Roman"/>
          <w:bCs/>
        </w:rPr>
        <w:t>at</w:t>
      </w:r>
      <w:r w:rsidR="00DE204F" w:rsidRPr="006724B3">
        <w:rPr>
          <w:rFonts w:ascii="Times New Roman" w:hAnsi="Times New Roman" w:cs="Times New Roman"/>
          <w:bCs/>
        </w:rPr>
        <w:t xml:space="preserve"> </w:t>
      </w:r>
      <w:r w:rsidR="00DE204F">
        <w:rPr>
          <w:rFonts w:ascii="Times New Roman" w:hAnsi="Times New Roman" w:cs="Times New Roman"/>
          <w:bCs/>
        </w:rPr>
        <w:t>5</w:t>
      </w:r>
      <w:r w:rsidR="00DE204F" w:rsidRPr="006724B3">
        <w:rPr>
          <w:rFonts w:ascii="Times New Roman" w:hAnsi="Times New Roman" w:cs="Times New Roman"/>
          <w:bCs/>
        </w:rPr>
        <w:t xml:space="preserve">0 ppm for </w:t>
      </w:r>
      <w:r w:rsidR="00DE204F">
        <w:rPr>
          <w:rFonts w:ascii="Times New Roman" w:hAnsi="Times New Roman" w:cs="Times New Roman"/>
          <w:bCs/>
        </w:rPr>
        <w:t>12</w:t>
      </w:r>
      <w:r w:rsidR="00DE204F" w:rsidRPr="006724B3">
        <w:rPr>
          <w:rFonts w:ascii="Times New Roman" w:hAnsi="Times New Roman" w:cs="Times New Roman"/>
          <w:bCs/>
        </w:rPr>
        <w:t xml:space="preserve"> h</w:t>
      </w:r>
      <w:r w:rsidR="00DE204F">
        <w:rPr>
          <w:rFonts w:ascii="Times New Roman" w:hAnsi="Times New Roman" w:cs="Times New Roman"/>
          <w:bCs/>
        </w:rPr>
        <w:t>ours</w:t>
      </w:r>
      <w:r w:rsidR="00DE204F" w:rsidRPr="00061CC4">
        <w:rPr>
          <w:rFonts w:ascii="Times New Roman" w:hAnsi="Times New Roman" w:cs="Times New Roman"/>
          <w:b/>
        </w:rPr>
        <w:t xml:space="preserve"> </w:t>
      </w:r>
      <w:r w:rsidR="00DE204F" w:rsidRPr="00542788">
        <w:rPr>
          <w:rFonts w:ascii="Times New Roman" w:hAnsi="Times New Roman" w:cs="Times New Roman"/>
          <w:bCs/>
          <w:lang w:val="en-GB"/>
        </w:rPr>
        <w:t>(</w:t>
      </w:r>
      <w:r w:rsidR="00DE204F">
        <w:rPr>
          <w:rFonts w:ascii="Times New Roman" w:hAnsi="Times New Roman" w:cs="Times New Roman"/>
          <w:bCs/>
          <w:lang w:val="en-GB"/>
        </w:rPr>
        <w:t>1.51 g</w:t>
      </w:r>
      <w:r w:rsidR="00DE204F" w:rsidRPr="00542788">
        <w:rPr>
          <w:rFonts w:ascii="Times New Roman" w:hAnsi="Times New Roman" w:cs="Times New Roman"/>
          <w:bCs/>
          <w:lang w:val="en-GB"/>
        </w:rPr>
        <w:t>)</w:t>
      </w:r>
      <w:r w:rsidR="00DE204F">
        <w:rPr>
          <w:rFonts w:ascii="Times New Roman" w:hAnsi="Times New Roman" w:cs="Times New Roman"/>
          <w:bCs/>
          <w:lang w:val="en-GB"/>
        </w:rPr>
        <w:t>, CCC at 100 ppm for 8 hours (1.50 g)</w:t>
      </w:r>
      <w:r w:rsidRPr="00E824FB">
        <w:rPr>
          <w:rFonts w:ascii="Times New Roman" w:hAnsi="Times New Roman" w:cs="Times New Roman"/>
          <w:bCs/>
          <w:lang w:val="en-GB"/>
        </w:rPr>
        <w:t xml:space="preserve"> and were significantly better than the control (1.34 g). The sharp increase in the dry weight of seedling caused by plant hormones revealed improved biomass accumulation and metabolism transference from the seed </w:t>
      </w:r>
      <w:r w:rsidR="0018520A">
        <w:rPr>
          <w:rFonts w:ascii="Times New Roman" w:hAnsi="Times New Roman" w:cs="Times New Roman"/>
          <w:bCs/>
          <w:lang w:val="en-GB"/>
        </w:rPr>
        <w:t>storage</w:t>
      </w:r>
      <w:r w:rsidRPr="00E824FB">
        <w:rPr>
          <w:rFonts w:ascii="Times New Roman" w:hAnsi="Times New Roman" w:cs="Times New Roman"/>
          <w:bCs/>
          <w:lang w:val="en-GB"/>
        </w:rPr>
        <w:t xml:space="preserve">. </w:t>
      </w:r>
      <w:r w:rsidRPr="00E824FB">
        <w:rPr>
          <w:rFonts w:ascii="Times New Roman" w:hAnsi="Times New Roman" w:cs="Times New Roman"/>
          <w:bCs/>
        </w:rPr>
        <w:t>Similar results were also reported by</w:t>
      </w:r>
      <w:r w:rsidR="00916163">
        <w:rPr>
          <w:rFonts w:ascii="Times New Roman" w:hAnsi="Times New Roman" w:cs="Times New Roman"/>
          <w:bCs/>
        </w:rPr>
        <w:t xml:space="preserve"> chickpea</w:t>
      </w:r>
      <w:r w:rsidRPr="00E824FB">
        <w:rPr>
          <w:rFonts w:ascii="Times New Roman" w:hAnsi="Times New Roman" w:cs="Times New Roman"/>
          <w:bCs/>
        </w:rPr>
        <w:t xml:space="preserve"> </w:t>
      </w:r>
      <w:r w:rsidR="00916163">
        <w:rPr>
          <w:rFonts w:ascii="Times New Roman" w:hAnsi="Times New Roman" w:cs="Times New Roman"/>
          <w:bCs/>
        </w:rPr>
        <w:t>(</w:t>
      </w:r>
      <w:proofErr w:type="spellStart"/>
      <w:r w:rsidR="00916163">
        <w:rPr>
          <w:rFonts w:ascii="Times New Roman" w:hAnsi="Times New Roman" w:cs="Times New Roman"/>
          <w:bCs/>
          <w:lang w:val="en-GB"/>
        </w:rPr>
        <w:t>Elangbam</w:t>
      </w:r>
      <w:proofErr w:type="spellEnd"/>
      <w:r w:rsidR="00916163" w:rsidRPr="00916163">
        <w:rPr>
          <w:rFonts w:ascii="Times New Roman" w:hAnsi="Times New Roman" w:cs="Times New Roman"/>
          <w:bCs/>
          <w:i/>
          <w:iCs/>
          <w:lang w:val="en-GB"/>
        </w:rPr>
        <w:t xml:space="preserve"> </w:t>
      </w:r>
      <w:r w:rsidR="00916163" w:rsidRPr="00133125">
        <w:rPr>
          <w:rFonts w:ascii="Times New Roman" w:hAnsi="Times New Roman" w:cs="Times New Roman"/>
          <w:bCs/>
          <w:i/>
          <w:iCs/>
          <w:lang w:val="en-GB"/>
        </w:rPr>
        <w:t>et al.,</w:t>
      </w:r>
      <w:r w:rsidR="00916163" w:rsidRPr="00542788">
        <w:rPr>
          <w:rFonts w:ascii="Times New Roman" w:hAnsi="Times New Roman" w:cs="Times New Roman"/>
          <w:bCs/>
          <w:lang w:val="en-GB"/>
        </w:rPr>
        <w:t xml:space="preserve"> 2017</w:t>
      </w:r>
      <w:r w:rsidR="00916163">
        <w:rPr>
          <w:rFonts w:ascii="Times New Roman" w:hAnsi="Times New Roman" w:cs="Times New Roman"/>
          <w:bCs/>
          <w:lang w:val="en-GB"/>
        </w:rPr>
        <w:t xml:space="preserve"> and </w:t>
      </w:r>
      <w:r w:rsidRPr="00E824FB">
        <w:rPr>
          <w:rFonts w:ascii="Times New Roman" w:hAnsi="Times New Roman" w:cs="Times New Roman"/>
          <w:bCs/>
        </w:rPr>
        <w:t xml:space="preserve">Parimala </w:t>
      </w:r>
      <w:r w:rsidRPr="00E824FB">
        <w:rPr>
          <w:rFonts w:ascii="Times New Roman" w:hAnsi="Times New Roman" w:cs="Times New Roman"/>
          <w:bCs/>
          <w:i/>
          <w:iCs/>
        </w:rPr>
        <w:t xml:space="preserve">et al., </w:t>
      </w:r>
      <w:r w:rsidRPr="00E824FB">
        <w:rPr>
          <w:rFonts w:ascii="Times New Roman" w:hAnsi="Times New Roman" w:cs="Times New Roman"/>
          <w:bCs/>
        </w:rPr>
        <w:t>2017</w:t>
      </w:r>
      <w:r w:rsidR="00916163">
        <w:rPr>
          <w:rFonts w:ascii="Times New Roman" w:hAnsi="Times New Roman" w:cs="Times New Roman"/>
          <w:bCs/>
        </w:rPr>
        <w:t>).</w:t>
      </w:r>
    </w:p>
    <w:p w14:paraId="7DDC6B27" w14:textId="77777777" w:rsidR="00DE204F" w:rsidRDefault="00DE204F" w:rsidP="00610940">
      <w:pPr>
        <w:spacing w:after="0" w:line="360" w:lineRule="auto"/>
        <w:jc w:val="both"/>
        <w:rPr>
          <w:rFonts w:ascii="Times New Roman" w:hAnsi="Times New Roman" w:cs="Times New Roman"/>
          <w:b/>
          <w:bCs/>
        </w:rPr>
      </w:pPr>
    </w:p>
    <w:p w14:paraId="1D82FB2A" w14:textId="77777777" w:rsidR="00DE204F" w:rsidRDefault="00DE204F" w:rsidP="00610940">
      <w:pPr>
        <w:spacing w:after="0" w:line="360" w:lineRule="auto"/>
        <w:jc w:val="both"/>
        <w:rPr>
          <w:rFonts w:ascii="Times New Roman" w:hAnsi="Times New Roman" w:cs="Times New Roman"/>
          <w:b/>
          <w:bCs/>
        </w:rPr>
      </w:pPr>
    </w:p>
    <w:p w14:paraId="3E00B191" w14:textId="0C07ACF5"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lastRenderedPageBreak/>
        <w:t>Vigour index-I</w:t>
      </w:r>
    </w:p>
    <w:p w14:paraId="160D1EBA" w14:textId="16A00E5A" w:rsidR="00246EFD" w:rsidRPr="00133125" w:rsidRDefault="00CC3B73" w:rsidP="00133125">
      <w:pPr>
        <w:spacing w:after="0" w:line="360" w:lineRule="auto"/>
        <w:ind w:firstLine="720"/>
        <w:jc w:val="both"/>
        <w:rPr>
          <w:rFonts w:ascii="Times New Roman" w:hAnsi="Times New Roman" w:cs="Times New Roman"/>
          <w:bCs/>
          <w:lang w:val="en-GB"/>
        </w:rPr>
      </w:pPr>
      <w:r w:rsidRPr="00CC3B73">
        <w:rPr>
          <w:rFonts w:ascii="Times New Roman" w:hAnsi="Times New Roman" w:cs="Times New Roman"/>
          <w:bCs/>
          <w:lang w:val="en-GB"/>
        </w:rPr>
        <w:t>Tables 1 and Figure 1 show the highly positive effect of the treatments on vigour index-I. The highest pooled mean was observed in GA</w:t>
      </w:r>
      <w:r w:rsidRPr="00A17549">
        <w:rPr>
          <w:rFonts w:ascii="Times New Roman" w:hAnsi="Times New Roman" w:cs="Times New Roman"/>
          <w:bCs/>
          <w:vertAlign w:val="subscript"/>
          <w:lang w:val="en-GB"/>
        </w:rPr>
        <w:t>3</w:t>
      </w:r>
      <w:r w:rsidRPr="00CC3B73">
        <w:rPr>
          <w:rFonts w:ascii="Times New Roman" w:hAnsi="Times New Roman" w:cs="Times New Roman"/>
          <w:bCs/>
          <w:lang w:val="en-GB"/>
        </w:rPr>
        <w:t xml:space="preserve"> at 100 ppm </w:t>
      </w:r>
      <w:r w:rsidR="00E61BDF">
        <w:rPr>
          <w:rFonts w:ascii="Times New Roman" w:hAnsi="Times New Roman" w:cs="Times New Roman"/>
          <w:bCs/>
          <w:lang w:val="en-GB"/>
        </w:rPr>
        <w:t>for</w:t>
      </w:r>
      <w:r w:rsidRPr="00CC3B73">
        <w:rPr>
          <w:rFonts w:ascii="Times New Roman" w:hAnsi="Times New Roman" w:cs="Times New Roman"/>
          <w:bCs/>
          <w:lang w:val="en-GB"/>
        </w:rPr>
        <w:t xml:space="preserve"> 8 hours (970.02), this was at par with IAA at 100 ppm </w:t>
      </w:r>
      <w:r w:rsidR="00F86179">
        <w:rPr>
          <w:rFonts w:ascii="Times New Roman" w:hAnsi="Times New Roman" w:cs="Times New Roman"/>
          <w:bCs/>
          <w:lang w:val="en-GB"/>
        </w:rPr>
        <w:t>for</w:t>
      </w:r>
      <w:r w:rsidRPr="00CC3B73">
        <w:rPr>
          <w:rFonts w:ascii="Times New Roman" w:hAnsi="Times New Roman" w:cs="Times New Roman"/>
          <w:bCs/>
          <w:lang w:val="en-GB"/>
        </w:rPr>
        <w:t xml:space="preserve"> 8 hours (902.46)</w:t>
      </w:r>
      <w:r w:rsidR="00DE204F">
        <w:rPr>
          <w:rFonts w:ascii="Times New Roman" w:hAnsi="Times New Roman" w:cs="Times New Roman"/>
          <w:bCs/>
          <w:lang w:val="en-GB"/>
        </w:rPr>
        <w:t>, IBA at 100 ppm for 8 hours (902.46),</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NAA</w:t>
      </w:r>
      <w:r w:rsidR="00DE204F" w:rsidRPr="00C605E7">
        <w:rPr>
          <w:rFonts w:ascii="Times New Roman" w:hAnsi="Times New Roman" w:cs="Times New Roman"/>
          <w:bCs/>
          <w:lang w:val="en-GB"/>
        </w:rPr>
        <w:t xml:space="preserve"> </w:t>
      </w:r>
      <w:r w:rsidR="00DE204F">
        <w:rPr>
          <w:rFonts w:ascii="Times New Roman" w:hAnsi="Times New Roman" w:cs="Times New Roman"/>
          <w:bCs/>
          <w:lang w:val="en-GB"/>
        </w:rPr>
        <w:t>at 100 ppm for 8 hours (809.18),</w:t>
      </w:r>
      <w:r w:rsidR="00DE204F" w:rsidRPr="00C605E7">
        <w:rPr>
          <w:rFonts w:ascii="Times New Roman" w:hAnsi="Times New Roman" w:cs="Times New Roman"/>
          <w:bCs/>
        </w:rPr>
        <w:t xml:space="preserve"> </w:t>
      </w:r>
      <w:r w:rsidR="00DE204F" w:rsidRPr="006724B3">
        <w:rPr>
          <w:rFonts w:ascii="Times New Roman" w:hAnsi="Times New Roman" w:cs="Times New Roman"/>
          <w:bCs/>
        </w:rPr>
        <w:t>GA</w:t>
      </w:r>
      <w:r w:rsidR="00DE204F" w:rsidRPr="006724B3">
        <w:rPr>
          <w:rFonts w:ascii="Times New Roman" w:hAnsi="Times New Roman" w:cs="Times New Roman"/>
          <w:bCs/>
          <w:vertAlign w:val="subscript"/>
        </w:rPr>
        <w:t>3</w:t>
      </w:r>
      <w:r w:rsidR="00DE204F" w:rsidRPr="006724B3">
        <w:rPr>
          <w:rFonts w:ascii="Times New Roman" w:hAnsi="Times New Roman" w:cs="Times New Roman"/>
          <w:bCs/>
        </w:rPr>
        <w:t xml:space="preserve"> </w:t>
      </w:r>
      <w:r w:rsidR="00DE204F">
        <w:rPr>
          <w:rFonts w:ascii="Times New Roman" w:hAnsi="Times New Roman" w:cs="Times New Roman"/>
          <w:bCs/>
        </w:rPr>
        <w:t>at</w:t>
      </w:r>
      <w:r w:rsidR="00DE204F" w:rsidRPr="006724B3">
        <w:rPr>
          <w:rFonts w:ascii="Times New Roman" w:hAnsi="Times New Roman" w:cs="Times New Roman"/>
          <w:bCs/>
        </w:rPr>
        <w:t xml:space="preserve"> </w:t>
      </w:r>
      <w:r w:rsidR="00DE204F">
        <w:rPr>
          <w:rFonts w:ascii="Times New Roman" w:hAnsi="Times New Roman" w:cs="Times New Roman"/>
          <w:bCs/>
        </w:rPr>
        <w:t>5</w:t>
      </w:r>
      <w:r w:rsidR="00DE204F" w:rsidRPr="006724B3">
        <w:rPr>
          <w:rFonts w:ascii="Times New Roman" w:hAnsi="Times New Roman" w:cs="Times New Roman"/>
          <w:bCs/>
        </w:rPr>
        <w:t xml:space="preserve">0 ppm for </w:t>
      </w:r>
      <w:r w:rsidR="00DE204F">
        <w:rPr>
          <w:rFonts w:ascii="Times New Roman" w:hAnsi="Times New Roman" w:cs="Times New Roman"/>
          <w:bCs/>
        </w:rPr>
        <w:t>12</w:t>
      </w:r>
      <w:r w:rsidR="00DE204F" w:rsidRPr="006724B3">
        <w:rPr>
          <w:rFonts w:ascii="Times New Roman" w:hAnsi="Times New Roman" w:cs="Times New Roman"/>
          <w:bCs/>
        </w:rPr>
        <w:t xml:space="preserve"> h</w:t>
      </w:r>
      <w:r w:rsidR="00DE204F">
        <w:rPr>
          <w:rFonts w:ascii="Times New Roman" w:hAnsi="Times New Roman" w:cs="Times New Roman"/>
          <w:bCs/>
        </w:rPr>
        <w:t>ours</w:t>
      </w:r>
      <w:r w:rsidR="00DE204F" w:rsidRPr="00061CC4">
        <w:rPr>
          <w:rFonts w:ascii="Times New Roman" w:hAnsi="Times New Roman" w:cs="Times New Roman"/>
          <w:b/>
        </w:rPr>
        <w:t xml:space="preserve"> </w:t>
      </w:r>
      <w:r w:rsidR="00DE204F" w:rsidRPr="00542788">
        <w:rPr>
          <w:rFonts w:ascii="Times New Roman" w:hAnsi="Times New Roman" w:cs="Times New Roman"/>
          <w:bCs/>
          <w:lang w:val="en-GB"/>
        </w:rPr>
        <w:t>(</w:t>
      </w:r>
      <w:r w:rsidR="00C5318B">
        <w:rPr>
          <w:rFonts w:ascii="Times New Roman" w:hAnsi="Times New Roman" w:cs="Times New Roman"/>
          <w:bCs/>
          <w:lang w:val="en-GB"/>
        </w:rPr>
        <w:t>619.86</w:t>
      </w:r>
      <w:r w:rsidR="00DE204F" w:rsidRPr="00542788">
        <w:rPr>
          <w:rFonts w:ascii="Times New Roman" w:hAnsi="Times New Roman" w:cs="Times New Roman"/>
          <w:bCs/>
          <w:lang w:val="en-GB"/>
        </w:rPr>
        <w:t>)</w:t>
      </w:r>
      <w:r w:rsidR="00DE204F">
        <w:rPr>
          <w:rFonts w:ascii="Times New Roman" w:hAnsi="Times New Roman" w:cs="Times New Roman"/>
          <w:bCs/>
          <w:lang w:val="en-GB"/>
        </w:rPr>
        <w:t>, CCC at 100 ppm for 8 hours (</w:t>
      </w:r>
      <w:r w:rsidR="00C5318B">
        <w:rPr>
          <w:rFonts w:ascii="Times New Roman" w:hAnsi="Times New Roman" w:cs="Times New Roman"/>
          <w:bCs/>
          <w:lang w:val="en-GB"/>
        </w:rPr>
        <w:t>612.40</w:t>
      </w:r>
      <w:r w:rsidR="00DE204F">
        <w:rPr>
          <w:rFonts w:ascii="Times New Roman" w:hAnsi="Times New Roman" w:cs="Times New Roman"/>
          <w:bCs/>
          <w:lang w:val="en-GB"/>
        </w:rPr>
        <w:t>)</w:t>
      </w:r>
      <w:r w:rsidRPr="00CC3B73">
        <w:rPr>
          <w:rFonts w:ascii="Times New Roman" w:hAnsi="Times New Roman" w:cs="Times New Roman"/>
          <w:bCs/>
          <w:lang w:val="en-GB"/>
        </w:rPr>
        <w:t xml:space="preserve"> and they were significantly better than control (519.41). The high increase in vigour index-I could be due to the interaction of germination attributes with seedling length. </w:t>
      </w:r>
      <w:r w:rsidRPr="00CC3B73">
        <w:rPr>
          <w:rFonts w:ascii="Times New Roman" w:hAnsi="Times New Roman" w:cs="Times New Roman"/>
          <w:bCs/>
        </w:rPr>
        <w:t>These results are in conformity to the results reported by</w:t>
      </w:r>
      <w:r w:rsidR="00133125">
        <w:rPr>
          <w:rFonts w:ascii="Times New Roman" w:hAnsi="Times New Roman" w:cs="Times New Roman"/>
          <w:bCs/>
        </w:rPr>
        <w:t xml:space="preserve"> chickpea</w:t>
      </w:r>
      <w:r w:rsidRPr="00CC3B73">
        <w:rPr>
          <w:rFonts w:ascii="Times New Roman" w:hAnsi="Times New Roman" w:cs="Times New Roman"/>
          <w:bCs/>
        </w:rPr>
        <w:t xml:space="preserve"> </w:t>
      </w:r>
      <w:r w:rsidR="00133125">
        <w:rPr>
          <w:rFonts w:ascii="Times New Roman" w:hAnsi="Times New Roman" w:cs="Times New Roman"/>
          <w:bCs/>
        </w:rPr>
        <w:t>(</w:t>
      </w:r>
      <w:proofErr w:type="spellStart"/>
      <w:r w:rsidR="00916163">
        <w:rPr>
          <w:rFonts w:ascii="Times New Roman" w:hAnsi="Times New Roman" w:cs="Times New Roman"/>
          <w:bCs/>
          <w:lang w:val="en-GB"/>
        </w:rPr>
        <w:t>Elangbam</w:t>
      </w:r>
      <w:proofErr w:type="spellEnd"/>
      <w:r w:rsidR="00916163" w:rsidRPr="00916163">
        <w:rPr>
          <w:rFonts w:ascii="Times New Roman" w:hAnsi="Times New Roman" w:cs="Times New Roman"/>
          <w:bCs/>
          <w:i/>
          <w:iCs/>
          <w:lang w:val="en-GB"/>
        </w:rPr>
        <w:t xml:space="preserve"> </w:t>
      </w:r>
      <w:r w:rsidR="00916163" w:rsidRPr="00133125">
        <w:rPr>
          <w:rFonts w:ascii="Times New Roman" w:hAnsi="Times New Roman" w:cs="Times New Roman"/>
          <w:bCs/>
          <w:i/>
          <w:iCs/>
          <w:lang w:val="en-GB"/>
        </w:rPr>
        <w:t>et al.,</w:t>
      </w:r>
      <w:r w:rsidR="00916163" w:rsidRPr="00542788">
        <w:rPr>
          <w:rFonts w:ascii="Times New Roman" w:hAnsi="Times New Roman" w:cs="Times New Roman"/>
          <w:bCs/>
          <w:lang w:val="en-GB"/>
        </w:rPr>
        <w:t xml:space="preserve"> 2017</w:t>
      </w:r>
      <w:r w:rsidR="00916163">
        <w:rPr>
          <w:rFonts w:ascii="Times New Roman" w:hAnsi="Times New Roman" w:cs="Times New Roman"/>
          <w:bCs/>
          <w:lang w:val="en-GB"/>
        </w:rPr>
        <w:t xml:space="preserve">, </w:t>
      </w:r>
      <w:r w:rsidRPr="00CC3B73">
        <w:rPr>
          <w:rFonts w:ascii="Times New Roman" w:hAnsi="Times New Roman" w:cs="Times New Roman"/>
          <w:bCs/>
        </w:rPr>
        <w:t xml:space="preserve">Kumar </w:t>
      </w:r>
      <w:r w:rsidRPr="00CC3B73">
        <w:rPr>
          <w:rFonts w:ascii="Times New Roman" w:hAnsi="Times New Roman" w:cs="Times New Roman"/>
          <w:bCs/>
          <w:i/>
          <w:iCs/>
        </w:rPr>
        <w:t xml:space="preserve">et al., </w:t>
      </w:r>
      <w:r w:rsidRPr="00CC3B73">
        <w:rPr>
          <w:rFonts w:ascii="Times New Roman" w:hAnsi="Times New Roman" w:cs="Times New Roman"/>
          <w:bCs/>
        </w:rPr>
        <w:t>2019</w:t>
      </w:r>
      <w:r w:rsidR="0041336B">
        <w:rPr>
          <w:rFonts w:ascii="Times New Roman" w:hAnsi="Times New Roman" w:cs="Times New Roman"/>
          <w:bCs/>
        </w:rPr>
        <w:t xml:space="preserve">, </w:t>
      </w:r>
      <w:r w:rsidR="0041336B">
        <w:rPr>
          <w:rFonts w:ascii="Times New Roman" w:hAnsi="Times New Roman" w:cs="Times New Roman"/>
          <w:bCs/>
          <w:lang w:val="en-GB"/>
        </w:rPr>
        <w:t>Shareef</w:t>
      </w:r>
      <w:r w:rsidR="0041336B" w:rsidRPr="0041336B">
        <w:rPr>
          <w:rFonts w:ascii="Times New Roman" w:hAnsi="Times New Roman" w:cs="Times New Roman"/>
          <w:bCs/>
          <w:i/>
          <w:iCs/>
          <w:lang w:val="en-GB"/>
        </w:rPr>
        <w:t xml:space="preserve"> </w:t>
      </w:r>
      <w:r w:rsidR="0041336B" w:rsidRPr="00133125">
        <w:rPr>
          <w:rFonts w:ascii="Times New Roman" w:hAnsi="Times New Roman" w:cs="Times New Roman"/>
          <w:bCs/>
          <w:i/>
          <w:iCs/>
          <w:lang w:val="en-GB"/>
        </w:rPr>
        <w:t>et al.,</w:t>
      </w:r>
      <w:r w:rsidR="0041336B">
        <w:rPr>
          <w:rFonts w:ascii="Times New Roman" w:hAnsi="Times New Roman" w:cs="Times New Roman"/>
          <w:bCs/>
          <w:lang w:val="en-GB"/>
        </w:rPr>
        <w:t xml:space="preserve"> 2023</w:t>
      </w:r>
      <w:r w:rsidR="00782148">
        <w:rPr>
          <w:rFonts w:ascii="Times New Roman" w:hAnsi="Times New Roman" w:cs="Times New Roman"/>
          <w:bCs/>
          <w:lang w:val="en-GB"/>
        </w:rPr>
        <w:t>,</w:t>
      </w:r>
      <w:r w:rsidRPr="00CC3B73">
        <w:rPr>
          <w:rFonts w:ascii="Times New Roman" w:hAnsi="Times New Roman" w:cs="Times New Roman"/>
          <w:bCs/>
        </w:rPr>
        <w:t xml:space="preserve"> Tiwari </w:t>
      </w:r>
      <w:r w:rsidR="00782148">
        <w:rPr>
          <w:rFonts w:ascii="Times New Roman" w:hAnsi="Times New Roman" w:cs="Times New Roman"/>
          <w:bCs/>
        </w:rPr>
        <w:t>and</w:t>
      </w:r>
      <w:r w:rsidRPr="00CC3B73">
        <w:rPr>
          <w:rFonts w:ascii="Times New Roman" w:hAnsi="Times New Roman" w:cs="Times New Roman"/>
          <w:bCs/>
        </w:rPr>
        <w:t xml:space="preserve"> Agarwal 2021</w:t>
      </w:r>
      <w:r w:rsidR="00133125">
        <w:rPr>
          <w:rFonts w:ascii="Times New Roman" w:hAnsi="Times New Roman" w:cs="Times New Roman"/>
          <w:bCs/>
        </w:rPr>
        <w:t>),</w:t>
      </w:r>
      <w:r w:rsidR="00133125" w:rsidRPr="00133125">
        <w:rPr>
          <w:rFonts w:ascii="Poppins" w:hAnsi="Poppins" w:cs="Poppins"/>
          <w:color w:val="000000"/>
          <w:sz w:val="21"/>
          <w:szCs w:val="21"/>
          <w:shd w:val="clear" w:color="auto" w:fill="FFFFFF"/>
        </w:rPr>
        <w:t xml:space="preserve"> </w:t>
      </w:r>
      <w:r w:rsidR="00133125" w:rsidRPr="00133125">
        <w:rPr>
          <w:rFonts w:ascii="Times New Roman" w:hAnsi="Times New Roman" w:cs="Times New Roman"/>
          <w:bCs/>
        </w:rPr>
        <w:t>green gram (Ganesh </w:t>
      </w:r>
      <w:r w:rsidR="00133125" w:rsidRPr="00133125">
        <w:rPr>
          <w:rFonts w:ascii="Times New Roman" w:hAnsi="Times New Roman" w:cs="Times New Roman"/>
          <w:bCs/>
          <w:i/>
          <w:iCs/>
        </w:rPr>
        <w:t>et al</w:t>
      </w:r>
      <w:r w:rsidR="00133125" w:rsidRPr="00133125">
        <w:rPr>
          <w:rFonts w:ascii="Times New Roman" w:hAnsi="Times New Roman" w:cs="Times New Roman"/>
          <w:bCs/>
        </w:rPr>
        <w:t>., 2013), bitter gourd (Islam </w:t>
      </w:r>
      <w:r w:rsidR="00133125" w:rsidRPr="00133125">
        <w:rPr>
          <w:rFonts w:ascii="Times New Roman" w:hAnsi="Times New Roman" w:cs="Times New Roman"/>
          <w:bCs/>
          <w:i/>
          <w:iCs/>
        </w:rPr>
        <w:t>et al</w:t>
      </w:r>
      <w:r w:rsidR="00133125" w:rsidRPr="00133125">
        <w:rPr>
          <w:rFonts w:ascii="Times New Roman" w:hAnsi="Times New Roman" w:cs="Times New Roman"/>
          <w:bCs/>
        </w:rPr>
        <w:t>., 2012)</w:t>
      </w:r>
      <w:r w:rsidR="004645E5">
        <w:rPr>
          <w:rFonts w:ascii="Times New Roman" w:hAnsi="Times New Roman" w:cs="Times New Roman"/>
          <w:bCs/>
        </w:rPr>
        <w:t>,</w:t>
      </w:r>
      <w:r w:rsidR="00133125" w:rsidRPr="00133125">
        <w:rPr>
          <w:rFonts w:ascii="Times New Roman" w:hAnsi="Times New Roman" w:cs="Times New Roman"/>
          <w:bCs/>
        </w:rPr>
        <w:t xml:space="preserve"> mung bean (Sivakumar and Nandhita, 2017)</w:t>
      </w:r>
      <w:r w:rsidR="004645E5">
        <w:rPr>
          <w:rFonts w:ascii="Times New Roman" w:hAnsi="Times New Roman" w:cs="Times New Roman"/>
          <w:bCs/>
        </w:rPr>
        <w:t xml:space="preserve"> and papaya (</w:t>
      </w:r>
      <w:proofErr w:type="spellStart"/>
      <w:r w:rsidR="004645E5" w:rsidRPr="00916163">
        <w:rPr>
          <w:rFonts w:ascii="Times New Roman" w:hAnsi="Times New Roman" w:cs="Times New Roman"/>
          <w:bCs/>
        </w:rPr>
        <w:t>Anburani</w:t>
      </w:r>
      <w:proofErr w:type="spellEnd"/>
      <w:r w:rsidR="004645E5" w:rsidRPr="00916163">
        <w:rPr>
          <w:rFonts w:ascii="Times New Roman" w:hAnsi="Times New Roman" w:cs="Times New Roman"/>
          <w:bCs/>
        </w:rPr>
        <w:t xml:space="preserve"> and </w:t>
      </w:r>
      <w:proofErr w:type="spellStart"/>
      <w:r w:rsidR="004645E5" w:rsidRPr="00916163">
        <w:rPr>
          <w:rFonts w:ascii="Times New Roman" w:hAnsi="Times New Roman" w:cs="Times New Roman"/>
          <w:bCs/>
        </w:rPr>
        <w:t>Shakila</w:t>
      </w:r>
      <w:proofErr w:type="spellEnd"/>
      <w:r w:rsidR="004645E5" w:rsidRPr="00916163">
        <w:rPr>
          <w:rFonts w:ascii="Times New Roman" w:hAnsi="Times New Roman" w:cs="Times New Roman"/>
          <w:bCs/>
        </w:rPr>
        <w:t xml:space="preserve"> 2010</w:t>
      </w:r>
      <w:r w:rsidR="004645E5">
        <w:rPr>
          <w:rFonts w:ascii="Times New Roman" w:hAnsi="Times New Roman" w:cs="Times New Roman"/>
          <w:bCs/>
        </w:rPr>
        <w:t>)</w:t>
      </w:r>
      <w:r w:rsidR="00133125" w:rsidRPr="00133125">
        <w:rPr>
          <w:rFonts w:ascii="Times New Roman" w:hAnsi="Times New Roman" w:cs="Times New Roman"/>
          <w:bCs/>
        </w:rPr>
        <w:t>.</w:t>
      </w:r>
    </w:p>
    <w:p w14:paraId="59A0EDF5" w14:textId="2CD8D91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Vigour index-II</w:t>
      </w:r>
    </w:p>
    <w:p w14:paraId="70A38B0D" w14:textId="4CC2ED8C" w:rsidR="00293277" w:rsidRPr="00DA679F" w:rsidRDefault="00293277" w:rsidP="00DA679F">
      <w:pPr>
        <w:spacing w:after="0" w:line="360" w:lineRule="auto"/>
        <w:ind w:firstLine="720"/>
        <w:jc w:val="both"/>
        <w:rPr>
          <w:rFonts w:ascii="Times New Roman" w:hAnsi="Times New Roman" w:cs="Times New Roman"/>
          <w:bCs/>
          <w:lang w:val="en-GB"/>
        </w:rPr>
      </w:pPr>
      <w:r w:rsidRPr="00293277">
        <w:rPr>
          <w:rFonts w:ascii="Times New Roman" w:hAnsi="Times New Roman" w:cs="Times New Roman"/>
          <w:bCs/>
          <w:lang w:val="en-GB"/>
        </w:rPr>
        <w:t>As can be seen from Table 1 and Figure 1, Vigour Index-II is significantly influenced by treatments. GA</w:t>
      </w:r>
      <w:r w:rsidRPr="005422F6">
        <w:rPr>
          <w:rFonts w:ascii="Times New Roman" w:hAnsi="Times New Roman" w:cs="Times New Roman"/>
          <w:bCs/>
          <w:vertAlign w:val="subscript"/>
          <w:lang w:val="en-GB"/>
        </w:rPr>
        <w:t>3</w:t>
      </w:r>
      <w:r w:rsidRPr="00293277">
        <w:rPr>
          <w:rFonts w:ascii="Times New Roman" w:hAnsi="Times New Roman" w:cs="Times New Roman"/>
          <w:bCs/>
          <w:lang w:val="en-GB"/>
        </w:rPr>
        <w:t xml:space="preserve"> at 100 ppm for 8 hours (166.90) was the maximum pooled mean value which was statistically at par with IAA at 100 ppm for 8 hours (158.57)</w:t>
      </w:r>
      <w:r w:rsidR="00C5318B">
        <w:rPr>
          <w:rFonts w:ascii="Times New Roman" w:hAnsi="Times New Roman" w:cs="Times New Roman"/>
          <w:bCs/>
          <w:lang w:val="en-GB"/>
        </w:rPr>
        <w:t xml:space="preserve"> IBA at 100 ppm for 8 hours (141.39),</w:t>
      </w:r>
      <w:r w:rsidR="00C5318B" w:rsidRPr="00C605E7">
        <w:rPr>
          <w:rFonts w:ascii="Times New Roman" w:hAnsi="Times New Roman" w:cs="Times New Roman"/>
          <w:bCs/>
          <w:lang w:val="en-GB"/>
        </w:rPr>
        <w:t xml:space="preserve"> </w:t>
      </w:r>
      <w:r w:rsidR="00C5318B">
        <w:rPr>
          <w:rFonts w:ascii="Times New Roman" w:hAnsi="Times New Roman" w:cs="Times New Roman"/>
          <w:bCs/>
          <w:lang w:val="en-GB"/>
        </w:rPr>
        <w:t>NAA</w:t>
      </w:r>
      <w:r w:rsidR="00C5318B" w:rsidRPr="00C605E7">
        <w:rPr>
          <w:rFonts w:ascii="Times New Roman" w:hAnsi="Times New Roman" w:cs="Times New Roman"/>
          <w:bCs/>
          <w:lang w:val="en-GB"/>
        </w:rPr>
        <w:t xml:space="preserve"> </w:t>
      </w:r>
      <w:r w:rsidR="00C5318B">
        <w:rPr>
          <w:rFonts w:ascii="Times New Roman" w:hAnsi="Times New Roman" w:cs="Times New Roman"/>
          <w:bCs/>
          <w:lang w:val="en-GB"/>
        </w:rPr>
        <w:t>at 100 ppm for 8 hours (139.73),</w:t>
      </w:r>
      <w:r w:rsidR="00C5318B" w:rsidRPr="00C605E7">
        <w:rPr>
          <w:rFonts w:ascii="Times New Roman" w:hAnsi="Times New Roman" w:cs="Times New Roman"/>
          <w:bCs/>
        </w:rPr>
        <w:t xml:space="preserve"> </w:t>
      </w:r>
      <w:r w:rsidR="00C5318B" w:rsidRPr="006724B3">
        <w:rPr>
          <w:rFonts w:ascii="Times New Roman" w:hAnsi="Times New Roman" w:cs="Times New Roman"/>
          <w:bCs/>
        </w:rPr>
        <w:t>GA</w:t>
      </w:r>
      <w:r w:rsidR="00C5318B" w:rsidRPr="006724B3">
        <w:rPr>
          <w:rFonts w:ascii="Times New Roman" w:hAnsi="Times New Roman" w:cs="Times New Roman"/>
          <w:bCs/>
          <w:vertAlign w:val="subscript"/>
        </w:rPr>
        <w:t>3</w:t>
      </w:r>
      <w:r w:rsidR="00C5318B" w:rsidRPr="006724B3">
        <w:rPr>
          <w:rFonts w:ascii="Times New Roman" w:hAnsi="Times New Roman" w:cs="Times New Roman"/>
          <w:bCs/>
        </w:rPr>
        <w:t xml:space="preserve"> </w:t>
      </w:r>
      <w:r w:rsidR="00C5318B">
        <w:rPr>
          <w:rFonts w:ascii="Times New Roman" w:hAnsi="Times New Roman" w:cs="Times New Roman"/>
          <w:bCs/>
        </w:rPr>
        <w:t>at</w:t>
      </w:r>
      <w:r w:rsidR="00C5318B" w:rsidRPr="006724B3">
        <w:rPr>
          <w:rFonts w:ascii="Times New Roman" w:hAnsi="Times New Roman" w:cs="Times New Roman"/>
          <w:bCs/>
        </w:rPr>
        <w:t xml:space="preserve"> </w:t>
      </w:r>
      <w:r w:rsidR="00C5318B">
        <w:rPr>
          <w:rFonts w:ascii="Times New Roman" w:hAnsi="Times New Roman" w:cs="Times New Roman"/>
          <w:bCs/>
        </w:rPr>
        <w:t>5</w:t>
      </w:r>
      <w:r w:rsidR="00C5318B" w:rsidRPr="006724B3">
        <w:rPr>
          <w:rFonts w:ascii="Times New Roman" w:hAnsi="Times New Roman" w:cs="Times New Roman"/>
          <w:bCs/>
        </w:rPr>
        <w:t xml:space="preserve">0 ppm for </w:t>
      </w:r>
      <w:r w:rsidR="00C5318B">
        <w:rPr>
          <w:rFonts w:ascii="Times New Roman" w:hAnsi="Times New Roman" w:cs="Times New Roman"/>
          <w:bCs/>
        </w:rPr>
        <w:t>12</w:t>
      </w:r>
      <w:r w:rsidR="00C5318B" w:rsidRPr="006724B3">
        <w:rPr>
          <w:rFonts w:ascii="Times New Roman" w:hAnsi="Times New Roman" w:cs="Times New Roman"/>
          <w:bCs/>
        </w:rPr>
        <w:t xml:space="preserve"> h</w:t>
      </w:r>
      <w:r w:rsidR="00C5318B">
        <w:rPr>
          <w:rFonts w:ascii="Times New Roman" w:hAnsi="Times New Roman" w:cs="Times New Roman"/>
          <w:bCs/>
        </w:rPr>
        <w:t>ours</w:t>
      </w:r>
      <w:r w:rsidR="00C5318B" w:rsidRPr="00061CC4">
        <w:rPr>
          <w:rFonts w:ascii="Times New Roman" w:hAnsi="Times New Roman" w:cs="Times New Roman"/>
          <w:b/>
        </w:rPr>
        <w:t xml:space="preserve"> </w:t>
      </w:r>
      <w:r w:rsidR="00C5318B" w:rsidRPr="00542788">
        <w:rPr>
          <w:rFonts w:ascii="Times New Roman" w:hAnsi="Times New Roman" w:cs="Times New Roman"/>
          <w:bCs/>
          <w:lang w:val="en-GB"/>
        </w:rPr>
        <w:t>(</w:t>
      </w:r>
      <w:r w:rsidR="00C5318B">
        <w:rPr>
          <w:rFonts w:ascii="Times New Roman" w:hAnsi="Times New Roman" w:cs="Times New Roman"/>
          <w:bCs/>
          <w:lang w:val="en-GB"/>
        </w:rPr>
        <w:t>132.95</w:t>
      </w:r>
      <w:r w:rsidR="00C5318B" w:rsidRPr="00542788">
        <w:rPr>
          <w:rFonts w:ascii="Times New Roman" w:hAnsi="Times New Roman" w:cs="Times New Roman"/>
          <w:bCs/>
          <w:lang w:val="en-GB"/>
        </w:rPr>
        <w:t>)</w:t>
      </w:r>
      <w:r w:rsidR="00C5318B">
        <w:rPr>
          <w:rFonts w:ascii="Times New Roman" w:hAnsi="Times New Roman" w:cs="Times New Roman"/>
          <w:bCs/>
          <w:lang w:val="en-GB"/>
        </w:rPr>
        <w:t>, CCC at 100 ppm for 8 hours (130.35)</w:t>
      </w:r>
      <w:r w:rsidRPr="00293277">
        <w:rPr>
          <w:rFonts w:ascii="Times New Roman" w:hAnsi="Times New Roman" w:cs="Times New Roman"/>
          <w:bCs/>
          <w:lang w:val="en-GB"/>
        </w:rPr>
        <w:t xml:space="preserve"> </w:t>
      </w:r>
      <w:r w:rsidR="00C5318B">
        <w:rPr>
          <w:rFonts w:ascii="Times New Roman" w:hAnsi="Times New Roman" w:cs="Times New Roman"/>
          <w:bCs/>
          <w:lang w:val="en-GB"/>
        </w:rPr>
        <w:t xml:space="preserve">and </w:t>
      </w:r>
      <w:r w:rsidRPr="00293277">
        <w:rPr>
          <w:rFonts w:ascii="Times New Roman" w:hAnsi="Times New Roman" w:cs="Times New Roman"/>
          <w:bCs/>
          <w:lang w:val="en-GB"/>
        </w:rPr>
        <w:t xml:space="preserve">while were performing significantly better over control (114.77). The emphasize indicator in vigour index-II represents the combined attribute of germination rate and biomass accumulation. </w:t>
      </w:r>
      <w:r w:rsidRPr="00293277">
        <w:rPr>
          <w:rFonts w:ascii="Times New Roman" w:hAnsi="Times New Roman" w:cs="Times New Roman"/>
          <w:bCs/>
        </w:rPr>
        <w:t xml:space="preserve">These results </w:t>
      </w:r>
      <w:r w:rsidR="005014FB">
        <w:rPr>
          <w:rFonts w:ascii="Times New Roman" w:hAnsi="Times New Roman" w:cs="Times New Roman"/>
          <w:bCs/>
        </w:rPr>
        <w:t>conform</w:t>
      </w:r>
      <w:r w:rsidRPr="00293277">
        <w:rPr>
          <w:rFonts w:ascii="Times New Roman" w:hAnsi="Times New Roman" w:cs="Times New Roman"/>
          <w:bCs/>
        </w:rPr>
        <w:t xml:space="preserve"> to the results reported by</w:t>
      </w:r>
      <w:r w:rsidR="00916163">
        <w:rPr>
          <w:rFonts w:ascii="Times New Roman" w:hAnsi="Times New Roman" w:cs="Times New Roman"/>
          <w:bCs/>
        </w:rPr>
        <w:t xml:space="preserve"> chickpea</w:t>
      </w:r>
      <w:r w:rsidRPr="00293277">
        <w:rPr>
          <w:rFonts w:ascii="Times New Roman" w:hAnsi="Times New Roman" w:cs="Times New Roman"/>
          <w:bCs/>
        </w:rPr>
        <w:t xml:space="preserve"> </w:t>
      </w:r>
      <w:r w:rsidR="00916163">
        <w:rPr>
          <w:rFonts w:ascii="Times New Roman" w:hAnsi="Times New Roman" w:cs="Times New Roman"/>
          <w:bCs/>
        </w:rPr>
        <w:t>(</w:t>
      </w:r>
      <w:proofErr w:type="spellStart"/>
      <w:r w:rsidR="00916163">
        <w:rPr>
          <w:rFonts w:ascii="Times New Roman" w:hAnsi="Times New Roman" w:cs="Times New Roman"/>
          <w:bCs/>
          <w:lang w:val="en-GB"/>
        </w:rPr>
        <w:t>Elangbam</w:t>
      </w:r>
      <w:proofErr w:type="spellEnd"/>
      <w:r w:rsidR="00916163" w:rsidRPr="00916163">
        <w:rPr>
          <w:rFonts w:ascii="Times New Roman" w:hAnsi="Times New Roman" w:cs="Times New Roman"/>
          <w:bCs/>
          <w:i/>
          <w:iCs/>
          <w:lang w:val="en-GB"/>
        </w:rPr>
        <w:t xml:space="preserve"> </w:t>
      </w:r>
      <w:r w:rsidR="00916163" w:rsidRPr="00133125">
        <w:rPr>
          <w:rFonts w:ascii="Times New Roman" w:hAnsi="Times New Roman" w:cs="Times New Roman"/>
          <w:bCs/>
          <w:i/>
          <w:iCs/>
          <w:lang w:val="en-GB"/>
        </w:rPr>
        <w:t>et al.,</w:t>
      </w:r>
      <w:r w:rsidR="00916163" w:rsidRPr="00542788">
        <w:rPr>
          <w:rFonts w:ascii="Times New Roman" w:hAnsi="Times New Roman" w:cs="Times New Roman"/>
          <w:bCs/>
          <w:lang w:val="en-GB"/>
        </w:rPr>
        <w:t xml:space="preserve"> 2017</w:t>
      </w:r>
      <w:r w:rsidR="00916163">
        <w:rPr>
          <w:rFonts w:ascii="Times New Roman" w:hAnsi="Times New Roman" w:cs="Times New Roman"/>
          <w:bCs/>
          <w:lang w:val="en-GB"/>
        </w:rPr>
        <w:t xml:space="preserve">, </w:t>
      </w:r>
      <w:r w:rsidRPr="00293277">
        <w:rPr>
          <w:rFonts w:ascii="Times New Roman" w:hAnsi="Times New Roman" w:cs="Times New Roman"/>
          <w:bCs/>
        </w:rPr>
        <w:t xml:space="preserve">Tiwari </w:t>
      </w:r>
      <w:r w:rsidRPr="00293277">
        <w:rPr>
          <w:rFonts w:ascii="Times New Roman" w:hAnsi="Times New Roman" w:cs="Times New Roman"/>
          <w:bCs/>
          <w:i/>
          <w:iCs/>
        </w:rPr>
        <w:t>et al.,</w:t>
      </w:r>
      <w:r w:rsidRPr="00293277">
        <w:rPr>
          <w:rFonts w:ascii="Times New Roman" w:hAnsi="Times New Roman" w:cs="Times New Roman"/>
          <w:bCs/>
        </w:rPr>
        <w:t xml:space="preserve"> 2015</w:t>
      </w:r>
      <w:r w:rsidR="00782148">
        <w:rPr>
          <w:rFonts w:ascii="Times New Roman" w:hAnsi="Times New Roman" w:cs="Times New Roman"/>
          <w:bCs/>
        </w:rPr>
        <w:t xml:space="preserve"> and</w:t>
      </w:r>
      <w:r w:rsidRPr="00293277">
        <w:rPr>
          <w:rFonts w:ascii="Times New Roman" w:hAnsi="Times New Roman" w:cs="Times New Roman"/>
          <w:bCs/>
        </w:rPr>
        <w:t xml:space="preserve"> Kumar </w:t>
      </w:r>
      <w:r w:rsidRPr="00293277">
        <w:rPr>
          <w:rFonts w:ascii="Times New Roman" w:hAnsi="Times New Roman" w:cs="Times New Roman"/>
          <w:bCs/>
          <w:i/>
          <w:iCs/>
        </w:rPr>
        <w:t xml:space="preserve">et al., </w:t>
      </w:r>
      <w:r w:rsidRPr="00293277">
        <w:rPr>
          <w:rFonts w:ascii="Times New Roman" w:hAnsi="Times New Roman" w:cs="Times New Roman"/>
          <w:bCs/>
        </w:rPr>
        <w:t>2019</w:t>
      </w:r>
      <w:r w:rsidR="00916163">
        <w:rPr>
          <w:rFonts w:ascii="Times New Roman" w:hAnsi="Times New Roman" w:cs="Times New Roman"/>
          <w:bCs/>
        </w:rPr>
        <w:t>)</w:t>
      </w:r>
      <w:r w:rsidR="004645E5">
        <w:rPr>
          <w:rFonts w:ascii="Times New Roman" w:hAnsi="Times New Roman" w:cs="Times New Roman"/>
          <w:bCs/>
        </w:rPr>
        <w:t xml:space="preserve"> and papaya (</w:t>
      </w:r>
      <w:r w:rsidR="004645E5" w:rsidRPr="00916163">
        <w:rPr>
          <w:rFonts w:ascii="Times New Roman" w:hAnsi="Times New Roman" w:cs="Times New Roman"/>
          <w:bCs/>
        </w:rPr>
        <w:t xml:space="preserve">Babu </w:t>
      </w:r>
      <w:r w:rsidR="004645E5" w:rsidRPr="00916163">
        <w:rPr>
          <w:rFonts w:ascii="Times New Roman" w:hAnsi="Times New Roman" w:cs="Times New Roman"/>
          <w:bCs/>
          <w:i/>
          <w:iCs/>
        </w:rPr>
        <w:t>et al.</w:t>
      </w:r>
      <w:r w:rsidR="004645E5">
        <w:rPr>
          <w:rFonts w:ascii="Times New Roman" w:hAnsi="Times New Roman" w:cs="Times New Roman"/>
          <w:bCs/>
          <w:i/>
          <w:iCs/>
        </w:rPr>
        <w:t>,</w:t>
      </w:r>
      <w:r w:rsidR="004645E5" w:rsidRPr="00916163">
        <w:rPr>
          <w:rFonts w:ascii="Times New Roman" w:hAnsi="Times New Roman" w:cs="Times New Roman"/>
          <w:bCs/>
        </w:rPr>
        <w:t xml:space="preserve"> 2010</w:t>
      </w:r>
      <w:r w:rsidR="004645E5">
        <w:rPr>
          <w:rFonts w:ascii="Times New Roman" w:hAnsi="Times New Roman" w:cs="Times New Roman"/>
          <w:bCs/>
        </w:rPr>
        <w:t>)</w:t>
      </w:r>
      <w:r w:rsidRPr="00293277">
        <w:rPr>
          <w:rFonts w:ascii="Times New Roman" w:hAnsi="Times New Roman" w:cs="Times New Roman"/>
          <w:bCs/>
        </w:rPr>
        <w:t>.</w:t>
      </w:r>
    </w:p>
    <w:p w14:paraId="5D6DC0C3" w14:textId="17FD6F4D"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Conclusion</w:t>
      </w:r>
    </w:p>
    <w:p w14:paraId="4562C297" w14:textId="467660BD" w:rsidR="00B80BB9" w:rsidRDefault="00B80BB9" w:rsidP="00610940">
      <w:pPr>
        <w:spacing w:after="0" w:line="360" w:lineRule="auto"/>
        <w:ind w:firstLine="720"/>
        <w:jc w:val="both"/>
        <w:rPr>
          <w:rFonts w:ascii="Times New Roman" w:hAnsi="Times New Roman" w:cs="Times New Roman"/>
          <w:bCs/>
        </w:rPr>
      </w:pPr>
      <w:r w:rsidRPr="00B80BB9">
        <w:rPr>
          <w:rFonts w:ascii="Times New Roman" w:hAnsi="Times New Roman" w:cs="Times New Roman"/>
          <w:bCs/>
        </w:rPr>
        <w:t>From the above results, it may be concluded that priming chickpea seeds with optimal dose of hormones have significant effect on seed quality characters and seed vigour. It is also evident that hormonal priming of chickpea seeds with GA</w:t>
      </w:r>
      <w:r w:rsidRPr="00B80BB9">
        <w:rPr>
          <w:rFonts w:ascii="Times New Roman" w:hAnsi="Times New Roman" w:cs="Times New Roman"/>
          <w:bCs/>
          <w:vertAlign w:val="subscript"/>
        </w:rPr>
        <w:t>3</w:t>
      </w:r>
      <w:r w:rsidRPr="00B80BB9">
        <w:rPr>
          <w:rFonts w:ascii="Times New Roman" w:hAnsi="Times New Roman" w:cs="Times New Roman"/>
          <w:bCs/>
        </w:rPr>
        <w:t xml:space="preserve"> @ 100 ppm solution for 8 h</w:t>
      </w:r>
      <w:r w:rsidR="005422F6">
        <w:rPr>
          <w:rFonts w:ascii="Times New Roman" w:hAnsi="Times New Roman" w:cs="Times New Roman"/>
          <w:bCs/>
        </w:rPr>
        <w:t>ours</w:t>
      </w:r>
      <w:r w:rsidRPr="00B80BB9">
        <w:rPr>
          <w:rFonts w:ascii="Times New Roman" w:hAnsi="Times New Roman" w:cs="Times New Roman"/>
          <w:bCs/>
        </w:rPr>
        <w:t xml:space="preserve"> is more effective for getting better seed quality and enhanced vigour.</w:t>
      </w:r>
    </w:p>
    <w:p w14:paraId="466A1E7B" w14:textId="24C1D912" w:rsidR="00D018B5" w:rsidRDefault="00D018B5" w:rsidP="00610940">
      <w:pPr>
        <w:spacing w:after="0" w:line="360" w:lineRule="auto"/>
        <w:ind w:firstLine="720"/>
        <w:jc w:val="both"/>
        <w:rPr>
          <w:rFonts w:ascii="Times New Roman" w:hAnsi="Times New Roman" w:cs="Times New Roman"/>
          <w:bCs/>
        </w:rPr>
      </w:pPr>
    </w:p>
    <w:p w14:paraId="4EBCCBA0" w14:textId="77777777" w:rsidR="00D018B5" w:rsidRPr="00326C70" w:rsidRDefault="00D018B5" w:rsidP="00D018B5">
      <w:pPr>
        <w:rPr>
          <w:rFonts w:ascii="Times New Roman" w:eastAsia="Calibri" w:hAnsi="Times New Roman" w:cs="Times New Roman"/>
          <w:b/>
          <w:bCs/>
        </w:rPr>
      </w:pPr>
      <w:bookmarkStart w:id="2" w:name="_Hlk204003461"/>
      <w:bookmarkStart w:id="3" w:name="_Hlk209007716"/>
      <w:r w:rsidRPr="00326C70">
        <w:rPr>
          <w:rFonts w:ascii="Times New Roman" w:eastAsia="Calibri" w:hAnsi="Times New Roman" w:cs="Times New Roman"/>
          <w:b/>
          <w:bCs/>
        </w:rPr>
        <w:t>Disclaimer (Artificial intelligence)</w:t>
      </w:r>
    </w:p>
    <w:p w14:paraId="1B96B605" w14:textId="77777777" w:rsidR="00D018B5" w:rsidRPr="00326C70" w:rsidRDefault="00D018B5" w:rsidP="00D018B5">
      <w:pPr>
        <w:rPr>
          <w:rFonts w:ascii="Calibri" w:eastAsia="Calibri" w:hAnsi="Calibri" w:cs="Times New Roman"/>
        </w:rPr>
      </w:pPr>
      <w:r w:rsidRPr="00326C70">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24FE1F00" w14:textId="77777777" w:rsidR="00471473" w:rsidRPr="00B80BB9" w:rsidRDefault="00471473" w:rsidP="00F2548B">
      <w:pPr>
        <w:spacing w:after="0" w:line="360" w:lineRule="auto"/>
        <w:jc w:val="both"/>
        <w:rPr>
          <w:rFonts w:ascii="Times New Roman" w:hAnsi="Times New Roman" w:cs="Times New Roman"/>
          <w:bCs/>
        </w:rPr>
      </w:pPr>
    </w:p>
    <w:p w14:paraId="5EDFE0BD" w14:textId="77777777" w:rsidR="00246EFD" w:rsidRDefault="00246EFD" w:rsidP="008E0950">
      <w:pPr>
        <w:spacing w:after="0"/>
        <w:jc w:val="both"/>
        <w:rPr>
          <w:rFonts w:ascii="Times New Roman" w:hAnsi="Times New Roman" w:cs="Times New Roman"/>
          <w:b/>
          <w:bCs/>
        </w:rPr>
      </w:pPr>
    </w:p>
    <w:p w14:paraId="524B11D1" w14:textId="1060711B" w:rsidR="007F528C" w:rsidRDefault="00093E31" w:rsidP="008E0950">
      <w:pPr>
        <w:spacing w:after="0"/>
        <w:jc w:val="both"/>
        <w:rPr>
          <w:rFonts w:ascii="Times New Roman" w:hAnsi="Times New Roman" w:cs="Times New Roman"/>
          <w:b/>
          <w:bCs/>
        </w:rPr>
      </w:pPr>
      <w:r w:rsidRPr="00093E31">
        <w:rPr>
          <w:rFonts w:ascii="Times New Roman" w:hAnsi="Times New Roman" w:cs="Times New Roman"/>
          <w:b/>
          <w:bCs/>
        </w:rPr>
        <w:lastRenderedPageBreak/>
        <w:t>References</w:t>
      </w:r>
    </w:p>
    <w:p w14:paraId="7895E757" w14:textId="01101493" w:rsidR="00916163" w:rsidRDefault="00916163" w:rsidP="004645E5">
      <w:pPr>
        <w:spacing w:after="0"/>
        <w:ind w:left="720" w:hanging="720"/>
        <w:jc w:val="both"/>
        <w:rPr>
          <w:rFonts w:ascii="Times New Roman" w:hAnsi="Times New Roman" w:cs="Times New Roman"/>
        </w:rPr>
      </w:pPr>
      <w:proofErr w:type="spellStart"/>
      <w:r w:rsidRPr="00916163">
        <w:rPr>
          <w:rFonts w:ascii="Times New Roman" w:hAnsi="Times New Roman" w:cs="Times New Roman"/>
        </w:rPr>
        <w:t>Anburani</w:t>
      </w:r>
      <w:proofErr w:type="spellEnd"/>
      <w:r w:rsidRPr="00916163">
        <w:rPr>
          <w:rFonts w:ascii="Times New Roman" w:hAnsi="Times New Roman" w:cs="Times New Roman"/>
        </w:rPr>
        <w:t xml:space="preserve"> A, </w:t>
      </w:r>
      <w:proofErr w:type="spellStart"/>
      <w:r w:rsidRPr="00916163">
        <w:rPr>
          <w:rFonts w:ascii="Times New Roman" w:hAnsi="Times New Roman" w:cs="Times New Roman"/>
        </w:rPr>
        <w:t>Shakila</w:t>
      </w:r>
      <w:proofErr w:type="spellEnd"/>
      <w:r w:rsidRPr="00916163">
        <w:rPr>
          <w:rFonts w:ascii="Times New Roman" w:hAnsi="Times New Roman" w:cs="Times New Roman"/>
        </w:rPr>
        <w:t xml:space="preserve"> A. Influence of seed treatment on the enhancement of germination and seedling vigour of papaya. Acta </w:t>
      </w:r>
      <w:proofErr w:type="spellStart"/>
      <w:r w:rsidRPr="00916163">
        <w:rPr>
          <w:rFonts w:ascii="Times New Roman" w:hAnsi="Times New Roman" w:cs="Times New Roman"/>
        </w:rPr>
        <w:t>Horticulturae</w:t>
      </w:r>
      <w:proofErr w:type="spellEnd"/>
      <w:r w:rsidRPr="00916163">
        <w:rPr>
          <w:rFonts w:ascii="Times New Roman" w:hAnsi="Times New Roman" w:cs="Times New Roman"/>
        </w:rPr>
        <w:t>. 2010; 851:295-298.</w:t>
      </w:r>
    </w:p>
    <w:p w14:paraId="755A09E5" w14:textId="6B655735" w:rsidR="00444040" w:rsidRPr="00444040" w:rsidRDefault="00444040" w:rsidP="004645E5">
      <w:pPr>
        <w:spacing w:after="0"/>
        <w:ind w:left="720" w:hanging="720"/>
        <w:jc w:val="both"/>
        <w:rPr>
          <w:rFonts w:ascii="Times New Roman" w:hAnsi="Times New Roman" w:cs="Times New Roman"/>
        </w:rPr>
      </w:pPr>
      <w:r>
        <w:rPr>
          <w:rFonts w:ascii="Times New Roman" w:hAnsi="Times New Roman" w:cs="Times New Roman"/>
        </w:rPr>
        <w:t xml:space="preserve">Anonymous (2021). United States Department of Agriculture. </w:t>
      </w:r>
      <w:r>
        <w:rPr>
          <w:rFonts w:ascii="Times New Roman" w:hAnsi="Times New Roman" w:cs="Times New Roman"/>
          <w:i/>
          <w:iCs/>
        </w:rPr>
        <w:t>F</w:t>
      </w:r>
      <w:r w:rsidRPr="00444040">
        <w:rPr>
          <w:rFonts w:ascii="Times New Roman" w:hAnsi="Times New Roman" w:cs="Times New Roman"/>
          <w:i/>
          <w:iCs/>
        </w:rPr>
        <w:t>ood</w:t>
      </w:r>
      <w:r>
        <w:rPr>
          <w:rFonts w:ascii="Times New Roman" w:hAnsi="Times New Roman" w:cs="Times New Roman"/>
          <w:i/>
          <w:iCs/>
        </w:rPr>
        <w:t xml:space="preserve"> </w:t>
      </w:r>
      <w:r w:rsidRPr="00444040">
        <w:rPr>
          <w:rFonts w:ascii="Times New Roman" w:hAnsi="Times New Roman" w:cs="Times New Roman"/>
          <w:i/>
          <w:iCs/>
        </w:rPr>
        <w:t>Data Central: Chickpeas</w:t>
      </w:r>
      <w:r>
        <w:rPr>
          <w:rFonts w:ascii="Times New Roman" w:hAnsi="Times New Roman" w:cs="Times New Roman"/>
          <w:i/>
          <w:iCs/>
        </w:rPr>
        <w:t xml:space="preserve">. </w:t>
      </w:r>
      <w:r>
        <w:rPr>
          <w:rFonts w:ascii="Times New Roman" w:hAnsi="Times New Roman" w:cs="Times New Roman"/>
        </w:rPr>
        <w:t>USDA.</w:t>
      </w:r>
    </w:p>
    <w:p w14:paraId="24F7728B" w14:textId="77777777" w:rsidR="007F528C" w:rsidRPr="00093E31" w:rsidRDefault="007F528C" w:rsidP="00BC6E9B">
      <w:pPr>
        <w:spacing w:after="0" w:line="360" w:lineRule="auto"/>
        <w:ind w:left="720" w:hanging="720"/>
        <w:jc w:val="both"/>
        <w:rPr>
          <w:rFonts w:ascii="Times New Roman" w:hAnsi="Times New Roman" w:cs="Times New Roman"/>
        </w:rPr>
      </w:pPr>
      <w:r>
        <w:rPr>
          <w:rFonts w:ascii="Times New Roman" w:hAnsi="Times New Roman" w:cs="Times New Roman"/>
        </w:rPr>
        <w:t xml:space="preserve">Anonymous </w:t>
      </w:r>
      <w:r w:rsidRPr="00093E31">
        <w:rPr>
          <w:rFonts w:ascii="Times New Roman" w:hAnsi="Times New Roman" w:cs="Times New Roman"/>
        </w:rPr>
        <w:t xml:space="preserve">(2022). World food and agriculture - Statistical yearbook 2022. Food and Agriculture Organization of the United Nations. </w:t>
      </w:r>
    </w:p>
    <w:p w14:paraId="43F1FC63" w14:textId="77777777" w:rsidR="007F528C" w:rsidRDefault="007F528C" w:rsidP="00BC6E9B">
      <w:pPr>
        <w:spacing w:after="0" w:line="360" w:lineRule="auto"/>
        <w:ind w:left="720" w:hanging="720"/>
        <w:jc w:val="both"/>
        <w:rPr>
          <w:rFonts w:ascii="Times New Roman" w:hAnsi="Times New Roman" w:cs="Times New Roman"/>
        </w:rPr>
      </w:pPr>
      <w:r w:rsidRPr="00D56499">
        <w:rPr>
          <w:rFonts w:ascii="Times New Roman" w:hAnsi="Times New Roman" w:cs="Times New Roman"/>
        </w:rPr>
        <w:t>Ashraf, M., &amp; Foolad, M. R. (2005). Pre-sowing seed treatment</w:t>
      </w:r>
      <w:r>
        <w:rPr>
          <w:rFonts w:ascii="Times New Roman" w:hAnsi="Times New Roman" w:cs="Times New Roman"/>
        </w:rPr>
        <w:t xml:space="preserve"> </w:t>
      </w:r>
      <w:r w:rsidRPr="00D56499">
        <w:rPr>
          <w:rFonts w:ascii="Times New Roman" w:hAnsi="Times New Roman" w:cs="Times New Roman"/>
        </w:rPr>
        <w:t xml:space="preserve">a shotgun approach to improve germination, plant growth, and crop yield under saline and non-saline conditions. </w:t>
      </w:r>
      <w:r w:rsidRPr="00D56499">
        <w:rPr>
          <w:rFonts w:ascii="Times New Roman" w:hAnsi="Times New Roman" w:cs="Times New Roman"/>
          <w:i/>
          <w:iCs/>
        </w:rPr>
        <w:t xml:space="preserve">Advances in Agronomy, </w:t>
      </w:r>
      <w:r w:rsidRPr="00D56499">
        <w:rPr>
          <w:rFonts w:ascii="Times New Roman" w:hAnsi="Times New Roman" w:cs="Times New Roman"/>
        </w:rPr>
        <w:t>88, 223–271.</w:t>
      </w:r>
    </w:p>
    <w:p w14:paraId="28E39838" w14:textId="33DE8DEC" w:rsidR="004645E5" w:rsidRDefault="004645E5" w:rsidP="00BC6E9B">
      <w:pPr>
        <w:spacing w:after="0" w:line="360" w:lineRule="auto"/>
        <w:ind w:left="720" w:hanging="720"/>
        <w:jc w:val="both"/>
        <w:rPr>
          <w:rFonts w:ascii="Times New Roman" w:hAnsi="Times New Roman" w:cs="Times New Roman"/>
        </w:rPr>
      </w:pPr>
      <w:r w:rsidRPr="004645E5">
        <w:rPr>
          <w:rFonts w:ascii="Times New Roman" w:hAnsi="Times New Roman" w:cs="Times New Roman"/>
        </w:rPr>
        <w:t xml:space="preserve">Babu KD, Patel RK, Singh A, Yadav DS, De LC, Deka BC. Seed germination, seedling growth and vigour of papaya under North east Indian condition. Acta </w:t>
      </w:r>
      <w:proofErr w:type="spellStart"/>
      <w:r w:rsidRPr="004645E5">
        <w:rPr>
          <w:rFonts w:ascii="Times New Roman" w:hAnsi="Times New Roman" w:cs="Times New Roman"/>
        </w:rPr>
        <w:t>Horticulturae</w:t>
      </w:r>
      <w:proofErr w:type="spellEnd"/>
      <w:r w:rsidRPr="004645E5">
        <w:rPr>
          <w:rFonts w:ascii="Times New Roman" w:hAnsi="Times New Roman" w:cs="Times New Roman"/>
        </w:rPr>
        <w:t>. 2010; 851:299-306.</w:t>
      </w:r>
    </w:p>
    <w:p w14:paraId="547FE633" w14:textId="40826ECE" w:rsidR="00382009" w:rsidRPr="00D56499" w:rsidRDefault="00382009" w:rsidP="00BC6E9B">
      <w:pPr>
        <w:spacing w:after="0" w:line="360" w:lineRule="auto"/>
        <w:ind w:left="720" w:hanging="720"/>
        <w:jc w:val="both"/>
        <w:rPr>
          <w:rFonts w:ascii="Times New Roman" w:hAnsi="Times New Roman" w:cs="Times New Roman"/>
        </w:rPr>
      </w:pPr>
      <w:r w:rsidRPr="00382009">
        <w:rPr>
          <w:rFonts w:ascii="Times New Roman" w:hAnsi="Times New Roman" w:cs="Times New Roman"/>
        </w:rPr>
        <w:t>Elangbam, M., Rai, P. K., Lal, G. M., Singh, S., &amp; Vishwas, S. (2017). Effect of growth regulators on germination and vigour of chickpea (</w:t>
      </w:r>
      <w:r w:rsidRPr="00382009">
        <w:rPr>
          <w:rFonts w:ascii="Times New Roman" w:hAnsi="Times New Roman" w:cs="Times New Roman"/>
          <w:i/>
          <w:iCs/>
        </w:rPr>
        <w:t>Cicer arietinum</w:t>
      </w:r>
      <w:r w:rsidRPr="00382009">
        <w:rPr>
          <w:rFonts w:ascii="Times New Roman" w:hAnsi="Times New Roman" w:cs="Times New Roman"/>
        </w:rPr>
        <w:t xml:space="preserve"> L.) seed. </w:t>
      </w:r>
      <w:r w:rsidRPr="00382009">
        <w:rPr>
          <w:rFonts w:ascii="Times New Roman" w:hAnsi="Times New Roman" w:cs="Times New Roman"/>
          <w:i/>
          <w:iCs/>
        </w:rPr>
        <w:t>Journal of Pharmacognosy and Phytochemistry</w:t>
      </w:r>
      <w:r w:rsidRPr="00382009">
        <w:rPr>
          <w:rFonts w:ascii="Times New Roman" w:hAnsi="Times New Roman" w:cs="Times New Roman"/>
        </w:rPr>
        <w:t xml:space="preserve">, </w:t>
      </w:r>
      <w:r w:rsidRPr="00382009">
        <w:rPr>
          <w:rFonts w:ascii="Times New Roman" w:hAnsi="Times New Roman" w:cs="Times New Roman"/>
          <w:i/>
          <w:iCs/>
        </w:rPr>
        <w:t>6</w:t>
      </w:r>
      <w:r w:rsidRPr="00382009">
        <w:rPr>
          <w:rFonts w:ascii="Times New Roman" w:hAnsi="Times New Roman" w:cs="Times New Roman"/>
        </w:rPr>
        <w:t>(4), 31–34.</w:t>
      </w:r>
    </w:p>
    <w:p w14:paraId="356C3D27" w14:textId="77777777" w:rsidR="007F528C" w:rsidRPr="00093E31" w:rsidRDefault="007F528C" w:rsidP="00BC6E9B">
      <w:pPr>
        <w:spacing w:after="0" w:line="360" w:lineRule="auto"/>
        <w:ind w:left="720" w:hanging="720"/>
        <w:jc w:val="both"/>
        <w:rPr>
          <w:rFonts w:ascii="Times New Roman" w:hAnsi="Times New Roman" w:cs="Times New Roman"/>
        </w:rPr>
      </w:pPr>
      <w:r w:rsidRPr="00305C9F">
        <w:rPr>
          <w:rFonts w:ascii="Times New Roman" w:hAnsi="Times New Roman" w:cs="Times New Roman"/>
        </w:rPr>
        <w:t xml:space="preserve">Farooq, M., Basra, S. M. A., Wahid, A., &amp; Nawaz, A. (2006). Physiological role of seed priming in improving the performance of crops under stress environments. </w:t>
      </w:r>
      <w:r w:rsidRPr="00305C9F">
        <w:rPr>
          <w:rFonts w:ascii="Times New Roman" w:hAnsi="Times New Roman" w:cs="Times New Roman"/>
          <w:i/>
          <w:iCs/>
        </w:rPr>
        <w:t>Seed Science and Technology</w:t>
      </w:r>
      <w:r w:rsidRPr="00305C9F">
        <w:rPr>
          <w:rFonts w:ascii="Times New Roman" w:hAnsi="Times New Roman" w:cs="Times New Roman"/>
        </w:rPr>
        <w:t>, 34(3), 503–512.</w:t>
      </w:r>
    </w:p>
    <w:p w14:paraId="1472DD2F" w14:textId="77777777" w:rsidR="007F528C" w:rsidRDefault="007F528C" w:rsidP="00BC6E9B">
      <w:pPr>
        <w:spacing w:after="0" w:line="360" w:lineRule="auto"/>
        <w:ind w:left="720" w:hanging="720"/>
        <w:jc w:val="both"/>
      </w:pPr>
      <w:r w:rsidRPr="00093E31">
        <w:rPr>
          <w:rFonts w:ascii="Times New Roman" w:hAnsi="Times New Roman" w:cs="Times New Roman"/>
        </w:rPr>
        <w:t>Farooq, M., Usman, M., Nadeem, F., Rehman, H., Wahid, A., Basra, S. M. A., &amp; Siddique, K. H. M. (2019). Seed priming in field crops: Potential benefits, adoption and challenges. </w:t>
      </w:r>
      <w:r w:rsidRPr="00093E31">
        <w:rPr>
          <w:rFonts w:ascii="Times New Roman" w:hAnsi="Times New Roman" w:cs="Times New Roman"/>
          <w:i/>
          <w:iCs/>
        </w:rPr>
        <w:t xml:space="preserve">Crop and Pasture Science, </w:t>
      </w:r>
      <w:r w:rsidRPr="000729BA">
        <w:rPr>
          <w:rFonts w:ascii="Times New Roman" w:hAnsi="Times New Roman" w:cs="Times New Roman"/>
        </w:rPr>
        <w:t>70(9), 731-771.</w:t>
      </w:r>
      <w:r>
        <w:t xml:space="preserve"> </w:t>
      </w:r>
    </w:p>
    <w:p w14:paraId="2574F1C1" w14:textId="4DC5A29A" w:rsidR="00D77EA9" w:rsidRPr="00D77EA9" w:rsidRDefault="00D77EA9" w:rsidP="00BC6E9B">
      <w:pPr>
        <w:spacing w:after="0" w:line="360" w:lineRule="auto"/>
        <w:ind w:left="720" w:hanging="720"/>
        <w:jc w:val="both"/>
        <w:rPr>
          <w:rFonts w:ascii="Times New Roman" w:hAnsi="Times New Roman" w:cs="Times New Roman"/>
        </w:rPr>
      </w:pPr>
      <w:r w:rsidRPr="00D77EA9">
        <w:rPr>
          <w:rFonts w:ascii="Times New Roman" w:hAnsi="Times New Roman" w:cs="Times New Roman"/>
        </w:rPr>
        <w:t>Ganesh, S.K., Sundaramoorthy, P., Baskaran, L., Rajesh, M and Rajasekaran, S. 2013. Effect of pre-sowing hardening treatments using various plant growth hormones on two varieties of green gram germination and seedling establishment. </w:t>
      </w:r>
      <w:r w:rsidRPr="00D77EA9">
        <w:rPr>
          <w:rFonts w:ascii="Times New Roman" w:hAnsi="Times New Roman" w:cs="Times New Roman"/>
          <w:i/>
          <w:iCs/>
        </w:rPr>
        <w:t>International Journal of Modern Biology and Medicines</w:t>
      </w:r>
      <w:r w:rsidRPr="00D77EA9">
        <w:rPr>
          <w:rFonts w:ascii="Times New Roman" w:hAnsi="Times New Roman" w:cs="Times New Roman"/>
        </w:rPr>
        <w:t>. 3: 78-87.</w:t>
      </w:r>
    </w:p>
    <w:p w14:paraId="76C8B08A" w14:textId="77777777" w:rsidR="00D77EA9" w:rsidRDefault="00A569A2" w:rsidP="00A569A2">
      <w:pPr>
        <w:pStyle w:val="NormalWeb"/>
        <w:spacing w:before="0" w:beforeAutospacing="0" w:after="0" w:afterAutospacing="0" w:line="360" w:lineRule="auto"/>
        <w:ind w:left="720" w:hanging="720"/>
        <w:jc w:val="both"/>
      </w:pPr>
      <w:r>
        <w:t xml:space="preserve">Holm, T. (1920). A morphological study of </w:t>
      </w:r>
      <w:r>
        <w:rPr>
          <w:rStyle w:val="Emphasis"/>
          <w:rFonts w:eastAsiaTheme="majorEastAsia"/>
        </w:rPr>
        <w:t>Cicer arietinum</w:t>
      </w:r>
      <w:r>
        <w:t xml:space="preserve">. </w:t>
      </w:r>
      <w:r>
        <w:rPr>
          <w:rStyle w:val="Emphasis"/>
          <w:rFonts w:eastAsiaTheme="majorEastAsia"/>
        </w:rPr>
        <w:t>Botanical Gazette</w:t>
      </w:r>
      <w:r>
        <w:t xml:space="preserve">, </w:t>
      </w:r>
      <w:r>
        <w:rPr>
          <w:rStyle w:val="Emphasis"/>
          <w:rFonts w:eastAsiaTheme="majorEastAsia"/>
        </w:rPr>
        <w:t>70</w:t>
      </w:r>
      <w:r>
        <w:t>(6), 446–452.</w:t>
      </w:r>
    </w:p>
    <w:p w14:paraId="620E3610" w14:textId="60E4A332" w:rsidR="00A569A2" w:rsidRDefault="00D77EA9" w:rsidP="00A569A2">
      <w:pPr>
        <w:pStyle w:val="NormalWeb"/>
        <w:spacing w:before="0" w:beforeAutospacing="0" w:after="0" w:afterAutospacing="0" w:line="360" w:lineRule="auto"/>
        <w:ind w:left="720" w:hanging="720"/>
        <w:jc w:val="both"/>
      </w:pPr>
      <w:r w:rsidRPr="00D77EA9">
        <w:t>Islam, M.S., Abdul, M.B.M., Hossain, T., Ahmed, J.U and Khan, H.I. 2012. Priming on embryo emergence and seedling vigour of small-fruited bitter gourd (</w:t>
      </w:r>
      <w:r w:rsidRPr="00D77EA9">
        <w:rPr>
          <w:i/>
          <w:iCs/>
        </w:rPr>
        <w:t xml:space="preserve">Momordica </w:t>
      </w:r>
      <w:proofErr w:type="spellStart"/>
      <w:r w:rsidRPr="00D77EA9">
        <w:rPr>
          <w:i/>
          <w:iCs/>
        </w:rPr>
        <w:t>charantia</w:t>
      </w:r>
      <w:proofErr w:type="spellEnd"/>
      <w:r w:rsidRPr="00D77EA9">
        <w:rPr>
          <w:i/>
          <w:iCs/>
        </w:rPr>
        <w:t> </w:t>
      </w:r>
      <w:r w:rsidRPr="00D77EA9">
        <w:t>L.) under sub-optimal temperature. </w:t>
      </w:r>
      <w:r w:rsidRPr="00D77EA9">
        <w:rPr>
          <w:i/>
          <w:iCs/>
        </w:rPr>
        <w:t>International Journal of Agricultural Science Research</w:t>
      </w:r>
      <w:r w:rsidRPr="00D77EA9">
        <w:t>. 2: 1-10.</w:t>
      </w:r>
      <w:r w:rsidR="00A569A2">
        <w:t xml:space="preserve"> </w:t>
      </w:r>
    </w:p>
    <w:p w14:paraId="0A53A355" w14:textId="0066D7F3" w:rsidR="004E3E99" w:rsidRDefault="004E3E99" w:rsidP="00A569A2">
      <w:pPr>
        <w:pStyle w:val="NormalWeb"/>
        <w:spacing w:before="0" w:beforeAutospacing="0" w:after="0" w:afterAutospacing="0" w:line="360" w:lineRule="auto"/>
        <w:ind w:left="720" w:hanging="720"/>
        <w:jc w:val="both"/>
      </w:pPr>
      <w:r w:rsidRPr="004E3E99">
        <w:lastRenderedPageBreak/>
        <w:t>Iqbal, M and Ashraf, M. 2007. Seed treatment with auxins modulates growth and ion partitioning in salt stressed wheat plants. </w:t>
      </w:r>
      <w:r w:rsidRPr="004E3E99">
        <w:rPr>
          <w:i/>
          <w:iCs/>
        </w:rPr>
        <w:t>International Journal of Plant Biology</w:t>
      </w:r>
      <w:r w:rsidRPr="004E3E99">
        <w:t>. 49: 1003-1015.</w:t>
      </w:r>
    </w:p>
    <w:p w14:paraId="39DE1917" w14:textId="77777777" w:rsidR="00771072" w:rsidRPr="00464B83" w:rsidRDefault="00771072" w:rsidP="00771072">
      <w:pPr>
        <w:spacing w:after="0" w:line="360" w:lineRule="auto"/>
        <w:ind w:left="720" w:hanging="720"/>
        <w:jc w:val="both"/>
        <w:rPr>
          <w:rFonts w:ascii="Times New Roman" w:hAnsi="Times New Roman" w:cs="Times New Roman"/>
        </w:rPr>
      </w:pPr>
      <w:r w:rsidRPr="00464B83">
        <w:rPr>
          <w:rFonts w:ascii="Times New Roman" w:hAnsi="Times New Roman" w:cs="Times New Roman"/>
        </w:rPr>
        <w:t xml:space="preserve">Johnson, N., Johnson, C. R., </w:t>
      </w:r>
      <w:proofErr w:type="spellStart"/>
      <w:r w:rsidRPr="00464B83">
        <w:rPr>
          <w:rFonts w:ascii="Times New Roman" w:hAnsi="Times New Roman" w:cs="Times New Roman"/>
        </w:rPr>
        <w:t>Thavarajah</w:t>
      </w:r>
      <w:proofErr w:type="spellEnd"/>
      <w:r w:rsidRPr="00464B83">
        <w:rPr>
          <w:rFonts w:ascii="Times New Roman" w:hAnsi="Times New Roman" w:cs="Times New Roman"/>
        </w:rPr>
        <w:t xml:space="preserve">, P., Kumar, S., and </w:t>
      </w:r>
      <w:proofErr w:type="spellStart"/>
      <w:r w:rsidRPr="00464B83">
        <w:rPr>
          <w:rFonts w:ascii="Times New Roman" w:hAnsi="Times New Roman" w:cs="Times New Roman"/>
        </w:rPr>
        <w:t>Thavarajah</w:t>
      </w:r>
      <w:proofErr w:type="spellEnd"/>
      <w:r w:rsidRPr="00464B83">
        <w:rPr>
          <w:rFonts w:ascii="Times New Roman" w:hAnsi="Times New Roman" w:cs="Times New Roman"/>
        </w:rPr>
        <w:t>, D. (2020). The roles and potential of lentil prebiotic carbohydrates in human and plant health. </w:t>
      </w:r>
      <w:r w:rsidRPr="00464B83">
        <w:rPr>
          <w:rFonts w:ascii="Times New Roman" w:hAnsi="Times New Roman" w:cs="Times New Roman"/>
          <w:i/>
          <w:iCs/>
        </w:rPr>
        <w:t>Plants People Planet</w:t>
      </w:r>
      <w:r w:rsidRPr="00464B83">
        <w:rPr>
          <w:rFonts w:ascii="Times New Roman" w:hAnsi="Times New Roman" w:cs="Times New Roman"/>
        </w:rPr>
        <w:t xml:space="preserve"> 2019, 310–319. </w:t>
      </w:r>
    </w:p>
    <w:p w14:paraId="3779FF5E" w14:textId="4FAF7177" w:rsidR="00A569A2" w:rsidRPr="00464B83" w:rsidRDefault="00A569A2" w:rsidP="00A569A2">
      <w:pPr>
        <w:spacing w:after="0" w:line="360" w:lineRule="auto"/>
        <w:ind w:left="720" w:hanging="720"/>
        <w:jc w:val="both"/>
        <w:rPr>
          <w:rFonts w:ascii="Times New Roman" w:hAnsi="Times New Roman" w:cs="Times New Roman"/>
        </w:rPr>
      </w:pPr>
      <w:proofErr w:type="spellStart"/>
      <w:r w:rsidRPr="00464B83">
        <w:rPr>
          <w:rFonts w:ascii="Times New Roman" w:hAnsi="Times New Roman" w:cs="Times New Roman"/>
        </w:rPr>
        <w:t>Jukanti</w:t>
      </w:r>
      <w:proofErr w:type="spellEnd"/>
      <w:r w:rsidRPr="00464B83">
        <w:rPr>
          <w:rFonts w:ascii="Times New Roman" w:hAnsi="Times New Roman" w:cs="Times New Roman"/>
        </w:rPr>
        <w:t xml:space="preserve">, A. K., Gaur, P. M., Gowda, C. L. L., and </w:t>
      </w:r>
      <w:proofErr w:type="spellStart"/>
      <w:r w:rsidRPr="00464B83">
        <w:rPr>
          <w:rFonts w:ascii="Times New Roman" w:hAnsi="Times New Roman" w:cs="Times New Roman"/>
        </w:rPr>
        <w:t>Chibbar</w:t>
      </w:r>
      <w:proofErr w:type="spellEnd"/>
      <w:r w:rsidRPr="00464B83">
        <w:rPr>
          <w:rFonts w:ascii="Times New Roman" w:hAnsi="Times New Roman" w:cs="Times New Roman"/>
        </w:rPr>
        <w:t>, R. N. (2012). Nutritional quality and health benefits of chickpea (</w:t>
      </w:r>
      <w:r w:rsidRPr="00464B83">
        <w:rPr>
          <w:rFonts w:ascii="Times New Roman" w:hAnsi="Times New Roman" w:cs="Times New Roman"/>
          <w:i/>
          <w:iCs/>
        </w:rPr>
        <w:t>Cicer arietinum</w:t>
      </w:r>
      <w:r w:rsidRPr="00464B83">
        <w:rPr>
          <w:rFonts w:ascii="Times New Roman" w:hAnsi="Times New Roman" w:cs="Times New Roman"/>
        </w:rPr>
        <w:t> L.): A review. </w:t>
      </w:r>
      <w:r w:rsidRPr="00464B83">
        <w:rPr>
          <w:rFonts w:ascii="Times New Roman" w:hAnsi="Times New Roman" w:cs="Times New Roman"/>
          <w:i/>
          <w:iCs/>
        </w:rPr>
        <w:t xml:space="preserve">Br. J. </w:t>
      </w:r>
      <w:proofErr w:type="spellStart"/>
      <w:r w:rsidRPr="00464B83">
        <w:rPr>
          <w:rFonts w:ascii="Times New Roman" w:hAnsi="Times New Roman" w:cs="Times New Roman"/>
          <w:i/>
          <w:iCs/>
        </w:rPr>
        <w:t>Nutr</w:t>
      </w:r>
      <w:proofErr w:type="spellEnd"/>
      <w:r w:rsidRPr="00464B83">
        <w:rPr>
          <w:rFonts w:ascii="Times New Roman" w:hAnsi="Times New Roman" w:cs="Times New Roman"/>
          <w:i/>
          <w:iCs/>
        </w:rPr>
        <w:t>.</w:t>
      </w:r>
      <w:r w:rsidRPr="00464B83">
        <w:rPr>
          <w:rFonts w:ascii="Times New Roman" w:hAnsi="Times New Roman" w:cs="Times New Roman"/>
        </w:rPr>
        <w:t> 108(Suppl. 1), S11–S26.</w:t>
      </w:r>
    </w:p>
    <w:p w14:paraId="1E2AFA47" w14:textId="77777777" w:rsidR="007F528C" w:rsidRDefault="007F528C" w:rsidP="00BC6E9B">
      <w:pPr>
        <w:spacing w:after="0" w:line="360" w:lineRule="auto"/>
        <w:ind w:left="720" w:hanging="720"/>
        <w:jc w:val="both"/>
        <w:rPr>
          <w:rFonts w:ascii="Times New Roman" w:hAnsi="Times New Roman" w:cs="Times New Roman"/>
        </w:rPr>
      </w:pPr>
      <w:r w:rsidRPr="003256F8">
        <w:rPr>
          <w:rFonts w:ascii="Times New Roman" w:hAnsi="Times New Roman" w:cs="Times New Roman"/>
        </w:rPr>
        <w:t xml:space="preserve">Khan, N. A., Samiullah, Nazar, R., &amp; Lone, P. M. (2009). Hormonal priming alleviates adverse effects of salinity and drought stress in crop plants. In M. Ashraf, M. Ozturk, &amp; H. R. Athar (Eds.), </w:t>
      </w:r>
      <w:r w:rsidRPr="003256F8">
        <w:rPr>
          <w:rFonts w:ascii="Times New Roman" w:hAnsi="Times New Roman" w:cs="Times New Roman"/>
          <w:i/>
          <w:iCs/>
        </w:rPr>
        <w:t>Salinity and water stress</w:t>
      </w:r>
      <w:r w:rsidRPr="003256F8">
        <w:rPr>
          <w:rFonts w:ascii="Times New Roman" w:hAnsi="Times New Roman" w:cs="Times New Roman"/>
        </w:rPr>
        <w:t xml:space="preserve"> (pp. 123–145). Springer.</w:t>
      </w:r>
    </w:p>
    <w:p w14:paraId="71D02884" w14:textId="77777777" w:rsidR="007F528C" w:rsidRPr="00464B83" w:rsidRDefault="007F528C" w:rsidP="00BC6E9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Kumar, A., Yadav, R., Singh, P., Singh, M., Kumar, P., &amp; Singh, R.K. (2019). Effect of seed-priming through chemicals on seed enhancement in chickpea (Cicer arietinum L.).</w:t>
      </w:r>
      <w:r w:rsidRPr="00464B83">
        <w:rPr>
          <w:rFonts w:ascii="Times New Roman" w:hAnsi="Times New Roman" w:cs="Times New Roman"/>
          <w:i/>
          <w:iCs/>
        </w:rPr>
        <w:t xml:space="preserve"> International Journal of Chemical Studies,</w:t>
      </w:r>
      <w:r w:rsidRPr="00D335D8">
        <w:rPr>
          <w:rFonts w:ascii="Times New Roman" w:hAnsi="Times New Roman" w:cs="Times New Roman"/>
        </w:rPr>
        <w:t xml:space="preserve"> 7, 3390-3393. </w:t>
      </w:r>
      <w:r w:rsidRPr="00464B83">
        <w:rPr>
          <w:rFonts w:ascii="Times New Roman" w:hAnsi="Times New Roman" w:cs="Times New Roman"/>
          <w:i/>
          <w:iCs/>
        </w:rPr>
        <w:t xml:space="preserve"> </w:t>
      </w:r>
    </w:p>
    <w:p w14:paraId="59AF4F08" w14:textId="77777777" w:rsidR="007F528C" w:rsidRPr="00093E31"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Kumar, J., Basu, P. S., Srivastava, E., Chaturvedi, S. K., Nadarajan, N., &amp; Kumar, S. (2020). Abiotic stresses in chickpea: Status and crop improvement strategies. </w:t>
      </w:r>
      <w:r w:rsidRPr="00093E31">
        <w:rPr>
          <w:rFonts w:ascii="Times New Roman" w:hAnsi="Times New Roman" w:cs="Times New Roman"/>
          <w:i/>
          <w:iCs/>
        </w:rPr>
        <w:t xml:space="preserve">Journal of Environmental Biology, </w:t>
      </w:r>
      <w:r w:rsidRPr="00A871A1">
        <w:rPr>
          <w:rFonts w:ascii="Times New Roman" w:hAnsi="Times New Roman" w:cs="Times New Roman"/>
        </w:rPr>
        <w:t>41(5), 851-862.</w:t>
      </w:r>
      <w:r w:rsidRPr="00093E31">
        <w:rPr>
          <w:rFonts w:ascii="Times New Roman" w:hAnsi="Times New Roman" w:cs="Times New Roman"/>
        </w:rPr>
        <w:t xml:space="preserve">  </w:t>
      </w:r>
    </w:p>
    <w:p w14:paraId="3577C225" w14:textId="77777777" w:rsidR="007F528C" w:rsidRPr="00931E46" w:rsidRDefault="007F528C" w:rsidP="00BC6E9B">
      <w:pPr>
        <w:spacing w:after="0" w:line="360" w:lineRule="auto"/>
        <w:ind w:left="720" w:hanging="720"/>
        <w:jc w:val="both"/>
        <w:rPr>
          <w:rFonts w:ascii="Times New Roman" w:hAnsi="Times New Roman" w:cs="Times New Roman"/>
        </w:rPr>
      </w:pPr>
      <w:r w:rsidRPr="00931E46">
        <w:rPr>
          <w:rFonts w:ascii="Times New Roman" w:hAnsi="Times New Roman" w:cs="Times New Roman"/>
        </w:rPr>
        <w:t xml:space="preserve">Kumar, S., Singh, G., &amp; Rathi, N. (2019). </w:t>
      </w:r>
      <w:r w:rsidRPr="00FE4F4F">
        <w:rPr>
          <w:rFonts w:ascii="Times New Roman" w:hAnsi="Times New Roman" w:cs="Times New Roman"/>
        </w:rPr>
        <w:t>Impact of climatic variation on chickpea production in central India.</w:t>
      </w:r>
      <w:r w:rsidRPr="00FE4F4F">
        <w:rPr>
          <w:rFonts w:ascii="Times New Roman" w:hAnsi="Times New Roman" w:cs="Times New Roman"/>
          <w:i/>
          <w:iCs/>
        </w:rPr>
        <w:t xml:space="preserve"> Journal of Agrometeorology,</w:t>
      </w:r>
      <w:r w:rsidRPr="00931E46">
        <w:rPr>
          <w:rFonts w:ascii="Times New Roman" w:hAnsi="Times New Roman" w:cs="Times New Roman"/>
        </w:rPr>
        <w:t xml:space="preserve"> 21(2), 170–174.</w:t>
      </w:r>
    </w:p>
    <w:p w14:paraId="4E5FCFEB" w14:textId="77777777" w:rsidR="007F528C"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 xml:space="preserve">Paparella, S., Araújo, S. S., Rossi, G., Wijayasinghe, M., </w:t>
      </w:r>
      <w:proofErr w:type="spellStart"/>
      <w:r w:rsidRPr="00093E31">
        <w:rPr>
          <w:rFonts w:ascii="Times New Roman" w:hAnsi="Times New Roman" w:cs="Times New Roman"/>
        </w:rPr>
        <w:t>Carbonera</w:t>
      </w:r>
      <w:proofErr w:type="spellEnd"/>
      <w:r w:rsidRPr="00093E31">
        <w:rPr>
          <w:rFonts w:ascii="Times New Roman" w:hAnsi="Times New Roman" w:cs="Times New Roman"/>
        </w:rPr>
        <w:t xml:space="preserve">, D., &amp; </w:t>
      </w:r>
      <w:proofErr w:type="spellStart"/>
      <w:r w:rsidRPr="00093E31">
        <w:rPr>
          <w:rFonts w:ascii="Times New Roman" w:hAnsi="Times New Roman" w:cs="Times New Roman"/>
        </w:rPr>
        <w:t>Balestrazzi</w:t>
      </w:r>
      <w:proofErr w:type="spellEnd"/>
      <w:r w:rsidRPr="00093E31">
        <w:rPr>
          <w:rFonts w:ascii="Times New Roman" w:hAnsi="Times New Roman" w:cs="Times New Roman"/>
        </w:rPr>
        <w:t>, A. (2015). Seed priming: State of the art and new perspectives. </w:t>
      </w:r>
      <w:r w:rsidRPr="00093E31">
        <w:rPr>
          <w:rFonts w:ascii="Times New Roman" w:hAnsi="Times New Roman" w:cs="Times New Roman"/>
          <w:i/>
          <w:iCs/>
        </w:rPr>
        <w:t xml:space="preserve">Plant Cell Reports, </w:t>
      </w:r>
      <w:r w:rsidRPr="00A871A1">
        <w:rPr>
          <w:rFonts w:ascii="Times New Roman" w:hAnsi="Times New Roman" w:cs="Times New Roman"/>
        </w:rPr>
        <w:t>34(</w:t>
      </w:r>
      <w:r w:rsidRPr="00093E31">
        <w:rPr>
          <w:rFonts w:ascii="Times New Roman" w:hAnsi="Times New Roman" w:cs="Times New Roman"/>
        </w:rPr>
        <w:t>8), 1281-1293. </w:t>
      </w:r>
    </w:p>
    <w:p w14:paraId="4CB85957" w14:textId="77777777" w:rsidR="007F528C" w:rsidRPr="00464B83" w:rsidRDefault="007F528C" w:rsidP="00BC6E9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 xml:space="preserve">Parimala, K., Swarnalatha Devi, I., Padmasri, A., &amp; Murthy, V. R. K. (2017). Effect of priming on germination and seedling quality parameters of chickpea (Cicer arietinum L.). </w:t>
      </w:r>
      <w:r w:rsidRPr="00464B83">
        <w:rPr>
          <w:rFonts w:ascii="Times New Roman" w:hAnsi="Times New Roman" w:cs="Times New Roman"/>
          <w:i/>
          <w:iCs/>
        </w:rPr>
        <w:t xml:space="preserve">The Andhra Agricultural Journal, </w:t>
      </w:r>
      <w:r w:rsidRPr="00DD7B9C">
        <w:rPr>
          <w:rFonts w:ascii="Times New Roman" w:hAnsi="Times New Roman" w:cs="Times New Roman"/>
        </w:rPr>
        <w:t>64(2), 276–280.</w:t>
      </w:r>
    </w:p>
    <w:p w14:paraId="29BA1C95" w14:textId="77777777" w:rsidR="00771072" w:rsidRDefault="007F528C" w:rsidP="00BC6E9B">
      <w:pPr>
        <w:spacing w:after="0" w:line="360" w:lineRule="auto"/>
        <w:ind w:left="720" w:hanging="720"/>
        <w:jc w:val="both"/>
        <w:rPr>
          <w:rFonts w:ascii="Times New Roman" w:hAnsi="Times New Roman" w:cs="Times New Roman"/>
        </w:rPr>
      </w:pPr>
      <w:proofErr w:type="spellStart"/>
      <w:r w:rsidRPr="007E4AE8">
        <w:rPr>
          <w:rFonts w:ascii="Times New Roman" w:hAnsi="Times New Roman" w:cs="Times New Roman"/>
        </w:rPr>
        <w:t>Passioura</w:t>
      </w:r>
      <w:proofErr w:type="spellEnd"/>
      <w:r w:rsidRPr="007E4AE8">
        <w:rPr>
          <w:rFonts w:ascii="Times New Roman" w:hAnsi="Times New Roman" w:cs="Times New Roman"/>
        </w:rPr>
        <w:t xml:space="preserve">, J. B. (2006). Increasing crop productivity when water is scarce – from breeding to field management. </w:t>
      </w:r>
      <w:r w:rsidRPr="007E4AE8">
        <w:rPr>
          <w:rFonts w:ascii="Times New Roman" w:hAnsi="Times New Roman" w:cs="Times New Roman"/>
          <w:i/>
          <w:iCs/>
        </w:rPr>
        <w:t xml:space="preserve">Agricultural Water Management, </w:t>
      </w:r>
      <w:r w:rsidRPr="00F83B46">
        <w:rPr>
          <w:rFonts w:ascii="Times New Roman" w:hAnsi="Times New Roman" w:cs="Times New Roman"/>
        </w:rPr>
        <w:t>80(1–3), 176–196</w:t>
      </w:r>
      <w:r w:rsidRPr="007E4AE8">
        <w:rPr>
          <w:rFonts w:ascii="Times New Roman" w:hAnsi="Times New Roman" w:cs="Times New Roman"/>
        </w:rPr>
        <w:t>.</w:t>
      </w:r>
    </w:p>
    <w:p w14:paraId="574838D1" w14:textId="303698F7" w:rsidR="007F528C" w:rsidRDefault="00771072"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Peterbauer, T., and Richter, A. (2001). Biochemistry and physiology of Raffinose family oligosaccharides and galactosyl cyclitols in seeds biochemistry and physiology of raffinose family oligosaccharides and galactosyl cyclitols in seeds. </w:t>
      </w:r>
      <w:r w:rsidRPr="00464B83">
        <w:rPr>
          <w:rFonts w:ascii="Times New Roman" w:hAnsi="Times New Roman" w:cs="Times New Roman"/>
          <w:i/>
          <w:iCs/>
        </w:rPr>
        <w:t>Seed Sci. Res.</w:t>
      </w:r>
      <w:r w:rsidRPr="00464B83">
        <w:rPr>
          <w:rFonts w:ascii="Times New Roman" w:hAnsi="Times New Roman" w:cs="Times New Roman"/>
        </w:rPr>
        <w:t> 11, 185–197.</w:t>
      </w:r>
    </w:p>
    <w:p w14:paraId="6436D900" w14:textId="77777777" w:rsidR="004E3E99"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lastRenderedPageBreak/>
        <w:t xml:space="preserve">Pushpavalli, R., Zaman-Allah, M., Turner, N. C., Baddam, R., Rao, M. V., &amp; </w:t>
      </w:r>
      <w:proofErr w:type="spellStart"/>
      <w:r w:rsidRPr="00093E31">
        <w:rPr>
          <w:rFonts w:ascii="Times New Roman" w:hAnsi="Times New Roman" w:cs="Times New Roman"/>
        </w:rPr>
        <w:t>Vadez</w:t>
      </w:r>
      <w:proofErr w:type="spellEnd"/>
      <w:r w:rsidRPr="00093E31">
        <w:rPr>
          <w:rFonts w:ascii="Times New Roman" w:hAnsi="Times New Roman" w:cs="Times New Roman"/>
        </w:rPr>
        <w:t>, V. (2020). Higher flower and seed number leads to higher yield under water stress conditions imposed during reproduction in chickpea. </w:t>
      </w:r>
      <w:r w:rsidRPr="00093E31">
        <w:rPr>
          <w:rFonts w:ascii="Times New Roman" w:hAnsi="Times New Roman" w:cs="Times New Roman"/>
          <w:i/>
          <w:iCs/>
        </w:rPr>
        <w:t xml:space="preserve">Functional Plant Biology, </w:t>
      </w:r>
      <w:r w:rsidRPr="00F83B46">
        <w:rPr>
          <w:rFonts w:ascii="Times New Roman" w:hAnsi="Times New Roman" w:cs="Times New Roman"/>
        </w:rPr>
        <w:t>47(</w:t>
      </w:r>
      <w:r w:rsidRPr="00093E31">
        <w:rPr>
          <w:rFonts w:ascii="Times New Roman" w:hAnsi="Times New Roman" w:cs="Times New Roman"/>
        </w:rPr>
        <w:t>2), 162-174. </w:t>
      </w:r>
    </w:p>
    <w:p w14:paraId="08B89E71" w14:textId="24DCBFCB" w:rsidR="007F528C" w:rsidRDefault="004E3E99" w:rsidP="00BC6E9B">
      <w:pPr>
        <w:spacing w:after="0" w:line="360" w:lineRule="auto"/>
        <w:ind w:left="720" w:hanging="720"/>
        <w:jc w:val="both"/>
        <w:rPr>
          <w:rFonts w:ascii="Times New Roman" w:hAnsi="Times New Roman" w:cs="Times New Roman"/>
        </w:rPr>
      </w:pPr>
      <w:r w:rsidRPr="004E3E99">
        <w:rPr>
          <w:rFonts w:ascii="Times New Roman" w:hAnsi="Times New Roman" w:cs="Times New Roman"/>
        </w:rPr>
        <w:t xml:space="preserve">Rashid, A., Harris, D., Hollington, P.A and Rafiq, M. 2004. Improving the yield of </w:t>
      </w:r>
      <w:proofErr w:type="spellStart"/>
      <w:r w:rsidRPr="004E3E99">
        <w:rPr>
          <w:rFonts w:ascii="Times New Roman" w:hAnsi="Times New Roman" w:cs="Times New Roman"/>
        </w:rPr>
        <w:t>mungbean</w:t>
      </w:r>
      <w:proofErr w:type="spellEnd"/>
      <w:r w:rsidRPr="004E3E99">
        <w:rPr>
          <w:rFonts w:ascii="Times New Roman" w:hAnsi="Times New Roman" w:cs="Times New Roman"/>
        </w:rPr>
        <w:t xml:space="preserve"> (</w:t>
      </w:r>
      <w:r w:rsidRPr="004E3E99">
        <w:rPr>
          <w:rFonts w:ascii="Times New Roman" w:hAnsi="Times New Roman" w:cs="Times New Roman"/>
          <w:i/>
          <w:iCs/>
        </w:rPr>
        <w:t>Vigna radiata</w:t>
      </w:r>
      <w:r w:rsidRPr="004E3E99">
        <w:rPr>
          <w:rFonts w:ascii="Times New Roman" w:hAnsi="Times New Roman" w:cs="Times New Roman"/>
        </w:rPr>
        <w:t>) in the north-west frontier province of Pakistan using on-farm seed priming. </w:t>
      </w:r>
      <w:r w:rsidRPr="004E3E99">
        <w:rPr>
          <w:rFonts w:ascii="Times New Roman" w:hAnsi="Times New Roman" w:cs="Times New Roman"/>
          <w:i/>
          <w:iCs/>
        </w:rPr>
        <w:t>Experimental Agriculture</w:t>
      </w:r>
      <w:r w:rsidRPr="004E3E99">
        <w:rPr>
          <w:rFonts w:ascii="Times New Roman" w:hAnsi="Times New Roman" w:cs="Times New Roman"/>
        </w:rPr>
        <w:t>. 40: 233-244.</w:t>
      </w:r>
      <w:r w:rsidR="007F528C" w:rsidRPr="00093E31">
        <w:rPr>
          <w:rFonts w:ascii="Times New Roman" w:hAnsi="Times New Roman" w:cs="Times New Roman"/>
        </w:rPr>
        <w:t xml:space="preserve"> </w:t>
      </w:r>
    </w:p>
    <w:p w14:paraId="69527604" w14:textId="4EBE61E2" w:rsidR="00771072" w:rsidRPr="00464B83" w:rsidRDefault="00771072" w:rsidP="00771072">
      <w:pPr>
        <w:spacing w:after="0" w:line="360" w:lineRule="auto"/>
        <w:ind w:left="720" w:hanging="720"/>
        <w:jc w:val="both"/>
        <w:rPr>
          <w:rFonts w:ascii="Times New Roman" w:hAnsi="Times New Roman" w:cs="Times New Roman"/>
        </w:rPr>
      </w:pPr>
      <w:proofErr w:type="spellStart"/>
      <w:r w:rsidRPr="00464B83">
        <w:rPr>
          <w:rFonts w:ascii="Times New Roman" w:hAnsi="Times New Roman" w:cs="Times New Roman"/>
        </w:rPr>
        <w:t>Roberfroid</w:t>
      </w:r>
      <w:proofErr w:type="spellEnd"/>
      <w:r w:rsidRPr="00464B83">
        <w:rPr>
          <w:rFonts w:ascii="Times New Roman" w:hAnsi="Times New Roman" w:cs="Times New Roman"/>
        </w:rPr>
        <w:t>, M., Gibson, G. R., Hoyles, L., McCartney, A. L., Rastall, R., Rowland, I., et al. (2009). Prebiotic effects: metabolic and health benefits. </w:t>
      </w:r>
      <w:r w:rsidRPr="00464B83">
        <w:rPr>
          <w:rFonts w:ascii="Times New Roman" w:hAnsi="Times New Roman" w:cs="Times New Roman"/>
          <w:i/>
          <w:iCs/>
        </w:rPr>
        <w:t xml:space="preserve">Br. J. </w:t>
      </w:r>
      <w:proofErr w:type="spellStart"/>
      <w:r w:rsidRPr="00464B83">
        <w:rPr>
          <w:rFonts w:ascii="Times New Roman" w:hAnsi="Times New Roman" w:cs="Times New Roman"/>
          <w:i/>
          <w:iCs/>
        </w:rPr>
        <w:t>Nutr</w:t>
      </w:r>
      <w:proofErr w:type="spellEnd"/>
      <w:r w:rsidRPr="00464B83">
        <w:rPr>
          <w:rFonts w:ascii="Times New Roman" w:hAnsi="Times New Roman" w:cs="Times New Roman"/>
          <w:i/>
          <w:iCs/>
        </w:rPr>
        <w:t>.</w:t>
      </w:r>
      <w:r w:rsidRPr="00464B83">
        <w:rPr>
          <w:rFonts w:ascii="Times New Roman" w:hAnsi="Times New Roman" w:cs="Times New Roman"/>
        </w:rPr>
        <w:t xml:space="preserve"> 101, 1–63. </w:t>
      </w:r>
    </w:p>
    <w:p w14:paraId="2DA319D6" w14:textId="77777777" w:rsidR="007F528C" w:rsidRDefault="007F528C" w:rsidP="00BC6E9B">
      <w:pPr>
        <w:spacing w:after="0" w:line="360" w:lineRule="auto"/>
        <w:ind w:left="720" w:hanging="720"/>
        <w:jc w:val="both"/>
        <w:rPr>
          <w:rFonts w:ascii="Times New Roman" w:hAnsi="Times New Roman" w:cs="Times New Roman"/>
        </w:rPr>
      </w:pPr>
      <w:r w:rsidRPr="00020D0A">
        <w:rPr>
          <w:rFonts w:ascii="Times New Roman" w:hAnsi="Times New Roman" w:cs="Times New Roman"/>
        </w:rPr>
        <w:t>Shareef Jennada, Naik, V. S., Reddy, K. B., &amp; Vasundhara, S. (2023). Impact of seed priming with chemicals on seed quality of chickpea (</w:t>
      </w:r>
      <w:r w:rsidRPr="00020D0A">
        <w:rPr>
          <w:rFonts w:ascii="Times New Roman" w:hAnsi="Times New Roman" w:cs="Times New Roman"/>
          <w:i/>
          <w:iCs/>
        </w:rPr>
        <w:t>Cicer arietinum</w:t>
      </w:r>
      <w:r w:rsidRPr="00020D0A">
        <w:rPr>
          <w:rFonts w:ascii="Times New Roman" w:hAnsi="Times New Roman" w:cs="Times New Roman"/>
        </w:rPr>
        <w:t xml:space="preserve"> L.). </w:t>
      </w:r>
      <w:r w:rsidRPr="00020D0A">
        <w:rPr>
          <w:rFonts w:ascii="Times New Roman" w:hAnsi="Times New Roman" w:cs="Times New Roman"/>
          <w:i/>
          <w:iCs/>
        </w:rPr>
        <w:t xml:space="preserve">Andhra Pradesh Journal of Agricultural Sciences, </w:t>
      </w:r>
      <w:r w:rsidRPr="00F91DCB">
        <w:rPr>
          <w:rFonts w:ascii="Times New Roman" w:hAnsi="Times New Roman" w:cs="Times New Roman"/>
        </w:rPr>
        <w:t>9(2)</w:t>
      </w:r>
      <w:r w:rsidRPr="00020D0A">
        <w:rPr>
          <w:rFonts w:ascii="Times New Roman" w:hAnsi="Times New Roman" w:cs="Times New Roman"/>
        </w:rPr>
        <w:t>, 140–146.</w:t>
      </w:r>
    </w:p>
    <w:p w14:paraId="6522F6D7" w14:textId="77777777" w:rsidR="007F528C" w:rsidRDefault="007F528C" w:rsidP="00BC6E9B">
      <w:pPr>
        <w:spacing w:after="0" w:line="360" w:lineRule="auto"/>
        <w:ind w:left="720" w:hanging="720"/>
        <w:jc w:val="both"/>
        <w:rPr>
          <w:rFonts w:ascii="Times New Roman" w:hAnsi="Times New Roman" w:cs="Times New Roman"/>
        </w:rPr>
      </w:pPr>
      <w:r w:rsidRPr="002029CF">
        <w:rPr>
          <w:rFonts w:ascii="Times New Roman" w:hAnsi="Times New Roman" w:cs="Times New Roman"/>
        </w:rPr>
        <w:t xml:space="preserve">Singh, G., Bhatt, B. P., &amp; Gupta, U. S. (2018). Seed quality deterioration and techniques for its enhancement in pulse crops. </w:t>
      </w:r>
      <w:r w:rsidRPr="002029CF">
        <w:rPr>
          <w:rFonts w:ascii="Times New Roman" w:hAnsi="Times New Roman" w:cs="Times New Roman"/>
          <w:i/>
          <w:iCs/>
        </w:rPr>
        <w:t>Legume Research</w:t>
      </w:r>
      <w:r w:rsidRPr="002029CF">
        <w:rPr>
          <w:rFonts w:ascii="Times New Roman" w:hAnsi="Times New Roman" w:cs="Times New Roman"/>
        </w:rPr>
        <w:t>, 41(5), 627–634.</w:t>
      </w:r>
    </w:p>
    <w:p w14:paraId="0964769E" w14:textId="77777777" w:rsidR="007F528C"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Singh, N., &amp; Verma, R. (2021).</w:t>
      </w:r>
      <w:r>
        <w:rPr>
          <w:rFonts w:ascii="Times New Roman" w:hAnsi="Times New Roman" w:cs="Times New Roman"/>
        </w:rPr>
        <w:t xml:space="preserve"> </w:t>
      </w:r>
      <w:r w:rsidRPr="00372A78">
        <w:rPr>
          <w:rFonts w:ascii="Times New Roman" w:hAnsi="Times New Roman" w:cs="Times New Roman"/>
        </w:rPr>
        <w:t>Optimizing irrigation for chickpea yield.</w:t>
      </w:r>
      <w:r w:rsidRPr="00464B83">
        <w:rPr>
          <w:rFonts w:ascii="Times New Roman" w:hAnsi="Times New Roman" w:cs="Times New Roman"/>
        </w:rPr>
        <w:t xml:space="preserve"> </w:t>
      </w:r>
      <w:r w:rsidRPr="00372A78">
        <w:rPr>
          <w:rFonts w:ascii="Times New Roman" w:hAnsi="Times New Roman" w:cs="Times New Roman"/>
          <w:i/>
          <w:iCs/>
        </w:rPr>
        <w:t>Advances in Crop Science,</w:t>
      </w:r>
      <w:r w:rsidRPr="00464B83">
        <w:rPr>
          <w:rFonts w:ascii="Times New Roman" w:hAnsi="Times New Roman" w:cs="Times New Roman"/>
        </w:rPr>
        <w:t xml:space="preserve"> 18(2), 101-108.</w:t>
      </w:r>
    </w:p>
    <w:p w14:paraId="5B636CC6" w14:textId="65CD4F6B" w:rsidR="00D77EA9" w:rsidRDefault="00D77EA9" w:rsidP="00BC6E9B">
      <w:pPr>
        <w:spacing w:after="0" w:line="360" w:lineRule="auto"/>
        <w:ind w:left="720" w:hanging="720"/>
        <w:jc w:val="both"/>
        <w:rPr>
          <w:rFonts w:ascii="Times New Roman" w:hAnsi="Times New Roman" w:cs="Times New Roman"/>
        </w:rPr>
      </w:pPr>
      <w:r w:rsidRPr="00D77EA9">
        <w:rPr>
          <w:rFonts w:ascii="Times New Roman" w:hAnsi="Times New Roman" w:cs="Times New Roman"/>
        </w:rPr>
        <w:t xml:space="preserve">Sivakumar, R and Nandhita, G.K. 2017. Impact of PGRs and nutrient pre-soaking on seed germination and seedling characters of </w:t>
      </w:r>
      <w:proofErr w:type="spellStart"/>
      <w:r w:rsidRPr="00D77EA9">
        <w:rPr>
          <w:rFonts w:ascii="Times New Roman" w:hAnsi="Times New Roman" w:cs="Times New Roman"/>
        </w:rPr>
        <w:t>mungbean</w:t>
      </w:r>
      <w:proofErr w:type="spellEnd"/>
      <w:r w:rsidRPr="00D77EA9">
        <w:rPr>
          <w:rFonts w:ascii="Times New Roman" w:hAnsi="Times New Roman" w:cs="Times New Roman"/>
        </w:rPr>
        <w:t xml:space="preserve"> under salt stress. </w:t>
      </w:r>
      <w:r w:rsidRPr="00D77EA9">
        <w:rPr>
          <w:rFonts w:ascii="Times New Roman" w:hAnsi="Times New Roman" w:cs="Times New Roman"/>
          <w:i/>
          <w:iCs/>
        </w:rPr>
        <w:t>Legume Research</w:t>
      </w:r>
      <w:r w:rsidRPr="00D77EA9">
        <w:rPr>
          <w:rFonts w:ascii="Times New Roman" w:hAnsi="Times New Roman" w:cs="Times New Roman"/>
        </w:rPr>
        <w:t>. 40: 125-131.</w:t>
      </w:r>
    </w:p>
    <w:p w14:paraId="6E273D13" w14:textId="77777777" w:rsidR="007F528C" w:rsidRDefault="007F528C" w:rsidP="00BC6E9B">
      <w:pPr>
        <w:spacing w:after="0" w:line="360" w:lineRule="auto"/>
        <w:ind w:left="720" w:hanging="720"/>
        <w:jc w:val="both"/>
        <w:rPr>
          <w:rFonts w:ascii="Times New Roman" w:hAnsi="Times New Roman" w:cs="Times New Roman"/>
        </w:rPr>
      </w:pPr>
      <w:r w:rsidRPr="00931E46">
        <w:rPr>
          <w:rFonts w:ascii="Times New Roman" w:hAnsi="Times New Roman" w:cs="Times New Roman"/>
        </w:rPr>
        <w:t xml:space="preserve">Singh, R., Tiwari, A. K., &amp; Pandey, S. (2021). </w:t>
      </w:r>
      <w:r w:rsidRPr="00FE4F4F">
        <w:rPr>
          <w:rFonts w:ascii="Times New Roman" w:hAnsi="Times New Roman" w:cs="Times New Roman"/>
        </w:rPr>
        <w:t>Effect of micronutrient application on growth and yield of chickpea in alluvial soils</w:t>
      </w:r>
      <w:r w:rsidRPr="00931E46">
        <w:rPr>
          <w:rFonts w:ascii="Times New Roman" w:hAnsi="Times New Roman" w:cs="Times New Roman"/>
        </w:rPr>
        <w:t xml:space="preserve">. </w:t>
      </w:r>
      <w:r w:rsidRPr="00FE4F4F">
        <w:rPr>
          <w:rFonts w:ascii="Times New Roman" w:hAnsi="Times New Roman" w:cs="Times New Roman"/>
          <w:i/>
          <w:iCs/>
        </w:rPr>
        <w:t>Legume Research,</w:t>
      </w:r>
      <w:r w:rsidRPr="00931E46">
        <w:rPr>
          <w:rFonts w:ascii="Times New Roman" w:hAnsi="Times New Roman" w:cs="Times New Roman"/>
        </w:rPr>
        <w:t xml:space="preserve"> 44(8), 998–1002.</w:t>
      </w:r>
    </w:p>
    <w:p w14:paraId="725EEC26" w14:textId="77777777" w:rsidR="007F528C" w:rsidRDefault="007F528C" w:rsidP="00BC6E9B">
      <w:pPr>
        <w:spacing w:after="0" w:line="360" w:lineRule="auto"/>
        <w:ind w:left="720" w:hanging="720"/>
        <w:jc w:val="both"/>
        <w:rPr>
          <w:rFonts w:ascii="Times New Roman" w:hAnsi="Times New Roman" w:cs="Times New Roman"/>
        </w:rPr>
      </w:pPr>
      <w:r w:rsidRPr="003256F8">
        <w:rPr>
          <w:rFonts w:ascii="Times New Roman" w:hAnsi="Times New Roman" w:cs="Times New Roman"/>
        </w:rPr>
        <w:t xml:space="preserve">Taiz, L., Zeiger, E., Møller, I. M., &amp; Murphy, A. (2015). </w:t>
      </w:r>
      <w:r w:rsidRPr="003256F8">
        <w:rPr>
          <w:rFonts w:ascii="Times New Roman" w:hAnsi="Times New Roman" w:cs="Times New Roman"/>
          <w:i/>
          <w:iCs/>
        </w:rPr>
        <w:t>Plant physiology and development</w:t>
      </w:r>
      <w:r w:rsidRPr="003256F8">
        <w:rPr>
          <w:rFonts w:ascii="Times New Roman" w:hAnsi="Times New Roman" w:cs="Times New Roman"/>
        </w:rPr>
        <w:t xml:space="preserve"> (6th ed.).</w:t>
      </w:r>
      <w:r>
        <w:rPr>
          <w:rFonts w:ascii="Times New Roman" w:hAnsi="Times New Roman" w:cs="Times New Roman"/>
        </w:rPr>
        <w:t xml:space="preserve"> </w:t>
      </w:r>
      <w:r w:rsidRPr="003256F8">
        <w:rPr>
          <w:rFonts w:ascii="Times New Roman" w:hAnsi="Times New Roman" w:cs="Times New Roman"/>
        </w:rPr>
        <w:t>Sinauer Associates.</w:t>
      </w:r>
    </w:p>
    <w:p w14:paraId="3E965D86" w14:textId="77777777" w:rsidR="007F528C"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 xml:space="preserve">Tiwari, T. N., &amp; Agarwal, D. K. (2021). The effect of seed priming in chickpea under sodic soil. </w:t>
      </w:r>
      <w:r w:rsidRPr="00464B83">
        <w:rPr>
          <w:rFonts w:ascii="Times New Roman" w:hAnsi="Times New Roman" w:cs="Times New Roman"/>
          <w:i/>
          <w:iCs/>
        </w:rPr>
        <w:t>Journal of Food Legumes,</w:t>
      </w:r>
      <w:r w:rsidRPr="00464B83">
        <w:rPr>
          <w:rFonts w:ascii="Times New Roman" w:hAnsi="Times New Roman" w:cs="Times New Roman"/>
        </w:rPr>
        <w:t xml:space="preserve"> 34(2), 99–104.</w:t>
      </w:r>
    </w:p>
    <w:p w14:paraId="6E0A6DAA" w14:textId="77777777" w:rsidR="0041336B" w:rsidRPr="00464B83" w:rsidRDefault="0041336B" w:rsidP="0041336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Tiwari, T. N., Kamal, D., Singh, R. K., &amp; Prasad, S. R. (2015). Plant growth regulators priming enhances seed quality and enzymes activity in mung bean (Vigna radiata L.).</w:t>
      </w:r>
      <w:r w:rsidRPr="00464B83">
        <w:rPr>
          <w:rFonts w:ascii="Times New Roman" w:hAnsi="Times New Roman" w:cs="Times New Roman"/>
          <w:i/>
          <w:iCs/>
        </w:rPr>
        <w:t xml:space="preserve"> Annals of Agricultural Research, 36(4), 350-357.</w:t>
      </w:r>
    </w:p>
    <w:p w14:paraId="2A964322" w14:textId="77777777" w:rsidR="00D77EA9" w:rsidRDefault="00D77EA9" w:rsidP="00BC6E9B">
      <w:pPr>
        <w:spacing w:after="0" w:line="360" w:lineRule="auto"/>
        <w:ind w:left="720" w:hanging="720"/>
        <w:jc w:val="both"/>
        <w:rPr>
          <w:rFonts w:ascii="Times New Roman" w:hAnsi="Times New Roman" w:cs="Times New Roman"/>
        </w:rPr>
      </w:pPr>
      <w:r w:rsidRPr="00D77EA9">
        <w:rPr>
          <w:rFonts w:ascii="Times New Roman" w:hAnsi="Times New Roman" w:cs="Times New Roman"/>
        </w:rPr>
        <w:t xml:space="preserve">Tiwari, T.N., Kamal, D., Kumar, V., Chaturvedi, A.K and Prasad, S.R. 2013. Relative efficacy of in- organic salt as priming agent n germination, vigour, nitrate assimilation and yield in </w:t>
      </w:r>
      <w:proofErr w:type="spellStart"/>
      <w:r w:rsidRPr="00D77EA9">
        <w:rPr>
          <w:rFonts w:ascii="Times New Roman" w:hAnsi="Times New Roman" w:cs="Times New Roman"/>
        </w:rPr>
        <w:t>mungbean</w:t>
      </w:r>
      <w:proofErr w:type="spellEnd"/>
      <w:r w:rsidRPr="00D77EA9">
        <w:rPr>
          <w:rFonts w:ascii="Times New Roman" w:hAnsi="Times New Roman" w:cs="Times New Roman"/>
        </w:rPr>
        <w:t xml:space="preserve"> (</w:t>
      </w:r>
      <w:r w:rsidRPr="00D77EA9">
        <w:rPr>
          <w:rFonts w:ascii="Times New Roman" w:hAnsi="Times New Roman" w:cs="Times New Roman"/>
          <w:i/>
          <w:iCs/>
        </w:rPr>
        <w:t>Vigna radiata </w:t>
      </w:r>
      <w:r w:rsidRPr="00D77EA9">
        <w:rPr>
          <w:rFonts w:ascii="Times New Roman" w:hAnsi="Times New Roman" w:cs="Times New Roman"/>
        </w:rPr>
        <w:t>L.). </w:t>
      </w:r>
      <w:r w:rsidRPr="00D77EA9">
        <w:rPr>
          <w:rFonts w:ascii="Times New Roman" w:hAnsi="Times New Roman" w:cs="Times New Roman"/>
          <w:i/>
          <w:iCs/>
        </w:rPr>
        <w:t>Seed Research</w:t>
      </w:r>
      <w:r w:rsidRPr="00D77EA9">
        <w:rPr>
          <w:rFonts w:ascii="Times New Roman" w:hAnsi="Times New Roman" w:cs="Times New Roman"/>
        </w:rPr>
        <w:t>. 41(2): 180-189.</w:t>
      </w:r>
    </w:p>
    <w:p w14:paraId="6226465E" w14:textId="208F0A99" w:rsidR="007F528C" w:rsidRDefault="007F528C" w:rsidP="00BC6E9B">
      <w:pPr>
        <w:spacing w:after="0" w:line="360" w:lineRule="auto"/>
        <w:ind w:left="720" w:hanging="720"/>
        <w:jc w:val="both"/>
        <w:rPr>
          <w:rFonts w:ascii="Times New Roman" w:hAnsi="Times New Roman" w:cs="Times New Roman"/>
        </w:rPr>
      </w:pPr>
      <w:r w:rsidRPr="002029CF">
        <w:rPr>
          <w:rFonts w:ascii="Times New Roman" w:hAnsi="Times New Roman" w:cs="Times New Roman"/>
        </w:rPr>
        <w:lastRenderedPageBreak/>
        <w:t xml:space="preserve">Toker, C., Lluch, C., Tejera, N. A., </w:t>
      </w:r>
      <w:proofErr w:type="spellStart"/>
      <w:r w:rsidRPr="002029CF">
        <w:rPr>
          <w:rFonts w:ascii="Times New Roman" w:hAnsi="Times New Roman" w:cs="Times New Roman"/>
        </w:rPr>
        <w:t>Serraj</w:t>
      </w:r>
      <w:proofErr w:type="spellEnd"/>
      <w:r w:rsidRPr="002029CF">
        <w:rPr>
          <w:rFonts w:ascii="Times New Roman" w:hAnsi="Times New Roman" w:cs="Times New Roman"/>
        </w:rPr>
        <w:t xml:space="preserve">, R., &amp; Siddique, K. H. M. (2007). Abiotic stress in chickpea: Physiological and agronomic approaches. </w:t>
      </w:r>
      <w:r w:rsidRPr="002029CF">
        <w:rPr>
          <w:rFonts w:ascii="Times New Roman" w:hAnsi="Times New Roman" w:cs="Times New Roman"/>
          <w:i/>
          <w:iCs/>
        </w:rPr>
        <w:t>Field Crops Research</w:t>
      </w:r>
      <w:r w:rsidRPr="002029CF">
        <w:rPr>
          <w:rFonts w:ascii="Times New Roman" w:hAnsi="Times New Roman" w:cs="Times New Roman"/>
        </w:rPr>
        <w:t>, 104(1–3), 1–12.</w:t>
      </w:r>
    </w:p>
    <w:p w14:paraId="5EAA3605" w14:textId="77777777" w:rsidR="00A569A2" w:rsidRDefault="00A569A2" w:rsidP="00A569A2">
      <w:pPr>
        <w:pStyle w:val="NormalWeb"/>
        <w:spacing w:before="0" w:beforeAutospacing="0" w:after="0" w:afterAutospacing="0" w:line="360" w:lineRule="auto"/>
        <w:ind w:left="720" w:hanging="720"/>
        <w:jc w:val="both"/>
      </w:pPr>
      <w:r>
        <w:t xml:space="preserve">Van der Maesen, L. J. G. (1987). Origin, history, and taxonomy of chickpea. In M. C. Saxena &amp; K. B. Singh (Eds.), </w:t>
      </w:r>
      <w:r>
        <w:rPr>
          <w:rStyle w:val="Emphasis"/>
          <w:rFonts w:eastAsiaTheme="majorEastAsia"/>
        </w:rPr>
        <w:t>The chickpea</w:t>
      </w:r>
      <w:r>
        <w:t xml:space="preserve"> (pp. 11–34). CAB International.</w:t>
      </w:r>
    </w:p>
    <w:p w14:paraId="79DA9DEC" w14:textId="78807A8F" w:rsidR="00A569A2" w:rsidRDefault="00A569A2" w:rsidP="00A569A2">
      <w:pPr>
        <w:spacing w:after="0" w:line="360" w:lineRule="auto"/>
        <w:ind w:left="720" w:hanging="720"/>
        <w:jc w:val="both"/>
        <w:rPr>
          <w:rFonts w:ascii="Times New Roman" w:hAnsi="Times New Roman" w:cs="Times New Roman"/>
        </w:rPr>
      </w:pPr>
      <w:r w:rsidRPr="00464B83">
        <w:rPr>
          <w:rFonts w:ascii="Times New Roman" w:hAnsi="Times New Roman" w:cs="Times New Roman"/>
        </w:rPr>
        <w:t>Varshney, R. K., Song, C., Saxena, R. K., Azam, S., Yu, S., Sharpe, A. G., (2013). Draft genome sequence of chickpea (</w:t>
      </w:r>
      <w:r w:rsidRPr="00464B83">
        <w:rPr>
          <w:rFonts w:ascii="Times New Roman" w:hAnsi="Times New Roman" w:cs="Times New Roman"/>
          <w:i/>
          <w:iCs/>
        </w:rPr>
        <w:t>Cicer arietinum</w:t>
      </w:r>
      <w:r w:rsidRPr="00464B83">
        <w:rPr>
          <w:rFonts w:ascii="Times New Roman" w:hAnsi="Times New Roman" w:cs="Times New Roman"/>
        </w:rPr>
        <w:t>) provides a resource for trait improvement. </w:t>
      </w:r>
      <w:r w:rsidRPr="00464B83">
        <w:rPr>
          <w:rFonts w:ascii="Times New Roman" w:hAnsi="Times New Roman" w:cs="Times New Roman"/>
          <w:i/>
          <w:iCs/>
        </w:rPr>
        <w:t xml:space="preserve">Nat. </w:t>
      </w:r>
      <w:proofErr w:type="spellStart"/>
      <w:r w:rsidRPr="00464B83">
        <w:rPr>
          <w:rFonts w:ascii="Times New Roman" w:hAnsi="Times New Roman" w:cs="Times New Roman"/>
          <w:i/>
          <w:iCs/>
        </w:rPr>
        <w:t>Biotechnol</w:t>
      </w:r>
      <w:proofErr w:type="spellEnd"/>
      <w:r w:rsidRPr="00464B83">
        <w:rPr>
          <w:rFonts w:ascii="Times New Roman" w:hAnsi="Times New Roman" w:cs="Times New Roman"/>
          <w:i/>
          <w:iCs/>
        </w:rPr>
        <w:t>.</w:t>
      </w:r>
      <w:r w:rsidRPr="00464B83">
        <w:rPr>
          <w:rFonts w:ascii="Times New Roman" w:hAnsi="Times New Roman" w:cs="Times New Roman"/>
        </w:rPr>
        <w:t xml:space="preserve"> 31, 240–246. </w:t>
      </w:r>
    </w:p>
    <w:p w14:paraId="27D00880" w14:textId="7E0493F9" w:rsidR="00A569A2" w:rsidRPr="00246EFD" w:rsidRDefault="00A569A2" w:rsidP="00A569A2">
      <w:pPr>
        <w:spacing w:after="0" w:line="360" w:lineRule="auto"/>
        <w:ind w:left="720" w:hanging="720"/>
        <w:jc w:val="both"/>
        <w:rPr>
          <w:rFonts w:ascii="Times New Roman" w:hAnsi="Times New Roman" w:cs="Times New Roman"/>
        </w:rPr>
      </w:pPr>
    </w:p>
    <w:p w14:paraId="5801A055" w14:textId="1841CA5A" w:rsidR="00771072" w:rsidRPr="00464B83" w:rsidRDefault="00771072" w:rsidP="00771072">
      <w:pPr>
        <w:spacing w:after="0" w:line="360" w:lineRule="auto"/>
        <w:ind w:left="720" w:hanging="720"/>
        <w:jc w:val="both"/>
        <w:rPr>
          <w:rFonts w:ascii="Times New Roman" w:hAnsi="Times New Roman" w:cs="Times New Roman"/>
        </w:rPr>
      </w:pPr>
    </w:p>
    <w:p w14:paraId="0ED1F5D1" w14:textId="77777777" w:rsidR="00A569A2" w:rsidRPr="00A569A2" w:rsidRDefault="00A569A2" w:rsidP="00A569A2">
      <w:pPr>
        <w:spacing w:after="0" w:line="360" w:lineRule="auto"/>
        <w:ind w:left="720" w:hanging="720"/>
        <w:jc w:val="both"/>
        <w:rPr>
          <w:rFonts w:ascii="Times New Roman" w:hAnsi="Times New Roman" w:cs="Times New Roman"/>
        </w:rPr>
      </w:pPr>
    </w:p>
    <w:p w14:paraId="2C3B4BE0" w14:textId="77777777" w:rsidR="00A569A2" w:rsidRDefault="00A569A2" w:rsidP="00BC6E9B">
      <w:pPr>
        <w:spacing w:after="0" w:line="360" w:lineRule="auto"/>
        <w:ind w:left="720" w:hanging="720"/>
        <w:jc w:val="both"/>
        <w:rPr>
          <w:rFonts w:ascii="Times New Roman" w:hAnsi="Times New Roman" w:cs="Times New Roman"/>
        </w:rPr>
      </w:pPr>
    </w:p>
    <w:p w14:paraId="77C40E81" w14:textId="77777777" w:rsidR="00231CB4" w:rsidRDefault="00231CB4" w:rsidP="004935BF">
      <w:pPr>
        <w:spacing w:after="0" w:line="360" w:lineRule="auto"/>
        <w:jc w:val="both"/>
        <w:rPr>
          <w:rFonts w:ascii="Times New Roman" w:hAnsi="Times New Roman" w:cs="Times New Roman"/>
        </w:rPr>
      </w:pPr>
    </w:p>
    <w:p w14:paraId="40DF2ECF" w14:textId="77777777" w:rsidR="00931E46" w:rsidRDefault="00931E46" w:rsidP="00931E46">
      <w:pPr>
        <w:rPr>
          <w:rFonts w:ascii="Times New Roman" w:hAnsi="Times New Roman" w:cs="Times New Roman"/>
        </w:rPr>
      </w:pPr>
    </w:p>
    <w:p w14:paraId="5BB8E873" w14:textId="2DC8872A" w:rsidR="00931E46" w:rsidRPr="00931E46" w:rsidRDefault="00931E46" w:rsidP="00931E46">
      <w:pPr>
        <w:rPr>
          <w:rFonts w:ascii="Times New Roman" w:hAnsi="Times New Roman" w:cs="Times New Roman"/>
        </w:rPr>
        <w:sectPr w:rsidR="00931E46" w:rsidRPr="00931E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F585B71" w14:textId="4F873727" w:rsidR="00E46284" w:rsidRPr="00C11631" w:rsidRDefault="006662F6" w:rsidP="00ED14A9">
      <w:pPr>
        <w:rPr>
          <w:rFonts w:ascii="Times New Roman" w:hAnsi="Times New Roman" w:cs="Times New Roman"/>
          <w:b/>
          <w:bCs/>
        </w:rPr>
      </w:pPr>
      <w:r w:rsidRPr="00C11631">
        <w:rPr>
          <w:rFonts w:ascii="Times New Roman" w:hAnsi="Times New Roman" w:cs="Times New Roman"/>
          <w:b/>
          <w:bCs/>
        </w:rPr>
        <w:lastRenderedPageBreak/>
        <w:t xml:space="preserve">Table 1: </w:t>
      </w:r>
      <w:r w:rsidR="00095DBF" w:rsidRPr="00C11631">
        <w:rPr>
          <w:rFonts w:ascii="Times New Roman" w:hAnsi="Times New Roman" w:cs="Times New Roman"/>
          <w:b/>
          <w:bCs/>
        </w:rPr>
        <w:t>Effect of priming</w:t>
      </w:r>
      <w:r w:rsidR="00810753" w:rsidRPr="00C11631">
        <w:rPr>
          <w:rFonts w:ascii="Times New Roman" w:hAnsi="Times New Roman" w:cs="Times New Roman"/>
          <w:b/>
          <w:bCs/>
        </w:rPr>
        <w:t xml:space="preserve"> with plant growth regulators</w:t>
      </w:r>
      <w:r w:rsidR="00095DBF" w:rsidRPr="00C11631">
        <w:rPr>
          <w:rFonts w:ascii="Times New Roman" w:hAnsi="Times New Roman" w:cs="Times New Roman"/>
          <w:b/>
          <w:bCs/>
        </w:rPr>
        <w:t xml:space="preserve"> on </w:t>
      </w:r>
      <w:r w:rsidR="00946B39" w:rsidRPr="00C11631">
        <w:rPr>
          <w:rFonts w:ascii="Times New Roman" w:hAnsi="Times New Roman" w:cs="Times New Roman"/>
          <w:b/>
          <w:bCs/>
        </w:rPr>
        <w:t xml:space="preserve">seed quality and vigour characteristics </w:t>
      </w:r>
      <w:r w:rsidR="00E8656B" w:rsidRPr="00C11631">
        <w:rPr>
          <w:rFonts w:ascii="Times New Roman" w:hAnsi="Times New Roman" w:cs="Times New Roman"/>
          <w:b/>
          <w:bCs/>
        </w:rPr>
        <w:t>of</w:t>
      </w:r>
      <w:r w:rsidR="00946B39" w:rsidRPr="00C11631">
        <w:rPr>
          <w:rFonts w:ascii="Times New Roman" w:hAnsi="Times New Roman" w:cs="Times New Roman"/>
          <w:b/>
          <w:bCs/>
        </w:rPr>
        <w:t xml:space="preserve"> chickpea</w:t>
      </w:r>
      <w:r w:rsidR="00F23A22">
        <w:rPr>
          <w:rFonts w:ascii="Times New Roman" w:hAnsi="Times New Roman" w:cs="Times New Roman"/>
          <w:b/>
          <w:bCs/>
        </w:rPr>
        <w:t xml:space="preserve"> (Pooled)</w:t>
      </w:r>
      <w:r w:rsidR="00C11631">
        <w:rPr>
          <w:rFonts w:ascii="Times New Roman" w:hAnsi="Times New Roman" w:cs="Times New Roman"/>
          <w:b/>
          <w:bCs/>
        </w:rPr>
        <w:t>.</w:t>
      </w:r>
    </w:p>
    <w:tbl>
      <w:tblPr>
        <w:tblW w:w="5000" w:type="pct"/>
        <w:tblLook w:val="04A0" w:firstRow="1" w:lastRow="0" w:firstColumn="1" w:lastColumn="0" w:noHBand="0" w:noVBand="1"/>
      </w:tblPr>
      <w:tblGrid>
        <w:gridCol w:w="2212"/>
        <w:gridCol w:w="1261"/>
        <w:gridCol w:w="1261"/>
        <w:gridCol w:w="1261"/>
        <w:gridCol w:w="1122"/>
        <w:gridCol w:w="1316"/>
        <w:gridCol w:w="917"/>
        <w:gridCol w:w="939"/>
        <w:gridCol w:w="1029"/>
        <w:gridCol w:w="816"/>
        <w:gridCol w:w="816"/>
      </w:tblGrid>
      <w:tr w:rsidR="00B6656D" w:rsidRPr="00F23A22" w14:paraId="0BDA4A99" w14:textId="77777777" w:rsidTr="00F23A22">
        <w:trPr>
          <w:trHeight w:val="586"/>
        </w:trPr>
        <w:tc>
          <w:tcPr>
            <w:tcW w:w="885" w:type="pct"/>
            <w:tcBorders>
              <w:top w:val="single" w:sz="4" w:space="0" w:color="auto"/>
              <w:left w:val="single" w:sz="4" w:space="0" w:color="auto"/>
              <w:bottom w:val="single" w:sz="4" w:space="0" w:color="auto"/>
              <w:right w:val="single" w:sz="4" w:space="0" w:color="auto"/>
            </w:tcBorders>
            <w:vAlign w:val="center"/>
            <w:hideMark/>
          </w:tcPr>
          <w:p w14:paraId="527B0A85" w14:textId="1646A1A0" w:rsidR="006662F6" w:rsidRPr="00F23A22" w:rsidRDefault="00491A4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Treatments</w:t>
            </w:r>
          </w:p>
        </w:tc>
        <w:tc>
          <w:tcPr>
            <w:tcW w:w="446" w:type="pct"/>
            <w:tcBorders>
              <w:top w:val="single" w:sz="4" w:space="0" w:color="auto"/>
              <w:left w:val="nil"/>
              <w:bottom w:val="single" w:sz="4" w:space="0" w:color="auto"/>
              <w:right w:val="single" w:sz="4" w:space="0" w:color="auto"/>
            </w:tcBorders>
            <w:hideMark/>
          </w:tcPr>
          <w:p w14:paraId="554F7AA4"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Standard germination %</w:t>
            </w:r>
          </w:p>
        </w:tc>
        <w:tc>
          <w:tcPr>
            <w:tcW w:w="446" w:type="pct"/>
            <w:tcBorders>
              <w:top w:val="single" w:sz="4" w:space="0" w:color="auto"/>
              <w:left w:val="nil"/>
              <w:bottom w:val="single" w:sz="4" w:space="0" w:color="auto"/>
              <w:right w:val="single" w:sz="4" w:space="0" w:color="auto"/>
            </w:tcBorders>
            <w:hideMark/>
          </w:tcPr>
          <w:p w14:paraId="6520B5C0"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Peak value of germination %</w:t>
            </w:r>
          </w:p>
        </w:tc>
        <w:tc>
          <w:tcPr>
            <w:tcW w:w="446" w:type="pct"/>
            <w:tcBorders>
              <w:top w:val="single" w:sz="4" w:space="0" w:color="auto"/>
              <w:left w:val="nil"/>
              <w:bottom w:val="single" w:sz="4" w:space="0" w:color="auto"/>
              <w:right w:val="single" w:sz="4" w:space="0" w:color="auto"/>
            </w:tcBorders>
            <w:hideMark/>
          </w:tcPr>
          <w:p w14:paraId="32E96E3A"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Mean daily germination %</w:t>
            </w:r>
          </w:p>
        </w:tc>
        <w:tc>
          <w:tcPr>
            <w:tcW w:w="464" w:type="pct"/>
            <w:tcBorders>
              <w:top w:val="single" w:sz="4" w:space="0" w:color="auto"/>
              <w:left w:val="nil"/>
              <w:bottom w:val="single" w:sz="4" w:space="0" w:color="auto"/>
              <w:right w:val="single" w:sz="4" w:space="0" w:color="auto"/>
            </w:tcBorders>
            <w:hideMark/>
          </w:tcPr>
          <w:p w14:paraId="40367AFE"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Relative growth index</w:t>
            </w:r>
          </w:p>
        </w:tc>
        <w:tc>
          <w:tcPr>
            <w:tcW w:w="466" w:type="pct"/>
            <w:tcBorders>
              <w:top w:val="single" w:sz="4" w:space="0" w:color="auto"/>
              <w:left w:val="nil"/>
              <w:bottom w:val="single" w:sz="4" w:space="0" w:color="auto"/>
              <w:right w:val="single" w:sz="4" w:space="0" w:color="auto"/>
            </w:tcBorders>
            <w:hideMark/>
          </w:tcPr>
          <w:p w14:paraId="05192689"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Germination value</w:t>
            </w:r>
          </w:p>
        </w:tc>
        <w:tc>
          <w:tcPr>
            <w:tcW w:w="384" w:type="pct"/>
            <w:tcBorders>
              <w:top w:val="single" w:sz="4" w:space="0" w:color="auto"/>
              <w:left w:val="nil"/>
              <w:bottom w:val="single" w:sz="4" w:space="0" w:color="auto"/>
              <w:right w:val="single" w:sz="4" w:space="0" w:color="auto"/>
            </w:tcBorders>
            <w:hideMark/>
          </w:tcPr>
          <w:p w14:paraId="30E81B74"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Seed viability %</w:t>
            </w:r>
          </w:p>
        </w:tc>
        <w:tc>
          <w:tcPr>
            <w:tcW w:w="346" w:type="pct"/>
            <w:tcBorders>
              <w:top w:val="single" w:sz="4" w:space="0" w:color="auto"/>
              <w:left w:val="nil"/>
              <w:bottom w:val="single" w:sz="4" w:space="0" w:color="auto"/>
              <w:right w:val="single" w:sz="4" w:space="0" w:color="auto"/>
            </w:tcBorders>
            <w:hideMark/>
          </w:tcPr>
          <w:p w14:paraId="53720822"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Seedling length (cm)</w:t>
            </w:r>
          </w:p>
        </w:tc>
        <w:tc>
          <w:tcPr>
            <w:tcW w:w="428" w:type="pct"/>
            <w:tcBorders>
              <w:top w:val="single" w:sz="4" w:space="0" w:color="auto"/>
              <w:left w:val="nil"/>
              <w:bottom w:val="single" w:sz="4" w:space="0" w:color="auto"/>
              <w:right w:val="single" w:sz="4" w:space="0" w:color="auto"/>
            </w:tcBorders>
            <w:hideMark/>
          </w:tcPr>
          <w:p w14:paraId="58AED5C5"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Seedling dry weight (g)</w:t>
            </w:r>
          </w:p>
        </w:tc>
        <w:tc>
          <w:tcPr>
            <w:tcW w:w="335" w:type="pct"/>
            <w:tcBorders>
              <w:top w:val="single" w:sz="4" w:space="0" w:color="auto"/>
              <w:left w:val="nil"/>
              <w:bottom w:val="single" w:sz="4" w:space="0" w:color="auto"/>
              <w:right w:val="single" w:sz="4" w:space="0" w:color="auto"/>
            </w:tcBorders>
            <w:hideMark/>
          </w:tcPr>
          <w:p w14:paraId="464BC31A"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Vigour index- I</w:t>
            </w:r>
          </w:p>
        </w:tc>
        <w:tc>
          <w:tcPr>
            <w:tcW w:w="354" w:type="pct"/>
            <w:tcBorders>
              <w:top w:val="single" w:sz="4" w:space="0" w:color="auto"/>
              <w:left w:val="nil"/>
              <w:bottom w:val="single" w:sz="4" w:space="0" w:color="auto"/>
              <w:right w:val="single" w:sz="4" w:space="0" w:color="auto"/>
            </w:tcBorders>
            <w:hideMark/>
          </w:tcPr>
          <w:p w14:paraId="6388A2CC"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Vigour index- II</w:t>
            </w:r>
          </w:p>
        </w:tc>
      </w:tr>
      <w:tr w:rsidR="00B6656D" w:rsidRPr="00F23A22" w14:paraId="05C8B9E4"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2F7EF988" w14:textId="77777777"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control</w:t>
            </w:r>
          </w:p>
        </w:tc>
        <w:tc>
          <w:tcPr>
            <w:tcW w:w="446" w:type="pct"/>
            <w:tcBorders>
              <w:top w:val="nil"/>
              <w:left w:val="nil"/>
              <w:bottom w:val="single" w:sz="4" w:space="0" w:color="auto"/>
              <w:right w:val="single" w:sz="4" w:space="0" w:color="auto"/>
            </w:tcBorders>
            <w:vAlign w:val="center"/>
            <w:hideMark/>
          </w:tcPr>
          <w:p w14:paraId="35379D4A"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85.71</w:t>
            </w:r>
          </w:p>
        </w:tc>
        <w:tc>
          <w:tcPr>
            <w:tcW w:w="446" w:type="pct"/>
            <w:tcBorders>
              <w:top w:val="nil"/>
              <w:left w:val="nil"/>
              <w:bottom w:val="single" w:sz="4" w:space="0" w:color="auto"/>
              <w:right w:val="single" w:sz="4" w:space="0" w:color="auto"/>
            </w:tcBorders>
            <w:vAlign w:val="center"/>
            <w:hideMark/>
          </w:tcPr>
          <w:p w14:paraId="3199F34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14.44</w:t>
            </w:r>
          </w:p>
        </w:tc>
        <w:tc>
          <w:tcPr>
            <w:tcW w:w="446" w:type="pct"/>
            <w:tcBorders>
              <w:top w:val="nil"/>
              <w:left w:val="nil"/>
              <w:bottom w:val="single" w:sz="4" w:space="0" w:color="auto"/>
              <w:right w:val="single" w:sz="4" w:space="0" w:color="auto"/>
            </w:tcBorders>
            <w:vAlign w:val="center"/>
            <w:hideMark/>
          </w:tcPr>
          <w:p w14:paraId="7A16CAF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10.72</w:t>
            </w:r>
          </w:p>
        </w:tc>
        <w:tc>
          <w:tcPr>
            <w:tcW w:w="464" w:type="pct"/>
            <w:tcBorders>
              <w:top w:val="nil"/>
              <w:left w:val="nil"/>
              <w:bottom w:val="single" w:sz="4" w:space="0" w:color="auto"/>
              <w:right w:val="single" w:sz="4" w:space="0" w:color="auto"/>
            </w:tcBorders>
            <w:vAlign w:val="center"/>
            <w:hideMark/>
          </w:tcPr>
          <w:p w14:paraId="5776A18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61.14</w:t>
            </w:r>
          </w:p>
        </w:tc>
        <w:tc>
          <w:tcPr>
            <w:tcW w:w="466" w:type="pct"/>
            <w:tcBorders>
              <w:top w:val="nil"/>
              <w:left w:val="nil"/>
              <w:bottom w:val="single" w:sz="4" w:space="0" w:color="auto"/>
              <w:right w:val="single" w:sz="4" w:space="0" w:color="auto"/>
            </w:tcBorders>
            <w:vAlign w:val="center"/>
            <w:hideMark/>
          </w:tcPr>
          <w:p w14:paraId="7D1FB2D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154.65</w:t>
            </w:r>
          </w:p>
        </w:tc>
        <w:tc>
          <w:tcPr>
            <w:tcW w:w="384" w:type="pct"/>
            <w:tcBorders>
              <w:top w:val="nil"/>
              <w:left w:val="nil"/>
              <w:bottom w:val="single" w:sz="4" w:space="0" w:color="auto"/>
              <w:right w:val="single" w:sz="4" w:space="0" w:color="auto"/>
            </w:tcBorders>
            <w:vAlign w:val="center"/>
            <w:hideMark/>
          </w:tcPr>
          <w:p w14:paraId="441D23D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85.58</w:t>
            </w:r>
          </w:p>
        </w:tc>
        <w:tc>
          <w:tcPr>
            <w:tcW w:w="346" w:type="pct"/>
            <w:tcBorders>
              <w:top w:val="nil"/>
              <w:left w:val="nil"/>
              <w:bottom w:val="single" w:sz="4" w:space="0" w:color="auto"/>
              <w:right w:val="single" w:sz="4" w:space="0" w:color="auto"/>
            </w:tcBorders>
            <w:vAlign w:val="center"/>
            <w:hideMark/>
          </w:tcPr>
          <w:p w14:paraId="2CF5F15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6.06</w:t>
            </w:r>
          </w:p>
        </w:tc>
        <w:tc>
          <w:tcPr>
            <w:tcW w:w="428" w:type="pct"/>
            <w:tcBorders>
              <w:top w:val="nil"/>
              <w:left w:val="nil"/>
              <w:bottom w:val="single" w:sz="4" w:space="0" w:color="auto"/>
              <w:right w:val="single" w:sz="4" w:space="0" w:color="auto"/>
            </w:tcBorders>
            <w:vAlign w:val="center"/>
            <w:hideMark/>
          </w:tcPr>
          <w:p w14:paraId="72393DF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1.34</w:t>
            </w:r>
          </w:p>
        </w:tc>
        <w:tc>
          <w:tcPr>
            <w:tcW w:w="335" w:type="pct"/>
            <w:tcBorders>
              <w:top w:val="nil"/>
              <w:left w:val="nil"/>
              <w:bottom w:val="single" w:sz="4" w:space="0" w:color="auto"/>
              <w:right w:val="single" w:sz="4" w:space="0" w:color="auto"/>
            </w:tcBorders>
            <w:vAlign w:val="center"/>
            <w:hideMark/>
          </w:tcPr>
          <w:p w14:paraId="190B545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519.41</w:t>
            </w:r>
          </w:p>
        </w:tc>
        <w:tc>
          <w:tcPr>
            <w:tcW w:w="354" w:type="pct"/>
            <w:tcBorders>
              <w:top w:val="nil"/>
              <w:left w:val="nil"/>
              <w:bottom w:val="single" w:sz="4" w:space="0" w:color="auto"/>
              <w:right w:val="single" w:sz="4" w:space="0" w:color="auto"/>
            </w:tcBorders>
            <w:vAlign w:val="center"/>
            <w:hideMark/>
          </w:tcPr>
          <w:p w14:paraId="62AF9A8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114.77</w:t>
            </w:r>
          </w:p>
        </w:tc>
      </w:tr>
      <w:tr w:rsidR="00B6656D" w:rsidRPr="00F23A22" w14:paraId="31C402B7"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009008D1" w14:textId="375F4A89"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GA3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30AEFB1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91.04</w:t>
            </w:r>
          </w:p>
        </w:tc>
        <w:tc>
          <w:tcPr>
            <w:tcW w:w="446" w:type="pct"/>
            <w:tcBorders>
              <w:top w:val="nil"/>
              <w:left w:val="nil"/>
              <w:bottom w:val="single" w:sz="4" w:space="0" w:color="auto"/>
              <w:right w:val="single" w:sz="4" w:space="0" w:color="auto"/>
            </w:tcBorders>
            <w:vAlign w:val="center"/>
            <w:hideMark/>
          </w:tcPr>
          <w:p w14:paraId="43E4626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18.68</w:t>
            </w:r>
          </w:p>
        </w:tc>
        <w:tc>
          <w:tcPr>
            <w:tcW w:w="446" w:type="pct"/>
            <w:tcBorders>
              <w:top w:val="nil"/>
              <w:left w:val="nil"/>
              <w:bottom w:val="single" w:sz="4" w:space="0" w:color="auto"/>
              <w:right w:val="single" w:sz="4" w:space="0" w:color="auto"/>
            </w:tcBorders>
            <w:vAlign w:val="center"/>
            <w:hideMark/>
          </w:tcPr>
          <w:p w14:paraId="2BA0BB3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11.38</w:t>
            </w:r>
          </w:p>
        </w:tc>
        <w:tc>
          <w:tcPr>
            <w:tcW w:w="464" w:type="pct"/>
            <w:tcBorders>
              <w:top w:val="nil"/>
              <w:left w:val="nil"/>
              <w:bottom w:val="single" w:sz="4" w:space="0" w:color="auto"/>
              <w:right w:val="single" w:sz="4" w:space="0" w:color="auto"/>
            </w:tcBorders>
            <w:vAlign w:val="center"/>
            <w:hideMark/>
          </w:tcPr>
          <w:p w14:paraId="503BE7D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70.43</w:t>
            </w:r>
          </w:p>
        </w:tc>
        <w:tc>
          <w:tcPr>
            <w:tcW w:w="466" w:type="pct"/>
            <w:tcBorders>
              <w:top w:val="nil"/>
              <w:left w:val="nil"/>
              <w:bottom w:val="single" w:sz="4" w:space="0" w:color="auto"/>
              <w:right w:val="single" w:sz="4" w:space="0" w:color="auto"/>
            </w:tcBorders>
            <w:vAlign w:val="center"/>
            <w:hideMark/>
          </w:tcPr>
          <w:p w14:paraId="2539939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225.54</w:t>
            </w:r>
          </w:p>
        </w:tc>
        <w:tc>
          <w:tcPr>
            <w:tcW w:w="384" w:type="pct"/>
            <w:tcBorders>
              <w:top w:val="nil"/>
              <w:left w:val="nil"/>
              <w:bottom w:val="single" w:sz="4" w:space="0" w:color="auto"/>
              <w:right w:val="single" w:sz="4" w:space="0" w:color="auto"/>
            </w:tcBorders>
            <w:vAlign w:val="center"/>
            <w:hideMark/>
          </w:tcPr>
          <w:p w14:paraId="2CE0176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91.42</w:t>
            </w:r>
          </w:p>
        </w:tc>
        <w:tc>
          <w:tcPr>
            <w:tcW w:w="346" w:type="pct"/>
            <w:tcBorders>
              <w:top w:val="nil"/>
              <w:left w:val="nil"/>
              <w:bottom w:val="single" w:sz="4" w:space="0" w:color="auto"/>
              <w:right w:val="single" w:sz="4" w:space="0" w:color="auto"/>
            </w:tcBorders>
            <w:vAlign w:val="center"/>
            <w:hideMark/>
          </w:tcPr>
          <w:p w14:paraId="2BEF3E9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6.94</w:t>
            </w:r>
          </w:p>
        </w:tc>
        <w:tc>
          <w:tcPr>
            <w:tcW w:w="428" w:type="pct"/>
            <w:tcBorders>
              <w:top w:val="nil"/>
              <w:left w:val="nil"/>
              <w:bottom w:val="single" w:sz="4" w:space="0" w:color="auto"/>
              <w:right w:val="single" w:sz="4" w:space="0" w:color="auto"/>
            </w:tcBorders>
            <w:vAlign w:val="center"/>
            <w:hideMark/>
          </w:tcPr>
          <w:p w14:paraId="1441BF3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1.51</w:t>
            </w:r>
          </w:p>
        </w:tc>
        <w:tc>
          <w:tcPr>
            <w:tcW w:w="335" w:type="pct"/>
            <w:tcBorders>
              <w:top w:val="nil"/>
              <w:left w:val="nil"/>
              <w:bottom w:val="single" w:sz="4" w:space="0" w:color="auto"/>
              <w:right w:val="single" w:sz="4" w:space="0" w:color="auto"/>
            </w:tcBorders>
            <w:vAlign w:val="center"/>
            <w:hideMark/>
          </w:tcPr>
          <w:p w14:paraId="3952557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619.86</w:t>
            </w:r>
          </w:p>
        </w:tc>
        <w:tc>
          <w:tcPr>
            <w:tcW w:w="354" w:type="pct"/>
            <w:tcBorders>
              <w:top w:val="nil"/>
              <w:left w:val="nil"/>
              <w:bottom w:val="single" w:sz="4" w:space="0" w:color="auto"/>
              <w:right w:val="single" w:sz="4" w:space="0" w:color="auto"/>
            </w:tcBorders>
            <w:vAlign w:val="center"/>
            <w:hideMark/>
          </w:tcPr>
          <w:p w14:paraId="26A5629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132.95</w:t>
            </w:r>
          </w:p>
        </w:tc>
      </w:tr>
      <w:tr w:rsidR="00B6656D" w:rsidRPr="00F23A22" w14:paraId="6CC5B55F"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47A8E160" w14:textId="7462863D"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GA3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34DAF0E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92.38</w:t>
            </w:r>
          </w:p>
        </w:tc>
        <w:tc>
          <w:tcPr>
            <w:tcW w:w="446" w:type="pct"/>
            <w:tcBorders>
              <w:top w:val="nil"/>
              <w:left w:val="nil"/>
              <w:bottom w:val="single" w:sz="4" w:space="0" w:color="auto"/>
              <w:right w:val="single" w:sz="4" w:space="0" w:color="auto"/>
            </w:tcBorders>
            <w:vAlign w:val="center"/>
            <w:hideMark/>
          </w:tcPr>
          <w:p w14:paraId="4E57826A"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20.8</w:t>
            </w:r>
          </w:p>
        </w:tc>
        <w:tc>
          <w:tcPr>
            <w:tcW w:w="446" w:type="pct"/>
            <w:tcBorders>
              <w:top w:val="nil"/>
              <w:left w:val="nil"/>
              <w:bottom w:val="single" w:sz="4" w:space="0" w:color="auto"/>
              <w:right w:val="single" w:sz="4" w:space="0" w:color="auto"/>
            </w:tcBorders>
            <w:vAlign w:val="center"/>
            <w:hideMark/>
          </w:tcPr>
          <w:p w14:paraId="0E32E97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11.55</w:t>
            </w:r>
          </w:p>
        </w:tc>
        <w:tc>
          <w:tcPr>
            <w:tcW w:w="464" w:type="pct"/>
            <w:tcBorders>
              <w:top w:val="nil"/>
              <w:left w:val="nil"/>
              <w:bottom w:val="single" w:sz="4" w:space="0" w:color="auto"/>
              <w:right w:val="single" w:sz="4" w:space="0" w:color="auto"/>
            </w:tcBorders>
            <w:vAlign w:val="center"/>
            <w:hideMark/>
          </w:tcPr>
          <w:p w14:paraId="52331C3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72.54</w:t>
            </w:r>
          </w:p>
        </w:tc>
        <w:tc>
          <w:tcPr>
            <w:tcW w:w="466" w:type="pct"/>
            <w:tcBorders>
              <w:top w:val="nil"/>
              <w:left w:val="nil"/>
              <w:bottom w:val="single" w:sz="4" w:space="0" w:color="auto"/>
              <w:right w:val="single" w:sz="4" w:space="0" w:color="auto"/>
            </w:tcBorders>
            <w:vAlign w:val="center"/>
            <w:hideMark/>
          </w:tcPr>
          <w:p w14:paraId="0DCF889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240.21</w:t>
            </w:r>
          </w:p>
        </w:tc>
        <w:tc>
          <w:tcPr>
            <w:tcW w:w="384" w:type="pct"/>
            <w:tcBorders>
              <w:top w:val="nil"/>
              <w:left w:val="nil"/>
              <w:bottom w:val="single" w:sz="4" w:space="0" w:color="auto"/>
              <w:right w:val="single" w:sz="4" w:space="0" w:color="auto"/>
            </w:tcBorders>
            <w:vAlign w:val="center"/>
            <w:hideMark/>
          </w:tcPr>
          <w:p w14:paraId="6DB6B07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94.09</w:t>
            </w:r>
          </w:p>
        </w:tc>
        <w:tc>
          <w:tcPr>
            <w:tcW w:w="346" w:type="pct"/>
            <w:tcBorders>
              <w:top w:val="nil"/>
              <w:left w:val="nil"/>
              <w:bottom w:val="single" w:sz="4" w:space="0" w:color="auto"/>
              <w:right w:val="single" w:sz="4" w:space="0" w:color="auto"/>
            </w:tcBorders>
            <w:vAlign w:val="center"/>
            <w:hideMark/>
          </w:tcPr>
          <w:p w14:paraId="149C88E5"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10.54</w:t>
            </w:r>
          </w:p>
        </w:tc>
        <w:tc>
          <w:tcPr>
            <w:tcW w:w="428" w:type="pct"/>
            <w:tcBorders>
              <w:top w:val="nil"/>
              <w:left w:val="nil"/>
              <w:bottom w:val="single" w:sz="4" w:space="0" w:color="auto"/>
              <w:right w:val="single" w:sz="4" w:space="0" w:color="auto"/>
            </w:tcBorders>
            <w:vAlign w:val="center"/>
            <w:hideMark/>
          </w:tcPr>
          <w:p w14:paraId="543C6D91"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1.81</w:t>
            </w:r>
          </w:p>
        </w:tc>
        <w:tc>
          <w:tcPr>
            <w:tcW w:w="335" w:type="pct"/>
            <w:tcBorders>
              <w:top w:val="nil"/>
              <w:left w:val="nil"/>
              <w:bottom w:val="single" w:sz="4" w:space="0" w:color="auto"/>
              <w:right w:val="single" w:sz="4" w:space="0" w:color="auto"/>
            </w:tcBorders>
            <w:vAlign w:val="center"/>
            <w:hideMark/>
          </w:tcPr>
          <w:p w14:paraId="2D442C3E"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970.02</w:t>
            </w:r>
          </w:p>
        </w:tc>
        <w:tc>
          <w:tcPr>
            <w:tcW w:w="354" w:type="pct"/>
            <w:tcBorders>
              <w:top w:val="nil"/>
              <w:left w:val="nil"/>
              <w:bottom w:val="single" w:sz="4" w:space="0" w:color="auto"/>
              <w:right w:val="single" w:sz="4" w:space="0" w:color="auto"/>
            </w:tcBorders>
            <w:vAlign w:val="center"/>
            <w:hideMark/>
          </w:tcPr>
          <w:p w14:paraId="2B6214D3" w14:textId="5C2336BF"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166.9</w:t>
            </w:r>
            <w:r w:rsidR="00FA6726" w:rsidRPr="00F23A22">
              <w:rPr>
                <w:rFonts w:ascii="Times New Roman" w:eastAsia="Times New Roman" w:hAnsi="Times New Roman" w:cs="Times New Roman"/>
                <w:color w:val="000000"/>
                <w:kern w:val="0"/>
                <w:sz w:val="20"/>
                <w:szCs w:val="20"/>
                <w:lang w:bidi="hi-IN"/>
                <w14:ligatures w14:val="none"/>
              </w:rPr>
              <w:t>0</w:t>
            </w:r>
          </w:p>
        </w:tc>
      </w:tr>
      <w:tr w:rsidR="00B6656D" w:rsidRPr="00F23A22" w14:paraId="69706CCB"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77CBEBBA" w14:textId="5062F296"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IAA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651F464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88.98</w:t>
            </w:r>
          </w:p>
        </w:tc>
        <w:tc>
          <w:tcPr>
            <w:tcW w:w="446" w:type="pct"/>
            <w:tcBorders>
              <w:top w:val="nil"/>
              <w:left w:val="nil"/>
              <w:bottom w:val="single" w:sz="4" w:space="0" w:color="auto"/>
              <w:right w:val="single" w:sz="4" w:space="0" w:color="auto"/>
            </w:tcBorders>
            <w:vAlign w:val="center"/>
            <w:hideMark/>
          </w:tcPr>
          <w:p w14:paraId="7BD776BE"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16.45</w:t>
            </w:r>
          </w:p>
        </w:tc>
        <w:tc>
          <w:tcPr>
            <w:tcW w:w="446" w:type="pct"/>
            <w:tcBorders>
              <w:top w:val="nil"/>
              <w:left w:val="nil"/>
              <w:bottom w:val="single" w:sz="4" w:space="0" w:color="auto"/>
              <w:right w:val="single" w:sz="4" w:space="0" w:color="auto"/>
            </w:tcBorders>
            <w:vAlign w:val="center"/>
            <w:hideMark/>
          </w:tcPr>
          <w:p w14:paraId="13F3414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11.13</w:t>
            </w:r>
          </w:p>
        </w:tc>
        <w:tc>
          <w:tcPr>
            <w:tcW w:w="464" w:type="pct"/>
            <w:tcBorders>
              <w:top w:val="nil"/>
              <w:left w:val="nil"/>
              <w:bottom w:val="single" w:sz="4" w:space="0" w:color="auto"/>
              <w:right w:val="single" w:sz="4" w:space="0" w:color="auto"/>
            </w:tcBorders>
            <w:vAlign w:val="center"/>
            <w:hideMark/>
          </w:tcPr>
          <w:p w14:paraId="761BE3C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68.67</w:t>
            </w:r>
          </w:p>
        </w:tc>
        <w:tc>
          <w:tcPr>
            <w:tcW w:w="466" w:type="pct"/>
            <w:tcBorders>
              <w:top w:val="nil"/>
              <w:left w:val="nil"/>
              <w:bottom w:val="single" w:sz="4" w:space="0" w:color="auto"/>
              <w:right w:val="single" w:sz="4" w:space="0" w:color="auto"/>
            </w:tcBorders>
            <w:vAlign w:val="center"/>
            <w:hideMark/>
          </w:tcPr>
          <w:p w14:paraId="26FE6931"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182.94</w:t>
            </w:r>
          </w:p>
        </w:tc>
        <w:tc>
          <w:tcPr>
            <w:tcW w:w="384" w:type="pct"/>
            <w:tcBorders>
              <w:top w:val="nil"/>
              <w:left w:val="nil"/>
              <w:bottom w:val="single" w:sz="4" w:space="0" w:color="auto"/>
              <w:right w:val="single" w:sz="4" w:space="0" w:color="auto"/>
            </w:tcBorders>
            <w:vAlign w:val="center"/>
            <w:hideMark/>
          </w:tcPr>
          <w:p w14:paraId="0916484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89.93</w:t>
            </w:r>
          </w:p>
        </w:tc>
        <w:tc>
          <w:tcPr>
            <w:tcW w:w="346" w:type="pct"/>
            <w:tcBorders>
              <w:top w:val="nil"/>
              <w:left w:val="nil"/>
              <w:bottom w:val="single" w:sz="4" w:space="0" w:color="auto"/>
              <w:right w:val="single" w:sz="4" w:space="0" w:color="auto"/>
            </w:tcBorders>
            <w:vAlign w:val="center"/>
            <w:hideMark/>
          </w:tcPr>
          <w:p w14:paraId="36DEBC15"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6.83</w:t>
            </w:r>
          </w:p>
        </w:tc>
        <w:tc>
          <w:tcPr>
            <w:tcW w:w="428" w:type="pct"/>
            <w:tcBorders>
              <w:top w:val="nil"/>
              <w:left w:val="nil"/>
              <w:bottom w:val="single" w:sz="4" w:space="0" w:color="auto"/>
              <w:right w:val="single" w:sz="4" w:space="0" w:color="auto"/>
            </w:tcBorders>
            <w:vAlign w:val="center"/>
            <w:hideMark/>
          </w:tcPr>
          <w:p w14:paraId="19E23CA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1.46</w:t>
            </w:r>
          </w:p>
        </w:tc>
        <w:tc>
          <w:tcPr>
            <w:tcW w:w="335" w:type="pct"/>
            <w:tcBorders>
              <w:top w:val="nil"/>
              <w:left w:val="nil"/>
              <w:bottom w:val="single" w:sz="4" w:space="0" w:color="auto"/>
              <w:right w:val="single" w:sz="4" w:space="0" w:color="auto"/>
            </w:tcBorders>
            <w:vAlign w:val="center"/>
            <w:hideMark/>
          </w:tcPr>
          <w:p w14:paraId="173CE5E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609.76</w:t>
            </w:r>
          </w:p>
        </w:tc>
        <w:tc>
          <w:tcPr>
            <w:tcW w:w="354" w:type="pct"/>
            <w:tcBorders>
              <w:top w:val="nil"/>
              <w:left w:val="nil"/>
              <w:bottom w:val="single" w:sz="4" w:space="0" w:color="auto"/>
              <w:right w:val="single" w:sz="4" w:space="0" w:color="auto"/>
            </w:tcBorders>
            <w:vAlign w:val="center"/>
            <w:hideMark/>
          </w:tcPr>
          <w:p w14:paraId="164B7FBF" w14:textId="4DF83306"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130.8</w:t>
            </w:r>
            <w:r w:rsidR="00FA6726" w:rsidRPr="00F23A22">
              <w:rPr>
                <w:rFonts w:ascii="Times New Roman" w:eastAsia="Times New Roman" w:hAnsi="Times New Roman" w:cs="Times New Roman"/>
                <w:color w:val="000000"/>
                <w:kern w:val="0"/>
                <w:sz w:val="20"/>
                <w:szCs w:val="20"/>
                <w:lang w:bidi="hi-IN"/>
                <w14:ligatures w14:val="none"/>
              </w:rPr>
              <w:t>0</w:t>
            </w:r>
          </w:p>
        </w:tc>
      </w:tr>
      <w:tr w:rsidR="00B6656D" w:rsidRPr="00F23A22" w14:paraId="3EA57FA1"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190AA09C" w14:textId="7144E312"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IAA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47C0339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92.09</w:t>
            </w:r>
          </w:p>
        </w:tc>
        <w:tc>
          <w:tcPr>
            <w:tcW w:w="446" w:type="pct"/>
            <w:tcBorders>
              <w:top w:val="nil"/>
              <w:left w:val="nil"/>
              <w:bottom w:val="single" w:sz="4" w:space="0" w:color="auto"/>
              <w:right w:val="single" w:sz="4" w:space="0" w:color="auto"/>
            </w:tcBorders>
            <w:vAlign w:val="center"/>
            <w:hideMark/>
          </w:tcPr>
          <w:p w14:paraId="3389486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20.04</w:t>
            </w:r>
          </w:p>
        </w:tc>
        <w:tc>
          <w:tcPr>
            <w:tcW w:w="446" w:type="pct"/>
            <w:tcBorders>
              <w:top w:val="nil"/>
              <w:left w:val="nil"/>
              <w:bottom w:val="single" w:sz="4" w:space="0" w:color="auto"/>
              <w:right w:val="single" w:sz="4" w:space="0" w:color="auto"/>
            </w:tcBorders>
            <w:vAlign w:val="center"/>
            <w:hideMark/>
          </w:tcPr>
          <w:p w14:paraId="34AAA77A" w14:textId="2C3485B2"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11.5</w:t>
            </w:r>
            <w:r w:rsidR="00C11631" w:rsidRPr="00F23A22">
              <w:rPr>
                <w:rFonts w:ascii="Times New Roman" w:eastAsia="Times New Roman" w:hAnsi="Times New Roman" w:cs="Times New Roman"/>
                <w:color w:val="000000"/>
                <w:kern w:val="0"/>
                <w:sz w:val="20"/>
                <w:szCs w:val="20"/>
                <w:lang w:bidi="hi-IN"/>
                <w14:ligatures w14:val="none"/>
              </w:rPr>
              <w:t>0</w:t>
            </w:r>
          </w:p>
        </w:tc>
        <w:tc>
          <w:tcPr>
            <w:tcW w:w="464" w:type="pct"/>
            <w:tcBorders>
              <w:top w:val="nil"/>
              <w:left w:val="nil"/>
              <w:bottom w:val="single" w:sz="4" w:space="0" w:color="auto"/>
              <w:right w:val="single" w:sz="4" w:space="0" w:color="auto"/>
            </w:tcBorders>
            <w:vAlign w:val="center"/>
            <w:hideMark/>
          </w:tcPr>
          <w:p w14:paraId="11E7BEE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71.36</w:t>
            </w:r>
          </w:p>
        </w:tc>
        <w:tc>
          <w:tcPr>
            <w:tcW w:w="466" w:type="pct"/>
            <w:tcBorders>
              <w:top w:val="nil"/>
              <w:left w:val="nil"/>
              <w:bottom w:val="single" w:sz="4" w:space="0" w:color="auto"/>
              <w:right w:val="single" w:sz="4" w:space="0" w:color="auto"/>
            </w:tcBorders>
            <w:vAlign w:val="center"/>
            <w:hideMark/>
          </w:tcPr>
          <w:p w14:paraId="0294482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230.53</w:t>
            </w:r>
          </w:p>
        </w:tc>
        <w:tc>
          <w:tcPr>
            <w:tcW w:w="384" w:type="pct"/>
            <w:tcBorders>
              <w:top w:val="nil"/>
              <w:left w:val="nil"/>
              <w:bottom w:val="single" w:sz="4" w:space="0" w:color="auto"/>
              <w:right w:val="single" w:sz="4" w:space="0" w:color="auto"/>
            </w:tcBorders>
            <w:vAlign w:val="center"/>
            <w:hideMark/>
          </w:tcPr>
          <w:p w14:paraId="0DA04FD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93.47</w:t>
            </w:r>
          </w:p>
        </w:tc>
        <w:tc>
          <w:tcPr>
            <w:tcW w:w="346" w:type="pct"/>
            <w:tcBorders>
              <w:top w:val="nil"/>
              <w:left w:val="nil"/>
              <w:bottom w:val="single" w:sz="4" w:space="0" w:color="auto"/>
              <w:right w:val="single" w:sz="4" w:space="0" w:color="auto"/>
            </w:tcBorders>
            <w:vAlign w:val="center"/>
            <w:hideMark/>
          </w:tcPr>
          <w:p w14:paraId="5A23BEE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9.78</w:t>
            </w:r>
          </w:p>
        </w:tc>
        <w:tc>
          <w:tcPr>
            <w:tcW w:w="428" w:type="pct"/>
            <w:tcBorders>
              <w:top w:val="nil"/>
              <w:left w:val="nil"/>
              <w:bottom w:val="single" w:sz="4" w:space="0" w:color="auto"/>
              <w:right w:val="single" w:sz="4" w:space="0" w:color="auto"/>
            </w:tcBorders>
            <w:vAlign w:val="center"/>
            <w:hideMark/>
          </w:tcPr>
          <w:p w14:paraId="285E8B11"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1.72</w:t>
            </w:r>
          </w:p>
        </w:tc>
        <w:tc>
          <w:tcPr>
            <w:tcW w:w="335" w:type="pct"/>
            <w:tcBorders>
              <w:top w:val="nil"/>
              <w:left w:val="nil"/>
              <w:bottom w:val="single" w:sz="4" w:space="0" w:color="auto"/>
              <w:right w:val="single" w:sz="4" w:space="0" w:color="auto"/>
            </w:tcBorders>
            <w:vAlign w:val="center"/>
            <w:hideMark/>
          </w:tcPr>
          <w:p w14:paraId="4E09D00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901.13</w:t>
            </w:r>
          </w:p>
        </w:tc>
        <w:tc>
          <w:tcPr>
            <w:tcW w:w="354" w:type="pct"/>
            <w:tcBorders>
              <w:top w:val="nil"/>
              <w:left w:val="nil"/>
              <w:bottom w:val="single" w:sz="4" w:space="0" w:color="auto"/>
              <w:right w:val="single" w:sz="4" w:space="0" w:color="auto"/>
            </w:tcBorders>
            <w:vAlign w:val="center"/>
            <w:hideMark/>
          </w:tcPr>
          <w:p w14:paraId="697EC05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158.57</w:t>
            </w:r>
          </w:p>
        </w:tc>
      </w:tr>
      <w:tr w:rsidR="00B6656D" w:rsidRPr="00F23A22" w14:paraId="6A0A28A4"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6E1E1BE7" w14:textId="6CB9A6F9"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IBA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142153A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88.93</w:t>
            </w:r>
          </w:p>
        </w:tc>
        <w:tc>
          <w:tcPr>
            <w:tcW w:w="446" w:type="pct"/>
            <w:tcBorders>
              <w:top w:val="nil"/>
              <w:left w:val="nil"/>
              <w:bottom w:val="single" w:sz="4" w:space="0" w:color="auto"/>
              <w:right w:val="single" w:sz="4" w:space="0" w:color="auto"/>
            </w:tcBorders>
            <w:vAlign w:val="center"/>
            <w:hideMark/>
          </w:tcPr>
          <w:p w14:paraId="5D92BBFA" w14:textId="5742794E"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16.3</w:t>
            </w:r>
            <w:r w:rsidR="00C11631" w:rsidRPr="00F23A22">
              <w:rPr>
                <w:rFonts w:ascii="Times New Roman" w:eastAsia="Times New Roman" w:hAnsi="Times New Roman" w:cs="Times New Roman"/>
                <w:color w:val="000000"/>
                <w:kern w:val="0"/>
                <w:sz w:val="20"/>
                <w:szCs w:val="20"/>
                <w:lang w:bidi="hi-IN"/>
                <w14:ligatures w14:val="none"/>
              </w:rPr>
              <w:t>0</w:t>
            </w:r>
          </w:p>
        </w:tc>
        <w:tc>
          <w:tcPr>
            <w:tcW w:w="446" w:type="pct"/>
            <w:tcBorders>
              <w:top w:val="nil"/>
              <w:left w:val="nil"/>
              <w:bottom w:val="single" w:sz="4" w:space="0" w:color="auto"/>
              <w:right w:val="single" w:sz="4" w:space="0" w:color="auto"/>
            </w:tcBorders>
            <w:vAlign w:val="center"/>
            <w:hideMark/>
          </w:tcPr>
          <w:p w14:paraId="61425A4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11.12</w:t>
            </w:r>
          </w:p>
        </w:tc>
        <w:tc>
          <w:tcPr>
            <w:tcW w:w="464" w:type="pct"/>
            <w:tcBorders>
              <w:top w:val="nil"/>
              <w:left w:val="nil"/>
              <w:bottom w:val="single" w:sz="4" w:space="0" w:color="auto"/>
              <w:right w:val="single" w:sz="4" w:space="0" w:color="auto"/>
            </w:tcBorders>
            <w:vAlign w:val="center"/>
            <w:hideMark/>
          </w:tcPr>
          <w:p w14:paraId="498D7A2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66.19</w:t>
            </w:r>
          </w:p>
        </w:tc>
        <w:tc>
          <w:tcPr>
            <w:tcW w:w="466" w:type="pct"/>
            <w:tcBorders>
              <w:top w:val="nil"/>
              <w:left w:val="nil"/>
              <w:bottom w:val="single" w:sz="4" w:space="0" w:color="auto"/>
              <w:right w:val="single" w:sz="4" w:space="0" w:color="auto"/>
            </w:tcBorders>
            <w:vAlign w:val="center"/>
            <w:hideMark/>
          </w:tcPr>
          <w:p w14:paraId="539424C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181.18</w:t>
            </w:r>
          </w:p>
        </w:tc>
        <w:tc>
          <w:tcPr>
            <w:tcW w:w="384" w:type="pct"/>
            <w:tcBorders>
              <w:top w:val="nil"/>
              <w:left w:val="nil"/>
              <w:bottom w:val="single" w:sz="4" w:space="0" w:color="auto"/>
              <w:right w:val="single" w:sz="4" w:space="0" w:color="auto"/>
            </w:tcBorders>
            <w:vAlign w:val="center"/>
            <w:hideMark/>
          </w:tcPr>
          <w:p w14:paraId="7552B9E1"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89.52</w:t>
            </w:r>
          </w:p>
        </w:tc>
        <w:tc>
          <w:tcPr>
            <w:tcW w:w="346" w:type="pct"/>
            <w:tcBorders>
              <w:top w:val="nil"/>
              <w:left w:val="nil"/>
              <w:bottom w:val="single" w:sz="4" w:space="0" w:color="auto"/>
              <w:right w:val="single" w:sz="4" w:space="0" w:color="auto"/>
            </w:tcBorders>
            <w:vAlign w:val="center"/>
            <w:hideMark/>
          </w:tcPr>
          <w:p w14:paraId="01B1EEA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6.82</w:t>
            </w:r>
          </w:p>
        </w:tc>
        <w:tc>
          <w:tcPr>
            <w:tcW w:w="428" w:type="pct"/>
            <w:tcBorders>
              <w:top w:val="nil"/>
              <w:left w:val="nil"/>
              <w:bottom w:val="single" w:sz="4" w:space="0" w:color="auto"/>
              <w:right w:val="single" w:sz="4" w:space="0" w:color="auto"/>
            </w:tcBorders>
            <w:vAlign w:val="center"/>
            <w:hideMark/>
          </w:tcPr>
          <w:p w14:paraId="221DC86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1.41</w:t>
            </w:r>
          </w:p>
        </w:tc>
        <w:tc>
          <w:tcPr>
            <w:tcW w:w="335" w:type="pct"/>
            <w:tcBorders>
              <w:top w:val="nil"/>
              <w:left w:val="nil"/>
              <w:bottom w:val="single" w:sz="4" w:space="0" w:color="auto"/>
              <w:right w:val="single" w:sz="4" w:space="0" w:color="auto"/>
            </w:tcBorders>
            <w:vAlign w:val="center"/>
            <w:hideMark/>
          </w:tcPr>
          <w:p w14:paraId="6B9DC65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603.96</w:t>
            </w:r>
          </w:p>
        </w:tc>
        <w:tc>
          <w:tcPr>
            <w:tcW w:w="354" w:type="pct"/>
            <w:tcBorders>
              <w:top w:val="nil"/>
              <w:left w:val="nil"/>
              <w:bottom w:val="single" w:sz="4" w:space="0" w:color="auto"/>
              <w:right w:val="single" w:sz="4" w:space="0" w:color="auto"/>
            </w:tcBorders>
            <w:vAlign w:val="center"/>
            <w:hideMark/>
          </w:tcPr>
          <w:p w14:paraId="1ECE43C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127.94</w:t>
            </w:r>
          </w:p>
        </w:tc>
      </w:tr>
      <w:tr w:rsidR="00B6656D" w:rsidRPr="00F23A22" w14:paraId="7C30A014"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22C5FA24" w14:textId="3ADB13F0"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bookmarkStart w:id="4" w:name="_Hlk203521992"/>
            <w:r w:rsidRPr="00F23A22">
              <w:rPr>
                <w:rFonts w:ascii="Times New Roman" w:eastAsia="Times New Roman" w:hAnsi="Times New Roman" w:cs="Times New Roman"/>
                <w:color w:val="000000"/>
                <w:kern w:val="0"/>
                <w:sz w:val="20"/>
                <w:szCs w:val="20"/>
                <w:lang w:bidi="hi-IN"/>
                <w14:ligatures w14:val="none"/>
              </w:rPr>
              <w:t xml:space="preserve">IBA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bookmarkEnd w:id="4"/>
          </w:p>
        </w:tc>
        <w:tc>
          <w:tcPr>
            <w:tcW w:w="446" w:type="pct"/>
            <w:tcBorders>
              <w:top w:val="nil"/>
              <w:left w:val="nil"/>
              <w:bottom w:val="single" w:sz="4" w:space="0" w:color="auto"/>
              <w:right w:val="single" w:sz="4" w:space="0" w:color="auto"/>
            </w:tcBorders>
            <w:vAlign w:val="center"/>
            <w:hideMark/>
          </w:tcPr>
          <w:p w14:paraId="2019F36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91.94</w:t>
            </w:r>
          </w:p>
        </w:tc>
        <w:tc>
          <w:tcPr>
            <w:tcW w:w="446" w:type="pct"/>
            <w:tcBorders>
              <w:top w:val="nil"/>
              <w:left w:val="nil"/>
              <w:bottom w:val="single" w:sz="4" w:space="0" w:color="auto"/>
              <w:right w:val="single" w:sz="4" w:space="0" w:color="auto"/>
            </w:tcBorders>
            <w:vAlign w:val="center"/>
            <w:hideMark/>
          </w:tcPr>
          <w:p w14:paraId="1E9B4C0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19.59</w:t>
            </w:r>
          </w:p>
        </w:tc>
        <w:tc>
          <w:tcPr>
            <w:tcW w:w="446" w:type="pct"/>
            <w:tcBorders>
              <w:top w:val="nil"/>
              <w:left w:val="nil"/>
              <w:bottom w:val="single" w:sz="4" w:space="0" w:color="auto"/>
              <w:right w:val="single" w:sz="4" w:space="0" w:color="auto"/>
            </w:tcBorders>
            <w:vAlign w:val="center"/>
            <w:hideMark/>
          </w:tcPr>
          <w:p w14:paraId="46BF5B7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11.51</w:t>
            </w:r>
          </w:p>
        </w:tc>
        <w:tc>
          <w:tcPr>
            <w:tcW w:w="464" w:type="pct"/>
            <w:tcBorders>
              <w:top w:val="nil"/>
              <w:left w:val="nil"/>
              <w:bottom w:val="single" w:sz="4" w:space="0" w:color="auto"/>
              <w:right w:val="single" w:sz="4" w:space="0" w:color="auto"/>
            </w:tcBorders>
            <w:vAlign w:val="center"/>
            <w:hideMark/>
          </w:tcPr>
          <w:p w14:paraId="3624B84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70.67</w:t>
            </w:r>
          </w:p>
        </w:tc>
        <w:tc>
          <w:tcPr>
            <w:tcW w:w="466" w:type="pct"/>
            <w:tcBorders>
              <w:top w:val="nil"/>
              <w:left w:val="nil"/>
              <w:bottom w:val="single" w:sz="4" w:space="0" w:color="auto"/>
              <w:right w:val="single" w:sz="4" w:space="0" w:color="auto"/>
            </w:tcBorders>
            <w:vAlign w:val="center"/>
            <w:hideMark/>
          </w:tcPr>
          <w:p w14:paraId="39BF342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225.54</w:t>
            </w:r>
          </w:p>
        </w:tc>
        <w:tc>
          <w:tcPr>
            <w:tcW w:w="384" w:type="pct"/>
            <w:tcBorders>
              <w:top w:val="nil"/>
              <w:left w:val="nil"/>
              <w:bottom w:val="single" w:sz="4" w:space="0" w:color="auto"/>
              <w:right w:val="single" w:sz="4" w:space="0" w:color="auto"/>
            </w:tcBorders>
            <w:vAlign w:val="center"/>
            <w:hideMark/>
          </w:tcPr>
          <w:p w14:paraId="7741396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92.64</w:t>
            </w:r>
          </w:p>
        </w:tc>
        <w:tc>
          <w:tcPr>
            <w:tcW w:w="346" w:type="pct"/>
            <w:tcBorders>
              <w:top w:val="nil"/>
              <w:left w:val="nil"/>
              <w:bottom w:val="single" w:sz="4" w:space="0" w:color="auto"/>
              <w:right w:val="single" w:sz="4" w:space="0" w:color="auto"/>
            </w:tcBorders>
            <w:vAlign w:val="center"/>
            <w:hideMark/>
          </w:tcPr>
          <w:p w14:paraId="1C44E25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9.78</w:t>
            </w:r>
          </w:p>
        </w:tc>
        <w:tc>
          <w:tcPr>
            <w:tcW w:w="428" w:type="pct"/>
            <w:tcBorders>
              <w:top w:val="nil"/>
              <w:left w:val="nil"/>
              <w:bottom w:val="single" w:sz="4" w:space="0" w:color="auto"/>
              <w:right w:val="single" w:sz="4" w:space="0" w:color="auto"/>
            </w:tcBorders>
            <w:vAlign w:val="center"/>
            <w:hideMark/>
          </w:tcPr>
          <w:p w14:paraId="19ABF20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1.53</w:t>
            </w:r>
          </w:p>
        </w:tc>
        <w:tc>
          <w:tcPr>
            <w:tcW w:w="335" w:type="pct"/>
            <w:tcBorders>
              <w:top w:val="nil"/>
              <w:left w:val="nil"/>
              <w:bottom w:val="single" w:sz="4" w:space="0" w:color="auto"/>
              <w:right w:val="single" w:sz="4" w:space="0" w:color="auto"/>
            </w:tcBorders>
            <w:vAlign w:val="center"/>
            <w:hideMark/>
          </w:tcPr>
          <w:p w14:paraId="7471E3BE"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902.46</w:t>
            </w:r>
          </w:p>
        </w:tc>
        <w:tc>
          <w:tcPr>
            <w:tcW w:w="354" w:type="pct"/>
            <w:tcBorders>
              <w:top w:val="nil"/>
              <w:left w:val="nil"/>
              <w:bottom w:val="single" w:sz="4" w:space="0" w:color="auto"/>
              <w:right w:val="single" w:sz="4" w:space="0" w:color="auto"/>
            </w:tcBorders>
            <w:vAlign w:val="center"/>
            <w:hideMark/>
          </w:tcPr>
          <w:p w14:paraId="503AD60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141.39</w:t>
            </w:r>
          </w:p>
        </w:tc>
      </w:tr>
      <w:tr w:rsidR="00B6656D" w:rsidRPr="00F23A22" w14:paraId="54E1C792"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707A168D" w14:textId="5569721F"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CCC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16BFFFA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87.79</w:t>
            </w:r>
          </w:p>
        </w:tc>
        <w:tc>
          <w:tcPr>
            <w:tcW w:w="446" w:type="pct"/>
            <w:tcBorders>
              <w:top w:val="nil"/>
              <w:left w:val="nil"/>
              <w:bottom w:val="single" w:sz="4" w:space="0" w:color="auto"/>
              <w:right w:val="single" w:sz="4" w:space="0" w:color="auto"/>
            </w:tcBorders>
            <w:vAlign w:val="center"/>
            <w:hideMark/>
          </w:tcPr>
          <w:p w14:paraId="5EBFA12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15.96</w:t>
            </w:r>
          </w:p>
        </w:tc>
        <w:tc>
          <w:tcPr>
            <w:tcW w:w="446" w:type="pct"/>
            <w:tcBorders>
              <w:top w:val="nil"/>
              <w:left w:val="nil"/>
              <w:bottom w:val="single" w:sz="4" w:space="0" w:color="auto"/>
              <w:right w:val="single" w:sz="4" w:space="0" w:color="auto"/>
            </w:tcBorders>
            <w:vAlign w:val="center"/>
            <w:hideMark/>
          </w:tcPr>
          <w:p w14:paraId="789730A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10.97</w:t>
            </w:r>
          </w:p>
        </w:tc>
        <w:tc>
          <w:tcPr>
            <w:tcW w:w="464" w:type="pct"/>
            <w:tcBorders>
              <w:top w:val="nil"/>
              <w:left w:val="nil"/>
              <w:bottom w:val="single" w:sz="4" w:space="0" w:color="auto"/>
              <w:right w:val="single" w:sz="4" w:space="0" w:color="auto"/>
            </w:tcBorders>
            <w:vAlign w:val="center"/>
            <w:hideMark/>
          </w:tcPr>
          <w:p w14:paraId="5B3394A5"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67.25</w:t>
            </w:r>
          </w:p>
        </w:tc>
        <w:tc>
          <w:tcPr>
            <w:tcW w:w="466" w:type="pct"/>
            <w:tcBorders>
              <w:top w:val="nil"/>
              <w:left w:val="nil"/>
              <w:bottom w:val="single" w:sz="4" w:space="0" w:color="auto"/>
              <w:right w:val="single" w:sz="4" w:space="0" w:color="auto"/>
            </w:tcBorders>
            <w:vAlign w:val="center"/>
            <w:hideMark/>
          </w:tcPr>
          <w:p w14:paraId="64DA6D8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175.06</w:t>
            </w:r>
          </w:p>
        </w:tc>
        <w:tc>
          <w:tcPr>
            <w:tcW w:w="384" w:type="pct"/>
            <w:tcBorders>
              <w:top w:val="nil"/>
              <w:left w:val="nil"/>
              <w:bottom w:val="single" w:sz="4" w:space="0" w:color="auto"/>
              <w:right w:val="single" w:sz="4" w:space="0" w:color="auto"/>
            </w:tcBorders>
            <w:vAlign w:val="center"/>
            <w:hideMark/>
          </w:tcPr>
          <w:p w14:paraId="2AA7FFD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88.55</w:t>
            </w:r>
          </w:p>
        </w:tc>
        <w:tc>
          <w:tcPr>
            <w:tcW w:w="346" w:type="pct"/>
            <w:tcBorders>
              <w:top w:val="nil"/>
              <w:left w:val="nil"/>
              <w:bottom w:val="single" w:sz="4" w:space="0" w:color="auto"/>
              <w:right w:val="single" w:sz="4" w:space="0" w:color="auto"/>
            </w:tcBorders>
            <w:vAlign w:val="center"/>
            <w:hideMark/>
          </w:tcPr>
          <w:p w14:paraId="0A0E1533" w14:textId="66B65113"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6.7</w:t>
            </w:r>
            <w:r w:rsidR="00C11631" w:rsidRPr="00F23A22">
              <w:rPr>
                <w:rFonts w:ascii="Times New Roman" w:eastAsia="Times New Roman" w:hAnsi="Times New Roman" w:cs="Times New Roman"/>
                <w:color w:val="000000"/>
                <w:kern w:val="0"/>
                <w:sz w:val="20"/>
                <w:szCs w:val="20"/>
                <w:lang w:bidi="hi-IN"/>
                <w14:ligatures w14:val="none"/>
              </w:rPr>
              <w:t>0</w:t>
            </w:r>
          </w:p>
        </w:tc>
        <w:tc>
          <w:tcPr>
            <w:tcW w:w="428" w:type="pct"/>
            <w:tcBorders>
              <w:top w:val="nil"/>
              <w:left w:val="nil"/>
              <w:bottom w:val="single" w:sz="4" w:space="0" w:color="auto"/>
              <w:right w:val="single" w:sz="4" w:space="0" w:color="auto"/>
            </w:tcBorders>
            <w:vAlign w:val="center"/>
            <w:hideMark/>
          </w:tcPr>
          <w:p w14:paraId="59500D4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1.39</w:t>
            </w:r>
          </w:p>
        </w:tc>
        <w:tc>
          <w:tcPr>
            <w:tcW w:w="335" w:type="pct"/>
            <w:tcBorders>
              <w:top w:val="nil"/>
              <w:left w:val="nil"/>
              <w:bottom w:val="single" w:sz="4" w:space="0" w:color="auto"/>
              <w:right w:val="single" w:sz="4" w:space="0" w:color="auto"/>
            </w:tcBorders>
            <w:vAlign w:val="center"/>
            <w:hideMark/>
          </w:tcPr>
          <w:p w14:paraId="6F1B69F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587.97</w:t>
            </w:r>
          </w:p>
        </w:tc>
        <w:tc>
          <w:tcPr>
            <w:tcW w:w="354" w:type="pct"/>
            <w:tcBorders>
              <w:top w:val="nil"/>
              <w:left w:val="nil"/>
              <w:bottom w:val="single" w:sz="4" w:space="0" w:color="auto"/>
              <w:right w:val="single" w:sz="4" w:space="0" w:color="auto"/>
            </w:tcBorders>
            <w:vAlign w:val="center"/>
            <w:hideMark/>
          </w:tcPr>
          <w:p w14:paraId="09BDE40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123.28</w:t>
            </w:r>
          </w:p>
        </w:tc>
      </w:tr>
      <w:tr w:rsidR="00B6656D" w:rsidRPr="00F23A22" w14:paraId="20CA6D72"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74B1FC82" w14:textId="00F253D8"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CCC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6B310A9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90.05</w:t>
            </w:r>
          </w:p>
        </w:tc>
        <w:tc>
          <w:tcPr>
            <w:tcW w:w="446" w:type="pct"/>
            <w:tcBorders>
              <w:top w:val="nil"/>
              <w:left w:val="nil"/>
              <w:bottom w:val="single" w:sz="4" w:space="0" w:color="auto"/>
              <w:right w:val="single" w:sz="4" w:space="0" w:color="auto"/>
            </w:tcBorders>
            <w:vAlign w:val="center"/>
            <w:hideMark/>
          </w:tcPr>
          <w:p w14:paraId="536F934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18.06</w:t>
            </w:r>
          </w:p>
        </w:tc>
        <w:tc>
          <w:tcPr>
            <w:tcW w:w="446" w:type="pct"/>
            <w:tcBorders>
              <w:top w:val="nil"/>
              <w:left w:val="nil"/>
              <w:bottom w:val="single" w:sz="4" w:space="0" w:color="auto"/>
              <w:right w:val="single" w:sz="4" w:space="0" w:color="auto"/>
            </w:tcBorders>
            <w:vAlign w:val="center"/>
            <w:hideMark/>
          </w:tcPr>
          <w:p w14:paraId="7A71D79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11.26</w:t>
            </w:r>
          </w:p>
        </w:tc>
        <w:tc>
          <w:tcPr>
            <w:tcW w:w="464" w:type="pct"/>
            <w:tcBorders>
              <w:top w:val="nil"/>
              <w:left w:val="nil"/>
              <w:bottom w:val="single" w:sz="4" w:space="0" w:color="auto"/>
              <w:right w:val="single" w:sz="4" w:space="0" w:color="auto"/>
            </w:tcBorders>
            <w:vAlign w:val="center"/>
            <w:hideMark/>
          </w:tcPr>
          <w:p w14:paraId="7C68C30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68.03</w:t>
            </w:r>
          </w:p>
        </w:tc>
        <w:tc>
          <w:tcPr>
            <w:tcW w:w="466" w:type="pct"/>
            <w:tcBorders>
              <w:top w:val="nil"/>
              <w:left w:val="nil"/>
              <w:bottom w:val="single" w:sz="4" w:space="0" w:color="auto"/>
              <w:right w:val="single" w:sz="4" w:space="0" w:color="auto"/>
            </w:tcBorders>
            <w:vAlign w:val="center"/>
            <w:hideMark/>
          </w:tcPr>
          <w:p w14:paraId="5A0EB118" w14:textId="0A719CB2"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203.3</w:t>
            </w:r>
            <w:r w:rsidR="00C11631" w:rsidRPr="00F23A22">
              <w:rPr>
                <w:rFonts w:ascii="Times New Roman" w:eastAsia="Times New Roman" w:hAnsi="Times New Roman" w:cs="Times New Roman"/>
                <w:color w:val="000000"/>
                <w:kern w:val="0"/>
                <w:sz w:val="20"/>
                <w:szCs w:val="20"/>
                <w:lang w:bidi="hi-IN"/>
                <w14:ligatures w14:val="none"/>
              </w:rPr>
              <w:t>0</w:t>
            </w:r>
          </w:p>
        </w:tc>
        <w:tc>
          <w:tcPr>
            <w:tcW w:w="384" w:type="pct"/>
            <w:tcBorders>
              <w:top w:val="nil"/>
              <w:left w:val="nil"/>
              <w:bottom w:val="single" w:sz="4" w:space="0" w:color="auto"/>
              <w:right w:val="single" w:sz="4" w:space="0" w:color="auto"/>
            </w:tcBorders>
            <w:vAlign w:val="center"/>
            <w:hideMark/>
          </w:tcPr>
          <w:p w14:paraId="00ACBF9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90.87</w:t>
            </w:r>
          </w:p>
        </w:tc>
        <w:tc>
          <w:tcPr>
            <w:tcW w:w="346" w:type="pct"/>
            <w:tcBorders>
              <w:top w:val="nil"/>
              <w:left w:val="nil"/>
              <w:bottom w:val="single" w:sz="4" w:space="0" w:color="auto"/>
              <w:right w:val="single" w:sz="4" w:space="0" w:color="auto"/>
            </w:tcBorders>
            <w:vAlign w:val="center"/>
            <w:hideMark/>
          </w:tcPr>
          <w:p w14:paraId="7E3DA29E" w14:textId="7B51436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6.9</w:t>
            </w:r>
            <w:r w:rsidR="00C11631" w:rsidRPr="00F23A22">
              <w:rPr>
                <w:rFonts w:ascii="Times New Roman" w:eastAsia="Times New Roman" w:hAnsi="Times New Roman" w:cs="Times New Roman"/>
                <w:color w:val="000000"/>
                <w:kern w:val="0"/>
                <w:sz w:val="20"/>
                <w:szCs w:val="20"/>
                <w:lang w:bidi="hi-IN"/>
                <w14:ligatures w14:val="none"/>
              </w:rPr>
              <w:t>0</w:t>
            </w:r>
          </w:p>
        </w:tc>
        <w:tc>
          <w:tcPr>
            <w:tcW w:w="428" w:type="pct"/>
            <w:tcBorders>
              <w:top w:val="nil"/>
              <w:left w:val="nil"/>
              <w:bottom w:val="single" w:sz="4" w:space="0" w:color="auto"/>
              <w:right w:val="single" w:sz="4" w:space="0" w:color="auto"/>
            </w:tcBorders>
            <w:vAlign w:val="center"/>
            <w:hideMark/>
          </w:tcPr>
          <w:p w14:paraId="1D948728" w14:textId="7CA4A328"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w:t>
            </w:r>
            <w:r w:rsidR="00C11631" w:rsidRPr="00F23A22">
              <w:rPr>
                <w:rFonts w:ascii="Times New Roman" w:eastAsia="Times New Roman" w:hAnsi="Times New Roman" w:cs="Times New Roman"/>
                <w:color w:val="000000"/>
                <w:kern w:val="0"/>
                <w:sz w:val="20"/>
                <w:szCs w:val="20"/>
                <w:lang w:bidi="hi-IN"/>
                <w14:ligatures w14:val="none"/>
              </w:rPr>
              <w:t>0</w:t>
            </w:r>
          </w:p>
        </w:tc>
        <w:tc>
          <w:tcPr>
            <w:tcW w:w="335" w:type="pct"/>
            <w:tcBorders>
              <w:top w:val="nil"/>
              <w:left w:val="nil"/>
              <w:bottom w:val="single" w:sz="4" w:space="0" w:color="auto"/>
              <w:right w:val="single" w:sz="4" w:space="0" w:color="auto"/>
            </w:tcBorders>
            <w:vAlign w:val="center"/>
            <w:hideMark/>
          </w:tcPr>
          <w:p w14:paraId="6611BD01" w14:textId="47B4D22F"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612.4</w:t>
            </w:r>
            <w:r w:rsidR="00C11631" w:rsidRPr="00F23A22">
              <w:rPr>
                <w:rFonts w:ascii="Times New Roman" w:eastAsia="Times New Roman" w:hAnsi="Times New Roman" w:cs="Times New Roman"/>
                <w:color w:val="000000"/>
                <w:kern w:val="0"/>
                <w:sz w:val="20"/>
                <w:szCs w:val="20"/>
                <w:lang w:bidi="hi-IN"/>
                <w14:ligatures w14:val="none"/>
              </w:rPr>
              <w:t>0</w:t>
            </w:r>
          </w:p>
        </w:tc>
        <w:tc>
          <w:tcPr>
            <w:tcW w:w="354" w:type="pct"/>
            <w:tcBorders>
              <w:top w:val="nil"/>
              <w:left w:val="nil"/>
              <w:bottom w:val="single" w:sz="4" w:space="0" w:color="auto"/>
              <w:right w:val="single" w:sz="4" w:space="0" w:color="auto"/>
            </w:tcBorders>
            <w:vAlign w:val="center"/>
            <w:hideMark/>
          </w:tcPr>
          <w:p w14:paraId="518CC766"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130.35</w:t>
            </w:r>
          </w:p>
        </w:tc>
      </w:tr>
      <w:tr w:rsidR="00B6656D" w:rsidRPr="00F23A22" w14:paraId="57FB4BB8"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10D57CA4" w14:textId="3E472616"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proofErr w:type="spellStart"/>
            <w:r w:rsidRPr="00F23A22">
              <w:rPr>
                <w:rFonts w:ascii="Times New Roman" w:eastAsia="Times New Roman" w:hAnsi="Times New Roman" w:cs="Times New Roman"/>
                <w:color w:val="000000"/>
                <w:kern w:val="0"/>
                <w:sz w:val="20"/>
                <w:szCs w:val="20"/>
                <w:lang w:bidi="hi-IN"/>
                <w14:ligatures w14:val="none"/>
              </w:rPr>
              <w:t>Ethrel</w:t>
            </w:r>
            <w:proofErr w:type="spellEnd"/>
            <w:r w:rsidRPr="00F23A22">
              <w:rPr>
                <w:rFonts w:ascii="Times New Roman" w:eastAsia="Times New Roman" w:hAnsi="Times New Roman" w:cs="Times New Roman"/>
                <w:color w:val="000000"/>
                <w:kern w:val="0"/>
                <w:sz w:val="20"/>
                <w:szCs w:val="20"/>
                <w:lang w:bidi="hi-IN"/>
                <w14:ligatures w14:val="none"/>
              </w:rPr>
              <w:t xml:space="preserve">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691B6B5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87.02</w:t>
            </w:r>
          </w:p>
        </w:tc>
        <w:tc>
          <w:tcPr>
            <w:tcW w:w="446" w:type="pct"/>
            <w:tcBorders>
              <w:top w:val="nil"/>
              <w:left w:val="nil"/>
              <w:bottom w:val="single" w:sz="4" w:space="0" w:color="auto"/>
              <w:right w:val="single" w:sz="4" w:space="0" w:color="auto"/>
            </w:tcBorders>
            <w:vAlign w:val="center"/>
            <w:hideMark/>
          </w:tcPr>
          <w:p w14:paraId="5BF167D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14.98</w:t>
            </w:r>
          </w:p>
        </w:tc>
        <w:tc>
          <w:tcPr>
            <w:tcW w:w="446" w:type="pct"/>
            <w:tcBorders>
              <w:top w:val="nil"/>
              <w:left w:val="nil"/>
              <w:bottom w:val="single" w:sz="4" w:space="0" w:color="auto"/>
              <w:right w:val="single" w:sz="4" w:space="0" w:color="auto"/>
            </w:tcBorders>
            <w:vAlign w:val="center"/>
            <w:hideMark/>
          </w:tcPr>
          <w:p w14:paraId="572A1D71"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10.88</w:t>
            </w:r>
          </w:p>
        </w:tc>
        <w:tc>
          <w:tcPr>
            <w:tcW w:w="464" w:type="pct"/>
            <w:tcBorders>
              <w:top w:val="nil"/>
              <w:left w:val="nil"/>
              <w:bottom w:val="single" w:sz="4" w:space="0" w:color="auto"/>
              <w:right w:val="single" w:sz="4" w:space="0" w:color="auto"/>
            </w:tcBorders>
            <w:vAlign w:val="center"/>
            <w:hideMark/>
          </w:tcPr>
          <w:p w14:paraId="05B84C9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66.36</w:t>
            </w:r>
          </w:p>
        </w:tc>
        <w:tc>
          <w:tcPr>
            <w:tcW w:w="466" w:type="pct"/>
            <w:tcBorders>
              <w:top w:val="nil"/>
              <w:left w:val="nil"/>
              <w:bottom w:val="single" w:sz="4" w:space="0" w:color="auto"/>
              <w:right w:val="single" w:sz="4" w:space="0" w:color="auto"/>
            </w:tcBorders>
            <w:vAlign w:val="center"/>
            <w:hideMark/>
          </w:tcPr>
          <w:p w14:paraId="0A5E52B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162.84</w:t>
            </w:r>
          </w:p>
        </w:tc>
        <w:tc>
          <w:tcPr>
            <w:tcW w:w="384" w:type="pct"/>
            <w:tcBorders>
              <w:top w:val="nil"/>
              <w:left w:val="nil"/>
              <w:bottom w:val="single" w:sz="4" w:space="0" w:color="auto"/>
              <w:right w:val="single" w:sz="4" w:space="0" w:color="auto"/>
            </w:tcBorders>
            <w:vAlign w:val="center"/>
            <w:hideMark/>
          </w:tcPr>
          <w:p w14:paraId="5F96CEA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88.07</w:t>
            </w:r>
          </w:p>
        </w:tc>
        <w:tc>
          <w:tcPr>
            <w:tcW w:w="346" w:type="pct"/>
            <w:tcBorders>
              <w:top w:val="nil"/>
              <w:left w:val="nil"/>
              <w:bottom w:val="single" w:sz="4" w:space="0" w:color="auto"/>
              <w:right w:val="single" w:sz="4" w:space="0" w:color="auto"/>
            </w:tcBorders>
            <w:vAlign w:val="center"/>
            <w:hideMark/>
          </w:tcPr>
          <w:p w14:paraId="3782B6A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6.33</w:t>
            </w:r>
          </w:p>
        </w:tc>
        <w:tc>
          <w:tcPr>
            <w:tcW w:w="428" w:type="pct"/>
            <w:tcBorders>
              <w:top w:val="nil"/>
              <w:left w:val="nil"/>
              <w:bottom w:val="single" w:sz="4" w:space="0" w:color="auto"/>
              <w:right w:val="single" w:sz="4" w:space="0" w:color="auto"/>
            </w:tcBorders>
            <w:vAlign w:val="center"/>
            <w:hideMark/>
          </w:tcPr>
          <w:p w14:paraId="2CA62AA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1.37</w:t>
            </w:r>
          </w:p>
        </w:tc>
        <w:tc>
          <w:tcPr>
            <w:tcW w:w="335" w:type="pct"/>
            <w:tcBorders>
              <w:top w:val="nil"/>
              <w:left w:val="nil"/>
              <w:bottom w:val="single" w:sz="4" w:space="0" w:color="auto"/>
              <w:right w:val="single" w:sz="4" w:space="0" w:color="auto"/>
            </w:tcBorders>
            <w:vAlign w:val="center"/>
            <w:hideMark/>
          </w:tcPr>
          <w:p w14:paraId="7DBEA6B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547.74</w:t>
            </w:r>
          </w:p>
        </w:tc>
        <w:tc>
          <w:tcPr>
            <w:tcW w:w="354" w:type="pct"/>
            <w:tcBorders>
              <w:top w:val="nil"/>
              <w:left w:val="nil"/>
              <w:bottom w:val="single" w:sz="4" w:space="0" w:color="auto"/>
              <w:right w:val="single" w:sz="4" w:space="0" w:color="auto"/>
            </w:tcBorders>
            <w:vAlign w:val="center"/>
            <w:hideMark/>
          </w:tcPr>
          <w:p w14:paraId="160EFC8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119.03</w:t>
            </w:r>
          </w:p>
        </w:tc>
      </w:tr>
      <w:tr w:rsidR="00B6656D" w:rsidRPr="00F23A22" w14:paraId="61B25CD3"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5E94A8E9" w14:textId="1CC9402C"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proofErr w:type="spellStart"/>
            <w:r w:rsidRPr="00F23A22">
              <w:rPr>
                <w:rFonts w:ascii="Times New Roman" w:eastAsia="Times New Roman" w:hAnsi="Times New Roman" w:cs="Times New Roman"/>
                <w:color w:val="000000"/>
                <w:kern w:val="0"/>
                <w:sz w:val="20"/>
                <w:szCs w:val="20"/>
                <w:lang w:bidi="hi-IN"/>
                <w14:ligatures w14:val="none"/>
              </w:rPr>
              <w:t>Ethrel</w:t>
            </w:r>
            <w:proofErr w:type="spellEnd"/>
            <w:r w:rsidRPr="00F23A22">
              <w:rPr>
                <w:rFonts w:ascii="Times New Roman" w:eastAsia="Times New Roman" w:hAnsi="Times New Roman" w:cs="Times New Roman"/>
                <w:color w:val="000000"/>
                <w:kern w:val="0"/>
                <w:sz w:val="20"/>
                <w:szCs w:val="20"/>
                <w:lang w:bidi="hi-IN"/>
                <w14:ligatures w14:val="none"/>
              </w:rPr>
              <w:t xml:space="preserve">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0820CF0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86.59</w:t>
            </w:r>
          </w:p>
        </w:tc>
        <w:tc>
          <w:tcPr>
            <w:tcW w:w="446" w:type="pct"/>
            <w:tcBorders>
              <w:top w:val="nil"/>
              <w:left w:val="nil"/>
              <w:bottom w:val="single" w:sz="4" w:space="0" w:color="auto"/>
              <w:right w:val="single" w:sz="4" w:space="0" w:color="auto"/>
            </w:tcBorders>
            <w:vAlign w:val="center"/>
            <w:hideMark/>
          </w:tcPr>
          <w:p w14:paraId="6DB33E5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14.95</w:t>
            </w:r>
          </w:p>
        </w:tc>
        <w:tc>
          <w:tcPr>
            <w:tcW w:w="446" w:type="pct"/>
            <w:tcBorders>
              <w:top w:val="nil"/>
              <w:left w:val="nil"/>
              <w:bottom w:val="single" w:sz="4" w:space="0" w:color="auto"/>
              <w:right w:val="single" w:sz="4" w:space="0" w:color="auto"/>
            </w:tcBorders>
            <w:vAlign w:val="center"/>
            <w:hideMark/>
          </w:tcPr>
          <w:p w14:paraId="106AB685"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10.82</w:t>
            </w:r>
          </w:p>
        </w:tc>
        <w:tc>
          <w:tcPr>
            <w:tcW w:w="464" w:type="pct"/>
            <w:tcBorders>
              <w:top w:val="nil"/>
              <w:left w:val="nil"/>
              <w:bottom w:val="single" w:sz="4" w:space="0" w:color="auto"/>
              <w:right w:val="single" w:sz="4" w:space="0" w:color="auto"/>
            </w:tcBorders>
            <w:vAlign w:val="center"/>
            <w:hideMark/>
          </w:tcPr>
          <w:p w14:paraId="68E8C0F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65.84</w:t>
            </w:r>
          </w:p>
        </w:tc>
        <w:tc>
          <w:tcPr>
            <w:tcW w:w="466" w:type="pct"/>
            <w:tcBorders>
              <w:top w:val="nil"/>
              <w:left w:val="nil"/>
              <w:bottom w:val="single" w:sz="4" w:space="0" w:color="auto"/>
              <w:right w:val="single" w:sz="4" w:space="0" w:color="auto"/>
            </w:tcBorders>
            <w:vAlign w:val="center"/>
            <w:hideMark/>
          </w:tcPr>
          <w:p w14:paraId="44409E59"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161.69</w:t>
            </w:r>
          </w:p>
        </w:tc>
        <w:tc>
          <w:tcPr>
            <w:tcW w:w="384" w:type="pct"/>
            <w:tcBorders>
              <w:top w:val="nil"/>
              <w:left w:val="nil"/>
              <w:bottom w:val="single" w:sz="4" w:space="0" w:color="auto"/>
              <w:right w:val="single" w:sz="4" w:space="0" w:color="auto"/>
            </w:tcBorders>
            <w:vAlign w:val="center"/>
            <w:hideMark/>
          </w:tcPr>
          <w:p w14:paraId="7E07A082" w14:textId="4FB17A86"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87.6</w:t>
            </w:r>
            <w:r w:rsidR="00C11631" w:rsidRPr="00F23A22">
              <w:rPr>
                <w:rFonts w:ascii="Times New Roman" w:eastAsia="Times New Roman" w:hAnsi="Times New Roman" w:cs="Times New Roman"/>
                <w:color w:val="000000"/>
                <w:kern w:val="0"/>
                <w:sz w:val="20"/>
                <w:szCs w:val="20"/>
                <w:lang w:bidi="hi-IN"/>
                <w14:ligatures w14:val="none"/>
              </w:rPr>
              <w:t>0</w:t>
            </w:r>
          </w:p>
        </w:tc>
        <w:tc>
          <w:tcPr>
            <w:tcW w:w="346" w:type="pct"/>
            <w:tcBorders>
              <w:top w:val="nil"/>
              <w:left w:val="nil"/>
              <w:bottom w:val="single" w:sz="4" w:space="0" w:color="auto"/>
              <w:right w:val="single" w:sz="4" w:space="0" w:color="auto"/>
            </w:tcBorders>
            <w:vAlign w:val="center"/>
            <w:hideMark/>
          </w:tcPr>
          <w:p w14:paraId="05A595D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6.15</w:t>
            </w:r>
          </w:p>
        </w:tc>
        <w:tc>
          <w:tcPr>
            <w:tcW w:w="428" w:type="pct"/>
            <w:tcBorders>
              <w:top w:val="nil"/>
              <w:left w:val="nil"/>
              <w:bottom w:val="single" w:sz="4" w:space="0" w:color="auto"/>
              <w:right w:val="single" w:sz="4" w:space="0" w:color="auto"/>
            </w:tcBorders>
            <w:vAlign w:val="center"/>
            <w:hideMark/>
          </w:tcPr>
          <w:p w14:paraId="3C710655"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1.37</w:t>
            </w:r>
          </w:p>
        </w:tc>
        <w:tc>
          <w:tcPr>
            <w:tcW w:w="335" w:type="pct"/>
            <w:tcBorders>
              <w:top w:val="nil"/>
              <w:left w:val="nil"/>
              <w:bottom w:val="single" w:sz="4" w:space="0" w:color="auto"/>
              <w:right w:val="single" w:sz="4" w:space="0" w:color="auto"/>
            </w:tcBorders>
            <w:vAlign w:val="center"/>
            <w:hideMark/>
          </w:tcPr>
          <w:p w14:paraId="570CC671"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537.68</w:t>
            </w:r>
          </w:p>
        </w:tc>
        <w:tc>
          <w:tcPr>
            <w:tcW w:w="354" w:type="pct"/>
            <w:tcBorders>
              <w:top w:val="nil"/>
              <w:left w:val="nil"/>
              <w:bottom w:val="single" w:sz="4" w:space="0" w:color="auto"/>
              <w:right w:val="single" w:sz="4" w:space="0" w:color="auto"/>
            </w:tcBorders>
            <w:vAlign w:val="center"/>
            <w:hideMark/>
          </w:tcPr>
          <w:p w14:paraId="2025B58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118.68</w:t>
            </w:r>
          </w:p>
        </w:tc>
      </w:tr>
      <w:tr w:rsidR="00B6656D" w:rsidRPr="00F23A22" w14:paraId="4278C35F"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12A007DC" w14:textId="40ECCCD8"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NAA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205A4A6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88.59</w:t>
            </w:r>
          </w:p>
        </w:tc>
        <w:tc>
          <w:tcPr>
            <w:tcW w:w="446" w:type="pct"/>
            <w:tcBorders>
              <w:top w:val="nil"/>
              <w:left w:val="nil"/>
              <w:bottom w:val="single" w:sz="4" w:space="0" w:color="auto"/>
              <w:right w:val="single" w:sz="4" w:space="0" w:color="auto"/>
            </w:tcBorders>
            <w:vAlign w:val="center"/>
            <w:hideMark/>
          </w:tcPr>
          <w:p w14:paraId="42E53632"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16.38</w:t>
            </w:r>
          </w:p>
        </w:tc>
        <w:tc>
          <w:tcPr>
            <w:tcW w:w="446" w:type="pct"/>
            <w:tcBorders>
              <w:top w:val="nil"/>
              <w:left w:val="nil"/>
              <w:bottom w:val="single" w:sz="4" w:space="0" w:color="auto"/>
              <w:right w:val="single" w:sz="4" w:space="0" w:color="auto"/>
            </w:tcBorders>
            <w:vAlign w:val="center"/>
            <w:hideMark/>
          </w:tcPr>
          <w:p w14:paraId="6E5D01C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11.08</w:t>
            </w:r>
          </w:p>
        </w:tc>
        <w:tc>
          <w:tcPr>
            <w:tcW w:w="464" w:type="pct"/>
            <w:tcBorders>
              <w:top w:val="nil"/>
              <w:left w:val="nil"/>
              <w:bottom w:val="single" w:sz="4" w:space="0" w:color="auto"/>
              <w:right w:val="single" w:sz="4" w:space="0" w:color="auto"/>
            </w:tcBorders>
            <w:vAlign w:val="center"/>
            <w:hideMark/>
          </w:tcPr>
          <w:p w14:paraId="0119A1B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65.78</w:t>
            </w:r>
          </w:p>
        </w:tc>
        <w:tc>
          <w:tcPr>
            <w:tcW w:w="466" w:type="pct"/>
            <w:tcBorders>
              <w:top w:val="nil"/>
              <w:left w:val="nil"/>
              <w:bottom w:val="single" w:sz="4" w:space="0" w:color="auto"/>
              <w:right w:val="single" w:sz="4" w:space="0" w:color="auto"/>
            </w:tcBorders>
            <w:vAlign w:val="center"/>
            <w:hideMark/>
          </w:tcPr>
          <w:p w14:paraId="4F5E6191" w14:textId="4395211F"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181.3</w:t>
            </w:r>
            <w:r w:rsidR="00C11631" w:rsidRPr="00F23A22">
              <w:rPr>
                <w:rFonts w:ascii="Times New Roman" w:eastAsia="Times New Roman" w:hAnsi="Times New Roman" w:cs="Times New Roman"/>
                <w:color w:val="000000"/>
                <w:kern w:val="0"/>
                <w:sz w:val="20"/>
                <w:szCs w:val="20"/>
                <w:lang w:bidi="hi-IN"/>
                <w14:ligatures w14:val="none"/>
              </w:rPr>
              <w:t>0</w:t>
            </w:r>
          </w:p>
        </w:tc>
        <w:tc>
          <w:tcPr>
            <w:tcW w:w="384" w:type="pct"/>
            <w:tcBorders>
              <w:top w:val="nil"/>
              <w:left w:val="nil"/>
              <w:bottom w:val="single" w:sz="4" w:space="0" w:color="auto"/>
              <w:right w:val="single" w:sz="4" w:space="0" w:color="auto"/>
            </w:tcBorders>
            <w:vAlign w:val="center"/>
            <w:hideMark/>
          </w:tcPr>
          <w:p w14:paraId="72D1E15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89.35</w:t>
            </w:r>
          </w:p>
        </w:tc>
        <w:tc>
          <w:tcPr>
            <w:tcW w:w="346" w:type="pct"/>
            <w:tcBorders>
              <w:top w:val="nil"/>
              <w:left w:val="nil"/>
              <w:bottom w:val="single" w:sz="4" w:space="0" w:color="auto"/>
              <w:right w:val="single" w:sz="4" w:space="0" w:color="auto"/>
            </w:tcBorders>
            <w:vAlign w:val="center"/>
            <w:hideMark/>
          </w:tcPr>
          <w:p w14:paraId="78BE16C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6.81</w:t>
            </w:r>
          </w:p>
        </w:tc>
        <w:tc>
          <w:tcPr>
            <w:tcW w:w="428" w:type="pct"/>
            <w:tcBorders>
              <w:top w:val="nil"/>
              <w:left w:val="nil"/>
              <w:bottom w:val="single" w:sz="4" w:space="0" w:color="auto"/>
              <w:right w:val="single" w:sz="4" w:space="0" w:color="auto"/>
            </w:tcBorders>
            <w:vAlign w:val="center"/>
            <w:hideMark/>
          </w:tcPr>
          <w:p w14:paraId="2F7D94CF" w14:textId="53142AA5"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w:t>
            </w:r>
            <w:r w:rsidR="00C11631" w:rsidRPr="00F23A22">
              <w:rPr>
                <w:rFonts w:ascii="Times New Roman" w:eastAsia="Times New Roman" w:hAnsi="Times New Roman" w:cs="Times New Roman"/>
                <w:color w:val="000000"/>
                <w:kern w:val="0"/>
                <w:sz w:val="20"/>
                <w:szCs w:val="20"/>
                <w:lang w:bidi="hi-IN"/>
                <w14:ligatures w14:val="none"/>
              </w:rPr>
              <w:t>0</w:t>
            </w:r>
          </w:p>
        </w:tc>
        <w:tc>
          <w:tcPr>
            <w:tcW w:w="335" w:type="pct"/>
            <w:tcBorders>
              <w:top w:val="nil"/>
              <w:left w:val="nil"/>
              <w:bottom w:val="single" w:sz="4" w:space="0" w:color="auto"/>
              <w:right w:val="single" w:sz="4" w:space="0" w:color="auto"/>
            </w:tcBorders>
            <w:vAlign w:val="center"/>
            <w:hideMark/>
          </w:tcPr>
          <w:p w14:paraId="7FC2970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604.36</w:t>
            </w:r>
          </w:p>
        </w:tc>
        <w:tc>
          <w:tcPr>
            <w:tcW w:w="354" w:type="pct"/>
            <w:tcBorders>
              <w:top w:val="nil"/>
              <w:left w:val="nil"/>
              <w:bottom w:val="single" w:sz="4" w:space="0" w:color="auto"/>
              <w:right w:val="single" w:sz="4" w:space="0" w:color="auto"/>
            </w:tcBorders>
            <w:vAlign w:val="center"/>
            <w:hideMark/>
          </w:tcPr>
          <w:p w14:paraId="67299CF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123.65</w:t>
            </w:r>
          </w:p>
        </w:tc>
      </w:tr>
      <w:tr w:rsidR="00B6656D" w:rsidRPr="00F23A22" w14:paraId="10814CD3"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2DEBDA18" w14:textId="30B1B422"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bookmarkStart w:id="5" w:name="_Hlk203522027"/>
            <w:r w:rsidRPr="00F23A22">
              <w:rPr>
                <w:rFonts w:ascii="Times New Roman" w:eastAsia="Times New Roman" w:hAnsi="Times New Roman" w:cs="Times New Roman"/>
                <w:color w:val="000000"/>
                <w:kern w:val="0"/>
                <w:sz w:val="20"/>
                <w:szCs w:val="20"/>
                <w:lang w:bidi="hi-IN"/>
                <w14:ligatures w14:val="none"/>
              </w:rPr>
              <w:t xml:space="preserve">NAA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bookmarkEnd w:id="5"/>
          </w:p>
        </w:tc>
        <w:tc>
          <w:tcPr>
            <w:tcW w:w="446" w:type="pct"/>
            <w:tcBorders>
              <w:top w:val="nil"/>
              <w:left w:val="nil"/>
              <w:bottom w:val="single" w:sz="4" w:space="0" w:color="auto"/>
              <w:right w:val="single" w:sz="4" w:space="0" w:color="auto"/>
            </w:tcBorders>
            <w:vAlign w:val="center"/>
            <w:hideMark/>
          </w:tcPr>
          <w:p w14:paraId="4C1AA89A"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91.91</w:t>
            </w:r>
          </w:p>
        </w:tc>
        <w:tc>
          <w:tcPr>
            <w:tcW w:w="446" w:type="pct"/>
            <w:tcBorders>
              <w:top w:val="nil"/>
              <w:left w:val="nil"/>
              <w:bottom w:val="single" w:sz="4" w:space="0" w:color="auto"/>
              <w:right w:val="single" w:sz="4" w:space="0" w:color="auto"/>
            </w:tcBorders>
            <w:vAlign w:val="center"/>
            <w:hideMark/>
          </w:tcPr>
          <w:p w14:paraId="35C30CA3"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19.33</w:t>
            </w:r>
          </w:p>
        </w:tc>
        <w:tc>
          <w:tcPr>
            <w:tcW w:w="446" w:type="pct"/>
            <w:tcBorders>
              <w:top w:val="nil"/>
              <w:left w:val="nil"/>
              <w:bottom w:val="single" w:sz="4" w:space="0" w:color="auto"/>
              <w:right w:val="single" w:sz="4" w:space="0" w:color="auto"/>
            </w:tcBorders>
            <w:vAlign w:val="center"/>
            <w:hideMark/>
          </w:tcPr>
          <w:p w14:paraId="16C8AA4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11.49</w:t>
            </w:r>
          </w:p>
        </w:tc>
        <w:tc>
          <w:tcPr>
            <w:tcW w:w="464" w:type="pct"/>
            <w:tcBorders>
              <w:top w:val="nil"/>
              <w:left w:val="nil"/>
              <w:bottom w:val="single" w:sz="4" w:space="0" w:color="auto"/>
              <w:right w:val="single" w:sz="4" w:space="0" w:color="auto"/>
            </w:tcBorders>
            <w:vAlign w:val="center"/>
            <w:hideMark/>
          </w:tcPr>
          <w:p w14:paraId="2B38155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70.42</w:t>
            </w:r>
          </w:p>
        </w:tc>
        <w:tc>
          <w:tcPr>
            <w:tcW w:w="466" w:type="pct"/>
            <w:tcBorders>
              <w:top w:val="nil"/>
              <w:left w:val="nil"/>
              <w:bottom w:val="single" w:sz="4" w:space="0" w:color="auto"/>
              <w:right w:val="single" w:sz="4" w:space="0" w:color="auto"/>
            </w:tcBorders>
            <w:vAlign w:val="center"/>
            <w:hideMark/>
          </w:tcPr>
          <w:p w14:paraId="21979E5F"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222.13</w:t>
            </w:r>
          </w:p>
        </w:tc>
        <w:tc>
          <w:tcPr>
            <w:tcW w:w="384" w:type="pct"/>
            <w:tcBorders>
              <w:top w:val="nil"/>
              <w:left w:val="nil"/>
              <w:bottom w:val="single" w:sz="4" w:space="0" w:color="auto"/>
              <w:right w:val="single" w:sz="4" w:space="0" w:color="auto"/>
            </w:tcBorders>
            <w:vAlign w:val="center"/>
            <w:hideMark/>
          </w:tcPr>
          <w:p w14:paraId="50A36E5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92.37</w:t>
            </w:r>
          </w:p>
        </w:tc>
        <w:tc>
          <w:tcPr>
            <w:tcW w:w="346" w:type="pct"/>
            <w:tcBorders>
              <w:top w:val="nil"/>
              <w:left w:val="nil"/>
              <w:bottom w:val="single" w:sz="4" w:space="0" w:color="auto"/>
              <w:right w:val="single" w:sz="4" w:space="0" w:color="auto"/>
            </w:tcBorders>
            <w:vAlign w:val="center"/>
            <w:hideMark/>
          </w:tcPr>
          <w:p w14:paraId="28CCD28E" w14:textId="7793D022"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w:t>
            </w:r>
            <w:r w:rsidR="00C11631" w:rsidRPr="00F23A22">
              <w:rPr>
                <w:rFonts w:ascii="Times New Roman" w:eastAsia="Times New Roman" w:hAnsi="Times New Roman" w:cs="Times New Roman"/>
                <w:color w:val="000000"/>
                <w:kern w:val="0"/>
                <w:sz w:val="20"/>
                <w:szCs w:val="20"/>
                <w:lang w:bidi="hi-IN"/>
                <w14:ligatures w14:val="none"/>
              </w:rPr>
              <w:t>0</w:t>
            </w:r>
          </w:p>
        </w:tc>
        <w:tc>
          <w:tcPr>
            <w:tcW w:w="428" w:type="pct"/>
            <w:tcBorders>
              <w:top w:val="nil"/>
              <w:left w:val="nil"/>
              <w:bottom w:val="single" w:sz="4" w:space="0" w:color="auto"/>
              <w:right w:val="single" w:sz="4" w:space="0" w:color="auto"/>
            </w:tcBorders>
            <w:vAlign w:val="center"/>
            <w:hideMark/>
          </w:tcPr>
          <w:p w14:paraId="54B647F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1.52</w:t>
            </w:r>
          </w:p>
        </w:tc>
        <w:tc>
          <w:tcPr>
            <w:tcW w:w="335" w:type="pct"/>
            <w:tcBorders>
              <w:top w:val="nil"/>
              <w:left w:val="nil"/>
              <w:bottom w:val="single" w:sz="4" w:space="0" w:color="auto"/>
              <w:right w:val="single" w:sz="4" w:space="0" w:color="auto"/>
            </w:tcBorders>
            <w:vAlign w:val="center"/>
            <w:hideMark/>
          </w:tcPr>
          <w:p w14:paraId="6FF4637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809.18</w:t>
            </w:r>
          </w:p>
        </w:tc>
        <w:tc>
          <w:tcPr>
            <w:tcW w:w="354" w:type="pct"/>
            <w:tcBorders>
              <w:top w:val="nil"/>
              <w:left w:val="nil"/>
              <w:bottom w:val="single" w:sz="4" w:space="0" w:color="auto"/>
              <w:right w:val="single" w:sz="4" w:space="0" w:color="auto"/>
            </w:tcBorders>
            <w:vAlign w:val="center"/>
            <w:hideMark/>
          </w:tcPr>
          <w:p w14:paraId="0D97B82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139.73</w:t>
            </w:r>
          </w:p>
        </w:tc>
      </w:tr>
      <w:tr w:rsidR="00B6656D" w:rsidRPr="00F23A22" w14:paraId="6AAA0BA6"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4B6CF027" w14:textId="29867ABA"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Kinetin @ 50ppm for 12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2D45D62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87.18</w:t>
            </w:r>
          </w:p>
        </w:tc>
        <w:tc>
          <w:tcPr>
            <w:tcW w:w="446" w:type="pct"/>
            <w:tcBorders>
              <w:top w:val="nil"/>
              <w:left w:val="nil"/>
              <w:bottom w:val="single" w:sz="4" w:space="0" w:color="auto"/>
              <w:right w:val="single" w:sz="4" w:space="0" w:color="auto"/>
            </w:tcBorders>
            <w:vAlign w:val="center"/>
            <w:hideMark/>
          </w:tcPr>
          <w:p w14:paraId="6B360CD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15.44</w:t>
            </w:r>
          </w:p>
        </w:tc>
        <w:tc>
          <w:tcPr>
            <w:tcW w:w="446" w:type="pct"/>
            <w:tcBorders>
              <w:top w:val="nil"/>
              <w:left w:val="nil"/>
              <w:bottom w:val="single" w:sz="4" w:space="0" w:color="auto"/>
              <w:right w:val="single" w:sz="4" w:space="0" w:color="auto"/>
            </w:tcBorders>
            <w:vAlign w:val="center"/>
            <w:hideMark/>
          </w:tcPr>
          <w:p w14:paraId="13971FB9" w14:textId="75F9C7C4"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10.9</w:t>
            </w:r>
            <w:r w:rsidR="00C11631" w:rsidRPr="00F23A22">
              <w:rPr>
                <w:rFonts w:ascii="Times New Roman" w:eastAsia="Times New Roman" w:hAnsi="Times New Roman" w:cs="Times New Roman"/>
                <w:color w:val="000000"/>
                <w:kern w:val="0"/>
                <w:sz w:val="20"/>
                <w:szCs w:val="20"/>
                <w:lang w:bidi="hi-IN"/>
                <w14:ligatures w14:val="none"/>
              </w:rPr>
              <w:t>0</w:t>
            </w:r>
          </w:p>
        </w:tc>
        <w:tc>
          <w:tcPr>
            <w:tcW w:w="464" w:type="pct"/>
            <w:tcBorders>
              <w:top w:val="nil"/>
              <w:left w:val="nil"/>
              <w:bottom w:val="single" w:sz="4" w:space="0" w:color="auto"/>
              <w:right w:val="single" w:sz="4" w:space="0" w:color="auto"/>
            </w:tcBorders>
            <w:vAlign w:val="center"/>
            <w:hideMark/>
          </w:tcPr>
          <w:p w14:paraId="27A8B5AE"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66.03</w:t>
            </w:r>
          </w:p>
        </w:tc>
        <w:tc>
          <w:tcPr>
            <w:tcW w:w="466" w:type="pct"/>
            <w:tcBorders>
              <w:top w:val="nil"/>
              <w:left w:val="nil"/>
              <w:bottom w:val="single" w:sz="4" w:space="0" w:color="auto"/>
              <w:right w:val="single" w:sz="4" w:space="0" w:color="auto"/>
            </w:tcBorders>
            <w:vAlign w:val="center"/>
            <w:hideMark/>
          </w:tcPr>
          <w:p w14:paraId="0E4E93E7" w14:textId="4B246E8A"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168.2</w:t>
            </w:r>
            <w:r w:rsidR="00C11631" w:rsidRPr="00F23A22">
              <w:rPr>
                <w:rFonts w:ascii="Times New Roman" w:eastAsia="Times New Roman" w:hAnsi="Times New Roman" w:cs="Times New Roman"/>
                <w:color w:val="000000"/>
                <w:kern w:val="0"/>
                <w:sz w:val="20"/>
                <w:szCs w:val="20"/>
                <w:lang w:bidi="hi-IN"/>
                <w14:ligatures w14:val="none"/>
              </w:rPr>
              <w:t>0</w:t>
            </w:r>
          </w:p>
        </w:tc>
        <w:tc>
          <w:tcPr>
            <w:tcW w:w="384" w:type="pct"/>
            <w:tcBorders>
              <w:top w:val="nil"/>
              <w:left w:val="nil"/>
              <w:bottom w:val="single" w:sz="4" w:space="0" w:color="auto"/>
              <w:right w:val="single" w:sz="4" w:space="0" w:color="auto"/>
            </w:tcBorders>
            <w:vAlign w:val="center"/>
            <w:hideMark/>
          </w:tcPr>
          <w:p w14:paraId="778CC78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88.52</w:t>
            </w:r>
          </w:p>
        </w:tc>
        <w:tc>
          <w:tcPr>
            <w:tcW w:w="346" w:type="pct"/>
            <w:tcBorders>
              <w:top w:val="nil"/>
              <w:left w:val="nil"/>
              <w:bottom w:val="single" w:sz="4" w:space="0" w:color="auto"/>
              <w:right w:val="single" w:sz="4" w:space="0" w:color="auto"/>
            </w:tcBorders>
            <w:vAlign w:val="center"/>
            <w:hideMark/>
          </w:tcPr>
          <w:p w14:paraId="6ECF723D"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6.38</w:t>
            </w:r>
          </w:p>
        </w:tc>
        <w:tc>
          <w:tcPr>
            <w:tcW w:w="428" w:type="pct"/>
            <w:tcBorders>
              <w:top w:val="nil"/>
              <w:left w:val="nil"/>
              <w:bottom w:val="single" w:sz="4" w:space="0" w:color="auto"/>
              <w:right w:val="single" w:sz="4" w:space="0" w:color="auto"/>
            </w:tcBorders>
            <w:vAlign w:val="center"/>
            <w:hideMark/>
          </w:tcPr>
          <w:p w14:paraId="275E7317"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1.38</w:t>
            </w:r>
          </w:p>
        </w:tc>
        <w:tc>
          <w:tcPr>
            <w:tcW w:w="335" w:type="pct"/>
            <w:tcBorders>
              <w:top w:val="nil"/>
              <w:left w:val="nil"/>
              <w:bottom w:val="single" w:sz="4" w:space="0" w:color="auto"/>
              <w:right w:val="single" w:sz="4" w:space="0" w:color="auto"/>
            </w:tcBorders>
            <w:vAlign w:val="center"/>
            <w:hideMark/>
          </w:tcPr>
          <w:p w14:paraId="6D72069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569.62</w:t>
            </w:r>
          </w:p>
        </w:tc>
        <w:tc>
          <w:tcPr>
            <w:tcW w:w="354" w:type="pct"/>
            <w:tcBorders>
              <w:top w:val="nil"/>
              <w:left w:val="nil"/>
              <w:bottom w:val="single" w:sz="4" w:space="0" w:color="auto"/>
              <w:right w:val="single" w:sz="4" w:space="0" w:color="auto"/>
            </w:tcBorders>
            <w:vAlign w:val="center"/>
            <w:hideMark/>
          </w:tcPr>
          <w:p w14:paraId="4A744C9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121.66</w:t>
            </w:r>
          </w:p>
        </w:tc>
      </w:tr>
      <w:tr w:rsidR="00B6656D" w:rsidRPr="00F23A22" w14:paraId="755752E4"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188DC942" w14:textId="6B4AE0BB" w:rsidR="006662F6" w:rsidRPr="00F23A22" w:rsidRDefault="006662F6" w:rsidP="006662F6">
            <w:pPr>
              <w:spacing w:after="0" w:line="240" w:lineRule="auto"/>
              <w:jc w:val="both"/>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 xml:space="preserve">Kinetin @ 100ppm for 8 </w:t>
            </w:r>
            <w:r w:rsidR="00201531" w:rsidRPr="00F23A22">
              <w:rPr>
                <w:rFonts w:ascii="Times New Roman" w:eastAsia="Times New Roman" w:hAnsi="Times New Roman" w:cs="Times New Roman"/>
                <w:color w:val="000000"/>
                <w:kern w:val="0"/>
                <w:sz w:val="20"/>
                <w:szCs w:val="20"/>
                <w:lang w:bidi="hi-IN"/>
                <w14:ligatures w14:val="none"/>
              </w:rPr>
              <w:t>h</w:t>
            </w:r>
            <w:r w:rsidRPr="00F23A22">
              <w:rPr>
                <w:rFonts w:ascii="Times New Roman" w:eastAsia="Times New Roman" w:hAnsi="Times New Roman" w:cs="Times New Roman"/>
                <w:color w:val="000000"/>
                <w:kern w:val="0"/>
                <w:sz w:val="20"/>
                <w:szCs w:val="20"/>
                <w:lang w:bidi="hi-IN"/>
                <w14:ligatures w14:val="none"/>
              </w:rPr>
              <w:t>.</w:t>
            </w:r>
          </w:p>
        </w:tc>
        <w:tc>
          <w:tcPr>
            <w:tcW w:w="446" w:type="pct"/>
            <w:tcBorders>
              <w:top w:val="nil"/>
              <w:left w:val="nil"/>
              <w:bottom w:val="single" w:sz="4" w:space="0" w:color="auto"/>
              <w:right w:val="single" w:sz="4" w:space="0" w:color="auto"/>
            </w:tcBorders>
            <w:vAlign w:val="center"/>
            <w:hideMark/>
          </w:tcPr>
          <w:p w14:paraId="126E9650"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89.29</w:t>
            </w:r>
          </w:p>
        </w:tc>
        <w:tc>
          <w:tcPr>
            <w:tcW w:w="446" w:type="pct"/>
            <w:tcBorders>
              <w:top w:val="nil"/>
              <w:left w:val="nil"/>
              <w:bottom w:val="single" w:sz="4" w:space="0" w:color="auto"/>
              <w:right w:val="single" w:sz="4" w:space="0" w:color="auto"/>
            </w:tcBorders>
            <w:vAlign w:val="center"/>
            <w:hideMark/>
          </w:tcPr>
          <w:p w14:paraId="37892A6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17.12</w:t>
            </w:r>
          </w:p>
        </w:tc>
        <w:tc>
          <w:tcPr>
            <w:tcW w:w="446" w:type="pct"/>
            <w:tcBorders>
              <w:top w:val="nil"/>
              <w:left w:val="nil"/>
              <w:bottom w:val="single" w:sz="4" w:space="0" w:color="auto"/>
              <w:right w:val="single" w:sz="4" w:space="0" w:color="auto"/>
            </w:tcBorders>
            <w:vAlign w:val="center"/>
            <w:hideMark/>
          </w:tcPr>
          <w:p w14:paraId="242D1CEB"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11.16</w:t>
            </w:r>
          </w:p>
        </w:tc>
        <w:tc>
          <w:tcPr>
            <w:tcW w:w="464" w:type="pct"/>
            <w:tcBorders>
              <w:top w:val="nil"/>
              <w:left w:val="nil"/>
              <w:bottom w:val="single" w:sz="4" w:space="0" w:color="auto"/>
              <w:right w:val="single" w:sz="4" w:space="0" w:color="auto"/>
            </w:tcBorders>
            <w:vAlign w:val="center"/>
            <w:hideMark/>
          </w:tcPr>
          <w:p w14:paraId="71BB393C"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67.39</w:t>
            </w:r>
          </w:p>
        </w:tc>
        <w:tc>
          <w:tcPr>
            <w:tcW w:w="466" w:type="pct"/>
            <w:tcBorders>
              <w:top w:val="nil"/>
              <w:left w:val="nil"/>
              <w:bottom w:val="single" w:sz="4" w:space="0" w:color="auto"/>
              <w:right w:val="single" w:sz="4" w:space="0" w:color="auto"/>
            </w:tcBorders>
            <w:vAlign w:val="center"/>
            <w:hideMark/>
          </w:tcPr>
          <w:p w14:paraId="368FB925"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191.12</w:t>
            </w:r>
          </w:p>
        </w:tc>
        <w:tc>
          <w:tcPr>
            <w:tcW w:w="384" w:type="pct"/>
            <w:tcBorders>
              <w:top w:val="nil"/>
              <w:left w:val="nil"/>
              <w:bottom w:val="single" w:sz="4" w:space="0" w:color="auto"/>
              <w:right w:val="single" w:sz="4" w:space="0" w:color="auto"/>
            </w:tcBorders>
            <w:vAlign w:val="center"/>
            <w:hideMark/>
          </w:tcPr>
          <w:p w14:paraId="42BE8E2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90.06</w:t>
            </w:r>
          </w:p>
        </w:tc>
        <w:tc>
          <w:tcPr>
            <w:tcW w:w="346" w:type="pct"/>
            <w:tcBorders>
              <w:top w:val="nil"/>
              <w:left w:val="nil"/>
              <w:bottom w:val="single" w:sz="4" w:space="0" w:color="auto"/>
              <w:right w:val="single" w:sz="4" w:space="0" w:color="auto"/>
            </w:tcBorders>
            <w:vAlign w:val="center"/>
            <w:hideMark/>
          </w:tcPr>
          <w:p w14:paraId="235FE2C8"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6.85</w:t>
            </w:r>
          </w:p>
        </w:tc>
        <w:tc>
          <w:tcPr>
            <w:tcW w:w="428" w:type="pct"/>
            <w:tcBorders>
              <w:top w:val="nil"/>
              <w:left w:val="nil"/>
              <w:bottom w:val="single" w:sz="4" w:space="0" w:color="auto"/>
              <w:right w:val="single" w:sz="4" w:space="0" w:color="auto"/>
            </w:tcBorders>
            <w:vAlign w:val="center"/>
            <w:hideMark/>
          </w:tcPr>
          <w:p w14:paraId="308BD51E"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1.48</w:t>
            </w:r>
          </w:p>
        </w:tc>
        <w:tc>
          <w:tcPr>
            <w:tcW w:w="335" w:type="pct"/>
            <w:tcBorders>
              <w:top w:val="nil"/>
              <w:left w:val="nil"/>
              <w:bottom w:val="single" w:sz="4" w:space="0" w:color="auto"/>
              <w:right w:val="single" w:sz="4" w:space="0" w:color="auto"/>
            </w:tcBorders>
            <w:vAlign w:val="center"/>
            <w:hideMark/>
          </w:tcPr>
          <w:p w14:paraId="7F7BBE28" w14:textId="7EF03188"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614.8</w:t>
            </w:r>
            <w:r w:rsidR="00C11631" w:rsidRPr="00F23A22">
              <w:rPr>
                <w:rFonts w:ascii="Times New Roman" w:eastAsia="Times New Roman" w:hAnsi="Times New Roman" w:cs="Times New Roman"/>
                <w:color w:val="000000"/>
                <w:kern w:val="0"/>
                <w:sz w:val="20"/>
                <w:szCs w:val="20"/>
                <w:lang w:bidi="hi-IN"/>
                <w14:ligatures w14:val="none"/>
              </w:rPr>
              <w:t>0</w:t>
            </w:r>
          </w:p>
        </w:tc>
        <w:tc>
          <w:tcPr>
            <w:tcW w:w="354" w:type="pct"/>
            <w:tcBorders>
              <w:top w:val="nil"/>
              <w:left w:val="nil"/>
              <w:bottom w:val="single" w:sz="4" w:space="0" w:color="auto"/>
              <w:right w:val="single" w:sz="4" w:space="0" w:color="auto"/>
            </w:tcBorders>
            <w:vAlign w:val="center"/>
            <w:hideMark/>
          </w:tcPr>
          <w:p w14:paraId="493AF1B4" w14:textId="77777777" w:rsidR="006662F6" w:rsidRPr="00F23A22" w:rsidRDefault="006662F6" w:rsidP="006662F6">
            <w:pPr>
              <w:spacing w:after="0" w:line="240" w:lineRule="auto"/>
              <w:jc w:val="center"/>
              <w:rPr>
                <w:rFonts w:ascii="Times New Roman" w:eastAsia="Times New Roman" w:hAnsi="Times New Roman" w:cs="Times New Roman"/>
                <w:color w:val="000000"/>
                <w:kern w:val="0"/>
                <w:sz w:val="20"/>
                <w:szCs w:val="20"/>
                <w:lang w:bidi="hi-IN"/>
                <w14:ligatures w14:val="none"/>
              </w:rPr>
            </w:pPr>
            <w:r w:rsidRPr="00F23A22">
              <w:rPr>
                <w:rFonts w:ascii="Times New Roman" w:eastAsia="Times New Roman" w:hAnsi="Times New Roman" w:cs="Times New Roman"/>
                <w:color w:val="000000"/>
                <w:kern w:val="0"/>
                <w:sz w:val="20"/>
                <w:szCs w:val="20"/>
                <w:lang w:bidi="hi-IN"/>
                <w14:ligatures w14:val="none"/>
              </w:rPr>
              <w:t>131.11</w:t>
            </w:r>
          </w:p>
        </w:tc>
      </w:tr>
      <w:tr w:rsidR="00B6656D" w:rsidRPr="00F23A22" w14:paraId="5252F623"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3213E020" w14:textId="77777777" w:rsidR="006662F6" w:rsidRPr="00F23A22" w:rsidRDefault="006662F6" w:rsidP="006662F6">
            <w:pPr>
              <w:spacing w:after="0" w:line="240" w:lineRule="auto"/>
              <w:jc w:val="both"/>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SE(m)±</w:t>
            </w:r>
          </w:p>
        </w:tc>
        <w:tc>
          <w:tcPr>
            <w:tcW w:w="446" w:type="pct"/>
            <w:tcBorders>
              <w:top w:val="nil"/>
              <w:left w:val="nil"/>
              <w:bottom w:val="single" w:sz="4" w:space="0" w:color="auto"/>
              <w:right w:val="single" w:sz="4" w:space="0" w:color="auto"/>
            </w:tcBorders>
            <w:vAlign w:val="center"/>
            <w:hideMark/>
          </w:tcPr>
          <w:p w14:paraId="3F8A09A9"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0.58</w:t>
            </w:r>
          </w:p>
        </w:tc>
        <w:tc>
          <w:tcPr>
            <w:tcW w:w="446" w:type="pct"/>
            <w:tcBorders>
              <w:top w:val="nil"/>
              <w:left w:val="nil"/>
              <w:bottom w:val="single" w:sz="4" w:space="0" w:color="auto"/>
              <w:right w:val="single" w:sz="4" w:space="0" w:color="auto"/>
            </w:tcBorders>
            <w:vAlign w:val="center"/>
            <w:hideMark/>
          </w:tcPr>
          <w:p w14:paraId="2DA170A9"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0.23</w:t>
            </w:r>
          </w:p>
        </w:tc>
        <w:tc>
          <w:tcPr>
            <w:tcW w:w="446" w:type="pct"/>
            <w:tcBorders>
              <w:top w:val="nil"/>
              <w:left w:val="nil"/>
              <w:bottom w:val="single" w:sz="4" w:space="0" w:color="auto"/>
              <w:right w:val="single" w:sz="4" w:space="0" w:color="auto"/>
            </w:tcBorders>
            <w:vAlign w:val="center"/>
            <w:hideMark/>
          </w:tcPr>
          <w:p w14:paraId="256BDC30"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0.07</w:t>
            </w:r>
          </w:p>
        </w:tc>
        <w:tc>
          <w:tcPr>
            <w:tcW w:w="464" w:type="pct"/>
            <w:tcBorders>
              <w:top w:val="nil"/>
              <w:left w:val="nil"/>
              <w:bottom w:val="single" w:sz="4" w:space="0" w:color="auto"/>
              <w:right w:val="single" w:sz="4" w:space="0" w:color="auto"/>
            </w:tcBorders>
            <w:vAlign w:val="center"/>
            <w:hideMark/>
          </w:tcPr>
          <w:p w14:paraId="35EADA48"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0.79</w:t>
            </w:r>
          </w:p>
        </w:tc>
        <w:tc>
          <w:tcPr>
            <w:tcW w:w="466" w:type="pct"/>
            <w:tcBorders>
              <w:top w:val="nil"/>
              <w:left w:val="nil"/>
              <w:bottom w:val="single" w:sz="4" w:space="0" w:color="auto"/>
              <w:right w:val="single" w:sz="4" w:space="0" w:color="auto"/>
            </w:tcBorders>
            <w:vAlign w:val="center"/>
            <w:hideMark/>
          </w:tcPr>
          <w:p w14:paraId="0DC4C284"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2.58</w:t>
            </w:r>
          </w:p>
        </w:tc>
        <w:tc>
          <w:tcPr>
            <w:tcW w:w="384" w:type="pct"/>
            <w:tcBorders>
              <w:top w:val="nil"/>
              <w:left w:val="nil"/>
              <w:bottom w:val="single" w:sz="4" w:space="0" w:color="auto"/>
              <w:right w:val="single" w:sz="4" w:space="0" w:color="auto"/>
            </w:tcBorders>
            <w:vAlign w:val="center"/>
            <w:hideMark/>
          </w:tcPr>
          <w:p w14:paraId="50670AEF"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1.15</w:t>
            </w:r>
          </w:p>
        </w:tc>
        <w:tc>
          <w:tcPr>
            <w:tcW w:w="346" w:type="pct"/>
            <w:tcBorders>
              <w:top w:val="nil"/>
              <w:left w:val="nil"/>
              <w:bottom w:val="single" w:sz="4" w:space="0" w:color="auto"/>
              <w:right w:val="single" w:sz="4" w:space="0" w:color="auto"/>
            </w:tcBorders>
            <w:vAlign w:val="center"/>
            <w:hideMark/>
          </w:tcPr>
          <w:p w14:paraId="1C1B4985"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0.08</w:t>
            </w:r>
          </w:p>
        </w:tc>
        <w:tc>
          <w:tcPr>
            <w:tcW w:w="428" w:type="pct"/>
            <w:tcBorders>
              <w:top w:val="nil"/>
              <w:left w:val="nil"/>
              <w:bottom w:val="single" w:sz="4" w:space="0" w:color="auto"/>
              <w:right w:val="single" w:sz="4" w:space="0" w:color="auto"/>
            </w:tcBorders>
            <w:vAlign w:val="center"/>
            <w:hideMark/>
          </w:tcPr>
          <w:p w14:paraId="5DE02CDC"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0.02</w:t>
            </w:r>
          </w:p>
        </w:tc>
        <w:tc>
          <w:tcPr>
            <w:tcW w:w="335" w:type="pct"/>
            <w:tcBorders>
              <w:top w:val="nil"/>
              <w:left w:val="nil"/>
              <w:bottom w:val="single" w:sz="4" w:space="0" w:color="auto"/>
              <w:right w:val="single" w:sz="4" w:space="0" w:color="auto"/>
            </w:tcBorders>
            <w:vAlign w:val="center"/>
            <w:hideMark/>
          </w:tcPr>
          <w:p w14:paraId="7C25E0F0"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10.15</w:t>
            </w:r>
          </w:p>
        </w:tc>
        <w:tc>
          <w:tcPr>
            <w:tcW w:w="354" w:type="pct"/>
            <w:tcBorders>
              <w:top w:val="nil"/>
              <w:left w:val="nil"/>
              <w:bottom w:val="single" w:sz="4" w:space="0" w:color="auto"/>
              <w:right w:val="single" w:sz="4" w:space="0" w:color="auto"/>
            </w:tcBorders>
            <w:vAlign w:val="center"/>
            <w:hideMark/>
          </w:tcPr>
          <w:p w14:paraId="54336267"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2.29</w:t>
            </w:r>
          </w:p>
        </w:tc>
      </w:tr>
      <w:tr w:rsidR="00B6656D" w:rsidRPr="00F23A22" w14:paraId="11A4B70A"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53B98C0F" w14:textId="77777777" w:rsidR="006662F6" w:rsidRPr="00F23A22" w:rsidRDefault="006662F6" w:rsidP="006662F6">
            <w:pPr>
              <w:spacing w:after="0" w:line="240" w:lineRule="auto"/>
              <w:jc w:val="both"/>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CD</w:t>
            </w:r>
          </w:p>
        </w:tc>
        <w:tc>
          <w:tcPr>
            <w:tcW w:w="446" w:type="pct"/>
            <w:tcBorders>
              <w:top w:val="nil"/>
              <w:left w:val="nil"/>
              <w:bottom w:val="single" w:sz="4" w:space="0" w:color="auto"/>
              <w:right w:val="single" w:sz="4" w:space="0" w:color="auto"/>
            </w:tcBorders>
            <w:vAlign w:val="center"/>
            <w:hideMark/>
          </w:tcPr>
          <w:p w14:paraId="103EF225"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1.65</w:t>
            </w:r>
          </w:p>
        </w:tc>
        <w:tc>
          <w:tcPr>
            <w:tcW w:w="446" w:type="pct"/>
            <w:tcBorders>
              <w:top w:val="nil"/>
              <w:left w:val="nil"/>
              <w:bottom w:val="single" w:sz="4" w:space="0" w:color="auto"/>
              <w:right w:val="single" w:sz="4" w:space="0" w:color="auto"/>
            </w:tcBorders>
            <w:vAlign w:val="center"/>
            <w:hideMark/>
          </w:tcPr>
          <w:p w14:paraId="59DC2EFC"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0.67</w:t>
            </w:r>
          </w:p>
        </w:tc>
        <w:tc>
          <w:tcPr>
            <w:tcW w:w="446" w:type="pct"/>
            <w:tcBorders>
              <w:top w:val="nil"/>
              <w:left w:val="nil"/>
              <w:bottom w:val="single" w:sz="4" w:space="0" w:color="auto"/>
              <w:right w:val="single" w:sz="4" w:space="0" w:color="auto"/>
            </w:tcBorders>
            <w:vAlign w:val="center"/>
            <w:hideMark/>
          </w:tcPr>
          <w:p w14:paraId="6F036691"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0.21</w:t>
            </w:r>
          </w:p>
        </w:tc>
        <w:tc>
          <w:tcPr>
            <w:tcW w:w="464" w:type="pct"/>
            <w:tcBorders>
              <w:top w:val="nil"/>
              <w:left w:val="nil"/>
              <w:bottom w:val="single" w:sz="4" w:space="0" w:color="auto"/>
              <w:right w:val="single" w:sz="4" w:space="0" w:color="auto"/>
            </w:tcBorders>
            <w:vAlign w:val="center"/>
            <w:hideMark/>
          </w:tcPr>
          <w:p w14:paraId="7082AD87"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2.28</w:t>
            </w:r>
          </w:p>
        </w:tc>
        <w:tc>
          <w:tcPr>
            <w:tcW w:w="466" w:type="pct"/>
            <w:tcBorders>
              <w:top w:val="nil"/>
              <w:left w:val="nil"/>
              <w:bottom w:val="single" w:sz="4" w:space="0" w:color="auto"/>
              <w:right w:val="single" w:sz="4" w:space="0" w:color="auto"/>
            </w:tcBorders>
            <w:vAlign w:val="center"/>
            <w:hideMark/>
          </w:tcPr>
          <w:p w14:paraId="604800C3"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7.38</w:t>
            </w:r>
          </w:p>
        </w:tc>
        <w:tc>
          <w:tcPr>
            <w:tcW w:w="384" w:type="pct"/>
            <w:tcBorders>
              <w:top w:val="nil"/>
              <w:left w:val="nil"/>
              <w:bottom w:val="single" w:sz="4" w:space="0" w:color="auto"/>
              <w:right w:val="single" w:sz="4" w:space="0" w:color="auto"/>
            </w:tcBorders>
            <w:vAlign w:val="center"/>
            <w:hideMark/>
          </w:tcPr>
          <w:p w14:paraId="45522842"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3.29</w:t>
            </w:r>
          </w:p>
        </w:tc>
        <w:tc>
          <w:tcPr>
            <w:tcW w:w="346" w:type="pct"/>
            <w:tcBorders>
              <w:top w:val="nil"/>
              <w:left w:val="nil"/>
              <w:bottom w:val="single" w:sz="4" w:space="0" w:color="auto"/>
              <w:right w:val="single" w:sz="4" w:space="0" w:color="auto"/>
            </w:tcBorders>
            <w:vAlign w:val="center"/>
            <w:hideMark/>
          </w:tcPr>
          <w:p w14:paraId="7BDF49A2"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0.22</w:t>
            </w:r>
          </w:p>
        </w:tc>
        <w:tc>
          <w:tcPr>
            <w:tcW w:w="428" w:type="pct"/>
            <w:tcBorders>
              <w:top w:val="nil"/>
              <w:left w:val="nil"/>
              <w:bottom w:val="single" w:sz="4" w:space="0" w:color="auto"/>
              <w:right w:val="single" w:sz="4" w:space="0" w:color="auto"/>
            </w:tcBorders>
            <w:vAlign w:val="center"/>
            <w:hideMark/>
          </w:tcPr>
          <w:p w14:paraId="4018CE01"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0.05</w:t>
            </w:r>
          </w:p>
        </w:tc>
        <w:tc>
          <w:tcPr>
            <w:tcW w:w="335" w:type="pct"/>
            <w:tcBorders>
              <w:top w:val="nil"/>
              <w:left w:val="nil"/>
              <w:bottom w:val="single" w:sz="4" w:space="0" w:color="auto"/>
              <w:right w:val="single" w:sz="4" w:space="0" w:color="auto"/>
            </w:tcBorders>
            <w:vAlign w:val="center"/>
            <w:hideMark/>
          </w:tcPr>
          <w:p w14:paraId="12A3C379" w14:textId="0BD4CD24"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29</w:t>
            </w:r>
            <w:r w:rsidR="00C11631" w:rsidRPr="00F23A22">
              <w:rPr>
                <w:rFonts w:ascii="Times New Roman" w:eastAsia="Times New Roman" w:hAnsi="Times New Roman" w:cs="Times New Roman"/>
                <w:b/>
                <w:bCs/>
                <w:color w:val="000000"/>
                <w:kern w:val="0"/>
                <w:sz w:val="20"/>
                <w:szCs w:val="20"/>
                <w:lang w:bidi="hi-IN"/>
                <w14:ligatures w14:val="none"/>
              </w:rPr>
              <w:t>.00</w:t>
            </w:r>
          </w:p>
        </w:tc>
        <w:tc>
          <w:tcPr>
            <w:tcW w:w="354" w:type="pct"/>
            <w:tcBorders>
              <w:top w:val="nil"/>
              <w:left w:val="nil"/>
              <w:bottom w:val="single" w:sz="4" w:space="0" w:color="auto"/>
              <w:right w:val="single" w:sz="4" w:space="0" w:color="auto"/>
            </w:tcBorders>
            <w:vAlign w:val="center"/>
            <w:hideMark/>
          </w:tcPr>
          <w:p w14:paraId="2F8EBAE5"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6.55</w:t>
            </w:r>
          </w:p>
        </w:tc>
      </w:tr>
      <w:tr w:rsidR="00B6656D" w:rsidRPr="00F23A22" w14:paraId="3A3E2977" w14:textId="77777777" w:rsidTr="00F23A22">
        <w:trPr>
          <w:trHeight w:val="369"/>
        </w:trPr>
        <w:tc>
          <w:tcPr>
            <w:tcW w:w="885" w:type="pct"/>
            <w:tcBorders>
              <w:top w:val="nil"/>
              <w:left w:val="single" w:sz="4" w:space="0" w:color="auto"/>
              <w:bottom w:val="single" w:sz="4" w:space="0" w:color="auto"/>
              <w:right w:val="single" w:sz="4" w:space="0" w:color="auto"/>
            </w:tcBorders>
            <w:vAlign w:val="center"/>
            <w:hideMark/>
          </w:tcPr>
          <w:p w14:paraId="770EB7EC" w14:textId="77777777" w:rsidR="006662F6" w:rsidRPr="00F23A22" w:rsidRDefault="006662F6" w:rsidP="006662F6">
            <w:pPr>
              <w:spacing w:after="0" w:line="240" w:lineRule="auto"/>
              <w:jc w:val="both"/>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CV (%)</w:t>
            </w:r>
          </w:p>
        </w:tc>
        <w:tc>
          <w:tcPr>
            <w:tcW w:w="446" w:type="pct"/>
            <w:tcBorders>
              <w:top w:val="nil"/>
              <w:left w:val="nil"/>
              <w:bottom w:val="single" w:sz="4" w:space="0" w:color="auto"/>
              <w:right w:val="single" w:sz="4" w:space="0" w:color="auto"/>
            </w:tcBorders>
            <w:vAlign w:val="center"/>
            <w:hideMark/>
          </w:tcPr>
          <w:p w14:paraId="0AB2C8E8"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1.29</w:t>
            </w:r>
          </w:p>
        </w:tc>
        <w:tc>
          <w:tcPr>
            <w:tcW w:w="446" w:type="pct"/>
            <w:tcBorders>
              <w:top w:val="nil"/>
              <w:left w:val="nil"/>
              <w:bottom w:val="single" w:sz="4" w:space="0" w:color="auto"/>
              <w:right w:val="single" w:sz="4" w:space="0" w:color="auto"/>
            </w:tcBorders>
            <w:vAlign w:val="center"/>
            <w:hideMark/>
          </w:tcPr>
          <w:p w14:paraId="07D21C9D"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2.72</w:t>
            </w:r>
          </w:p>
        </w:tc>
        <w:tc>
          <w:tcPr>
            <w:tcW w:w="446" w:type="pct"/>
            <w:tcBorders>
              <w:top w:val="nil"/>
              <w:left w:val="nil"/>
              <w:bottom w:val="single" w:sz="4" w:space="0" w:color="auto"/>
              <w:right w:val="single" w:sz="4" w:space="0" w:color="auto"/>
            </w:tcBorders>
            <w:vAlign w:val="center"/>
            <w:hideMark/>
          </w:tcPr>
          <w:p w14:paraId="22A06C95"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1.3</w:t>
            </w:r>
          </w:p>
        </w:tc>
        <w:tc>
          <w:tcPr>
            <w:tcW w:w="464" w:type="pct"/>
            <w:tcBorders>
              <w:top w:val="nil"/>
              <w:left w:val="nil"/>
              <w:bottom w:val="single" w:sz="4" w:space="0" w:color="auto"/>
              <w:right w:val="single" w:sz="4" w:space="0" w:color="auto"/>
            </w:tcBorders>
            <w:vAlign w:val="center"/>
            <w:hideMark/>
          </w:tcPr>
          <w:p w14:paraId="7F7256C8"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2.35</w:t>
            </w:r>
          </w:p>
        </w:tc>
        <w:tc>
          <w:tcPr>
            <w:tcW w:w="466" w:type="pct"/>
            <w:tcBorders>
              <w:top w:val="nil"/>
              <w:left w:val="nil"/>
              <w:bottom w:val="single" w:sz="4" w:space="0" w:color="auto"/>
              <w:right w:val="single" w:sz="4" w:space="0" w:color="auto"/>
            </w:tcBorders>
            <w:vAlign w:val="center"/>
            <w:hideMark/>
          </w:tcPr>
          <w:p w14:paraId="607841DF"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2.68</w:t>
            </w:r>
          </w:p>
        </w:tc>
        <w:tc>
          <w:tcPr>
            <w:tcW w:w="384" w:type="pct"/>
            <w:tcBorders>
              <w:top w:val="nil"/>
              <w:left w:val="nil"/>
              <w:bottom w:val="single" w:sz="4" w:space="0" w:color="auto"/>
              <w:right w:val="single" w:sz="4" w:space="0" w:color="auto"/>
            </w:tcBorders>
            <w:vAlign w:val="center"/>
            <w:hideMark/>
          </w:tcPr>
          <w:p w14:paraId="0083F4BD"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2.56</w:t>
            </w:r>
          </w:p>
        </w:tc>
        <w:tc>
          <w:tcPr>
            <w:tcW w:w="346" w:type="pct"/>
            <w:tcBorders>
              <w:top w:val="nil"/>
              <w:left w:val="nil"/>
              <w:bottom w:val="single" w:sz="4" w:space="0" w:color="auto"/>
              <w:right w:val="single" w:sz="4" w:space="0" w:color="auto"/>
            </w:tcBorders>
            <w:vAlign w:val="center"/>
            <w:hideMark/>
          </w:tcPr>
          <w:p w14:paraId="61509946"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2.03</w:t>
            </w:r>
          </w:p>
        </w:tc>
        <w:tc>
          <w:tcPr>
            <w:tcW w:w="428" w:type="pct"/>
            <w:tcBorders>
              <w:top w:val="nil"/>
              <w:left w:val="nil"/>
              <w:bottom w:val="single" w:sz="4" w:space="0" w:color="auto"/>
              <w:right w:val="single" w:sz="4" w:space="0" w:color="auto"/>
            </w:tcBorders>
            <w:vAlign w:val="center"/>
            <w:hideMark/>
          </w:tcPr>
          <w:p w14:paraId="6C150F7C"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2.38</w:t>
            </w:r>
          </w:p>
        </w:tc>
        <w:tc>
          <w:tcPr>
            <w:tcW w:w="335" w:type="pct"/>
            <w:tcBorders>
              <w:top w:val="nil"/>
              <w:left w:val="nil"/>
              <w:bottom w:val="single" w:sz="4" w:space="0" w:color="auto"/>
              <w:right w:val="single" w:sz="4" w:space="0" w:color="auto"/>
            </w:tcBorders>
            <w:vAlign w:val="center"/>
            <w:hideMark/>
          </w:tcPr>
          <w:p w14:paraId="7EFFF36A"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3.04</w:t>
            </w:r>
          </w:p>
        </w:tc>
        <w:tc>
          <w:tcPr>
            <w:tcW w:w="354" w:type="pct"/>
            <w:tcBorders>
              <w:top w:val="nil"/>
              <w:left w:val="nil"/>
              <w:bottom w:val="single" w:sz="4" w:space="0" w:color="auto"/>
              <w:right w:val="single" w:sz="4" w:space="0" w:color="auto"/>
            </w:tcBorders>
            <w:vAlign w:val="center"/>
            <w:hideMark/>
          </w:tcPr>
          <w:p w14:paraId="3C2A34F3" w14:textId="77777777" w:rsidR="006662F6" w:rsidRPr="00F23A22" w:rsidRDefault="006662F6" w:rsidP="006662F6">
            <w:pPr>
              <w:spacing w:after="0" w:line="240" w:lineRule="auto"/>
              <w:jc w:val="center"/>
              <w:rPr>
                <w:rFonts w:ascii="Times New Roman" w:eastAsia="Times New Roman" w:hAnsi="Times New Roman" w:cs="Times New Roman"/>
                <w:b/>
                <w:bCs/>
                <w:color w:val="000000"/>
                <w:kern w:val="0"/>
                <w:sz w:val="20"/>
                <w:szCs w:val="20"/>
                <w:lang w:bidi="hi-IN"/>
                <w14:ligatures w14:val="none"/>
              </w:rPr>
            </w:pPr>
            <w:r w:rsidRPr="00F23A22">
              <w:rPr>
                <w:rFonts w:ascii="Times New Roman" w:eastAsia="Times New Roman" w:hAnsi="Times New Roman" w:cs="Times New Roman"/>
                <w:b/>
                <w:bCs/>
                <w:color w:val="000000"/>
                <w:kern w:val="0"/>
                <w:sz w:val="20"/>
                <w:szCs w:val="20"/>
                <w:lang w:bidi="hi-IN"/>
                <w14:ligatures w14:val="none"/>
              </w:rPr>
              <w:t>3.47</w:t>
            </w:r>
          </w:p>
        </w:tc>
      </w:tr>
    </w:tbl>
    <w:p w14:paraId="3F641885" w14:textId="45A56434" w:rsidR="003121D3" w:rsidRPr="00426101" w:rsidRDefault="00230A9C" w:rsidP="006E2F64">
      <w:pPr>
        <w:jc w:val="center"/>
        <w:rPr>
          <w:rFonts w:ascii="Times New Roman" w:hAnsi="Times New Roman" w:cs="Times New Roman"/>
          <w:b/>
          <w:bCs/>
        </w:rPr>
      </w:pPr>
      <w:r>
        <w:rPr>
          <w:rFonts w:ascii="Times New Roman" w:hAnsi="Times New Roman" w:cs="Times New Roman"/>
          <w:noProof/>
        </w:rPr>
        <w:lastRenderedPageBreak/>
        <w:drawing>
          <wp:anchor distT="0" distB="0" distL="114300" distR="114300" simplePos="0" relativeHeight="251658240" behindDoc="0" locked="0" layoutInCell="1" allowOverlap="1" wp14:anchorId="7F878E99" wp14:editId="512D681D">
            <wp:simplePos x="0" y="0"/>
            <wp:positionH relativeFrom="margin">
              <wp:align>left</wp:align>
            </wp:positionH>
            <wp:positionV relativeFrom="paragraph">
              <wp:posOffset>165100</wp:posOffset>
            </wp:positionV>
            <wp:extent cx="8102600" cy="5509895"/>
            <wp:effectExtent l="0" t="0" r="12700" b="14605"/>
            <wp:wrapSquare wrapText="bothSides"/>
            <wp:docPr id="4810360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67C1A" w:rsidRPr="00426101">
        <w:rPr>
          <w:rFonts w:ascii="Times New Roman" w:hAnsi="Times New Roman" w:cs="Times New Roman"/>
          <w:b/>
          <w:bCs/>
        </w:rPr>
        <w:t>Fig. 1: Effect of priming with plant growth regulators on seed quality and vigour characteristics of chickpea</w:t>
      </w:r>
      <w:r w:rsidR="00BF6DA1" w:rsidRPr="00426101">
        <w:rPr>
          <w:rFonts w:ascii="Times New Roman" w:hAnsi="Times New Roman" w:cs="Times New Roman"/>
          <w:b/>
          <w:bCs/>
        </w:rPr>
        <w:t>.</w:t>
      </w:r>
    </w:p>
    <w:sectPr w:rsidR="003121D3" w:rsidRPr="00426101" w:rsidSect="00E4628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AEC14" w14:textId="77777777" w:rsidR="00756494" w:rsidRDefault="00756494" w:rsidP="009746AF">
      <w:pPr>
        <w:spacing w:after="0" w:line="240" w:lineRule="auto"/>
      </w:pPr>
      <w:r>
        <w:separator/>
      </w:r>
    </w:p>
  </w:endnote>
  <w:endnote w:type="continuationSeparator" w:id="0">
    <w:p w14:paraId="2548F2FD" w14:textId="77777777" w:rsidR="00756494" w:rsidRDefault="00756494" w:rsidP="0097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1506" w14:textId="77777777" w:rsidR="00820642" w:rsidRDefault="00820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231730"/>
      <w:docPartObj>
        <w:docPartGallery w:val="Page Numbers (Bottom of Page)"/>
        <w:docPartUnique/>
      </w:docPartObj>
    </w:sdtPr>
    <w:sdtEndPr>
      <w:rPr>
        <w:noProof/>
      </w:rPr>
    </w:sdtEndPr>
    <w:sdtContent>
      <w:p w14:paraId="09F6671B" w14:textId="0364D48C" w:rsidR="006315D2" w:rsidRDefault="006315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2DDD8" w14:textId="77777777" w:rsidR="009746AF" w:rsidRDefault="00974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2369" w14:textId="77777777" w:rsidR="00820642" w:rsidRDefault="0082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A3838" w14:textId="77777777" w:rsidR="00756494" w:rsidRDefault="00756494" w:rsidP="009746AF">
      <w:pPr>
        <w:spacing w:after="0" w:line="240" w:lineRule="auto"/>
      </w:pPr>
      <w:r>
        <w:separator/>
      </w:r>
    </w:p>
  </w:footnote>
  <w:footnote w:type="continuationSeparator" w:id="0">
    <w:p w14:paraId="24AE896B" w14:textId="77777777" w:rsidR="00756494" w:rsidRDefault="00756494" w:rsidP="0097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BD93" w14:textId="3F42126D" w:rsidR="00820642" w:rsidRDefault="00756494">
    <w:pPr>
      <w:pStyle w:val="Header"/>
    </w:pPr>
    <w:r>
      <w:rPr>
        <w:noProof/>
      </w:rPr>
      <w:pict w14:anchorId="43B98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030D" w14:textId="6BC5EC36" w:rsidR="00820642" w:rsidRDefault="00756494">
    <w:pPr>
      <w:pStyle w:val="Header"/>
    </w:pPr>
    <w:r>
      <w:rPr>
        <w:noProof/>
      </w:rPr>
      <w:pict w14:anchorId="2960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FC11" w14:textId="307290AB" w:rsidR="00820642" w:rsidRDefault="00756494">
    <w:pPr>
      <w:pStyle w:val="Header"/>
    </w:pPr>
    <w:r>
      <w:rPr>
        <w:noProof/>
      </w:rPr>
      <w:pict w14:anchorId="74DF2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98D"/>
    <w:multiLevelType w:val="hybridMultilevel"/>
    <w:tmpl w:val="B00A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6AF1"/>
    <w:multiLevelType w:val="multilevel"/>
    <w:tmpl w:val="C396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E1476"/>
    <w:multiLevelType w:val="hybridMultilevel"/>
    <w:tmpl w:val="69E4AD14"/>
    <w:lvl w:ilvl="0" w:tplc="5652F9DA">
      <w:start w:val="1"/>
      <w:numFmt w:val="decimal"/>
      <w:lvlText w:val="%1."/>
      <w:lvlJc w:val="left"/>
      <w:pPr>
        <w:tabs>
          <w:tab w:val="num" w:pos="720"/>
        </w:tabs>
        <w:ind w:left="720" w:hanging="360"/>
      </w:pPr>
    </w:lvl>
    <w:lvl w:ilvl="1" w:tplc="B40CB264" w:tentative="1">
      <w:start w:val="1"/>
      <w:numFmt w:val="decimal"/>
      <w:lvlText w:val="%2."/>
      <w:lvlJc w:val="left"/>
      <w:pPr>
        <w:tabs>
          <w:tab w:val="num" w:pos="1440"/>
        </w:tabs>
        <w:ind w:left="1440" w:hanging="360"/>
      </w:pPr>
    </w:lvl>
    <w:lvl w:ilvl="2" w:tplc="2FC87E4E" w:tentative="1">
      <w:start w:val="1"/>
      <w:numFmt w:val="decimal"/>
      <w:lvlText w:val="%3."/>
      <w:lvlJc w:val="left"/>
      <w:pPr>
        <w:tabs>
          <w:tab w:val="num" w:pos="2160"/>
        </w:tabs>
        <w:ind w:left="2160" w:hanging="360"/>
      </w:pPr>
    </w:lvl>
    <w:lvl w:ilvl="3" w:tplc="0AEEBDE4" w:tentative="1">
      <w:start w:val="1"/>
      <w:numFmt w:val="decimal"/>
      <w:lvlText w:val="%4."/>
      <w:lvlJc w:val="left"/>
      <w:pPr>
        <w:tabs>
          <w:tab w:val="num" w:pos="2880"/>
        </w:tabs>
        <w:ind w:left="2880" w:hanging="360"/>
      </w:pPr>
    </w:lvl>
    <w:lvl w:ilvl="4" w:tplc="8F66B758" w:tentative="1">
      <w:start w:val="1"/>
      <w:numFmt w:val="decimal"/>
      <w:lvlText w:val="%5."/>
      <w:lvlJc w:val="left"/>
      <w:pPr>
        <w:tabs>
          <w:tab w:val="num" w:pos="3600"/>
        </w:tabs>
        <w:ind w:left="3600" w:hanging="360"/>
      </w:pPr>
    </w:lvl>
    <w:lvl w:ilvl="5" w:tplc="43105256" w:tentative="1">
      <w:start w:val="1"/>
      <w:numFmt w:val="decimal"/>
      <w:lvlText w:val="%6."/>
      <w:lvlJc w:val="left"/>
      <w:pPr>
        <w:tabs>
          <w:tab w:val="num" w:pos="4320"/>
        </w:tabs>
        <w:ind w:left="4320" w:hanging="360"/>
      </w:pPr>
    </w:lvl>
    <w:lvl w:ilvl="6" w:tplc="3E06B6B2" w:tentative="1">
      <w:start w:val="1"/>
      <w:numFmt w:val="decimal"/>
      <w:lvlText w:val="%7."/>
      <w:lvlJc w:val="left"/>
      <w:pPr>
        <w:tabs>
          <w:tab w:val="num" w:pos="5040"/>
        </w:tabs>
        <w:ind w:left="5040" w:hanging="360"/>
      </w:pPr>
    </w:lvl>
    <w:lvl w:ilvl="7" w:tplc="59100BD4" w:tentative="1">
      <w:start w:val="1"/>
      <w:numFmt w:val="decimal"/>
      <w:lvlText w:val="%8."/>
      <w:lvlJc w:val="left"/>
      <w:pPr>
        <w:tabs>
          <w:tab w:val="num" w:pos="5760"/>
        </w:tabs>
        <w:ind w:left="5760" w:hanging="360"/>
      </w:pPr>
    </w:lvl>
    <w:lvl w:ilvl="8" w:tplc="082E3BC8" w:tentative="1">
      <w:start w:val="1"/>
      <w:numFmt w:val="decimal"/>
      <w:lvlText w:val="%9."/>
      <w:lvlJc w:val="left"/>
      <w:pPr>
        <w:tabs>
          <w:tab w:val="num" w:pos="6480"/>
        </w:tabs>
        <w:ind w:left="6480" w:hanging="360"/>
      </w:pPr>
    </w:lvl>
  </w:abstractNum>
  <w:abstractNum w:abstractNumId="3" w15:restartNumberingAfterBreak="0">
    <w:nsid w:val="15285EE9"/>
    <w:multiLevelType w:val="multilevel"/>
    <w:tmpl w:val="C568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3104"/>
    <w:multiLevelType w:val="multilevel"/>
    <w:tmpl w:val="6AEC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D0350"/>
    <w:multiLevelType w:val="hybridMultilevel"/>
    <w:tmpl w:val="041A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30B97"/>
    <w:multiLevelType w:val="multilevel"/>
    <w:tmpl w:val="94529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3717C"/>
    <w:multiLevelType w:val="multilevel"/>
    <w:tmpl w:val="C1A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03D07"/>
    <w:multiLevelType w:val="multilevel"/>
    <w:tmpl w:val="0A90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A5704B"/>
    <w:multiLevelType w:val="multilevel"/>
    <w:tmpl w:val="559E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A91E35"/>
    <w:multiLevelType w:val="multilevel"/>
    <w:tmpl w:val="41B6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D6A08"/>
    <w:multiLevelType w:val="multilevel"/>
    <w:tmpl w:val="15C0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E00693"/>
    <w:multiLevelType w:val="hybridMultilevel"/>
    <w:tmpl w:val="68AC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0"/>
  </w:num>
  <w:num w:numId="4">
    <w:abstractNumId w:val="3"/>
  </w:num>
  <w:num w:numId="5">
    <w:abstractNumId w:val="1"/>
  </w:num>
  <w:num w:numId="6">
    <w:abstractNumId w:val="10"/>
  </w:num>
  <w:num w:numId="7">
    <w:abstractNumId w:val="6"/>
  </w:num>
  <w:num w:numId="8">
    <w:abstractNumId w:val="8"/>
  </w:num>
  <w:num w:numId="9">
    <w:abstractNumId w:val="9"/>
  </w:num>
  <w:num w:numId="10">
    <w:abstractNumId w:val="11"/>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C3"/>
    <w:rsid w:val="00000E75"/>
    <w:rsid w:val="000033CA"/>
    <w:rsid w:val="0000767C"/>
    <w:rsid w:val="000111A0"/>
    <w:rsid w:val="00020D0A"/>
    <w:rsid w:val="00021982"/>
    <w:rsid w:val="00021CEB"/>
    <w:rsid w:val="00026CC2"/>
    <w:rsid w:val="00030415"/>
    <w:rsid w:val="000331D4"/>
    <w:rsid w:val="00036EEB"/>
    <w:rsid w:val="0003748C"/>
    <w:rsid w:val="000438A6"/>
    <w:rsid w:val="000446DC"/>
    <w:rsid w:val="00046009"/>
    <w:rsid w:val="00046027"/>
    <w:rsid w:val="000469A8"/>
    <w:rsid w:val="00047030"/>
    <w:rsid w:val="00052A87"/>
    <w:rsid w:val="0005573D"/>
    <w:rsid w:val="00055B08"/>
    <w:rsid w:val="00057942"/>
    <w:rsid w:val="00061CC4"/>
    <w:rsid w:val="00061DE9"/>
    <w:rsid w:val="00065B70"/>
    <w:rsid w:val="0007079D"/>
    <w:rsid w:val="0007173B"/>
    <w:rsid w:val="000729BA"/>
    <w:rsid w:val="00073CBE"/>
    <w:rsid w:val="00074ACA"/>
    <w:rsid w:val="00075AAA"/>
    <w:rsid w:val="000770D4"/>
    <w:rsid w:val="00077C72"/>
    <w:rsid w:val="00077D14"/>
    <w:rsid w:val="00081BE8"/>
    <w:rsid w:val="00082FC0"/>
    <w:rsid w:val="00083FFB"/>
    <w:rsid w:val="00084D13"/>
    <w:rsid w:val="00087BD3"/>
    <w:rsid w:val="000907C8"/>
    <w:rsid w:val="000932FD"/>
    <w:rsid w:val="00093E31"/>
    <w:rsid w:val="00095D2E"/>
    <w:rsid w:val="00095DBF"/>
    <w:rsid w:val="00097B70"/>
    <w:rsid w:val="00097DF0"/>
    <w:rsid w:val="000A1BC3"/>
    <w:rsid w:val="000A533F"/>
    <w:rsid w:val="000A7B44"/>
    <w:rsid w:val="000B137B"/>
    <w:rsid w:val="000B25F2"/>
    <w:rsid w:val="000B4812"/>
    <w:rsid w:val="000B7FD3"/>
    <w:rsid w:val="000C117E"/>
    <w:rsid w:val="000C2D2E"/>
    <w:rsid w:val="000D011F"/>
    <w:rsid w:val="000D0693"/>
    <w:rsid w:val="000D0852"/>
    <w:rsid w:val="000D51A7"/>
    <w:rsid w:val="000D65AD"/>
    <w:rsid w:val="000E0687"/>
    <w:rsid w:val="000E2A9A"/>
    <w:rsid w:val="000E2CFF"/>
    <w:rsid w:val="000E360C"/>
    <w:rsid w:val="000E3C7D"/>
    <w:rsid w:val="000E62F8"/>
    <w:rsid w:val="000F0090"/>
    <w:rsid w:val="000F03CF"/>
    <w:rsid w:val="000F345F"/>
    <w:rsid w:val="000F5175"/>
    <w:rsid w:val="001016B5"/>
    <w:rsid w:val="001023F2"/>
    <w:rsid w:val="00103D94"/>
    <w:rsid w:val="00104981"/>
    <w:rsid w:val="00111250"/>
    <w:rsid w:val="00113275"/>
    <w:rsid w:val="00115401"/>
    <w:rsid w:val="0011718A"/>
    <w:rsid w:val="00117A46"/>
    <w:rsid w:val="001202CA"/>
    <w:rsid w:val="001279F0"/>
    <w:rsid w:val="001312F6"/>
    <w:rsid w:val="0013277A"/>
    <w:rsid w:val="00132D50"/>
    <w:rsid w:val="00133125"/>
    <w:rsid w:val="001337BF"/>
    <w:rsid w:val="0013497C"/>
    <w:rsid w:val="00134ABA"/>
    <w:rsid w:val="00137725"/>
    <w:rsid w:val="001400A9"/>
    <w:rsid w:val="00140165"/>
    <w:rsid w:val="00141537"/>
    <w:rsid w:val="001466A5"/>
    <w:rsid w:val="001557D3"/>
    <w:rsid w:val="00155948"/>
    <w:rsid w:val="00155E2C"/>
    <w:rsid w:val="00156106"/>
    <w:rsid w:val="00156310"/>
    <w:rsid w:val="00162BD9"/>
    <w:rsid w:val="001647EC"/>
    <w:rsid w:val="00167C1A"/>
    <w:rsid w:val="001712EF"/>
    <w:rsid w:val="00174518"/>
    <w:rsid w:val="001745EE"/>
    <w:rsid w:val="00174C91"/>
    <w:rsid w:val="00177530"/>
    <w:rsid w:val="0018520A"/>
    <w:rsid w:val="00185EEC"/>
    <w:rsid w:val="001922F7"/>
    <w:rsid w:val="00192816"/>
    <w:rsid w:val="001963C4"/>
    <w:rsid w:val="00196942"/>
    <w:rsid w:val="001A5077"/>
    <w:rsid w:val="001A521F"/>
    <w:rsid w:val="001A6841"/>
    <w:rsid w:val="001B0657"/>
    <w:rsid w:val="001B0C0E"/>
    <w:rsid w:val="001B45EA"/>
    <w:rsid w:val="001B64BC"/>
    <w:rsid w:val="001C06D4"/>
    <w:rsid w:val="001C1AD8"/>
    <w:rsid w:val="001C28D2"/>
    <w:rsid w:val="001C524A"/>
    <w:rsid w:val="001C7500"/>
    <w:rsid w:val="001D08D1"/>
    <w:rsid w:val="001D164D"/>
    <w:rsid w:val="001D172F"/>
    <w:rsid w:val="001D4BBB"/>
    <w:rsid w:val="001D4CC2"/>
    <w:rsid w:val="001E1152"/>
    <w:rsid w:val="001E12CE"/>
    <w:rsid w:val="001E29C7"/>
    <w:rsid w:val="001E5A6B"/>
    <w:rsid w:val="001E6E50"/>
    <w:rsid w:val="001E739B"/>
    <w:rsid w:val="001F0FDF"/>
    <w:rsid w:val="001F2F7D"/>
    <w:rsid w:val="001F55CB"/>
    <w:rsid w:val="00201531"/>
    <w:rsid w:val="00202886"/>
    <w:rsid w:val="002029CF"/>
    <w:rsid w:val="00205E77"/>
    <w:rsid w:val="00211A20"/>
    <w:rsid w:val="0021344E"/>
    <w:rsid w:val="00215BC0"/>
    <w:rsid w:val="00221986"/>
    <w:rsid w:val="00224BD3"/>
    <w:rsid w:val="00225CD8"/>
    <w:rsid w:val="00230A9C"/>
    <w:rsid w:val="00231CB4"/>
    <w:rsid w:val="00232990"/>
    <w:rsid w:val="0024003D"/>
    <w:rsid w:val="002419A9"/>
    <w:rsid w:val="00243DDF"/>
    <w:rsid w:val="0024456C"/>
    <w:rsid w:val="00246EFD"/>
    <w:rsid w:val="00247F8B"/>
    <w:rsid w:val="002554F9"/>
    <w:rsid w:val="00256079"/>
    <w:rsid w:val="00256C49"/>
    <w:rsid w:val="00264BDA"/>
    <w:rsid w:val="002679FA"/>
    <w:rsid w:val="002749B3"/>
    <w:rsid w:val="002804A2"/>
    <w:rsid w:val="002810A1"/>
    <w:rsid w:val="002846DB"/>
    <w:rsid w:val="00287FC9"/>
    <w:rsid w:val="00291A5E"/>
    <w:rsid w:val="00293277"/>
    <w:rsid w:val="00296FF5"/>
    <w:rsid w:val="002A4A8D"/>
    <w:rsid w:val="002A4C32"/>
    <w:rsid w:val="002A53B5"/>
    <w:rsid w:val="002B1BA6"/>
    <w:rsid w:val="002B489C"/>
    <w:rsid w:val="002C2387"/>
    <w:rsid w:val="002C3A51"/>
    <w:rsid w:val="002C77BB"/>
    <w:rsid w:val="002C7B7F"/>
    <w:rsid w:val="002D47C9"/>
    <w:rsid w:val="002D63A4"/>
    <w:rsid w:val="002D7811"/>
    <w:rsid w:val="002E2570"/>
    <w:rsid w:val="002E3D99"/>
    <w:rsid w:val="002E6CAC"/>
    <w:rsid w:val="002E7DAF"/>
    <w:rsid w:val="002F1869"/>
    <w:rsid w:val="002F697E"/>
    <w:rsid w:val="0030308B"/>
    <w:rsid w:val="00305C9F"/>
    <w:rsid w:val="0030710F"/>
    <w:rsid w:val="00307538"/>
    <w:rsid w:val="003076BE"/>
    <w:rsid w:val="003121D3"/>
    <w:rsid w:val="003137F3"/>
    <w:rsid w:val="00314502"/>
    <w:rsid w:val="003149C0"/>
    <w:rsid w:val="003157DC"/>
    <w:rsid w:val="00315F20"/>
    <w:rsid w:val="0032006E"/>
    <w:rsid w:val="00321F56"/>
    <w:rsid w:val="003229DF"/>
    <w:rsid w:val="00323FBC"/>
    <w:rsid w:val="0032471D"/>
    <w:rsid w:val="00324B96"/>
    <w:rsid w:val="00325259"/>
    <w:rsid w:val="003252D0"/>
    <w:rsid w:val="00325638"/>
    <w:rsid w:val="003256F8"/>
    <w:rsid w:val="0032604D"/>
    <w:rsid w:val="00326C70"/>
    <w:rsid w:val="0033049B"/>
    <w:rsid w:val="00333FC3"/>
    <w:rsid w:val="00335EA1"/>
    <w:rsid w:val="00337516"/>
    <w:rsid w:val="00342A91"/>
    <w:rsid w:val="0034348F"/>
    <w:rsid w:val="0034711C"/>
    <w:rsid w:val="00347DD7"/>
    <w:rsid w:val="00347EBF"/>
    <w:rsid w:val="00354495"/>
    <w:rsid w:val="00360616"/>
    <w:rsid w:val="00361682"/>
    <w:rsid w:val="003619DC"/>
    <w:rsid w:val="00362E11"/>
    <w:rsid w:val="00365FA3"/>
    <w:rsid w:val="00370AC0"/>
    <w:rsid w:val="0037194E"/>
    <w:rsid w:val="00371F88"/>
    <w:rsid w:val="00372400"/>
    <w:rsid w:val="0037263F"/>
    <w:rsid w:val="00372722"/>
    <w:rsid w:val="00372A78"/>
    <w:rsid w:val="00376669"/>
    <w:rsid w:val="00380C30"/>
    <w:rsid w:val="00381349"/>
    <w:rsid w:val="00382009"/>
    <w:rsid w:val="00387CA7"/>
    <w:rsid w:val="00391959"/>
    <w:rsid w:val="00393325"/>
    <w:rsid w:val="0039415B"/>
    <w:rsid w:val="0039430F"/>
    <w:rsid w:val="0039486C"/>
    <w:rsid w:val="00395DE0"/>
    <w:rsid w:val="0039605B"/>
    <w:rsid w:val="00396338"/>
    <w:rsid w:val="0039644D"/>
    <w:rsid w:val="003A16A8"/>
    <w:rsid w:val="003A2E44"/>
    <w:rsid w:val="003A31C6"/>
    <w:rsid w:val="003A4804"/>
    <w:rsid w:val="003B1697"/>
    <w:rsid w:val="003B4B32"/>
    <w:rsid w:val="003B4E6F"/>
    <w:rsid w:val="003B515C"/>
    <w:rsid w:val="003B5582"/>
    <w:rsid w:val="003C02A5"/>
    <w:rsid w:val="003C153A"/>
    <w:rsid w:val="003C18A2"/>
    <w:rsid w:val="003C2974"/>
    <w:rsid w:val="003C4F2B"/>
    <w:rsid w:val="003C5139"/>
    <w:rsid w:val="003C5A20"/>
    <w:rsid w:val="003C6C10"/>
    <w:rsid w:val="003C79D8"/>
    <w:rsid w:val="003D0100"/>
    <w:rsid w:val="003D17E6"/>
    <w:rsid w:val="003D6D42"/>
    <w:rsid w:val="003E2AB0"/>
    <w:rsid w:val="003E45E1"/>
    <w:rsid w:val="003E6C43"/>
    <w:rsid w:val="003F08F5"/>
    <w:rsid w:val="003F4C6B"/>
    <w:rsid w:val="003F79CF"/>
    <w:rsid w:val="0040055D"/>
    <w:rsid w:val="0040184A"/>
    <w:rsid w:val="0040248C"/>
    <w:rsid w:val="00402F0D"/>
    <w:rsid w:val="00404988"/>
    <w:rsid w:val="00407115"/>
    <w:rsid w:val="004073F9"/>
    <w:rsid w:val="004104CF"/>
    <w:rsid w:val="004111D1"/>
    <w:rsid w:val="00411D5C"/>
    <w:rsid w:val="004124E6"/>
    <w:rsid w:val="00412911"/>
    <w:rsid w:val="0041336B"/>
    <w:rsid w:val="004148D2"/>
    <w:rsid w:val="00417F31"/>
    <w:rsid w:val="004240E7"/>
    <w:rsid w:val="00424AB4"/>
    <w:rsid w:val="00426101"/>
    <w:rsid w:val="004323C5"/>
    <w:rsid w:val="0044017B"/>
    <w:rsid w:val="00440EB3"/>
    <w:rsid w:val="00441051"/>
    <w:rsid w:val="00441143"/>
    <w:rsid w:val="00444040"/>
    <w:rsid w:val="00444708"/>
    <w:rsid w:val="00444B67"/>
    <w:rsid w:val="00444C7E"/>
    <w:rsid w:val="00445522"/>
    <w:rsid w:val="004522B1"/>
    <w:rsid w:val="00454C92"/>
    <w:rsid w:val="00454DF7"/>
    <w:rsid w:val="0045528B"/>
    <w:rsid w:val="00457CDF"/>
    <w:rsid w:val="004645E5"/>
    <w:rsid w:val="0046480D"/>
    <w:rsid w:val="00465EFF"/>
    <w:rsid w:val="00466526"/>
    <w:rsid w:val="004678B0"/>
    <w:rsid w:val="00470F96"/>
    <w:rsid w:val="00471473"/>
    <w:rsid w:val="00472690"/>
    <w:rsid w:val="00476693"/>
    <w:rsid w:val="0047705F"/>
    <w:rsid w:val="004776D8"/>
    <w:rsid w:val="004807EC"/>
    <w:rsid w:val="00483005"/>
    <w:rsid w:val="00486BF5"/>
    <w:rsid w:val="00490FA9"/>
    <w:rsid w:val="00491A46"/>
    <w:rsid w:val="0049250B"/>
    <w:rsid w:val="004935BF"/>
    <w:rsid w:val="0049638E"/>
    <w:rsid w:val="00496D25"/>
    <w:rsid w:val="004A40E0"/>
    <w:rsid w:val="004A7F7F"/>
    <w:rsid w:val="004B28A1"/>
    <w:rsid w:val="004C0049"/>
    <w:rsid w:val="004C04CC"/>
    <w:rsid w:val="004C0662"/>
    <w:rsid w:val="004C17A3"/>
    <w:rsid w:val="004C185B"/>
    <w:rsid w:val="004C2F2F"/>
    <w:rsid w:val="004C4BCE"/>
    <w:rsid w:val="004C5115"/>
    <w:rsid w:val="004C63A3"/>
    <w:rsid w:val="004C7E5B"/>
    <w:rsid w:val="004D44B6"/>
    <w:rsid w:val="004E0E27"/>
    <w:rsid w:val="004E3A79"/>
    <w:rsid w:val="004E3B0E"/>
    <w:rsid w:val="004E3E99"/>
    <w:rsid w:val="004E5041"/>
    <w:rsid w:val="004F2B75"/>
    <w:rsid w:val="005000D1"/>
    <w:rsid w:val="005014FB"/>
    <w:rsid w:val="005027EF"/>
    <w:rsid w:val="00505170"/>
    <w:rsid w:val="00511E6D"/>
    <w:rsid w:val="00515C97"/>
    <w:rsid w:val="005165E3"/>
    <w:rsid w:val="00521A38"/>
    <w:rsid w:val="0052315B"/>
    <w:rsid w:val="00523999"/>
    <w:rsid w:val="00532FB6"/>
    <w:rsid w:val="005337DE"/>
    <w:rsid w:val="00533AEA"/>
    <w:rsid w:val="00537204"/>
    <w:rsid w:val="005405D1"/>
    <w:rsid w:val="00540E7C"/>
    <w:rsid w:val="005422F6"/>
    <w:rsid w:val="00542788"/>
    <w:rsid w:val="00544FCC"/>
    <w:rsid w:val="00545A96"/>
    <w:rsid w:val="0055046C"/>
    <w:rsid w:val="00551870"/>
    <w:rsid w:val="00552F4E"/>
    <w:rsid w:val="0055443A"/>
    <w:rsid w:val="00555091"/>
    <w:rsid w:val="005601B0"/>
    <w:rsid w:val="00562310"/>
    <w:rsid w:val="005642DE"/>
    <w:rsid w:val="005663A1"/>
    <w:rsid w:val="00570353"/>
    <w:rsid w:val="005705B6"/>
    <w:rsid w:val="00570A1D"/>
    <w:rsid w:val="00570BB3"/>
    <w:rsid w:val="00571000"/>
    <w:rsid w:val="005710AB"/>
    <w:rsid w:val="0057396F"/>
    <w:rsid w:val="00576108"/>
    <w:rsid w:val="00583657"/>
    <w:rsid w:val="00585CCA"/>
    <w:rsid w:val="00585D77"/>
    <w:rsid w:val="005920BE"/>
    <w:rsid w:val="00593628"/>
    <w:rsid w:val="005942A8"/>
    <w:rsid w:val="005946DA"/>
    <w:rsid w:val="00594873"/>
    <w:rsid w:val="0059797C"/>
    <w:rsid w:val="005A068A"/>
    <w:rsid w:val="005A1112"/>
    <w:rsid w:val="005A28C2"/>
    <w:rsid w:val="005A2F4B"/>
    <w:rsid w:val="005A38F5"/>
    <w:rsid w:val="005A6BA1"/>
    <w:rsid w:val="005B14E6"/>
    <w:rsid w:val="005B1920"/>
    <w:rsid w:val="005B2BEA"/>
    <w:rsid w:val="005B74E1"/>
    <w:rsid w:val="005B7D0B"/>
    <w:rsid w:val="005C2805"/>
    <w:rsid w:val="005C46E5"/>
    <w:rsid w:val="005C50D4"/>
    <w:rsid w:val="005C5A1E"/>
    <w:rsid w:val="005D08CD"/>
    <w:rsid w:val="005D39FF"/>
    <w:rsid w:val="005D491D"/>
    <w:rsid w:val="005D63C1"/>
    <w:rsid w:val="005E2359"/>
    <w:rsid w:val="005E3143"/>
    <w:rsid w:val="005E31EA"/>
    <w:rsid w:val="005E5C43"/>
    <w:rsid w:val="005F0341"/>
    <w:rsid w:val="005F07D4"/>
    <w:rsid w:val="005F1B2C"/>
    <w:rsid w:val="005F3977"/>
    <w:rsid w:val="006000AC"/>
    <w:rsid w:val="0060029C"/>
    <w:rsid w:val="006049ED"/>
    <w:rsid w:val="006069B3"/>
    <w:rsid w:val="00607343"/>
    <w:rsid w:val="00607DE2"/>
    <w:rsid w:val="00607E33"/>
    <w:rsid w:val="00610383"/>
    <w:rsid w:val="00610940"/>
    <w:rsid w:val="0061171C"/>
    <w:rsid w:val="006128B5"/>
    <w:rsid w:val="00614F30"/>
    <w:rsid w:val="006217E6"/>
    <w:rsid w:val="006223A4"/>
    <w:rsid w:val="00623ADB"/>
    <w:rsid w:val="00624778"/>
    <w:rsid w:val="006263EE"/>
    <w:rsid w:val="0062686B"/>
    <w:rsid w:val="00627FEA"/>
    <w:rsid w:val="006301E6"/>
    <w:rsid w:val="006315D2"/>
    <w:rsid w:val="006319D8"/>
    <w:rsid w:val="00634F6E"/>
    <w:rsid w:val="00642C34"/>
    <w:rsid w:val="006446DC"/>
    <w:rsid w:val="00650EFB"/>
    <w:rsid w:val="00651616"/>
    <w:rsid w:val="00651B40"/>
    <w:rsid w:val="00651B7C"/>
    <w:rsid w:val="00653F04"/>
    <w:rsid w:val="006570A0"/>
    <w:rsid w:val="00662A6D"/>
    <w:rsid w:val="006651A2"/>
    <w:rsid w:val="00665EA7"/>
    <w:rsid w:val="006662F6"/>
    <w:rsid w:val="00672200"/>
    <w:rsid w:val="006724B3"/>
    <w:rsid w:val="00681AFF"/>
    <w:rsid w:val="00683114"/>
    <w:rsid w:val="00683751"/>
    <w:rsid w:val="006843BF"/>
    <w:rsid w:val="00685C6D"/>
    <w:rsid w:val="0068726D"/>
    <w:rsid w:val="006903E9"/>
    <w:rsid w:val="00692C8C"/>
    <w:rsid w:val="006934AA"/>
    <w:rsid w:val="00693C03"/>
    <w:rsid w:val="006A1976"/>
    <w:rsid w:val="006A19FF"/>
    <w:rsid w:val="006A2E35"/>
    <w:rsid w:val="006A332C"/>
    <w:rsid w:val="006A4CED"/>
    <w:rsid w:val="006A4FFC"/>
    <w:rsid w:val="006A6978"/>
    <w:rsid w:val="006B16DB"/>
    <w:rsid w:val="006B2D07"/>
    <w:rsid w:val="006C0FB8"/>
    <w:rsid w:val="006D1A07"/>
    <w:rsid w:val="006D20D7"/>
    <w:rsid w:val="006D560D"/>
    <w:rsid w:val="006D65E7"/>
    <w:rsid w:val="006D6A75"/>
    <w:rsid w:val="006E2698"/>
    <w:rsid w:val="006E2DB1"/>
    <w:rsid w:val="006E2F64"/>
    <w:rsid w:val="006E3A58"/>
    <w:rsid w:val="006E4931"/>
    <w:rsid w:val="006E6B96"/>
    <w:rsid w:val="006F0C33"/>
    <w:rsid w:val="006F1178"/>
    <w:rsid w:val="00700067"/>
    <w:rsid w:val="00700381"/>
    <w:rsid w:val="00702BD0"/>
    <w:rsid w:val="007070B4"/>
    <w:rsid w:val="00711AA1"/>
    <w:rsid w:val="00712DD7"/>
    <w:rsid w:val="007131E0"/>
    <w:rsid w:val="00715563"/>
    <w:rsid w:val="007155F2"/>
    <w:rsid w:val="00722903"/>
    <w:rsid w:val="007231FB"/>
    <w:rsid w:val="007236F7"/>
    <w:rsid w:val="00725C38"/>
    <w:rsid w:val="007315B9"/>
    <w:rsid w:val="00734490"/>
    <w:rsid w:val="0073729D"/>
    <w:rsid w:val="00746E94"/>
    <w:rsid w:val="007479E0"/>
    <w:rsid w:val="00750D7F"/>
    <w:rsid w:val="00751A8F"/>
    <w:rsid w:val="00755FC1"/>
    <w:rsid w:val="0075648C"/>
    <w:rsid w:val="00756494"/>
    <w:rsid w:val="00762060"/>
    <w:rsid w:val="0076295D"/>
    <w:rsid w:val="00771072"/>
    <w:rsid w:val="0077288F"/>
    <w:rsid w:val="00777B85"/>
    <w:rsid w:val="00781205"/>
    <w:rsid w:val="00781292"/>
    <w:rsid w:val="00782148"/>
    <w:rsid w:val="00785719"/>
    <w:rsid w:val="007879C3"/>
    <w:rsid w:val="00787C2B"/>
    <w:rsid w:val="007939BB"/>
    <w:rsid w:val="0079586B"/>
    <w:rsid w:val="00796A24"/>
    <w:rsid w:val="00797AFD"/>
    <w:rsid w:val="00797CF5"/>
    <w:rsid w:val="007A19EA"/>
    <w:rsid w:val="007A35E5"/>
    <w:rsid w:val="007A36EE"/>
    <w:rsid w:val="007A6791"/>
    <w:rsid w:val="007B3241"/>
    <w:rsid w:val="007B593A"/>
    <w:rsid w:val="007C08BD"/>
    <w:rsid w:val="007C4232"/>
    <w:rsid w:val="007C55DA"/>
    <w:rsid w:val="007C5713"/>
    <w:rsid w:val="007C59BC"/>
    <w:rsid w:val="007C720C"/>
    <w:rsid w:val="007D04CE"/>
    <w:rsid w:val="007D5B12"/>
    <w:rsid w:val="007E3660"/>
    <w:rsid w:val="007E3ED7"/>
    <w:rsid w:val="007E4615"/>
    <w:rsid w:val="007E4AE8"/>
    <w:rsid w:val="007E6BCC"/>
    <w:rsid w:val="007F44EF"/>
    <w:rsid w:val="007F4538"/>
    <w:rsid w:val="007F4863"/>
    <w:rsid w:val="007F528C"/>
    <w:rsid w:val="007F7A9B"/>
    <w:rsid w:val="00800C4C"/>
    <w:rsid w:val="008079AC"/>
    <w:rsid w:val="00810753"/>
    <w:rsid w:val="008107AB"/>
    <w:rsid w:val="0081307C"/>
    <w:rsid w:val="00814DAF"/>
    <w:rsid w:val="008159A2"/>
    <w:rsid w:val="008172DB"/>
    <w:rsid w:val="00820642"/>
    <w:rsid w:val="00820764"/>
    <w:rsid w:val="00821E62"/>
    <w:rsid w:val="008225FE"/>
    <w:rsid w:val="00822720"/>
    <w:rsid w:val="00826015"/>
    <w:rsid w:val="00830349"/>
    <w:rsid w:val="00832F19"/>
    <w:rsid w:val="00832F1E"/>
    <w:rsid w:val="00835FA3"/>
    <w:rsid w:val="00840DAB"/>
    <w:rsid w:val="008456FF"/>
    <w:rsid w:val="00846892"/>
    <w:rsid w:val="0085456F"/>
    <w:rsid w:val="008571DB"/>
    <w:rsid w:val="0086064E"/>
    <w:rsid w:val="00864033"/>
    <w:rsid w:val="008661C6"/>
    <w:rsid w:val="008672CA"/>
    <w:rsid w:val="00870BED"/>
    <w:rsid w:val="0087193A"/>
    <w:rsid w:val="00873585"/>
    <w:rsid w:val="00874876"/>
    <w:rsid w:val="00877139"/>
    <w:rsid w:val="008810B6"/>
    <w:rsid w:val="008840B5"/>
    <w:rsid w:val="00884D58"/>
    <w:rsid w:val="008900F9"/>
    <w:rsid w:val="00890A9D"/>
    <w:rsid w:val="008927C1"/>
    <w:rsid w:val="008A0B69"/>
    <w:rsid w:val="008A1030"/>
    <w:rsid w:val="008A1D04"/>
    <w:rsid w:val="008A3185"/>
    <w:rsid w:val="008A5594"/>
    <w:rsid w:val="008B7872"/>
    <w:rsid w:val="008C043E"/>
    <w:rsid w:val="008C2C22"/>
    <w:rsid w:val="008C4399"/>
    <w:rsid w:val="008C7E92"/>
    <w:rsid w:val="008D0B0D"/>
    <w:rsid w:val="008D0C51"/>
    <w:rsid w:val="008D261D"/>
    <w:rsid w:val="008D398D"/>
    <w:rsid w:val="008E0950"/>
    <w:rsid w:val="008E09F9"/>
    <w:rsid w:val="008E5884"/>
    <w:rsid w:val="008E5B27"/>
    <w:rsid w:val="008F5930"/>
    <w:rsid w:val="00900A4D"/>
    <w:rsid w:val="00902B21"/>
    <w:rsid w:val="00904545"/>
    <w:rsid w:val="00905767"/>
    <w:rsid w:val="009067FE"/>
    <w:rsid w:val="00916163"/>
    <w:rsid w:val="009201BB"/>
    <w:rsid w:val="00920364"/>
    <w:rsid w:val="00920E46"/>
    <w:rsid w:val="0092333B"/>
    <w:rsid w:val="00923462"/>
    <w:rsid w:val="00924180"/>
    <w:rsid w:val="009256B9"/>
    <w:rsid w:val="0092574F"/>
    <w:rsid w:val="00926CCE"/>
    <w:rsid w:val="009313DB"/>
    <w:rsid w:val="00931E46"/>
    <w:rsid w:val="00932301"/>
    <w:rsid w:val="00936298"/>
    <w:rsid w:val="009372BF"/>
    <w:rsid w:val="00937FA4"/>
    <w:rsid w:val="00940100"/>
    <w:rsid w:val="009417FC"/>
    <w:rsid w:val="00941955"/>
    <w:rsid w:val="0094460A"/>
    <w:rsid w:val="00946B39"/>
    <w:rsid w:val="00947A25"/>
    <w:rsid w:val="00954D22"/>
    <w:rsid w:val="009572F0"/>
    <w:rsid w:val="00957DB4"/>
    <w:rsid w:val="009602D9"/>
    <w:rsid w:val="00963E50"/>
    <w:rsid w:val="009718E1"/>
    <w:rsid w:val="00971DD0"/>
    <w:rsid w:val="009746AF"/>
    <w:rsid w:val="00981894"/>
    <w:rsid w:val="009840F6"/>
    <w:rsid w:val="00987B51"/>
    <w:rsid w:val="009901CD"/>
    <w:rsid w:val="00994676"/>
    <w:rsid w:val="009954E3"/>
    <w:rsid w:val="0099636E"/>
    <w:rsid w:val="009968A5"/>
    <w:rsid w:val="00997792"/>
    <w:rsid w:val="009A6473"/>
    <w:rsid w:val="009B3ECF"/>
    <w:rsid w:val="009B5A48"/>
    <w:rsid w:val="009B5F8A"/>
    <w:rsid w:val="009C1A82"/>
    <w:rsid w:val="009C1EB0"/>
    <w:rsid w:val="009C2F55"/>
    <w:rsid w:val="009C4907"/>
    <w:rsid w:val="009C51BC"/>
    <w:rsid w:val="009C5415"/>
    <w:rsid w:val="009C5C2A"/>
    <w:rsid w:val="009C77A1"/>
    <w:rsid w:val="009D09E6"/>
    <w:rsid w:val="009D3A24"/>
    <w:rsid w:val="009D5907"/>
    <w:rsid w:val="009D7F6E"/>
    <w:rsid w:val="009E1541"/>
    <w:rsid w:val="009E2DA8"/>
    <w:rsid w:val="009F415C"/>
    <w:rsid w:val="009F6B94"/>
    <w:rsid w:val="009F7F67"/>
    <w:rsid w:val="00A01391"/>
    <w:rsid w:val="00A01CCF"/>
    <w:rsid w:val="00A0273C"/>
    <w:rsid w:val="00A044AE"/>
    <w:rsid w:val="00A04810"/>
    <w:rsid w:val="00A053C3"/>
    <w:rsid w:val="00A05F88"/>
    <w:rsid w:val="00A07B44"/>
    <w:rsid w:val="00A10910"/>
    <w:rsid w:val="00A10AEF"/>
    <w:rsid w:val="00A122C9"/>
    <w:rsid w:val="00A14D83"/>
    <w:rsid w:val="00A14DB6"/>
    <w:rsid w:val="00A17549"/>
    <w:rsid w:val="00A20687"/>
    <w:rsid w:val="00A213DF"/>
    <w:rsid w:val="00A22612"/>
    <w:rsid w:val="00A22F8A"/>
    <w:rsid w:val="00A27662"/>
    <w:rsid w:val="00A327D3"/>
    <w:rsid w:val="00A33F4E"/>
    <w:rsid w:val="00A369D1"/>
    <w:rsid w:val="00A37ABC"/>
    <w:rsid w:val="00A419A1"/>
    <w:rsid w:val="00A4377B"/>
    <w:rsid w:val="00A43B5C"/>
    <w:rsid w:val="00A5396A"/>
    <w:rsid w:val="00A54C5A"/>
    <w:rsid w:val="00A55FFA"/>
    <w:rsid w:val="00A569A2"/>
    <w:rsid w:val="00A569D6"/>
    <w:rsid w:val="00A56C6C"/>
    <w:rsid w:val="00A577E3"/>
    <w:rsid w:val="00A6066A"/>
    <w:rsid w:val="00A61BE4"/>
    <w:rsid w:val="00A61C6B"/>
    <w:rsid w:val="00A61FB9"/>
    <w:rsid w:val="00A67999"/>
    <w:rsid w:val="00A726DC"/>
    <w:rsid w:val="00A72D06"/>
    <w:rsid w:val="00A748CE"/>
    <w:rsid w:val="00A75207"/>
    <w:rsid w:val="00A8158F"/>
    <w:rsid w:val="00A82A87"/>
    <w:rsid w:val="00A85145"/>
    <w:rsid w:val="00A85780"/>
    <w:rsid w:val="00A86E89"/>
    <w:rsid w:val="00A871A1"/>
    <w:rsid w:val="00A9112C"/>
    <w:rsid w:val="00A9328A"/>
    <w:rsid w:val="00A9434D"/>
    <w:rsid w:val="00A9760F"/>
    <w:rsid w:val="00AA0365"/>
    <w:rsid w:val="00AA0950"/>
    <w:rsid w:val="00AA5122"/>
    <w:rsid w:val="00AB2BD6"/>
    <w:rsid w:val="00AB613F"/>
    <w:rsid w:val="00AB71D8"/>
    <w:rsid w:val="00AB7965"/>
    <w:rsid w:val="00AC28DC"/>
    <w:rsid w:val="00AC3430"/>
    <w:rsid w:val="00AC456C"/>
    <w:rsid w:val="00AC7B54"/>
    <w:rsid w:val="00AD07E3"/>
    <w:rsid w:val="00AD6DF1"/>
    <w:rsid w:val="00AE1823"/>
    <w:rsid w:val="00AE51B4"/>
    <w:rsid w:val="00AE5505"/>
    <w:rsid w:val="00AE555B"/>
    <w:rsid w:val="00AE5D9C"/>
    <w:rsid w:val="00AF1043"/>
    <w:rsid w:val="00AF2FAE"/>
    <w:rsid w:val="00AF3732"/>
    <w:rsid w:val="00AF4DB8"/>
    <w:rsid w:val="00B04DB6"/>
    <w:rsid w:val="00B04E37"/>
    <w:rsid w:val="00B11599"/>
    <w:rsid w:val="00B171C6"/>
    <w:rsid w:val="00B17FCA"/>
    <w:rsid w:val="00B20EAE"/>
    <w:rsid w:val="00B2311E"/>
    <w:rsid w:val="00B248FF"/>
    <w:rsid w:val="00B31F81"/>
    <w:rsid w:val="00B3213F"/>
    <w:rsid w:val="00B34928"/>
    <w:rsid w:val="00B44627"/>
    <w:rsid w:val="00B5023E"/>
    <w:rsid w:val="00B5037F"/>
    <w:rsid w:val="00B50A42"/>
    <w:rsid w:val="00B52734"/>
    <w:rsid w:val="00B56947"/>
    <w:rsid w:val="00B6054C"/>
    <w:rsid w:val="00B64A5E"/>
    <w:rsid w:val="00B65427"/>
    <w:rsid w:val="00B65DE2"/>
    <w:rsid w:val="00B6656D"/>
    <w:rsid w:val="00B715FA"/>
    <w:rsid w:val="00B80BB9"/>
    <w:rsid w:val="00B82B4E"/>
    <w:rsid w:val="00B85B81"/>
    <w:rsid w:val="00B86D0C"/>
    <w:rsid w:val="00B92478"/>
    <w:rsid w:val="00B92A8B"/>
    <w:rsid w:val="00BA0697"/>
    <w:rsid w:val="00BA456A"/>
    <w:rsid w:val="00BA65A6"/>
    <w:rsid w:val="00BA7CB3"/>
    <w:rsid w:val="00BB0E7F"/>
    <w:rsid w:val="00BB16A3"/>
    <w:rsid w:val="00BB3087"/>
    <w:rsid w:val="00BB6820"/>
    <w:rsid w:val="00BB75D6"/>
    <w:rsid w:val="00BC2B1C"/>
    <w:rsid w:val="00BC31BC"/>
    <w:rsid w:val="00BC6E9B"/>
    <w:rsid w:val="00BC7A18"/>
    <w:rsid w:val="00BD06B0"/>
    <w:rsid w:val="00BD06B5"/>
    <w:rsid w:val="00BD246D"/>
    <w:rsid w:val="00BD52C6"/>
    <w:rsid w:val="00BE1895"/>
    <w:rsid w:val="00BE2DA7"/>
    <w:rsid w:val="00BE367B"/>
    <w:rsid w:val="00BE4C27"/>
    <w:rsid w:val="00BE57DE"/>
    <w:rsid w:val="00BE59B0"/>
    <w:rsid w:val="00BE5DD6"/>
    <w:rsid w:val="00BE7FCC"/>
    <w:rsid w:val="00BF0909"/>
    <w:rsid w:val="00BF5472"/>
    <w:rsid w:val="00BF6DA1"/>
    <w:rsid w:val="00BF760E"/>
    <w:rsid w:val="00C00D8C"/>
    <w:rsid w:val="00C01276"/>
    <w:rsid w:val="00C03E62"/>
    <w:rsid w:val="00C047C2"/>
    <w:rsid w:val="00C05656"/>
    <w:rsid w:val="00C06E49"/>
    <w:rsid w:val="00C11631"/>
    <w:rsid w:val="00C11BD8"/>
    <w:rsid w:val="00C12262"/>
    <w:rsid w:val="00C12DD9"/>
    <w:rsid w:val="00C156BB"/>
    <w:rsid w:val="00C15A74"/>
    <w:rsid w:val="00C2034B"/>
    <w:rsid w:val="00C2038C"/>
    <w:rsid w:val="00C20854"/>
    <w:rsid w:val="00C21646"/>
    <w:rsid w:val="00C21A0E"/>
    <w:rsid w:val="00C227D5"/>
    <w:rsid w:val="00C2446C"/>
    <w:rsid w:val="00C245DF"/>
    <w:rsid w:val="00C2518B"/>
    <w:rsid w:val="00C30657"/>
    <w:rsid w:val="00C32AC6"/>
    <w:rsid w:val="00C332C8"/>
    <w:rsid w:val="00C33677"/>
    <w:rsid w:val="00C337CE"/>
    <w:rsid w:val="00C3542D"/>
    <w:rsid w:val="00C37145"/>
    <w:rsid w:val="00C3739B"/>
    <w:rsid w:val="00C40A38"/>
    <w:rsid w:val="00C41815"/>
    <w:rsid w:val="00C43EA3"/>
    <w:rsid w:val="00C449B4"/>
    <w:rsid w:val="00C44E03"/>
    <w:rsid w:val="00C4616B"/>
    <w:rsid w:val="00C5253D"/>
    <w:rsid w:val="00C5318B"/>
    <w:rsid w:val="00C605E7"/>
    <w:rsid w:val="00C614E4"/>
    <w:rsid w:val="00C630D4"/>
    <w:rsid w:val="00C65672"/>
    <w:rsid w:val="00C67599"/>
    <w:rsid w:val="00C67AF4"/>
    <w:rsid w:val="00C7056C"/>
    <w:rsid w:val="00C72354"/>
    <w:rsid w:val="00C738DE"/>
    <w:rsid w:val="00C73E06"/>
    <w:rsid w:val="00C74FB4"/>
    <w:rsid w:val="00C763C3"/>
    <w:rsid w:val="00C765D7"/>
    <w:rsid w:val="00C773B0"/>
    <w:rsid w:val="00C80008"/>
    <w:rsid w:val="00C83595"/>
    <w:rsid w:val="00C8494E"/>
    <w:rsid w:val="00C86DCF"/>
    <w:rsid w:val="00C95EE1"/>
    <w:rsid w:val="00CA04F6"/>
    <w:rsid w:val="00CA0722"/>
    <w:rsid w:val="00CA50E9"/>
    <w:rsid w:val="00CA6E1D"/>
    <w:rsid w:val="00CB0310"/>
    <w:rsid w:val="00CB14F2"/>
    <w:rsid w:val="00CB2E0B"/>
    <w:rsid w:val="00CB4896"/>
    <w:rsid w:val="00CB5304"/>
    <w:rsid w:val="00CC22E1"/>
    <w:rsid w:val="00CC3803"/>
    <w:rsid w:val="00CC3B73"/>
    <w:rsid w:val="00CC611C"/>
    <w:rsid w:val="00CD6877"/>
    <w:rsid w:val="00CE11C1"/>
    <w:rsid w:val="00CE160B"/>
    <w:rsid w:val="00CE5600"/>
    <w:rsid w:val="00CE6AB7"/>
    <w:rsid w:val="00CE71BF"/>
    <w:rsid w:val="00CF2082"/>
    <w:rsid w:val="00CF33FC"/>
    <w:rsid w:val="00CF48A3"/>
    <w:rsid w:val="00CF56ED"/>
    <w:rsid w:val="00CF5A7C"/>
    <w:rsid w:val="00CF5B11"/>
    <w:rsid w:val="00CF7EA1"/>
    <w:rsid w:val="00D018B5"/>
    <w:rsid w:val="00D027CB"/>
    <w:rsid w:val="00D029E7"/>
    <w:rsid w:val="00D06CA4"/>
    <w:rsid w:val="00D10D6A"/>
    <w:rsid w:val="00D1190B"/>
    <w:rsid w:val="00D12E9D"/>
    <w:rsid w:val="00D20FEB"/>
    <w:rsid w:val="00D21358"/>
    <w:rsid w:val="00D228D5"/>
    <w:rsid w:val="00D26FD4"/>
    <w:rsid w:val="00D31325"/>
    <w:rsid w:val="00D335D8"/>
    <w:rsid w:val="00D336EB"/>
    <w:rsid w:val="00D339B4"/>
    <w:rsid w:val="00D33CA6"/>
    <w:rsid w:val="00D36584"/>
    <w:rsid w:val="00D36668"/>
    <w:rsid w:val="00D371DB"/>
    <w:rsid w:val="00D37998"/>
    <w:rsid w:val="00D402A8"/>
    <w:rsid w:val="00D42C04"/>
    <w:rsid w:val="00D55F9B"/>
    <w:rsid w:val="00D56499"/>
    <w:rsid w:val="00D605B5"/>
    <w:rsid w:val="00D618EF"/>
    <w:rsid w:val="00D651C1"/>
    <w:rsid w:val="00D6747F"/>
    <w:rsid w:val="00D6777F"/>
    <w:rsid w:val="00D701C2"/>
    <w:rsid w:val="00D72D66"/>
    <w:rsid w:val="00D7385A"/>
    <w:rsid w:val="00D7388E"/>
    <w:rsid w:val="00D75031"/>
    <w:rsid w:val="00D77786"/>
    <w:rsid w:val="00D77A3A"/>
    <w:rsid w:val="00D77B47"/>
    <w:rsid w:val="00D77EA9"/>
    <w:rsid w:val="00D81117"/>
    <w:rsid w:val="00D8718E"/>
    <w:rsid w:val="00D871FE"/>
    <w:rsid w:val="00D91B5E"/>
    <w:rsid w:val="00D9378D"/>
    <w:rsid w:val="00D94AA7"/>
    <w:rsid w:val="00D95938"/>
    <w:rsid w:val="00D96365"/>
    <w:rsid w:val="00DA215B"/>
    <w:rsid w:val="00DA308B"/>
    <w:rsid w:val="00DA5DB2"/>
    <w:rsid w:val="00DA679F"/>
    <w:rsid w:val="00DA6DB5"/>
    <w:rsid w:val="00DA7C31"/>
    <w:rsid w:val="00DB0269"/>
    <w:rsid w:val="00DB14F0"/>
    <w:rsid w:val="00DB22E2"/>
    <w:rsid w:val="00DB2A23"/>
    <w:rsid w:val="00DB6D55"/>
    <w:rsid w:val="00DC012E"/>
    <w:rsid w:val="00DC0EB6"/>
    <w:rsid w:val="00DC1CD9"/>
    <w:rsid w:val="00DC2005"/>
    <w:rsid w:val="00DC2780"/>
    <w:rsid w:val="00DC3623"/>
    <w:rsid w:val="00DD1922"/>
    <w:rsid w:val="00DD3878"/>
    <w:rsid w:val="00DD59CC"/>
    <w:rsid w:val="00DD7B9C"/>
    <w:rsid w:val="00DE1092"/>
    <w:rsid w:val="00DE1E29"/>
    <w:rsid w:val="00DE204F"/>
    <w:rsid w:val="00DE253D"/>
    <w:rsid w:val="00DE486F"/>
    <w:rsid w:val="00DE5A7C"/>
    <w:rsid w:val="00DF02E1"/>
    <w:rsid w:val="00DF4082"/>
    <w:rsid w:val="00DF40B1"/>
    <w:rsid w:val="00DF4144"/>
    <w:rsid w:val="00DF7162"/>
    <w:rsid w:val="00DF7E8C"/>
    <w:rsid w:val="00E04CCC"/>
    <w:rsid w:val="00E14C3C"/>
    <w:rsid w:val="00E2074B"/>
    <w:rsid w:val="00E21AF0"/>
    <w:rsid w:val="00E21E1E"/>
    <w:rsid w:val="00E21FA6"/>
    <w:rsid w:val="00E23384"/>
    <w:rsid w:val="00E27E0B"/>
    <w:rsid w:val="00E3069A"/>
    <w:rsid w:val="00E31CAF"/>
    <w:rsid w:val="00E34F0E"/>
    <w:rsid w:val="00E42D39"/>
    <w:rsid w:val="00E4379A"/>
    <w:rsid w:val="00E46284"/>
    <w:rsid w:val="00E5058D"/>
    <w:rsid w:val="00E51677"/>
    <w:rsid w:val="00E5302C"/>
    <w:rsid w:val="00E5339F"/>
    <w:rsid w:val="00E54EAD"/>
    <w:rsid w:val="00E60B48"/>
    <w:rsid w:val="00E61BDF"/>
    <w:rsid w:val="00E62408"/>
    <w:rsid w:val="00E63366"/>
    <w:rsid w:val="00E639B4"/>
    <w:rsid w:val="00E664B0"/>
    <w:rsid w:val="00E66A4F"/>
    <w:rsid w:val="00E70AD1"/>
    <w:rsid w:val="00E72838"/>
    <w:rsid w:val="00E74256"/>
    <w:rsid w:val="00E77112"/>
    <w:rsid w:val="00E824FB"/>
    <w:rsid w:val="00E84083"/>
    <w:rsid w:val="00E84E95"/>
    <w:rsid w:val="00E852DB"/>
    <w:rsid w:val="00E8656B"/>
    <w:rsid w:val="00E87CA3"/>
    <w:rsid w:val="00E94626"/>
    <w:rsid w:val="00E97056"/>
    <w:rsid w:val="00EA46EF"/>
    <w:rsid w:val="00EA7027"/>
    <w:rsid w:val="00EB0082"/>
    <w:rsid w:val="00EB0E74"/>
    <w:rsid w:val="00EB1927"/>
    <w:rsid w:val="00EB2C89"/>
    <w:rsid w:val="00EB36D5"/>
    <w:rsid w:val="00EB701C"/>
    <w:rsid w:val="00EB77D1"/>
    <w:rsid w:val="00EC26CB"/>
    <w:rsid w:val="00EC61D6"/>
    <w:rsid w:val="00EC64AC"/>
    <w:rsid w:val="00EC7A03"/>
    <w:rsid w:val="00ED019D"/>
    <w:rsid w:val="00ED14A9"/>
    <w:rsid w:val="00ED2698"/>
    <w:rsid w:val="00ED54FC"/>
    <w:rsid w:val="00EE15DA"/>
    <w:rsid w:val="00EE461B"/>
    <w:rsid w:val="00EF0140"/>
    <w:rsid w:val="00EF1512"/>
    <w:rsid w:val="00EF3256"/>
    <w:rsid w:val="00EF70EF"/>
    <w:rsid w:val="00F04D7C"/>
    <w:rsid w:val="00F07859"/>
    <w:rsid w:val="00F10288"/>
    <w:rsid w:val="00F12326"/>
    <w:rsid w:val="00F12F79"/>
    <w:rsid w:val="00F15D8D"/>
    <w:rsid w:val="00F170E4"/>
    <w:rsid w:val="00F17516"/>
    <w:rsid w:val="00F213D7"/>
    <w:rsid w:val="00F21C4B"/>
    <w:rsid w:val="00F23A22"/>
    <w:rsid w:val="00F24A51"/>
    <w:rsid w:val="00F2548B"/>
    <w:rsid w:val="00F27D6F"/>
    <w:rsid w:val="00F333C2"/>
    <w:rsid w:val="00F333E6"/>
    <w:rsid w:val="00F35CB1"/>
    <w:rsid w:val="00F36102"/>
    <w:rsid w:val="00F37A46"/>
    <w:rsid w:val="00F42104"/>
    <w:rsid w:val="00F444BA"/>
    <w:rsid w:val="00F44643"/>
    <w:rsid w:val="00F446EE"/>
    <w:rsid w:val="00F452DE"/>
    <w:rsid w:val="00F5058E"/>
    <w:rsid w:val="00F53295"/>
    <w:rsid w:val="00F53594"/>
    <w:rsid w:val="00F54DD7"/>
    <w:rsid w:val="00F56143"/>
    <w:rsid w:val="00F561D0"/>
    <w:rsid w:val="00F56A1D"/>
    <w:rsid w:val="00F57238"/>
    <w:rsid w:val="00F60CDC"/>
    <w:rsid w:val="00F60FDA"/>
    <w:rsid w:val="00F64922"/>
    <w:rsid w:val="00F64AFB"/>
    <w:rsid w:val="00F659F5"/>
    <w:rsid w:val="00F73624"/>
    <w:rsid w:val="00F73654"/>
    <w:rsid w:val="00F748AB"/>
    <w:rsid w:val="00F74DB6"/>
    <w:rsid w:val="00F77A7F"/>
    <w:rsid w:val="00F81299"/>
    <w:rsid w:val="00F8162C"/>
    <w:rsid w:val="00F83B46"/>
    <w:rsid w:val="00F85B5F"/>
    <w:rsid w:val="00F86179"/>
    <w:rsid w:val="00F86CC8"/>
    <w:rsid w:val="00F91DCB"/>
    <w:rsid w:val="00F9401B"/>
    <w:rsid w:val="00FA66EF"/>
    <w:rsid w:val="00FA6726"/>
    <w:rsid w:val="00FB3989"/>
    <w:rsid w:val="00FB43CD"/>
    <w:rsid w:val="00FB4F2B"/>
    <w:rsid w:val="00FB5B47"/>
    <w:rsid w:val="00FB6626"/>
    <w:rsid w:val="00FB6960"/>
    <w:rsid w:val="00FB7399"/>
    <w:rsid w:val="00FC0CF5"/>
    <w:rsid w:val="00FC2164"/>
    <w:rsid w:val="00FC21B0"/>
    <w:rsid w:val="00FC2A2B"/>
    <w:rsid w:val="00FC3EA8"/>
    <w:rsid w:val="00FC65C2"/>
    <w:rsid w:val="00FC6A3D"/>
    <w:rsid w:val="00FC7914"/>
    <w:rsid w:val="00FD0598"/>
    <w:rsid w:val="00FD0D4A"/>
    <w:rsid w:val="00FD127D"/>
    <w:rsid w:val="00FD2F85"/>
    <w:rsid w:val="00FD4951"/>
    <w:rsid w:val="00FD642F"/>
    <w:rsid w:val="00FE0399"/>
    <w:rsid w:val="00FE1A8C"/>
    <w:rsid w:val="00FE1F16"/>
    <w:rsid w:val="00FE4F4F"/>
    <w:rsid w:val="00FE5773"/>
    <w:rsid w:val="00FF57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E99874"/>
  <w15:chartTrackingRefBased/>
  <w15:docId w15:val="{BD85F3DA-A77B-4F22-A907-514C1F72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C3"/>
    <w:rPr>
      <w:rFonts w:eastAsiaTheme="majorEastAsia" w:cstheme="majorBidi"/>
      <w:color w:val="272727" w:themeColor="text1" w:themeTint="D8"/>
    </w:rPr>
  </w:style>
  <w:style w:type="paragraph" w:styleId="Title">
    <w:name w:val="Title"/>
    <w:basedOn w:val="Normal"/>
    <w:next w:val="Normal"/>
    <w:link w:val="TitleChar"/>
    <w:uiPriority w:val="10"/>
    <w:qFormat/>
    <w:rsid w:val="000A1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C3"/>
    <w:pPr>
      <w:spacing w:before="160"/>
      <w:jc w:val="center"/>
    </w:pPr>
    <w:rPr>
      <w:i/>
      <w:iCs/>
      <w:color w:val="404040" w:themeColor="text1" w:themeTint="BF"/>
    </w:rPr>
  </w:style>
  <w:style w:type="character" w:customStyle="1" w:styleId="QuoteChar">
    <w:name w:val="Quote Char"/>
    <w:basedOn w:val="DefaultParagraphFont"/>
    <w:link w:val="Quote"/>
    <w:uiPriority w:val="29"/>
    <w:rsid w:val="000A1BC3"/>
    <w:rPr>
      <w:i/>
      <w:iCs/>
      <w:color w:val="404040" w:themeColor="text1" w:themeTint="BF"/>
    </w:rPr>
  </w:style>
  <w:style w:type="paragraph" w:styleId="ListParagraph">
    <w:name w:val="List Paragraph"/>
    <w:basedOn w:val="Normal"/>
    <w:uiPriority w:val="99"/>
    <w:qFormat/>
    <w:rsid w:val="000A1BC3"/>
    <w:pPr>
      <w:ind w:left="720"/>
      <w:contextualSpacing/>
    </w:pPr>
  </w:style>
  <w:style w:type="character" w:styleId="IntenseEmphasis">
    <w:name w:val="Intense Emphasis"/>
    <w:basedOn w:val="DefaultParagraphFont"/>
    <w:uiPriority w:val="21"/>
    <w:qFormat/>
    <w:rsid w:val="000A1BC3"/>
    <w:rPr>
      <w:i/>
      <w:iCs/>
      <w:color w:val="2F5496" w:themeColor="accent1" w:themeShade="BF"/>
    </w:rPr>
  </w:style>
  <w:style w:type="paragraph" w:styleId="IntenseQuote">
    <w:name w:val="Intense Quote"/>
    <w:basedOn w:val="Normal"/>
    <w:next w:val="Normal"/>
    <w:link w:val="IntenseQuoteChar"/>
    <w:uiPriority w:val="30"/>
    <w:qFormat/>
    <w:rsid w:val="000A1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BC3"/>
    <w:rPr>
      <w:i/>
      <w:iCs/>
      <w:color w:val="2F5496" w:themeColor="accent1" w:themeShade="BF"/>
    </w:rPr>
  </w:style>
  <w:style w:type="character" w:styleId="IntenseReference">
    <w:name w:val="Intense Reference"/>
    <w:basedOn w:val="DefaultParagraphFont"/>
    <w:uiPriority w:val="32"/>
    <w:qFormat/>
    <w:rsid w:val="000A1BC3"/>
    <w:rPr>
      <w:b/>
      <w:bCs/>
      <w:smallCaps/>
      <w:color w:val="2F5496" w:themeColor="accent1" w:themeShade="BF"/>
      <w:spacing w:val="5"/>
    </w:rPr>
  </w:style>
  <w:style w:type="character" w:styleId="Hyperlink">
    <w:name w:val="Hyperlink"/>
    <w:basedOn w:val="DefaultParagraphFont"/>
    <w:uiPriority w:val="99"/>
    <w:unhideWhenUsed/>
    <w:rsid w:val="00093E31"/>
    <w:rPr>
      <w:color w:val="0563C1" w:themeColor="hyperlink"/>
      <w:u w:val="single"/>
    </w:rPr>
  </w:style>
  <w:style w:type="character" w:styleId="UnresolvedMention">
    <w:name w:val="Unresolved Mention"/>
    <w:basedOn w:val="DefaultParagraphFont"/>
    <w:uiPriority w:val="99"/>
    <w:semiHidden/>
    <w:unhideWhenUsed/>
    <w:rsid w:val="00093E31"/>
    <w:rPr>
      <w:color w:val="605E5C"/>
      <w:shd w:val="clear" w:color="auto" w:fill="E1DFDD"/>
    </w:rPr>
  </w:style>
  <w:style w:type="character" w:styleId="FollowedHyperlink">
    <w:name w:val="FollowedHyperlink"/>
    <w:basedOn w:val="DefaultParagraphFont"/>
    <w:uiPriority w:val="99"/>
    <w:semiHidden/>
    <w:unhideWhenUsed/>
    <w:rsid w:val="00093E31"/>
    <w:rPr>
      <w:color w:val="954F72" w:themeColor="followedHyperlink"/>
      <w:u w:val="single"/>
    </w:rPr>
  </w:style>
  <w:style w:type="table" w:styleId="TableGrid">
    <w:name w:val="Table Grid"/>
    <w:basedOn w:val="TableNormal"/>
    <w:uiPriority w:val="39"/>
    <w:qFormat/>
    <w:rsid w:val="0059797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9644D"/>
    <w:pPr>
      <w:spacing w:after="120"/>
    </w:pPr>
  </w:style>
  <w:style w:type="character" w:customStyle="1" w:styleId="BodyTextChar">
    <w:name w:val="Body Text Char"/>
    <w:basedOn w:val="DefaultParagraphFont"/>
    <w:link w:val="BodyText"/>
    <w:uiPriority w:val="99"/>
    <w:semiHidden/>
    <w:rsid w:val="0039644D"/>
  </w:style>
  <w:style w:type="paragraph" w:styleId="Header">
    <w:name w:val="header"/>
    <w:basedOn w:val="Normal"/>
    <w:link w:val="HeaderChar"/>
    <w:uiPriority w:val="99"/>
    <w:unhideWhenUsed/>
    <w:rsid w:val="0097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AF"/>
  </w:style>
  <w:style w:type="paragraph" w:styleId="Footer">
    <w:name w:val="footer"/>
    <w:basedOn w:val="Normal"/>
    <w:link w:val="FooterChar"/>
    <w:uiPriority w:val="99"/>
    <w:unhideWhenUsed/>
    <w:rsid w:val="0097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AF"/>
  </w:style>
  <w:style w:type="paragraph" w:styleId="Revision">
    <w:name w:val="Revision"/>
    <w:hidden/>
    <w:uiPriority w:val="99"/>
    <w:semiHidden/>
    <w:rsid w:val="00F64922"/>
    <w:pPr>
      <w:spacing w:after="0" w:line="240" w:lineRule="auto"/>
    </w:pPr>
  </w:style>
  <w:style w:type="character" w:styleId="PlaceholderText">
    <w:name w:val="Placeholder Text"/>
    <w:basedOn w:val="DefaultParagraphFont"/>
    <w:uiPriority w:val="99"/>
    <w:semiHidden/>
    <w:rsid w:val="00F53295"/>
    <w:rPr>
      <w:color w:val="666666"/>
    </w:rPr>
  </w:style>
  <w:style w:type="paragraph" w:styleId="NormalWeb">
    <w:name w:val="Normal (Web)"/>
    <w:basedOn w:val="Normal"/>
    <w:uiPriority w:val="99"/>
    <w:unhideWhenUsed/>
    <w:rsid w:val="00A569A2"/>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A56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029">
      <w:bodyDiv w:val="1"/>
      <w:marLeft w:val="0"/>
      <w:marRight w:val="0"/>
      <w:marTop w:val="0"/>
      <w:marBottom w:val="0"/>
      <w:divBdr>
        <w:top w:val="none" w:sz="0" w:space="0" w:color="auto"/>
        <w:left w:val="none" w:sz="0" w:space="0" w:color="auto"/>
        <w:bottom w:val="none" w:sz="0" w:space="0" w:color="auto"/>
        <w:right w:val="none" w:sz="0" w:space="0" w:color="auto"/>
      </w:divBdr>
    </w:div>
    <w:div w:id="33818755">
      <w:bodyDiv w:val="1"/>
      <w:marLeft w:val="0"/>
      <w:marRight w:val="0"/>
      <w:marTop w:val="0"/>
      <w:marBottom w:val="0"/>
      <w:divBdr>
        <w:top w:val="none" w:sz="0" w:space="0" w:color="auto"/>
        <w:left w:val="none" w:sz="0" w:space="0" w:color="auto"/>
        <w:bottom w:val="none" w:sz="0" w:space="0" w:color="auto"/>
        <w:right w:val="none" w:sz="0" w:space="0" w:color="auto"/>
      </w:divBdr>
    </w:div>
    <w:div w:id="79064828">
      <w:bodyDiv w:val="1"/>
      <w:marLeft w:val="0"/>
      <w:marRight w:val="0"/>
      <w:marTop w:val="0"/>
      <w:marBottom w:val="0"/>
      <w:divBdr>
        <w:top w:val="none" w:sz="0" w:space="0" w:color="auto"/>
        <w:left w:val="none" w:sz="0" w:space="0" w:color="auto"/>
        <w:bottom w:val="none" w:sz="0" w:space="0" w:color="auto"/>
        <w:right w:val="none" w:sz="0" w:space="0" w:color="auto"/>
      </w:divBdr>
    </w:div>
    <w:div w:id="88046676">
      <w:bodyDiv w:val="1"/>
      <w:marLeft w:val="0"/>
      <w:marRight w:val="0"/>
      <w:marTop w:val="0"/>
      <w:marBottom w:val="0"/>
      <w:divBdr>
        <w:top w:val="none" w:sz="0" w:space="0" w:color="auto"/>
        <w:left w:val="none" w:sz="0" w:space="0" w:color="auto"/>
        <w:bottom w:val="none" w:sz="0" w:space="0" w:color="auto"/>
        <w:right w:val="none" w:sz="0" w:space="0" w:color="auto"/>
      </w:divBdr>
    </w:div>
    <w:div w:id="130559545">
      <w:bodyDiv w:val="1"/>
      <w:marLeft w:val="0"/>
      <w:marRight w:val="0"/>
      <w:marTop w:val="0"/>
      <w:marBottom w:val="0"/>
      <w:divBdr>
        <w:top w:val="none" w:sz="0" w:space="0" w:color="auto"/>
        <w:left w:val="none" w:sz="0" w:space="0" w:color="auto"/>
        <w:bottom w:val="none" w:sz="0" w:space="0" w:color="auto"/>
        <w:right w:val="none" w:sz="0" w:space="0" w:color="auto"/>
      </w:divBdr>
    </w:div>
    <w:div w:id="132914236">
      <w:bodyDiv w:val="1"/>
      <w:marLeft w:val="0"/>
      <w:marRight w:val="0"/>
      <w:marTop w:val="0"/>
      <w:marBottom w:val="0"/>
      <w:divBdr>
        <w:top w:val="none" w:sz="0" w:space="0" w:color="auto"/>
        <w:left w:val="none" w:sz="0" w:space="0" w:color="auto"/>
        <w:bottom w:val="none" w:sz="0" w:space="0" w:color="auto"/>
        <w:right w:val="none" w:sz="0" w:space="0" w:color="auto"/>
      </w:divBdr>
    </w:div>
    <w:div w:id="171379670">
      <w:bodyDiv w:val="1"/>
      <w:marLeft w:val="0"/>
      <w:marRight w:val="0"/>
      <w:marTop w:val="0"/>
      <w:marBottom w:val="0"/>
      <w:divBdr>
        <w:top w:val="none" w:sz="0" w:space="0" w:color="auto"/>
        <w:left w:val="none" w:sz="0" w:space="0" w:color="auto"/>
        <w:bottom w:val="none" w:sz="0" w:space="0" w:color="auto"/>
        <w:right w:val="none" w:sz="0" w:space="0" w:color="auto"/>
      </w:divBdr>
    </w:div>
    <w:div w:id="243809564">
      <w:bodyDiv w:val="1"/>
      <w:marLeft w:val="0"/>
      <w:marRight w:val="0"/>
      <w:marTop w:val="0"/>
      <w:marBottom w:val="0"/>
      <w:divBdr>
        <w:top w:val="none" w:sz="0" w:space="0" w:color="auto"/>
        <w:left w:val="none" w:sz="0" w:space="0" w:color="auto"/>
        <w:bottom w:val="none" w:sz="0" w:space="0" w:color="auto"/>
        <w:right w:val="none" w:sz="0" w:space="0" w:color="auto"/>
      </w:divBdr>
    </w:div>
    <w:div w:id="288166906">
      <w:bodyDiv w:val="1"/>
      <w:marLeft w:val="0"/>
      <w:marRight w:val="0"/>
      <w:marTop w:val="0"/>
      <w:marBottom w:val="0"/>
      <w:divBdr>
        <w:top w:val="none" w:sz="0" w:space="0" w:color="auto"/>
        <w:left w:val="none" w:sz="0" w:space="0" w:color="auto"/>
        <w:bottom w:val="none" w:sz="0" w:space="0" w:color="auto"/>
        <w:right w:val="none" w:sz="0" w:space="0" w:color="auto"/>
      </w:divBdr>
    </w:div>
    <w:div w:id="310327025">
      <w:bodyDiv w:val="1"/>
      <w:marLeft w:val="0"/>
      <w:marRight w:val="0"/>
      <w:marTop w:val="0"/>
      <w:marBottom w:val="0"/>
      <w:divBdr>
        <w:top w:val="none" w:sz="0" w:space="0" w:color="auto"/>
        <w:left w:val="none" w:sz="0" w:space="0" w:color="auto"/>
        <w:bottom w:val="none" w:sz="0" w:space="0" w:color="auto"/>
        <w:right w:val="none" w:sz="0" w:space="0" w:color="auto"/>
      </w:divBdr>
    </w:div>
    <w:div w:id="332487395">
      <w:bodyDiv w:val="1"/>
      <w:marLeft w:val="0"/>
      <w:marRight w:val="0"/>
      <w:marTop w:val="0"/>
      <w:marBottom w:val="0"/>
      <w:divBdr>
        <w:top w:val="none" w:sz="0" w:space="0" w:color="auto"/>
        <w:left w:val="none" w:sz="0" w:space="0" w:color="auto"/>
        <w:bottom w:val="none" w:sz="0" w:space="0" w:color="auto"/>
        <w:right w:val="none" w:sz="0" w:space="0" w:color="auto"/>
      </w:divBdr>
    </w:div>
    <w:div w:id="345400220">
      <w:bodyDiv w:val="1"/>
      <w:marLeft w:val="0"/>
      <w:marRight w:val="0"/>
      <w:marTop w:val="0"/>
      <w:marBottom w:val="0"/>
      <w:divBdr>
        <w:top w:val="none" w:sz="0" w:space="0" w:color="auto"/>
        <w:left w:val="none" w:sz="0" w:space="0" w:color="auto"/>
        <w:bottom w:val="none" w:sz="0" w:space="0" w:color="auto"/>
        <w:right w:val="none" w:sz="0" w:space="0" w:color="auto"/>
      </w:divBdr>
    </w:div>
    <w:div w:id="345835998">
      <w:bodyDiv w:val="1"/>
      <w:marLeft w:val="0"/>
      <w:marRight w:val="0"/>
      <w:marTop w:val="0"/>
      <w:marBottom w:val="0"/>
      <w:divBdr>
        <w:top w:val="none" w:sz="0" w:space="0" w:color="auto"/>
        <w:left w:val="none" w:sz="0" w:space="0" w:color="auto"/>
        <w:bottom w:val="none" w:sz="0" w:space="0" w:color="auto"/>
        <w:right w:val="none" w:sz="0" w:space="0" w:color="auto"/>
      </w:divBdr>
    </w:div>
    <w:div w:id="403797329">
      <w:bodyDiv w:val="1"/>
      <w:marLeft w:val="0"/>
      <w:marRight w:val="0"/>
      <w:marTop w:val="0"/>
      <w:marBottom w:val="0"/>
      <w:divBdr>
        <w:top w:val="none" w:sz="0" w:space="0" w:color="auto"/>
        <w:left w:val="none" w:sz="0" w:space="0" w:color="auto"/>
        <w:bottom w:val="none" w:sz="0" w:space="0" w:color="auto"/>
        <w:right w:val="none" w:sz="0" w:space="0" w:color="auto"/>
      </w:divBdr>
    </w:div>
    <w:div w:id="413358636">
      <w:bodyDiv w:val="1"/>
      <w:marLeft w:val="0"/>
      <w:marRight w:val="0"/>
      <w:marTop w:val="0"/>
      <w:marBottom w:val="0"/>
      <w:divBdr>
        <w:top w:val="none" w:sz="0" w:space="0" w:color="auto"/>
        <w:left w:val="none" w:sz="0" w:space="0" w:color="auto"/>
        <w:bottom w:val="none" w:sz="0" w:space="0" w:color="auto"/>
        <w:right w:val="none" w:sz="0" w:space="0" w:color="auto"/>
      </w:divBdr>
    </w:div>
    <w:div w:id="591549971">
      <w:bodyDiv w:val="1"/>
      <w:marLeft w:val="0"/>
      <w:marRight w:val="0"/>
      <w:marTop w:val="0"/>
      <w:marBottom w:val="0"/>
      <w:divBdr>
        <w:top w:val="none" w:sz="0" w:space="0" w:color="auto"/>
        <w:left w:val="none" w:sz="0" w:space="0" w:color="auto"/>
        <w:bottom w:val="none" w:sz="0" w:space="0" w:color="auto"/>
        <w:right w:val="none" w:sz="0" w:space="0" w:color="auto"/>
      </w:divBdr>
    </w:div>
    <w:div w:id="601498259">
      <w:bodyDiv w:val="1"/>
      <w:marLeft w:val="0"/>
      <w:marRight w:val="0"/>
      <w:marTop w:val="0"/>
      <w:marBottom w:val="0"/>
      <w:divBdr>
        <w:top w:val="none" w:sz="0" w:space="0" w:color="auto"/>
        <w:left w:val="none" w:sz="0" w:space="0" w:color="auto"/>
        <w:bottom w:val="none" w:sz="0" w:space="0" w:color="auto"/>
        <w:right w:val="none" w:sz="0" w:space="0" w:color="auto"/>
      </w:divBdr>
    </w:div>
    <w:div w:id="673453336">
      <w:bodyDiv w:val="1"/>
      <w:marLeft w:val="0"/>
      <w:marRight w:val="0"/>
      <w:marTop w:val="0"/>
      <w:marBottom w:val="0"/>
      <w:divBdr>
        <w:top w:val="none" w:sz="0" w:space="0" w:color="auto"/>
        <w:left w:val="none" w:sz="0" w:space="0" w:color="auto"/>
        <w:bottom w:val="none" w:sz="0" w:space="0" w:color="auto"/>
        <w:right w:val="none" w:sz="0" w:space="0" w:color="auto"/>
      </w:divBdr>
    </w:div>
    <w:div w:id="679434883">
      <w:bodyDiv w:val="1"/>
      <w:marLeft w:val="0"/>
      <w:marRight w:val="0"/>
      <w:marTop w:val="0"/>
      <w:marBottom w:val="0"/>
      <w:divBdr>
        <w:top w:val="none" w:sz="0" w:space="0" w:color="auto"/>
        <w:left w:val="none" w:sz="0" w:space="0" w:color="auto"/>
        <w:bottom w:val="none" w:sz="0" w:space="0" w:color="auto"/>
        <w:right w:val="none" w:sz="0" w:space="0" w:color="auto"/>
      </w:divBdr>
    </w:div>
    <w:div w:id="688410755">
      <w:bodyDiv w:val="1"/>
      <w:marLeft w:val="0"/>
      <w:marRight w:val="0"/>
      <w:marTop w:val="0"/>
      <w:marBottom w:val="0"/>
      <w:divBdr>
        <w:top w:val="none" w:sz="0" w:space="0" w:color="auto"/>
        <w:left w:val="none" w:sz="0" w:space="0" w:color="auto"/>
        <w:bottom w:val="none" w:sz="0" w:space="0" w:color="auto"/>
        <w:right w:val="none" w:sz="0" w:space="0" w:color="auto"/>
      </w:divBdr>
    </w:div>
    <w:div w:id="722216043">
      <w:bodyDiv w:val="1"/>
      <w:marLeft w:val="0"/>
      <w:marRight w:val="0"/>
      <w:marTop w:val="0"/>
      <w:marBottom w:val="0"/>
      <w:divBdr>
        <w:top w:val="none" w:sz="0" w:space="0" w:color="auto"/>
        <w:left w:val="none" w:sz="0" w:space="0" w:color="auto"/>
        <w:bottom w:val="none" w:sz="0" w:space="0" w:color="auto"/>
        <w:right w:val="none" w:sz="0" w:space="0" w:color="auto"/>
      </w:divBdr>
    </w:div>
    <w:div w:id="727924546">
      <w:bodyDiv w:val="1"/>
      <w:marLeft w:val="0"/>
      <w:marRight w:val="0"/>
      <w:marTop w:val="0"/>
      <w:marBottom w:val="0"/>
      <w:divBdr>
        <w:top w:val="none" w:sz="0" w:space="0" w:color="auto"/>
        <w:left w:val="none" w:sz="0" w:space="0" w:color="auto"/>
        <w:bottom w:val="none" w:sz="0" w:space="0" w:color="auto"/>
        <w:right w:val="none" w:sz="0" w:space="0" w:color="auto"/>
      </w:divBdr>
    </w:div>
    <w:div w:id="753237227">
      <w:bodyDiv w:val="1"/>
      <w:marLeft w:val="0"/>
      <w:marRight w:val="0"/>
      <w:marTop w:val="0"/>
      <w:marBottom w:val="0"/>
      <w:divBdr>
        <w:top w:val="none" w:sz="0" w:space="0" w:color="auto"/>
        <w:left w:val="none" w:sz="0" w:space="0" w:color="auto"/>
        <w:bottom w:val="none" w:sz="0" w:space="0" w:color="auto"/>
        <w:right w:val="none" w:sz="0" w:space="0" w:color="auto"/>
      </w:divBdr>
    </w:div>
    <w:div w:id="792598855">
      <w:bodyDiv w:val="1"/>
      <w:marLeft w:val="0"/>
      <w:marRight w:val="0"/>
      <w:marTop w:val="0"/>
      <w:marBottom w:val="0"/>
      <w:divBdr>
        <w:top w:val="none" w:sz="0" w:space="0" w:color="auto"/>
        <w:left w:val="none" w:sz="0" w:space="0" w:color="auto"/>
        <w:bottom w:val="none" w:sz="0" w:space="0" w:color="auto"/>
        <w:right w:val="none" w:sz="0" w:space="0" w:color="auto"/>
      </w:divBdr>
    </w:div>
    <w:div w:id="805659669">
      <w:bodyDiv w:val="1"/>
      <w:marLeft w:val="0"/>
      <w:marRight w:val="0"/>
      <w:marTop w:val="0"/>
      <w:marBottom w:val="0"/>
      <w:divBdr>
        <w:top w:val="none" w:sz="0" w:space="0" w:color="auto"/>
        <w:left w:val="none" w:sz="0" w:space="0" w:color="auto"/>
        <w:bottom w:val="none" w:sz="0" w:space="0" w:color="auto"/>
        <w:right w:val="none" w:sz="0" w:space="0" w:color="auto"/>
      </w:divBdr>
    </w:div>
    <w:div w:id="809909206">
      <w:bodyDiv w:val="1"/>
      <w:marLeft w:val="0"/>
      <w:marRight w:val="0"/>
      <w:marTop w:val="0"/>
      <w:marBottom w:val="0"/>
      <w:divBdr>
        <w:top w:val="none" w:sz="0" w:space="0" w:color="auto"/>
        <w:left w:val="none" w:sz="0" w:space="0" w:color="auto"/>
        <w:bottom w:val="none" w:sz="0" w:space="0" w:color="auto"/>
        <w:right w:val="none" w:sz="0" w:space="0" w:color="auto"/>
      </w:divBdr>
    </w:div>
    <w:div w:id="814444941">
      <w:bodyDiv w:val="1"/>
      <w:marLeft w:val="0"/>
      <w:marRight w:val="0"/>
      <w:marTop w:val="0"/>
      <w:marBottom w:val="0"/>
      <w:divBdr>
        <w:top w:val="none" w:sz="0" w:space="0" w:color="auto"/>
        <w:left w:val="none" w:sz="0" w:space="0" w:color="auto"/>
        <w:bottom w:val="none" w:sz="0" w:space="0" w:color="auto"/>
        <w:right w:val="none" w:sz="0" w:space="0" w:color="auto"/>
      </w:divBdr>
    </w:div>
    <w:div w:id="857238378">
      <w:bodyDiv w:val="1"/>
      <w:marLeft w:val="0"/>
      <w:marRight w:val="0"/>
      <w:marTop w:val="0"/>
      <w:marBottom w:val="0"/>
      <w:divBdr>
        <w:top w:val="none" w:sz="0" w:space="0" w:color="auto"/>
        <w:left w:val="none" w:sz="0" w:space="0" w:color="auto"/>
        <w:bottom w:val="none" w:sz="0" w:space="0" w:color="auto"/>
        <w:right w:val="none" w:sz="0" w:space="0" w:color="auto"/>
      </w:divBdr>
    </w:div>
    <w:div w:id="887886446">
      <w:bodyDiv w:val="1"/>
      <w:marLeft w:val="0"/>
      <w:marRight w:val="0"/>
      <w:marTop w:val="0"/>
      <w:marBottom w:val="0"/>
      <w:divBdr>
        <w:top w:val="none" w:sz="0" w:space="0" w:color="auto"/>
        <w:left w:val="none" w:sz="0" w:space="0" w:color="auto"/>
        <w:bottom w:val="none" w:sz="0" w:space="0" w:color="auto"/>
        <w:right w:val="none" w:sz="0" w:space="0" w:color="auto"/>
      </w:divBdr>
    </w:div>
    <w:div w:id="914824333">
      <w:bodyDiv w:val="1"/>
      <w:marLeft w:val="0"/>
      <w:marRight w:val="0"/>
      <w:marTop w:val="0"/>
      <w:marBottom w:val="0"/>
      <w:divBdr>
        <w:top w:val="none" w:sz="0" w:space="0" w:color="auto"/>
        <w:left w:val="none" w:sz="0" w:space="0" w:color="auto"/>
        <w:bottom w:val="none" w:sz="0" w:space="0" w:color="auto"/>
        <w:right w:val="none" w:sz="0" w:space="0" w:color="auto"/>
      </w:divBdr>
    </w:div>
    <w:div w:id="938755404">
      <w:bodyDiv w:val="1"/>
      <w:marLeft w:val="0"/>
      <w:marRight w:val="0"/>
      <w:marTop w:val="0"/>
      <w:marBottom w:val="0"/>
      <w:divBdr>
        <w:top w:val="none" w:sz="0" w:space="0" w:color="auto"/>
        <w:left w:val="none" w:sz="0" w:space="0" w:color="auto"/>
        <w:bottom w:val="none" w:sz="0" w:space="0" w:color="auto"/>
        <w:right w:val="none" w:sz="0" w:space="0" w:color="auto"/>
      </w:divBdr>
    </w:div>
    <w:div w:id="1062172526">
      <w:bodyDiv w:val="1"/>
      <w:marLeft w:val="0"/>
      <w:marRight w:val="0"/>
      <w:marTop w:val="0"/>
      <w:marBottom w:val="0"/>
      <w:divBdr>
        <w:top w:val="none" w:sz="0" w:space="0" w:color="auto"/>
        <w:left w:val="none" w:sz="0" w:space="0" w:color="auto"/>
        <w:bottom w:val="none" w:sz="0" w:space="0" w:color="auto"/>
        <w:right w:val="none" w:sz="0" w:space="0" w:color="auto"/>
      </w:divBdr>
    </w:div>
    <w:div w:id="1062368138">
      <w:bodyDiv w:val="1"/>
      <w:marLeft w:val="0"/>
      <w:marRight w:val="0"/>
      <w:marTop w:val="0"/>
      <w:marBottom w:val="0"/>
      <w:divBdr>
        <w:top w:val="none" w:sz="0" w:space="0" w:color="auto"/>
        <w:left w:val="none" w:sz="0" w:space="0" w:color="auto"/>
        <w:bottom w:val="none" w:sz="0" w:space="0" w:color="auto"/>
        <w:right w:val="none" w:sz="0" w:space="0" w:color="auto"/>
      </w:divBdr>
    </w:div>
    <w:div w:id="1084227798">
      <w:bodyDiv w:val="1"/>
      <w:marLeft w:val="0"/>
      <w:marRight w:val="0"/>
      <w:marTop w:val="0"/>
      <w:marBottom w:val="0"/>
      <w:divBdr>
        <w:top w:val="none" w:sz="0" w:space="0" w:color="auto"/>
        <w:left w:val="none" w:sz="0" w:space="0" w:color="auto"/>
        <w:bottom w:val="none" w:sz="0" w:space="0" w:color="auto"/>
        <w:right w:val="none" w:sz="0" w:space="0" w:color="auto"/>
      </w:divBdr>
    </w:div>
    <w:div w:id="1098788368">
      <w:bodyDiv w:val="1"/>
      <w:marLeft w:val="0"/>
      <w:marRight w:val="0"/>
      <w:marTop w:val="0"/>
      <w:marBottom w:val="0"/>
      <w:divBdr>
        <w:top w:val="none" w:sz="0" w:space="0" w:color="auto"/>
        <w:left w:val="none" w:sz="0" w:space="0" w:color="auto"/>
        <w:bottom w:val="none" w:sz="0" w:space="0" w:color="auto"/>
        <w:right w:val="none" w:sz="0" w:space="0" w:color="auto"/>
      </w:divBdr>
    </w:div>
    <w:div w:id="1104150974">
      <w:bodyDiv w:val="1"/>
      <w:marLeft w:val="0"/>
      <w:marRight w:val="0"/>
      <w:marTop w:val="0"/>
      <w:marBottom w:val="0"/>
      <w:divBdr>
        <w:top w:val="none" w:sz="0" w:space="0" w:color="auto"/>
        <w:left w:val="none" w:sz="0" w:space="0" w:color="auto"/>
        <w:bottom w:val="none" w:sz="0" w:space="0" w:color="auto"/>
        <w:right w:val="none" w:sz="0" w:space="0" w:color="auto"/>
      </w:divBdr>
    </w:div>
    <w:div w:id="1121847884">
      <w:bodyDiv w:val="1"/>
      <w:marLeft w:val="0"/>
      <w:marRight w:val="0"/>
      <w:marTop w:val="0"/>
      <w:marBottom w:val="0"/>
      <w:divBdr>
        <w:top w:val="none" w:sz="0" w:space="0" w:color="auto"/>
        <w:left w:val="none" w:sz="0" w:space="0" w:color="auto"/>
        <w:bottom w:val="none" w:sz="0" w:space="0" w:color="auto"/>
        <w:right w:val="none" w:sz="0" w:space="0" w:color="auto"/>
      </w:divBdr>
    </w:div>
    <w:div w:id="1188370470">
      <w:bodyDiv w:val="1"/>
      <w:marLeft w:val="0"/>
      <w:marRight w:val="0"/>
      <w:marTop w:val="0"/>
      <w:marBottom w:val="0"/>
      <w:divBdr>
        <w:top w:val="none" w:sz="0" w:space="0" w:color="auto"/>
        <w:left w:val="none" w:sz="0" w:space="0" w:color="auto"/>
        <w:bottom w:val="none" w:sz="0" w:space="0" w:color="auto"/>
        <w:right w:val="none" w:sz="0" w:space="0" w:color="auto"/>
      </w:divBdr>
    </w:div>
    <w:div w:id="1206257886">
      <w:bodyDiv w:val="1"/>
      <w:marLeft w:val="0"/>
      <w:marRight w:val="0"/>
      <w:marTop w:val="0"/>
      <w:marBottom w:val="0"/>
      <w:divBdr>
        <w:top w:val="none" w:sz="0" w:space="0" w:color="auto"/>
        <w:left w:val="none" w:sz="0" w:space="0" w:color="auto"/>
        <w:bottom w:val="none" w:sz="0" w:space="0" w:color="auto"/>
        <w:right w:val="none" w:sz="0" w:space="0" w:color="auto"/>
      </w:divBdr>
    </w:div>
    <w:div w:id="1221750240">
      <w:bodyDiv w:val="1"/>
      <w:marLeft w:val="0"/>
      <w:marRight w:val="0"/>
      <w:marTop w:val="0"/>
      <w:marBottom w:val="0"/>
      <w:divBdr>
        <w:top w:val="none" w:sz="0" w:space="0" w:color="auto"/>
        <w:left w:val="none" w:sz="0" w:space="0" w:color="auto"/>
        <w:bottom w:val="none" w:sz="0" w:space="0" w:color="auto"/>
        <w:right w:val="none" w:sz="0" w:space="0" w:color="auto"/>
      </w:divBdr>
    </w:div>
    <w:div w:id="1240403961">
      <w:bodyDiv w:val="1"/>
      <w:marLeft w:val="0"/>
      <w:marRight w:val="0"/>
      <w:marTop w:val="0"/>
      <w:marBottom w:val="0"/>
      <w:divBdr>
        <w:top w:val="none" w:sz="0" w:space="0" w:color="auto"/>
        <w:left w:val="none" w:sz="0" w:space="0" w:color="auto"/>
        <w:bottom w:val="none" w:sz="0" w:space="0" w:color="auto"/>
        <w:right w:val="none" w:sz="0" w:space="0" w:color="auto"/>
      </w:divBdr>
    </w:div>
    <w:div w:id="1241796557">
      <w:bodyDiv w:val="1"/>
      <w:marLeft w:val="0"/>
      <w:marRight w:val="0"/>
      <w:marTop w:val="0"/>
      <w:marBottom w:val="0"/>
      <w:divBdr>
        <w:top w:val="none" w:sz="0" w:space="0" w:color="auto"/>
        <w:left w:val="none" w:sz="0" w:space="0" w:color="auto"/>
        <w:bottom w:val="none" w:sz="0" w:space="0" w:color="auto"/>
        <w:right w:val="none" w:sz="0" w:space="0" w:color="auto"/>
      </w:divBdr>
    </w:div>
    <w:div w:id="1274164569">
      <w:bodyDiv w:val="1"/>
      <w:marLeft w:val="0"/>
      <w:marRight w:val="0"/>
      <w:marTop w:val="0"/>
      <w:marBottom w:val="0"/>
      <w:divBdr>
        <w:top w:val="none" w:sz="0" w:space="0" w:color="auto"/>
        <w:left w:val="none" w:sz="0" w:space="0" w:color="auto"/>
        <w:bottom w:val="none" w:sz="0" w:space="0" w:color="auto"/>
        <w:right w:val="none" w:sz="0" w:space="0" w:color="auto"/>
      </w:divBdr>
    </w:div>
    <w:div w:id="1279146052">
      <w:bodyDiv w:val="1"/>
      <w:marLeft w:val="0"/>
      <w:marRight w:val="0"/>
      <w:marTop w:val="0"/>
      <w:marBottom w:val="0"/>
      <w:divBdr>
        <w:top w:val="none" w:sz="0" w:space="0" w:color="auto"/>
        <w:left w:val="none" w:sz="0" w:space="0" w:color="auto"/>
        <w:bottom w:val="none" w:sz="0" w:space="0" w:color="auto"/>
        <w:right w:val="none" w:sz="0" w:space="0" w:color="auto"/>
      </w:divBdr>
    </w:div>
    <w:div w:id="1282683437">
      <w:bodyDiv w:val="1"/>
      <w:marLeft w:val="0"/>
      <w:marRight w:val="0"/>
      <w:marTop w:val="0"/>
      <w:marBottom w:val="0"/>
      <w:divBdr>
        <w:top w:val="none" w:sz="0" w:space="0" w:color="auto"/>
        <w:left w:val="none" w:sz="0" w:space="0" w:color="auto"/>
        <w:bottom w:val="none" w:sz="0" w:space="0" w:color="auto"/>
        <w:right w:val="none" w:sz="0" w:space="0" w:color="auto"/>
      </w:divBdr>
    </w:div>
    <w:div w:id="1311910099">
      <w:bodyDiv w:val="1"/>
      <w:marLeft w:val="0"/>
      <w:marRight w:val="0"/>
      <w:marTop w:val="0"/>
      <w:marBottom w:val="0"/>
      <w:divBdr>
        <w:top w:val="none" w:sz="0" w:space="0" w:color="auto"/>
        <w:left w:val="none" w:sz="0" w:space="0" w:color="auto"/>
        <w:bottom w:val="none" w:sz="0" w:space="0" w:color="auto"/>
        <w:right w:val="none" w:sz="0" w:space="0" w:color="auto"/>
      </w:divBdr>
    </w:div>
    <w:div w:id="1315452442">
      <w:bodyDiv w:val="1"/>
      <w:marLeft w:val="0"/>
      <w:marRight w:val="0"/>
      <w:marTop w:val="0"/>
      <w:marBottom w:val="0"/>
      <w:divBdr>
        <w:top w:val="none" w:sz="0" w:space="0" w:color="auto"/>
        <w:left w:val="none" w:sz="0" w:space="0" w:color="auto"/>
        <w:bottom w:val="none" w:sz="0" w:space="0" w:color="auto"/>
        <w:right w:val="none" w:sz="0" w:space="0" w:color="auto"/>
      </w:divBdr>
    </w:div>
    <w:div w:id="1339969395">
      <w:bodyDiv w:val="1"/>
      <w:marLeft w:val="0"/>
      <w:marRight w:val="0"/>
      <w:marTop w:val="0"/>
      <w:marBottom w:val="0"/>
      <w:divBdr>
        <w:top w:val="none" w:sz="0" w:space="0" w:color="auto"/>
        <w:left w:val="none" w:sz="0" w:space="0" w:color="auto"/>
        <w:bottom w:val="none" w:sz="0" w:space="0" w:color="auto"/>
        <w:right w:val="none" w:sz="0" w:space="0" w:color="auto"/>
      </w:divBdr>
    </w:div>
    <w:div w:id="1361054321">
      <w:bodyDiv w:val="1"/>
      <w:marLeft w:val="0"/>
      <w:marRight w:val="0"/>
      <w:marTop w:val="0"/>
      <w:marBottom w:val="0"/>
      <w:divBdr>
        <w:top w:val="none" w:sz="0" w:space="0" w:color="auto"/>
        <w:left w:val="none" w:sz="0" w:space="0" w:color="auto"/>
        <w:bottom w:val="none" w:sz="0" w:space="0" w:color="auto"/>
        <w:right w:val="none" w:sz="0" w:space="0" w:color="auto"/>
      </w:divBdr>
    </w:div>
    <w:div w:id="1366564876">
      <w:bodyDiv w:val="1"/>
      <w:marLeft w:val="0"/>
      <w:marRight w:val="0"/>
      <w:marTop w:val="0"/>
      <w:marBottom w:val="0"/>
      <w:divBdr>
        <w:top w:val="none" w:sz="0" w:space="0" w:color="auto"/>
        <w:left w:val="none" w:sz="0" w:space="0" w:color="auto"/>
        <w:bottom w:val="none" w:sz="0" w:space="0" w:color="auto"/>
        <w:right w:val="none" w:sz="0" w:space="0" w:color="auto"/>
      </w:divBdr>
    </w:div>
    <w:div w:id="1397632928">
      <w:bodyDiv w:val="1"/>
      <w:marLeft w:val="0"/>
      <w:marRight w:val="0"/>
      <w:marTop w:val="0"/>
      <w:marBottom w:val="0"/>
      <w:divBdr>
        <w:top w:val="none" w:sz="0" w:space="0" w:color="auto"/>
        <w:left w:val="none" w:sz="0" w:space="0" w:color="auto"/>
        <w:bottom w:val="none" w:sz="0" w:space="0" w:color="auto"/>
        <w:right w:val="none" w:sz="0" w:space="0" w:color="auto"/>
      </w:divBdr>
    </w:div>
    <w:div w:id="1415204319">
      <w:bodyDiv w:val="1"/>
      <w:marLeft w:val="0"/>
      <w:marRight w:val="0"/>
      <w:marTop w:val="0"/>
      <w:marBottom w:val="0"/>
      <w:divBdr>
        <w:top w:val="none" w:sz="0" w:space="0" w:color="auto"/>
        <w:left w:val="none" w:sz="0" w:space="0" w:color="auto"/>
        <w:bottom w:val="none" w:sz="0" w:space="0" w:color="auto"/>
        <w:right w:val="none" w:sz="0" w:space="0" w:color="auto"/>
      </w:divBdr>
    </w:div>
    <w:div w:id="1451776143">
      <w:bodyDiv w:val="1"/>
      <w:marLeft w:val="0"/>
      <w:marRight w:val="0"/>
      <w:marTop w:val="0"/>
      <w:marBottom w:val="0"/>
      <w:divBdr>
        <w:top w:val="none" w:sz="0" w:space="0" w:color="auto"/>
        <w:left w:val="none" w:sz="0" w:space="0" w:color="auto"/>
        <w:bottom w:val="none" w:sz="0" w:space="0" w:color="auto"/>
        <w:right w:val="none" w:sz="0" w:space="0" w:color="auto"/>
      </w:divBdr>
    </w:div>
    <w:div w:id="1472211818">
      <w:bodyDiv w:val="1"/>
      <w:marLeft w:val="0"/>
      <w:marRight w:val="0"/>
      <w:marTop w:val="0"/>
      <w:marBottom w:val="0"/>
      <w:divBdr>
        <w:top w:val="none" w:sz="0" w:space="0" w:color="auto"/>
        <w:left w:val="none" w:sz="0" w:space="0" w:color="auto"/>
        <w:bottom w:val="none" w:sz="0" w:space="0" w:color="auto"/>
        <w:right w:val="none" w:sz="0" w:space="0" w:color="auto"/>
      </w:divBdr>
    </w:div>
    <w:div w:id="1501430454">
      <w:bodyDiv w:val="1"/>
      <w:marLeft w:val="0"/>
      <w:marRight w:val="0"/>
      <w:marTop w:val="0"/>
      <w:marBottom w:val="0"/>
      <w:divBdr>
        <w:top w:val="none" w:sz="0" w:space="0" w:color="auto"/>
        <w:left w:val="none" w:sz="0" w:space="0" w:color="auto"/>
        <w:bottom w:val="none" w:sz="0" w:space="0" w:color="auto"/>
        <w:right w:val="none" w:sz="0" w:space="0" w:color="auto"/>
      </w:divBdr>
    </w:div>
    <w:div w:id="1514765870">
      <w:bodyDiv w:val="1"/>
      <w:marLeft w:val="0"/>
      <w:marRight w:val="0"/>
      <w:marTop w:val="0"/>
      <w:marBottom w:val="0"/>
      <w:divBdr>
        <w:top w:val="none" w:sz="0" w:space="0" w:color="auto"/>
        <w:left w:val="none" w:sz="0" w:space="0" w:color="auto"/>
        <w:bottom w:val="none" w:sz="0" w:space="0" w:color="auto"/>
        <w:right w:val="none" w:sz="0" w:space="0" w:color="auto"/>
      </w:divBdr>
    </w:div>
    <w:div w:id="1532719937">
      <w:bodyDiv w:val="1"/>
      <w:marLeft w:val="0"/>
      <w:marRight w:val="0"/>
      <w:marTop w:val="0"/>
      <w:marBottom w:val="0"/>
      <w:divBdr>
        <w:top w:val="none" w:sz="0" w:space="0" w:color="auto"/>
        <w:left w:val="none" w:sz="0" w:space="0" w:color="auto"/>
        <w:bottom w:val="none" w:sz="0" w:space="0" w:color="auto"/>
        <w:right w:val="none" w:sz="0" w:space="0" w:color="auto"/>
      </w:divBdr>
    </w:div>
    <w:div w:id="1550416591">
      <w:bodyDiv w:val="1"/>
      <w:marLeft w:val="0"/>
      <w:marRight w:val="0"/>
      <w:marTop w:val="0"/>
      <w:marBottom w:val="0"/>
      <w:divBdr>
        <w:top w:val="none" w:sz="0" w:space="0" w:color="auto"/>
        <w:left w:val="none" w:sz="0" w:space="0" w:color="auto"/>
        <w:bottom w:val="none" w:sz="0" w:space="0" w:color="auto"/>
        <w:right w:val="none" w:sz="0" w:space="0" w:color="auto"/>
      </w:divBdr>
    </w:div>
    <w:div w:id="1628009225">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719820105">
      <w:bodyDiv w:val="1"/>
      <w:marLeft w:val="0"/>
      <w:marRight w:val="0"/>
      <w:marTop w:val="0"/>
      <w:marBottom w:val="0"/>
      <w:divBdr>
        <w:top w:val="none" w:sz="0" w:space="0" w:color="auto"/>
        <w:left w:val="none" w:sz="0" w:space="0" w:color="auto"/>
        <w:bottom w:val="none" w:sz="0" w:space="0" w:color="auto"/>
        <w:right w:val="none" w:sz="0" w:space="0" w:color="auto"/>
      </w:divBdr>
    </w:div>
    <w:div w:id="1731464832">
      <w:bodyDiv w:val="1"/>
      <w:marLeft w:val="0"/>
      <w:marRight w:val="0"/>
      <w:marTop w:val="0"/>
      <w:marBottom w:val="0"/>
      <w:divBdr>
        <w:top w:val="none" w:sz="0" w:space="0" w:color="auto"/>
        <w:left w:val="none" w:sz="0" w:space="0" w:color="auto"/>
        <w:bottom w:val="none" w:sz="0" w:space="0" w:color="auto"/>
        <w:right w:val="none" w:sz="0" w:space="0" w:color="auto"/>
      </w:divBdr>
    </w:div>
    <w:div w:id="1735621781">
      <w:bodyDiv w:val="1"/>
      <w:marLeft w:val="0"/>
      <w:marRight w:val="0"/>
      <w:marTop w:val="0"/>
      <w:marBottom w:val="0"/>
      <w:divBdr>
        <w:top w:val="none" w:sz="0" w:space="0" w:color="auto"/>
        <w:left w:val="none" w:sz="0" w:space="0" w:color="auto"/>
        <w:bottom w:val="none" w:sz="0" w:space="0" w:color="auto"/>
        <w:right w:val="none" w:sz="0" w:space="0" w:color="auto"/>
      </w:divBdr>
    </w:div>
    <w:div w:id="1774781443">
      <w:bodyDiv w:val="1"/>
      <w:marLeft w:val="0"/>
      <w:marRight w:val="0"/>
      <w:marTop w:val="0"/>
      <w:marBottom w:val="0"/>
      <w:divBdr>
        <w:top w:val="none" w:sz="0" w:space="0" w:color="auto"/>
        <w:left w:val="none" w:sz="0" w:space="0" w:color="auto"/>
        <w:bottom w:val="none" w:sz="0" w:space="0" w:color="auto"/>
        <w:right w:val="none" w:sz="0" w:space="0" w:color="auto"/>
      </w:divBdr>
    </w:div>
    <w:div w:id="1843079111">
      <w:bodyDiv w:val="1"/>
      <w:marLeft w:val="0"/>
      <w:marRight w:val="0"/>
      <w:marTop w:val="0"/>
      <w:marBottom w:val="0"/>
      <w:divBdr>
        <w:top w:val="none" w:sz="0" w:space="0" w:color="auto"/>
        <w:left w:val="none" w:sz="0" w:space="0" w:color="auto"/>
        <w:bottom w:val="none" w:sz="0" w:space="0" w:color="auto"/>
        <w:right w:val="none" w:sz="0" w:space="0" w:color="auto"/>
      </w:divBdr>
    </w:div>
    <w:div w:id="1857771331">
      <w:bodyDiv w:val="1"/>
      <w:marLeft w:val="0"/>
      <w:marRight w:val="0"/>
      <w:marTop w:val="0"/>
      <w:marBottom w:val="0"/>
      <w:divBdr>
        <w:top w:val="none" w:sz="0" w:space="0" w:color="auto"/>
        <w:left w:val="none" w:sz="0" w:space="0" w:color="auto"/>
        <w:bottom w:val="none" w:sz="0" w:space="0" w:color="auto"/>
        <w:right w:val="none" w:sz="0" w:space="0" w:color="auto"/>
      </w:divBdr>
    </w:div>
    <w:div w:id="1897885626">
      <w:bodyDiv w:val="1"/>
      <w:marLeft w:val="0"/>
      <w:marRight w:val="0"/>
      <w:marTop w:val="0"/>
      <w:marBottom w:val="0"/>
      <w:divBdr>
        <w:top w:val="none" w:sz="0" w:space="0" w:color="auto"/>
        <w:left w:val="none" w:sz="0" w:space="0" w:color="auto"/>
        <w:bottom w:val="none" w:sz="0" w:space="0" w:color="auto"/>
        <w:right w:val="none" w:sz="0" w:space="0" w:color="auto"/>
      </w:divBdr>
    </w:div>
    <w:div w:id="1909681597">
      <w:bodyDiv w:val="1"/>
      <w:marLeft w:val="0"/>
      <w:marRight w:val="0"/>
      <w:marTop w:val="0"/>
      <w:marBottom w:val="0"/>
      <w:divBdr>
        <w:top w:val="none" w:sz="0" w:space="0" w:color="auto"/>
        <w:left w:val="none" w:sz="0" w:space="0" w:color="auto"/>
        <w:bottom w:val="none" w:sz="0" w:space="0" w:color="auto"/>
        <w:right w:val="none" w:sz="0" w:space="0" w:color="auto"/>
      </w:divBdr>
    </w:div>
    <w:div w:id="1945770420">
      <w:bodyDiv w:val="1"/>
      <w:marLeft w:val="0"/>
      <w:marRight w:val="0"/>
      <w:marTop w:val="0"/>
      <w:marBottom w:val="0"/>
      <w:divBdr>
        <w:top w:val="none" w:sz="0" w:space="0" w:color="auto"/>
        <w:left w:val="none" w:sz="0" w:space="0" w:color="auto"/>
        <w:bottom w:val="none" w:sz="0" w:space="0" w:color="auto"/>
        <w:right w:val="none" w:sz="0" w:space="0" w:color="auto"/>
      </w:divBdr>
    </w:div>
    <w:div w:id="1968507665">
      <w:bodyDiv w:val="1"/>
      <w:marLeft w:val="0"/>
      <w:marRight w:val="0"/>
      <w:marTop w:val="0"/>
      <w:marBottom w:val="0"/>
      <w:divBdr>
        <w:top w:val="none" w:sz="0" w:space="0" w:color="auto"/>
        <w:left w:val="none" w:sz="0" w:space="0" w:color="auto"/>
        <w:bottom w:val="none" w:sz="0" w:space="0" w:color="auto"/>
        <w:right w:val="none" w:sz="0" w:space="0" w:color="auto"/>
      </w:divBdr>
    </w:div>
    <w:div w:id="1997034223">
      <w:bodyDiv w:val="1"/>
      <w:marLeft w:val="0"/>
      <w:marRight w:val="0"/>
      <w:marTop w:val="0"/>
      <w:marBottom w:val="0"/>
      <w:divBdr>
        <w:top w:val="none" w:sz="0" w:space="0" w:color="auto"/>
        <w:left w:val="none" w:sz="0" w:space="0" w:color="auto"/>
        <w:bottom w:val="none" w:sz="0" w:space="0" w:color="auto"/>
        <w:right w:val="none" w:sz="0" w:space="0" w:color="auto"/>
      </w:divBdr>
    </w:div>
    <w:div w:id="2001540206">
      <w:bodyDiv w:val="1"/>
      <w:marLeft w:val="0"/>
      <w:marRight w:val="0"/>
      <w:marTop w:val="0"/>
      <w:marBottom w:val="0"/>
      <w:divBdr>
        <w:top w:val="none" w:sz="0" w:space="0" w:color="auto"/>
        <w:left w:val="none" w:sz="0" w:space="0" w:color="auto"/>
        <w:bottom w:val="none" w:sz="0" w:space="0" w:color="auto"/>
        <w:right w:val="none" w:sz="0" w:space="0" w:color="auto"/>
      </w:divBdr>
      <w:divsChild>
        <w:div w:id="1121611243">
          <w:marLeft w:val="0"/>
          <w:marRight w:val="0"/>
          <w:marTop w:val="0"/>
          <w:marBottom w:val="0"/>
          <w:divBdr>
            <w:top w:val="none" w:sz="0" w:space="0" w:color="auto"/>
            <w:left w:val="none" w:sz="0" w:space="0" w:color="auto"/>
            <w:bottom w:val="none" w:sz="0" w:space="0" w:color="auto"/>
            <w:right w:val="none" w:sz="0" w:space="0" w:color="auto"/>
          </w:divBdr>
          <w:divsChild>
            <w:div w:id="1832795192">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28329410">
                      <w:marLeft w:val="0"/>
                      <w:marRight w:val="0"/>
                      <w:marTop w:val="0"/>
                      <w:marBottom w:val="0"/>
                      <w:divBdr>
                        <w:top w:val="none" w:sz="0" w:space="0" w:color="auto"/>
                        <w:left w:val="none" w:sz="0" w:space="0" w:color="auto"/>
                        <w:bottom w:val="none" w:sz="0" w:space="0" w:color="auto"/>
                        <w:right w:val="none" w:sz="0" w:space="0" w:color="auto"/>
                      </w:divBdr>
                      <w:divsChild>
                        <w:div w:id="164906483">
                          <w:marLeft w:val="0"/>
                          <w:marRight w:val="0"/>
                          <w:marTop w:val="0"/>
                          <w:marBottom w:val="0"/>
                          <w:divBdr>
                            <w:top w:val="none" w:sz="0" w:space="0" w:color="auto"/>
                            <w:left w:val="none" w:sz="0" w:space="0" w:color="auto"/>
                            <w:bottom w:val="none" w:sz="0" w:space="0" w:color="auto"/>
                            <w:right w:val="none" w:sz="0" w:space="0" w:color="auto"/>
                          </w:divBdr>
                          <w:divsChild>
                            <w:div w:id="237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28731">
                  <w:marLeft w:val="0"/>
                  <w:marRight w:val="0"/>
                  <w:marTop w:val="0"/>
                  <w:marBottom w:val="0"/>
                  <w:divBdr>
                    <w:top w:val="none" w:sz="0" w:space="0" w:color="auto"/>
                    <w:left w:val="none" w:sz="0" w:space="0" w:color="auto"/>
                    <w:bottom w:val="none" w:sz="0" w:space="0" w:color="auto"/>
                    <w:right w:val="none" w:sz="0" w:space="0" w:color="auto"/>
                  </w:divBdr>
                  <w:divsChild>
                    <w:div w:id="3774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48739">
      <w:bodyDiv w:val="1"/>
      <w:marLeft w:val="0"/>
      <w:marRight w:val="0"/>
      <w:marTop w:val="0"/>
      <w:marBottom w:val="0"/>
      <w:divBdr>
        <w:top w:val="none" w:sz="0" w:space="0" w:color="auto"/>
        <w:left w:val="none" w:sz="0" w:space="0" w:color="auto"/>
        <w:bottom w:val="none" w:sz="0" w:space="0" w:color="auto"/>
        <w:right w:val="none" w:sz="0" w:space="0" w:color="auto"/>
      </w:divBdr>
    </w:div>
    <w:div w:id="2053335695">
      <w:bodyDiv w:val="1"/>
      <w:marLeft w:val="0"/>
      <w:marRight w:val="0"/>
      <w:marTop w:val="0"/>
      <w:marBottom w:val="0"/>
      <w:divBdr>
        <w:top w:val="none" w:sz="0" w:space="0" w:color="auto"/>
        <w:left w:val="none" w:sz="0" w:space="0" w:color="auto"/>
        <w:bottom w:val="none" w:sz="0" w:space="0" w:color="auto"/>
        <w:right w:val="none" w:sz="0" w:space="0" w:color="auto"/>
      </w:divBdr>
    </w:div>
    <w:div w:id="2060088015">
      <w:bodyDiv w:val="1"/>
      <w:marLeft w:val="0"/>
      <w:marRight w:val="0"/>
      <w:marTop w:val="0"/>
      <w:marBottom w:val="0"/>
      <w:divBdr>
        <w:top w:val="none" w:sz="0" w:space="0" w:color="auto"/>
        <w:left w:val="none" w:sz="0" w:space="0" w:color="auto"/>
        <w:bottom w:val="none" w:sz="0" w:space="0" w:color="auto"/>
        <w:right w:val="none" w:sz="0" w:space="0" w:color="auto"/>
      </w:divBdr>
    </w:div>
    <w:div w:id="2069180022">
      <w:bodyDiv w:val="1"/>
      <w:marLeft w:val="0"/>
      <w:marRight w:val="0"/>
      <w:marTop w:val="0"/>
      <w:marBottom w:val="0"/>
      <w:divBdr>
        <w:top w:val="none" w:sz="0" w:space="0" w:color="auto"/>
        <w:left w:val="none" w:sz="0" w:space="0" w:color="auto"/>
        <w:bottom w:val="none" w:sz="0" w:space="0" w:color="auto"/>
        <w:right w:val="none" w:sz="0" w:space="0" w:color="auto"/>
      </w:divBdr>
    </w:div>
    <w:div w:id="2089617332">
      <w:bodyDiv w:val="1"/>
      <w:marLeft w:val="0"/>
      <w:marRight w:val="0"/>
      <w:marTop w:val="0"/>
      <w:marBottom w:val="0"/>
      <w:divBdr>
        <w:top w:val="none" w:sz="0" w:space="0" w:color="auto"/>
        <w:left w:val="none" w:sz="0" w:space="0" w:color="auto"/>
        <w:bottom w:val="none" w:sz="0" w:space="0" w:color="auto"/>
        <w:right w:val="none" w:sz="0" w:space="0" w:color="auto"/>
      </w:divBdr>
      <w:divsChild>
        <w:div w:id="1499543799">
          <w:marLeft w:val="0"/>
          <w:marRight w:val="0"/>
          <w:marTop w:val="0"/>
          <w:marBottom w:val="0"/>
          <w:divBdr>
            <w:top w:val="none" w:sz="0" w:space="0" w:color="auto"/>
            <w:left w:val="none" w:sz="0" w:space="0" w:color="auto"/>
            <w:bottom w:val="none" w:sz="0" w:space="0" w:color="auto"/>
            <w:right w:val="none" w:sz="0" w:space="0" w:color="auto"/>
          </w:divBdr>
          <w:divsChild>
            <w:div w:id="1335960701">
              <w:marLeft w:val="0"/>
              <w:marRight w:val="0"/>
              <w:marTop w:val="0"/>
              <w:marBottom w:val="0"/>
              <w:divBdr>
                <w:top w:val="none" w:sz="0" w:space="0" w:color="auto"/>
                <w:left w:val="none" w:sz="0" w:space="0" w:color="auto"/>
                <w:bottom w:val="none" w:sz="0" w:space="0" w:color="auto"/>
                <w:right w:val="none" w:sz="0" w:space="0" w:color="auto"/>
              </w:divBdr>
              <w:divsChild>
                <w:div w:id="49154447">
                  <w:marLeft w:val="0"/>
                  <w:marRight w:val="0"/>
                  <w:marTop w:val="0"/>
                  <w:marBottom w:val="0"/>
                  <w:divBdr>
                    <w:top w:val="none" w:sz="0" w:space="0" w:color="auto"/>
                    <w:left w:val="none" w:sz="0" w:space="0" w:color="auto"/>
                    <w:bottom w:val="none" w:sz="0" w:space="0" w:color="auto"/>
                    <w:right w:val="none" w:sz="0" w:space="0" w:color="auto"/>
                  </w:divBdr>
                  <w:divsChild>
                    <w:div w:id="847789901">
                      <w:marLeft w:val="0"/>
                      <w:marRight w:val="0"/>
                      <w:marTop w:val="0"/>
                      <w:marBottom w:val="0"/>
                      <w:divBdr>
                        <w:top w:val="none" w:sz="0" w:space="0" w:color="auto"/>
                        <w:left w:val="none" w:sz="0" w:space="0" w:color="auto"/>
                        <w:bottom w:val="none" w:sz="0" w:space="0" w:color="auto"/>
                        <w:right w:val="none" w:sz="0" w:space="0" w:color="auto"/>
                      </w:divBdr>
                      <w:divsChild>
                        <w:div w:id="898978613">
                          <w:marLeft w:val="0"/>
                          <w:marRight w:val="0"/>
                          <w:marTop w:val="0"/>
                          <w:marBottom w:val="0"/>
                          <w:divBdr>
                            <w:top w:val="none" w:sz="0" w:space="0" w:color="auto"/>
                            <w:left w:val="none" w:sz="0" w:space="0" w:color="auto"/>
                            <w:bottom w:val="none" w:sz="0" w:space="0" w:color="auto"/>
                            <w:right w:val="none" w:sz="0" w:space="0" w:color="auto"/>
                          </w:divBdr>
                          <w:divsChild>
                            <w:div w:id="21473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3438">
                  <w:marLeft w:val="0"/>
                  <w:marRight w:val="0"/>
                  <w:marTop w:val="0"/>
                  <w:marBottom w:val="0"/>
                  <w:divBdr>
                    <w:top w:val="none" w:sz="0" w:space="0" w:color="auto"/>
                    <w:left w:val="none" w:sz="0" w:space="0" w:color="auto"/>
                    <w:bottom w:val="none" w:sz="0" w:space="0" w:color="auto"/>
                    <w:right w:val="none" w:sz="0" w:space="0" w:color="auto"/>
                  </w:divBdr>
                  <w:divsChild>
                    <w:div w:id="8154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28396">
      <w:bodyDiv w:val="1"/>
      <w:marLeft w:val="0"/>
      <w:marRight w:val="0"/>
      <w:marTop w:val="0"/>
      <w:marBottom w:val="0"/>
      <w:divBdr>
        <w:top w:val="none" w:sz="0" w:space="0" w:color="auto"/>
        <w:left w:val="none" w:sz="0" w:space="0" w:color="auto"/>
        <w:bottom w:val="none" w:sz="0" w:space="0" w:color="auto"/>
        <w:right w:val="none" w:sz="0" w:space="0" w:color="auto"/>
      </w:divBdr>
    </w:div>
    <w:div w:id="21250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0">
                <a:solidFill>
                  <a:schemeClr val="tx1"/>
                </a:solidFill>
              </a:rPr>
              <a:t> </a:t>
            </a:r>
            <a:endParaRPr lang="en-US" sz="12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Standard germination %</c:v>
                </c:pt>
              </c:strCache>
            </c:strRef>
          </c:tx>
          <c:spPr>
            <a:solidFill>
              <a:schemeClr val="accent2"/>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Sheet1!$B$2:$B$17</c:f>
              <c:numCache>
                <c:formatCode>General</c:formatCode>
                <c:ptCount val="16"/>
                <c:pt idx="0">
                  <c:v>0</c:v>
                </c:pt>
                <c:pt idx="1">
                  <c:v>85.71</c:v>
                </c:pt>
                <c:pt idx="2">
                  <c:v>91.04</c:v>
                </c:pt>
                <c:pt idx="3">
                  <c:v>92.38</c:v>
                </c:pt>
                <c:pt idx="4">
                  <c:v>88.98</c:v>
                </c:pt>
                <c:pt idx="5">
                  <c:v>92.09</c:v>
                </c:pt>
                <c:pt idx="6">
                  <c:v>88.93</c:v>
                </c:pt>
                <c:pt idx="7">
                  <c:v>91.94</c:v>
                </c:pt>
                <c:pt idx="8">
                  <c:v>87.79</c:v>
                </c:pt>
                <c:pt idx="9">
                  <c:v>90.05</c:v>
                </c:pt>
                <c:pt idx="10">
                  <c:v>87.02</c:v>
                </c:pt>
                <c:pt idx="11">
                  <c:v>86.59</c:v>
                </c:pt>
                <c:pt idx="12">
                  <c:v>88.59</c:v>
                </c:pt>
                <c:pt idx="13">
                  <c:v>91.91</c:v>
                </c:pt>
                <c:pt idx="14">
                  <c:v>87.18</c:v>
                </c:pt>
                <c:pt idx="15">
                  <c:v>89.29</c:v>
                </c:pt>
              </c:numCache>
            </c:numRef>
          </c:val>
          <c:extLst>
            <c:ext xmlns:c16="http://schemas.microsoft.com/office/drawing/2014/chart" uri="{C3380CC4-5D6E-409C-BE32-E72D297353CC}">
              <c16:uniqueId val="{00000000-644D-48C6-ABFC-18EE1ACCA974}"/>
            </c:ext>
          </c:extLst>
        </c:ser>
        <c:ser>
          <c:idx val="1"/>
          <c:order val="1"/>
          <c:tx>
            <c:strRef>
              <c:f>Sheet1!$C$1</c:f>
              <c:strCache>
                <c:ptCount val="1"/>
                <c:pt idx="0">
                  <c:v>Peak value of germination %</c:v>
                </c:pt>
              </c:strCache>
            </c:strRef>
          </c:tx>
          <c:spPr>
            <a:solidFill>
              <a:schemeClr val="accent4"/>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Sheet1!$C$2:$C$17</c:f>
              <c:numCache>
                <c:formatCode>General</c:formatCode>
                <c:ptCount val="16"/>
                <c:pt idx="0">
                  <c:v>0</c:v>
                </c:pt>
                <c:pt idx="1">
                  <c:v>14.44</c:v>
                </c:pt>
                <c:pt idx="2">
                  <c:v>18.68</c:v>
                </c:pt>
                <c:pt idx="3">
                  <c:v>20.8</c:v>
                </c:pt>
                <c:pt idx="4">
                  <c:v>16.45</c:v>
                </c:pt>
                <c:pt idx="5">
                  <c:v>20.04</c:v>
                </c:pt>
                <c:pt idx="6">
                  <c:v>16.3</c:v>
                </c:pt>
                <c:pt idx="7">
                  <c:v>19.59</c:v>
                </c:pt>
                <c:pt idx="8">
                  <c:v>15.96</c:v>
                </c:pt>
                <c:pt idx="9">
                  <c:v>18.059999999999999</c:v>
                </c:pt>
                <c:pt idx="10">
                  <c:v>14.98</c:v>
                </c:pt>
                <c:pt idx="11">
                  <c:v>14.95</c:v>
                </c:pt>
                <c:pt idx="12">
                  <c:v>16.38</c:v>
                </c:pt>
                <c:pt idx="13">
                  <c:v>19.329999999999998</c:v>
                </c:pt>
                <c:pt idx="14">
                  <c:v>15.44</c:v>
                </c:pt>
                <c:pt idx="15">
                  <c:v>17.12</c:v>
                </c:pt>
              </c:numCache>
            </c:numRef>
          </c:val>
          <c:extLst>
            <c:ext xmlns:c16="http://schemas.microsoft.com/office/drawing/2014/chart" uri="{C3380CC4-5D6E-409C-BE32-E72D297353CC}">
              <c16:uniqueId val="{00000001-644D-48C6-ABFC-18EE1ACCA974}"/>
            </c:ext>
          </c:extLst>
        </c:ser>
        <c:ser>
          <c:idx val="2"/>
          <c:order val="2"/>
          <c:tx>
            <c:strRef>
              <c:f>Sheet1!$D$1</c:f>
              <c:strCache>
                <c:ptCount val="1"/>
                <c:pt idx="0">
                  <c:v>Mean daily germination %</c:v>
                </c:pt>
              </c:strCache>
            </c:strRef>
          </c:tx>
          <c:spPr>
            <a:solidFill>
              <a:schemeClr val="accent6"/>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Sheet1!$D$2:$D$17</c:f>
              <c:numCache>
                <c:formatCode>General</c:formatCode>
                <c:ptCount val="16"/>
                <c:pt idx="0">
                  <c:v>0</c:v>
                </c:pt>
                <c:pt idx="1">
                  <c:v>10.72</c:v>
                </c:pt>
                <c:pt idx="2">
                  <c:v>11.38</c:v>
                </c:pt>
                <c:pt idx="3">
                  <c:v>11.55</c:v>
                </c:pt>
                <c:pt idx="4">
                  <c:v>11.13</c:v>
                </c:pt>
                <c:pt idx="5">
                  <c:v>11.5</c:v>
                </c:pt>
                <c:pt idx="6">
                  <c:v>11.12</c:v>
                </c:pt>
                <c:pt idx="7">
                  <c:v>11.51</c:v>
                </c:pt>
                <c:pt idx="8">
                  <c:v>10.97</c:v>
                </c:pt>
                <c:pt idx="9">
                  <c:v>11.26</c:v>
                </c:pt>
                <c:pt idx="10">
                  <c:v>10.88</c:v>
                </c:pt>
                <c:pt idx="11">
                  <c:v>10.82</c:v>
                </c:pt>
                <c:pt idx="12">
                  <c:v>11.08</c:v>
                </c:pt>
                <c:pt idx="13">
                  <c:v>11.49</c:v>
                </c:pt>
                <c:pt idx="14">
                  <c:v>10.9</c:v>
                </c:pt>
                <c:pt idx="15">
                  <c:v>11.16</c:v>
                </c:pt>
              </c:numCache>
            </c:numRef>
          </c:val>
          <c:extLst>
            <c:ext xmlns:c16="http://schemas.microsoft.com/office/drawing/2014/chart" uri="{C3380CC4-5D6E-409C-BE32-E72D297353CC}">
              <c16:uniqueId val="{00000002-644D-48C6-ABFC-18EE1ACCA974}"/>
            </c:ext>
          </c:extLst>
        </c:ser>
        <c:ser>
          <c:idx val="3"/>
          <c:order val="3"/>
          <c:tx>
            <c:strRef>
              <c:f>Sheet1!$E$1</c:f>
              <c:strCache>
                <c:ptCount val="1"/>
                <c:pt idx="0">
                  <c:v>Relative growth index</c:v>
                </c:pt>
              </c:strCache>
            </c:strRef>
          </c:tx>
          <c:spPr>
            <a:solidFill>
              <a:schemeClr val="accent2">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Sheet1!$E$2:$E$17</c:f>
              <c:numCache>
                <c:formatCode>General</c:formatCode>
                <c:ptCount val="16"/>
                <c:pt idx="0">
                  <c:v>0</c:v>
                </c:pt>
                <c:pt idx="1">
                  <c:v>61.14</c:v>
                </c:pt>
                <c:pt idx="2">
                  <c:v>70.430000000000007</c:v>
                </c:pt>
                <c:pt idx="3">
                  <c:v>72.540000000000006</c:v>
                </c:pt>
                <c:pt idx="4">
                  <c:v>68.67</c:v>
                </c:pt>
                <c:pt idx="5">
                  <c:v>71.36</c:v>
                </c:pt>
                <c:pt idx="6">
                  <c:v>66.19</c:v>
                </c:pt>
                <c:pt idx="7">
                  <c:v>70.67</c:v>
                </c:pt>
                <c:pt idx="8">
                  <c:v>67.25</c:v>
                </c:pt>
                <c:pt idx="9">
                  <c:v>68.03</c:v>
                </c:pt>
                <c:pt idx="10">
                  <c:v>66.36</c:v>
                </c:pt>
                <c:pt idx="11">
                  <c:v>65.84</c:v>
                </c:pt>
                <c:pt idx="12">
                  <c:v>65.78</c:v>
                </c:pt>
                <c:pt idx="13">
                  <c:v>70.42</c:v>
                </c:pt>
                <c:pt idx="14">
                  <c:v>66.03</c:v>
                </c:pt>
                <c:pt idx="15">
                  <c:v>67.39</c:v>
                </c:pt>
              </c:numCache>
            </c:numRef>
          </c:val>
          <c:extLst>
            <c:ext xmlns:c16="http://schemas.microsoft.com/office/drawing/2014/chart" uri="{C3380CC4-5D6E-409C-BE32-E72D297353CC}">
              <c16:uniqueId val="{00000003-644D-48C6-ABFC-18EE1ACCA974}"/>
            </c:ext>
          </c:extLst>
        </c:ser>
        <c:ser>
          <c:idx val="4"/>
          <c:order val="4"/>
          <c:tx>
            <c:strRef>
              <c:f>Sheet1!$F$1</c:f>
              <c:strCache>
                <c:ptCount val="1"/>
                <c:pt idx="0">
                  <c:v>Germination value</c:v>
                </c:pt>
              </c:strCache>
            </c:strRef>
          </c:tx>
          <c:spPr>
            <a:solidFill>
              <a:schemeClr val="accent4">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Sheet1!$F$2:$F$17</c:f>
              <c:numCache>
                <c:formatCode>General</c:formatCode>
                <c:ptCount val="16"/>
                <c:pt idx="0">
                  <c:v>0</c:v>
                </c:pt>
                <c:pt idx="1">
                  <c:v>154.65</c:v>
                </c:pt>
                <c:pt idx="2">
                  <c:v>225.54</c:v>
                </c:pt>
                <c:pt idx="3">
                  <c:v>240.21</c:v>
                </c:pt>
                <c:pt idx="4">
                  <c:v>182.94</c:v>
                </c:pt>
                <c:pt idx="5">
                  <c:v>230.53</c:v>
                </c:pt>
                <c:pt idx="6">
                  <c:v>181.18</c:v>
                </c:pt>
                <c:pt idx="7">
                  <c:v>225.54</c:v>
                </c:pt>
                <c:pt idx="8">
                  <c:v>175.06</c:v>
                </c:pt>
                <c:pt idx="9">
                  <c:v>203.3</c:v>
                </c:pt>
                <c:pt idx="10">
                  <c:v>162.84</c:v>
                </c:pt>
                <c:pt idx="11">
                  <c:v>161.69</c:v>
                </c:pt>
                <c:pt idx="12">
                  <c:v>181.3</c:v>
                </c:pt>
                <c:pt idx="13">
                  <c:v>222.13</c:v>
                </c:pt>
                <c:pt idx="14">
                  <c:v>168.2</c:v>
                </c:pt>
                <c:pt idx="15">
                  <c:v>191.12</c:v>
                </c:pt>
              </c:numCache>
            </c:numRef>
          </c:val>
          <c:extLst>
            <c:ext xmlns:c16="http://schemas.microsoft.com/office/drawing/2014/chart" uri="{C3380CC4-5D6E-409C-BE32-E72D297353CC}">
              <c16:uniqueId val="{00000004-644D-48C6-ABFC-18EE1ACCA974}"/>
            </c:ext>
          </c:extLst>
        </c:ser>
        <c:ser>
          <c:idx val="5"/>
          <c:order val="5"/>
          <c:tx>
            <c:strRef>
              <c:f>Sheet1!$G$1</c:f>
              <c:strCache>
                <c:ptCount val="1"/>
                <c:pt idx="0">
                  <c:v>Seed viability %</c:v>
                </c:pt>
              </c:strCache>
            </c:strRef>
          </c:tx>
          <c:spPr>
            <a:solidFill>
              <a:schemeClr val="accent6">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Sheet1!$G$2:$G$17</c:f>
              <c:numCache>
                <c:formatCode>General</c:formatCode>
                <c:ptCount val="16"/>
                <c:pt idx="0">
                  <c:v>0</c:v>
                </c:pt>
                <c:pt idx="1">
                  <c:v>85.58</c:v>
                </c:pt>
                <c:pt idx="2">
                  <c:v>91.42</c:v>
                </c:pt>
                <c:pt idx="3">
                  <c:v>94.09</c:v>
                </c:pt>
                <c:pt idx="4">
                  <c:v>89.93</c:v>
                </c:pt>
                <c:pt idx="5">
                  <c:v>93.47</c:v>
                </c:pt>
                <c:pt idx="6">
                  <c:v>89.52</c:v>
                </c:pt>
                <c:pt idx="7">
                  <c:v>92.64</c:v>
                </c:pt>
                <c:pt idx="8">
                  <c:v>88.55</c:v>
                </c:pt>
                <c:pt idx="9">
                  <c:v>90.87</c:v>
                </c:pt>
                <c:pt idx="10">
                  <c:v>88.07</c:v>
                </c:pt>
                <c:pt idx="11">
                  <c:v>87.6</c:v>
                </c:pt>
                <c:pt idx="12">
                  <c:v>89.35</c:v>
                </c:pt>
                <c:pt idx="13">
                  <c:v>92.37</c:v>
                </c:pt>
                <c:pt idx="14">
                  <c:v>88.52</c:v>
                </c:pt>
                <c:pt idx="15">
                  <c:v>90.06</c:v>
                </c:pt>
              </c:numCache>
            </c:numRef>
          </c:val>
          <c:extLst>
            <c:ext xmlns:c16="http://schemas.microsoft.com/office/drawing/2014/chart" uri="{C3380CC4-5D6E-409C-BE32-E72D297353CC}">
              <c16:uniqueId val="{00000005-644D-48C6-ABFC-18EE1ACCA974}"/>
            </c:ext>
          </c:extLst>
        </c:ser>
        <c:ser>
          <c:idx val="6"/>
          <c:order val="6"/>
          <c:tx>
            <c:strRef>
              <c:f>Sheet1!$H$1</c:f>
              <c:strCache>
                <c:ptCount val="1"/>
                <c:pt idx="0">
                  <c:v>Seedling length (cm)</c:v>
                </c:pt>
              </c:strCache>
            </c:strRef>
          </c:tx>
          <c:spPr>
            <a:solidFill>
              <a:schemeClr val="accent2">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Sheet1!$H$2:$H$17</c:f>
              <c:numCache>
                <c:formatCode>General</c:formatCode>
                <c:ptCount val="16"/>
                <c:pt idx="0">
                  <c:v>0</c:v>
                </c:pt>
                <c:pt idx="1">
                  <c:v>6.06</c:v>
                </c:pt>
                <c:pt idx="2">
                  <c:v>6.94</c:v>
                </c:pt>
                <c:pt idx="3">
                  <c:v>10.54</c:v>
                </c:pt>
                <c:pt idx="4">
                  <c:v>6.83</c:v>
                </c:pt>
                <c:pt idx="5">
                  <c:v>9.7799999999999994</c:v>
                </c:pt>
                <c:pt idx="6">
                  <c:v>6.82</c:v>
                </c:pt>
                <c:pt idx="7">
                  <c:v>9.7799999999999994</c:v>
                </c:pt>
                <c:pt idx="8">
                  <c:v>6.7</c:v>
                </c:pt>
                <c:pt idx="9">
                  <c:v>6.9</c:v>
                </c:pt>
                <c:pt idx="10">
                  <c:v>6.33</c:v>
                </c:pt>
                <c:pt idx="11">
                  <c:v>6.15</c:v>
                </c:pt>
                <c:pt idx="12">
                  <c:v>6.81</c:v>
                </c:pt>
                <c:pt idx="13">
                  <c:v>8.8000000000000007</c:v>
                </c:pt>
                <c:pt idx="14">
                  <c:v>6.38</c:v>
                </c:pt>
                <c:pt idx="15">
                  <c:v>6.85</c:v>
                </c:pt>
              </c:numCache>
            </c:numRef>
          </c:val>
          <c:extLst>
            <c:ext xmlns:c16="http://schemas.microsoft.com/office/drawing/2014/chart" uri="{C3380CC4-5D6E-409C-BE32-E72D297353CC}">
              <c16:uniqueId val="{00000006-644D-48C6-ABFC-18EE1ACCA974}"/>
            </c:ext>
          </c:extLst>
        </c:ser>
        <c:ser>
          <c:idx val="7"/>
          <c:order val="7"/>
          <c:tx>
            <c:strRef>
              <c:f>Sheet1!$I$1</c:f>
              <c:strCache>
                <c:ptCount val="1"/>
                <c:pt idx="0">
                  <c:v>Seedling dry weight (g)</c:v>
                </c:pt>
              </c:strCache>
            </c:strRef>
          </c:tx>
          <c:spPr>
            <a:solidFill>
              <a:schemeClr val="accent4">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Sheet1!$I$2:$I$17</c:f>
              <c:numCache>
                <c:formatCode>General</c:formatCode>
                <c:ptCount val="16"/>
                <c:pt idx="0">
                  <c:v>0</c:v>
                </c:pt>
                <c:pt idx="1">
                  <c:v>1.34</c:v>
                </c:pt>
                <c:pt idx="2">
                  <c:v>1.51</c:v>
                </c:pt>
                <c:pt idx="3">
                  <c:v>1.81</c:v>
                </c:pt>
                <c:pt idx="4">
                  <c:v>1.46</c:v>
                </c:pt>
                <c:pt idx="5">
                  <c:v>1.72</c:v>
                </c:pt>
                <c:pt idx="6">
                  <c:v>1.41</c:v>
                </c:pt>
                <c:pt idx="7">
                  <c:v>1.53</c:v>
                </c:pt>
                <c:pt idx="8">
                  <c:v>1.39</c:v>
                </c:pt>
                <c:pt idx="9">
                  <c:v>1.5</c:v>
                </c:pt>
                <c:pt idx="10">
                  <c:v>1.37</c:v>
                </c:pt>
                <c:pt idx="11">
                  <c:v>1.37</c:v>
                </c:pt>
                <c:pt idx="12">
                  <c:v>1.4</c:v>
                </c:pt>
                <c:pt idx="13">
                  <c:v>1.52</c:v>
                </c:pt>
                <c:pt idx="14">
                  <c:v>1.38</c:v>
                </c:pt>
                <c:pt idx="15">
                  <c:v>1.48</c:v>
                </c:pt>
              </c:numCache>
            </c:numRef>
          </c:val>
          <c:extLst>
            <c:ext xmlns:c16="http://schemas.microsoft.com/office/drawing/2014/chart" uri="{C3380CC4-5D6E-409C-BE32-E72D297353CC}">
              <c16:uniqueId val="{00000007-644D-48C6-ABFC-18EE1ACCA974}"/>
            </c:ext>
          </c:extLst>
        </c:ser>
        <c:ser>
          <c:idx val="8"/>
          <c:order val="8"/>
          <c:tx>
            <c:strRef>
              <c:f>Sheet1!$J$1</c:f>
              <c:strCache>
                <c:ptCount val="1"/>
                <c:pt idx="0">
                  <c:v>Vigour index- I</c:v>
                </c:pt>
              </c:strCache>
            </c:strRef>
          </c:tx>
          <c:spPr>
            <a:solidFill>
              <a:schemeClr val="accent6">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Sheet1!$J$2:$J$17</c:f>
              <c:numCache>
                <c:formatCode>General</c:formatCode>
                <c:ptCount val="16"/>
                <c:pt idx="0">
                  <c:v>0</c:v>
                </c:pt>
                <c:pt idx="1">
                  <c:v>519.41</c:v>
                </c:pt>
                <c:pt idx="2">
                  <c:v>619.86</c:v>
                </c:pt>
                <c:pt idx="3">
                  <c:v>970.02</c:v>
                </c:pt>
                <c:pt idx="4">
                  <c:v>609.76</c:v>
                </c:pt>
                <c:pt idx="5">
                  <c:v>901.13</c:v>
                </c:pt>
                <c:pt idx="6">
                  <c:v>603.96</c:v>
                </c:pt>
                <c:pt idx="7">
                  <c:v>902.46</c:v>
                </c:pt>
                <c:pt idx="8">
                  <c:v>587.97</c:v>
                </c:pt>
                <c:pt idx="9">
                  <c:v>612.4</c:v>
                </c:pt>
                <c:pt idx="10">
                  <c:v>547.74</c:v>
                </c:pt>
                <c:pt idx="11">
                  <c:v>537.67999999999995</c:v>
                </c:pt>
                <c:pt idx="12">
                  <c:v>604.36</c:v>
                </c:pt>
                <c:pt idx="13">
                  <c:v>809.18</c:v>
                </c:pt>
                <c:pt idx="14">
                  <c:v>569.62</c:v>
                </c:pt>
                <c:pt idx="15">
                  <c:v>614.79999999999995</c:v>
                </c:pt>
              </c:numCache>
            </c:numRef>
          </c:val>
          <c:extLst>
            <c:ext xmlns:c16="http://schemas.microsoft.com/office/drawing/2014/chart" uri="{C3380CC4-5D6E-409C-BE32-E72D297353CC}">
              <c16:uniqueId val="{00000008-644D-48C6-ABFC-18EE1ACCA974}"/>
            </c:ext>
          </c:extLst>
        </c:ser>
        <c:ser>
          <c:idx val="9"/>
          <c:order val="9"/>
          <c:tx>
            <c:strRef>
              <c:f>Sheet1!$K$1</c:f>
              <c:strCache>
                <c:ptCount val="1"/>
                <c:pt idx="0">
                  <c:v>Vigour index- II</c:v>
                </c:pt>
              </c:strCache>
            </c:strRef>
          </c:tx>
          <c:spPr>
            <a:solidFill>
              <a:schemeClr val="accent2">
                <a:lumMod val="8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Sheet1!$K$2:$K$17</c:f>
              <c:numCache>
                <c:formatCode>General</c:formatCode>
                <c:ptCount val="16"/>
                <c:pt idx="0">
                  <c:v>0</c:v>
                </c:pt>
                <c:pt idx="1">
                  <c:v>114.77</c:v>
                </c:pt>
                <c:pt idx="2">
                  <c:v>132.94999999999999</c:v>
                </c:pt>
                <c:pt idx="3">
                  <c:v>166.9</c:v>
                </c:pt>
                <c:pt idx="4">
                  <c:v>130.80000000000001</c:v>
                </c:pt>
                <c:pt idx="5">
                  <c:v>158.57</c:v>
                </c:pt>
                <c:pt idx="6">
                  <c:v>127.94</c:v>
                </c:pt>
                <c:pt idx="7">
                  <c:v>141.38999999999999</c:v>
                </c:pt>
                <c:pt idx="8">
                  <c:v>123.28</c:v>
                </c:pt>
                <c:pt idx="9">
                  <c:v>130.35</c:v>
                </c:pt>
                <c:pt idx="10">
                  <c:v>119.03</c:v>
                </c:pt>
                <c:pt idx="11">
                  <c:v>118.68</c:v>
                </c:pt>
                <c:pt idx="12">
                  <c:v>123.65</c:v>
                </c:pt>
                <c:pt idx="13">
                  <c:v>139.72999999999999</c:v>
                </c:pt>
                <c:pt idx="14">
                  <c:v>121.66</c:v>
                </c:pt>
                <c:pt idx="15">
                  <c:v>131.11000000000001</c:v>
                </c:pt>
              </c:numCache>
            </c:numRef>
          </c:val>
          <c:extLst>
            <c:ext xmlns:c16="http://schemas.microsoft.com/office/drawing/2014/chart" uri="{C3380CC4-5D6E-409C-BE32-E72D297353CC}">
              <c16:uniqueId val="{00000009-644D-48C6-ABFC-18EE1ACCA974}"/>
            </c:ext>
          </c:extLst>
        </c:ser>
        <c:dLbls>
          <c:showLegendKey val="0"/>
          <c:showVal val="0"/>
          <c:showCatName val="0"/>
          <c:showSerName val="0"/>
          <c:showPercent val="0"/>
          <c:showBubbleSize val="0"/>
        </c:dLbls>
        <c:gapWidth val="0"/>
        <c:overlap val="56"/>
        <c:axId val="1876339168"/>
        <c:axId val="1876337728"/>
      </c:barChart>
      <c:catAx>
        <c:axId val="187633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6337728"/>
        <c:crosses val="autoZero"/>
        <c:auto val="1"/>
        <c:lblAlgn val="ctr"/>
        <c:lblOffset val="100"/>
        <c:noMultiLvlLbl val="0"/>
      </c:catAx>
      <c:valAx>
        <c:axId val="187633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6339168"/>
        <c:crosses val="autoZero"/>
        <c:crossBetween val="between"/>
      </c:valAx>
      <c:spPr>
        <a:noFill/>
        <a:ln w="25400">
          <a:noFill/>
        </a:ln>
        <a:effectLst/>
      </c:spPr>
    </c:plotArea>
    <c:legend>
      <c:legendPos val="b"/>
      <c:layout>
        <c:manualLayout>
          <c:xMode val="edge"/>
          <c:yMode val="edge"/>
          <c:x val="2.2147458840372235E-2"/>
          <c:y val="0.80356332577071932"/>
          <c:w val="0.95883987855750008"/>
          <c:h val="0.181908829192961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216E-6624-4B9B-9391-F03343C9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13</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SDI 1089</cp:lastModifiedBy>
  <cp:revision>1046</cp:revision>
  <dcterms:created xsi:type="dcterms:W3CDTF">2025-07-08T16:59:00Z</dcterms:created>
  <dcterms:modified xsi:type="dcterms:W3CDTF">2025-10-06T11:49:00Z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cb4f7e28-b0ae-4bfb-b893-9c9c01640b57</vt:lpwstr>
  </property>
</Properties>
</file>