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50BBA" w14:textId="5A24455F" w:rsidR="00644F1C" w:rsidRPr="00441B29" w:rsidRDefault="00D36A68" w:rsidP="00BA137F">
      <w:pPr>
        <w:pStyle w:val="Author"/>
        <w:spacing w:line="240" w:lineRule="auto"/>
        <w:jc w:val="both"/>
        <w:rPr>
          <w:rFonts w:ascii="Arial" w:hAnsi="Arial" w:cs="Arial"/>
          <w:bCs/>
          <w:iCs/>
          <w:kern w:val="28"/>
          <w:sz w:val="36"/>
        </w:rPr>
      </w:pPr>
      <w:r w:rsidRPr="00D36A68">
        <w:rPr>
          <w:rFonts w:ascii="Arial" w:hAnsi="Arial" w:cs="Arial"/>
          <w:bCs/>
          <w:iCs/>
          <w:kern w:val="28"/>
          <w:sz w:val="36"/>
        </w:rPr>
        <w:t>Effect of Plant Growth Regulators on Biochemical Quality of Ginger</w:t>
      </w:r>
      <w:r>
        <w:rPr>
          <w:rFonts w:ascii="Arial" w:hAnsi="Arial" w:cs="Arial"/>
          <w:bCs/>
          <w:iCs/>
          <w:kern w:val="28"/>
          <w:sz w:val="36"/>
        </w:rPr>
        <w:t xml:space="preserve"> </w:t>
      </w:r>
      <w:r w:rsidRPr="00D36A68">
        <w:rPr>
          <w:rFonts w:ascii="Arial" w:hAnsi="Arial" w:cs="Arial"/>
          <w:bCs/>
          <w:iCs/>
          <w:kern w:val="28"/>
          <w:sz w:val="36"/>
        </w:rPr>
        <w:t>Transplants Grown under</w:t>
      </w:r>
      <w:r w:rsidR="00644F1C">
        <w:rPr>
          <w:rFonts w:ascii="Arial" w:hAnsi="Arial" w:cs="Arial"/>
          <w:bCs/>
          <w:iCs/>
          <w:kern w:val="28"/>
          <w:sz w:val="36"/>
        </w:rPr>
        <w:t xml:space="preserve"> </w:t>
      </w:r>
      <w:r w:rsidR="00644F1C" w:rsidRPr="00441B29">
        <w:rPr>
          <w:rFonts w:ascii="Arial" w:hAnsi="Arial" w:cs="Arial"/>
          <w:bCs/>
          <w:iCs/>
          <w:kern w:val="28"/>
          <w:sz w:val="36"/>
        </w:rPr>
        <w:t>transplants under polyhouse</w:t>
      </w:r>
      <w:r>
        <w:rPr>
          <w:rFonts w:ascii="Arial" w:hAnsi="Arial" w:cs="Arial"/>
          <w:bCs/>
          <w:iCs/>
          <w:kern w:val="28"/>
          <w:sz w:val="36"/>
        </w:rPr>
        <w:t xml:space="preserve"> Cultivation</w:t>
      </w:r>
    </w:p>
    <w:p w14:paraId="26693D87" w14:textId="77777777" w:rsidR="00A258C3" w:rsidRPr="00790ADA" w:rsidRDefault="00A258C3" w:rsidP="00BA137F">
      <w:pPr>
        <w:pStyle w:val="Author"/>
        <w:spacing w:line="240" w:lineRule="auto"/>
        <w:jc w:val="both"/>
        <w:rPr>
          <w:rFonts w:ascii="Arial" w:hAnsi="Arial" w:cs="Arial"/>
          <w:sz w:val="36"/>
        </w:rPr>
      </w:pPr>
    </w:p>
    <w:p w14:paraId="484EBAF0" w14:textId="77777777" w:rsidR="002C57D2" w:rsidRPr="00FB3A86" w:rsidRDefault="002C57D2" w:rsidP="00BA137F">
      <w:pPr>
        <w:pStyle w:val="Affiliation"/>
        <w:spacing w:after="0" w:line="240" w:lineRule="auto"/>
        <w:jc w:val="both"/>
        <w:rPr>
          <w:rFonts w:ascii="Arial" w:hAnsi="Arial" w:cs="Arial"/>
        </w:rPr>
      </w:pPr>
    </w:p>
    <w:p w14:paraId="0F667204" w14:textId="046EBE32" w:rsidR="00B01FCD" w:rsidRPr="00FB3A86" w:rsidRDefault="006729D3" w:rsidP="00BA137F">
      <w:pPr>
        <w:pStyle w:val="Copyright"/>
        <w:spacing w:after="0" w:line="240" w:lineRule="auto"/>
        <w:jc w:val="both"/>
        <w:rPr>
          <w:rFonts w:ascii="Arial" w:hAnsi="Arial" w:cs="Arial"/>
        </w:rPr>
        <w:sectPr w:rsidR="00B01FCD" w:rsidRPr="00FB3A86" w:rsidSect="009049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AA659A" wp14:editId="4BEDFF7A">
                <wp:extent cx="5303520" cy="635"/>
                <wp:effectExtent l="13335" t="10160" r="17145" b="18415"/>
                <wp:docPr id="9378249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6D09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830BB59" w14:textId="5CCFCD3F" w:rsidR="00B01FCD" w:rsidRDefault="00B01FCD" w:rsidP="00BA137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903281" w14:textId="77777777" w:rsidR="00790ADA" w:rsidRPr="00FB3A86" w:rsidRDefault="00790ADA" w:rsidP="00BA137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924275" w14:textId="77777777" w:rsidTr="001E44FE">
        <w:tc>
          <w:tcPr>
            <w:tcW w:w="9576" w:type="dxa"/>
            <w:shd w:val="clear" w:color="auto" w:fill="F2F2F2"/>
          </w:tcPr>
          <w:p w14:paraId="2C42D280" w14:textId="7631538B" w:rsidR="00505F06" w:rsidRPr="00BA1B01" w:rsidRDefault="00BA2F3F" w:rsidP="00BA137F">
            <w:pPr>
              <w:pStyle w:val="Body"/>
              <w:spacing w:after="0"/>
              <w:rPr>
                <w:rFonts w:ascii="Arial" w:eastAsia="Calibri" w:hAnsi="Arial" w:cs="Arial"/>
                <w:szCs w:val="22"/>
              </w:rPr>
            </w:pPr>
            <w:r w:rsidRPr="00BA2F3F">
              <w:rPr>
                <w:rFonts w:ascii="Arial" w:eastAsia="Calibri" w:hAnsi="Arial" w:cs="Arial"/>
                <w:szCs w:val="22"/>
              </w:rPr>
              <w:t>Abiotic stresses such as unpredictable rainfall, temperature variations, drought and soil degradation reduce ginger yield and rhizome quality. Polyhouse cultivation minimizes these effects but often favors vegetative growth over rhizome development. Plant growth regulators (PGRs) help redirect assimilates to storage organs, optimize source-sink balance</w:t>
            </w:r>
            <w:r w:rsidR="00D36A68">
              <w:rPr>
                <w:rFonts w:ascii="Arial" w:eastAsia="Calibri" w:hAnsi="Arial" w:cs="Arial"/>
                <w:szCs w:val="22"/>
              </w:rPr>
              <w:t xml:space="preserve"> </w:t>
            </w:r>
            <w:r w:rsidRPr="00BA2F3F">
              <w:rPr>
                <w:rFonts w:ascii="Arial" w:eastAsia="Calibri" w:hAnsi="Arial" w:cs="Arial"/>
                <w:szCs w:val="22"/>
              </w:rPr>
              <w:t>and improve yield and quality. Thus, the present study entitled “</w:t>
            </w:r>
            <w:r w:rsidR="00923966">
              <w:rPr>
                <w:rFonts w:ascii="Arial" w:eastAsia="Calibri" w:hAnsi="Arial" w:cs="Arial"/>
                <w:szCs w:val="22"/>
              </w:rPr>
              <w:t>E</w:t>
            </w:r>
            <w:r w:rsidR="00923966" w:rsidRPr="00D36A68">
              <w:rPr>
                <w:rFonts w:ascii="Arial" w:eastAsia="Calibri" w:hAnsi="Arial" w:cs="Arial"/>
                <w:szCs w:val="22"/>
              </w:rPr>
              <w:t>ffect of plant growth regulators on biochemical quality of ginger transplants grown under transplants under polyhouse cultivation</w:t>
            </w:r>
            <w:r w:rsidR="00923966" w:rsidRPr="00BA2F3F">
              <w:rPr>
                <w:rFonts w:ascii="Arial" w:eastAsia="Calibri" w:hAnsi="Arial" w:cs="Arial"/>
                <w:szCs w:val="22"/>
              </w:rPr>
              <w:t xml:space="preserve">” </w:t>
            </w:r>
            <w:r w:rsidRPr="00BA2F3F">
              <w:rPr>
                <w:rFonts w:ascii="Arial" w:eastAsia="Calibri" w:hAnsi="Arial" w:cs="Arial"/>
                <w:szCs w:val="22"/>
              </w:rPr>
              <w:t>evaluate</w:t>
            </w:r>
            <w:r w:rsidR="00D36A68">
              <w:rPr>
                <w:rFonts w:ascii="Arial" w:eastAsia="Calibri" w:hAnsi="Arial" w:cs="Arial"/>
                <w:szCs w:val="22"/>
              </w:rPr>
              <w:t>d</w:t>
            </w:r>
            <w:r w:rsidRPr="00BA2F3F">
              <w:rPr>
                <w:rFonts w:ascii="Arial" w:eastAsia="Calibri" w:hAnsi="Arial" w:cs="Arial"/>
                <w:szCs w:val="22"/>
              </w:rPr>
              <w:t xml:space="preserve"> the effect of various PGRs on quality attributes in ginger transplants under polyhouse conditions. The investigation was carried out in KVK, Palakkad from August 2024 to March 2025. The pot culture was done in CRD using PGRs such as CCC, GA</w:t>
            </w:r>
            <w:r w:rsidRPr="00BA2F3F">
              <w:rPr>
                <w:rFonts w:ascii="Cambria Math" w:eastAsia="Calibri" w:hAnsi="Cambria Math" w:cs="Cambria Math"/>
                <w:szCs w:val="22"/>
              </w:rPr>
              <w:t>₃</w:t>
            </w:r>
            <w:r w:rsidRPr="00BA2F3F">
              <w:rPr>
                <w:rFonts w:ascii="Arial" w:eastAsia="Calibri" w:hAnsi="Arial" w:cs="Arial"/>
                <w:szCs w:val="22"/>
              </w:rPr>
              <w:t xml:space="preserve">, NAA and BAP at three different concentrations (50 ppm, 100 ppm and 150 ppm) along with a control (water), which were applied at 90 and 120 DAT. The highest protein content (23.65 mg/g) was observed in naphthalene acetic acid at 150 ppm. </w:t>
            </w:r>
            <w:proofErr w:type="spellStart"/>
            <w:r w:rsidRPr="00BA2F3F">
              <w:rPr>
                <w:rFonts w:ascii="Arial" w:eastAsia="Calibri" w:hAnsi="Arial" w:cs="Arial"/>
                <w:szCs w:val="22"/>
              </w:rPr>
              <w:t>Cycocel</w:t>
            </w:r>
            <w:proofErr w:type="spellEnd"/>
            <w:r w:rsidRPr="00BA2F3F">
              <w:rPr>
                <w:rFonts w:ascii="Arial" w:eastAsia="Calibri" w:hAnsi="Arial" w:cs="Arial"/>
                <w:szCs w:val="22"/>
              </w:rPr>
              <w:t xml:space="preserve"> at 150 ppm produced the highest total sugar, volatile oil as well as oleoresin content in ginger. Based on the findings, foliar application of </w:t>
            </w:r>
            <w:proofErr w:type="spellStart"/>
            <w:r w:rsidR="00D36A68">
              <w:rPr>
                <w:rFonts w:ascii="Arial" w:eastAsia="Calibri" w:hAnsi="Arial" w:cs="Arial"/>
                <w:szCs w:val="22"/>
              </w:rPr>
              <w:t>C</w:t>
            </w:r>
            <w:r w:rsidRPr="00BA2F3F">
              <w:rPr>
                <w:rFonts w:ascii="Arial" w:eastAsia="Calibri" w:hAnsi="Arial" w:cs="Arial"/>
                <w:szCs w:val="22"/>
              </w:rPr>
              <w:t>ycocel</w:t>
            </w:r>
            <w:proofErr w:type="spellEnd"/>
            <w:r w:rsidRPr="00BA2F3F">
              <w:rPr>
                <w:rFonts w:ascii="Arial" w:eastAsia="Calibri" w:hAnsi="Arial" w:cs="Arial"/>
                <w:szCs w:val="22"/>
              </w:rPr>
              <w:t xml:space="preserve"> enhanced the quality parameters of ginger by facilitating the redirection of </w:t>
            </w:r>
            <w:proofErr w:type="spellStart"/>
            <w:r w:rsidRPr="00BA2F3F">
              <w:rPr>
                <w:rFonts w:ascii="Arial" w:eastAsia="Calibri" w:hAnsi="Arial" w:cs="Arial"/>
                <w:szCs w:val="22"/>
              </w:rPr>
              <w:t>photoassimilates</w:t>
            </w:r>
            <w:proofErr w:type="spellEnd"/>
            <w:r w:rsidRPr="00BA2F3F">
              <w:rPr>
                <w:rFonts w:ascii="Arial" w:eastAsia="Calibri" w:hAnsi="Arial" w:cs="Arial"/>
                <w:szCs w:val="22"/>
              </w:rPr>
              <w:t xml:space="preserve"> from aerial parts to rhizomes. Thus, this study concluded that application of </w:t>
            </w:r>
            <w:proofErr w:type="spellStart"/>
            <w:r w:rsidRPr="00BA2F3F">
              <w:rPr>
                <w:rFonts w:ascii="Arial" w:eastAsia="Calibri" w:hAnsi="Arial" w:cs="Arial"/>
                <w:szCs w:val="22"/>
              </w:rPr>
              <w:t>Cycocel</w:t>
            </w:r>
            <w:proofErr w:type="spellEnd"/>
            <w:r w:rsidRPr="00BA2F3F">
              <w:rPr>
                <w:rFonts w:ascii="Arial" w:eastAsia="Calibri" w:hAnsi="Arial" w:cs="Arial"/>
                <w:szCs w:val="22"/>
              </w:rPr>
              <w:t xml:space="preserve"> at 150 ppm significantly improved the quality of ginger transplants under polyhouse conditions.</w:t>
            </w:r>
          </w:p>
        </w:tc>
      </w:tr>
    </w:tbl>
    <w:p w14:paraId="780C40B1" w14:textId="77777777" w:rsidR="00636EB2" w:rsidRDefault="00636EB2" w:rsidP="00BA137F">
      <w:pPr>
        <w:pStyle w:val="Body"/>
        <w:spacing w:after="0"/>
        <w:rPr>
          <w:rFonts w:ascii="Arial" w:hAnsi="Arial" w:cs="Arial"/>
          <w:i/>
        </w:rPr>
      </w:pPr>
    </w:p>
    <w:p w14:paraId="091ABD5E" w14:textId="41E4784A" w:rsidR="00A24E7E" w:rsidRDefault="00A24E7E" w:rsidP="00BA137F">
      <w:pPr>
        <w:pStyle w:val="Body"/>
        <w:spacing w:after="0"/>
        <w:ind w:left="720" w:hanging="720"/>
        <w:rPr>
          <w:rFonts w:ascii="Arial" w:hAnsi="Arial" w:cs="Arial"/>
          <w:i/>
        </w:rPr>
      </w:pPr>
      <w:r>
        <w:rPr>
          <w:rFonts w:ascii="Arial" w:hAnsi="Arial" w:cs="Arial"/>
          <w:i/>
        </w:rPr>
        <w:t>Keywords:</w:t>
      </w:r>
      <w:r w:rsidR="00644F1C">
        <w:rPr>
          <w:rFonts w:ascii="Arial" w:hAnsi="Arial" w:cs="Arial"/>
          <w:i/>
        </w:rPr>
        <w:t xml:space="preserve"> </w:t>
      </w:r>
      <w:r w:rsidR="004228EC" w:rsidRPr="00441B29">
        <w:rPr>
          <w:rFonts w:ascii="Arial" w:hAnsi="Arial" w:cs="Arial"/>
          <w:i/>
        </w:rPr>
        <w:t xml:space="preserve">Ginger, transplants, </w:t>
      </w:r>
      <w:proofErr w:type="spellStart"/>
      <w:r w:rsidR="004228EC" w:rsidRPr="00441B29">
        <w:rPr>
          <w:rFonts w:ascii="Arial" w:hAnsi="Arial" w:cs="Arial"/>
          <w:i/>
        </w:rPr>
        <w:t>polyhouse</w:t>
      </w:r>
      <w:proofErr w:type="spellEnd"/>
      <w:r w:rsidR="004228EC" w:rsidRPr="00441B29">
        <w:rPr>
          <w:rFonts w:ascii="Arial" w:hAnsi="Arial" w:cs="Arial"/>
          <w:i/>
        </w:rPr>
        <w:t xml:space="preserve">, PGRs, </w:t>
      </w:r>
      <w:proofErr w:type="spellStart"/>
      <w:r w:rsidR="004228EC" w:rsidRPr="00441B29">
        <w:rPr>
          <w:rFonts w:ascii="Arial" w:hAnsi="Arial" w:cs="Arial"/>
          <w:i/>
        </w:rPr>
        <w:t>Cycocel</w:t>
      </w:r>
      <w:proofErr w:type="spellEnd"/>
      <w:r w:rsidR="004228EC" w:rsidRPr="00441B29">
        <w:rPr>
          <w:rFonts w:ascii="Arial" w:hAnsi="Arial" w:cs="Arial"/>
          <w:i/>
        </w:rPr>
        <w:t xml:space="preserve">, </w:t>
      </w:r>
      <w:r w:rsidR="004228EC" w:rsidRPr="004228EC">
        <w:rPr>
          <w:rFonts w:ascii="Arial" w:hAnsi="Arial" w:cs="Arial"/>
          <w:i/>
        </w:rPr>
        <w:t>N</w:t>
      </w:r>
      <w:r w:rsidR="004228EC" w:rsidRPr="004228EC">
        <w:rPr>
          <w:rFonts w:ascii="Arial" w:eastAsia="Calibri" w:hAnsi="Arial" w:cs="Arial"/>
          <w:i/>
          <w:szCs w:val="22"/>
        </w:rPr>
        <w:t xml:space="preserve">aphthalene acetic </w:t>
      </w:r>
      <w:proofErr w:type="gramStart"/>
      <w:r w:rsidR="004228EC" w:rsidRPr="004228EC">
        <w:rPr>
          <w:rFonts w:ascii="Arial" w:eastAsia="Calibri" w:hAnsi="Arial" w:cs="Arial"/>
          <w:i/>
          <w:szCs w:val="22"/>
        </w:rPr>
        <w:t>acid</w:t>
      </w:r>
      <w:r w:rsidR="004228EC" w:rsidRPr="00441B29">
        <w:rPr>
          <w:rFonts w:ascii="Arial" w:hAnsi="Arial" w:cs="Arial"/>
          <w:i/>
        </w:rPr>
        <w:t>,</w:t>
      </w:r>
      <w:r w:rsidR="004228EC">
        <w:rPr>
          <w:rFonts w:ascii="Arial" w:hAnsi="Arial" w:cs="Arial"/>
          <w:i/>
        </w:rPr>
        <w:t xml:space="preserve"> </w:t>
      </w:r>
      <w:r w:rsidR="00644F1C">
        <w:rPr>
          <w:rFonts w:ascii="Arial" w:hAnsi="Arial" w:cs="Arial"/>
          <w:i/>
        </w:rPr>
        <w:t xml:space="preserve">  </w:t>
      </w:r>
      <w:proofErr w:type="gramEnd"/>
      <w:r w:rsidR="00644F1C" w:rsidRPr="00644F1C">
        <w:rPr>
          <w:rFonts w:ascii="Arial" w:hAnsi="Arial" w:cs="Arial"/>
          <w:i/>
          <w:iCs/>
          <w:lang w:val="en-IN"/>
        </w:rPr>
        <w:t xml:space="preserve">Gibberellic </w:t>
      </w:r>
      <w:r w:rsidR="009E2115">
        <w:rPr>
          <w:rFonts w:ascii="Arial" w:hAnsi="Arial" w:cs="Arial"/>
          <w:i/>
          <w:iCs/>
          <w:lang w:val="en-IN"/>
        </w:rPr>
        <w:t>a</w:t>
      </w:r>
      <w:r w:rsidR="00644F1C" w:rsidRPr="00644F1C">
        <w:rPr>
          <w:rFonts w:ascii="Arial" w:hAnsi="Arial" w:cs="Arial"/>
          <w:i/>
          <w:iCs/>
          <w:lang w:val="en-IN"/>
        </w:rPr>
        <w:t xml:space="preserve">cid, 6-benzyl </w:t>
      </w:r>
      <w:r w:rsidR="009E2115">
        <w:rPr>
          <w:rFonts w:ascii="Arial" w:hAnsi="Arial" w:cs="Arial"/>
          <w:i/>
          <w:iCs/>
          <w:lang w:val="en-IN"/>
        </w:rPr>
        <w:t>a</w:t>
      </w:r>
      <w:r w:rsidR="00644F1C" w:rsidRPr="00644F1C">
        <w:rPr>
          <w:rFonts w:ascii="Arial" w:hAnsi="Arial" w:cs="Arial"/>
          <w:i/>
          <w:iCs/>
          <w:lang w:val="en-IN"/>
        </w:rPr>
        <w:t xml:space="preserve">mino </w:t>
      </w:r>
      <w:r w:rsidR="009E2115">
        <w:rPr>
          <w:rFonts w:ascii="Arial" w:hAnsi="Arial" w:cs="Arial"/>
          <w:i/>
          <w:iCs/>
          <w:lang w:val="en-IN"/>
        </w:rPr>
        <w:t>p</w:t>
      </w:r>
      <w:r w:rsidR="00644F1C" w:rsidRPr="00644F1C">
        <w:rPr>
          <w:rFonts w:ascii="Arial" w:hAnsi="Arial" w:cs="Arial"/>
          <w:i/>
          <w:iCs/>
          <w:lang w:val="en-IN"/>
        </w:rPr>
        <w:t>urine.</w:t>
      </w:r>
    </w:p>
    <w:p w14:paraId="61DF6463" w14:textId="77777777" w:rsidR="00790ADA" w:rsidRDefault="00790ADA" w:rsidP="00BA137F">
      <w:pPr>
        <w:pStyle w:val="Body"/>
        <w:spacing w:after="0"/>
        <w:rPr>
          <w:rFonts w:ascii="Arial" w:hAnsi="Arial" w:cs="Arial"/>
          <w:i/>
        </w:rPr>
      </w:pPr>
    </w:p>
    <w:p w14:paraId="277F6B5E" w14:textId="77777777" w:rsidR="0024282C" w:rsidRDefault="0024282C" w:rsidP="00BA137F">
      <w:pPr>
        <w:pStyle w:val="Body"/>
        <w:spacing w:after="0"/>
        <w:rPr>
          <w:rFonts w:ascii="Arial" w:hAnsi="Arial" w:cs="Arial"/>
          <w:i/>
          <w:sz w:val="18"/>
        </w:rPr>
      </w:pPr>
    </w:p>
    <w:p w14:paraId="5E46AAA5" w14:textId="77777777" w:rsidR="00505F06" w:rsidRPr="00A24E7E" w:rsidRDefault="00505F06" w:rsidP="00BA137F">
      <w:pPr>
        <w:pStyle w:val="Body"/>
        <w:spacing w:after="0"/>
        <w:rPr>
          <w:rFonts w:ascii="Arial" w:hAnsi="Arial" w:cs="Arial"/>
          <w:i/>
        </w:rPr>
      </w:pPr>
    </w:p>
    <w:p w14:paraId="580D704E" w14:textId="4907981B" w:rsidR="007F7B32" w:rsidRDefault="00902823" w:rsidP="00BA137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9A3D8D" w14:textId="77777777" w:rsidR="00790ADA" w:rsidRPr="00FB3A86" w:rsidRDefault="00790ADA" w:rsidP="00BA137F">
      <w:pPr>
        <w:pStyle w:val="AbstHead"/>
        <w:spacing w:after="0"/>
        <w:jc w:val="both"/>
        <w:rPr>
          <w:rFonts w:ascii="Arial" w:hAnsi="Arial" w:cs="Arial"/>
        </w:rPr>
      </w:pPr>
    </w:p>
    <w:p w14:paraId="2413865F" w14:textId="77777777" w:rsidR="00BA2F3F" w:rsidRPr="00BA2F3F" w:rsidRDefault="00BA2F3F" w:rsidP="00BA137F">
      <w:pPr>
        <w:pStyle w:val="Body"/>
        <w:rPr>
          <w:rFonts w:ascii="Arial" w:hAnsi="Arial" w:cs="Arial"/>
        </w:rPr>
      </w:pPr>
      <w:r w:rsidRPr="00BA2F3F">
        <w:rPr>
          <w:rFonts w:ascii="Arial" w:hAnsi="Arial" w:cs="Arial"/>
        </w:rPr>
        <w:t>Ginger (</w:t>
      </w:r>
      <w:proofErr w:type="spellStart"/>
      <w:r w:rsidRPr="00D36A68">
        <w:rPr>
          <w:rFonts w:ascii="Arial" w:hAnsi="Arial" w:cs="Arial"/>
          <w:i/>
          <w:iCs/>
        </w:rPr>
        <w:t>Zingiber</w:t>
      </w:r>
      <w:proofErr w:type="spellEnd"/>
      <w:r w:rsidRPr="00D36A68">
        <w:rPr>
          <w:rFonts w:ascii="Arial" w:hAnsi="Arial" w:cs="Arial"/>
          <w:i/>
          <w:iCs/>
        </w:rPr>
        <w:t xml:space="preserve"> </w:t>
      </w:r>
      <w:proofErr w:type="spellStart"/>
      <w:r w:rsidRPr="00D36A68">
        <w:rPr>
          <w:rFonts w:ascii="Arial" w:hAnsi="Arial" w:cs="Arial"/>
          <w:i/>
          <w:iCs/>
        </w:rPr>
        <w:t>officinale</w:t>
      </w:r>
      <w:proofErr w:type="spellEnd"/>
      <w:r w:rsidRPr="00BA2F3F">
        <w:rPr>
          <w:rFonts w:ascii="Arial" w:hAnsi="Arial" w:cs="Arial"/>
        </w:rPr>
        <w:t xml:space="preserve"> </w:t>
      </w:r>
      <w:proofErr w:type="spellStart"/>
      <w:r w:rsidRPr="00BA2F3F">
        <w:rPr>
          <w:rFonts w:ascii="Arial" w:hAnsi="Arial" w:cs="Arial"/>
        </w:rPr>
        <w:t>Rosc</w:t>
      </w:r>
      <w:proofErr w:type="spellEnd"/>
      <w:r w:rsidRPr="00BA2F3F">
        <w:rPr>
          <w:rFonts w:ascii="Arial" w:hAnsi="Arial" w:cs="Arial"/>
        </w:rPr>
        <w:t xml:space="preserve">.), a perennial herb belonging to the family </w:t>
      </w:r>
      <w:proofErr w:type="spellStart"/>
      <w:r w:rsidRPr="00BA2F3F">
        <w:rPr>
          <w:rFonts w:ascii="Arial" w:hAnsi="Arial" w:cs="Arial"/>
        </w:rPr>
        <w:t>Zingiberaceae</w:t>
      </w:r>
      <w:proofErr w:type="spellEnd"/>
      <w:r w:rsidRPr="00BA2F3F">
        <w:rPr>
          <w:rFonts w:ascii="Arial" w:hAnsi="Arial" w:cs="Arial"/>
        </w:rPr>
        <w:t>, is one of the most widely cultivated and consumed spice crops worldwide. It has been valued since ancient days for its peculiar pungency, aroma and medicinal properties, hence constituting an integral part in culinary, pharmaceutical and industrial applications. India, China, Nigeria, Indonesia and Nepal are the major producers in the world, with India standing first for consumption and export. The processed products, such as dried rhizomes, powdered ginger, essential oils and oleoresins, contribute the major share in the global trade of spices.</w:t>
      </w:r>
    </w:p>
    <w:p w14:paraId="1C16B66B" w14:textId="77777777" w:rsidR="00BA2F3F" w:rsidRPr="00BA2F3F" w:rsidRDefault="00BA2F3F" w:rsidP="00BA137F">
      <w:pPr>
        <w:pStyle w:val="Body"/>
        <w:rPr>
          <w:rFonts w:ascii="Arial" w:hAnsi="Arial" w:cs="Arial"/>
        </w:rPr>
      </w:pPr>
      <w:r w:rsidRPr="00BA2F3F">
        <w:rPr>
          <w:rFonts w:ascii="Arial" w:hAnsi="Arial" w:cs="Arial"/>
        </w:rPr>
        <w:t xml:space="preserve">Bioactive compounds such as gingerols, shogaols, and </w:t>
      </w:r>
      <w:proofErr w:type="spellStart"/>
      <w:r w:rsidRPr="00BA2F3F">
        <w:rPr>
          <w:rFonts w:ascii="Arial" w:hAnsi="Arial" w:cs="Arial"/>
        </w:rPr>
        <w:t>paradols</w:t>
      </w:r>
      <w:proofErr w:type="spellEnd"/>
      <w:r w:rsidRPr="00BA2F3F">
        <w:rPr>
          <w:rFonts w:ascii="Arial" w:hAnsi="Arial" w:cs="Arial"/>
        </w:rPr>
        <w:t xml:space="preserve"> are responsible for the characteristic aroma and pungency of ginger. These impart antioxidant, anti-inflammatory, antimicrobial, and antiemetic medicinal properties. Many thousands of smallholder farmers in tropical and subtropical regions depend on ginger production for their living, making it a significant economic factor. However, productivity is often constrained by biotic stresses like soft rot, bacterial wilt, and nematode infestations as well as abiotic stresses like drought, </w:t>
      </w:r>
      <w:r w:rsidRPr="00BA2F3F">
        <w:rPr>
          <w:rFonts w:ascii="Arial" w:hAnsi="Arial" w:cs="Arial"/>
        </w:rPr>
        <w:lastRenderedPageBreak/>
        <w:t>depletion of soil nutrients, and climatic fluctuations. These challenges often result in declining quality, unstable yield and returns.</w:t>
      </w:r>
    </w:p>
    <w:p w14:paraId="2E60DA6C" w14:textId="362C152C" w:rsidR="00BA2F3F" w:rsidRPr="00BA2F3F" w:rsidRDefault="00BA2F3F" w:rsidP="00BA137F">
      <w:pPr>
        <w:pStyle w:val="Body"/>
        <w:rPr>
          <w:rFonts w:ascii="Arial" w:hAnsi="Arial" w:cs="Arial"/>
        </w:rPr>
      </w:pPr>
      <w:r w:rsidRPr="00BA2F3F">
        <w:rPr>
          <w:rFonts w:ascii="Arial" w:hAnsi="Arial" w:cs="Arial"/>
        </w:rPr>
        <w:t>The demand for high-quality produce and the availability of produce all year-round have indicated the need for protected cultivation. The polyhouse thus provides a regulated microenvironment where temperature, humidity, pathogen exposure</w:t>
      </w:r>
      <w:r w:rsidR="00D36A68">
        <w:rPr>
          <w:rFonts w:ascii="Arial" w:hAnsi="Arial" w:cs="Arial"/>
        </w:rPr>
        <w:t xml:space="preserve"> </w:t>
      </w:r>
      <w:r w:rsidRPr="00BA2F3F">
        <w:rPr>
          <w:rFonts w:ascii="Arial" w:hAnsi="Arial" w:cs="Arial"/>
        </w:rPr>
        <w:t xml:space="preserve">etc., can be controlled. Choudary </w:t>
      </w:r>
      <w:r w:rsidRPr="00D36A68">
        <w:rPr>
          <w:rFonts w:ascii="Arial" w:hAnsi="Arial" w:cs="Arial"/>
          <w:i/>
          <w:iCs/>
        </w:rPr>
        <w:t>et al</w:t>
      </w:r>
      <w:r w:rsidRPr="00BA2F3F">
        <w:rPr>
          <w:rFonts w:ascii="Arial" w:hAnsi="Arial" w:cs="Arial"/>
        </w:rPr>
        <w:t>. (2024) that the overall production can be raised and healthier plants are encouraged in this regulated environment. Such regulation promotes proper crop growth within its growing period, reduces disease incidence, ensures efficient resource use, increases rhizome yield and maintains quality compared to traditional open-field cultivation. In ginger, the formation of a dense canopy reduces the translocation of assimilates to the rhizomes, thereby leading to uneven partitioning among various plant organs.</w:t>
      </w:r>
    </w:p>
    <w:p w14:paraId="544B01A7" w14:textId="17467C68" w:rsidR="00025D49" w:rsidRDefault="00BA2F3F" w:rsidP="00BA137F">
      <w:pPr>
        <w:pStyle w:val="Body"/>
        <w:spacing w:after="0"/>
        <w:rPr>
          <w:rFonts w:ascii="Arial" w:hAnsi="Arial" w:cs="Arial"/>
        </w:rPr>
      </w:pPr>
      <w:r w:rsidRPr="00BA2F3F">
        <w:rPr>
          <w:rFonts w:ascii="Arial" w:hAnsi="Arial" w:cs="Arial"/>
        </w:rPr>
        <w:t>This physiological constraint can be overcome by the judicious use of PGRs, which modify plant morphology and physiology to increase assimilate partitioning and improve rhizome growth.</w:t>
      </w:r>
      <w:r w:rsidR="00923966">
        <w:rPr>
          <w:rFonts w:ascii="Arial" w:hAnsi="Arial" w:cs="Arial"/>
        </w:rPr>
        <w:t xml:space="preserve"> </w:t>
      </w:r>
      <w:r w:rsidRPr="00BA2F3F">
        <w:rPr>
          <w:rFonts w:ascii="Arial" w:hAnsi="Arial" w:cs="Arial"/>
        </w:rPr>
        <w:t xml:space="preserve">Kumar </w:t>
      </w:r>
      <w:r w:rsidRPr="00923966">
        <w:rPr>
          <w:rFonts w:ascii="Arial" w:hAnsi="Arial" w:cs="Arial"/>
          <w:i/>
          <w:iCs/>
        </w:rPr>
        <w:t>et al</w:t>
      </w:r>
      <w:r w:rsidR="00923966">
        <w:rPr>
          <w:rFonts w:ascii="Arial" w:hAnsi="Arial" w:cs="Arial"/>
        </w:rPr>
        <w:t>.</w:t>
      </w:r>
      <w:r>
        <w:rPr>
          <w:rFonts w:ascii="Arial" w:hAnsi="Arial" w:cs="Arial"/>
        </w:rPr>
        <w:t xml:space="preserve"> </w:t>
      </w:r>
      <w:r w:rsidRPr="00BA2F3F">
        <w:rPr>
          <w:rFonts w:ascii="Arial" w:hAnsi="Arial" w:cs="Arial"/>
        </w:rPr>
        <w:t xml:space="preserve">(2021) suggested that </w:t>
      </w:r>
      <w:r w:rsidR="00923966">
        <w:rPr>
          <w:rFonts w:ascii="Arial" w:hAnsi="Arial" w:cs="Arial"/>
        </w:rPr>
        <w:t>s</w:t>
      </w:r>
      <w:r w:rsidRPr="00BA2F3F">
        <w:rPr>
          <w:rFonts w:ascii="Arial" w:hAnsi="Arial" w:cs="Arial"/>
        </w:rPr>
        <w:t xml:space="preserve">mall quantity of PGRs can manipulate plant growth, flowering pattern in ornamental plants and also increase flower yield under field condition by physiological process of plants. A few attempts to study the PGR influence on ginger under polyhouse conditions were done (Maruthi </w:t>
      </w:r>
      <w:r w:rsidRPr="00923966">
        <w:rPr>
          <w:rFonts w:ascii="Arial" w:hAnsi="Arial" w:cs="Arial"/>
          <w:i/>
          <w:iCs/>
        </w:rPr>
        <w:t>et al.</w:t>
      </w:r>
      <w:r w:rsidR="00923966">
        <w:rPr>
          <w:rFonts w:ascii="Arial" w:hAnsi="Arial" w:cs="Arial"/>
          <w:i/>
          <w:iCs/>
        </w:rPr>
        <w:t xml:space="preserve">, </w:t>
      </w:r>
      <w:r w:rsidRPr="00BA2F3F">
        <w:rPr>
          <w:rFonts w:ascii="Arial" w:hAnsi="Arial" w:cs="Arial"/>
        </w:rPr>
        <w:t xml:space="preserve">2003; Arif </w:t>
      </w:r>
      <w:r w:rsidRPr="00923966">
        <w:rPr>
          <w:rFonts w:ascii="Arial" w:hAnsi="Arial" w:cs="Arial"/>
          <w:i/>
          <w:iCs/>
        </w:rPr>
        <w:t>et al</w:t>
      </w:r>
      <w:r w:rsidRPr="00BA2F3F">
        <w:rPr>
          <w:rFonts w:ascii="Arial" w:hAnsi="Arial" w:cs="Arial"/>
        </w:rPr>
        <w:t>., 2022)</w:t>
      </w:r>
      <w:r w:rsidR="00923966">
        <w:rPr>
          <w:rFonts w:ascii="Arial" w:hAnsi="Arial" w:cs="Arial"/>
        </w:rPr>
        <w:t xml:space="preserve"> </w:t>
      </w:r>
      <w:r w:rsidRPr="00BA2F3F">
        <w:rPr>
          <w:rFonts w:ascii="Arial" w:hAnsi="Arial" w:cs="Arial"/>
        </w:rPr>
        <w:t>and the available results are limited and inconclusive, preventing any definitive conclusions about the effectiveness of PGRs in enhancing the quality parameters of ginger transplants under these conditions. Hence, the present study was undertaken with a view to study the effect of different concentrations of PGRs on the quality parameters of ginger transplants grown under polyhouse conditions</w:t>
      </w:r>
      <w:r w:rsidR="00923966">
        <w:rPr>
          <w:rFonts w:ascii="Arial" w:hAnsi="Arial" w:cs="Arial"/>
        </w:rPr>
        <w:t>.</w:t>
      </w:r>
    </w:p>
    <w:p w14:paraId="4B8137BA" w14:textId="77777777" w:rsidR="00BA2F3F" w:rsidRPr="00FB3A86" w:rsidRDefault="00BA2F3F" w:rsidP="00BA137F">
      <w:pPr>
        <w:pStyle w:val="Body"/>
        <w:spacing w:after="0"/>
        <w:rPr>
          <w:rFonts w:ascii="Arial" w:hAnsi="Arial" w:cs="Arial"/>
        </w:rPr>
      </w:pPr>
    </w:p>
    <w:p w14:paraId="33CB7CFF" w14:textId="0198D00F" w:rsidR="00F549D9" w:rsidRDefault="00902823" w:rsidP="00BA137F">
      <w:pPr>
        <w:pStyle w:val="AbstHead"/>
        <w:spacing w:after="0"/>
        <w:jc w:val="both"/>
        <w:rPr>
          <w:rFonts w:ascii="Arial" w:hAnsi="Arial" w:cs="Arial"/>
        </w:rPr>
      </w:pPr>
      <w:r>
        <w:rPr>
          <w:rFonts w:ascii="Arial" w:hAnsi="Arial" w:cs="Arial"/>
        </w:rPr>
        <w:t>2. material</w:t>
      </w:r>
      <w:r w:rsidR="003F49F0">
        <w:rPr>
          <w:rFonts w:ascii="Arial" w:hAnsi="Arial" w:cs="Arial"/>
        </w:rPr>
        <w:t xml:space="preserve"> and</w:t>
      </w:r>
      <w:r>
        <w:rPr>
          <w:rFonts w:ascii="Arial" w:hAnsi="Arial" w:cs="Arial"/>
        </w:rPr>
        <w:t xml:space="preserve"> method</w:t>
      </w:r>
      <w:r w:rsidR="00000F8F">
        <w:rPr>
          <w:rFonts w:ascii="Arial" w:hAnsi="Arial" w:cs="Arial"/>
        </w:rPr>
        <w:t>s</w:t>
      </w:r>
    </w:p>
    <w:p w14:paraId="3E6C9F74" w14:textId="7F2E71AA" w:rsidR="007F7B32" w:rsidRDefault="00000F8F" w:rsidP="00BA137F">
      <w:pPr>
        <w:pStyle w:val="AbstHead"/>
        <w:spacing w:after="0"/>
        <w:jc w:val="both"/>
        <w:rPr>
          <w:rFonts w:ascii="Arial" w:hAnsi="Arial" w:cs="Arial"/>
        </w:rPr>
      </w:pPr>
      <w:r>
        <w:rPr>
          <w:rFonts w:ascii="Arial" w:hAnsi="Arial" w:cs="Arial"/>
        </w:rPr>
        <w:t xml:space="preserve"> </w:t>
      </w:r>
    </w:p>
    <w:p w14:paraId="682E0D97" w14:textId="3280321C" w:rsidR="00790ADA" w:rsidRPr="00F549D9" w:rsidRDefault="00F549D9" w:rsidP="00BA137F">
      <w:pPr>
        <w:pStyle w:val="Body"/>
        <w:rPr>
          <w:rFonts w:ascii="Arial" w:eastAsia="Calibri" w:hAnsi="Arial" w:cs="Arial"/>
          <w:b/>
          <w:bCs/>
          <w:sz w:val="22"/>
          <w:szCs w:val="22"/>
        </w:rPr>
      </w:pPr>
      <w:r w:rsidRPr="00441B29">
        <w:rPr>
          <w:rFonts w:ascii="Arial" w:eastAsia="Calibri" w:hAnsi="Arial" w:cs="Arial"/>
          <w:b/>
          <w:bCs/>
          <w:sz w:val="22"/>
          <w:szCs w:val="22"/>
        </w:rPr>
        <w:t xml:space="preserve">2.1 Experimental Site </w:t>
      </w:r>
      <w:r w:rsidR="003F49F0">
        <w:rPr>
          <w:rFonts w:ascii="Arial" w:eastAsia="Calibri" w:hAnsi="Arial" w:cs="Arial"/>
          <w:b/>
          <w:bCs/>
          <w:sz w:val="22"/>
          <w:szCs w:val="22"/>
        </w:rPr>
        <w:t>and</w:t>
      </w:r>
      <w:r w:rsidRPr="00441B29">
        <w:rPr>
          <w:rFonts w:ascii="Arial" w:eastAsia="Calibri" w:hAnsi="Arial" w:cs="Arial"/>
          <w:b/>
          <w:bCs/>
          <w:sz w:val="22"/>
          <w:szCs w:val="22"/>
        </w:rPr>
        <w:t xml:space="preserve"> Duratio</w:t>
      </w:r>
      <w:r>
        <w:rPr>
          <w:rFonts w:ascii="Arial" w:eastAsia="Calibri" w:hAnsi="Arial" w:cs="Arial"/>
          <w:b/>
          <w:bCs/>
          <w:sz w:val="22"/>
          <w:szCs w:val="22"/>
        </w:rPr>
        <w:t>n</w:t>
      </w:r>
    </w:p>
    <w:p w14:paraId="49CC3BA3" w14:textId="692C96E5" w:rsidR="00B95236" w:rsidRDefault="00F549D9" w:rsidP="00BA137F">
      <w:pPr>
        <w:pStyle w:val="Body"/>
        <w:spacing w:after="0"/>
        <w:rPr>
          <w:rFonts w:ascii="Arial" w:hAnsi="Arial" w:cs="Arial"/>
        </w:rPr>
      </w:pPr>
      <w:r w:rsidRPr="00F549D9">
        <w:rPr>
          <w:rFonts w:ascii="Arial" w:hAnsi="Arial" w:cs="Arial"/>
        </w:rPr>
        <w:t>The present investigation entitled “</w:t>
      </w:r>
      <w:r w:rsidR="00923966">
        <w:rPr>
          <w:rFonts w:ascii="Arial" w:eastAsia="Calibri" w:hAnsi="Arial" w:cs="Arial"/>
          <w:szCs w:val="22"/>
        </w:rPr>
        <w:t>E</w:t>
      </w:r>
      <w:r w:rsidR="00923966" w:rsidRPr="00D36A68">
        <w:rPr>
          <w:rFonts w:ascii="Arial" w:eastAsia="Calibri" w:hAnsi="Arial" w:cs="Arial"/>
          <w:szCs w:val="22"/>
        </w:rPr>
        <w:t>ffect of plant growth regulators on biochemical quality of ginger transplants grown under transplants under polyhouse cultivation</w:t>
      </w:r>
      <w:r w:rsidRPr="00F549D9">
        <w:rPr>
          <w:rFonts w:ascii="Arial" w:hAnsi="Arial" w:cs="Arial"/>
        </w:rPr>
        <w:t xml:space="preserve">” was carried out at the KVK, Palakkad during August 2024 to March 2025. A pot culture experiment was conducted at KVK, Palakkad, </w:t>
      </w:r>
      <w:proofErr w:type="spellStart"/>
      <w:r w:rsidRPr="00F549D9">
        <w:rPr>
          <w:rFonts w:ascii="Arial" w:hAnsi="Arial" w:cs="Arial"/>
        </w:rPr>
        <w:t>Pattambi</w:t>
      </w:r>
      <w:proofErr w:type="spellEnd"/>
      <w:r w:rsidRPr="00F549D9">
        <w:rPr>
          <w:rFonts w:ascii="Arial" w:hAnsi="Arial" w:cs="Arial"/>
        </w:rPr>
        <w:t xml:space="preserve"> (Longitude 76.1904° E, Latitude 10.8114° N) under polyhouse conditions. The average temperature, light intensity</w:t>
      </w:r>
      <w:r w:rsidR="003F49F0">
        <w:rPr>
          <w:rFonts w:ascii="Arial" w:hAnsi="Arial" w:cs="Arial"/>
        </w:rPr>
        <w:t xml:space="preserve"> and</w:t>
      </w:r>
      <w:r w:rsidRPr="00F549D9">
        <w:rPr>
          <w:rFonts w:ascii="Arial" w:hAnsi="Arial" w:cs="Arial"/>
        </w:rPr>
        <w:t xml:space="preserve"> humidity of the polyhouse were maintained at 20–30 ºC, 200 to 800 </w:t>
      </w:r>
      <w:proofErr w:type="spellStart"/>
      <w:r w:rsidRPr="00F549D9">
        <w:rPr>
          <w:rFonts w:ascii="Arial" w:hAnsi="Arial" w:cs="Arial"/>
        </w:rPr>
        <w:t>klux</w:t>
      </w:r>
      <w:proofErr w:type="spellEnd"/>
      <w:r w:rsidR="003F49F0">
        <w:rPr>
          <w:rFonts w:ascii="Arial" w:hAnsi="Arial" w:cs="Arial"/>
        </w:rPr>
        <w:t xml:space="preserve"> and</w:t>
      </w:r>
      <w:r w:rsidRPr="00F549D9">
        <w:rPr>
          <w:rFonts w:ascii="Arial" w:hAnsi="Arial" w:cs="Arial"/>
        </w:rPr>
        <w:t xml:space="preserve"> 60–70%</w:t>
      </w:r>
      <w:r w:rsidR="00923966">
        <w:rPr>
          <w:rFonts w:ascii="Arial" w:hAnsi="Arial" w:cs="Arial"/>
        </w:rPr>
        <w:t xml:space="preserve"> </w:t>
      </w:r>
      <w:r w:rsidRPr="00F549D9">
        <w:rPr>
          <w:rFonts w:ascii="Arial" w:hAnsi="Arial" w:cs="Arial"/>
        </w:rPr>
        <w:t xml:space="preserve">respectively, during the cropping period. </w:t>
      </w:r>
    </w:p>
    <w:p w14:paraId="3B18B7A1" w14:textId="77777777" w:rsidR="00790ADA" w:rsidRDefault="00790ADA" w:rsidP="00BA137F">
      <w:pPr>
        <w:pStyle w:val="Body"/>
        <w:spacing w:after="0"/>
        <w:rPr>
          <w:rFonts w:ascii="Arial" w:hAnsi="Arial" w:cs="Arial"/>
        </w:rPr>
      </w:pPr>
    </w:p>
    <w:p w14:paraId="3880BAF3" w14:textId="0FA48BD7" w:rsidR="00F549D9" w:rsidRPr="00F549D9" w:rsidRDefault="00F549D9" w:rsidP="00BA137F">
      <w:pPr>
        <w:pStyle w:val="Body"/>
        <w:rPr>
          <w:rFonts w:ascii="Arial" w:eastAsia="Calibri" w:hAnsi="Arial" w:cs="Arial"/>
          <w:b/>
          <w:bCs/>
          <w:sz w:val="22"/>
          <w:szCs w:val="22"/>
        </w:rPr>
      </w:pPr>
      <w:r w:rsidRPr="00441B29">
        <w:rPr>
          <w:rFonts w:ascii="Arial" w:eastAsia="Calibri" w:hAnsi="Arial" w:cs="Arial"/>
          <w:b/>
          <w:bCs/>
          <w:sz w:val="22"/>
          <w:szCs w:val="22"/>
        </w:rPr>
        <w:t>2.2 Plant material</w:t>
      </w:r>
      <w:r w:rsidR="003F49F0">
        <w:rPr>
          <w:rFonts w:ascii="Arial" w:eastAsia="Calibri" w:hAnsi="Arial" w:cs="Arial"/>
          <w:b/>
          <w:bCs/>
          <w:sz w:val="22"/>
          <w:szCs w:val="22"/>
        </w:rPr>
        <w:t xml:space="preserve"> and</w:t>
      </w:r>
      <w:r w:rsidRPr="00441B29">
        <w:rPr>
          <w:rFonts w:ascii="Arial" w:eastAsia="Calibri" w:hAnsi="Arial" w:cs="Arial"/>
          <w:b/>
          <w:bCs/>
          <w:sz w:val="22"/>
          <w:szCs w:val="22"/>
        </w:rPr>
        <w:t xml:space="preserve"> Varieties </w:t>
      </w:r>
    </w:p>
    <w:p w14:paraId="6CA4D312" w14:textId="2AC07491" w:rsidR="00F549D9" w:rsidRDefault="00F549D9" w:rsidP="00BA137F">
      <w:pPr>
        <w:pStyle w:val="Body"/>
        <w:spacing w:after="0"/>
        <w:rPr>
          <w:rFonts w:ascii="Arial" w:hAnsi="Arial" w:cs="Arial"/>
        </w:rPr>
      </w:pPr>
      <w:r w:rsidRPr="00F549D9">
        <w:rPr>
          <w:rFonts w:ascii="Arial" w:hAnsi="Arial" w:cs="Arial"/>
        </w:rPr>
        <w:t>The KAU ginger variety Athira was transplanted as single-bud hydro</w:t>
      </w:r>
      <w:r>
        <w:rPr>
          <w:rFonts w:ascii="Arial" w:hAnsi="Arial" w:cs="Arial"/>
        </w:rPr>
        <w:t xml:space="preserve"> </w:t>
      </w:r>
      <w:r w:rsidRPr="00F549D9">
        <w:rPr>
          <w:rFonts w:ascii="Arial" w:hAnsi="Arial" w:cs="Arial"/>
        </w:rPr>
        <w:t>primed rhizomes of 5 g weight in polythene bags</w:t>
      </w:r>
      <w:r>
        <w:rPr>
          <w:rFonts w:ascii="Arial" w:hAnsi="Arial" w:cs="Arial"/>
        </w:rPr>
        <w:t>.</w:t>
      </w:r>
    </w:p>
    <w:p w14:paraId="427A9B72" w14:textId="77777777" w:rsidR="00F549D9" w:rsidRDefault="00F549D9" w:rsidP="00BA137F">
      <w:pPr>
        <w:pStyle w:val="Body"/>
        <w:spacing w:after="0"/>
        <w:rPr>
          <w:rFonts w:ascii="Arial" w:hAnsi="Arial" w:cs="Arial"/>
        </w:rPr>
      </w:pPr>
    </w:p>
    <w:p w14:paraId="1E481FBB" w14:textId="77777777" w:rsidR="00F549D9" w:rsidRPr="00441B29" w:rsidRDefault="00F549D9" w:rsidP="00BA137F">
      <w:pPr>
        <w:pStyle w:val="Body"/>
        <w:rPr>
          <w:rFonts w:ascii="Arial" w:hAnsi="Arial" w:cs="Arial"/>
          <w:b/>
          <w:bCs/>
          <w:sz w:val="22"/>
          <w:szCs w:val="22"/>
        </w:rPr>
      </w:pPr>
      <w:r w:rsidRPr="00441B29">
        <w:rPr>
          <w:rFonts w:ascii="Arial" w:hAnsi="Arial" w:cs="Arial"/>
          <w:b/>
          <w:bCs/>
          <w:sz w:val="22"/>
          <w:szCs w:val="22"/>
        </w:rPr>
        <w:t xml:space="preserve">2.3 Experimental Design </w:t>
      </w:r>
    </w:p>
    <w:p w14:paraId="3343020A" w14:textId="1B65BC70" w:rsidR="00F549D9" w:rsidRDefault="00F549D9" w:rsidP="00BA137F">
      <w:pPr>
        <w:pStyle w:val="Body"/>
        <w:spacing w:after="0"/>
        <w:rPr>
          <w:rFonts w:ascii="Arial" w:hAnsi="Arial" w:cs="Arial"/>
          <w:lang w:val="en-IN"/>
        </w:rPr>
      </w:pPr>
      <w:r w:rsidRPr="00F549D9">
        <w:rPr>
          <w:rFonts w:ascii="Arial" w:hAnsi="Arial" w:cs="Arial"/>
          <w:lang w:val="en-IN"/>
        </w:rPr>
        <w:t>The experiment was laid out in a Completely R</w:t>
      </w:r>
      <w:r w:rsidR="003F49F0">
        <w:rPr>
          <w:rFonts w:ascii="Arial" w:hAnsi="Arial" w:cs="Arial"/>
          <w:lang w:val="en-IN"/>
        </w:rPr>
        <w:t>and</w:t>
      </w:r>
      <w:r w:rsidRPr="00F549D9">
        <w:rPr>
          <w:rFonts w:ascii="Arial" w:hAnsi="Arial" w:cs="Arial"/>
          <w:lang w:val="en-IN"/>
        </w:rPr>
        <w:t>omized Design (CRD) with 13 treatment</w:t>
      </w:r>
      <w:r w:rsidR="00923966">
        <w:rPr>
          <w:rFonts w:ascii="Arial" w:hAnsi="Arial" w:cs="Arial"/>
          <w:lang w:val="en-IN"/>
        </w:rPr>
        <w:t xml:space="preserve">s </w:t>
      </w:r>
      <w:r w:rsidR="003F49F0">
        <w:rPr>
          <w:rFonts w:ascii="Arial" w:hAnsi="Arial" w:cs="Arial"/>
          <w:lang w:val="en-IN"/>
        </w:rPr>
        <w:t>and</w:t>
      </w:r>
      <w:r w:rsidRPr="00F549D9">
        <w:rPr>
          <w:rFonts w:ascii="Arial" w:hAnsi="Arial" w:cs="Arial"/>
          <w:lang w:val="en-IN"/>
        </w:rPr>
        <w:t xml:space="preserve"> three replications. Four different PGRs were used in the experiment, namely </w:t>
      </w:r>
      <w:proofErr w:type="spellStart"/>
      <w:r w:rsidRPr="00F549D9">
        <w:rPr>
          <w:rFonts w:ascii="Arial" w:hAnsi="Arial" w:cs="Arial"/>
          <w:lang w:val="en-IN"/>
        </w:rPr>
        <w:t>Cycocel</w:t>
      </w:r>
      <w:proofErr w:type="spellEnd"/>
      <w:r w:rsidRPr="00F549D9">
        <w:rPr>
          <w:rFonts w:ascii="Arial" w:hAnsi="Arial" w:cs="Arial"/>
          <w:lang w:val="en-IN"/>
        </w:rPr>
        <w:t xml:space="preserve"> (CCC), Naphthalene Acetic Acid (NAA), Gibberellic Acid (GA</w:t>
      </w:r>
      <w:r w:rsidRPr="00F549D9">
        <w:rPr>
          <w:rFonts w:ascii="Cambria Math" w:hAnsi="Cambria Math" w:cs="Cambria Math"/>
          <w:lang w:val="en-IN"/>
        </w:rPr>
        <w:t>₃</w:t>
      </w:r>
      <w:r w:rsidRPr="00F549D9">
        <w:rPr>
          <w:rFonts w:ascii="Arial" w:hAnsi="Arial" w:cs="Arial"/>
          <w:lang w:val="en-IN"/>
        </w:rPr>
        <w:t>)</w:t>
      </w:r>
      <w:r w:rsidR="003F49F0">
        <w:rPr>
          <w:rFonts w:ascii="Arial" w:hAnsi="Arial" w:cs="Arial"/>
          <w:lang w:val="en-IN"/>
        </w:rPr>
        <w:t xml:space="preserve"> and</w:t>
      </w:r>
      <w:r w:rsidRPr="00F549D9">
        <w:rPr>
          <w:rFonts w:ascii="Arial" w:hAnsi="Arial" w:cs="Arial"/>
          <w:lang w:val="en-IN"/>
        </w:rPr>
        <w:t xml:space="preserve"> 6-benzyl Amino Purine (BAP), each applied at three concentrations (50 ppm, 100 ppm</w:t>
      </w:r>
      <w:r w:rsidR="003F49F0">
        <w:rPr>
          <w:rFonts w:ascii="Arial" w:hAnsi="Arial" w:cs="Arial"/>
          <w:lang w:val="en-IN"/>
        </w:rPr>
        <w:t xml:space="preserve"> and</w:t>
      </w:r>
      <w:r w:rsidRPr="00F549D9">
        <w:rPr>
          <w:rFonts w:ascii="Arial" w:hAnsi="Arial" w:cs="Arial"/>
          <w:lang w:val="en-IN"/>
        </w:rPr>
        <w:t xml:space="preserve"> 150 ppm) as foliar sprays, along with a control (water spray). The foliar applications were </w:t>
      </w:r>
      <w:r>
        <w:rPr>
          <w:rFonts w:ascii="Arial" w:hAnsi="Arial" w:cs="Arial"/>
          <w:lang w:val="en-IN"/>
        </w:rPr>
        <w:t>given</w:t>
      </w:r>
      <w:r w:rsidRPr="00F549D9">
        <w:rPr>
          <w:rFonts w:ascii="Arial" w:hAnsi="Arial" w:cs="Arial"/>
          <w:lang w:val="en-IN"/>
        </w:rPr>
        <w:t xml:space="preserve"> to ginger transplants at 90 </w:t>
      </w:r>
      <w:r w:rsidR="003F49F0">
        <w:rPr>
          <w:rFonts w:ascii="Arial" w:hAnsi="Arial" w:cs="Arial"/>
          <w:lang w:val="en-IN"/>
        </w:rPr>
        <w:t>and</w:t>
      </w:r>
      <w:r w:rsidRPr="00F549D9">
        <w:rPr>
          <w:rFonts w:ascii="Arial" w:hAnsi="Arial" w:cs="Arial"/>
          <w:lang w:val="en-IN"/>
        </w:rPr>
        <w:t xml:space="preserve"> 120 days after transplanting (DAT).</w:t>
      </w:r>
    </w:p>
    <w:p w14:paraId="4874D739" w14:textId="337F9AF9" w:rsidR="00F549D9" w:rsidRPr="00441B29" w:rsidRDefault="00F549D9" w:rsidP="00BA137F">
      <w:pPr>
        <w:pStyle w:val="Body"/>
        <w:rPr>
          <w:rFonts w:ascii="Arial" w:hAnsi="Arial" w:cs="Arial"/>
        </w:rPr>
      </w:pPr>
    </w:p>
    <w:p w14:paraId="3B4DD229" w14:textId="709E6E55" w:rsidR="00F549D9" w:rsidRDefault="00F549D9" w:rsidP="00BA137F">
      <w:pPr>
        <w:pStyle w:val="Body"/>
        <w:rPr>
          <w:rFonts w:ascii="Arial" w:hAnsi="Arial" w:cs="Arial"/>
          <w:b/>
          <w:bCs/>
          <w:sz w:val="22"/>
          <w:szCs w:val="22"/>
        </w:rPr>
      </w:pPr>
      <w:r w:rsidRPr="00441B29">
        <w:rPr>
          <w:rFonts w:ascii="Arial" w:hAnsi="Arial" w:cs="Arial"/>
          <w:b/>
          <w:bCs/>
          <w:sz w:val="22"/>
          <w:szCs w:val="22"/>
        </w:rPr>
        <w:t>2.</w:t>
      </w:r>
      <w:r w:rsidR="00587EFA">
        <w:rPr>
          <w:rFonts w:ascii="Arial" w:hAnsi="Arial" w:cs="Arial"/>
          <w:b/>
          <w:bCs/>
          <w:sz w:val="22"/>
          <w:szCs w:val="22"/>
        </w:rPr>
        <w:t>4</w:t>
      </w:r>
      <w:r w:rsidRPr="00441B29">
        <w:rPr>
          <w:rFonts w:ascii="Arial" w:hAnsi="Arial" w:cs="Arial"/>
          <w:b/>
          <w:bCs/>
          <w:sz w:val="22"/>
          <w:szCs w:val="22"/>
        </w:rPr>
        <w:t xml:space="preserve"> Estimation of Protein Content in Rhizome </w:t>
      </w:r>
    </w:p>
    <w:p w14:paraId="6EF55CA0" w14:textId="77777777" w:rsidR="00BA2F3F" w:rsidRDefault="00BA2F3F" w:rsidP="00BA137F">
      <w:pPr>
        <w:jc w:val="both"/>
      </w:pPr>
      <w:r>
        <w:lastRenderedPageBreak/>
        <w:t xml:space="preserve">Total soluble protein content in ginger rhizome samples was determined by the Bradford assay (Bradford, 1976), using bovine serum albumin (BSA) as the reference standard. A 0.5 </w:t>
      </w:r>
      <w:proofErr w:type="gramStart"/>
      <w:r>
        <w:t>g  of</w:t>
      </w:r>
      <w:proofErr w:type="gramEnd"/>
      <w:r>
        <w:t xml:space="preserve"> plant ground material was crushed in 5 mL of phosphate buffer (0.1 M, pH 7.0) ice-cold, with the help of a chilled mortar and pestle. The homogenate was subjected to centrifugation at 10,000 rpm for 30 minutes at 4°C, and the supernatant was drawn out for estimation of </w:t>
      </w:r>
      <w:proofErr w:type="spellStart"/>
      <w:proofErr w:type="gramStart"/>
      <w:r>
        <w:t>protein.To</w:t>
      </w:r>
      <w:proofErr w:type="spellEnd"/>
      <w:proofErr w:type="gramEnd"/>
      <w:r>
        <w:t xml:space="preserve"> 100 µL of the extract, 5 mL of Bradford reagent was added, mixed thoroughly and incubated for 10 minutes at room temperature. Absorbance was recorded at 595 nm using a UV Vis spectrophotometer. Protein concentration was quantified by a standard curve prepared with serial dilutions of BSA and expressed as mg/g dry weight.</w:t>
      </w:r>
    </w:p>
    <w:p w14:paraId="1AF2C828" w14:textId="77777777" w:rsidR="00BA2F3F" w:rsidRPr="00441B29" w:rsidRDefault="00BA2F3F" w:rsidP="00BA137F">
      <w:pPr>
        <w:pStyle w:val="Body"/>
        <w:rPr>
          <w:rFonts w:ascii="Arial" w:hAnsi="Arial" w:cs="Arial"/>
          <w:b/>
          <w:bCs/>
          <w:sz w:val="22"/>
          <w:szCs w:val="22"/>
        </w:rPr>
      </w:pPr>
    </w:p>
    <w:p w14:paraId="4B820FC9" w14:textId="32DEA41A" w:rsidR="00F549D9" w:rsidRDefault="00F549D9" w:rsidP="00BA137F">
      <w:pPr>
        <w:pStyle w:val="Body"/>
        <w:rPr>
          <w:rFonts w:ascii="Arial" w:hAnsi="Arial" w:cs="Arial"/>
          <w:b/>
          <w:bCs/>
          <w:sz w:val="22"/>
          <w:szCs w:val="22"/>
        </w:rPr>
      </w:pPr>
      <w:r w:rsidRPr="00441B29">
        <w:rPr>
          <w:rFonts w:ascii="Arial" w:hAnsi="Arial" w:cs="Arial"/>
          <w:b/>
          <w:bCs/>
          <w:sz w:val="22"/>
          <w:szCs w:val="22"/>
        </w:rPr>
        <w:t>2.</w:t>
      </w:r>
      <w:r w:rsidR="00587EFA">
        <w:rPr>
          <w:rFonts w:ascii="Arial" w:hAnsi="Arial" w:cs="Arial"/>
          <w:b/>
          <w:bCs/>
          <w:sz w:val="22"/>
          <w:szCs w:val="22"/>
        </w:rPr>
        <w:t>5</w:t>
      </w:r>
      <w:r w:rsidRPr="00441B29">
        <w:rPr>
          <w:rFonts w:ascii="Arial" w:hAnsi="Arial" w:cs="Arial"/>
          <w:b/>
          <w:bCs/>
          <w:sz w:val="22"/>
          <w:szCs w:val="22"/>
        </w:rPr>
        <w:t xml:space="preserve"> Estimation of Total sugar in Rhizome</w:t>
      </w:r>
    </w:p>
    <w:p w14:paraId="6E7C969B" w14:textId="77777777" w:rsidR="00BA2F3F" w:rsidRDefault="00BA2F3F" w:rsidP="00BA137F">
      <w:pPr>
        <w:jc w:val="both"/>
      </w:pPr>
      <w:r w:rsidRPr="00876926">
        <w:t xml:space="preserve">Total sugars were estimated using the procedure described by Sadasivam and Manickam (2008). Each dry rhizome samples of 100 mg were taken in test tubes and were </w:t>
      </w:r>
      <w:proofErr w:type="spellStart"/>
      <w:r w:rsidRPr="00876926">
        <w:t>hydrolysed</w:t>
      </w:r>
      <w:proofErr w:type="spellEnd"/>
      <w:r w:rsidRPr="00876926">
        <w:t xml:space="preserve"> by boiling in water bath for 3 h with 5 ml of 2.5N HCl. The samples were allowed to cool down to room temperature and were neutralized by adding sodium carbonate until effervescence ceases. These solutions were made up to 100 ml. After centrifuging, the supernatant was collected and 1 ml of solution was taken for analysis. To this </w:t>
      </w:r>
      <w:proofErr w:type="spellStart"/>
      <w:r w:rsidRPr="00876926">
        <w:t>anthrone</w:t>
      </w:r>
      <w:proofErr w:type="spellEnd"/>
      <w:r w:rsidRPr="00876926">
        <w:t xml:space="preserve"> reagent of 4 ml was added. This mixture was heated for 8 min (water bath) and cooled rapidly. Absorbance values were measured at 630 nm using spectrophotometer. Final values were obtained from a standard graph prepared from working standard glucose solution and expressed in mg g⁻¹ DW.</w:t>
      </w:r>
    </w:p>
    <w:p w14:paraId="735C0630" w14:textId="77777777" w:rsidR="00F549D9" w:rsidRDefault="00F549D9" w:rsidP="00BA137F">
      <w:pPr>
        <w:pStyle w:val="Body"/>
        <w:spacing w:after="0"/>
        <w:rPr>
          <w:rFonts w:ascii="Arial" w:hAnsi="Arial" w:cs="Arial"/>
        </w:rPr>
      </w:pPr>
    </w:p>
    <w:p w14:paraId="1A91FC6F" w14:textId="77777777" w:rsidR="00F549D9" w:rsidRPr="00441B29" w:rsidRDefault="00F549D9" w:rsidP="00BA137F">
      <w:pPr>
        <w:pStyle w:val="Body"/>
        <w:rPr>
          <w:rFonts w:ascii="Arial" w:hAnsi="Arial" w:cs="Arial"/>
          <w:b/>
          <w:bCs/>
          <w:sz w:val="22"/>
          <w:szCs w:val="22"/>
        </w:rPr>
      </w:pPr>
      <w:r w:rsidRPr="00441B29">
        <w:rPr>
          <w:rFonts w:ascii="Arial" w:hAnsi="Arial" w:cs="Arial"/>
          <w:b/>
          <w:bCs/>
          <w:sz w:val="22"/>
          <w:szCs w:val="22"/>
        </w:rPr>
        <w:t>2.6 Estimation of oil yield in Rhizome</w:t>
      </w:r>
    </w:p>
    <w:p w14:paraId="6D8DDB47" w14:textId="0F085C71" w:rsidR="00F549D9" w:rsidRPr="00441B29" w:rsidRDefault="00F549D9" w:rsidP="00BA137F">
      <w:pPr>
        <w:pStyle w:val="Body"/>
        <w:rPr>
          <w:rFonts w:ascii="Arial" w:hAnsi="Arial" w:cs="Arial"/>
        </w:rPr>
      </w:pPr>
      <w:r w:rsidRPr="00441B29">
        <w:rPr>
          <w:rFonts w:ascii="Arial" w:hAnsi="Arial" w:cs="Arial"/>
        </w:rPr>
        <w:t xml:space="preserve">The content of volatile oil was estimated after harvest by Clevenger distillation method </w:t>
      </w:r>
      <w:r w:rsidRPr="00F52BB8">
        <w:rPr>
          <w:rFonts w:ascii="Arial" w:hAnsi="Arial" w:cs="Arial"/>
        </w:rPr>
        <w:t>(Pruthi,1989)</w:t>
      </w:r>
      <w:r w:rsidR="00587EFA" w:rsidRPr="00F52BB8">
        <w:rPr>
          <w:rFonts w:ascii="Arial" w:hAnsi="Arial" w:cs="Arial"/>
        </w:rPr>
        <w:t xml:space="preserve"> and</w:t>
      </w:r>
      <w:r w:rsidRPr="00F52BB8">
        <w:rPr>
          <w:rFonts w:ascii="Arial" w:hAnsi="Arial" w:cs="Arial"/>
        </w:rPr>
        <w:t xml:space="preserve"> mean</w:t>
      </w:r>
      <w:r w:rsidRPr="00441B29">
        <w:rPr>
          <w:rFonts w:ascii="Arial" w:hAnsi="Arial" w:cs="Arial"/>
        </w:rPr>
        <w:t xml:space="preserve"> value </w:t>
      </w:r>
      <w:r w:rsidR="00F01508">
        <w:rPr>
          <w:rFonts w:ascii="Arial" w:hAnsi="Arial" w:cs="Arial"/>
        </w:rPr>
        <w:t xml:space="preserve">was </w:t>
      </w:r>
      <w:r w:rsidRPr="00441B29">
        <w:rPr>
          <w:rFonts w:ascii="Arial" w:hAnsi="Arial" w:cs="Arial"/>
        </w:rPr>
        <w:t>expressed as percentage(v/w) on dry weight basis.</w:t>
      </w:r>
    </w:p>
    <w:p w14:paraId="76223265" w14:textId="77777777" w:rsidR="00F549D9" w:rsidRPr="00441B29" w:rsidRDefault="00F549D9" w:rsidP="00BA137F">
      <w:pPr>
        <w:pStyle w:val="Body"/>
        <w:rPr>
          <w:rFonts w:ascii="Arial" w:hAnsi="Arial" w:cs="Arial"/>
        </w:rPr>
      </w:pPr>
      <w:r w:rsidRPr="00441B29">
        <w:rPr>
          <w:rFonts w:ascii="Arial" w:hAnsi="Arial" w:cs="Arial"/>
        </w:rPr>
        <w:t>Percentage of volatile oil (v/w) = (Volume of oil (ml)/ Weight of sample (g)) × 100</w:t>
      </w:r>
    </w:p>
    <w:p w14:paraId="22BDBC79" w14:textId="77777777" w:rsidR="00F549D9" w:rsidRPr="00441B29" w:rsidRDefault="00F549D9" w:rsidP="00BA137F">
      <w:pPr>
        <w:pStyle w:val="Body"/>
        <w:rPr>
          <w:rFonts w:ascii="Arial" w:hAnsi="Arial" w:cs="Arial"/>
          <w:b/>
          <w:bCs/>
          <w:sz w:val="22"/>
          <w:szCs w:val="22"/>
        </w:rPr>
      </w:pPr>
      <w:r w:rsidRPr="00441B29">
        <w:rPr>
          <w:rFonts w:ascii="Arial" w:hAnsi="Arial" w:cs="Arial"/>
          <w:b/>
          <w:bCs/>
          <w:sz w:val="22"/>
          <w:szCs w:val="22"/>
        </w:rPr>
        <w:t>2.7 Estimation of oleoresin yield in Rhizome</w:t>
      </w:r>
    </w:p>
    <w:p w14:paraId="63F42780" w14:textId="77777777" w:rsidR="00F549D9" w:rsidRPr="00441B29" w:rsidRDefault="00F549D9" w:rsidP="00BA137F">
      <w:pPr>
        <w:pStyle w:val="Body"/>
        <w:rPr>
          <w:rFonts w:ascii="Arial" w:hAnsi="Arial" w:cs="Arial"/>
        </w:rPr>
      </w:pPr>
      <w:r w:rsidRPr="00441B29">
        <w:rPr>
          <w:rFonts w:ascii="Arial" w:hAnsi="Arial" w:cs="Arial"/>
        </w:rPr>
        <w:t>Finely ground powder of dried rhizome was used for estimating oleoresin. The method adopted was solvent extraction using Soxhlet apparatus. The content was expressed in percentage (v/w) on dry weight basis.</w:t>
      </w:r>
    </w:p>
    <w:p w14:paraId="289C4686" w14:textId="77777777" w:rsidR="00F549D9" w:rsidRPr="00441B29" w:rsidRDefault="00F549D9" w:rsidP="00BA137F">
      <w:pPr>
        <w:pStyle w:val="Body"/>
        <w:rPr>
          <w:rFonts w:ascii="Arial" w:hAnsi="Arial" w:cs="Arial"/>
        </w:rPr>
      </w:pPr>
      <w:r w:rsidRPr="00441B29">
        <w:rPr>
          <w:rFonts w:ascii="Arial" w:hAnsi="Arial" w:cs="Arial"/>
        </w:rPr>
        <w:t>Percentage of oleoresin (v/w) = (Volume of extract (ml)/ Weight of sample (g)) × 100</w:t>
      </w:r>
    </w:p>
    <w:p w14:paraId="0E4A412C" w14:textId="77777777" w:rsidR="00F549D9" w:rsidRPr="00441B29" w:rsidRDefault="00F549D9" w:rsidP="00BA137F">
      <w:pPr>
        <w:pStyle w:val="Body"/>
        <w:rPr>
          <w:rFonts w:ascii="Arial" w:hAnsi="Arial" w:cs="Arial"/>
          <w:b/>
          <w:bCs/>
          <w:sz w:val="22"/>
          <w:szCs w:val="22"/>
        </w:rPr>
      </w:pPr>
      <w:r w:rsidRPr="00441B29">
        <w:rPr>
          <w:rFonts w:ascii="Arial" w:hAnsi="Arial" w:cs="Arial"/>
          <w:b/>
          <w:bCs/>
          <w:sz w:val="22"/>
          <w:szCs w:val="22"/>
        </w:rPr>
        <w:t>2.8 Cultural Practices</w:t>
      </w:r>
    </w:p>
    <w:p w14:paraId="51B2FB31" w14:textId="7FAF1B64" w:rsidR="00F549D9" w:rsidRPr="00441B29" w:rsidRDefault="00F549D9" w:rsidP="00BA137F">
      <w:pPr>
        <w:pStyle w:val="Body"/>
        <w:rPr>
          <w:rFonts w:ascii="Arial" w:hAnsi="Arial" w:cs="Arial"/>
        </w:rPr>
      </w:pPr>
      <w:r w:rsidRPr="00441B29">
        <w:rPr>
          <w:rFonts w:ascii="Arial" w:hAnsi="Arial" w:cs="Arial"/>
        </w:rPr>
        <w:t>Cultural practices were followed uniformly for</w:t>
      </w:r>
      <w:r w:rsidR="00644F1C">
        <w:rPr>
          <w:rFonts w:ascii="Arial" w:hAnsi="Arial" w:cs="Arial"/>
        </w:rPr>
        <w:t xml:space="preserve"> </w:t>
      </w:r>
      <w:r w:rsidRPr="00441B29">
        <w:rPr>
          <w:rFonts w:ascii="Arial" w:hAnsi="Arial" w:cs="Arial"/>
        </w:rPr>
        <w:t xml:space="preserve">all treatments as per Kerala Agricultural University Package of practices </w:t>
      </w:r>
      <w:r w:rsidRPr="00B84B10">
        <w:rPr>
          <w:rFonts w:ascii="Arial" w:hAnsi="Arial" w:cs="Arial"/>
        </w:rPr>
        <w:t>(KAU, 2024).</w:t>
      </w:r>
    </w:p>
    <w:p w14:paraId="5A5B6835" w14:textId="77777777" w:rsidR="00F549D9" w:rsidRPr="00441B29" w:rsidRDefault="00F549D9" w:rsidP="00BA137F">
      <w:pPr>
        <w:pStyle w:val="Body"/>
        <w:rPr>
          <w:rFonts w:ascii="Arial" w:hAnsi="Arial" w:cs="Arial"/>
          <w:b/>
          <w:bCs/>
          <w:sz w:val="22"/>
          <w:szCs w:val="22"/>
        </w:rPr>
      </w:pPr>
      <w:r w:rsidRPr="00441B29">
        <w:rPr>
          <w:rFonts w:ascii="Arial" w:hAnsi="Arial" w:cs="Arial"/>
          <w:b/>
          <w:bCs/>
          <w:sz w:val="22"/>
          <w:szCs w:val="22"/>
        </w:rPr>
        <w:t xml:space="preserve">2.9 Data collection </w:t>
      </w:r>
    </w:p>
    <w:p w14:paraId="7FB9982F" w14:textId="2956B942" w:rsidR="00F549D9" w:rsidRDefault="00F549D9" w:rsidP="00BA137F">
      <w:pPr>
        <w:pStyle w:val="Body"/>
        <w:rPr>
          <w:rFonts w:ascii="Arial" w:hAnsi="Arial" w:cs="Arial"/>
        </w:rPr>
      </w:pPr>
      <w:r w:rsidRPr="00441B29">
        <w:rPr>
          <w:rFonts w:ascii="Arial" w:hAnsi="Arial" w:cs="Arial"/>
        </w:rPr>
        <w:t>The</w:t>
      </w:r>
      <w:r w:rsidR="00E530D4" w:rsidRPr="00E530D4">
        <w:rPr>
          <w:rFonts w:ascii="Arial" w:hAnsi="Arial" w:cs="Arial"/>
        </w:rPr>
        <w:t xml:space="preserve"> quality parameters were recorded after harvest using powdered ginger. Harvested rhizomes were thoroughly cleaned, dried</w:t>
      </w:r>
      <w:r w:rsidR="003F49F0">
        <w:rPr>
          <w:rFonts w:ascii="Arial" w:hAnsi="Arial" w:cs="Arial"/>
        </w:rPr>
        <w:t xml:space="preserve"> and</w:t>
      </w:r>
      <w:r w:rsidR="00E530D4" w:rsidRPr="00E530D4">
        <w:rPr>
          <w:rFonts w:ascii="Arial" w:hAnsi="Arial" w:cs="Arial"/>
        </w:rPr>
        <w:t xml:space="preserve"> ground into powder before recording the observations. </w:t>
      </w:r>
    </w:p>
    <w:p w14:paraId="09FFBB45" w14:textId="77777777" w:rsidR="00F549D9" w:rsidRPr="00441B29" w:rsidRDefault="00F549D9" w:rsidP="00BA137F">
      <w:pPr>
        <w:pStyle w:val="Body"/>
        <w:rPr>
          <w:rFonts w:ascii="Arial" w:hAnsi="Arial" w:cs="Arial"/>
          <w:b/>
          <w:bCs/>
          <w:sz w:val="22"/>
          <w:szCs w:val="22"/>
        </w:rPr>
      </w:pPr>
      <w:r w:rsidRPr="00441B29">
        <w:rPr>
          <w:rFonts w:ascii="Arial" w:hAnsi="Arial" w:cs="Arial"/>
          <w:b/>
          <w:bCs/>
          <w:sz w:val="22"/>
          <w:szCs w:val="22"/>
        </w:rPr>
        <w:t>2.10 Statistical Analysis</w:t>
      </w:r>
    </w:p>
    <w:p w14:paraId="4B627E0B" w14:textId="3B316D04" w:rsidR="00E66E10" w:rsidRPr="00F549D9" w:rsidRDefault="00F549D9" w:rsidP="00BA137F">
      <w:pPr>
        <w:pStyle w:val="Body"/>
        <w:spacing w:after="0"/>
        <w:rPr>
          <w:rFonts w:ascii="Arial" w:hAnsi="Arial" w:cs="Arial"/>
        </w:rPr>
      </w:pPr>
      <w:r w:rsidRPr="00441B29">
        <w:rPr>
          <w:rFonts w:ascii="Arial" w:hAnsi="Arial" w:cs="Arial"/>
        </w:rPr>
        <w:lastRenderedPageBreak/>
        <w:t xml:space="preserve">The data were subjected to analysis of variance (ANOVA) as per the procedure of </w:t>
      </w:r>
      <w:r w:rsidRPr="006958CA">
        <w:rPr>
          <w:rFonts w:ascii="Arial" w:hAnsi="Arial" w:cs="Arial"/>
        </w:rPr>
        <w:t>Gomez</w:t>
      </w:r>
      <w:r w:rsidR="00587EFA" w:rsidRPr="006958CA">
        <w:rPr>
          <w:rFonts w:ascii="Arial" w:hAnsi="Arial" w:cs="Arial"/>
        </w:rPr>
        <w:t xml:space="preserve"> and</w:t>
      </w:r>
      <w:r w:rsidRPr="006958CA">
        <w:rPr>
          <w:rFonts w:ascii="Arial" w:hAnsi="Arial" w:cs="Arial"/>
        </w:rPr>
        <w:t xml:space="preserve"> Gomez (1984) for Completely R</w:t>
      </w:r>
      <w:r w:rsidR="003F49F0" w:rsidRPr="006958CA">
        <w:rPr>
          <w:rFonts w:ascii="Arial" w:hAnsi="Arial" w:cs="Arial"/>
        </w:rPr>
        <w:t>and</w:t>
      </w:r>
      <w:r w:rsidRPr="006958CA">
        <w:rPr>
          <w:rFonts w:ascii="Arial" w:hAnsi="Arial" w:cs="Arial"/>
        </w:rPr>
        <w:t>omized Design. Critical Difference (CD) v</w:t>
      </w:r>
      <w:r w:rsidRPr="00441B29">
        <w:rPr>
          <w:rFonts w:ascii="Arial" w:hAnsi="Arial" w:cs="Arial"/>
        </w:rPr>
        <w:t>alues were calculated at 5% level of significance for comparing treatment.</w:t>
      </w:r>
    </w:p>
    <w:p w14:paraId="1C8A3C79" w14:textId="77777777" w:rsidR="00790ADA" w:rsidRPr="00FB3A86" w:rsidRDefault="00790ADA" w:rsidP="00BA137F">
      <w:pPr>
        <w:pStyle w:val="Body"/>
        <w:spacing w:after="0"/>
        <w:rPr>
          <w:rFonts w:ascii="Arial" w:hAnsi="Arial" w:cs="Arial"/>
        </w:rPr>
      </w:pPr>
    </w:p>
    <w:p w14:paraId="672D8292" w14:textId="28010FC2" w:rsidR="00902823" w:rsidRDefault="00000F8F" w:rsidP="00BA137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r w:rsidR="003F49F0">
        <w:rPr>
          <w:rFonts w:ascii="Arial" w:hAnsi="Arial" w:cs="Arial"/>
        </w:rPr>
        <w:t xml:space="preserve"> and</w:t>
      </w:r>
      <w:r>
        <w:rPr>
          <w:rFonts w:ascii="Arial" w:hAnsi="Arial" w:cs="Arial"/>
        </w:rPr>
        <w:t xml:space="preserve"> discussion</w:t>
      </w:r>
    </w:p>
    <w:p w14:paraId="57F70B48" w14:textId="77777777" w:rsidR="00790ADA" w:rsidRPr="00FB3A86" w:rsidRDefault="00790ADA" w:rsidP="00BA137F">
      <w:pPr>
        <w:pStyle w:val="Head1"/>
        <w:spacing w:after="0"/>
        <w:jc w:val="both"/>
        <w:rPr>
          <w:rFonts w:ascii="Arial" w:hAnsi="Arial" w:cs="Arial"/>
        </w:rPr>
      </w:pPr>
    </w:p>
    <w:p w14:paraId="3B78A6BE" w14:textId="40AEED72" w:rsidR="00B95236" w:rsidRDefault="00F549D9" w:rsidP="00BA137F">
      <w:pPr>
        <w:pStyle w:val="Body"/>
        <w:spacing w:after="0"/>
        <w:rPr>
          <w:rFonts w:ascii="Arial" w:hAnsi="Arial" w:cs="Arial"/>
        </w:rPr>
      </w:pPr>
      <w:r w:rsidRPr="00441B29">
        <w:rPr>
          <w:rFonts w:ascii="Arial" w:hAnsi="Arial" w:cs="Arial"/>
        </w:rPr>
        <w:t xml:space="preserve">Evaluation of different plant growth regulators on ginger was undertaken to evaluate its effect on </w:t>
      </w:r>
      <w:r w:rsidR="00587EFA">
        <w:rPr>
          <w:rFonts w:ascii="Arial" w:hAnsi="Arial" w:cs="Arial"/>
        </w:rPr>
        <w:t>quality</w:t>
      </w:r>
      <w:r w:rsidRPr="00441B29">
        <w:rPr>
          <w:rFonts w:ascii="Arial" w:hAnsi="Arial" w:cs="Arial"/>
        </w:rPr>
        <w:t xml:space="preserve"> attributes were presented in </w:t>
      </w:r>
      <w:r w:rsidR="00C87D98">
        <w:rPr>
          <w:rFonts w:ascii="Arial" w:hAnsi="Arial" w:cs="Arial"/>
        </w:rPr>
        <w:t>T</w:t>
      </w:r>
      <w:r w:rsidRPr="00441B29">
        <w:rPr>
          <w:rFonts w:ascii="Arial" w:hAnsi="Arial" w:cs="Arial"/>
        </w:rPr>
        <w:t>able 1</w:t>
      </w:r>
      <w:r w:rsidR="00C87D98">
        <w:rPr>
          <w:rFonts w:ascii="Arial" w:hAnsi="Arial" w:cs="Arial"/>
        </w:rPr>
        <w:t>.</w:t>
      </w:r>
    </w:p>
    <w:p w14:paraId="68B36A38" w14:textId="77777777" w:rsidR="003240D8" w:rsidRDefault="003240D8" w:rsidP="00BA137F">
      <w:pPr>
        <w:pStyle w:val="Body"/>
        <w:spacing w:after="0"/>
        <w:rPr>
          <w:rFonts w:ascii="Arial" w:hAnsi="Arial" w:cs="Arial"/>
        </w:rPr>
      </w:pPr>
    </w:p>
    <w:p w14:paraId="53C86DD9" w14:textId="5DD4671C" w:rsidR="00BB5A18" w:rsidRDefault="00BB5A18" w:rsidP="00BA137F">
      <w:pPr>
        <w:pStyle w:val="Body"/>
        <w:rPr>
          <w:rFonts w:ascii="Arial" w:eastAsia="Calibri" w:hAnsi="Arial" w:cs="Arial"/>
          <w:b/>
          <w:bCs/>
          <w:sz w:val="22"/>
          <w:szCs w:val="22"/>
        </w:rPr>
      </w:pPr>
      <w:r w:rsidRPr="00441B29">
        <w:rPr>
          <w:rFonts w:ascii="Arial" w:eastAsia="Calibri" w:hAnsi="Arial" w:cs="Arial"/>
          <w:b/>
          <w:bCs/>
          <w:sz w:val="22"/>
          <w:szCs w:val="22"/>
        </w:rPr>
        <w:t>3.</w:t>
      </w:r>
      <w:r w:rsidR="00587EFA">
        <w:rPr>
          <w:rFonts w:ascii="Arial" w:eastAsia="Calibri" w:hAnsi="Arial" w:cs="Arial"/>
          <w:b/>
          <w:bCs/>
          <w:sz w:val="22"/>
          <w:szCs w:val="22"/>
        </w:rPr>
        <w:t>1</w:t>
      </w:r>
      <w:r w:rsidRPr="00441B29">
        <w:rPr>
          <w:rFonts w:ascii="Arial" w:eastAsia="Calibri" w:hAnsi="Arial" w:cs="Arial"/>
          <w:b/>
          <w:bCs/>
          <w:sz w:val="22"/>
          <w:szCs w:val="22"/>
        </w:rPr>
        <w:t xml:space="preserve"> Total soluble protein </w:t>
      </w:r>
    </w:p>
    <w:p w14:paraId="05484E9F" w14:textId="0A1B5BA1" w:rsidR="00BA2F3F" w:rsidRDefault="00BA2F3F" w:rsidP="00923966">
      <w:pPr>
        <w:jc w:val="both"/>
      </w:pPr>
      <w:r w:rsidRPr="002E4972">
        <w:t>Maximum protein content was noticed with 150 ppm NAA (23.65 mg/g), followed by 100 ppm NAA (22.90 mg/g) and 150 ppm GA</w:t>
      </w:r>
      <w:r w:rsidRPr="002E4972">
        <w:rPr>
          <w:rFonts w:ascii="Cambria Math" w:hAnsi="Cambria Math" w:cs="Cambria Math"/>
        </w:rPr>
        <w:t>₃</w:t>
      </w:r>
      <w:r w:rsidRPr="002E4972">
        <w:t xml:space="preserve"> (21.89 mg/g) (Table 1). The minimum protein content was recorded in the control (17.53 mg/g). As earlier reported, protein synthesis is increased with auxin application, especially NAA, due to the stimulation of enzymes implicated in nitrogen assimilation and translocation of assimilate (Venugopal and </w:t>
      </w:r>
      <w:proofErr w:type="spellStart"/>
      <w:r w:rsidRPr="002E4972">
        <w:t>Pariari</w:t>
      </w:r>
      <w:proofErr w:type="spellEnd"/>
      <w:r w:rsidRPr="002E4972">
        <w:t xml:space="preserve">, 2017). Gibberellins, likewise, accumulate proteins by stimulating the synthesis of RNA and enzymes that directly relate to protein biosynthesis. According to Guo </w:t>
      </w:r>
      <w:r w:rsidRPr="00923966">
        <w:rPr>
          <w:i/>
          <w:iCs/>
        </w:rPr>
        <w:t>et al.</w:t>
      </w:r>
      <w:r w:rsidRPr="002E4972">
        <w:t xml:space="preserve"> (2022), the study showed that the gibberellin-treated seed had a higher soluble protein content. Similar result w</w:t>
      </w:r>
      <w:r w:rsidR="00923966">
        <w:t>as</w:t>
      </w:r>
      <w:r w:rsidRPr="002E4972">
        <w:t xml:space="preserve"> obtained by Khalid and Aftab (2020), who found that GA3 application increased soluble protein content.</w:t>
      </w:r>
    </w:p>
    <w:p w14:paraId="77E3D480" w14:textId="77777777" w:rsidR="00923966" w:rsidRPr="00923966" w:rsidRDefault="00923966" w:rsidP="00923966">
      <w:pPr>
        <w:jc w:val="both"/>
      </w:pPr>
    </w:p>
    <w:p w14:paraId="66BEC09C" w14:textId="282A1248" w:rsidR="00BB5A18" w:rsidRDefault="00BB5A18" w:rsidP="00BA137F">
      <w:pPr>
        <w:pStyle w:val="Body"/>
        <w:rPr>
          <w:rFonts w:ascii="Arial" w:eastAsia="Calibri" w:hAnsi="Arial" w:cs="Arial"/>
          <w:b/>
          <w:bCs/>
          <w:sz w:val="22"/>
          <w:szCs w:val="22"/>
        </w:rPr>
      </w:pPr>
      <w:r w:rsidRPr="00596B47">
        <w:rPr>
          <w:rFonts w:ascii="Arial" w:eastAsia="Calibri" w:hAnsi="Arial" w:cs="Arial"/>
          <w:b/>
          <w:bCs/>
          <w:sz w:val="22"/>
          <w:szCs w:val="22"/>
        </w:rPr>
        <w:t>3.</w:t>
      </w:r>
      <w:r w:rsidR="00587EFA">
        <w:rPr>
          <w:rFonts w:ascii="Arial" w:eastAsia="Calibri" w:hAnsi="Arial" w:cs="Arial"/>
          <w:b/>
          <w:bCs/>
          <w:sz w:val="22"/>
          <w:szCs w:val="22"/>
        </w:rPr>
        <w:t>2</w:t>
      </w:r>
      <w:r w:rsidRPr="00596B47">
        <w:rPr>
          <w:rFonts w:ascii="Arial" w:eastAsia="Calibri" w:hAnsi="Arial" w:cs="Arial"/>
          <w:b/>
          <w:bCs/>
          <w:sz w:val="22"/>
          <w:szCs w:val="22"/>
        </w:rPr>
        <w:t xml:space="preserve"> Total sugar </w:t>
      </w:r>
    </w:p>
    <w:p w14:paraId="4BA9BACA" w14:textId="705E82FE" w:rsidR="00BA2F3F" w:rsidRDefault="00BA2F3F" w:rsidP="00BA137F">
      <w:pPr>
        <w:jc w:val="both"/>
      </w:pPr>
      <w:r w:rsidRPr="001774B7">
        <w:t>The data on quality parameters are presented in Table 1</w:t>
      </w:r>
      <w:r w:rsidR="00923966">
        <w:t>. T</w:t>
      </w:r>
      <w:r w:rsidRPr="001774B7">
        <w:t xml:space="preserve">he highest total sugar content (90.01 mg/g) was recorded in </w:t>
      </w:r>
      <w:proofErr w:type="spellStart"/>
      <w:r w:rsidRPr="001774B7">
        <w:t>Cycocel</w:t>
      </w:r>
      <w:proofErr w:type="spellEnd"/>
      <w:r w:rsidRPr="001774B7">
        <w:t xml:space="preserve"> at 150 ppm, followed by </w:t>
      </w:r>
      <w:proofErr w:type="spellStart"/>
      <w:r w:rsidRPr="001774B7">
        <w:t>Cycocel</w:t>
      </w:r>
      <w:proofErr w:type="spellEnd"/>
      <w:r w:rsidRPr="001774B7">
        <w:t xml:space="preserve"> at 100 ppm (88.98 mg/g) and NAA at 150 ppm (88.07 mg/g). The lowest sugar content (82.65 mg/g) was found in the </w:t>
      </w:r>
      <w:r w:rsidR="00923966">
        <w:t>c</w:t>
      </w:r>
      <w:r w:rsidRPr="001774B7">
        <w:t xml:space="preserve">ontrol, which was significantly lower than the other treatments.  The effect of CCC on sugar metabolism depends on its concentration and its function as a gibberellin biosynthesis inhibitor. Similar studies shown that by restricting vegetative growth, CCC reduces competitive sink demand from elongating shoots and reallocates assimilates toward storage organs, leading to higher sugar accumulation in ginger (Venugopal and </w:t>
      </w:r>
      <w:proofErr w:type="spellStart"/>
      <w:r w:rsidRPr="001774B7">
        <w:t>Pariari</w:t>
      </w:r>
      <w:proofErr w:type="spellEnd"/>
      <w:r w:rsidRPr="001774B7">
        <w:t xml:space="preserve">, 2017) and in carrot (McKee </w:t>
      </w:r>
      <w:r w:rsidRPr="00923966">
        <w:rPr>
          <w:i/>
          <w:iCs/>
        </w:rPr>
        <w:t>et al.,</w:t>
      </w:r>
      <w:r w:rsidRPr="001774B7">
        <w:t xml:space="preserve"> 1984).</w:t>
      </w:r>
    </w:p>
    <w:p w14:paraId="7710696F" w14:textId="77777777" w:rsidR="00BA2F3F" w:rsidRPr="00596B47" w:rsidRDefault="00BA2F3F" w:rsidP="00BA137F">
      <w:pPr>
        <w:pStyle w:val="Body"/>
        <w:rPr>
          <w:rFonts w:ascii="Arial" w:eastAsia="Calibri" w:hAnsi="Arial" w:cs="Arial"/>
          <w:b/>
          <w:bCs/>
          <w:sz w:val="22"/>
          <w:szCs w:val="22"/>
        </w:rPr>
      </w:pPr>
    </w:p>
    <w:p w14:paraId="23571C35" w14:textId="7826ADF3" w:rsidR="00BB5A18" w:rsidRDefault="00BB5A18" w:rsidP="00BA137F">
      <w:pPr>
        <w:pStyle w:val="Body"/>
        <w:rPr>
          <w:rFonts w:ascii="Arial" w:eastAsia="Calibri" w:hAnsi="Arial" w:cs="Arial"/>
          <w:b/>
          <w:bCs/>
          <w:sz w:val="22"/>
          <w:szCs w:val="22"/>
        </w:rPr>
      </w:pPr>
      <w:r w:rsidRPr="00441B29">
        <w:rPr>
          <w:rFonts w:ascii="Arial" w:eastAsia="Calibri" w:hAnsi="Arial" w:cs="Arial"/>
          <w:b/>
          <w:bCs/>
          <w:sz w:val="22"/>
          <w:szCs w:val="22"/>
        </w:rPr>
        <w:t>3.</w:t>
      </w:r>
      <w:r w:rsidR="00587EFA">
        <w:rPr>
          <w:rFonts w:ascii="Arial" w:eastAsia="Calibri" w:hAnsi="Arial" w:cs="Arial"/>
          <w:b/>
          <w:bCs/>
          <w:sz w:val="22"/>
          <w:szCs w:val="22"/>
        </w:rPr>
        <w:t>3</w:t>
      </w:r>
      <w:r w:rsidRPr="00441B29">
        <w:rPr>
          <w:rFonts w:ascii="Arial" w:eastAsia="Calibri" w:hAnsi="Arial" w:cs="Arial"/>
          <w:b/>
          <w:bCs/>
          <w:sz w:val="22"/>
          <w:szCs w:val="22"/>
        </w:rPr>
        <w:t xml:space="preserve"> </w:t>
      </w:r>
      <w:r>
        <w:rPr>
          <w:rFonts w:ascii="Arial" w:eastAsia="Calibri" w:hAnsi="Arial" w:cs="Arial"/>
          <w:b/>
          <w:bCs/>
          <w:sz w:val="22"/>
          <w:szCs w:val="22"/>
        </w:rPr>
        <w:t>O</w:t>
      </w:r>
      <w:r w:rsidRPr="00441B29">
        <w:rPr>
          <w:rFonts w:ascii="Arial" w:eastAsia="Calibri" w:hAnsi="Arial" w:cs="Arial"/>
          <w:b/>
          <w:bCs/>
          <w:sz w:val="22"/>
          <w:szCs w:val="22"/>
        </w:rPr>
        <w:t xml:space="preserve">il yield </w:t>
      </w:r>
    </w:p>
    <w:p w14:paraId="13B1A2B2" w14:textId="15DB0F23" w:rsidR="00BA2F3F" w:rsidRDefault="00BA2F3F" w:rsidP="00BA137F">
      <w:pPr>
        <w:jc w:val="both"/>
      </w:pPr>
      <w:r w:rsidRPr="00083D88">
        <w:t xml:space="preserve">The highest volatile oil content was recorded in </w:t>
      </w:r>
      <w:proofErr w:type="spellStart"/>
      <w:r w:rsidRPr="00083D88">
        <w:t>Cycocel</w:t>
      </w:r>
      <w:proofErr w:type="spellEnd"/>
      <w:r w:rsidRPr="00083D88">
        <w:t xml:space="preserve"> 150 ppm</w:t>
      </w:r>
      <w:r w:rsidR="00923966">
        <w:t xml:space="preserve"> </w:t>
      </w:r>
      <w:r w:rsidRPr="00083D88">
        <w:t xml:space="preserve">(3.68%), followed by Naphthalene acetic acid 150 ppm (3.18%). The </w:t>
      </w:r>
      <w:r w:rsidR="00923966">
        <w:t>c</w:t>
      </w:r>
      <w:r w:rsidRPr="00083D88">
        <w:t xml:space="preserve">ontrol observed the lowest volatile oil percentage, being 2.72%. Thus, it was established that </w:t>
      </w:r>
      <w:proofErr w:type="spellStart"/>
      <w:r w:rsidRPr="00083D88">
        <w:t>Cycocel</w:t>
      </w:r>
      <w:proofErr w:type="spellEnd"/>
      <w:r w:rsidRPr="00083D88">
        <w:t xml:space="preserve"> and Naphthalene acetic acid increased the volatile oil content in the ginger rhizomes. Growth regulators such as </w:t>
      </w:r>
      <w:proofErr w:type="spellStart"/>
      <w:r w:rsidRPr="00083D88">
        <w:t>Cycocel</w:t>
      </w:r>
      <w:proofErr w:type="spellEnd"/>
      <w:r w:rsidRPr="00083D88">
        <w:t xml:space="preserve">, growth retardant, began to alter assimilate partitioning and enzyme activity, thus stimulating the terpenoid biosynthetic pathway and increasing volatile fractions responsible for aroma and medicinal purposes. In the present study, </w:t>
      </w:r>
      <w:proofErr w:type="spellStart"/>
      <w:r w:rsidRPr="00083D88">
        <w:t>Cycocel</w:t>
      </w:r>
      <w:proofErr w:type="spellEnd"/>
      <w:r w:rsidRPr="00083D88">
        <w:t xml:space="preserve"> treatment at 150 ppm significantly increased volatile oil content, which could be attributed to its strong regulation in metabolism. Similarly, NAA at 150 ppm increased the volatile oil accumulation probably through auxin-mediated modulation of sink–source relationships and enzyme activation in secondary metabolite biosynthesis pathways. </w:t>
      </w:r>
      <w:r>
        <w:t>T</w:t>
      </w:r>
      <w:r w:rsidRPr="00083D88">
        <w:t>he oil increased due to the application of CCC at 1000</w:t>
      </w:r>
      <w:r w:rsidR="00923966">
        <w:t xml:space="preserve"> </w:t>
      </w:r>
      <w:r w:rsidRPr="00083D88">
        <w:t xml:space="preserve">ppm was reported by Arif </w:t>
      </w:r>
      <w:r w:rsidRPr="00923966">
        <w:rPr>
          <w:i/>
          <w:iCs/>
        </w:rPr>
        <w:t>et al</w:t>
      </w:r>
      <w:r w:rsidRPr="00083D88">
        <w:t>.</w:t>
      </w:r>
      <w:r w:rsidR="00923966">
        <w:t xml:space="preserve"> (</w:t>
      </w:r>
      <w:r w:rsidRPr="00083D88">
        <w:t>2022</w:t>
      </w:r>
      <w:r w:rsidR="00923966">
        <w:t>)</w:t>
      </w:r>
      <w:r w:rsidRPr="00083D88">
        <w:t xml:space="preserve"> The studies conducted earlier by Sengupta </w:t>
      </w:r>
      <w:r w:rsidRPr="00923966">
        <w:rPr>
          <w:i/>
          <w:iCs/>
        </w:rPr>
        <w:t>et al.</w:t>
      </w:r>
      <w:r w:rsidRPr="00083D88">
        <w:t xml:space="preserve"> (2008) and Venugopal and </w:t>
      </w:r>
      <w:proofErr w:type="spellStart"/>
      <w:r w:rsidRPr="00083D88">
        <w:t>Pariari</w:t>
      </w:r>
      <w:proofErr w:type="spellEnd"/>
      <w:r w:rsidRPr="00083D88">
        <w:t xml:space="preserve"> (2017) also supported this result.</w:t>
      </w:r>
    </w:p>
    <w:p w14:paraId="7EF4E2E7" w14:textId="77777777" w:rsidR="00BA2F3F" w:rsidRPr="00441B29" w:rsidRDefault="00BA2F3F" w:rsidP="00BA137F">
      <w:pPr>
        <w:pStyle w:val="Body"/>
        <w:rPr>
          <w:rFonts w:ascii="Arial" w:eastAsia="Calibri" w:hAnsi="Arial" w:cs="Arial"/>
          <w:b/>
          <w:bCs/>
          <w:sz w:val="22"/>
          <w:szCs w:val="22"/>
        </w:rPr>
      </w:pPr>
    </w:p>
    <w:p w14:paraId="18CFABFA" w14:textId="262FDC62" w:rsidR="00BB5A18" w:rsidRPr="00441B29" w:rsidRDefault="00BB5A18" w:rsidP="00BA137F">
      <w:pPr>
        <w:pStyle w:val="Body"/>
        <w:rPr>
          <w:rFonts w:ascii="Arial" w:eastAsia="Calibri" w:hAnsi="Arial" w:cs="Arial"/>
          <w:b/>
          <w:bCs/>
          <w:sz w:val="22"/>
          <w:szCs w:val="22"/>
        </w:rPr>
      </w:pPr>
      <w:r w:rsidRPr="00441B29">
        <w:rPr>
          <w:rFonts w:ascii="Arial" w:eastAsia="Calibri" w:hAnsi="Arial" w:cs="Arial"/>
          <w:b/>
          <w:bCs/>
          <w:sz w:val="22"/>
          <w:szCs w:val="22"/>
        </w:rPr>
        <w:lastRenderedPageBreak/>
        <w:t>3.</w:t>
      </w:r>
      <w:r w:rsidR="00587EFA">
        <w:rPr>
          <w:rFonts w:ascii="Arial" w:eastAsia="Calibri" w:hAnsi="Arial" w:cs="Arial"/>
          <w:b/>
          <w:bCs/>
          <w:sz w:val="22"/>
          <w:szCs w:val="22"/>
        </w:rPr>
        <w:t xml:space="preserve">4 </w:t>
      </w:r>
      <w:r w:rsidRPr="00441B29">
        <w:rPr>
          <w:rFonts w:ascii="Arial" w:eastAsia="Calibri" w:hAnsi="Arial" w:cs="Arial"/>
          <w:b/>
          <w:bCs/>
          <w:sz w:val="22"/>
          <w:szCs w:val="22"/>
        </w:rPr>
        <w:t>Oleoresin yield</w:t>
      </w:r>
    </w:p>
    <w:p w14:paraId="2C10E147" w14:textId="3BA36099" w:rsidR="00BA2F3F" w:rsidRDefault="00BA2F3F" w:rsidP="00BA137F">
      <w:pPr>
        <w:jc w:val="both"/>
      </w:pPr>
      <w:r w:rsidRPr="00EA1C74">
        <w:t xml:space="preserve">The highest value for oleoresin (7.94%) was recorded for </w:t>
      </w:r>
      <w:proofErr w:type="spellStart"/>
      <w:r w:rsidRPr="00EA1C74">
        <w:t>Cycocel</w:t>
      </w:r>
      <w:proofErr w:type="spellEnd"/>
      <w:r w:rsidRPr="00EA1C74">
        <w:t xml:space="preserve"> at 150 ppm, followed by </w:t>
      </w:r>
      <w:proofErr w:type="spellStart"/>
      <w:r w:rsidRPr="00EA1C74">
        <w:t>Cycocel</w:t>
      </w:r>
      <w:proofErr w:type="spellEnd"/>
      <w:r w:rsidRPr="00EA1C74">
        <w:t xml:space="preserve"> at 100 ppm with 7.85% and NAA at 100 ppm with 7.89%.</w:t>
      </w:r>
      <w:r w:rsidR="0004531B" w:rsidRPr="0004531B">
        <w:t xml:space="preserve">The increase in oleoresin content may be attributed to </w:t>
      </w:r>
      <w:proofErr w:type="spellStart"/>
      <w:r w:rsidR="0004531B" w:rsidRPr="0004531B">
        <w:t>Cycocel’s</w:t>
      </w:r>
      <w:proofErr w:type="spellEnd"/>
      <w:r w:rsidR="0004531B" w:rsidRPr="0004531B">
        <w:t xml:space="preserve"> growth-retarding effect, which alters assimilate partitioning toward rhizome reserves by reducing excessive vegetative </w:t>
      </w:r>
      <w:proofErr w:type="spellStart"/>
      <w:r w:rsidR="0004531B" w:rsidRPr="0004531B">
        <w:t>growth.</w:t>
      </w:r>
      <w:r w:rsidRPr="00EA1C74">
        <w:t>Cycocel</w:t>
      </w:r>
      <w:proofErr w:type="spellEnd"/>
      <w:r w:rsidRPr="00EA1C74">
        <w:t xml:space="preserve"> permits transit of photosynthates toward underground storage organs, thereby increasing the accumulation of metabolites responsible for pungency and flavor. </w:t>
      </w:r>
      <w:r w:rsidRPr="00083D88">
        <w:t xml:space="preserve">Arif </w:t>
      </w:r>
      <w:r w:rsidRPr="0004531B">
        <w:rPr>
          <w:i/>
          <w:iCs/>
        </w:rPr>
        <w:t>et</w:t>
      </w:r>
      <w:r w:rsidR="0004531B">
        <w:rPr>
          <w:i/>
          <w:iCs/>
        </w:rPr>
        <w:t xml:space="preserve"> </w:t>
      </w:r>
      <w:r w:rsidRPr="0004531B">
        <w:rPr>
          <w:i/>
          <w:iCs/>
        </w:rPr>
        <w:t>al.</w:t>
      </w:r>
      <w:r w:rsidR="0004531B">
        <w:rPr>
          <w:i/>
          <w:iCs/>
        </w:rPr>
        <w:t xml:space="preserve"> </w:t>
      </w:r>
      <w:r w:rsidR="0004531B" w:rsidRPr="0004531B">
        <w:rPr>
          <w:i/>
          <w:iCs/>
        </w:rPr>
        <w:t>(</w:t>
      </w:r>
      <w:r w:rsidRPr="00083D88">
        <w:t>2022</w:t>
      </w:r>
      <w:r w:rsidR="0004531B">
        <w:t>)</w:t>
      </w:r>
      <w:r w:rsidRPr="00EA1C74">
        <w:t xml:space="preserve"> </w:t>
      </w:r>
      <w:r>
        <w:t>reported that increased oleoresin</w:t>
      </w:r>
      <w:r w:rsidRPr="00083D88">
        <w:t xml:space="preserve"> </w:t>
      </w:r>
      <w:r>
        <w:t xml:space="preserve">content at higher concentration </w:t>
      </w:r>
      <w:r w:rsidRPr="00083D88">
        <w:t xml:space="preserve">of </w:t>
      </w:r>
      <w:r w:rsidR="004B5C04" w:rsidRPr="00083D88">
        <w:t>CCC. The</w:t>
      </w:r>
      <w:r w:rsidRPr="00EA1C74">
        <w:t xml:space="preserve"> same has been reported by Jirali </w:t>
      </w:r>
      <w:r w:rsidRPr="0004531B">
        <w:rPr>
          <w:i/>
          <w:iCs/>
        </w:rPr>
        <w:t>et al.</w:t>
      </w:r>
      <w:r w:rsidRPr="00EA1C74">
        <w:t xml:space="preserve"> (2008) and Maruthi </w:t>
      </w:r>
      <w:r w:rsidRPr="0004531B">
        <w:rPr>
          <w:i/>
          <w:iCs/>
        </w:rPr>
        <w:t>et al.</w:t>
      </w:r>
      <w:r w:rsidRPr="00EA1C74">
        <w:t xml:space="preserve"> (2003).</w:t>
      </w:r>
    </w:p>
    <w:p w14:paraId="7AA01E73" w14:textId="77777777" w:rsidR="00BB5A18" w:rsidRDefault="00BB5A18" w:rsidP="00BA137F">
      <w:pPr>
        <w:pStyle w:val="Body"/>
        <w:rPr>
          <w:rFonts w:ascii="Arial" w:eastAsia="Calibri" w:hAnsi="Arial" w:cs="Arial"/>
          <w:szCs w:val="22"/>
        </w:rPr>
      </w:pPr>
    </w:p>
    <w:p w14:paraId="40886E2A" w14:textId="77777777" w:rsidR="00B01FCD" w:rsidRDefault="00000F8F" w:rsidP="00BA137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F721B1" w14:textId="77777777" w:rsidR="00790ADA" w:rsidRPr="00FB3A86" w:rsidRDefault="00790ADA" w:rsidP="00BA137F">
      <w:pPr>
        <w:pStyle w:val="ConcHead"/>
        <w:spacing w:after="0"/>
        <w:jc w:val="both"/>
        <w:rPr>
          <w:rFonts w:ascii="Arial" w:hAnsi="Arial" w:cs="Arial"/>
        </w:rPr>
      </w:pPr>
    </w:p>
    <w:p w14:paraId="1F3AE425" w14:textId="64B80693" w:rsidR="00BA2F3F" w:rsidRDefault="00BA2F3F" w:rsidP="00BA137F">
      <w:pPr>
        <w:jc w:val="both"/>
      </w:pPr>
      <w:r w:rsidRPr="00F55D25">
        <w:t xml:space="preserve">Among the treatments studied, </w:t>
      </w:r>
      <w:proofErr w:type="spellStart"/>
      <w:r w:rsidRPr="00F55D25">
        <w:t>Cycocel</w:t>
      </w:r>
      <w:proofErr w:type="spellEnd"/>
      <w:r w:rsidRPr="00F55D25">
        <w:t xml:space="preserve"> at 150 ppm was able to improve various parameters of quality</w:t>
      </w:r>
      <w:r w:rsidR="0004531B">
        <w:t xml:space="preserve"> </w:t>
      </w:r>
      <w:r w:rsidRPr="00F55D25">
        <w:t>such as total sugar, volatile oil, and oleoresin. Its ability to influence assimilate partitioning along with its capacity to induce the biosynthesis of secondary metabolites makes it highly suitable for commercial ginger production, where superior quality attributes are essential. Furthermore, naphthalene acetic acid at 150 ppm significantly increased protein content as well as volatile oil concentration</w:t>
      </w:r>
      <w:r w:rsidR="004B5C04" w:rsidRPr="00F55D25">
        <w:t>.</w:t>
      </w:r>
      <w:r w:rsidR="0004531B">
        <w:t xml:space="preserve"> </w:t>
      </w:r>
      <w:proofErr w:type="gramStart"/>
      <w:r w:rsidR="004B5C04" w:rsidRPr="00F55D25">
        <w:t>Therefore</w:t>
      </w:r>
      <w:proofErr w:type="gramEnd"/>
      <w:r w:rsidRPr="00F55D25">
        <w:t xml:space="preserve"> </w:t>
      </w:r>
      <w:proofErr w:type="spellStart"/>
      <w:r w:rsidRPr="00F55D25">
        <w:t>Cycocel</w:t>
      </w:r>
      <w:proofErr w:type="spellEnd"/>
      <w:r w:rsidRPr="00F55D25">
        <w:t xml:space="preserve"> at 150 ppm emerges as the most effective treatment for improving the biochemical quality and maximizing economic value of ginger</w:t>
      </w:r>
      <w:r w:rsidR="0004531B">
        <w:t>.</w:t>
      </w:r>
    </w:p>
    <w:p w14:paraId="505EE45D" w14:textId="6B92ADEB" w:rsidR="001D37A8" w:rsidRDefault="001D37A8" w:rsidP="00BA137F">
      <w:pPr>
        <w:pStyle w:val="Body"/>
        <w:rPr>
          <w:rFonts w:ascii="Arial" w:hAnsi="Arial" w:cs="Arial"/>
        </w:rPr>
      </w:pPr>
    </w:p>
    <w:p w14:paraId="76BF28A1" w14:textId="7C04E818" w:rsidR="00FB119C" w:rsidRDefault="00FB119C" w:rsidP="00BA137F">
      <w:pPr>
        <w:pStyle w:val="Body"/>
        <w:rPr>
          <w:rFonts w:ascii="Arial" w:hAnsi="Arial" w:cs="Arial"/>
        </w:rPr>
      </w:pPr>
      <w:r>
        <w:rPr>
          <w:rFonts w:ascii="Arial" w:hAnsi="Arial" w:cs="Arial"/>
        </w:rPr>
        <w:t>Disclaimer</w:t>
      </w:r>
    </w:p>
    <w:p w14:paraId="7AD8D2DC" w14:textId="280F6384" w:rsidR="00FB119C" w:rsidRDefault="00FB119C" w:rsidP="00BA137F">
      <w:pPr>
        <w:pStyle w:val="Body"/>
        <w:rPr>
          <w:rFonts w:ascii="Arial" w:hAnsi="Arial" w:cs="Arial"/>
        </w:rPr>
      </w:pPr>
      <w:r w:rsidRPr="00FB119C">
        <w:rPr>
          <w:rFonts w:ascii="Arial" w:hAnsi="Arial" w:cs="Arial"/>
        </w:rPr>
        <w:t>“The authors declare that generative AI technologies were used during the writing or editing of this manuscript. Details of the AI usage are provided below, including the name, version, and source of the generative AI technology, along with all input prompts supplied to the system.</w:t>
      </w:r>
    </w:p>
    <w:p w14:paraId="6DEAADB8" w14:textId="51650A0C" w:rsidR="00FB119C" w:rsidRPr="00FB119C" w:rsidRDefault="00FB119C" w:rsidP="00BA137F">
      <w:pPr>
        <w:pStyle w:val="Body"/>
        <w:rPr>
          <w:noProof/>
          <w:lang w:val="en-IN"/>
        </w:rPr>
      </w:pPr>
      <w:r>
        <w:rPr>
          <w:noProof/>
          <w:lang w:val="en-IN"/>
        </w:rPr>
        <w:t xml:space="preserve"> 1.</w:t>
      </w:r>
      <w:r w:rsidRPr="00FB119C">
        <w:rPr>
          <w:noProof/>
          <w:lang w:val="en-IN"/>
        </w:rPr>
        <w:t>Tool used: ChatGPT (OpenAI, GPT-5).</w:t>
      </w:r>
    </w:p>
    <w:p w14:paraId="5F176AB2" w14:textId="2C3F5DB4" w:rsidR="00FB119C" w:rsidRPr="00FB119C" w:rsidRDefault="00FB119C" w:rsidP="00BA137F">
      <w:pPr>
        <w:pStyle w:val="Body"/>
        <w:rPr>
          <w:noProof/>
          <w:lang w:val="en-IN"/>
        </w:rPr>
      </w:pPr>
      <w:r>
        <w:rPr>
          <w:noProof/>
          <w:lang w:val="en-IN"/>
        </w:rPr>
        <w:t xml:space="preserve"> 2. </w:t>
      </w:r>
      <w:r w:rsidRPr="00FB119C">
        <w:rPr>
          <w:noProof/>
          <w:lang w:val="en-IN"/>
        </w:rPr>
        <w:t>Version: September 2025 release.</w:t>
      </w:r>
    </w:p>
    <w:p w14:paraId="20651C70" w14:textId="7A899802" w:rsidR="00FB119C" w:rsidRDefault="00FB119C" w:rsidP="00BA137F">
      <w:pPr>
        <w:pStyle w:val="Body"/>
        <w:rPr>
          <w:noProof/>
          <w:lang w:val="en-IN"/>
        </w:rPr>
      </w:pPr>
      <w:r>
        <w:rPr>
          <w:noProof/>
          <w:lang w:val="en-IN"/>
        </w:rPr>
        <w:t xml:space="preserve"> 3.</w:t>
      </w:r>
      <w:r w:rsidRPr="00FB119C">
        <w:rPr>
          <w:noProof/>
          <w:lang w:val="en-IN"/>
        </w:rPr>
        <w:t>Purpose: Assisted in paraphrasing sentences, formatting references and refining grammar/academic tone</w:t>
      </w:r>
      <w:r>
        <w:rPr>
          <w:noProof/>
          <w:lang w:val="en-IN"/>
        </w:rPr>
        <w:t xml:space="preserve"> in the introduction </w:t>
      </w:r>
      <w:r w:rsidR="0004531B">
        <w:rPr>
          <w:noProof/>
          <w:lang w:val="en-IN"/>
        </w:rPr>
        <w:t>and conclusion</w:t>
      </w:r>
      <w:r w:rsidRPr="00FB119C">
        <w:rPr>
          <w:noProof/>
          <w:lang w:val="en-IN"/>
        </w:rPr>
        <w:t>.</w:t>
      </w:r>
    </w:p>
    <w:p w14:paraId="422492D2" w14:textId="030162FA" w:rsidR="00BA137F" w:rsidRPr="00BA137F" w:rsidRDefault="00BA137F" w:rsidP="00BA137F">
      <w:pPr>
        <w:pStyle w:val="Body"/>
        <w:rPr>
          <w:noProof/>
          <w:lang w:val="en-IN"/>
        </w:rPr>
      </w:pPr>
      <w:r w:rsidRPr="00BA137F">
        <w:rPr>
          <w:noProof/>
          <w:lang w:val="en-IN"/>
        </w:rPr>
        <w:t>Rephrase the sentence: CCC’s influence on sugar metabolism depends on its concentration level and its role as an inhibitor of gibberellin biosynthesis.</w:t>
      </w:r>
    </w:p>
    <w:p w14:paraId="54F893BB" w14:textId="6FDE7311" w:rsidR="00BA137F" w:rsidRPr="00FB119C" w:rsidRDefault="00BA137F" w:rsidP="00BA137F">
      <w:pPr>
        <w:pStyle w:val="Body"/>
        <w:rPr>
          <w:noProof/>
          <w:lang w:val="en-IN"/>
        </w:rPr>
      </w:pPr>
      <w:r w:rsidRPr="00BA137F">
        <w:rPr>
          <w:noProof/>
          <w:lang w:val="en-IN"/>
        </w:rPr>
        <w:t xml:space="preserve">Polish this passage for academic tone: </w:t>
      </w:r>
      <w:r>
        <w:rPr>
          <w:noProof/>
          <w:lang w:val="en-IN"/>
        </w:rPr>
        <w:t xml:space="preserve"> </w:t>
      </w:r>
      <w:r w:rsidRPr="00BA137F">
        <w:rPr>
          <w:noProof/>
          <w:lang w:val="en-IN"/>
        </w:rPr>
        <w:t xml:space="preserve">such as </w:t>
      </w:r>
      <w:r>
        <w:rPr>
          <w:noProof/>
          <w:lang w:val="en-IN"/>
        </w:rPr>
        <w:t xml:space="preserve"> introduction</w:t>
      </w:r>
      <w:r w:rsidR="0004531B">
        <w:rPr>
          <w:noProof/>
          <w:lang w:val="en-IN"/>
        </w:rPr>
        <w:t>,</w:t>
      </w:r>
      <w:r>
        <w:rPr>
          <w:noProof/>
          <w:lang w:val="en-IN"/>
        </w:rPr>
        <w:t xml:space="preserve"> </w:t>
      </w:r>
      <w:r w:rsidRPr="00BA137F">
        <w:rPr>
          <w:noProof/>
          <w:lang w:val="en-IN"/>
        </w:rPr>
        <w:t>total sugar, volatile oil</w:t>
      </w:r>
      <w:r w:rsidR="0004531B">
        <w:rPr>
          <w:noProof/>
          <w:lang w:val="en-IN"/>
        </w:rPr>
        <w:t xml:space="preserve"> </w:t>
      </w:r>
      <w:r w:rsidRPr="00BA137F">
        <w:rPr>
          <w:noProof/>
          <w:lang w:val="en-IN"/>
        </w:rPr>
        <w:t>and oleoresin…</w:t>
      </w:r>
    </w:p>
    <w:p w14:paraId="58D84611" w14:textId="77777777" w:rsidR="00FB119C" w:rsidRDefault="00FB119C" w:rsidP="00BA137F">
      <w:pPr>
        <w:pStyle w:val="Body"/>
        <w:rPr>
          <w:noProof/>
        </w:rPr>
      </w:pPr>
    </w:p>
    <w:p w14:paraId="34D53A6A" w14:textId="1DBF8E70" w:rsidR="001D37A8" w:rsidRDefault="001D37A8" w:rsidP="00BA137F">
      <w:pPr>
        <w:pStyle w:val="Body"/>
        <w:rPr>
          <w:rFonts w:ascii="Arial" w:hAnsi="Arial" w:cs="Arial"/>
        </w:rPr>
      </w:pPr>
      <w:bookmarkStart w:id="0" w:name="_GoBack"/>
      <w:bookmarkEnd w:id="0"/>
    </w:p>
    <w:p w14:paraId="382F6B71" w14:textId="77777777" w:rsidR="00356515" w:rsidRDefault="00356515" w:rsidP="00BA137F">
      <w:pPr>
        <w:pStyle w:val="Body"/>
        <w:spacing w:after="0"/>
        <w:rPr>
          <w:rFonts w:ascii="Arial" w:hAnsi="Arial" w:cs="Arial"/>
        </w:rPr>
      </w:pPr>
    </w:p>
    <w:p w14:paraId="66E66DC7" w14:textId="77777777" w:rsidR="00A9180F" w:rsidRDefault="00356515" w:rsidP="00BA137F">
      <w:pPr>
        <w:pStyle w:val="Body"/>
        <w:spacing w:after="0"/>
        <w:rPr>
          <w:rFonts w:ascii="Arial" w:hAnsi="Arial" w:cs="Arial"/>
          <w:b/>
          <w:bCs/>
          <w:sz w:val="22"/>
          <w:szCs w:val="22"/>
        </w:rPr>
      </w:pPr>
      <w:r w:rsidRPr="00356515">
        <w:rPr>
          <w:rFonts w:ascii="Arial" w:hAnsi="Arial" w:cs="Arial"/>
          <w:b/>
          <w:bCs/>
          <w:sz w:val="22"/>
          <w:szCs w:val="22"/>
        </w:rPr>
        <w:t>REFERENCES</w:t>
      </w:r>
    </w:p>
    <w:p w14:paraId="33EFB9E5" w14:textId="77777777" w:rsidR="00A9180F" w:rsidRDefault="00A9180F" w:rsidP="00BA137F">
      <w:pPr>
        <w:pStyle w:val="Body"/>
        <w:spacing w:after="0"/>
        <w:rPr>
          <w:rFonts w:ascii="Arial" w:hAnsi="Arial" w:cs="Arial"/>
          <w:b/>
          <w:bCs/>
          <w:sz w:val="22"/>
          <w:szCs w:val="22"/>
        </w:rPr>
      </w:pPr>
    </w:p>
    <w:p w14:paraId="7E2CD679" w14:textId="09498F75" w:rsidR="007C6089" w:rsidRDefault="00A9180F" w:rsidP="00BA137F">
      <w:pPr>
        <w:pStyle w:val="Body"/>
        <w:spacing w:after="0"/>
        <w:rPr>
          <w:rFonts w:ascii="Arial" w:hAnsi="Arial" w:cs="Arial"/>
        </w:rPr>
      </w:pPr>
      <w:r w:rsidRPr="00C538D1">
        <w:rPr>
          <w:rFonts w:ascii="Arial" w:hAnsi="Arial" w:cs="Arial"/>
          <w:bCs/>
          <w:caps/>
        </w:rPr>
        <w:lastRenderedPageBreak/>
        <w:t>1</w:t>
      </w:r>
      <w:r w:rsidR="00C92FE6" w:rsidRPr="00C538D1">
        <w:rPr>
          <w:rFonts w:ascii="Arial" w:hAnsi="Arial" w:cs="Arial"/>
        </w:rPr>
        <w:t>.Arif, T., Bhoomika, H.R., Ganapathi, M., Nataraj, S.K.</w:t>
      </w:r>
      <w:r w:rsidR="00587EFA" w:rsidRPr="00C538D1">
        <w:rPr>
          <w:rFonts w:ascii="Arial" w:hAnsi="Arial" w:cs="Arial"/>
        </w:rPr>
        <w:t xml:space="preserve"> and</w:t>
      </w:r>
      <w:r w:rsidR="00C92FE6" w:rsidRPr="00C538D1">
        <w:rPr>
          <w:rFonts w:ascii="Arial" w:hAnsi="Arial" w:cs="Arial"/>
        </w:rPr>
        <w:t xml:space="preserve"> </w:t>
      </w:r>
      <w:proofErr w:type="spellStart"/>
      <w:r w:rsidR="00C92FE6" w:rsidRPr="00C538D1">
        <w:rPr>
          <w:rFonts w:ascii="Arial" w:hAnsi="Arial" w:cs="Arial"/>
        </w:rPr>
        <w:t>Nadukeri</w:t>
      </w:r>
      <w:proofErr w:type="spellEnd"/>
      <w:r w:rsidR="00C92FE6" w:rsidRPr="00C538D1">
        <w:rPr>
          <w:rFonts w:ascii="Arial" w:hAnsi="Arial" w:cs="Arial"/>
        </w:rPr>
        <w:t>, S. (2022). Influence of growth retardant</w:t>
      </w:r>
      <w:r w:rsidR="00587EFA" w:rsidRPr="00C538D1">
        <w:rPr>
          <w:rFonts w:ascii="Arial" w:hAnsi="Arial" w:cs="Arial"/>
        </w:rPr>
        <w:t xml:space="preserve"> and</w:t>
      </w:r>
      <w:r w:rsidR="00C92FE6" w:rsidRPr="00C538D1">
        <w:rPr>
          <w:rFonts w:ascii="Arial" w:hAnsi="Arial" w:cs="Arial"/>
        </w:rPr>
        <w:t xml:space="preserve"> nutrient levels on ginger (</w:t>
      </w:r>
      <w:proofErr w:type="spellStart"/>
      <w:r w:rsidR="00C92FE6" w:rsidRPr="00C538D1">
        <w:rPr>
          <w:rFonts w:ascii="Arial" w:hAnsi="Arial" w:cs="Arial"/>
          <w:i/>
          <w:iCs/>
        </w:rPr>
        <w:t>Zingiber</w:t>
      </w:r>
      <w:proofErr w:type="spellEnd"/>
      <w:r w:rsidR="00C92FE6" w:rsidRPr="00C538D1">
        <w:rPr>
          <w:rFonts w:ascii="Arial" w:hAnsi="Arial" w:cs="Arial"/>
          <w:i/>
          <w:iCs/>
        </w:rPr>
        <w:t xml:space="preserve"> </w:t>
      </w:r>
      <w:proofErr w:type="spellStart"/>
      <w:r w:rsidR="00C92FE6" w:rsidRPr="00C538D1">
        <w:rPr>
          <w:rFonts w:ascii="Arial" w:hAnsi="Arial" w:cs="Arial"/>
          <w:i/>
          <w:iCs/>
        </w:rPr>
        <w:t>officinale</w:t>
      </w:r>
      <w:proofErr w:type="spellEnd"/>
      <w:r w:rsidR="00C92FE6" w:rsidRPr="00C538D1">
        <w:rPr>
          <w:rFonts w:ascii="Arial" w:hAnsi="Arial" w:cs="Arial"/>
          <w:i/>
          <w:iCs/>
        </w:rPr>
        <w:t xml:space="preserve"> </w:t>
      </w:r>
      <w:proofErr w:type="spellStart"/>
      <w:r w:rsidR="00C92FE6" w:rsidRPr="00C538D1">
        <w:rPr>
          <w:rFonts w:ascii="Arial" w:hAnsi="Arial" w:cs="Arial"/>
          <w:i/>
          <w:iCs/>
        </w:rPr>
        <w:t>Rosc</w:t>
      </w:r>
      <w:proofErr w:type="spellEnd"/>
      <w:r w:rsidR="00C92FE6" w:rsidRPr="00C538D1">
        <w:rPr>
          <w:rFonts w:ascii="Arial" w:hAnsi="Arial" w:cs="Arial"/>
        </w:rPr>
        <w:t xml:space="preserve">.) in soilless culture under protected structure. </w:t>
      </w:r>
      <w:r w:rsidR="00C92FE6" w:rsidRPr="00C538D1">
        <w:rPr>
          <w:rFonts w:ascii="Arial" w:hAnsi="Arial" w:cs="Arial"/>
          <w:i/>
          <w:iCs/>
        </w:rPr>
        <w:t xml:space="preserve">Mod. </w:t>
      </w:r>
      <w:proofErr w:type="spellStart"/>
      <w:r w:rsidR="00C92FE6" w:rsidRPr="00C538D1">
        <w:rPr>
          <w:rFonts w:ascii="Arial" w:hAnsi="Arial" w:cs="Arial"/>
          <w:i/>
          <w:iCs/>
        </w:rPr>
        <w:t>Phytomorphol</w:t>
      </w:r>
      <w:proofErr w:type="spellEnd"/>
      <w:r w:rsidR="00C92FE6" w:rsidRPr="00C538D1">
        <w:rPr>
          <w:rFonts w:ascii="Arial" w:hAnsi="Arial" w:cs="Arial"/>
        </w:rPr>
        <w:t>. 15</w:t>
      </w:r>
      <w:r w:rsidR="00EE0AF3" w:rsidRPr="00C538D1">
        <w:rPr>
          <w:rFonts w:ascii="Arial" w:hAnsi="Arial" w:cs="Arial"/>
        </w:rPr>
        <w:t>,</w:t>
      </w:r>
      <w:r w:rsidR="00C92FE6" w:rsidRPr="00C538D1">
        <w:rPr>
          <w:rFonts w:ascii="Arial" w:hAnsi="Arial" w:cs="Arial"/>
        </w:rPr>
        <w:t xml:space="preserve">134-140. </w:t>
      </w:r>
    </w:p>
    <w:p w14:paraId="667A391B" w14:textId="77777777" w:rsidR="00BA2F3F" w:rsidRDefault="00BA2F3F" w:rsidP="00BA137F">
      <w:pPr>
        <w:pStyle w:val="Body"/>
        <w:spacing w:after="0"/>
        <w:rPr>
          <w:rFonts w:ascii="Arial" w:hAnsi="Arial" w:cs="Arial"/>
        </w:rPr>
      </w:pPr>
    </w:p>
    <w:p w14:paraId="2B6F62AF" w14:textId="6FDB5DB7" w:rsidR="00BA2F3F" w:rsidRPr="00C538D1" w:rsidRDefault="00BA2F3F" w:rsidP="00BA137F">
      <w:pPr>
        <w:pStyle w:val="Body"/>
        <w:spacing w:after="0"/>
        <w:rPr>
          <w:rFonts w:ascii="Arial" w:hAnsi="Arial" w:cs="Arial"/>
        </w:rPr>
      </w:pPr>
      <w:r>
        <w:rPr>
          <w:rFonts w:ascii="Arial" w:hAnsi="Arial" w:cs="Arial"/>
        </w:rPr>
        <w:t>2.</w:t>
      </w:r>
      <w:r w:rsidRPr="00BA2F3F">
        <w:rPr>
          <w:rFonts w:ascii="Arial" w:hAnsi="Arial" w:cs="Arial"/>
        </w:rPr>
        <w:t xml:space="preserve">Banjare, C., Mahanta, D., Sahu, P., &amp; Choudhary, R. (2024). A comprehensive review on protected cultivation: Importance, scope and status. </w:t>
      </w:r>
      <w:r w:rsidR="0004531B" w:rsidRPr="003E6750">
        <w:rPr>
          <w:rFonts w:ascii="Arial" w:hAnsi="Arial" w:cs="Arial"/>
          <w:i/>
          <w:iCs/>
        </w:rPr>
        <w:t>Int. J. Environ. Clim</w:t>
      </w:r>
      <w:r w:rsidR="003E6750" w:rsidRPr="003E6750">
        <w:rPr>
          <w:rFonts w:ascii="Arial" w:hAnsi="Arial" w:cs="Arial"/>
          <w:i/>
          <w:iCs/>
        </w:rPr>
        <w:t>.</w:t>
      </w:r>
      <w:r w:rsidR="0004531B" w:rsidRPr="003E6750">
        <w:rPr>
          <w:rFonts w:ascii="Arial" w:hAnsi="Arial" w:cs="Arial"/>
          <w:i/>
          <w:iCs/>
        </w:rPr>
        <w:t xml:space="preserve"> Change</w:t>
      </w:r>
      <w:r w:rsidRPr="00BA2F3F">
        <w:rPr>
          <w:rFonts w:ascii="Arial" w:hAnsi="Arial" w:cs="Arial"/>
          <w:i/>
          <w:iCs/>
        </w:rPr>
        <w:t xml:space="preserve"> 14</w:t>
      </w:r>
      <w:r w:rsidRPr="00BA2F3F">
        <w:rPr>
          <w:rFonts w:ascii="Arial" w:hAnsi="Arial" w:cs="Arial"/>
        </w:rPr>
        <w:t>(7), 46–55.</w:t>
      </w:r>
    </w:p>
    <w:p w14:paraId="3973AD4B" w14:textId="77777777" w:rsidR="007C6089" w:rsidRPr="00C538D1" w:rsidRDefault="007C6089" w:rsidP="00BA137F">
      <w:pPr>
        <w:pStyle w:val="Body"/>
        <w:spacing w:after="0"/>
        <w:rPr>
          <w:rFonts w:ascii="Arial" w:hAnsi="Arial" w:cs="Arial"/>
        </w:rPr>
      </w:pPr>
    </w:p>
    <w:p w14:paraId="411E2F2C" w14:textId="0D8F8477" w:rsidR="00BA2F3F" w:rsidRPr="00C538D1" w:rsidRDefault="00BA2F3F" w:rsidP="00BA137F">
      <w:pPr>
        <w:pStyle w:val="Body"/>
        <w:spacing w:after="0"/>
        <w:rPr>
          <w:rFonts w:ascii="Arial" w:hAnsi="Arial" w:cs="Arial"/>
        </w:rPr>
      </w:pPr>
      <w:r>
        <w:rPr>
          <w:rFonts w:ascii="Arial" w:hAnsi="Arial" w:cs="Arial"/>
        </w:rPr>
        <w:t>3</w:t>
      </w:r>
      <w:r w:rsidR="00C92FE6" w:rsidRPr="00C538D1">
        <w:rPr>
          <w:rFonts w:ascii="Arial" w:hAnsi="Arial" w:cs="Arial"/>
        </w:rPr>
        <w:t>.</w:t>
      </w:r>
      <w:r w:rsidR="004B5C04" w:rsidRPr="004B5C04">
        <w:t xml:space="preserve"> </w:t>
      </w:r>
      <w:r w:rsidR="004B5C04" w:rsidRPr="004B5C04">
        <w:rPr>
          <w:rFonts w:ascii="Arial" w:hAnsi="Arial" w:cs="Arial"/>
        </w:rPr>
        <w:t xml:space="preserve">Bradford, M. M. (1976). A rapid and sensitive method for the quantitation of microgram quantities of protein utilizing the principle of protein-dye binding. </w:t>
      </w:r>
      <w:r w:rsidR="004B5C04" w:rsidRPr="004B5C04">
        <w:rPr>
          <w:rFonts w:ascii="Arial" w:hAnsi="Arial" w:cs="Arial"/>
          <w:i/>
          <w:iCs/>
        </w:rPr>
        <w:t>Anal</w:t>
      </w:r>
      <w:r w:rsidR="003E6750">
        <w:rPr>
          <w:rFonts w:ascii="Arial" w:hAnsi="Arial" w:cs="Arial"/>
          <w:i/>
          <w:iCs/>
        </w:rPr>
        <w:t>.</w:t>
      </w:r>
      <w:r w:rsidR="004B5C04" w:rsidRPr="004B5C04">
        <w:rPr>
          <w:rFonts w:ascii="Arial" w:hAnsi="Arial" w:cs="Arial"/>
          <w:i/>
          <w:iCs/>
        </w:rPr>
        <w:t xml:space="preserve"> </w:t>
      </w:r>
      <w:proofErr w:type="spellStart"/>
      <w:r w:rsidR="004B5C04" w:rsidRPr="004B5C04">
        <w:rPr>
          <w:rFonts w:ascii="Arial" w:hAnsi="Arial" w:cs="Arial"/>
          <w:i/>
          <w:iCs/>
        </w:rPr>
        <w:t>Biochem</w:t>
      </w:r>
      <w:proofErr w:type="spellEnd"/>
      <w:r w:rsidR="003E6750">
        <w:rPr>
          <w:rFonts w:ascii="Arial" w:hAnsi="Arial" w:cs="Arial"/>
          <w:i/>
          <w:iCs/>
        </w:rPr>
        <w:t>.</w:t>
      </w:r>
      <w:r w:rsidR="004B5C04" w:rsidRPr="004B5C04">
        <w:rPr>
          <w:rFonts w:ascii="Arial" w:hAnsi="Arial" w:cs="Arial"/>
          <w:i/>
          <w:iCs/>
        </w:rPr>
        <w:t>, 72</w:t>
      </w:r>
      <w:r w:rsidR="004B5C04" w:rsidRPr="004B5C04">
        <w:rPr>
          <w:rFonts w:ascii="Arial" w:hAnsi="Arial" w:cs="Arial"/>
        </w:rPr>
        <w:t>(1–2), 248–254.</w:t>
      </w:r>
    </w:p>
    <w:p w14:paraId="420F6A39" w14:textId="77777777" w:rsidR="007C6089" w:rsidRPr="00C538D1" w:rsidRDefault="007C6089" w:rsidP="00BA137F">
      <w:pPr>
        <w:pStyle w:val="Body"/>
        <w:spacing w:after="0"/>
        <w:rPr>
          <w:rFonts w:ascii="Arial" w:hAnsi="Arial" w:cs="Arial"/>
        </w:rPr>
      </w:pPr>
    </w:p>
    <w:p w14:paraId="5B033E36" w14:textId="3366E67A" w:rsidR="007C6089" w:rsidRDefault="004B5C04" w:rsidP="00BA137F">
      <w:pPr>
        <w:pStyle w:val="Body"/>
        <w:spacing w:after="0"/>
        <w:rPr>
          <w:rFonts w:ascii="Arial" w:hAnsi="Arial" w:cs="Arial"/>
        </w:rPr>
      </w:pPr>
      <w:r>
        <w:rPr>
          <w:rFonts w:ascii="Arial" w:hAnsi="Arial" w:cs="Arial"/>
        </w:rPr>
        <w:t>4</w:t>
      </w:r>
      <w:r w:rsidR="00A26E24" w:rsidRPr="00C538D1">
        <w:rPr>
          <w:rFonts w:ascii="Arial" w:hAnsi="Arial" w:cs="Arial"/>
        </w:rPr>
        <w:t xml:space="preserve">.Gomez, K. A., </w:t>
      </w:r>
      <w:r w:rsidR="003E6750">
        <w:rPr>
          <w:rFonts w:ascii="Arial" w:hAnsi="Arial" w:cs="Arial"/>
        </w:rPr>
        <w:t xml:space="preserve">and </w:t>
      </w:r>
      <w:r w:rsidR="00A26E24" w:rsidRPr="00C538D1">
        <w:rPr>
          <w:rFonts w:ascii="Arial" w:hAnsi="Arial" w:cs="Arial"/>
        </w:rPr>
        <w:t xml:space="preserve">Gomez, A. A. (1984). </w:t>
      </w:r>
      <w:r w:rsidR="00A26E24" w:rsidRPr="00C538D1">
        <w:rPr>
          <w:rFonts w:ascii="Arial" w:hAnsi="Arial" w:cs="Arial"/>
          <w:i/>
          <w:iCs/>
        </w:rPr>
        <w:t>Statistical procedures for agricultural research</w:t>
      </w:r>
      <w:r w:rsidR="00A26E24" w:rsidRPr="00C538D1">
        <w:rPr>
          <w:rFonts w:ascii="Arial" w:hAnsi="Arial" w:cs="Arial"/>
        </w:rPr>
        <w:t xml:space="preserve"> (2</w:t>
      </w:r>
      <w:r w:rsidR="00A26E24" w:rsidRPr="00C538D1">
        <w:rPr>
          <w:rFonts w:ascii="Arial" w:hAnsi="Arial" w:cs="Arial"/>
          <w:vertAlign w:val="superscript"/>
        </w:rPr>
        <w:t>nd</w:t>
      </w:r>
      <w:r w:rsidR="00A26E24" w:rsidRPr="00C538D1">
        <w:rPr>
          <w:rFonts w:ascii="Arial" w:hAnsi="Arial" w:cs="Arial"/>
        </w:rPr>
        <w:t xml:space="preserve"> ed.). New York</w:t>
      </w:r>
      <w:r w:rsidR="007C6089" w:rsidRPr="00C538D1">
        <w:rPr>
          <w:rFonts w:ascii="Arial" w:hAnsi="Arial" w:cs="Arial"/>
        </w:rPr>
        <w:t xml:space="preserve"> </w:t>
      </w:r>
    </w:p>
    <w:p w14:paraId="6DF46122" w14:textId="77777777" w:rsidR="00BA2F3F" w:rsidRDefault="00BA2F3F" w:rsidP="00BA137F">
      <w:pPr>
        <w:pStyle w:val="Body"/>
        <w:spacing w:after="0"/>
        <w:rPr>
          <w:rFonts w:ascii="Arial" w:hAnsi="Arial" w:cs="Arial"/>
        </w:rPr>
      </w:pPr>
    </w:p>
    <w:p w14:paraId="6BCBFFB6" w14:textId="65A7ED8E" w:rsidR="00BA2F3F" w:rsidRPr="00C538D1" w:rsidRDefault="004B5C04" w:rsidP="00BA137F">
      <w:pPr>
        <w:pStyle w:val="Body"/>
        <w:spacing w:after="0"/>
        <w:rPr>
          <w:rFonts w:ascii="Arial" w:hAnsi="Arial" w:cs="Arial"/>
        </w:rPr>
      </w:pPr>
      <w:r>
        <w:t>5</w:t>
      </w:r>
      <w:r w:rsidR="00BA2F3F">
        <w:t>.</w:t>
      </w:r>
      <w:r w:rsidR="00BA2F3F" w:rsidRPr="00E379BE">
        <w:t xml:space="preserve">Guo, X., Wu, Q., Zhu, G., Hussien Ibrahim, M. E., </w:t>
      </w:r>
      <w:r w:rsidR="003E6750">
        <w:t xml:space="preserve">and </w:t>
      </w:r>
      <w:r w:rsidR="00BA2F3F" w:rsidRPr="00E379BE">
        <w:t>Zhou, G. (2022). Gibberellin Increased Yield of </w:t>
      </w:r>
      <w:r w:rsidR="00BA2F3F" w:rsidRPr="00E379BE">
        <w:rPr>
          <w:i/>
          <w:iCs/>
        </w:rPr>
        <w:t>Sesbania pea</w:t>
      </w:r>
      <w:r w:rsidR="00BA2F3F" w:rsidRPr="00E379BE">
        <w:t> Grown under Saline Soils by Improving Antioxidant Enzyme Activities and Photosynthesis. </w:t>
      </w:r>
      <w:r w:rsidR="00BA2F3F" w:rsidRPr="00E379BE">
        <w:rPr>
          <w:i/>
          <w:iCs/>
        </w:rPr>
        <w:t>Agronomy</w:t>
      </w:r>
      <w:r w:rsidR="00BA2F3F" w:rsidRPr="00E379BE">
        <w:t>, </w:t>
      </w:r>
      <w:r w:rsidR="00BA2F3F" w:rsidRPr="00E379BE">
        <w:rPr>
          <w:i/>
          <w:iCs/>
        </w:rPr>
        <w:t>12</w:t>
      </w:r>
      <w:r w:rsidR="00BA2F3F" w:rsidRPr="00E379BE">
        <w:t>(8), 1855.</w:t>
      </w:r>
    </w:p>
    <w:p w14:paraId="37BF0FE2" w14:textId="77777777" w:rsidR="007C6089" w:rsidRPr="00C538D1" w:rsidRDefault="007C6089" w:rsidP="00BA137F">
      <w:pPr>
        <w:pStyle w:val="Body"/>
        <w:spacing w:after="0"/>
        <w:rPr>
          <w:rFonts w:ascii="Arial" w:hAnsi="Arial" w:cs="Arial"/>
        </w:rPr>
      </w:pPr>
    </w:p>
    <w:p w14:paraId="70F1403D" w14:textId="11EEC9A7" w:rsidR="00C92FE6" w:rsidRPr="00C538D1" w:rsidRDefault="00C92FE6" w:rsidP="00BA137F">
      <w:pPr>
        <w:pStyle w:val="Body"/>
        <w:spacing w:after="0"/>
        <w:rPr>
          <w:rFonts w:ascii="Arial" w:hAnsi="Arial" w:cs="Arial"/>
          <w:b/>
          <w:caps/>
        </w:rPr>
      </w:pPr>
      <w:r w:rsidRPr="00C538D1">
        <w:rPr>
          <w:rFonts w:ascii="Arial" w:hAnsi="Arial" w:cs="Arial"/>
        </w:rPr>
        <w:t xml:space="preserve"> </w:t>
      </w:r>
    </w:p>
    <w:p w14:paraId="723A69D4" w14:textId="2DEA8061" w:rsidR="00C92FE6" w:rsidRPr="00C538D1" w:rsidRDefault="004B5C04" w:rsidP="00BA137F">
      <w:pPr>
        <w:pStyle w:val="ReferHead"/>
        <w:jc w:val="both"/>
        <w:rPr>
          <w:rFonts w:ascii="Arial" w:hAnsi="Arial" w:cs="Arial"/>
          <w:b w:val="0"/>
          <w:caps w:val="0"/>
          <w:sz w:val="20"/>
        </w:rPr>
      </w:pPr>
      <w:r>
        <w:rPr>
          <w:rFonts w:ascii="Arial" w:hAnsi="Arial" w:cs="Arial"/>
          <w:b w:val="0"/>
          <w:caps w:val="0"/>
          <w:sz w:val="20"/>
        </w:rPr>
        <w:lastRenderedPageBreak/>
        <w:t>6</w:t>
      </w:r>
      <w:r w:rsidR="00C92FE6" w:rsidRPr="00C538D1">
        <w:rPr>
          <w:rFonts w:ascii="Arial" w:hAnsi="Arial" w:cs="Arial"/>
          <w:b w:val="0"/>
          <w:caps w:val="0"/>
          <w:sz w:val="20"/>
        </w:rPr>
        <w:t xml:space="preserve">.Hedge, J. E. </w:t>
      </w:r>
      <w:r w:rsidR="009E4772" w:rsidRPr="00C538D1">
        <w:rPr>
          <w:rFonts w:ascii="Arial" w:hAnsi="Arial" w:cs="Arial"/>
          <w:b w:val="0"/>
          <w:caps w:val="0"/>
          <w:sz w:val="20"/>
        </w:rPr>
        <w:t>and</w:t>
      </w:r>
      <w:r w:rsidR="00C92FE6" w:rsidRPr="00C538D1">
        <w:rPr>
          <w:rFonts w:ascii="Arial" w:hAnsi="Arial" w:cs="Arial"/>
          <w:b w:val="0"/>
          <w:caps w:val="0"/>
          <w:sz w:val="20"/>
        </w:rPr>
        <w:t xml:space="preserve"> </w:t>
      </w:r>
      <w:proofErr w:type="spellStart"/>
      <w:r w:rsidR="00C92FE6" w:rsidRPr="00C538D1">
        <w:rPr>
          <w:rFonts w:ascii="Arial" w:hAnsi="Arial" w:cs="Arial"/>
          <w:b w:val="0"/>
          <w:caps w:val="0"/>
          <w:sz w:val="20"/>
        </w:rPr>
        <w:t>Hofreiter</w:t>
      </w:r>
      <w:proofErr w:type="spellEnd"/>
      <w:r w:rsidR="00C92FE6" w:rsidRPr="00C538D1">
        <w:rPr>
          <w:rFonts w:ascii="Arial" w:hAnsi="Arial" w:cs="Arial"/>
          <w:b w:val="0"/>
          <w:caps w:val="0"/>
          <w:sz w:val="20"/>
        </w:rPr>
        <w:t xml:space="preserve">, B. T. (1962). </w:t>
      </w:r>
      <w:r w:rsidR="00C92FE6" w:rsidRPr="00C538D1">
        <w:rPr>
          <w:rFonts w:ascii="Arial" w:hAnsi="Arial" w:cs="Arial"/>
          <w:b w:val="0"/>
          <w:i/>
          <w:iCs/>
          <w:caps w:val="0"/>
          <w:sz w:val="20"/>
        </w:rPr>
        <w:t xml:space="preserve">Methods </w:t>
      </w:r>
      <w:proofErr w:type="spellStart"/>
      <w:r w:rsidR="00C92FE6" w:rsidRPr="00C538D1">
        <w:rPr>
          <w:rFonts w:ascii="Arial" w:hAnsi="Arial" w:cs="Arial"/>
          <w:b w:val="0"/>
          <w:i/>
          <w:iCs/>
          <w:caps w:val="0"/>
          <w:sz w:val="20"/>
        </w:rPr>
        <w:t>Carbohydr</w:t>
      </w:r>
      <w:proofErr w:type="spellEnd"/>
      <w:r w:rsidR="00C92FE6" w:rsidRPr="00C538D1">
        <w:rPr>
          <w:rFonts w:ascii="Arial" w:hAnsi="Arial" w:cs="Arial"/>
          <w:b w:val="0"/>
          <w:i/>
          <w:iCs/>
          <w:caps w:val="0"/>
          <w:sz w:val="20"/>
        </w:rPr>
        <w:t>. Chem.,</w:t>
      </w:r>
      <w:r w:rsidR="00C92FE6" w:rsidRPr="00C538D1">
        <w:rPr>
          <w:rFonts w:ascii="Arial" w:hAnsi="Arial" w:cs="Arial"/>
          <w:b w:val="0"/>
          <w:caps w:val="0"/>
          <w:sz w:val="20"/>
        </w:rPr>
        <w:t xml:space="preserve"> 17, 420–424.</w:t>
      </w:r>
    </w:p>
    <w:p w14:paraId="76759129" w14:textId="20CE4A2A" w:rsidR="004D1A12" w:rsidRPr="00C538D1" w:rsidRDefault="004B5C04" w:rsidP="00BA137F">
      <w:pPr>
        <w:pStyle w:val="ReferHead"/>
        <w:jc w:val="both"/>
        <w:rPr>
          <w:rFonts w:ascii="Arial" w:hAnsi="Arial" w:cs="Arial"/>
          <w:b w:val="0"/>
          <w:caps w:val="0"/>
          <w:sz w:val="20"/>
        </w:rPr>
      </w:pPr>
      <w:r>
        <w:rPr>
          <w:rFonts w:ascii="Arial" w:hAnsi="Arial" w:cs="Arial"/>
          <w:b w:val="0"/>
          <w:caps w:val="0"/>
          <w:sz w:val="20"/>
        </w:rPr>
        <w:t>7</w:t>
      </w:r>
      <w:r w:rsidR="004D1A12" w:rsidRPr="00C538D1">
        <w:rPr>
          <w:rFonts w:ascii="Arial" w:hAnsi="Arial" w:cs="Arial"/>
          <w:b w:val="0"/>
          <w:caps w:val="0"/>
          <w:sz w:val="20"/>
        </w:rPr>
        <w:t>.Jirali, D.I., Hiremath, S.M., Chetti, M.B</w:t>
      </w:r>
      <w:r w:rsidR="00587EFA" w:rsidRPr="00C538D1">
        <w:rPr>
          <w:rFonts w:ascii="Arial" w:hAnsi="Arial" w:cs="Arial"/>
          <w:b w:val="0"/>
          <w:caps w:val="0"/>
          <w:sz w:val="20"/>
        </w:rPr>
        <w:t xml:space="preserve"> and</w:t>
      </w:r>
      <w:r w:rsidR="004D1A12" w:rsidRPr="00C538D1">
        <w:rPr>
          <w:rFonts w:ascii="Arial" w:hAnsi="Arial" w:cs="Arial"/>
          <w:b w:val="0"/>
          <w:caps w:val="0"/>
          <w:sz w:val="20"/>
        </w:rPr>
        <w:t xml:space="preserve"> Patil, S.A. 2008. Studies on yield components, yield</w:t>
      </w:r>
      <w:r w:rsidR="00587EFA" w:rsidRPr="00C538D1">
        <w:rPr>
          <w:rFonts w:ascii="Arial" w:hAnsi="Arial" w:cs="Arial"/>
          <w:b w:val="0"/>
          <w:caps w:val="0"/>
          <w:sz w:val="20"/>
        </w:rPr>
        <w:t xml:space="preserve"> and</w:t>
      </w:r>
      <w:r w:rsidR="004D1A12" w:rsidRPr="00C538D1">
        <w:rPr>
          <w:rFonts w:ascii="Arial" w:hAnsi="Arial" w:cs="Arial"/>
          <w:b w:val="0"/>
          <w:caps w:val="0"/>
          <w:sz w:val="20"/>
        </w:rPr>
        <w:t xml:space="preserve"> quality attributes as affected by growth regulators in Turmeric. </w:t>
      </w:r>
      <w:r w:rsidR="004D1A12" w:rsidRPr="00C538D1">
        <w:rPr>
          <w:rFonts w:ascii="Arial" w:hAnsi="Arial" w:cs="Arial"/>
          <w:b w:val="0"/>
          <w:i/>
          <w:iCs/>
          <w:caps w:val="0"/>
          <w:sz w:val="20"/>
        </w:rPr>
        <w:t>J</w:t>
      </w:r>
      <w:r w:rsidR="00B84B10" w:rsidRPr="00C538D1">
        <w:rPr>
          <w:rFonts w:ascii="Arial" w:hAnsi="Arial" w:cs="Arial"/>
          <w:b w:val="0"/>
          <w:i/>
          <w:iCs/>
          <w:caps w:val="0"/>
          <w:sz w:val="20"/>
        </w:rPr>
        <w:t>.</w:t>
      </w:r>
      <w:r w:rsidR="004D1A12" w:rsidRPr="00C538D1">
        <w:rPr>
          <w:rFonts w:ascii="Arial" w:hAnsi="Arial" w:cs="Arial"/>
          <w:b w:val="0"/>
          <w:i/>
          <w:iCs/>
          <w:caps w:val="0"/>
          <w:sz w:val="20"/>
        </w:rPr>
        <w:t xml:space="preserve"> Eco-friendly Agri.</w:t>
      </w:r>
      <w:r w:rsidR="004D1A12" w:rsidRPr="00C538D1">
        <w:rPr>
          <w:rFonts w:ascii="Arial" w:hAnsi="Arial" w:cs="Arial"/>
          <w:b w:val="0"/>
          <w:caps w:val="0"/>
          <w:sz w:val="20"/>
        </w:rPr>
        <w:t xml:space="preserve"> 3(2)</w:t>
      </w:r>
      <w:r w:rsidR="00EE0AF3" w:rsidRPr="00C538D1">
        <w:rPr>
          <w:rFonts w:ascii="Arial" w:hAnsi="Arial" w:cs="Arial"/>
          <w:b w:val="0"/>
          <w:caps w:val="0"/>
          <w:sz w:val="20"/>
        </w:rPr>
        <w:t>,</w:t>
      </w:r>
      <w:r w:rsidR="004D1A12" w:rsidRPr="00C538D1">
        <w:rPr>
          <w:rFonts w:ascii="Arial" w:hAnsi="Arial" w:cs="Arial"/>
          <w:b w:val="0"/>
          <w:caps w:val="0"/>
          <w:sz w:val="20"/>
        </w:rPr>
        <w:t xml:space="preserve"> 119-122.</w:t>
      </w:r>
    </w:p>
    <w:p w14:paraId="45FAEC04" w14:textId="08D30D29" w:rsidR="00C92FE6" w:rsidRDefault="004B5C04" w:rsidP="00BA137F">
      <w:pPr>
        <w:pStyle w:val="ReferHead"/>
        <w:jc w:val="both"/>
        <w:rPr>
          <w:rFonts w:ascii="Arial" w:hAnsi="Arial" w:cs="Arial"/>
          <w:b w:val="0"/>
          <w:caps w:val="0"/>
          <w:sz w:val="20"/>
        </w:rPr>
      </w:pPr>
      <w:r>
        <w:rPr>
          <w:rFonts w:ascii="Arial" w:hAnsi="Arial" w:cs="Arial"/>
          <w:b w:val="0"/>
          <w:caps w:val="0"/>
          <w:sz w:val="20"/>
        </w:rPr>
        <w:t>8</w:t>
      </w:r>
      <w:r w:rsidR="00C92FE6" w:rsidRPr="00C538D1">
        <w:rPr>
          <w:rFonts w:ascii="Arial" w:hAnsi="Arial" w:cs="Arial"/>
          <w:b w:val="0"/>
          <w:caps w:val="0"/>
          <w:sz w:val="20"/>
        </w:rPr>
        <w:t>.KAU (Kerala Agricultural University). (2024). Package of Practices Recommendations: Crops (16th Ed.). Kerala Agricultural University, Thrissur, p.141-143.</w:t>
      </w:r>
    </w:p>
    <w:p w14:paraId="6AC1B7E4" w14:textId="00208292" w:rsidR="00BA2F3F" w:rsidRDefault="004B5C04" w:rsidP="00BA137F">
      <w:pPr>
        <w:pStyle w:val="ReferHead"/>
        <w:jc w:val="both"/>
        <w:rPr>
          <w:rFonts w:ascii="Arial" w:hAnsi="Arial" w:cs="Arial"/>
          <w:b w:val="0"/>
          <w:caps w:val="0"/>
          <w:sz w:val="20"/>
        </w:rPr>
      </w:pPr>
      <w:r>
        <w:rPr>
          <w:rFonts w:ascii="Arial" w:hAnsi="Arial" w:cs="Arial"/>
          <w:b w:val="0"/>
          <w:caps w:val="0"/>
          <w:sz w:val="20"/>
        </w:rPr>
        <w:t>9</w:t>
      </w:r>
      <w:r w:rsidR="00BA2F3F">
        <w:rPr>
          <w:rFonts w:ascii="Arial" w:hAnsi="Arial" w:cs="Arial"/>
          <w:b w:val="0"/>
          <w:caps w:val="0"/>
          <w:sz w:val="20"/>
        </w:rPr>
        <w:t>.</w:t>
      </w:r>
      <w:r w:rsidR="00BA2F3F" w:rsidRPr="00BA2F3F">
        <w:rPr>
          <w:b w:val="0"/>
          <w:caps w:val="0"/>
          <w:sz w:val="20"/>
        </w:rPr>
        <w:t xml:space="preserve"> </w:t>
      </w:r>
      <w:r w:rsidR="00BA2F3F" w:rsidRPr="00BA2F3F">
        <w:rPr>
          <w:rFonts w:ascii="Arial" w:hAnsi="Arial" w:cs="Arial"/>
          <w:b w:val="0"/>
          <w:caps w:val="0"/>
          <w:sz w:val="20"/>
        </w:rPr>
        <w:t xml:space="preserve">Khalid, A., </w:t>
      </w:r>
      <w:proofErr w:type="gramStart"/>
      <w:r w:rsidR="0004531B">
        <w:rPr>
          <w:rFonts w:ascii="Arial" w:hAnsi="Arial" w:cs="Arial"/>
          <w:b w:val="0"/>
          <w:caps w:val="0"/>
          <w:sz w:val="20"/>
        </w:rPr>
        <w:t xml:space="preserve">and  </w:t>
      </w:r>
      <w:r w:rsidR="00BA2F3F" w:rsidRPr="00BA2F3F">
        <w:rPr>
          <w:rFonts w:ascii="Arial" w:hAnsi="Arial" w:cs="Arial"/>
          <w:b w:val="0"/>
          <w:caps w:val="0"/>
          <w:sz w:val="20"/>
        </w:rPr>
        <w:t>Aftab</w:t>
      </w:r>
      <w:proofErr w:type="gramEnd"/>
      <w:r w:rsidR="00BA2F3F" w:rsidRPr="00BA2F3F">
        <w:rPr>
          <w:rFonts w:ascii="Arial" w:hAnsi="Arial" w:cs="Arial"/>
          <w:b w:val="0"/>
          <w:caps w:val="0"/>
          <w:sz w:val="20"/>
        </w:rPr>
        <w:t>, F. (2020). Effect of exogenous application of IAA and GA</w:t>
      </w:r>
      <w:r w:rsidR="00BA2F3F" w:rsidRPr="00BA2F3F">
        <w:rPr>
          <w:rFonts w:ascii="Cambria Math" w:hAnsi="Cambria Math" w:cs="Cambria Math"/>
          <w:b w:val="0"/>
          <w:caps w:val="0"/>
          <w:sz w:val="20"/>
        </w:rPr>
        <w:t>₃</w:t>
      </w:r>
      <w:r w:rsidR="00BA2F3F" w:rsidRPr="00BA2F3F">
        <w:rPr>
          <w:rFonts w:ascii="Arial" w:hAnsi="Arial" w:cs="Arial"/>
          <w:b w:val="0"/>
          <w:caps w:val="0"/>
          <w:sz w:val="20"/>
        </w:rPr>
        <w:t xml:space="preserve"> on growth, protein content, and antioxidant enzymes of </w:t>
      </w:r>
      <w:r w:rsidR="00BA2F3F" w:rsidRPr="00BA2F3F">
        <w:rPr>
          <w:rFonts w:ascii="Arial" w:hAnsi="Arial" w:cs="Arial"/>
          <w:b w:val="0"/>
          <w:i/>
          <w:iCs/>
          <w:caps w:val="0"/>
          <w:sz w:val="20"/>
        </w:rPr>
        <w:t>Solanum tuberosum</w:t>
      </w:r>
      <w:r w:rsidR="00BA2F3F" w:rsidRPr="00BA2F3F">
        <w:rPr>
          <w:rFonts w:ascii="Arial" w:hAnsi="Arial" w:cs="Arial"/>
          <w:b w:val="0"/>
          <w:caps w:val="0"/>
          <w:sz w:val="20"/>
        </w:rPr>
        <w:t xml:space="preserve"> L. grown </w:t>
      </w:r>
      <w:r w:rsidR="00BA2F3F" w:rsidRPr="00BA2F3F">
        <w:rPr>
          <w:rFonts w:ascii="Arial" w:hAnsi="Arial" w:cs="Arial"/>
          <w:b w:val="0"/>
          <w:i/>
          <w:iCs/>
          <w:caps w:val="0"/>
          <w:sz w:val="20"/>
        </w:rPr>
        <w:t>in vitro</w:t>
      </w:r>
      <w:r w:rsidR="00BA2F3F" w:rsidRPr="00BA2F3F">
        <w:rPr>
          <w:rFonts w:ascii="Arial" w:hAnsi="Arial" w:cs="Arial"/>
          <w:b w:val="0"/>
          <w:caps w:val="0"/>
          <w:sz w:val="20"/>
        </w:rPr>
        <w:t xml:space="preserve"> under salt stress. </w:t>
      </w:r>
      <w:r w:rsidR="003E6750" w:rsidRPr="003E6750">
        <w:rPr>
          <w:rFonts w:ascii="Arial" w:hAnsi="Arial" w:cs="Arial"/>
          <w:b w:val="0"/>
          <w:i/>
          <w:iCs/>
          <w:caps w:val="0"/>
          <w:sz w:val="20"/>
        </w:rPr>
        <w:t>In Vitro Cell. Dev. Biol.–Plant</w:t>
      </w:r>
      <w:r w:rsidR="00BA2F3F" w:rsidRPr="00BA2F3F">
        <w:rPr>
          <w:rFonts w:ascii="Arial" w:hAnsi="Arial" w:cs="Arial"/>
          <w:b w:val="0"/>
          <w:i/>
          <w:iCs/>
          <w:caps w:val="0"/>
          <w:sz w:val="20"/>
        </w:rPr>
        <w:t>, 56</w:t>
      </w:r>
      <w:r w:rsidR="00BA2F3F" w:rsidRPr="00BA2F3F">
        <w:rPr>
          <w:rFonts w:ascii="Arial" w:hAnsi="Arial" w:cs="Arial"/>
          <w:b w:val="0"/>
          <w:caps w:val="0"/>
          <w:sz w:val="20"/>
        </w:rPr>
        <w:t>(4), 377–389.</w:t>
      </w:r>
    </w:p>
    <w:p w14:paraId="3A0B884B" w14:textId="5D461375" w:rsidR="004B5C04" w:rsidRDefault="004B5C04" w:rsidP="00BA137F">
      <w:pPr>
        <w:pStyle w:val="ReferHead"/>
        <w:jc w:val="both"/>
        <w:rPr>
          <w:rFonts w:ascii="Arial" w:hAnsi="Arial" w:cs="Arial"/>
          <w:b w:val="0"/>
          <w:caps w:val="0"/>
          <w:sz w:val="20"/>
        </w:rPr>
      </w:pPr>
      <w:r>
        <w:rPr>
          <w:rFonts w:ascii="Arial" w:hAnsi="Arial" w:cs="Arial"/>
          <w:b w:val="0"/>
          <w:caps w:val="0"/>
          <w:sz w:val="20"/>
        </w:rPr>
        <w:t>10.</w:t>
      </w:r>
      <w:r w:rsidRPr="004B5C04">
        <w:rPr>
          <w:rFonts w:ascii="Arial" w:hAnsi="Arial" w:cs="Arial"/>
          <w:b w:val="0"/>
          <w:caps w:val="0"/>
          <w:sz w:val="20"/>
        </w:rPr>
        <w:t xml:space="preserve">Kumar, M., Chaudhary, V., </w:t>
      </w:r>
      <w:r w:rsidR="0004531B">
        <w:rPr>
          <w:rFonts w:ascii="Arial" w:hAnsi="Arial" w:cs="Arial"/>
          <w:b w:val="0"/>
          <w:caps w:val="0"/>
          <w:sz w:val="20"/>
        </w:rPr>
        <w:t xml:space="preserve">and </w:t>
      </w:r>
      <w:proofErr w:type="spellStart"/>
      <w:r w:rsidRPr="004B5C04">
        <w:rPr>
          <w:rFonts w:ascii="Arial" w:hAnsi="Arial" w:cs="Arial"/>
          <w:b w:val="0"/>
          <w:caps w:val="0"/>
          <w:sz w:val="20"/>
        </w:rPr>
        <w:t>Sirohi</w:t>
      </w:r>
      <w:proofErr w:type="spellEnd"/>
      <w:r w:rsidRPr="004B5C04">
        <w:rPr>
          <w:rFonts w:ascii="Arial" w:hAnsi="Arial" w:cs="Arial"/>
          <w:b w:val="0"/>
          <w:caps w:val="0"/>
          <w:sz w:val="20"/>
        </w:rPr>
        <w:t>, U. (2021). Plant growth regulators and their implication in ornamental horticulture: An overview.</w:t>
      </w:r>
      <w:r w:rsidR="003E6750" w:rsidRPr="003E6750">
        <w:rPr>
          <w:b w:val="0"/>
          <w:caps w:val="0"/>
          <w:sz w:val="20"/>
        </w:rPr>
        <w:t xml:space="preserve"> </w:t>
      </w:r>
      <w:r w:rsidR="003E6750" w:rsidRPr="003E6750">
        <w:rPr>
          <w:rFonts w:ascii="Arial" w:hAnsi="Arial" w:cs="Arial"/>
          <w:b w:val="0"/>
          <w:i/>
          <w:iCs/>
          <w:caps w:val="0"/>
          <w:sz w:val="20"/>
        </w:rPr>
        <w:t xml:space="preserve">Int. J. Agric. Environ. </w:t>
      </w:r>
      <w:proofErr w:type="spellStart"/>
      <w:r w:rsidR="003E6750" w:rsidRPr="003E6750">
        <w:rPr>
          <w:rFonts w:ascii="Arial" w:hAnsi="Arial" w:cs="Arial"/>
          <w:b w:val="0"/>
          <w:i/>
          <w:iCs/>
          <w:caps w:val="0"/>
          <w:sz w:val="20"/>
        </w:rPr>
        <w:t>Biotechnol</w:t>
      </w:r>
      <w:proofErr w:type="spellEnd"/>
      <w:r w:rsidR="003E6750" w:rsidRPr="003E6750">
        <w:rPr>
          <w:rFonts w:ascii="Arial" w:hAnsi="Arial" w:cs="Arial"/>
          <w:b w:val="0"/>
          <w:i/>
          <w:iCs/>
          <w:caps w:val="0"/>
          <w:sz w:val="20"/>
        </w:rPr>
        <w:t>.,</w:t>
      </w:r>
      <w:r w:rsidRPr="004B5C04">
        <w:rPr>
          <w:rFonts w:ascii="Arial" w:hAnsi="Arial" w:cs="Arial"/>
          <w:b w:val="0"/>
          <w:i/>
          <w:iCs/>
          <w:caps w:val="0"/>
          <w:sz w:val="20"/>
        </w:rPr>
        <w:t xml:space="preserve"> 14</w:t>
      </w:r>
      <w:r w:rsidRPr="004B5C04">
        <w:rPr>
          <w:rFonts w:ascii="Arial" w:hAnsi="Arial" w:cs="Arial"/>
          <w:b w:val="0"/>
          <w:caps w:val="0"/>
          <w:sz w:val="20"/>
        </w:rPr>
        <w:t>(3), 417–445.</w:t>
      </w:r>
    </w:p>
    <w:p w14:paraId="463D34FD" w14:textId="73308659" w:rsidR="00C92FE6" w:rsidRPr="00C538D1" w:rsidRDefault="004B5C04" w:rsidP="00BA137F">
      <w:pPr>
        <w:pStyle w:val="ReferHead"/>
        <w:jc w:val="both"/>
        <w:rPr>
          <w:rFonts w:ascii="Arial" w:hAnsi="Arial" w:cs="Arial"/>
          <w:b w:val="0"/>
          <w:caps w:val="0"/>
          <w:sz w:val="20"/>
        </w:rPr>
      </w:pPr>
      <w:r>
        <w:rPr>
          <w:rFonts w:ascii="Arial" w:hAnsi="Arial" w:cs="Arial"/>
          <w:b w:val="0"/>
          <w:caps w:val="0"/>
          <w:sz w:val="20"/>
        </w:rPr>
        <w:t>11</w:t>
      </w:r>
      <w:r w:rsidR="00C92FE6" w:rsidRPr="00C538D1">
        <w:rPr>
          <w:rFonts w:ascii="Arial" w:hAnsi="Arial" w:cs="Arial"/>
          <w:b w:val="0"/>
          <w:caps w:val="0"/>
          <w:sz w:val="20"/>
        </w:rPr>
        <w:t>.Maruthi, M., Gowda, M.C.</w:t>
      </w:r>
      <w:r w:rsidR="00587EFA" w:rsidRPr="00C538D1">
        <w:rPr>
          <w:rFonts w:ascii="Arial" w:hAnsi="Arial" w:cs="Arial"/>
          <w:b w:val="0"/>
          <w:caps w:val="0"/>
          <w:sz w:val="20"/>
        </w:rPr>
        <w:t xml:space="preserve"> and</w:t>
      </w:r>
      <w:r w:rsidR="00C92FE6" w:rsidRPr="00C538D1">
        <w:rPr>
          <w:rFonts w:ascii="Arial" w:hAnsi="Arial" w:cs="Arial"/>
          <w:b w:val="0"/>
          <w:caps w:val="0"/>
          <w:sz w:val="20"/>
        </w:rPr>
        <w:t xml:space="preserve"> Gowda, A.M. (2003). Influence of growth regulators on growth of ginger cv. Himachal Pradesh at different stages. Natl. Sem. New Prospective in Spices, </w:t>
      </w:r>
      <w:r w:rsidR="00C92FE6" w:rsidRPr="00C538D1">
        <w:rPr>
          <w:rFonts w:ascii="Arial" w:hAnsi="Arial" w:cs="Arial"/>
          <w:b w:val="0"/>
          <w:i/>
          <w:iCs/>
          <w:caps w:val="0"/>
          <w:sz w:val="20"/>
        </w:rPr>
        <w:t xml:space="preserve">Med. </w:t>
      </w:r>
      <w:proofErr w:type="spellStart"/>
      <w:r w:rsidR="00C92FE6" w:rsidRPr="00C538D1">
        <w:rPr>
          <w:rFonts w:ascii="Arial" w:hAnsi="Arial" w:cs="Arial"/>
          <w:b w:val="0"/>
          <w:i/>
          <w:iCs/>
          <w:caps w:val="0"/>
          <w:sz w:val="20"/>
        </w:rPr>
        <w:t>Aromat</w:t>
      </w:r>
      <w:proofErr w:type="spellEnd"/>
      <w:r w:rsidR="00C92FE6" w:rsidRPr="00C538D1">
        <w:rPr>
          <w:rFonts w:ascii="Arial" w:hAnsi="Arial" w:cs="Arial"/>
          <w:b w:val="0"/>
          <w:i/>
          <w:iCs/>
          <w:caps w:val="0"/>
          <w:sz w:val="20"/>
        </w:rPr>
        <w:t>. Plants.</w:t>
      </w:r>
      <w:r w:rsidR="00C92FE6" w:rsidRPr="00C538D1">
        <w:rPr>
          <w:rFonts w:ascii="Arial" w:hAnsi="Arial" w:cs="Arial"/>
          <w:b w:val="0"/>
          <w:caps w:val="0"/>
          <w:sz w:val="20"/>
        </w:rPr>
        <w:t xml:space="preserve"> p.342-44.</w:t>
      </w:r>
    </w:p>
    <w:p w14:paraId="35269817" w14:textId="15F7AB66" w:rsidR="00C92FE6" w:rsidRPr="00C538D1" w:rsidRDefault="004B5C04" w:rsidP="00BA137F">
      <w:pPr>
        <w:pStyle w:val="ReferHead"/>
        <w:jc w:val="both"/>
        <w:rPr>
          <w:rFonts w:ascii="Arial" w:hAnsi="Arial" w:cs="Arial"/>
          <w:b w:val="0"/>
          <w:caps w:val="0"/>
          <w:sz w:val="20"/>
        </w:rPr>
      </w:pPr>
      <w:r>
        <w:rPr>
          <w:rFonts w:ascii="Arial" w:hAnsi="Arial" w:cs="Arial"/>
          <w:b w:val="0"/>
          <w:caps w:val="0"/>
          <w:sz w:val="20"/>
        </w:rPr>
        <w:t>12</w:t>
      </w:r>
      <w:r w:rsidR="00C92FE6" w:rsidRPr="00C538D1">
        <w:rPr>
          <w:rFonts w:ascii="Arial" w:hAnsi="Arial" w:cs="Arial"/>
          <w:b w:val="0"/>
          <w:caps w:val="0"/>
          <w:sz w:val="20"/>
        </w:rPr>
        <w:t>.McKee, J. M. T., Thomas, T. H.</w:t>
      </w:r>
      <w:r w:rsidR="00B84B10" w:rsidRPr="00C538D1">
        <w:rPr>
          <w:rFonts w:ascii="Arial" w:hAnsi="Arial" w:cs="Arial"/>
          <w:b w:val="0"/>
          <w:caps w:val="0"/>
          <w:sz w:val="20"/>
        </w:rPr>
        <w:t xml:space="preserve"> and </w:t>
      </w:r>
      <w:r w:rsidR="00C92FE6" w:rsidRPr="00C538D1">
        <w:rPr>
          <w:rFonts w:ascii="Arial" w:hAnsi="Arial" w:cs="Arial"/>
          <w:b w:val="0"/>
          <w:caps w:val="0"/>
          <w:sz w:val="20"/>
        </w:rPr>
        <w:t xml:space="preserve">Hole, C. C. (1984). Growth regulator effects on storage root development in carrot. </w:t>
      </w:r>
      <w:r w:rsidR="00C92FE6" w:rsidRPr="00C538D1">
        <w:rPr>
          <w:rFonts w:ascii="Arial" w:hAnsi="Arial" w:cs="Arial"/>
          <w:b w:val="0"/>
          <w:i/>
          <w:iCs/>
          <w:caps w:val="0"/>
          <w:sz w:val="20"/>
        </w:rPr>
        <w:t>Plant Growth Regulation</w:t>
      </w:r>
      <w:r w:rsidR="00C92FE6" w:rsidRPr="00C538D1">
        <w:rPr>
          <w:rFonts w:ascii="Arial" w:hAnsi="Arial" w:cs="Arial"/>
          <w:b w:val="0"/>
          <w:caps w:val="0"/>
          <w:sz w:val="20"/>
        </w:rPr>
        <w:t xml:space="preserve">, 2(4), 359–369. </w:t>
      </w:r>
    </w:p>
    <w:p w14:paraId="4F7EE3EE" w14:textId="49CF7D6C" w:rsidR="00F01508" w:rsidRPr="00C538D1" w:rsidRDefault="001245C9" w:rsidP="00BA137F">
      <w:pPr>
        <w:pStyle w:val="ReferHead"/>
        <w:jc w:val="both"/>
        <w:rPr>
          <w:rFonts w:ascii="Arial" w:hAnsi="Arial" w:cs="Arial"/>
          <w:b w:val="0"/>
          <w:caps w:val="0"/>
          <w:sz w:val="20"/>
        </w:rPr>
      </w:pPr>
      <w:r w:rsidRPr="00C538D1">
        <w:rPr>
          <w:rFonts w:ascii="Arial" w:hAnsi="Arial" w:cs="Arial"/>
          <w:b w:val="0"/>
          <w:caps w:val="0"/>
          <w:sz w:val="20"/>
        </w:rPr>
        <w:t>1</w:t>
      </w:r>
      <w:r w:rsidR="004B5C04">
        <w:rPr>
          <w:rFonts w:ascii="Arial" w:hAnsi="Arial" w:cs="Arial"/>
          <w:b w:val="0"/>
          <w:caps w:val="0"/>
          <w:sz w:val="20"/>
        </w:rPr>
        <w:t>3</w:t>
      </w:r>
      <w:r w:rsidR="004D1A12" w:rsidRPr="00C538D1">
        <w:rPr>
          <w:rFonts w:ascii="Arial" w:hAnsi="Arial" w:cs="Arial"/>
          <w:b w:val="0"/>
          <w:caps w:val="0"/>
          <w:sz w:val="20"/>
        </w:rPr>
        <w:t xml:space="preserve">.Pruthi, J. S. (1989). </w:t>
      </w:r>
      <w:r w:rsidR="004D1A12" w:rsidRPr="00C538D1">
        <w:rPr>
          <w:rFonts w:ascii="Arial" w:hAnsi="Arial" w:cs="Arial"/>
          <w:b w:val="0"/>
          <w:i/>
          <w:iCs/>
          <w:caps w:val="0"/>
          <w:sz w:val="20"/>
        </w:rPr>
        <w:t>Major spices of India: Crop management</w:t>
      </w:r>
      <w:r w:rsidR="00587EFA" w:rsidRPr="00C538D1">
        <w:rPr>
          <w:rFonts w:ascii="Arial" w:hAnsi="Arial" w:cs="Arial"/>
          <w:b w:val="0"/>
          <w:i/>
          <w:iCs/>
          <w:caps w:val="0"/>
          <w:sz w:val="20"/>
        </w:rPr>
        <w:t xml:space="preserve"> and</w:t>
      </w:r>
      <w:r w:rsidR="004D1A12" w:rsidRPr="00C538D1">
        <w:rPr>
          <w:rFonts w:ascii="Arial" w:hAnsi="Arial" w:cs="Arial"/>
          <w:b w:val="0"/>
          <w:i/>
          <w:iCs/>
          <w:caps w:val="0"/>
          <w:sz w:val="20"/>
        </w:rPr>
        <w:t xml:space="preserve"> post-harvest technology</w:t>
      </w:r>
      <w:r w:rsidR="004D1A12" w:rsidRPr="00C538D1">
        <w:rPr>
          <w:rFonts w:ascii="Arial" w:hAnsi="Arial" w:cs="Arial"/>
          <w:b w:val="0"/>
          <w:caps w:val="0"/>
          <w:sz w:val="20"/>
        </w:rPr>
        <w:t>. Indian Council of Agricultural Research (ICAR), New Delhi, p 481.</w:t>
      </w:r>
    </w:p>
    <w:p w14:paraId="6FE14C36" w14:textId="2AD64C8F" w:rsidR="001245C9" w:rsidRPr="00C538D1" w:rsidRDefault="001245C9" w:rsidP="00BA137F">
      <w:pPr>
        <w:pStyle w:val="ReferHead"/>
        <w:jc w:val="both"/>
        <w:rPr>
          <w:rFonts w:ascii="Arial" w:hAnsi="Arial" w:cs="Arial"/>
          <w:b w:val="0"/>
          <w:caps w:val="0"/>
          <w:sz w:val="20"/>
        </w:rPr>
      </w:pPr>
      <w:r w:rsidRPr="00C538D1">
        <w:rPr>
          <w:rFonts w:ascii="Arial" w:hAnsi="Arial" w:cs="Arial"/>
          <w:b w:val="0"/>
          <w:caps w:val="0"/>
          <w:sz w:val="20"/>
        </w:rPr>
        <w:t>1</w:t>
      </w:r>
      <w:r w:rsidR="004B5C04">
        <w:rPr>
          <w:rFonts w:ascii="Arial" w:hAnsi="Arial" w:cs="Arial"/>
          <w:b w:val="0"/>
          <w:caps w:val="0"/>
          <w:sz w:val="20"/>
        </w:rPr>
        <w:t>4</w:t>
      </w:r>
      <w:r w:rsidRPr="00C538D1">
        <w:rPr>
          <w:rFonts w:ascii="Arial" w:hAnsi="Arial" w:cs="Arial"/>
          <w:b w:val="0"/>
          <w:caps w:val="0"/>
          <w:sz w:val="20"/>
        </w:rPr>
        <w:t>.Sengupta, D. K., Maity, T. K., &amp; Dasgupta, B. (2008). Effect of growth regulators on growth</w:t>
      </w:r>
      <w:r w:rsidR="00587EFA" w:rsidRPr="00C538D1">
        <w:rPr>
          <w:rFonts w:ascii="Arial" w:hAnsi="Arial" w:cs="Arial"/>
          <w:b w:val="0"/>
          <w:caps w:val="0"/>
          <w:sz w:val="20"/>
        </w:rPr>
        <w:t xml:space="preserve"> and</w:t>
      </w:r>
      <w:r w:rsidRPr="00C538D1">
        <w:rPr>
          <w:rFonts w:ascii="Arial" w:hAnsi="Arial" w:cs="Arial"/>
          <w:b w:val="0"/>
          <w:caps w:val="0"/>
          <w:sz w:val="20"/>
        </w:rPr>
        <w:t xml:space="preserve"> rhizome production of ginger (</w:t>
      </w:r>
      <w:proofErr w:type="spellStart"/>
      <w:r w:rsidRPr="00C538D1">
        <w:rPr>
          <w:rFonts w:ascii="Arial" w:hAnsi="Arial" w:cs="Arial"/>
          <w:b w:val="0"/>
          <w:i/>
          <w:iCs/>
          <w:caps w:val="0"/>
          <w:sz w:val="20"/>
        </w:rPr>
        <w:t>Zingiber</w:t>
      </w:r>
      <w:proofErr w:type="spellEnd"/>
      <w:r w:rsidRPr="00C538D1">
        <w:rPr>
          <w:rFonts w:ascii="Arial" w:hAnsi="Arial" w:cs="Arial"/>
          <w:b w:val="0"/>
          <w:i/>
          <w:iCs/>
          <w:caps w:val="0"/>
          <w:sz w:val="20"/>
        </w:rPr>
        <w:t xml:space="preserve"> </w:t>
      </w:r>
      <w:proofErr w:type="spellStart"/>
      <w:r w:rsidRPr="00C538D1">
        <w:rPr>
          <w:rFonts w:ascii="Arial" w:hAnsi="Arial" w:cs="Arial"/>
          <w:b w:val="0"/>
          <w:i/>
          <w:iCs/>
          <w:caps w:val="0"/>
          <w:sz w:val="20"/>
        </w:rPr>
        <w:t>officinale</w:t>
      </w:r>
      <w:proofErr w:type="spellEnd"/>
      <w:r w:rsidRPr="00C538D1">
        <w:rPr>
          <w:rFonts w:ascii="Arial" w:hAnsi="Arial" w:cs="Arial"/>
          <w:b w:val="0"/>
          <w:caps w:val="0"/>
          <w:sz w:val="20"/>
        </w:rPr>
        <w:t xml:space="preserve"> </w:t>
      </w:r>
      <w:proofErr w:type="spellStart"/>
      <w:r w:rsidRPr="00C538D1">
        <w:rPr>
          <w:rFonts w:ascii="Arial" w:hAnsi="Arial" w:cs="Arial"/>
          <w:b w:val="0"/>
          <w:caps w:val="0"/>
          <w:sz w:val="20"/>
        </w:rPr>
        <w:t>Rosc</w:t>
      </w:r>
      <w:proofErr w:type="spellEnd"/>
      <w:r w:rsidRPr="00C538D1">
        <w:rPr>
          <w:rFonts w:ascii="Arial" w:hAnsi="Arial" w:cs="Arial"/>
          <w:b w:val="0"/>
          <w:caps w:val="0"/>
          <w:sz w:val="20"/>
        </w:rPr>
        <w:t xml:space="preserve">.) in the hilly region of Darjeeling district. </w:t>
      </w:r>
      <w:r w:rsidRPr="00C538D1">
        <w:rPr>
          <w:rFonts w:ascii="Arial" w:hAnsi="Arial" w:cs="Arial"/>
          <w:b w:val="0"/>
          <w:i/>
          <w:iCs/>
          <w:caps w:val="0"/>
          <w:sz w:val="20"/>
        </w:rPr>
        <w:t>J. Crop Weed, 4</w:t>
      </w:r>
      <w:r w:rsidRPr="00C538D1">
        <w:rPr>
          <w:rFonts w:ascii="Arial" w:hAnsi="Arial" w:cs="Arial"/>
          <w:b w:val="0"/>
          <w:caps w:val="0"/>
          <w:sz w:val="20"/>
        </w:rPr>
        <w:t>(1), 10–13.</w:t>
      </w:r>
    </w:p>
    <w:p w14:paraId="24EF07F9" w14:textId="15A9BA8C" w:rsidR="00C92FE6" w:rsidRDefault="00C92FE6" w:rsidP="00BA137F">
      <w:pPr>
        <w:pStyle w:val="ReferHead"/>
        <w:spacing w:after="0"/>
        <w:jc w:val="both"/>
        <w:rPr>
          <w:rFonts w:ascii="Arial" w:hAnsi="Arial" w:cs="Arial"/>
          <w:b w:val="0"/>
          <w:caps w:val="0"/>
          <w:sz w:val="20"/>
        </w:rPr>
      </w:pPr>
      <w:r w:rsidRPr="00C538D1">
        <w:rPr>
          <w:rFonts w:ascii="Arial" w:hAnsi="Arial" w:cs="Arial"/>
          <w:b w:val="0"/>
          <w:caps w:val="0"/>
          <w:sz w:val="20"/>
        </w:rPr>
        <w:t>1</w:t>
      </w:r>
      <w:r w:rsidR="004B5C04">
        <w:rPr>
          <w:rFonts w:ascii="Arial" w:hAnsi="Arial" w:cs="Arial"/>
          <w:b w:val="0"/>
          <w:caps w:val="0"/>
          <w:sz w:val="20"/>
        </w:rPr>
        <w:t>5</w:t>
      </w:r>
      <w:r w:rsidRPr="00C538D1">
        <w:rPr>
          <w:rFonts w:ascii="Arial" w:hAnsi="Arial" w:cs="Arial"/>
          <w:b w:val="0"/>
          <w:caps w:val="0"/>
          <w:sz w:val="20"/>
        </w:rPr>
        <w:t>.Venugopal, S.</w:t>
      </w:r>
      <w:r w:rsidR="00587EFA" w:rsidRPr="00C538D1">
        <w:rPr>
          <w:rFonts w:ascii="Arial" w:hAnsi="Arial" w:cs="Arial"/>
          <w:b w:val="0"/>
          <w:caps w:val="0"/>
          <w:sz w:val="20"/>
        </w:rPr>
        <w:t xml:space="preserve"> and</w:t>
      </w:r>
      <w:r w:rsidRPr="00C538D1">
        <w:rPr>
          <w:rFonts w:ascii="Arial" w:hAnsi="Arial" w:cs="Arial"/>
          <w:b w:val="0"/>
          <w:caps w:val="0"/>
          <w:sz w:val="20"/>
        </w:rPr>
        <w:t xml:space="preserve"> </w:t>
      </w:r>
      <w:proofErr w:type="spellStart"/>
      <w:r w:rsidRPr="00C538D1">
        <w:rPr>
          <w:rFonts w:ascii="Arial" w:hAnsi="Arial" w:cs="Arial"/>
          <w:b w:val="0"/>
          <w:caps w:val="0"/>
          <w:sz w:val="20"/>
        </w:rPr>
        <w:t>Pariari</w:t>
      </w:r>
      <w:proofErr w:type="spellEnd"/>
      <w:r w:rsidRPr="00C538D1">
        <w:rPr>
          <w:rFonts w:ascii="Arial" w:hAnsi="Arial" w:cs="Arial"/>
          <w:b w:val="0"/>
          <w:caps w:val="0"/>
          <w:sz w:val="20"/>
        </w:rPr>
        <w:t>, A. (2017). Effect of growth regulators on growth</w:t>
      </w:r>
      <w:r w:rsidR="00587EFA" w:rsidRPr="00C538D1">
        <w:rPr>
          <w:rFonts w:ascii="Arial" w:hAnsi="Arial" w:cs="Arial"/>
          <w:b w:val="0"/>
          <w:caps w:val="0"/>
          <w:sz w:val="20"/>
        </w:rPr>
        <w:t xml:space="preserve"> and</w:t>
      </w:r>
      <w:r w:rsidRPr="00C538D1">
        <w:rPr>
          <w:rFonts w:ascii="Arial" w:hAnsi="Arial" w:cs="Arial"/>
          <w:b w:val="0"/>
          <w:caps w:val="0"/>
          <w:sz w:val="20"/>
        </w:rPr>
        <w:t xml:space="preserve"> yield of turmeric (</w:t>
      </w:r>
      <w:r w:rsidRPr="00C538D1">
        <w:rPr>
          <w:rFonts w:ascii="Arial" w:hAnsi="Arial" w:cs="Arial"/>
          <w:b w:val="0"/>
          <w:i/>
          <w:iCs/>
          <w:caps w:val="0"/>
          <w:sz w:val="20"/>
        </w:rPr>
        <w:t>Curcuma longa L</w:t>
      </w:r>
      <w:r w:rsidRPr="00C538D1">
        <w:rPr>
          <w:rFonts w:ascii="Arial" w:hAnsi="Arial" w:cs="Arial"/>
          <w:b w:val="0"/>
          <w:caps w:val="0"/>
          <w:sz w:val="20"/>
        </w:rPr>
        <w:t>.) varieties in Gangetic alluvial plains of West Bengal</w:t>
      </w:r>
      <w:r w:rsidRPr="0004531B">
        <w:rPr>
          <w:rFonts w:ascii="Arial" w:hAnsi="Arial" w:cs="Arial"/>
          <w:b w:val="0"/>
          <w:i/>
          <w:iCs/>
          <w:caps w:val="0"/>
          <w:sz w:val="20"/>
        </w:rPr>
        <w:t>. Int. J. Agric. Sci.,</w:t>
      </w:r>
      <w:r w:rsidRPr="00C538D1">
        <w:rPr>
          <w:rFonts w:ascii="Arial" w:hAnsi="Arial" w:cs="Arial"/>
          <w:b w:val="0"/>
          <w:caps w:val="0"/>
          <w:sz w:val="20"/>
        </w:rPr>
        <w:t xml:space="preserve"> 9(15)</w:t>
      </w:r>
      <w:r w:rsidR="00644F1C" w:rsidRPr="00C538D1">
        <w:rPr>
          <w:rFonts w:ascii="Arial" w:hAnsi="Arial" w:cs="Arial"/>
          <w:b w:val="0"/>
          <w:caps w:val="0"/>
          <w:sz w:val="20"/>
        </w:rPr>
        <w:t>,</w:t>
      </w:r>
      <w:r w:rsidRPr="00C538D1">
        <w:rPr>
          <w:rFonts w:ascii="Arial" w:hAnsi="Arial" w:cs="Arial"/>
          <w:b w:val="0"/>
          <w:caps w:val="0"/>
          <w:sz w:val="20"/>
        </w:rPr>
        <w:t>4104-4106</w:t>
      </w:r>
      <w:r w:rsidR="00734378" w:rsidRPr="00C538D1">
        <w:rPr>
          <w:rFonts w:ascii="Arial" w:hAnsi="Arial" w:cs="Arial"/>
          <w:b w:val="0"/>
          <w:caps w:val="0"/>
          <w:sz w:val="20"/>
        </w:rPr>
        <w:t>.</w:t>
      </w:r>
    </w:p>
    <w:p w14:paraId="7510FCAB" w14:textId="77777777" w:rsidR="00734378" w:rsidRDefault="00734378" w:rsidP="00BA137F">
      <w:pPr>
        <w:pStyle w:val="ReferHead"/>
        <w:spacing w:after="0"/>
        <w:jc w:val="both"/>
        <w:rPr>
          <w:rFonts w:ascii="Arial" w:hAnsi="Arial" w:cs="Arial"/>
          <w:b w:val="0"/>
          <w:caps w:val="0"/>
          <w:sz w:val="20"/>
        </w:rPr>
      </w:pPr>
    </w:p>
    <w:p w14:paraId="0AD0FB40" w14:textId="60DB7325" w:rsidR="00C92FE6" w:rsidRDefault="00734378" w:rsidP="00BA137F">
      <w:pPr>
        <w:tabs>
          <w:tab w:val="left" w:pos="6108"/>
        </w:tabs>
        <w:spacing w:line="480" w:lineRule="auto"/>
        <w:jc w:val="both"/>
        <w:rPr>
          <w:rFonts w:ascii="Arial" w:hAnsi="Arial" w:cs="Arial"/>
          <w:b/>
          <w:bCs/>
        </w:rPr>
      </w:pPr>
      <w:r w:rsidRPr="00441B29">
        <w:rPr>
          <w:rFonts w:ascii="Arial" w:hAnsi="Arial" w:cs="Arial"/>
          <w:b/>
          <w:bCs/>
        </w:rPr>
        <w:t xml:space="preserve">Table </w:t>
      </w:r>
      <w:r w:rsidR="00663283">
        <w:rPr>
          <w:rFonts w:ascii="Arial" w:hAnsi="Arial" w:cs="Arial"/>
          <w:b/>
          <w:bCs/>
        </w:rPr>
        <w:t>1</w:t>
      </w:r>
      <w:r w:rsidRPr="00441B29">
        <w:rPr>
          <w:rFonts w:ascii="Arial" w:hAnsi="Arial" w:cs="Arial"/>
          <w:b/>
          <w:bCs/>
        </w:rPr>
        <w:t>. Effect of plant growth regulators on</w:t>
      </w:r>
      <w:r w:rsidR="0004531B">
        <w:rPr>
          <w:rFonts w:ascii="Arial" w:hAnsi="Arial" w:cs="Arial"/>
          <w:b/>
          <w:bCs/>
        </w:rPr>
        <w:t xml:space="preserve"> biochemical </w:t>
      </w:r>
      <w:r w:rsidRPr="00441B29">
        <w:rPr>
          <w:rFonts w:ascii="Arial" w:hAnsi="Arial" w:cs="Arial"/>
          <w:b/>
          <w:bCs/>
        </w:rPr>
        <w:t>quality parameters</w:t>
      </w:r>
      <w:r w:rsidR="0004531B">
        <w:rPr>
          <w:rFonts w:ascii="Arial" w:hAnsi="Arial" w:cs="Arial"/>
          <w:b/>
          <w:bCs/>
        </w:rPr>
        <w:t xml:space="preserve"> </w:t>
      </w:r>
      <w:r w:rsidRPr="00441B29">
        <w:rPr>
          <w:rFonts w:ascii="Arial" w:hAnsi="Arial" w:cs="Arial"/>
          <w:b/>
          <w:bCs/>
        </w:rPr>
        <w:t>of ginger</w:t>
      </w:r>
      <w:r w:rsidR="00663283">
        <w:rPr>
          <w:rFonts w:ascii="Arial" w:hAnsi="Arial" w:cs="Arial"/>
          <w:b/>
          <w:bCs/>
        </w:rPr>
        <w:t xml:space="preserve"> transplants under polyhouse condition</w:t>
      </w:r>
    </w:p>
    <w:tbl>
      <w:tblPr>
        <w:tblStyle w:val="TableGrid"/>
        <w:tblW w:w="9944" w:type="dxa"/>
        <w:jc w:val="center"/>
        <w:tblLook w:val="04A0" w:firstRow="1" w:lastRow="0" w:firstColumn="1" w:lastColumn="0" w:noHBand="0" w:noVBand="1"/>
      </w:tblPr>
      <w:tblGrid>
        <w:gridCol w:w="1984"/>
        <w:gridCol w:w="2127"/>
        <w:gridCol w:w="2268"/>
        <w:gridCol w:w="1842"/>
        <w:gridCol w:w="1723"/>
      </w:tblGrid>
      <w:tr w:rsidR="00FB45B9" w:rsidRPr="00441B29" w14:paraId="4B46150E" w14:textId="77777777" w:rsidTr="00F679A6">
        <w:trPr>
          <w:trHeight w:val="58"/>
          <w:jc w:val="center"/>
        </w:trPr>
        <w:tc>
          <w:tcPr>
            <w:tcW w:w="1984" w:type="dxa"/>
          </w:tcPr>
          <w:p w14:paraId="17D3156A" w14:textId="77777777" w:rsidR="00FB45B9" w:rsidRPr="00441B29" w:rsidRDefault="00FB45B9" w:rsidP="00BA137F">
            <w:pPr>
              <w:jc w:val="both"/>
              <w:rPr>
                <w:rFonts w:ascii="Arial" w:hAnsi="Arial" w:cs="Arial"/>
              </w:rPr>
            </w:pPr>
            <w:r w:rsidRPr="00441B29">
              <w:rPr>
                <w:rFonts w:ascii="Arial" w:hAnsi="Arial" w:cs="Arial"/>
              </w:rPr>
              <w:t xml:space="preserve">Treatments </w:t>
            </w:r>
          </w:p>
        </w:tc>
        <w:tc>
          <w:tcPr>
            <w:tcW w:w="2127" w:type="dxa"/>
          </w:tcPr>
          <w:p w14:paraId="17E94380" w14:textId="77777777" w:rsidR="00FB45B9" w:rsidRPr="00441B29" w:rsidRDefault="00FB45B9" w:rsidP="00BA137F">
            <w:pPr>
              <w:jc w:val="both"/>
              <w:rPr>
                <w:rFonts w:ascii="Arial" w:hAnsi="Arial" w:cs="Arial"/>
              </w:rPr>
            </w:pPr>
            <w:r w:rsidRPr="00441B29">
              <w:rPr>
                <w:rFonts w:ascii="Arial" w:hAnsi="Arial" w:cs="Arial"/>
              </w:rPr>
              <w:t>Total sugar</w:t>
            </w:r>
            <w:r w:rsidRPr="00441B29">
              <w:rPr>
                <w:rFonts w:ascii="Arial" w:hAnsi="Arial" w:cs="Arial"/>
                <w:sz w:val="24"/>
                <w:szCs w:val="24"/>
              </w:rPr>
              <w:t xml:space="preserve"> (mg/g dry weight)</w:t>
            </w:r>
          </w:p>
        </w:tc>
        <w:tc>
          <w:tcPr>
            <w:tcW w:w="2268" w:type="dxa"/>
          </w:tcPr>
          <w:p w14:paraId="6ACF3D9E" w14:textId="77777777" w:rsidR="00FB45B9" w:rsidRPr="00441B29" w:rsidRDefault="00FB45B9" w:rsidP="00BA137F">
            <w:pPr>
              <w:jc w:val="both"/>
              <w:rPr>
                <w:rFonts w:ascii="Arial" w:hAnsi="Arial" w:cs="Arial"/>
              </w:rPr>
            </w:pPr>
            <w:r w:rsidRPr="00441B29">
              <w:rPr>
                <w:rFonts w:ascii="Arial" w:hAnsi="Arial" w:cs="Arial"/>
              </w:rPr>
              <w:t>Total soluble protein (</w:t>
            </w:r>
            <w:r w:rsidRPr="00441B29">
              <w:rPr>
                <w:rFonts w:ascii="Arial" w:hAnsi="Arial" w:cs="Arial"/>
                <w:sz w:val="24"/>
                <w:szCs w:val="24"/>
              </w:rPr>
              <w:t>mg/g dry weight)</w:t>
            </w:r>
          </w:p>
        </w:tc>
        <w:tc>
          <w:tcPr>
            <w:tcW w:w="1842" w:type="dxa"/>
          </w:tcPr>
          <w:p w14:paraId="2B7BD87A" w14:textId="77777777" w:rsidR="00FB45B9" w:rsidRPr="00441B29" w:rsidRDefault="00FB45B9" w:rsidP="00BA137F">
            <w:pPr>
              <w:jc w:val="both"/>
              <w:rPr>
                <w:rFonts w:ascii="Arial" w:hAnsi="Arial" w:cs="Arial"/>
              </w:rPr>
            </w:pPr>
            <w:r w:rsidRPr="00441B29">
              <w:rPr>
                <w:rFonts w:ascii="Arial" w:hAnsi="Arial" w:cs="Arial"/>
              </w:rPr>
              <w:t>Percentage of volatile oil (v/w)</w:t>
            </w:r>
          </w:p>
        </w:tc>
        <w:tc>
          <w:tcPr>
            <w:tcW w:w="1723" w:type="dxa"/>
          </w:tcPr>
          <w:p w14:paraId="492C8062" w14:textId="77777777" w:rsidR="00FB45B9" w:rsidRPr="00441B29" w:rsidRDefault="00FB45B9" w:rsidP="00BA137F">
            <w:pPr>
              <w:jc w:val="both"/>
              <w:rPr>
                <w:rFonts w:ascii="Arial" w:hAnsi="Arial" w:cs="Arial"/>
              </w:rPr>
            </w:pPr>
            <w:r w:rsidRPr="00441B29">
              <w:rPr>
                <w:rFonts w:ascii="Arial" w:hAnsi="Arial" w:cs="Arial"/>
              </w:rPr>
              <w:t>Percentage of oleoresin (v/w)</w:t>
            </w:r>
          </w:p>
        </w:tc>
      </w:tr>
      <w:tr w:rsidR="00FB45B9" w:rsidRPr="00441B29" w14:paraId="669B1C38" w14:textId="77777777" w:rsidTr="00F679A6">
        <w:trPr>
          <w:jc w:val="center"/>
        </w:trPr>
        <w:tc>
          <w:tcPr>
            <w:tcW w:w="1984" w:type="dxa"/>
          </w:tcPr>
          <w:p w14:paraId="5AA291AD" w14:textId="77777777" w:rsidR="00FB45B9" w:rsidRPr="00441B29" w:rsidRDefault="00FB45B9" w:rsidP="00BA137F">
            <w:pPr>
              <w:jc w:val="both"/>
              <w:rPr>
                <w:rFonts w:ascii="Arial" w:hAnsi="Arial" w:cs="Arial"/>
              </w:rPr>
            </w:pPr>
            <w:r w:rsidRPr="00441B29">
              <w:rPr>
                <w:rFonts w:ascii="Arial" w:hAnsi="Arial" w:cs="Arial"/>
              </w:rPr>
              <w:t>CCC 50 ppm</w:t>
            </w:r>
          </w:p>
        </w:tc>
        <w:tc>
          <w:tcPr>
            <w:tcW w:w="2127" w:type="dxa"/>
          </w:tcPr>
          <w:p w14:paraId="29BB80A7" w14:textId="77777777" w:rsidR="00FB45B9" w:rsidRPr="00441B29" w:rsidRDefault="00FB45B9" w:rsidP="00BA137F">
            <w:pPr>
              <w:jc w:val="both"/>
              <w:rPr>
                <w:rFonts w:ascii="Arial" w:hAnsi="Arial" w:cs="Arial"/>
              </w:rPr>
            </w:pPr>
            <w:r w:rsidRPr="00441B29">
              <w:rPr>
                <w:rFonts w:ascii="Arial" w:hAnsi="Arial" w:cs="Arial"/>
              </w:rPr>
              <w:t>86.67</w:t>
            </w:r>
          </w:p>
        </w:tc>
        <w:tc>
          <w:tcPr>
            <w:tcW w:w="2268" w:type="dxa"/>
          </w:tcPr>
          <w:p w14:paraId="1943423D" w14:textId="77777777" w:rsidR="00FB45B9" w:rsidRPr="00441B29" w:rsidRDefault="00FB45B9" w:rsidP="00BA137F">
            <w:pPr>
              <w:jc w:val="both"/>
              <w:rPr>
                <w:rFonts w:ascii="Arial" w:hAnsi="Arial" w:cs="Arial"/>
              </w:rPr>
            </w:pPr>
            <w:r w:rsidRPr="00441B29">
              <w:rPr>
                <w:rFonts w:ascii="Arial" w:hAnsi="Arial" w:cs="Arial"/>
              </w:rPr>
              <w:t>19.6</w:t>
            </w:r>
            <w:r>
              <w:rPr>
                <w:rFonts w:ascii="Arial" w:hAnsi="Arial" w:cs="Arial"/>
              </w:rPr>
              <w:t>2</w:t>
            </w:r>
          </w:p>
        </w:tc>
        <w:tc>
          <w:tcPr>
            <w:tcW w:w="1842" w:type="dxa"/>
          </w:tcPr>
          <w:p w14:paraId="4450E125" w14:textId="77777777" w:rsidR="00FB45B9" w:rsidRPr="00441B29" w:rsidRDefault="00FB45B9" w:rsidP="00BA137F">
            <w:pPr>
              <w:jc w:val="both"/>
              <w:rPr>
                <w:rFonts w:ascii="Arial" w:hAnsi="Arial" w:cs="Arial"/>
              </w:rPr>
            </w:pPr>
            <w:r w:rsidRPr="00441B29">
              <w:rPr>
                <w:rFonts w:ascii="Arial" w:hAnsi="Arial" w:cs="Arial"/>
              </w:rPr>
              <w:t>2.90</w:t>
            </w:r>
          </w:p>
        </w:tc>
        <w:tc>
          <w:tcPr>
            <w:tcW w:w="1723" w:type="dxa"/>
          </w:tcPr>
          <w:p w14:paraId="6DDA311D" w14:textId="77777777" w:rsidR="00FB45B9" w:rsidRPr="00441B29" w:rsidRDefault="00FB45B9" w:rsidP="00BA137F">
            <w:pPr>
              <w:jc w:val="both"/>
              <w:rPr>
                <w:rFonts w:ascii="Arial" w:hAnsi="Arial" w:cs="Arial"/>
              </w:rPr>
            </w:pPr>
            <w:r w:rsidRPr="00441B29">
              <w:rPr>
                <w:rFonts w:ascii="Arial" w:hAnsi="Arial" w:cs="Arial"/>
              </w:rPr>
              <w:t>7.8</w:t>
            </w:r>
            <w:r>
              <w:rPr>
                <w:rFonts w:ascii="Arial" w:hAnsi="Arial" w:cs="Arial"/>
              </w:rPr>
              <w:t>4</w:t>
            </w:r>
          </w:p>
        </w:tc>
      </w:tr>
      <w:tr w:rsidR="00FB45B9" w:rsidRPr="00441B29" w14:paraId="6788F416" w14:textId="77777777" w:rsidTr="00F679A6">
        <w:trPr>
          <w:jc w:val="center"/>
        </w:trPr>
        <w:tc>
          <w:tcPr>
            <w:tcW w:w="1984" w:type="dxa"/>
          </w:tcPr>
          <w:p w14:paraId="679685C1" w14:textId="77777777" w:rsidR="00FB45B9" w:rsidRPr="00441B29" w:rsidRDefault="00FB45B9" w:rsidP="00BA137F">
            <w:pPr>
              <w:jc w:val="both"/>
              <w:rPr>
                <w:rFonts w:ascii="Arial" w:hAnsi="Arial" w:cs="Arial"/>
              </w:rPr>
            </w:pPr>
            <w:r w:rsidRPr="00441B29">
              <w:rPr>
                <w:rFonts w:ascii="Arial" w:hAnsi="Arial" w:cs="Arial"/>
              </w:rPr>
              <w:t>CCC 100 ppm</w:t>
            </w:r>
          </w:p>
        </w:tc>
        <w:tc>
          <w:tcPr>
            <w:tcW w:w="2127" w:type="dxa"/>
          </w:tcPr>
          <w:p w14:paraId="14962F28" w14:textId="77777777" w:rsidR="00FB45B9" w:rsidRPr="00441B29" w:rsidRDefault="00FB45B9" w:rsidP="00BA137F">
            <w:pPr>
              <w:jc w:val="both"/>
              <w:rPr>
                <w:rFonts w:ascii="Arial" w:hAnsi="Arial" w:cs="Arial"/>
              </w:rPr>
            </w:pPr>
            <w:r w:rsidRPr="00441B29">
              <w:rPr>
                <w:rFonts w:ascii="Arial" w:hAnsi="Arial" w:cs="Arial"/>
              </w:rPr>
              <w:t>88.98</w:t>
            </w:r>
          </w:p>
        </w:tc>
        <w:tc>
          <w:tcPr>
            <w:tcW w:w="2268" w:type="dxa"/>
          </w:tcPr>
          <w:p w14:paraId="609BD68A" w14:textId="77777777" w:rsidR="00FB45B9" w:rsidRPr="00441B29" w:rsidRDefault="00FB45B9" w:rsidP="00BA137F">
            <w:pPr>
              <w:jc w:val="both"/>
              <w:rPr>
                <w:rFonts w:ascii="Arial" w:hAnsi="Arial" w:cs="Arial"/>
              </w:rPr>
            </w:pPr>
            <w:r w:rsidRPr="00441B29">
              <w:rPr>
                <w:rFonts w:ascii="Arial" w:hAnsi="Arial" w:cs="Arial"/>
              </w:rPr>
              <w:t>18.76</w:t>
            </w:r>
          </w:p>
        </w:tc>
        <w:tc>
          <w:tcPr>
            <w:tcW w:w="1842" w:type="dxa"/>
          </w:tcPr>
          <w:p w14:paraId="55825123" w14:textId="77777777" w:rsidR="00FB45B9" w:rsidRPr="00441B29" w:rsidRDefault="00FB45B9" w:rsidP="00BA137F">
            <w:pPr>
              <w:jc w:val="both"/>
              <w:rPr>
                <w:rFonts w:ascii="Arial" w:hAnsi="Arial" w:cs="Arial"/>
              </w:rPr>
            </w:pPr>
            <w:r w:rsidRPr="00441B29">
              <w:rPr>
                <w:rFonts w:ascii="Arial" w:hAnsi="Arial" w:cs="Arial"/>
              </w:rPr>
              <w:t>3.10</w:t>
            </w:r>
          </w:p>
        </w:tc>
        <w:tc>
          <w:tcPr>
            <w:tcW w:w="1723" w:type="dxa"/>
          </w:tcPr>
          <w:p w14:paraId="036F7FDD" w14:textId="77777777" w:rsidR="00FB45B9" w:rsidRPr="00441B29" w:rsidRDefault="00FB45B9" w:rsidP="00BA137F">
            <w:pPr>
              <w:jc w:val="both"/>
              <w:rPr>
                <w:rFonts w:ascii="Arial" w:hAnsi="Arial" w:cs="Arial"/>
              </w:rPr>
            </w:pPr>
            <w:r w:rsidRPr="00441B29">
              <w:rPr>
                <w:rFonts w:ascii="Arial" w:hAnsi="Arial" w:cs="Arial"/>
              </w:rPr>
              <w:t>7.85</w:t>
            </w:r>
          </w:p>
        </w:tc>
      </w:tr>
      <w:tr w:rsidR="00FB45B9" w:rsidRPr="00441B29" w14:paraId="48A59DE6" w14:textId="77777777" w:rsidTr="00F679A6">
        <w:trPr>
          <w:jc w:val="center"/>
        </w:trPr>
        <w:tc>
          <w:tcPr>
            <w:tcW w:w="1984" w:type="dxa"/>
          </w:tcPr>
          <w:p w14:paraId="0C08CFAE" w14:textId="77777777" w:rsidR="00FB45B9" w:rsidRPr="00441B29" w:rsidRDefault="00FB45B9" w:rsidP="00BA137F">
            <w:pPr>
              <w:jc w:val="both"/>
              <w:rPr>
                <w:rFonts w:ascii="Arial" w:hAnsi="Arial" w:cs="Arial"/>
              </w:rPr>
            </w:pPr>
            <w:r w:rsidRPr="00441B29">
              <w:rPr>
                <w:rFonts w:ascii="Arial" w:hAnsi="Arial" w:cs="Arial"/>
              </w:rPr>
              <w:t>CCC 150 ppm</w:t>
            </w:r>
          </w:p>
        </w:tc>
        <w:tc>
          <w:tcPr>
            <w:tcW w:w="2127" w:type="dxa"/>
          </w:tcPr>
          <w:p w14:paraId="4913F7F7" w14:textId="77777777" w:rsidR="00FB45B9" w:rsidRPr="00441B29" w:rsidRDefault="00FB45B9" w:rsidP="00BA137F">
            <w:pPr>
              <w:jc w:val="both"/>
              <w:rPr>
                <w:rFonts w:ascii="Arial" w:hAnsi="Arial" w:cs="Arial"/>
              </w:rPr>
            </w:pPr>
            <w:r w:rsidRPr="00441B29">
              <w:rPr>
                <w:rFonts w:ascii="Arial" w:hAnsi="Arial" w:cs="Arial"/>
              </w:rPr>
              <w:t>90.01</w:t>
            </w:r>
          </w:p>
        </w:tc>
        <w:tc>
          <w:tcPr>
            <w:tcW w:w="2268" w:type="dxa"/>
          </w:tcPr>
          <w:p w14:paraId="1E1C8996" w14:textId="77777777" w:rsidR="00FB45B9" w:rsidRPr="00441B29" w:rsidRDefault="00FB45B9" w:rsidP="00BA137F">
            <w:pPr>
              <w:jc w:val="both"/>
              <w:rPr>
                <w:rFonts w:ascii="Arial" w:hAnsi="Arial" w:cs="Arial"/>
              </w:rPr>
            </w:pPr>
            <w:r w:rsidRPr="00441B29">
              <w:rPr>
                <w:rFonts w:ascii="Arial" w:hAnsi="Arial" w:cs="Arial"/>
              </w:rPr>
              <w:t>18.00</w:t>
            </w:r>
          </w:p>
        </w:tc>
        <w:tc>
          <w:tcPr>
            <w:tcW w:w="1842" w:type="dxa"/>
          </w:tcPr>
          <w:p w14:paraId="47D70493" w14:textId="77777777" w:rsidR="00FB45B9" w:rsidRPr="00441B29" w:rsidRDefault="00FB45B9" w:rsidP="00BA137F">
            <w:pPr>
              <w:jc w:val="both"/>
              <w:rPr>
                <w:rFonts w:ascii="Arial" w:hAnsi="Arial" w:cs="Arial"/>
              </w:rPr>
            </w:pPr>
            <w:r w:rsidRPr="00441B29">
              <w:rPr>
                <w:rFonts w:ascii="Arial" w:hAnsi="Arial" w:cs="Arial"/>
              </w:rPr>
              <w:t>3.68</w:t>
            </w:r>
          </w:p>
        </w:tc>
        <w:tc>
          <w:tcPr>
            <w:tcW w:w="1723" w:type="dxa"/>
          </w:tcPr>
          <w:p w14:paraId="1ED76760" w14:textId="77777777" w:rsidR="00FB45B9" w:rsidRPr="00441B29" w:rsidRDefault="00FB45B9" w:rsidP="00BA137F">
            <w:pPr>
              <w:jc w:val="both"/>
              <w:rPr>
                <w:rFonts w:ascii="Arial" w:hAnsi="Arial" w:cs="Arial"/>
              </w:rPr>
            </w:pPr>
            <w:r w:rsidRPr="00441B29">
              <w:rPr>
                <w:rFonts w:ascii="Arial" w:hAnsi="Arial" w:cs="Arial"/>
              </w:rPr>
              <w:t>7.94</w:t>
            </w:r>
          </w:p>
        </w:tc>
      </w:tr>
      <w:tr w:rsidR="00FB45B9" w:rsidRPr="00441B29" w14:paraId="45002EC6" w14:textId="77777777" w:rsidTr="00F679A6">
        <w:trPr>
          <w:jc w:val="center"/>
        </w:trPr>
        <w:tc>
          <w:tcPr>
            <w:tcW w:w="1984" w:type="dxa"/>
          </w:tcPr>
          <w:p w14:paraId="14A75A19" w14:textId="77777777" w:rsidR="00FB45B9" w:rsidRPr="00441B29" w:rsidRDefault="00FB45B9" w:rsidP="00BA137F">
            <w:pPr>
              <w:jc w:val="both"/>
              <w:rPr>
                <w:rFonts w:ascii="Arial" w:hAnsi="Arial" w:cs="Arial"/>
              </w:rPr>
            </w:pPr>
            <w:r w:rsidRPr="00441B29">
              <w:rPr>
                <w:rFonts w:ascii="Arial" w:hAnsi="Arial" w:cs="Arial"/>
              </w:rPr>
              <w:t>GA 50 ppm</w:t>
            </w:r>
          </w:p>
        </w:tc>
        <w:tc>
          <w:tcPr>
            <w:tcW w:w="2127" w:type="dxa"/>
          </w:tcPr>
          <w:p w14:paraId="733826E1" w14:textId="77777777" w:rsidR="00FB45B9" w:rsidRPr="00441B29" w:rsidRDefault="00FB45B9" w:rsidP="00BA137F">
            <w:pPr>
              <w:jc w:val="both"/>
              <w:rPr>
                <w:rFonts w:ascii="Arial" w:hAnsi="Arial" w:cs="Arial"/>
              </w:rPr>
            </w:pPr>
            <w:r w:rsidRPr="00441B29">
              <w:rPr>
                <w:rFonts w:ascii="Arial" w:hAnsi="Arial" w:cs="Arial"/>
              </w:rPr>
              <w:t>85.87</w:t>
            </w:r>
          </w:p>
        </w:tc>
        <w:tc>
          <w:tcPr>
            <w:tcW w:w="2268" w:type="dxa"/>
          </w:tcPr>
          <w:p w14:paraId="4C386F9D" w14:textId="77777777" w:rsidR="00FB45B9" w:rsidRPr="00441B29" w:rsidRDefault="00FB45B9" w:rsidP="00BA137F">
            <w:pPr>
              <w:jc w:val="both"/>
              <w:rPr>
                <w:rFonts w:ascii="Arial" w:hAnsi="Arial" w:cs="Arial"/>
              </w:rPr>
            </w:pPr>
            <w:r w:rsidRPr="00441B29">
              <w:rPr>
                <w:rFonts w:ascii="Arial" w:hAnsi="Arial" w:cs="Arial"/>
              </w:rPr>
              <w:t>19.88</w:t>
            </w:r>
          </w:p>
        </w:tc>
        <w:tc>
          <w:tcPr>
            <w:tcW w:w="1842" w:type="dxa"/>
          </w:tcPr>
          <w:p w14:paraId="2C1EA6D7" w14:textId="77777777" w:rsidR="00FB45B9" w:rsidRPr="00441B29" w:rsidRDefault="00FB45B9" w:rsidP="00BA137F">
            <w:pPr>
              <w:jc w:val="both"/>
              <w:rPr>
                <w:rFonts w:ascii="Arial" w:hAnsi="Arial" w:cs="Arial"/>
              </w:rPr>
            </w:pPr>
            <w:r w:rsidRPr="00441B29">
              <w:rPr>
                <w:rFonts w:ascii="Arial" w:hAnsi="Arial" w:cs="Arial"/>
              </w:rPr>
              <w:t>2.74</w:t>
            </w:r>
          </w:p>
        </w:tc>
        <w:tc>
          <w:tcPr>
            <w:tcW w:w="1723" w:type="dxa"/>
          </w:tcPr>
          <w:p w14:paraId="2EF3408D" w14:textId="77777777" w:rsidR="00FB45B9" w:rsidRPr="00441B29" w:rsidRDefault="00FB45B9" w:rsidP="00BA137F">
            <w:pPr>
              <w:jc w:val="both"/>
              <w:rPr>
                <w:rFonts w:ascii="Arial" w:hAnsi="Arial" w:cs="Arial"/>
              </w:rPr>
            </w:pPr>
            <w:r w:rsidRPr="00441B29">
              <w:rPr>
                <w:rFonts w:ascii="Arial" w:hAnsi="Arial" w:cs="Arial"/>
              </w:rPr>
              <w:t>7.54</w:t>
            </w:r>
          </w:p>
        </w:tc>
      </w:tr>
      <w:tr w:rsidR="00FB45B9" w:rsidRPr="00441B29" w14:paraId="2EDAB37A" w14:textId="77777777" w:rsidTr="00F679A6">
        <w:trPr>
          <w:jc w:val="center"/>
        </w:trPr>
        <w:tc>
          <w:tcPr>
            <w:tcW w:w="1984" w:type="dxa"/>
          </w:tcPr>
          <w:p w14:paraId="330F3BB2" w14:textId="77777777" w:rsidR="00FB45B9" w:rsidRPr="00441B29" w:rsidRDefault="00FB45B9" w:rsidP="00BA137F">
            <w:pPr>
              <w:jc w:val="both"/>
              <w:rPr>
                <w:rFonts w:ascii="Arial" w:hAnsi="Arial" w:cs="Arial"/>
              </w:rPr>
            </w:pPr>
            <w:r w:rsidRPr="00441B29">
              <w:rPr>
                <w:rFonts w:ascii="Arial" w:hAnsi="Arial" w:cs="Arial"/>
              </w:rPr>
              <w:t>GA 100 ppm</w:t>
            </w:r>
          </w:p>
        </w:tc>
        <w:tc>
          <w:tcPr>
            <w:tcW w:w="2127" w:type="dxa"/>
          </w:tcPr>
          <w:p w14:paraId="6A71E65E" w14:textId="77777777" w:rsidR="00FB45B9" w:rsidRPr="00441B29" w:rsidRDefault="00FB45B9" w:rsidP="00BA137F">
            <w:pPr>
              <w:jc w:val="both"/>
              <w:rPr>
                <w:rFonts w:ascii="Arial" w:hAnsi="Arial" w:cs="Arial"/>
              </w:rPr>
            </w:pPr>
            <w:r w:rsidRPr="00441B29">
              <w:rPr>
                <w:rFonts w:ascii="Arial" w:hAnsi="Arial" w:cs="Arial"/>
              </w:rPr>
              <w:t>85.93</w:t>
            </w:r>
          </w:p>
        </w:tc>
        <w:tc>
          <w:tcPr>
            <w:tcW w:w="2268" w:type="dxa"/>
          </w:tcPr>
          <w:p w14:paraId="2E9F81A9" w14:textId="77777777" w:rsidR="00FB45B9" w:rsidRPr="00441B29" w:rsidRDefault="00FB45B9" w:rsidP="00BA137F">
            <w:pPr>
              <w:jc w:val="both"/>
              <w:rPr>
                <w:rFonts w:ascii="Arial" w:hAnsi="Arial" w:cs="Arial"/>
              </w:rPr>
            </w:pPr>
            <w:r w:rsidRPr="00441B29">
              <w:rPr>
                <w:rFonts w:ascii="Arial" w:hAnsi="Arial" w:cs="Arial"/>
              </w:rPr>
              <w:t>20.29</w:t>
            </w:r>
          </w:p>
        </w:tc>
        <w:tc>
          <w:tcPr>
            <w:tcW w:w="1842" w:type="dxa"/>
          </w:tcPr>
          <w:p w14:paraId="383DFE3F" w14:textId="77777777" w:rsidR="00FB45B9" w:rsidRPr="00441B29" w:rsidRDefault="00FB45B9" w:rsidP="00BA137F">
            <w:pPr>
              <w:jc w:val="both"/>
              <w:rPr>
                <w:rFonts w:ascii="Arial" w:hAnsi="Arial" w:cs="Arial"/>
              </w:rPr>
            </w:pPr>
            <w:r w:rsidRPr="00441B29">
              <w:rPr>
                <w:rFonts w:ascii="Arial" w:hAnsi="Arial" w:cs="Arial"/>
              </w:rPr>
              <w:t>2.89</w:t>
            </w:r>
          </w:p>
        </w:tc>
        <w:tc>
          <w:tcPr>
            <w:tcW w:w="1723" w:type="dxa"/>
          </w:tcPr>
          <w:p w14:paraId="3D4F8629" w14:textId="77777777" w:rsidR="00FB45B9" w:rsidRPr="00441B29" w:rsidRDefault="00FB45B9" w:rsidP="00BA137F">
            <w:pPr>
              <w:jc w:val="both"/>
              <w:rPr>
                <w:rFonts w:ascii="Arial" w:hAnsi="Arial" w:cs="Arial"/>
              </w:rPr>
            </w:pPr>
            <w:r w:rsidRPr="00441B29">
              <w:rPr>
                <w:rFonts w:ascii="Arial" w:hAnsi="Arial" w:cs="Arial"/>
              </w:rPr>
              <w:t>7.65</w:t>
            </w:r>
          </w:p>
        </w:tc>
      </w:tr>
      <w:tr w:rsidR="00FB45B9" w:rsidRPr="00441B29" w14:paraId="3E811461" w14:textId="77777777" w:rsidTr="00F679A6">
        <w:trPr>
          <w:jc w:val="center"/>
        </w:trPr>
        <w:tc>
          <w:tcPr>
            <w:tcW w:w="1984" w:type="dxa"/>
          </w:tcPr>
          <w:p w14:paraId="17242E55" w14:textId="77777777" w:rsidR="00FB45B9" w:rsidRPr="00441B29" w:rsidRDefault="00FB45B9" w:rsidP="00BA137F">
            <w:pPr>
              <w:jc w:val="both"/>
              <w:rPr>
                <w:rFonts w:ascii="Arial" w:hAnsi="Arial" w:cs="Arial"/>
              </w:rPr>
            </w:pPr>
            <w:r w:rsidRPr="00441B29">
              <w:rPr>
                <w:rFonts w:ascii="Arial" w:hAnsi="Arial" w:cs="Arial"/>
              </w:rPr>
              <w:t>GA 150 ppm</w:t>
            </w:r>
          </w:p>
        </w:tc>
        <w:tc>
          <w:tcPr>
            <w:tcW w:w="2127" w:type="dxa"/>
          </w:tcPr>
          <w:p w14:paraId="621232A4" w14:textId="77777777" w:rsidR="00FB45B9" w:rsidRPr="00441B29" w:rsidRDefault="00FB45B9" w:rsidP="00BA137F">
            <w:pPr>
              <w:jc w:val="both"/>
              <w:rPr>
                <w:rFonts w:ascii="Arial" w:hAnsi="Arial" w:cs="Arial"/>
              </w:rPr>
            </w:pPr>
            <w:r w:rsidRPr="00441B29">
              <w:rPr>
                <w:rFonts w:ascii="Arial" w:hAnsi="Arial" w:cs="Arial"/>
              </w:rPr>
              <w:t>86.32</w:t>
            </w:r>
          </w:p>
        </w:tc>
        <w:tc>
          <w:tcPr>
            <w:tcW w:w="2268" w:type="dxa"/>
          </w:tcPr>
          <w:p w14:paraId="6F2DAD85" w14:textId="77777777" w:rsidR="00FB45B9" w:rsidRPr="00441B29" w:rsidRDefault="00FB45B9" w:rsidP="00BA137F">
            <w:pPr>
              <w:jc w:val="both"/>
              <w:rPr>
                <w:rFonts w:ascii="Arial" w:hAnsi="Arial" w:cs="Arial"/>
              </w:rPr>
            </w:pPr>
            <w:r w:rsidRPr="00441B29">
              <w:rPr>
                <w:rFonts w:ascii="Arial" w:hAnsi="Arial" w:cs="Arial"/>
              </w:rPr>
              <w:t>21.89</w:t>
            </w:r>
          </w:p>
        </w:tc>
        <w:tc>
          <w:tcPr>
            <w:tcW w:w="1842" w:type="dxa"/>
          </w:tcPr>
          <w:p w14:paraId="4666AF64" w14:textId="77777777" w:rsidR="00FB45B9" w:rsidRPr="00441B29" w:rsidRDefault="00FB45B9" w:rsidP="00BA137F">
            <w:pPr>
              <w:jc w:val="both"/>
              <w:rPr>
                <w:rFonts w:ascii="Arial" w:hAnsi="Arial" w:cs="Arial"/>
              </w:rPr>
            </w:pPr>
            <w:r w:rsidRPr="00441B29">
              <w:rPr>
                <w:rFonts w:ascii="Arial" w:hAnsi="Arial" w:cs="Arial"/>
              </w:rPr>
              <w:t>2.76</w:t>
            </w:r>
          </w:p>
        </w:tc>
        <w:tc>
          <w:tcPr>
            <w:tcW w:w="1723" w:type="dxa"/>
          </w:tcPr>
          <w:p w14:paraId="6C6374B4" w14:textId="77777777" w:rsidR="00FB45B9" w:rsidRPr="00441B29" w:rsidRDefault="00FB45B9" w:rsidP="00BA137F">
            <w:pPr>
              <w:jc w:val="both"/>
              <w:rPr>
                <w:rFonts w:ascii="Arial" w:hAnsi="Arial" w:cs="Arial"/>
              </w:rPr>
            </w:pPr>
            <w:r w:rsidRPr="00441B29">
              <w:rPr>
                <w:rFonts w:ascii="Arial" w:hAnsi="Arial" w:cs="Arial"/>
              </w:rPr>
              <w:t>7.69</w:t>
            </w:r>
          </w:p>
        </w:tc>
      </w:tr>
      <w:tr w:rsidR="00FB45B9" w:rsidRPr="00441B29" w14:paraId="1212B980" w14:textId="77777777" w:rsidTr="00F679A6">
        <w:trPr>
          <w:jc w:val="center"/>
        </w:trPr>
        <w:tc>
          <w:tcPr>
            <w:tcW w:w="1984" w:type="dxa"/>
          </w:tcPr>
          <w:p w14:paraId="78F791CB" w14:textId="77777777" w:rsidR="00FB45B9" w:rsidRPr="00441B29" w:rsidRDefault="00FB45B9" w:rsidP="00BA137F">
            <w:pPr>
              <w:jc w:val="both"/>
              <w:rPr>
                <w:rFonts w:ascii="Arial" w:hAnsi="Arial" w:cs="Arial"/>
              </w:rPr>
            </w:pPr>
            <w:r w:rsidRPr="00441B29">
              <w:rPr>
                <w:rFonts w:ascii="Arial" w:hAnsi="Arial" w:cs="Arial"/>
              </w:rPr>
              <w:t xml:space="preserve">NAA 50 ppm </w:t>
            </w:r>
          </w:p>
        </w:tc>
        <w:tc>
          <w:tcPr>
            <w:tcW w:w="2127" w:type="dxa"/>
          </w:tcPr>
          <w:p w14:paraId="4CA120AA" w14:textId="77777777" w:rsidR="00FB45B9" w:rsidRPr="00441B29" w:rsidRDefault="00FB45B9" w:rsidP="00BA137F">
            <w:pPr>
              <w:jc w:val="both"/>
              <w:rPr>
                <w:rFonts w:ascii="Arial" w:hAnsi="Arial" w:cs="Arial"/>
              </w:rPr>
            </w:pPr>
            <w:r w:rsidRPr="00441B29">
              <w:rPr>
                <w:rFonts w:ascii="Arial" w:hAnsi="Arial" w:cs="Arial"/>
              </w:rPr>
              <w:t>87.42</w:t>
            </w:r>
          </w:p>
        </w:tc>
        <w:tc>
          <w:tcPr>
            <w:tcW w:w="2268" w:type="dxa"/>
          </w:tcPr>
          <w:p w14:paraId="5C6F06C7" w14:textId="77777777" w:rsidR="00FB45B9" w:rsidRPr="00441B29" w:rsidRDefault="00FB45B9" w:rsidP="00BA137F">
            <w:pPr>
              <w:jc w:val="both"/>
              <w:rPr>
                <w:rFonts w:ascii="Arial" w:hAnsi="Arial" w:cs="Arial"/>
              </w:rPr>
            </w:pPr>
            <w:r w:rsidRPr="00441B29">
              <w:rPr>
                <w:rFonts w:ascii="Arial" w:hAnsi="Arial" w:cs="Arial"/>
              </w:rPr>
              <w:t>21.00</w:t>
            </w:r>
          </w:p>
        </w:tc>
        <w:tc>
          <w:tcPr>
            <w:tcW w:w="1842" w:type="dxa"/>
          </w:tcPr>
          <w:p w14:paraId="2A63E526" w14:textId="77777777" w:rsidR="00FB45B9" w:rsidRPr="00441B29" w:rsidRDefault="00FB45B9" w:rsidP="00BA137F">
            <w:pPr>
              <w:jc w:val="both"/>
              <w:rPr>
                <w:rFonts w:ascii="Arial" w:hAnsi="Arial" w:cs="Arial"/>
              </w:rPr>
            </w:pPr>
            <w:r w:rsidRPr="00441B29">
              <w:rPr>
                <w:rFonts w:ascii="Arial" w:hAnsi="Arial" w:cs="Arial"/>
              </w:rPr>
              <w:t>2.86</w:t>
            </w:r>
          </w:p>
        </w:tc>
        <w:tc>
          <w:tcPr>
            <w:tcW w:w="1723" w:type="dxa"/>
          </w:tcPr>
          <w:p w14:paraId="555AA903" w14:textId="77777777" w:rsidR="00FB45B9" w:rsidRPr="00441B29" w:rsidRDefault="00FB45B9" w:rsidP="00BA137F">
            <w:pPr>
              <w:jc w:val="both"/>
              <w:rPr>
                <w:rFonts w:ascii="Arial" w:hAnsi="Arial" w:cs="Arial"/>
              </w:rPr>
            </w:pPr>
            <w:r w:rsidRPr="00441B29">
              <w:rPr>
                <w:rFonts w:ascii="Arial" w:hAnsi="Arial" w:cs="Arial"/>
              </w:rPr>
              <w:t>7.73</w:t>
            </w:r>
          </w:p>
        </w:tc>
      </w:tr>
      <w:tr w:rsidR="00FB45B9" w:rsidRPr="00441B29" w14:paraId="4EA6387E" w14:textId="77777777" w:rsidTr="00F679A6">
        <w:trPr>
          <w:jc w:val="center"/>
        </w:trPr>
        <w:tc>
          <w:tcPr>
            <w:tcW w:w="1984" w:type="dxa"/>
          </w:tcPr>
          <w:p w14:paraId="73631C11" w14:textId="77777777" w:rsidR="00FB45B9" w:rsidRPr="00441B29" w:rsidRDefault="00FB45B9" w:rsidP="00BA137F">
            <w:pPr>
              <w:jc w:val="both"/>
              <w:rPr>
                <w:rFonts w:ascii="Arial" w:hAnsi="Arial" w:cs="Arial"/>
              </w:rPr>
            </w:pPr>
            <w:r w:rsidRPr="00441B29">
              <w:rPr>
                <w:rFonts w:ascii="Arial" w:hAnsi="Arial" w:cs="Arial"/>
              </w:rPr>
              <w:t>NAA 100 ppm</w:t>
            </w:r>
          </w:p>
        </w:tc>
        <w:tc>
          <w:tcPr>
            <w:tcW w:w="2127" w:type="dxa"/>
          </w:tcPr>
          <w:p w14:paraId="3C38BDB3" w14:textId="77777777" w:rsidR="00FB45B9" w:rsidRPr="00441B29" w:rsidRDefault="00FB45B9" w:rsidP="00BA137F">
            <w:pPr>
              <w:jc w:val="both"/>
              <w:rPr>
                <w:rFonts w:ascii="Arial" w:hAnsi="Arial" w:cs="Arial"/>
              </w:rPr>
            </w:pPr>
            <w:r w:rsidRPr="00441B29">
              <w:rPr>
                <w:rFonts w:ascii="Arial" w:hAnsi="Arial" w:cs="Arial"/>
              </w:rPr>
              <w:t>87.45</w:t>
            </w:r>
          </w:p>
        </w:tc>
        <w:tc>
          <w:tcPr>
            <w:tcW w:w="2268" w:type="dxa"/>
          </w:tcPr>
          <w:p w14:paraId="67D249E0" w14:textId="77777777" w:rsidR="00FB45B9" w:rsidRPr="00441B29" w:rsidRDefault="00FB45B9" w:rsidP="00BA137F">
            <w:pPr>
              <w:jc w:val="both"/>
              <w:rPr>
                <w:rFonts w:ascii="Arial" w:hAnsi="Arial" w:cs="Arial"/>
              </w:rPr>
            </w:pPr>
            <w:r w:rsidRPr="00441B29">
              <w:rPr>
                <w:rFonts w:ascii="Arial" w:hAnsi="Arial" w:cs="Arial"/>
              </w:rPr>
              <w:t>22.90</w:t>
            </w:r>
          </w:p>
        </w:tc>
        <w:tc>
          <w:tcPr>
            <w:tcW w:w="1842" w:type="dxa"/>
          </w:tcPr>
          <w:p w14:paraId="09690C04" w14:textId="77777777" w:rsidR="00FB45B9" w:rsidRPr="00441B29" w:rsidRDefault="00FB45B9" w:rsidP="00BA137F">
            <w:pPr>
              <w:jc w:val="both"/>
              <w:rPr>
                <w:rFonts w:ascii="Arial" w:hAnsi="Arial" w:cs="Arial"/>
              </w:rPr>
            </w:pPr>
            <w:r w:rsidRPr="00441B29">
              <w:rPr>
                <w:rFonts w:ascii="Arial" w:hAnsi="Arial" w:cs="Arial"/>
              </w:rPr>
              <w:t>2.91</w:t>
            </w:r>
          </w:p>
        </w:tc>
        <w:tc>
          <w:tcPr>
            <w:tcW w:w="1723" w:type="dxa"/>
          </w:tcPr>
          <w:p w14:paraId="1DFEAFAD" w14:textId="77777777" w:rsidR="00FB45B9" w:rsidRPr="00441B29" w:rsidRDefault="00FB45B9" w:rsidP="00BA137F">
            <w:pPr>
              <w:jc w:val="both"/>
              <w:rPr>
                <w:rFonts w:ascii="Arial" w:hAnsi="Arial" w:cs="Arial"/>
              </w:rPr>
            </w:pPr>
            <w:r w:rsidRPr="00441B29">
              <w:rPr>
                <w:rFonts w:ascii="Arial" w:hAnsi="Arial" w:cs="Arial"/>
              </w:rPr>
              <w:t>7.89</w:t>
            </w:r>
          </w:p>
        </w:tc>
      </w:tr>
      <w:tr w:rsidR="00FB45B9" w:rsidRPr="00441B29" w14:paraId="4CBEAFE6" w14:textId="77777777" w:rsidTr="00F679A6">
        <w:trPr>
          <w:jc w:val="center"/>
        </w:trPr>
        <w:tc>
          <w:tcPr>
            <w:tcW w:w="1984" w:type="dxa"/>
          </w:tcPr>
          <w:p w14:paraId="59D21FE6" w14:textId="77777777" w:rsidR="00FB45B9" w:rsidRPr="00441B29" w:rsidRDefault="00FB45B9" w:rsidP="00BA137F">
            <w:pPr>
              <w:jc w:val="both"/>
              <w:rPr>
                <w:rFonts w:ascii="Arial" w:hAnsi="Arial" w:cs="Arial"/>
              </w:rPr>
            </w:pPr>
            <w:r w:rsidRPr="00441B29">
              <w:rPr>
                <w:rFonts w:ascii="Arial" w:hAnsi="Arial" w:cs="Arial"/>
              </w:rPr>
              <w:t>NAA 150 ppm</w:t>
            </w:r>
          </w:p>
        </w:tc>
        <w:tc>
          <w:tcPr>
            <w:tcW w:w="2127" w:type="dxa"/>
          </w:tcPr>
          <w:p w14:paraId="6D1EAA7F" w14:textId="77777777" w:rsidR="00FB45B9" w:rsidRPr="00441B29" w:rsidRDefault="00FB45B9" w:rsidP="00BA137F">
            <w:pPr>
              <w:jc w:val="both"/>
              <w:rPr>
                <w:rFonts w:ascii="Arial" w:hAnsi="Arial" w:cs="Arial"/>
              </w:rPr>
            </w:pPr>
            <w:r w:rsidRPr="00441B29">
              <w:rPr>
                <w:rFonts w:ascii="Arial" w:hAnsi="Arial" w:cs="Arial"/>
              </w:rPr>
              <w:t>88.07</w:t>
            </w:r>
          </w:p>
        </w:tc>
        <w:tc>
          <w:tcPr>
            <w:tcW w:w="2268" w:type="dxa"/>
          </w:tcPr>
          <w:p w14:paraId="4C7FB236" w14:textId="77777777" w:rsidR="00FB45B9" w:rsidRPr="00441B29" w:rsidRDefault="00FB45B9" w:rsidP="00BA137F">
            <w:pPr>
              <w:jc w:val="both"/>
              <w:rPr>
                <w:rFonts w:ascii="Arial" w:hAnsi="Arial" w:cs="Arial"/>
              </w:rPr>
            </w:pPr>
            <w:r w:rsidRPr="00441B29">
              <w:rPr>
                <w:rFonts w:ascii="Arial" w:hAnsi="Arial" w:cs="Arial"/>
              </w:rPr>
              <w:t>23.65</w:t>
            </w:r>
          </w:p>
        </w:tc>
        <w:tc>
          <w:tcPr>
            <w:tcW w:w="1842" w:type="dxa"/>
          </w:tcPr>
          <w:p w14:paraId="59E4A6FE" w14:textId="77777777" w:rsidR="00FB45B9" w:rsidRPr="00441B29" w:rsidRDefault="00FB45B9" w:rsidP="00BA137F">
            <w:pPr>
              <w:jc w:val="both"/>
              <w:rPr>
                <w:rFonts w:ascii="Arial" w:hAnsi="Arial" w:cs="Arial"/>
              </w:rPr>
            </w:pPr>
            <w:r w:rsidRPr="00441B29">
              <w:rPr>
                <w:rFonts w:ascii="Arial" w:hAnsi="Arial" w:cs="Arial"/>
              </w:rPr>
              <w:t>3.18</w:t>
            </w:r>
          </w:p>
        </w:tc>
        <w:tc>
          <w:tcPr>
            <w:tcW w:w="1723" w:type="dxa"/>
          </w:tcPr>
          <w:p w14:paraId="33E75543" w14:textId="77777777" w:rsidR="00FB45B9" w:rsidRPr="00441B29" w:rsidRDefault="00FB45B9" w:rsidP="00BA137F">
            <w:pPr>
              <w:jc w:val="both"/>
              <w:rPr>
                <w:rFonts w:ascii="Arial" w:hAnsi="Arial" w:cs="Arial"/>
              </w:rPr>
            </w:pPr>
            <w:r w:rsidRPr="00441B29">
              <w:rPr>
                <w:rFonts w:ascii="Arial" w:hAnsi="Arial" w:cs="Arial"/>
              </w:rPr>
              <w:t>7.76</w:t>
            </w:r>
          </w:p>
        </w:tc>
      </w:tr>
      <w:tr w:rsidR="00FB45B9" w:rsidRPr="00441B29" w14:paraId="388A7DDF" w14:textId="77777777" w:rsidTr="00F679A6">
        <w:trPr>
          <w:jc w:val="center"/>
        </w:trPr>
        <w:tc>
          <w:tcPr>
            <w:tcW w:w="1984" w:type="dxa"/>
          </w:tcPr>
          <w:p w14:paraId="4A6EEC1C" w14:textId="77777777" w:rsidR="00FB45B9" w:rsidRPr="00441B29" w:rsidRDefault="00FB45B9" w:rsidP="00BA137F">
            <w:pPr>
              <w:jc w:val="both"/>
              <w:rPr>
                <w:rFonts w:ascii="Arial" w:hAnsi="Arial" w:cs="Arial"/>
              </w:rPr>
            </w:pPr>
            <w:r w:rsidRPr="00441B29">
              <w:rPr>
                <w:rFonts w:ascii="Arial" w:hAnsi="Arial" w:cs="Arial"/>
              </w:rPr>
              <w:t>BAP 50 ppm</w:t>
            </w:r>
          </w:p>
        </w:tc>
        <w:tc>
          <w:tcPr>
            <w:tcW w:w="2127" w:type="dxa"/>
          </w:tcPr>
          <w:p w14:paraId="1C64DB0C" w14:textId="77777777" w:rsidR="00FB45B9" w:rsidRPr="00441B29" w:rsidRDefault="00FB45B9" w:rsidP="00BA137F">
            <w:pPr>
              <w:jc w:val="both"/>
              <w:rPr>
                <w:rFonts w:ascii="Arial" w:hAnsi="Arial" w:cs="Arial"/>
              </w:rPr>
            </w:pPr>
            <w:r w:rsidRPr="00441B29">
              <w:rPr>
                <w:rFonts w:ascii="Arial" w:hAnsi="Arial" w:cs="Arial"/>
              </w:rPr>
              <w:t>84.91</w:t>
            </w:r>
          </w:p>
        </w:tc>
        <w:tc>
          <w:tcPr>
            <w:tcW w:w="2268" w:type="dxa"/>
          </w:tcPr>
          <w:p w14:paraId="64340BE9" w14:textId="77777777" w:rsidR="00FB45B9" w:rsidRPr="00441B29" w:rsidRDefault="00FB45B9" w:rsidP="00BA137F">
            <w:pPr>
              <w:jc w:val="both"/>
              <w:rPr>
                <w:rFonts w:ascii="Arial" w:hAnsi="Arial" w:cs="Arial"/>
              </w:rPr>
            </w:pPr>
            <w:r w:rsidRPr="00441B29">
              <w:rPr>
                <w:rFonts w:ascii="Arial" w:hAnsi="Arial" w:cs="Arial"/>
              </w:rPr>
              <w:t>20.56</w:t>
            </w:r>
          </w:p>
        </w:tc>
        <w:tc>
          <w:tcPr>
            <w:tcW w:w="1842" w:type="dxa"/>
          </w:tcPr>
          <w:p w14:paraId="3BB9DE75" w14:textId="77777777" w:rsidR="00FB45B9" w:rsidRPr="00441B29" w:rsidRDefault="00FB45B9" w:rsidP="00BA137F">
            <w:pPr>
              <w:jc w:val="both"/>
              <w:rPr>
                <w:rFonts w:ascii="Arial" w:hAnsi="Arial" w:cs="Arial"/>
              </w:rPr>
            </w:pPr>
            <w:r w:rsidRPr="00441B29">
              <w:rPr>
                <w:rFonts w:ascii="Arial" w:hAnsi="Arial" w:cs="Arial"/>
              </w:rPr>
              <w:t>2.81</w:t>
            </w:r>
          </w:p>
        </w:tc>
        <w:tc>
          <w:tcPr>
            <w:tcW w:w="1723" w:type="dxa"/>
          </w:tcPr>
          <w:p w14:paraId="64980F29" w14:textId="77777777" w:rsidR="00FB45B9" w:rsidRPr="00441B29" w:rsidRDefault="00FB45B9" w:rsidP="00BA137F">
            <w:pPr>
              <w:jc w:val="both"/>
              <w:rPr>
                <w:rFonts w:ascii="Arial" w:hAnsi="Arial" w:cs="Arial"/>
              </w:rPr>
            </w:pPr>
            <w:r w:rsidRPr="00441B29">
              <w:rPr>
                <w:rFonts w:ascii="Arial" w:hAnsi="Arial" w:cs="Arial"/>
              </w:rPr>
              <w:t>6.99</w:t>
            </w:r>
          </w:p>
        </w:tc>
      </w:tr>
      <w:tr w:rsidR="00FB45B9" w:rsidRPr="00441B29" w14:paraId="778E7CA0" w14:textId="77777777" w:rsidTr="00F679A6">
        <w:trPr>
          <w:jc w:val="center"/>
        </w:trPr>
        <w:tc>
          <w:tcPr>
            <w:tcW w:w="1984" w:type="dxa"/>
          </w:tcPr>
          <w:p w14:paraId="340BB605" w14:textId="77777777" w:rsidR="00FB45B9" w:rsidRPr="00441B29" w:rsidRDefault="00FB45B9" w:rsidP="00BA137F">
            <w:pPr>
              <w:jc w:val="both"/>
              <w:rPr>
                <w:rFonts w:ascii="Arial" w:hAnsi="Arial" w:cs="Arial"/>
              </w:rPr>
            </w:pPr>
            <w:r w:rsidRPr="00441B29">
              <w:rPr>
                <w:rFonts w:ascii="Arial" w:hAnsi="Arial" w:cs="Arial"/>
              </w:rPr>
              <w:lastRenderedPageBreak/>
              <w:t>BAP 100 ppm</w:t>
            </w:r>
          </w:p>
        </w:tc>
        <w:tc>
          <w:tcPr>
            <w:tcW w:w="2127" w:type="dxa"/>
          </w:tcPr>
          <w:p w14:paraId="4052A7C5" w14:textId="77777777" w:rsidR="00FB45B9" w:rsidRPr="00441B29" w:rsidRDefault="00FB45B9" w:rsidP="00BA137F">
            <w:pPr>
              <w:jc w:val="both"/>
              <w:rPr>
                <w:rFonts w:ascii="Arial" w:hAnsi="Arial" w:cs="Arial"/>
              </w:rPr>
            </w:pPr>
            <w:r w:rsidRPr="00441B29">
              <w:rPr>
                <w:rFonts w:ascii="Arial" w:hAnsi="Arial" w:cs="Arial"/>
              </w:rPr>
              <w:t>85.47</w:t>
            </w:r>
          </w:p>
        </w:tc>
        <w:tc>
          <w:tcPr>
            <w:tcW w:w="2268" w:type="dxa"/>
          </w:tcPr>
          <w:p w14:paraId="3DFB151F" w14:textId="77777777" w:rsidR="00FB45B9" w:rsidRPr="00441B29" w:rsidRDefault="00FB45B9" w:rsidP="00BA137F">
            <w:pPr>
              <w:jc w:val="both"/>
              <w:rPr>
                <w:rFonts w:ascii="Arial" w:hAnsi="Arial" w:cs="Arial"/>
              </w:rPr>
            </w:pPr>
            <w:r w:rsidRPr="00441B29">
              <w:rPr>
                <w:rFonts w:ascii="Arial" w:hAnsi="Arial" w:cs="Arial"/>
              </w:rPr>
              <w:t>21.29</w:t>
            </w:r>
          </w:p>
        </w:tc>
        <w:tc>
          <w:tcPr>
            <w:tcW w:w="1842" w:type="dxa"/>
          </w:tcPr>
          <w:p w14:paraId="646616F5" w14:textId="77777777" w:rsidR="00FB45B9" w:rsidRPr="00441B29" w:rsidRDefault="00FB45B9" w:rsidP="00BA137F">
            <w:pPr>
              <w:jc w:val="both"/>
              <w:rPr>
                <w:rFonts w:ascii="Arial" w:hAnsi="Arial" w:cs="Arial"/>
              </w:rPr>
            </w:pPr>
            <w:r w:rsidRPr="00441B29">
              <w:rPr>
                <w:rFonts w:ascii="Arial" w:hAnsi="Arial" w:cs="Arial"/>
              </w:rPr>
              <w:t>2.85</w:t>
            </w:r>
          </w:p>
        </w:tc>
        <w:tc>
          <w:tcPr>
            <w:tcW w:w="1723" w:type="dxa"/>
          </w:tcPr>
          <w:p w14:paraId="3B8BA6E5" w14:textId="77777777" w:rsidR="00FB45B9" w:rsidRPr="00441B29" w:rsidRDefault="00FB45B9" w:rsidP="00BA137F">
            <w:pPr>
              <w:jc w:val="both"/>
              <w:rPr>
                <w:rFonts w:ascii="Arial" w:hAnsi="Arial" w:cs="Arial"/>
              </w:rPr>
            </w:pPr>
            <w:r w:rsidRPr="00441B29">
              <w:rPr>
                <w:rFonts w:ascii="Arial" w:hAnsi="Arial" w:cs="Arial"/>
              </w:rPr>
              <w:t>7.14</w:t>
            </w:r>
          </w:p>
        </w:tc>
      </w:tr>
      <w:tr w:rsidR="00FB45B9" w:rsidRPr="00441B29" w14:paraId="7D61102D" w14:textId="77777777" w:rsidTr="00F679A6">
        <w:trPr>
          <w:jc w:val="center"/>
        </w:trPr>
        <w:tc>
          <w:tcPr>
            <w:tcW w:w="1984" w:type="dxa"/>
          </w:tcPr>
          <w:p w14:paraId="304FF35F" w14:textId="77777777" w:rsidR="00FB45B9" w:rsidRPr="00441B29" w:rsidRDefault="00FB45B9" w:rsidP="00BA137F">
            <w:pPr>
              <w:jc w:val="both"/>
              <w:rPr>
                <w:rFonts w:ascii="Arial" w:hAnsi="Arial" w:cs="Arial"/>
              </w:rPr>
            </w:pPr>
            <w:r w:rsidRPr="00441B29">
              <w:rPr>
                <w:rFonts w:ascii="Arial" w:hAnsi="Arial" w:cs="Arial"/>
              </w:rPr>
              <w:t>BAP 150 ppm</w:t>
            </w:r>
          </w:p>
        </w:tc>
        <w:tc>
          <w:tcPr>
            <w:tcW w:w="2127" w:type="dxa"/>
          </w:tcPr>
          <w:p w14:paraId="06385710" w14:textId="77777777" w:rsidR="00FB45B9" w:rsidRPr="00441B29" w:rsidRDefault="00FB45B9" w:rsidP="00BA137F">
            <w:pPr>
              <w:jc w:val="both"/>
              <w:rPr>
                <w:rFonts w:ascii="Arial" w:hAnsi="Arial" w:cs="Arial"/>
              </w:rPr>
            </w:pPr>
            <w:r w:rsidRPr="00441B29">
              <w:rPr>
                <w:rFonts w:ascii="Arial" w:hAnsi="Arial" w:cs="Arial"/>
              </w:rPr>
              <w:t>84.76</w:t>
            </w:r>
          </w:p>
        </w:tc>
        <w:tc>
          <w:tcPr>
            <w:tcW w:w="2268" w:type="dxa"/>
          </w:tcPr>
          <w:p w14:paraId="3A70A23B" w14:textId="77777777" w:rsidR="00FB45B9" w:rsidRPr="00441B29" w:rsidRDefault="00FB45B9" w:rsidP="00BA137F">
            <w:pPr>
              <w:jc w:val="both"/>
              <w:rPr>
                <w:rFonts w:ascii="Arial" w:hAnsi="Arial" w:cs="Arial"/>
              </w:rPr>
            </w:pPr>
            <w:r w:rsidRPr="00441B29">
              <w:rPr>
                <w:rFonts w:ascii="Arial" w:hAnsi="Arial" w:cs="Arial"/>
              </w:rPr>
              <w:t>21.85</w:t>
            </w:r>
          </w:p>
        </w:tc>
        <w:tc>
          <w:tcPr>
            <w:tcW w:w="1842" w:type="dxa"/>
          </w:tcPr>
          <w:p w14:paraId="0E0C8BBA" w14:textId="77777777" w:rsidR="00FB45B9" w:rsidRPr="00441B29" w:rsidRDefault="00FB45B9" w:rsidP="00BA137F">
            <w:pPr>
              <w:jc w:val="both"/>
              <w:rPr>
                <w:rFonts w:ascii="Arial" w:hAnsi="Arial" w:cs="Arial"/>
              </w:rPr>
            </w:pPr>
            <w:r w:rsidRPr="00441B29">
              <w:rPr>
                <w:rFonts w:ascii="Arial" w:hAnsi="Arial" w:cs="Arial"/>
              </w:rPr>
              <w:t>2.79</w:t>
            </w:r>
          </w:p>
        </w:tc>
        <w:tc>
          <w:tcPr>
            <w:tcW w:w="1723" w:type="dxa"/>
          </w:tcPr>
          <w:p w14:paraId="12590D54" w14:textId="77777777" w:rsidR="00FB45B9" w:rsidRPr="00441B29" w:rsidRDefault="00FB45B9" w:rsidP="00BA137F">
            <w:pPr>
              <w:jc w:val="both"/>
              <w:rPr>
                <w:rFonts w:ascii="Arial" w:hAnsi="Arial" w:cs="Arial"/>
              </w:rPr>
            </w:pPr>
            <w:r w:rsidRPr="00441B29">
              <w:rPr>
                <w:rFonts w:ascii="Arial" w:hAnsi="Arial" w:cs="Arial"/>
              </w:rPr>
              <w:t>7.23</w:t>
            </w:r>
          </w:p>
        </w:tc>
      </w:tr>
      <w:tr w:rsidR="00FB45B9" w:rsidRPr="00441B29" w14:paraId="5E367CF9" w14:textId="77777777" w:rsidTr="00F679A6">
        <w:trPr>
          <w:jc w:val="center"/>
        </w:trPr>
        <w:tc>
          <w:tcPr>
            <w:tcW w:w="1984" w:type="dxa"/>
          </w:tcPr>
          <w:p w14:paraId="0FB68530" w14:textId="77777777" w:rsidR="00FB45B9" w:rsidRPr="00441B29" w:rsidRDefault="00FB45B9" w:rsidP="00BA137F">
            <w:pPr>
              <w:jc w:val="both"/>
              <w:rPr>
                <w:rFonts w:ascii="Arial" w:hAnsi="Arial" w:cs="Arial"/>
              </w:rPr>
            </w:pPr>
            <w:r w:rsidRPr="00441B29">
              <w:rPr>
                <w:rFonts w:ascii="Arial" w:hAnsi="Arial" w:cs="Arial"/>
              </w:rPr>
              <w:t>Control</w:t>
            </w:r>
          </w:p>
        </w:tc>
        <w:tc>
          <w:tcPr>
            <w:tcW w:w="2127" w:type="dxa"/>
          </w:tcPr>
          <w:p w14:paraId="68203935" w14:textId="77777777" w:rsidR="00FB45B9" w:rsidRPr="00441B29" w:rsidRDefault="00FB45B9" w:rsidP="00BA137F">
            <w:pPr>
              <w:jc w:val="both"/>
              <w:rPr>
                <w:rFonts w:ascii="Arial" w:hAnsi="Arial" w:cs="Arial"/>
              </w:rPr>
            </w:pPr>
            <w:r w:rsidRPr="00441B29">
              <w:rPr>
                <w:rFonts w:ascii="Arial" w:hAnsi="Arial" w:cs="Arial"/>
              </w:rPr>
              <w:t>82.65</w:t>
            </w:r>
          </w:p>
        </w:tc>
        <w:tc>
          <w:tcPr>
            <w:tcW w:w="2268" w:type="dxa"/>
          </w:tcPr>
          <w:p w14:paraId="373F9DFD" w14:textId="77777777" w:rsidR="00FB45B9" w:rsidRPr="00441B29" w:rsidRDefault="00FB45B9" w:rsidP="00BA137F">
            <w:pPr>
              <w:jc w:val="both"/>
              <w:rPr>
                <w:rFonts w:ascii="Arial" w:hAnsi="Arial" w:cs="Arial"/>
              </w:rPr>
            </w:pPr>
            <w:r w:rsidRPr="00441B29">
              <w:rPr>
                <w:rFonts w:ascii="Arial" w:hAnsi="Arial" w:cs="Arial"/>
              </w:rPr>
              <w:t>17.53</w:t>
            </w:r>
          </w:p>
        </w:tc>
        <w:tc>
          <w:tcPr>
            <w:tcW w:w="1842" w:type="dxa"/>
          </w:tcPr>
          <w:p w14:paraId="1E9CD6CB" w14:textId="77777777" w:rsidR="00FB45B9" w:rsidRPr="00441B29" w:rsidRDefault="00FB45B9" w:rsidP="00BA137F">
            <w:pPr>
              <w:jc w:val="both"/>
              <w:rPr>
                <w:rFonts w:ascii="Arial" w:hAnsi="Arial" w:cs="Arial"/>
              </w:rPr>
            </w:pPr>
            <w:r w:rsidRPr="00441B29">
              <w:rPr>
                <w:rFonts w:ascii="Arial" w:hAnsi="Arial" w:cs="Arial"/>
              </w:rPr>
              <w:t>2.72</w:t>
            </w:r>
          </w:p>
        </w:tc>
        <w:tc>
          <w:tcPr>
            <w:tcW w:w="1723" w:type="dxa"/>
          </w:tcPr>
          <w:p w14:paraId="01E8E219" w14:textId="77777777" w:rsidR="00FB45B9" w:rsidRPr="00441B29" w:rsidRDefault="00FB45B9" w:rsidP="00BA137F">
            <w:pPr>
              <w:jc w:val="both"/>
              <w:rPr>
                <w:rFonts w:ascii="Arial" w:hAnsi="Arial" w:cs="Arial"/>
              </w:rPr>
            </w:pPr>
            <w:r w:rsidRPr="00441B29">
              <w:rPr>
                <w:rFonts w:ascii="Arial" w:hAnsi="Arial" w:cs="Arial"/>
              </w:rPr>
              <w:t>6.83</w:t>
            </w:r>
          </w:p>
        </w:tc>
      </w:tr>
      <w:tr w:rsidR="00FB45B9" w:rsidRPr="00441B29" w14:paraId="1DAC185E" w14:textId="77777777" w:rsidTr="00F679A6">
        <w:trPr>
          <w:jc w:val="center"/>
        </w:trPr>
        <w:tc>
          <w:tcPr>
            <w:tcW w:w="1984" w:type="dxa"/>
          </w:tcPr>
          <w:p w14:paraId="6B653685" w14:textId="77777777" w:rsidR="00FB45B9" w:rsidRPr="00441B29" w:rsidRDefault="00FB45B9" w:rsidP="00BA137F">
            <w:pPr>
              <w:jc w:val="both"/>
              <w:rPr>
                <w:rFonts w:ascii="Arial" w:hAnsi="Arial" w:cs="Arial"/>
              </w:rPr>
            </w:pPr>
            <w:r w:rsidRPr="00441B29">
              <w:rPr>
                <w:rFonts w:ascii="Arial" w:hAnsi="Arial" w:cs="Arial"/>
              </w:rPr>
              <w:t>CD (</w:t>
            </w:r>
            <w:r w:rsidRPr="00441B29">
              <w:rPr>
                <w:rFonts w:ascii="Arial" w:hAnsi="Arial" w:cs="Arial"/>
                <w:i/>
                <w:iCs/>
              </w:rPr>
              <w:t>p</w:t>
            </w:r>
            <w:r w:rsidRPr="00441B29">
              <w:rPr>
                <w:rFonts w:ascii="Arial" w:hAnsi="Arial" w:cs="Arial"/>
              </w:rPr>
              <w:t>=0.05)</w:t>
            </w:r>
          </w:p>
        </w:tc>
        <w:tc>
          <w:tcPr>
            <w:tcW w:w="2127" w:type="dxa"/>
          </w:tcPr>
          <w:p w14:paraId="24E989E6" w14:textId="77777777" w:rsidR="00FB45B9" w:rsidRPr="00441B29" w:rsidRDefault="00FB45B9" w:rsidP="00BA137F">
            <w:pPr>
              <w:jc w:val="both"/>
              <w:rPr>
                <w:rFonts w:ascii="Arial" w:hAnsi="Arial" w:cs="Arial"/>
              </w:rPr>
            </w:pPr>
            <w:r w:rsidRPr="00441B29">
              <w:rPr>
                <w:rFonts w:ascii="Arial" w:hAnsi="Arial" w:cs="Arial"/>
              </w:rPr>
              <w:t>3.059</w:t>
            </w:r>
          </w:p>
        </w:tc>
        <w:tc>
          <w:tcPr>
            <w:tcW w:w="2268" w:type="dxa"/>
          </w:tcPr>
          <w:p w14:paraId="2E5C0084" w14:textId="77777777" w:rsidR="00FB45B9" w:rsidRPr="00441B29" w:rsidRDefault="00FB45B9" w:rsidP="00BA137F">
            <w:pPr>
              <w:jc w:val="both"/>
              <w:rPr>
                <w:rFonts w:ascii="Arial" w:hAnsi="Arial" w:cs="Arial"/>
              </w:rPr>
            </w:pPr>
            <w:r w:rsidRPr="00441B29">
              <w:rPr>
                <w:rFonts w:ascii="Arial" w:hAnsi="Arial" w:cs="Arial"/>
              </w:rPr>
              <w:t>0.818</w:t>
            </w:r>
          </w:p>
        </w:tc>
        <w:tc>
          <w:tcPr>
            <w:tcW w:w="1842" w:type="dxa"/>
          </w:tcPr>
          <w:p w14:paraId="1A8C9821" w14:textId="77777777" w:rsidR="00FB45B9" w:rsidRPr="00441B29" w:rsidRDefault="00FB45B9" w:rsidP="00BA137F">
            <w:pPr>
              <w:jc w:val="both"/>
              <w:rPr>
                <w:rFonts w:ascii="Arial" w:hAnsi="Arial" w:cs="Arial"/>
              </w:rPr>
            </w:pPr>
            <w:r w:rsidRPr="00441B29">
              <w:rPr>
                <w:rFonts w:ascii="Arial" w:hAnsi="Arial" w:cs="Arial"/>
              </w:rPr>
              <w:t>0.097</w:t>
            </w:r>
          </w:p>
        </w:tc>
        <w:tc>
          <w:tcPr>
            <w:tcW w:w="1723" w:type="dxa"/>
          </w:tcPr>
          <w:p w14:paraId="1EB4EB1A" w14:textId="77777777" w:rsidR="00FB45B9" w:rsidRPr="00441B29" w:rsidRDefault="00FB45B9" w:rsidP="00BA137F">
            <w:pPr>
              <w:jc w:val="both"/>
              <w:rPr>
                <w:rFonts w:ascii="Arial" w:hAnsi="Arial" w:cs="Arial"/>
              </w:rPr>
            </w:pPr>
            <w:r w:rsidRPr="00441B29">
              <w:rPr>
                <w:rFonts w:ascii="Arial" w:hAnsi="Arial" w:cs="Arial"/>
              </w:rPr>
              <w:t>0.362</w:t>
            </w:r>
          </w:p>
        </w:tc>
      </w:tr>
      <w:tr w:rsidR="00FB45B9" w:rsidRPr="00441B29" w14:paraId="5D5BA194" w14:textId="77777777" w:rsidTr="00F679A6">
        <w:trPr>
          <w:jc w:val="center"/>
        </w:trPr>
        <w:tc>
          <w:tcPr>
            <w:tcW w:w="1984" w:type="dxa"/>
          </w:tcPr>
          <w:p w14:paraId="6E2F9268" w14:textId="77777777" w:rsidR="00FB45B9" w:rsidRPr="00441B29" w:rsidRDefault="00FB45B9" w:rsidP="00BA137F">
            <w:pPr>
              <w:jc w:val="both"/>
              <w:rPr>
                <w:rFonts w:ascii="Arial" w:hAnsi="Arial" w:cs="Arial"/>
              </w:rPr>
            </w:pPr>
            <w:r w:rsidRPr="00441B29">
              <w:rPr>
                <w:rFonts w:ascii="Arial" w:hAnsi="Arial" w:cs="Arial"/>
              </w:rPr>
              <w:t>SE(m)(</w:t>
            </w:r>
            <w:r w:rsidRPr="00441B29">
              <w:rPr>
                <w:rFonts w:ascii="Arial" w:hAnsi="Arial" w:cs="Arial"/>
                <w:i/>
                <w:iCs/>
              </w:rPr>
              <w:t>p=0.05)</w:t>
            </w:r>
          </w:p>
        </w:tc>
        <w:tc>
          <w:tcPr>
            <w:tcW w:w="2127" w:type="dxa"/>
          </w:tcPr>
          <w:p w14:paraId="32108BD4" w14:textId="77777777" w:rsidR="00FB45B9" w:rsidRPr="00441B29" w:rsidRDefault="00FB45B9" w:rsidP="00BA137F">
            <w:pPr>
              <w:jc w:val="both"/>
              <w:rPr>
                <w:rFonts w:ascii="Arial" w:hAnsi="Arial" w:cs="Arial"/>
              </w:rPr>
            </w:pPr>
            <w:r w:rsidRPr="00441B29">
              <w:rPr>
                <w:rFonts w:ascii="Arial" w:hAnsi="Arial" w:cs="Arial"/>
              </w:rPr>
              <w:t>1.052</w:t>
            </w:r>
          </w:p>
        </w:tc>
        <w:tc>
          <w:tcPr>
            <w:tcW w:w="2268" w:type="dxa"/>
            <w:vAlign w:val="bottom"/>
          </w:tcPr>
          <w:p w14:paraId="3FD11B28" w14:textId="77777777" w:rsidR="00FB45B9" w:rsidRPr="00441B29" w:rsidRDefault="00FB45B9" w:rsidP="00BA137F">
            <w:pPr>
              <w:jc w:val="both"/>
              <w:rPr>
                <w:rFonts w:ascii="Arial" w:hAnsi="Arial" w:cs="Arial"/>
              </w:rPr>
            </w:pPr>
            <w:r w:rsidRPr="00441B29">
              <w:rPr>
                <w:rFonts w:ascii="Arial" w:hAnsi="Arial" w:cs="Arial"/>
              </w:rPr>
              <w:t>0.281</w:t>
            </w:r>
          </w:p>
        </w:tc>
        <w:tc>
          <w:tcPr>
            <w:tcW w:w="1842" w:type="dxa"/>
          </w:tcPr>
          <w:p w14:paraId="540BB0E3" w14:textId="77777777" w:rsidR="00FB45B9" w:rsidRPr="00441B29" w:rsidRDefault="00FB45B9" w:rsidP="00BA137F">
            <w:pPr>
              <w:jc w:val="both"/>
              <w:rPr>
                <w:rFonts w:ascii="Arial" w:hAnsi="Arial" w:cs="Arial"/>
              </w:rPr>
            </w:pPr>
            <w:r w:rsidRPr="00441B29">
              <w:rPr>
                <w:rFonts w:ascii="Arial" w:hAnsi="Arial" w:cs="Arial"/>
              </w:rPr>
              <w:t>0.033</w:t>
            </w:r>
          </w:p>
        </w:tc>
        <w:tc>
          <w:tcPr>
            <w:tcW w:w="1723" w:type="dxa"/>
          </w:tcPr>
          <w:p w14:paraId="5F8DC8C2" w14:textId="77777777" w:rsidR="00FB45B9" w:rsidRPr="00441B29" w:rsidRDefault="00FB45B9" w:rsidP="00BA137F">
            <w:pPr>
              <w:jc w:val="both"/>
              <w:rPr>
                <w:rFonts w:ascii="Arial" w:hAnsi="Arial" w:cs="Arial"/>
              </w:rPr>
            </w:pPr>
            <w:r w:rsidRPr="00441B29">
              <w:rPr>
                <w:rFonts w:ascii="Arial" w:hAnsi="Arial" w:cs="Arial"/>
              </w:rPr>
              <w:t>0.125</w:t>
            </w:r>
          </w:p>
        </w:tc>
      </w:tr>
    </w:tbl>
    <w:p w14:paraId="6412B4D5" w14:textId="77777777" w:rsidR="00FB45B9" w:rsidRPr="00C17899" w:rsidRDefault="00FB45B9" w:rsidP="00BA137F">
      <w:pPr>
        <w:tabs>
          <w:tab w:val="left" w:pos="6108"/>
        </w:tabs>
        <w:spacing w:line="480" w:lineRule="auto"/>
        <w:jc w:val="both"/>
        <w:rPr>
          <w:rFonts w:ascii="Arial" w:hAnsi="Arial" w:cs="Arial"/>
        </w:rPr>
      </w:pPr>
    </w:p>
    <w:sectPr w:rsidR="00FB45B9" w:rsidRPr="00C17899" w:rsidSect="0090499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4EFDA" w14:textId="77777777" w:rsidR="004C36A0" w:rsidRDefault="004C36A0" w:rsidP="00C37E61">
      <w:r>
        <w:separator/>
      </w:r>
    </w:p>
  </w:endnote>
  <w:endnote w:type="continuationSeparator" w:id="0">
    <w:p w14:paraId="330098F2" w14:textId="77777777" w:rsidR="004C36A0" w:rsidRDefault="004C36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2199" w14:textId="77777777" w:rsidR="00904999" w:rsidRDefault="00904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2A80" w14:textId="77777777" w:rsidR="00904999" w:rsidRDefault="00904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F05" w14:textId="65203971" w:rsidR="00754C9A" w:rsidRPr="00543F67" w:rsidRDefault="00754C9A" w:rsidP="00543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FF276" w14:textId="77777777" w:rsidR="004C36A0" w:rsidRDefault="004C36A0" w:rsidP="00C37E61">
      <w:r>
        <w:separator/>
      </w:r>
    </w:p>
  </w:footnote>
  <w:footnote w:type="continuationSeparator" w:id="0">
    <w:p w14:paraId="71D37DAE" w14:textId="77777777" w:rsidR="004C36A0" w:rsidRDefault="004C36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41E1" w14:textId="3505C392" w:rsidR="00904999" w:rsidRDefault="004C36A0">
    <w:pPr>
      <w:pStyle w:val="Header"/>
    </w:pPr>
    <w:r>
      <w:rPr>
        <w:noProof/>
      </w:rPr>
      <w:pict w14:anchorId="3660A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9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35E7" w14:textId="4951494D" w:rsidR="00904999" w:rsidRDefault="004C36A0">
    <w:pPr>
      <w:pStyle w:val="Header"/>
    </w:pPr>
    <w:r>
      <w:rPr>
        <w:noProof/>
      </w:rPr>
      <w:pict w14:anchorId="1B63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9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A05CE" w14:textId="7C6B5A31" w:rsidR="00296529" w:rsidRPr="00296529" w:rsidRDefault="004C36A0" w:rsidP="00296529">
    <w:pPr>
      <w:ind w:left="2160"/>
      <w:jc w:val="center"/>
      <w:rPr>
        <w:rFonts w:ascii="Times New Roman" w:eastAsia="Calibri" w:hAnsi="Times New Roman"/>
        <w:i/>
        <w:sz w:val="18"/>
        <w:szCs w:val="22"/>
      </w:rPr>
    </w:pPr>
    <w:r>
      <w:rPr>
        <w:noProof/>
      </w:rPr>
      <w:pict w14:anchorId="436B0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9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8DA5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2332C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5F4F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7C10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89E3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FA4E1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B3452"/>
    <w:multiLevelType w:val="hybridMultilevel"/>
    <w:tmpl w:val="CF9417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4E7"/>
    <w:rsid w:val="00025D49"/>
    <w:rsid w:val="00030174"/>
    <w:rsid w:val="0004531B"/>
    <w:rsid w:val="0004579C"/>
    <w:rsid w:val="0006615A"/>
    <w:rsid w:val="0008284D"/>
    <w:rsid w:val="000A47FA"/>
    <w:rsid w:val="000A65D3"/>
    <w:rsid w:val="000B1E33"/>
    <w:rsid w:val="000D689F"/>
    <w:rsid w:val="000D7E87"/>
    <w:rsid w:val="000E7B7B"/>
    <w:rsid w:val="000E7D62"/>
    <w:rsid w:val="000F0CA3"/>
    <w:rsid w:val="00103357"/>
    <w:rsid w:val="00116EA5"/>
    <w:rsid w:val="00123C9F"/>
    <w:rsid w:val="001245C9"/>
    <w:rsid w:val="00126190"/>
    <w:rsid w:val="00130F17"/>
    <w:rsid w:val="001320BF"/>
    <w:rsid w:val="00134992"/>
    <w:rsid w:val="00163BC4"/>
    <w:rsid w:val="00191062"/>
    <w:rsid w:val="00192B72"/>
    <w:rsid w:val="001A29D8"/>
    <w:rsid w:val="001A5CAA"/>
    <w:rsid w:val="001B0427"/>
    <w:rsid w:val="001B1986"/>
    <w:rsid w:val="001C21C9"/>
    <w:rsid w:val="001D37A8"/>
    <w:rsid w:val="001D3A51"/>
    <w:rsid w:val="001E10D2"/>
    <w:rsid w:val="001E25B4"/>
    <w:rsid w:val="001E44FE"/>
    <w:rsid w:val="001F2C41"/>
    <w:rsid w:val="00200595"/>
    <w:rsid w:val="00204835"/>
    <w:rsid w:val="00213748"/>
    <w:rsid w:val="00227ED4"/>
    <w:rsid w:val="00231920"/>
    <w:rsid w:val="0023195C"/>
    <w:rsid w:val="0024282C"/>
    <w:rsid w:val="002460DC"/>
    <w:rsid w:val="00250985"/>
    <w:rsid w:val="002556F6"/>
    <w:rsid w:val="00272F3E"/>
    <w:rsid w:val="00283105"/>
    <w:rsid w:val="00284C4C"/>
    <w:rsid w:val="00287E68"/>
    <w:rsid w:val="0029137C"/>
    <w:rsid w:val="00296529"/>
    <w:rsid w:val="002B27FB"/>
    <w:rsid w:val="002B5226"/>
    <w:rsid w:val="002B685A"/>
    <w:rsid w:val="002C57D2"/>
    <w:rsid w:val="002E0D56"/>
    <w:rsid w:val="00315186"/>
    <w:rsid w:val="003240D8"/>
    <w:rsid w:val="0033343E"/>
    <w:rsid w:val="003512C2"/>
    <w:rsid w:val="00356515"/>
    <w:rsid w:val="00371FB6"/>
    <w:rsid w:val="0037247A"/>
    <w:rsid w:val="003763C1"/>
    <w:rsid w:val="00376BBE"/>
    <w:rsid w:val="0039224F"/>
    <w:rsid w:val="003A00D1"/>
    <w:rsid w:val="003A43A4"/>
    <w:rsid w:val="003A7E18"/>
    <w:rsid w:val="003C4C86"/>
    <w:rsid w:val="003C6258"/>
    <w:rsid w:val="003E0BE1"/>
    <w:rsid w:val="003E262C"/>
    <w:rsid w:val="003E2904"/>
    <w:rsid w:val="003E6750"/>
    <w:rsid w:val="003F49F0"/>
    <w:rsid w:val="00401927"/>
    <w:rsid w:val="0041027F"/>
    <w:rsid w:val="00412475"/>
    <w:rsid w:val="004228EC"/>
    <w:rsid w:val="00423789"/>
    <w:rsid w:val="00427E26"/>
    <w:rsid w:val="00440F43"/>
    <w:rsid w:val="00441B6F"/>
    <w:rsid w:val="00441CC0"/>
    <w:rsid w:val="00446221"/>
    <w:rsid w:val="00450E62"/>
    <w:rsid w:val="004539DB"/>
    <w:rsid w:val="0046682B"/>
    <w:rsid w:val="00471A80"/>
    <w:rsid w:val="004A105F"/>
    <w:rsid w:val="004B5C04"/>
    <w:rsid w:val="004C36A0"/>
    <w:rsid w:val="004D1A12"/>
    <w:rsid w:val="004D305E"/>
    <w:rsid w:val="004D4277"/>
    <w:rsid w:val="00502516"/>
    <w:rsid w:val="00505F06"/>
    <w:rsid w:val="00506828"/>
    <w:rsid w:val="0053056E"/>
    <w:rsid w:val="00543F67"/>
    <w:rsid w:val="00554FDA"/>
    <w:rsid w:val="00587EFA"/>
    <w:rsid w:val="00590474"/>
    <w:rsid w:val="00596B47"/>
    <w:rsid w:val="005C784C"/>
    <w:rsid w:val="005D17F6"/>
    <w:rsid w:val="005D2374"/>
    <w:rsid w:val="005E5539"/>
    <w:rsid w:val="00602BF5"/>
    <w:rsid w:val="00605DB9"/>
    <w:rsid w:val="00617FDD"/>
    <w:rsid w:val="00621CE6"/>
    <w:rsid w:val="00633614"/>
    <w:rsid w:val="00633F68"/>
    <w:rsid w:val="00636D7D"/>
    <w:rsid w:val="00636EB2"/>
    <w:rsid w:val="006375B8"/>
    <w:rsid w:val="00644F1C"/>
    <w:rsid w:val="00663283"/>
    <w:rsid w:val="0066510A"/>
    <w:rsid w:val="006729D3"/>
    <w:rsid w:val="00673F9F"/>
    <w:rsid w:val="00686953"/>
    <w:rsid w:val="00687DEA"/>
    <w:rsid w:val="00687E67"/>
    <w:rsid w:val="006958CA"/>
    <w:rsid w:val="006967F7"/>
    <w:rsid w:val="006A250C"/>
    <w:rsid w:val="006A3CB8"/>
    <w:rsid w:val="006B21D3"/>
    <w:rsid w:val="006B57D0"/>
    <w:rsid w:val="006D30FF"/>
    <w:rsid w:val="006D6940"/>
    <w:rsid w:val="006E1D51"/>
    <w:rsid w:val="006F11EC"/>
    <w:rsid w:val="0070037C"/>
    <w:rsid w:val="0070082C"/>
    <w:rsid w:val="007171FB"/>
    <w:rsid w:val="00734378"/>
    <w:rsid w:val="007369E6"/>
    <w:rsid w:val="00746E59"/>
    <w:rsid w:val="00754C9A"/>
    <w:rsid w:val="0075599A"/>
    <w:rsid w:val="00761D52"/>
    <w:rsid w:val="00764ACF"/>
    <w:rsid w:val="00771DC7"/>
    <w:rsid w:val="0077749E"/>
    <w:rsid w:val="00790ADA"/>
    <w:rsid w:val="007A16C1"/>
    <w:rsid w:val="007C28C4"/>
    <w:rsid w:val="007C6089"/>
    <w:rsid w:val="007D2288"/>
    <w:rsid w:val="007D53B2"/>
    <w:rsid w:val="007E088F"/>
    <w:rsid w:val="007F4BE7"/>
    <w:rsid w:val="007F7B32"/>
    <w:rsid w:val="00804BC2"/>
    <w:rsid w:val="0081431A"/>
    <w:rsid w:val="0083216F"/>
    <w:rsid w:val="00860000"/>
    <w:rsid w:val="00863BD3"/>
    <w:rsid w:val="008641ED"/>
    <w:rsid w:val="00866D66"/>
    <w:rsid w:val="008671C6"/>
    <w:rsid w:val="008720B0"/>
    <w:rsid w:val="00875803"/>
    <w:rsid w:val="008B459E"/>
    <w:rsid w:val="008E13AE"/>
    <w:rsid w:val="008E1506"/>
    <w:rsid w:val="008E5D69"/>
    <w:rsid w:val="008E710C"/>
    <w:rsid w:val="008F69D6"/>
    <w:rsid w:val="00902823"/>
    <w:rsid w:val="00904999"/>
    <w:rsid w:val="00915253"/>
    <w:rsid w:val="00915CA6"/>
    <w:rsid w:val="00923966"/>
    <w:rsid w:val="00927834"/>
    <w:rsid w:val="009500A6"/>
    <w:rsid w:val="00957C18"/>
    <w:rsid w:val="009659BA"/>
    <w:rsid w:val="00983040"/>
    <w:rsid w:val="00983C87"/>
    <w:rsid w:val="009B3FB9"/>
    <w:rsid w:val="009C2465"/>
    <w:rsid w:val="009D35A0"/>
    <w:rsid w:val="009D7EB7"/>
    <w:rsid w:val="009E048A"/>
    <w:rsid w:val="009E08E9"/>
    <w:rsid w:val="009E2115"/>
    <w:rsid w:val="009E23E3"/>
    <w:rsid w:val="009E3DB9"/>
    <w:rsid w:val="009E4772"/>
    <w:rsid w:val="009E6E35"/>
    <w:rsid w:val="009F0EDA"/>
    <w:rsid w:val="00A03B96"/>
    <w:rsid w:val="00A05B19"/>
    <w:rsid w:val="00A1134E"/>
    <w:rsid w:val="00A24E7E"/>
    <w:rsid w:val="00A258C3"/>
    <w:rsid w:val="00A26E24"/>
    <w:rsid w:val="00A347C0"/>
    <w:rsid w:val="00A51431"/>
    <w:rsid w:val="00A539AD"/>
    <w:rsid w:val="00A9180F"/>
    <w:rsid w:val="00A94063"/>
    <w:rsid w:val="00AA6219"/>
    <w:rsid w:val="00AA74E0"/>
    <w:rsid w:val="00AB703F"/>
    <w:rsid w:val="00AC6BB8"/>
    <w:rsid w:val="00AD0CAE"/>
    <w:rsid w:val="00AE008F"/>
    <w:rsid w:val="00B01FCD"/>
    <w:rsid w:val="00B1776C"/>
    <w:rsid w:val="00B17AC0"/>
    <w:rsid w:val="00B323F1"/>
    <w:rsid w:val="00B449D3"/>
    <w:rsid w:val="00B47B6B"/>
    <w:rsid w:val="00B52583"/>
    <w:rsid w:val="00B52896"/>
    <w:rsid w:val="00B6309B"/>
    <w:rsid w:val="00B84B10"/>
    <w:rsid w:val="00B95236"/>
    <w:rsid w:val="00B96BD9"/>
    <w:rsid w:val="00BA137F"/>
    <w:rsid w:val="00BA1B01"/>
    <w:rsid w:val="00BA2641"/>
    <w:rsid w:val="00BA2F3F"/>
    <w:rsid w:val="00BA731F"/>
    <w:rsid w:val="00BB37AA"/>
    <w:rsid w:val="00BB5A18"/>
    <w:rsid w:val="00BC53A0"/>
    <w:rsid w:val="00BE62AD"/>
    <w:rsid w:val="00BF121F"/>
    <w:rsid w:val="00BF1F80"/>
    <w:rsid w:val="00C166EF"/>
    <w:rsid w:val="00C17899"/>
    <w:rsid w:val="00C17EB0"/>
    <w:rsid w:val="00C27F5F"/>
    <w:rsid w:val="00C30A0F"/>
    <w:rsid w:val="00C37E61"/>
    <w:rsid w:val="00C538D1"/>
    <w:rsid w:val="00C70F1B"/>
    <w:rsid w:val="00C71A47"/>
    <w:rsid w:val="00C7464C"/>
    <w:rsid w:val="00C85588"/>
    <w:rsid w:val="00C87D98"/>
    <w:rsid w:val="00C92FE6"/>
    <w:rsid w:val="00CA1F19"/>
    <w:rsid w:val="00CD6755"/>
    <w:rsid w:val="00CD6856"/>
    <w:rsid w:val="00CE0089"/>
    <w:rsid w:val="00CE793C"/>
    <w:rsid w:val="00CF193C"/>
    <w:rsid w:val="00D173F1"/>
    <w:rsid w:val="00D36A68"/>
    <w:rsid w:val="00D74CB0"/>
    <w:rsid w:val="00D8295D"/>
    <w:rsid w:val="00D876BA"/>
    <w:rsid w:val="00DB37C4"/>
    <w:rsid w:val="00DC2A65"/>
    <w:rsid w:val="00DE15F0"/>
    <w:rsid w:val="00DE5663"/>
    <w:rsid w:val="00DE78AA"/>
    <w:rsid w:val="00E053D0"/>
    <w:rsid w:val="00E15994"/>
    <w:rsid w:val="00E2013D"/>
    <w:rsid w:val="00E3114E"/>
    <w:rsid w:val="00E31A70"/>
    <w:rsid w:val="00E35B02"/>
    <w:rsid w:val="00E530D4"/>
    <w:rsid w:val="00E66496"/>
    <w:rsid w:val="00E66B35"/>
    <w:rsid w:val="00E66E10"/>
    <w:rsid w:val="00E769F6"/>
    <w:rsid w:val="00E8407C"/>
    <w:rsid w:val="00E84F3C"/>
    <w:rsid w:val="00EA012C"/>
    <w:rsid w:val="00EB1AF8"/>
    <w:rsid w:val="00EC6A55"/>
    <w:rsid w:val="00ED0288"/>
    <w:rsid w:val="00EE0AF3"/>
    <w:rsid w:val="00EE52CB"/>
    <w:rsid w:val="00EF581D"/>
    <w:rsid w:val="00EF7FD8"/>
    <w:rsid w:val="00F01508"/>
    <w:rsid w:val="00F06F59"/>
    <w:rsid w:val="00F17988"/>
    <w:rsid w:val="00F469F0"/>
    <w:rsid w:val="00F52BB8"/>
    <w:rsid w:val="00F53273"/>
    <w:rsid w:val="00F549D9"/>
    <w:rsid w:val="00F755E4"/>
    <w:rsid w:val="00F77D02"/>
    <w:rsid w:val="00FB119C"/>
    <w:rsid w:val="00FB3A86"/>
    <w:rsid w:val="00FB45B9"/>
    <w:rsid w:val="00FC0C1D"/>
    <w:rsid w:val="00FD36C8"/>
    <w:rsid w:val="00FD5EA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D41B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25D4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927D-BC2F-4327-BA6C-B747A2BB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8</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16</cp:revision>
  <cp:lastPrinted>1999-07-06T11:00:00Z</cp:lastPrinted>
  <dcterms:created xsi:type="dcterms:W3CDTF">2025-09-19T04:56:00Z</dcterms:created>
  <dcterms:modified xsi:type="dcterms:W3CDTF">2025-09-25T10:59:00Z</dcterms:modified>
</cp:coreProperties>
</file>