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21DA4" w14:textId="77777777" w:rsidR="00222E11" w:rsidRDefault="00222E11" w:rsidP="00E9783A">
      <w:pPr>
        <w:spacing w:before="240"/>
        <w:jc w:val="center"/>
        <w:rPr>
          <w:rFonts w:ascii="Times New Roman" w:hAnsi="Times New Roman" w:cs="Times New Roman"/>
          <w:b/>
          <w:sz w:val="28"/>
          <w:lang w:val="en-US"/>
        </w:rPr>
      </w:pPr>
      <w:r w:rsidRPr="00222E11">
        <w:rPr>
          <w:rFonts w:ascii="Times New Roman" w:hAnsi="Times New Roman" w:cs="Times New Roman"/>
          <w:b/>
          <w:sz w:val="28"/>
          <w:lang w:val="en-US"/>
        </w:rPr>
        <w:t xml:space="preserve">High-Throughput Root Dip Assay for Rapid Pathogenicity Testing of </w:t>
      </w:r>
      <w:r w:rsidRPr="00222E11">
        <w:rPr>
          <w:rFonts w:ascii="Times New Roman" w:hAnsi="Times New Roman" w:cs="Times New Roman"/>
          <w:b/>
          <w:i/>
          <w:sz w:val="28"/>
          <w:lang w:val="en-US"/>
        </w:rPr>
        <w:t>Ralstonia solanacearum</w:t>
      </w:r>
      <w:r w:rsidRPr="00222E11">
        <w:rPr>
          <w:rFonts w:ascii="Times New Roman" w:hAnsi="Times New Roman" w:cs="Times New Roman"/>
          <w:b/>
          <w:sz w:val="28"/>
          <w:lang w:val="en-US"/>
        </w:rPr>
        <w:t xml:space="preserve"> in Tomato Seedlings</w:t>
      </w:r>
    </w:p>
    <w:p w14:paraId="162EC954" w14:textId="1F0DA54B" w:rsidR="00D342DA" w:rsidRPr="00133888" w:rsidRDefault="00D342DA" w:rsidP="00133888">
      <w:pPr>
        <w:jc w:val="center"/>
        <w:rPr>
          <w:rFonts w:ascii="Times New Roman" w:hAnsi="Times New Roman" w:cs="Times New Roman"/>
          <w:sz w:val="24"/>
        </w:rPr>
      </w:pPr>
      <w:bookmarkStart w:id="0" w:name="_GoBack"/>
      <w:bookmarkEnd w:id="0"/>
      <w:proofErr w:type="gramStart"/>
      <w:r>
        <w:rPr>
          <w:rFonts w:ascii="Times New Roman" w:hAnsi="Times New Roman" w:cs="Times New Roman"/>
          <w:sz w:val="24"/>
        </w:rPr>
        <w:t>Abstract :</w:t>
      </w:r>
      <w:proofErr w:type="gramEnd"/>
      <w:r>
        <w:rPr>
          <w:rFonts w:ascii="Times New Roman" w:hAnsi="Times New Roman" w:cs="Times New Roman"/>
          <w:sz w:val="24"/>
        </w:rPr>
        <w:t xml:space="preserve"> </w:t>
      </w:r>
    </w:p>
    <w:p w14:paraId="72B76FF9" w14:textId="1245A49D" w:rsidR="00E9783A" w:rsidRDefault="00222E11" w:rsidP="00222E11">
      <w:pPr>
        <w:spacing w:before="240" w:line="360" w:lineRule="auto"/>
        <w:ind w:firstLine="720"/>
        <w:jc w:val="both"/>
        <w:rPr>
          <w:rFonts w:ascii="Times New Roman" w:hAnsi="Times New Roman" w:cs="Times New Roman"/>
          <w:sz w:val="24"/>
        </w:rPr>
      </w:pPr>
      <w:r w:rsidRPr="00222E11">
        <w:rPr>
          <w:rStyle w:val="Emphasis"/>
          <w:rFonts w:ascii="Times New Roman" w:hAnsi="Times New Roman" w:cs="Times New Roman"/>
          <w:sz w:val="24"/>
        </w:rPr>
        <w:t>Ralstonia solanacearum</w:t>
      </w:r>
      <w:r w:rsidRPr="00222E11">
        <w:rPr>
          <w:rFonts w:ascii="Times New Roman" w:hAnsi="Times New Roman" w:cs="Times New Roman"/>
          <w:sz w:val="24"/>
        </w:rPr>
        <w:t xml:space="preserve">, a devastating vascular pathogen of tomato, causes bacterial wilt leading to significant crop losses globally. Rapid and reliable screening methods are essential to assess the pathogenic potential of different isolates for resistance breeding and epidemiological studies. This study presents a high-throughput root dip inoculation assay to evaluate the virulence of </w:t>
      </w:r>
      <w:r w:rsidRPr="00222E11">
        <w:rPr>
          <w:rStyle w:val="Emphasis"/>
          <w:rFonts w:ascii="Times New Roman" w:hAnsi="Times New Roman" w:cs="Times New Roman"/>
          <w:sz w:val="24"/>
        </w:rPr>
        <w:t>R. solanacearum</w:t>
      </w:r>
      <w:r w:rsidRPr="00222E11">
        <w:rPr>
          <w:rFonts w:ascii="Times New Roman" w:hAnsi="Times New Roman" w:cs="Times New Roman"/>
          <w:sz w:val="24"/>
        </w:rPr>
        <w:t xml:space="preserve"> strain RsT-7 in tomato (cv. Sahoo and Aaryaman). Six distinct treatments involving bacterial broth, sterile water</w:t>
      </w:r>
      <w:r w:rsidR="008B3A7C">
        <w:rPr>
          <w:rFonts w:ascii="Times New Roman" w:hAnsi="Times New Roman" w:cs="Times New Roman"/>
          <w:sz w:val="24"/>
        </w:rPr>
        <w:t xml:space="preserve"> and</w:t>
      </w:r>
      <w:r w:rsidRPr="00222E11">
        <w:rPr>
          <w:rFonts w:ascii="Times New Roman" w:hAnsi="Times New Roman" w:cs="Times New Roman"/>
          <w:sz w:val="24"/>
        </w:rPr>
        <w:t xml:space="preserve"> bacterial suspension (OD₆₀₀ = 0.6) were compared in 6–7-day-old seedlings. Among all treatments, direct root exposure to bacterial suspension (S</w:t>
      </w:r>
      <w:r w:rsidRPr="00222E11">
        <w:rPr>
          <w:rFonts w:ascii="Times New Roman" w:hAnsi="Times New Roman" w:cs="Times New Roman"/>
          <w:sz w:val="24"/>
        </w:rPr>
        <w:noBreakHyphen/>
        <w:t>1) resulted in 100% wilting within 48 hours post-inoculation, exhibiting rapid and consistent symptom development including turgor loss, drooping and seedling collapse. Other treatments involving broth or delayed suspension addition showed significantly lower wilt incidence (0–80%). The assay was successfully adapted to 30-day-old seedlings, which developed progressive wilting and stem collapse. Pathogen colonization was confirmed via ooze test and decreased lignification in vascular tissues was visualized using phloroglucinol staining. The results indicate that direct root dip in bacterial suspension is a reliable, reproducible</w:t>
      </w:r>
      <w:r w:rsidR="008B3A7C">
        <w:rPr>
          <w:rFonts w:ascii="Times New Roman" w:hAnsi="Times New Roman" w:cs="Times New Roman"/>
          <w:sz w:val="24"/>
        </w:rPr>
        <w:t xml:space="preserve"> and</w:t>
      </w:r>
      <w:r w:rsidRPr="00222E11">
        <w:rPr>
          <w:rFonts w:ascii="Times New Roman" w:hAnsi="Times New Roman" w:cs="Times New Roman"/>
          <w:sz w:val="24"/>
        </w:rPr>
        <w:t xml:space="preserve"> resource-efficient method for pathogenicity screening of </w:t>
      </w:r>
      <w:r w:rsidRPr="00222E11">
        <w:rPr>
          <w:rStyle w:val="Emphasis"/>
          <w:rFonts w:ascii="Times New Roman" w:hAnsi="Times New Roman" w:cs="Times New Roman"/>
          <w:sz w:val="24"/>
        </w:rPr>
        <w:t>R. solanacearum</w:t>
      </w:r>
      <w:r w:rsidRPr="00222E11">
        <w:rPr>
          <w:rFonts w:ascii="Times New Roman" w:hAnsi="Times New Roman" w:cs="Times New Roman"/>
          <w:sz w:val="24"/>
        </w:rPr>
        <w:t xml:space="preserve"> in tomato. This approach enables rapid disease assessment in early growth stages and can significantly accelerate screening pipelines in plant pathology research.</w:t>
      </w:r>
    </w:p>
    <w:p w14:paraId="786B0C2F" w14:textId="09496686" w:rsidR="00222E11" w:rsidRDefault="00222E11" w:rsidP="00222E11">
      <w:pPr>
        <w:spacing w:before="240" w:line="360" w:lineRule="auto"/>
        <w:jc w:val="both"/>
        <w:rPr>
          <w:rFonts w:ascii="Times New Roman" w:hAnsi="Times New Roman" w:cs="Times New Roman"/>
          <w:sz w:val="24"/>
        </w:rPr>
      </w:pPr>
      <w:r w:rsidRPr="00222E11">
        <w:rPr>
          <w:rFonts w:ascii="Times New Roman" w:hAnsi="Times New Roman" w:cs="Times New Roman"/>
          <w:b/>
          <w:sz w:val="24"/>
          <w:lang w:val="en-US"/>
        </w:rPr>
        <w:t>Keywords:</w:t>
      </w:r>
      <w:r w:rsidRPr="00222E11">
        <w:rPr>
          <w:rFonts w:ascii="Times New Roman" w:hAnsi="Times New Roman" w:cs="Times New Roman"/>
          <w:b/>
          <w:sz w:val="28"/>
          <w:lang w:val="en-US"/>
        </w:rPr>
        <w:t xml:space="preserve"> </w:t>
      </w:r>
      <w:r w:rsidR="00133888" w:rsidRPr="00222E11">
        <w:rPr>
          <w:rFonts w:ascii="Times New Roman" w:hAnsi="Times New Roman" w:cs="Times New Roman"/>
          <w:sz w:val="24"/>
        </w:rPr>
        <w:t xml:space="preserve">Bacterial </w:t>
      </w:r>
      <w:r w:rsidRPr="00222E11">
        <w:rPr>
          <w:rFonts w:ascii="Times New Roman" w:hAnsi="Times New Roman" w:cs="Times New Roman"/>
          <w:sz w:val="24"/>
        </w:rPr>
        <w:t xml:space="preserve">wilt, </w:t>
      </w:r>
      <w:r w:rsidR="00133888">
        <w:rPr>
          <w:rFonts w:ascii="Times New Roman" w:hAnsi="Times New Roman" w:cs="Times New Roman"/>
          <w:sz w:val="24"/>
        </w:rPr>
        <w:t>tomato</w:t>
      </w:r>
      <w:r w:rsidRPr="00222E11">
        <w:rPr>
          <w:rFonts w:ascii="Times New Roman" w:hAnsi="Times New Roman" w:cs="Times New Roman"/>
          <w:sz w:val="24"/>
        </w:rPr>
        <w:t xml:space="preserve">, </w:t>
      </w:r>
      <w:r w:rsidRPr="00222E11">
        <w:rPr>
          <w:rFonts w:ascii="Times New Roman" w:hAnsi="Times New Roman" w:cs="Times New Roman"/>
          <w:i/>
          <w:sz w:val="24"/>
        </w:rPr>
        <w:t>Ralstonia solanacearum</w:t>
      </w:r>
      <w:r w:rsidRPr="00222E11">
        <w:rPr>
          <w:rFonts w:ascii="Times New Roman" w:hAnsi="Times New Roman" w:cs="Times New Roman"/>
          <w:sz w:val="24"/>
        </w:rPr>
        <w:t>,</w:t>
      </w:r>
      <w:r w:rsidR="00133888">
        <w:rPr>
          <w:rFonts w:ascii="Times New Roman" w:hAnsi="Times New Roman" w:cs="Times New Roman"/>
          <w:sz w:val="24"/>
        </w:rPr>
        <w:t xml:space="preserve"> root dip assay, pathogenicity</w:t>
      </w:r>
    </w:p>
    <w:p w14:paraId="5FEEC5BF" w14:textId="693C9B8B" w:rsidR="002041CB" w:rsidRPr="007B3045" w:rsidRDefault="007B3045" w:rsidP="007B3045">
      <w:pPr>
        <w:pStyle w:val="ListParagraph"/>
        <w:numPr>
          <w:ilvl w:val="0"/>
          <w:numId w:val="7"/>
        </w:numPr>
        <w:spacing w:before="240" w:line="360" w:lineRule="auto"/>
        <w:ind w:left="426"/>
        <w:jc w:val="both"/>
        <w:rPr>
          <w:rFonts w:ascii="Times New Roman" w:hAnsi="Times New Roman" w:cs="Times New Roman"/>
          <w:b/>
          <w:sz w:val="24"/>
          <w:lang w:val="en-US"/>
        </w:rPr>
      </w:pPr>
      <w:r w:rsidRPr="007B3045">
        <w:rPr>
          <w:rFonts w:ascii="Times New Roman" w:hAnsi="Times New Roman" w:cs="Times New Roman"/>
          <w:b/>
          <w:sz w:val="24"/>
          <w:lang w:val="en-US"/>
        </w:rPr>
        <w:t>INTRODUCTION</w:t>
      </w:r>
    </w:p>
    <w:p w14:paraId="79F642BD" w14:textId="690A8249" w:rsidR="00F30AF9" w:rsidRDefault="00F30AF9" w:rsidP="00F30AF9">
      <w:pPr>
        <w:pStyle w:val="NormalWeb"/>
        <w:spacing w:line="360" w:lineRule="auto"/>
        <w:ind w:firstLine="720"/>
        <w:jc w:val="both"/>
      </w:pPr>
      <w:r>
        <w:t>Tomato (</w:t>
      </w:r>
      <w:r>
        <w:rPr>
          <w:rStyle w:val="Emphasis"/>
        </w:rPr>
        <w:t>Solanum lycopersicum</w:t>
      </w:r>
      <w:r>
        <w:t xml:space="preserve"> L.) stands as one of the most economically and nutritionally important horticultural crops globally. Valued for its culinary versatility, high content of antioxidants such as lycopene, vitamins (A, C</w:t>
      </w:r>
      <w:r w:rsidR="008B3A7C">
        <w:t xml:space="preserve"> and</w:t>
      </w:r>
      <w:r>
        <w:t xml:space="preserve"> E)</w:t>
      </w:r>
      <w:r w:rsidR="008B3A7C">
        <w:t xml:space="preserve"> and</w:t>
      </w:r>
      <w:r>
        <w:t xml:space="preserve"> dietary </w:t>
      </w:r>
      <w:proofErr w:type="spellStart"/>
      <w:r>
        <w:t>fiber</w:t>
      </w:r>
      <w:proofErr w:type="spellEnd"/>
      <w:r>
        <w:t xml:space="preserve">, tomato is consumed fresh, cooked or processed into a wide range of food products. </w:t>
      </w:r>
      <w:r w:rsidR="002C06FD">
        <w:t xml:space="preserve">With increasing demand across global markets, tomato cultivation now spans over </w:t>
      </w:r>
      <w:r w:rsidR="002C06FD" w:rsidRPr="002C06FD">
        <w:rPr>
          <w:rStyle w:val="Strong"/>
          <w:b w:val="0"/>
        </w:rPr>
        <w:t>5 million hectares</w:t>
      </w:r>
      <w:r w:rsidR="002C06FD">
        <w:t xml:space="preserve">, yielding approximately </w:t>
      </w:r>
      <w:r w:rsidR="002C06FD" w:rsidRPr="002C06FD">
        <w:rPr>
          <w:rStyle w:val="Strong"/>
          <w:b w:val="0"/>
        </w:rPr>
        <w:t>190 million tonnes</w:t>
      </w:r>
      <w:r w:rsidR="002C06FD">
        <w:t xml:space="preserve"> annually (</w:t>
      </w:r>
      <w:r w:rsidR="002C06FD" w:rsidRPr="002C06FD">
        <w:t>FAOSTAT</w:t>
      </w:r>
      <w:r w:rsidR="002C06FD">
        <w:t xml:space="preserve">, 2023). </w:t>
      </w:r>
      <w:r>
        <w:t>China dominates global production, contributing nearly one-third of the total output, followed by India, the United States, Turkey and Egypt. In India, tomato occupies a central role in vegetable farming systems, covering close to 9</w:t>
      </w:r>
      <w:r w:rsidR="003C64D2">
        <w:t>,</w:t>
      </w:r>
      <w:r>
        <w:t>00,000 hectares with an annual production of over 21 million tonnes</w:t>
      </w:r>
      <w:r w:rsidR="00720EAB">
        <w:t xml:space="preserve"> </w:t>
      </w:r>
      <w:r w:rsidR="003B09AD" w:rsidRPr="003B09AD">
        <w:rPr>
          <w:highlight w:val="yellow"/>
        </w:rPr>
        <w:lastRenderedPageBreak/>
        <w:t>(Ministry of Agriculture and Farmers Welfare, 2022)</w:t>
      </w:r>
      <w:r w:rsidRPr="003B09AD">
        <w:rPr>
          <w:highlight w:val="yellow"/>
        </w:rPr>
        <w:t>.</w:t>
      </w:r>
      <w:r>
        <w:t xml:space="preserve"> The primary production belts include Andhra Pradesh, Madhya Pradesh, Karnataka, Maharashtra and Tamil Nadu, where both open-field and protected cultivation practices are employed depending on the season and market demand (Sankaran </w:t>
      </w:r>
      <w:r w:rsidRPr="00F30AF9">
        <w:rPr>
          <w:i/>
        </w:rPr>
        <w:t>et al</w:t>
      </w:r>
      <w:r>
        <w:t>., 2024).</w:t>
      </w:r>
    </w:p>
    <w:p w14:paraId="776B437E" w14:textId="41E103B4" w:rsidR="00F30AF9" w:rsidRDefault="00F30AF9" w:rsidP="00F30AF9">
      <w:pPr>
        <w:pStyle w:val="NormalWeb"/>
        <w:spacing w:line="360" w:lineRule="auto"/>
        <w:ind w:firstLine="720"/>
        <w:jc w:val="both"/>
      </w:pPr>
      <w:r>
        <w:t xml:space="preserve">Despite its agronomic and economic significance, tomato production is severely threatened by a broad spectrum of biotic stresses, particularly diseases caused by fungi, viruses, nematodes and bacteria. Among these, bacterial wilt caused by </w:t>
      </w:r>
      <w:r>
        <w:rPr>
          <w:rStyle w:val="Emphasis"/>
        </w:rPr>
        <w:t>Ralstonia solanacearum</w:t>
      </w:r>
      <w:r>
        <w:t xml:space="preserve"> is one of the most destructive and intractable diseases affecting tomato in tropical and subtropical regions. This soilborne vascular pathogen invades the plant through the root system, colonizes the xylem</w:t>
      </w:r>
      <w:r w:rsidR="008B3A7C">
        <w:t xml:space="preserve"> and</w:t>
      </w:r>
      <w:r>
        <w:t xml:space="preserve"> disrupts water transport, leading to sudden wilting, chlorosis</w:t>
      </w:r>
      <w:r w:rsidR="008B3A7C">
        <w:t xml:space="preserve"> and</w:t>
      </w:r>
      <w:r>
        <w:t xml:space="preserve"> plant death. Bacterial wilt has been reported to cause yield losses ranging from 30% to 100%, depending on cultivar susceptibility, environmental conditions</w:t>
      </w:r>
      <w:r w:rsidR="008B3A7C">
        <w:t xml:space="preserve"> and</w:t>
      </w:r>
      <w:r>
        <w:t xml:space="preserve"> inoculum density (Kumar </w:t>
      </w:r>
      <w:r w:rsidRPr="00F30AF9">
        <w:rPr>
          <w:i/>
        </w:rPr>
        <w:t>et al</w:t>
      </w:r>
      <w:r>
        <w:t xml:space="preserve">., 2018; Devi </w:t>
      </w:r>
      <w:r w:rsidRPr="00F30AF9">
        <w:rPr>
          <w:i/>
        </w:rPr>
        <w:t>et al</w:t>
      </w:r>
      <w:r>
        <w:t>., 2021). The disease is especially prevalent in warm, humid climates and poorly drained soils, where the pathogen can survive for long periods in water, soil</w:t>
      </w:r>
      <w:r w:rsidR="008B3A7C">
        <w:t xml:space="preserve"> and</w:t>
      </w:r>
      <w:r>
        <w:t xml:space="preserve"> plant debris (Balamurugan </w:t>
      </w:r>
      <w:r w:rsidRPr="00F30AF9">
        <w:rPr>
          <w:i/>
        </w:rPr>
        <w:t>et al</w:t>
      </w:r>
      <w:r>
        <w:t>., 2020).</w:t>
      </w:r>
    </w:p>
    <w:p w14:paraId="69093C45" w14:textId="2AA4AAAC" w:rsidR="00F30AF9" w:rsidRDefault="00F30AF9" w:rsidP="00F30AF9">
      <w:pPr>
        <w:pStyle w:val="NormalWeb"/>
        <w:spacing w:line="360" w:lineRule="auto"/>
        <w:ind w:firstLine="720"/>
        <w:jc w:val="both"/>
      </w:pPr>
      <w:r>
        <w:rPr>
          <w:rStyle w:val="Emphasis"/>
        </w:rPr>
        <w:t>Ralstonia solanacearum</w:t>
      </w:r>
      <w:r>
        <w:t xml:space="preserve"> is a highly diverse and adaptable species complex comprising multiple phylotypes and sequevars, with a broad host range exceeding 250 plant species across 50 families (Mekonnen </w:t>
      </w:r>
      <w:r w:rsidRPr="00F30AF9">
        <w:rPr>
          <w:i/>
        </w:rPr>
        <w:t>et al</w:t>
      </w:r>
      <w:r>
        <w:t>., 2022). It is included on the A2 list of quarantine pests by the European and Mediterranean Plant Protection Organization (EPPO) and has gained international attention due to its epidemic potential and persistence in asymptomatic hosts. In tomato, the pathogen’s aggressive colonization of xylem vessels, rapid systemic movement</w:t>
      </w:r>
      <w:r w:rsidR="008B3A7C">
        <w:t xml:space="preserve"> and</w:t>
      </w:r>
      <w:r>
        <w:t xml:space="preserve"> ability to form protective biofilms render it particularly difficult to control through conventional chemical or cultural means (</w:t>
      </w:r>
      <w:r w:rsidR="001005C8" w:rsidRPr="001005C8">
        <w:rPr>
          <w:shd w:val="clear" w:color="auto" w:fill="F7F7F7"/>
        </w:rPr>
        <w:t>Caldwell</w:t>
      </w:r>
      <w:r w:rsidRPr="001005C8">
        <w:t xml:space="preserve"> </w:t>
      </w:r>
      <w:r w:rsidRPr="00F30AF9">
        <w:rPr>
          <w:i/>
        </w:rPr>
        <w:t>et al.</w:t>
      </w:r>
      <w:r>
        <w:t>, 20</w:t>
      </w:r>
      <w:r w:rsidR="001005C8">
        <w:t>17</w:t>
      </w:r>
      <w:r>
        <w:t xml:space="preserve">). The bacterium thrives under warm temperatures (28–35 °C) and high soil moisture, making it a recurrent problem in Indian tomato-growing regions during the rainy and post-rainy seasons (Ijaz </w:t>
      </w:r>
      <w:r w:rsidRPr="00F30AF9">
        <w:rPr>
          <w:i/>
        </w:rPr>
        <w:t>et al</w:t>
      </w:r>
      <w:r>
        <w:t>., 2024; Subramanian, 2023).</w:t>
      </w:r>
    </w:p>
    <w:p w14:paraId="225A1AE1" w14:textId="462A7E5F" w:rsidR="00F30AF9" w:rsidRDefault="00F30AF9" w:rsidP="00F30AF9">
      <w:pPr>
        <w:pStyle w:val="NormalWeb"/>
        <w:spacing w:line="360" w:lineRule="auto"/>
        <w:ind w:firstLine="720"/>
        <w:jc w:val="both"/>
      </w:pPr>
      <w:r>
        <w:t xml:space="preserve">Effective disease management strategies for bacterial wilt require early detection and accurate evaluation of pathogen virulence. For this, robust and reproducible pathogenicity assays are essential, particularly in breeding programs that aim to develop resistant cultivars and in studies evaluating biological control agents or plant </w:t>
      </w:r>
      <w:proofErr w:type="spellStart"/>
      <w:r>
        <w:t>defense</w:t>
      </w:r>
      <w:proofErr w:type="spellEnd"/>
      <w:r>
        <w:t xml:space="preserve"> inducers (</w:t>
      </w:r>
      <w:proofErr w:type="spellStart"/>
      <w:r>
        <w:t>Srinivasamurthy</w:t>
      </w:r>
      <w:proofErr w:type="spellEnd"/>
      <w:r>
        <w:t xml:space="preserve"> </w:t>
      </w:r>
      <w:r w:rsidRPr="00F30AF9">
        <w:rPr>
          <w:i/>
        </w:rPr>
        <w:t>et al</w:t>
      </w:r>
      <w:r>
        <w:t xml:space="preserve">., 2014; Solanki &amp; Khan, 2024). Traditional pathogenicity tests for </w:t>
      </w:r>
      <w:r>
        <w:rPr>
          <w:rStyle w:val="Emphasis"/>
        </w:rPr>
        <w:t>R. solanacearum</w:t>
      </w:r>
      <w:r>
        <w:t xml:space="preserve"> typically involve soil inoculation in pots, stem injection, or natural infestation under field </w:t>
      </w:r>
      <w:r>
        <w:lastRenderedPageBreak/>
        <w:t>conditions. However, these approaches are often time-consuming, require significant space and resources and are difficult to standardize across different laboratories. Moreover, these methods may introduce variability due to fluctuations in soil moisture, inoculum density or environmental conditions, making comparative assessment of virulence or resistance levels challenging (</w:t>
      </w:r>
      <w:proofErr w:type="spellStart"/>
      <w:r>
        <w:t>Konappa</w:t>
      </w:r>
      <w:proofErr w:type="spellEnd"/>
      <w:r>
        <w:t xml:space="preserve"> </w:t>
      </w:r>
      <w:r w:rsidRPr="00F30AF9">
        <w:rPr>
          <w:i/>
        </w:rPr>
        <w:t>et al</w:t>
      </w:r>
      <w:r>
        <w:t>., 2018; Rout, 2015).</w:t>
      </w:r>
    </w:p>
    <w:p w14:paraId="75C5EE38" w14:textId="266886D1" w:rsidR="00F30AF9" w:rsidRDefault="00F30AF9" w:rsidP="00F30AF9">
      <w:pPr>
        <w:pStyle w:val="NormalWeb"/>
        <w:spacing w:line="360" w:lineRule="auto"/>
        <w:ind w:firstLine="720"/>
        <w:jc w:val="both"/>
      </w:pPr>
      <w:r>
        <w:t>To overcome these limitations, efforts have been made to develop high-throughput, simplified assays that allow consistent, rapid</w:t>
      </w:r>
      <w:r w:rsidR="003C64D2">
        <w:t xml:space="preserve"> </w:t>
      </w:r>
      <w:r>
        <w:t xml:space="preserve">and scalable evaluation of pathogenicity. Among these, a root dip inoculation method for early-stage tomato seedlings was proposed by Singh </w:t>
      </w:r>
      <w:r w:rsidRPr="00F30AF9">
        <w:rPr>
          <w:i/>
        </w:rPr>
        <w:t>et al</w:t>
      </w:r>
      <w:r>
        <w:t xml:space="preserve">. (2018), offering a space-efficient and faster alternative to traditional pot assays. Their approach involves exposing 6–7-day-old tomato seedlings to a standardized bacterial suspension and monitoring symptom development under sterile conditions. However, despite its potential, this method has not been extensively validated across cultivars, exposure durations or inoculum formats (e.g., broth vs. suspension). Furthermore, questions remain regarding the physiological state of the bacteria at the time of inoculation and how that might influence infection efficiency (Heena </w:t>
      </w:r>
      <w:r w:rsidRPr="00F30AF9">
        <w:rPr>
          <w:i/>
        </w:rPr>
        <w:t>et al</w:t>
      </w:r>
      <w:r>
        <w:t>., 2020).</w:t>
      </w:r>
    </w:p>
    <w:p w14:paraId="4550DB4C" w14:textId="2AA02B6B" w:rsidR="00F30AF9" w:rsidRDefault="00F30AF9" w:rsidP="00F30AF9">
      <w:pPr>
        <w:pStyle w:val="NormalWeb"/>
        <w:spacing w:line="360" w:lineRule="auto"/>
        <w:ind w:firstLine="720"/>
        <w:jc w:val="both"/>
      </w:pPr>
      <w:r>
        <w:t>Recent studies have highlighted the importance of biofilm formation, quorum sensing</w:t>
      </w:r>
      <w:r w:rsidR="008B3A7C">
        <w:t xml:space="preserve"> and</w:t>
      </w:r>
      <w:r>
        <w:t xml:space="preserve"> xylem colonization in determining the virulence of </w:t>
      </w:r>
      <w:r>
        <w:rPr>
          <w:rStyle w:val="Emphasis"/>
        </w:rPr>
        <w:t>R. solanacearum</w:t>
      </w:r>
      <w:r>
        <w:t xml:space="preserve">. For instance, melatonin-decorated silica nanoparticles were shown to significantly suppress bacterial wilt in tomato by modulating oxidative </w:t>
      </w:r>
      <w:proofErr w:type="spellStart"/>
      <w:r>
        <w:t>signaling</w:t>
      </w:r>
      <w:proofErr w:type="spellEnd"/>
      <w:r>
        <w:t xml:space="preserve"> and the rhizosphere microbiome, demonstrating the complexity of host-pathogen interactions and the need for precise inoculation assays (Ijaz </w:t>
      </w:r>
      <w:r w:rsidRPr="00F30AF9">
        <w:rPr>
          <w:i/>
        </w:rPr>
        <w:t>et al</w:t>
      </w:r>
      <w:r>
        <w:t xml:space="preserve">., 2024). Similarly, biogenic resistance inducers like pipecolic acid have been found to alter tomato metabolomic profiles and enhance systemic acquired resistance against the pathogen (Sabharwal </w:t>
      </w:r>
      <w:r w:rsidRPr="00F30AF9">
        <w:rPr>
          <w:i/>
        </w:rPr>
        <w:t>et al</w:t>
      </w:r>
      <w:r>
        <w:t xml:space="preserve">., 2025). Novel approaches such as biochar-based composites (Karanja </w:t>
      </w:r>
      <w:r w:rsidRPr="00F30AF9">
        <w:rPr>
          <w:i/>
        </w:rPr>
        <w:t>et al.</w:t>
      </w:r>
      <w:r>
        <w:t xml:space="preserve">, 2024) and virus-mediated CRISPR delivery (Peng </w:t>
      </w:r>
      <w:r w:rsidRPr="00F30AF9">
        <w:rPr>
          <w:i/>
        </w:rPr>
        <w:t>et al</w:t>
      </w:r>
      <w:r>
        <w:t>., 2024) have also shown promise, reflecting the ongoing innovation in bacterial wilt management. These advancements underline the necessity for a reproducible and sensitive pathogenicity assay that can bridge molecular studies with phenotype-based disease screening.</w:t>
      </w:r>
    </w:p>
    <w:p w14:paraId="49F9BD50" w14:textId="3A384362" w:rsidR="00F30AF9" w:rsidRDefault="00F30AF9" w:rsidP="00F30AF9">
      <w:pPr>
        <w:pStyle w:val="NormalWeb"/>
        <w:spacing w:line="360" w:lineRule="auto"/>
        <w:ind w:firstLine="720"/>
        <w:jc w:val="both"/>
      </w:pPr>
      <w:r>
        <w:t xml:space="preserve">Despite growing interest in </w:t>
      </w:r>
      <w:r>
        <w:rPr>
          <w:rStyle w:val="Emphasis"/>
        </w:rPr>
        <w:t>R. solanacearum</w:t>
      </w:r>
      <w:r>
        <w:t xml:space="preserve"> biology and control, there remains a significant methodological gap in standardizing pathogenicity assays that are rapid, cost-effective and suitable for both early-stage and mature seedlings. The lack of a universally accepted </w:t>
      </w:r>
      <w:r w:rsidRPr="003C64D2">
        <w:rPr>
          <w:i/>
        </w:rPr>
        <w:t xml:space="preserve">in vitro </w:t>
      </w:r>
      <w:r>
        <w:t xml:space="preserve">or greenhouse-based pathogenicity test hampers consistent evaluation of virulence traits, resistance sources and bioformulations under controlled conditions. Moreover, </w:t>
      </w:r>
      <w:r>
        <w:lastRenderedPageBreak/>
        <w:t>early disease detection systems capable of mimicking field infection without the spatial and temporal constraints of pot assays are urgently needed, especially in resource-limited settings.</w:t>
      </w:r>
    </w:p>
    <w:p w14:paraId="0CE08394" w14:textId="77777777" w:rsidR="00F30AF9" w:rsidRDefault="00F30AF9" w:rsidP="00F30AF9">
      <w:pPr>
        <w:pStyle w:val="NormalWeb"/>
        <w:spacing w:line="360" w:lineRule="auto"/>
        <w:ind w:firstLine="720"/>
        <w:jc w:val="both"/>
      </w:pPr>
      <w:r>
        <w:t xml:space="preserve">The present study was undertaken with aim to develop and validate a rapid, high-throughput root dip inoculation method for assessing the pathogenicity of </w:t>
      </w:r>
      <w:r>
        <w:rPr>
          <w:rStyle w:val="Emphasis"/>
        </w:rPr>
        <w:t>Ralstonia solanacearum</w:t>
      </w:r>
      <w:r>
        <w:t xml:space="preserve"> in tomato under controlled conditions. By optimizing inoculation strategies and evaluating disease development across different seedling stages and cultivars, the approach offers a reliable and scalable alternative to traditional pathogenicity assays.</w:t>
      </w:r>
    </w:p>
    <w:p w14:paraId="7A33F707" w14:textId="7E05A644" w:rsidR="002041CB" w:rsidRPr="007B3045" w:rsidRDefault="002041CB" w:rsidP="007B3045">
      <w:pPr>
        <w:pStyle w:val="ListParagraph"/>
        <w:numPr>
          <w:ilvl w:val="0"/>
          <w:numId w:val="7"/>
        </w:numPr>
        <w:spacing w:before="100" w:beforeAutospacing="1" w:after="100" w:afterAutospacing="1" w:line="240" w:lineRule="auto"/>
        <w:ind w:left="426"/>
        <w:outlineLvl w:val="1"/>
        <w:rPr>
          <w:rFonts w:ascii="Times New Roman" w:eastAsia="Times New Roman" w:hAnsi="Times New Roman" w:cs="Times New Roman"/>
          <w:b/>
          <w:bCs/>
          <w:sz w:val="24"/>
          <w:szCs w:val="36"/>
          <w:lang w:eastAsia="en-IN"/>
        </w:rPr>
      </w:pPr>
      <w:r w:rsidRPr="007B3045">
        <w:rPr>
          <w:rFonts w:ascii="Times New Roman" w:eastAsia="Times New Roman" w:hAnsi="Times New Roman" w:cs="Times New Roman"/>
          <w:b/>
          <w:bCs/>
          <w:sz w:val="24"/>
          <w:szCs w:val="36"/>
          <w:lang w:eastAsia="en-IN"/>
        </w:rPr>
        <w:t>Materials and Methods</w:t>
      </w:r>
    </w:p>
    <w:p w14:paraId="02FC9884" w14:textId="18290D4A" w:rsidR="002041CB" w:rsidRPr="002041CB" w:rsidRDefault="007B3045" w:rsidP="002041CB">
      <w:pPr>
        <w:spacing w:before="100" w:beforeAutospacing="1" w:after="100" w:afterAutospacing="1" w:line="240" w:lineRule="auto"/>
        <w:outlineLvl w:val="1"/>
        <w:rPr>
          <w:rFonts w:ascii="Times New Roman" w:eastAsia="Times New Roman" w:hAnsi="Times New Roman" w:cs="Times New Roman"/>
          <w:b/>
          <w:bCs/>
          <w:sz w:val="28"/>
          <w:szCs w:val="36"/>
          <w:lang w:eastAsia="en-IN"/>
        </w:rPr>
      </w:pPr>
      <w:r>
        <w:rPr>
          <w:rFonts w:ascii="Times New Roman" w:eastAsia="Times New Roman" w:hAnsi="Times New Roman" w:cs="Times New Roman"/>
          <w:b/>
          <w:bCs/>
          <w:sz w:val="24"/>
          <w:szCs w:val="27"/>
          <w:lang w:eastAsia="en-IN"/>
        </w:rPr>
        <w:t xml:space="preserve">2.1 </w:t>
      </w:r>
      <w:r w:rsidR="002041CB" w:rsidRPr="002041CB">
        <w:rPr>
          <w:rFonts w:ascii="Times New Roman" w:eastAsia="Times New Roman" w:hAnsi="Times New Roman" w:cs="Times New Roman"/>
          <w:b/>
          <w:bCs/>
          <w:sz w:val="24"/>
          <w:szCs w:val="27"/>
          <w:lang w:eastAsia="en-IN"/>
        </w:rPr>
        <w:t>Bacterial Culture and Inoculum Preparation</w:t>
      </w:r>
    </w:p>
    <w:p w14:paraId="1A092E54" w14:textId="3FF7C931" w:rsidR="00471FA7" w:rsidRDefault="00471FA7" w:rsidP="00471FA7">
      <w:pPr>
        <w:pStyle w:val="NormalWeb"/>
        <w:spacing w:line="360" w:lineRule="auto"/>
        <w:ind w:firstLine="720"/>
        <w:jc w:val="both"/>
      </w:pPr>
      <w:r>
        <w:t xml:space="preserve">The </w:t>
      </w:r>
      <w:r>
        <w:rPr>
          <w:rStyle w:val="Emphasis"/>
        </w:rPr>
        <w:t>Ralstonia solanacearum</w:t>
      </w:r>
      <w:r>
        <w:t xml:space="preserve"> strain RsT-7 used in this study was obtained from the </w:t>
      </w:r>
      <w:proofErr w:type="spellStart"/>
      <w:r w:rsidRPr="00471FA7">
        <w:rPr>
          <w:rStyle w:val="Strong"/>
          <w:b w:val="0"/>
        </w:rPr>
        <w:t>Pathogenomics</w:t>
      </w:r>
      <w:proofErr w:type="spellEnd"/>
      <w:r w:rsidRPr="00471FA7">
        <w:rPr>
          <w:rStyle w:val="Strong"/>
          <w:b w:val="0"/>
        </w:rPr>
        <w:t xml:space="preserve"> Laboratory, Department of Plant Pathology, GKVK, University of Agricultural Sciences (UAS), Bangalore</w:t>
      </w:r>
      <w:r w:rsidRPr="00471FA7">
        <w:rPr>
          <w:b/>
        </w:rPr>
        <w:t>.</w:t>
      </w:r>
      <w:r>
        <w:t xml:space="preserve"> This strain had been previously characterized for its virulence on solanaceous hosts. The bacterium was streaked on TZC (Triphenyl Tetrazolium Chloride) agar medium and incubated at 28 °C for 36 hours to obtain isolated virulent colonies</w:t>
      </w:r>
      <w:r w:rsidR="00740261">
        <w:t xml:space="preserve"> </w:t>
      </w:r>
      <w:r w:rsidR="001422DF">
        <w:t>(Plate 1)</w:t>
      </w:r>
      <w:r>
        <w:t>. Colonies showing typical fluidal, irregular</w:t>
      </w:r>
      <w:r w:rsidR="008B3A7C">
        <w:t xml:space="preserve"> and</w:t>
      </w:r>
      <w:r>
        <w:t xml:space="preserve"> pink-</w:t>
      </w:r>
      <w:r w:rsidR="003C64D2">
        <w:t>centred</w:t>
      </w:r>
      <w:r>
        <w:t xml:space="preserve"> morphology were selected and transferred aseptically to 50 mL nutrient broth. The culture was incubated in a rotary shaker at 150 rpm for 36 hours at 28 °C to obtain actively growing cells.</w:t>
      </w:r>
    </w:p>
    <w:p w14:paraId="6D43138C" w14:textId="297FB4B5" w:rsidR="00471FA7" w:rsidRDefault="00471FA7" w:rsidP="00471FA7">
      <w:pPr>
        <w:pStyle w:val="NormalWeb"/>
        <w:spacing w:line="360" w:lineRule="auto"/>
        <w:ind w:firstLine="720"/>
        <w:jc w:val="both"/>
      </w:pPr>
      <w:r>
        <w:t>For inoculum preparation, the broth culture was centrifuged at 5,000 rpm for 5 minutes at 4 °C. The pellet was washed twice with sterile distilled water to remove media residues and resuspended in sterile distilled water. The final bacterial concentration was adjusted to approximately 10⁸ colony-forming units (CFU)/mL using a spectrophotometer (OD₆₀₀ = 0.6), which served as the working suspension for pathogenicity assays.</w:t>
      </w:r>
    </w:p>
    <w:p w14:paraId="2344573A" w14:textId="545D07B7" w:rsidR="002C06FD" w:rsidRPr="001422DF" w:rsidRDefault="001422DF" w:rsidP="00471FA7">
      <w:pPr>
        <w:pStyle w:val="NormalWeb"/>
        <w:spacing w:line="360" w:lineRule="auto"/>
        <w:ind w:firstLine="720"/>
        <w:jc w:val="both"/>
        <w:rPr>
          <w:b/>
        </w:rPr>
      </w:pPr>
      <w:r w:rsidRPr="001422DF">
        <w:rPr>
          <w:b/>
          <w:noProof/>
        </w:rPr>
        <w:lastRenderedPageBreak/>
        <w:drawing>
          <wp:anchor distT="0" distB="0" distL="114300" distR="114300" simplePos="0" relativeHeight="251658240" behindDoc="0" locked="0" layoutInCell="1" allowOverlap="1" wp14:anchorId="3B6B5A6F" wp14:editId="440FEDE1">
            <wp:simplePos x="0" y="0"/>
            <wp:positionH relativeFrom="margin">
              <wp:align>center</wp:align>
            </wp:positionH>
            <wp:positionV relativeFrom="paragraph">
              <wp:posOffset>384</wp:posOffset>
            </wp:positionV>
            <wp:extent cx="2474595" cy="2520315"/>
            <wp:effectExtent l="0" t="0" r="1905" b="0"/>
            <wp:wrapTopAndBottom/>
            <wp:docPr id="2" name="Picture 1">
              <a:extLst xmlns:a="http://schemas.openxmlformats.org/drawingml/2006/main">
                <a:ext uri="{FF2B5EF4-FFF2-40B4-BE49-F238E27FC236}">
                  <a16:creationId xmlns:a16="http://schemas.microsoft.com/office/drawing/2014/main" id="{BABCC07F-D340-4FF1-9999-10AC7AEB74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ABCC07F-D340-4FF1-9999-10AC7AEB7475}"/>
                        </a:ext>
                      </a:extLst>
                    </pic:cNvPr>
                    <pic:cNvPicPr>
                      <a:picLocks noChangeAspect="1"/>
                    </pic:cNvPicPr>
                  </pic:nvPicPr>
                  <pic:blipFill rotWithShape="1">
                    <a:blip r:embed="rId7" cstate="print">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l="19665" t="9101" r="23012" b="3334"/>
                    <a:stretch/>
                  </pic:blipFill>
                  <pic:spPr>
                    <a:xfrm>
                      <a:off x="0" y="0"/>
                      <a:ext cx="2474595" cy="2520315"/>
                    </a:xfrm>
                    <a:prstGeom prst="rect">
                      <a:avLst/>
                    </a:prstGeom>
                  </pic:spPr>
                </pic:pic>
              </a:graphicData>
            </a:graphic>
            <wp14:sizeRelH relativeFrom="margin">
              <wp14:pctWidth>0</wp14:pctWidth>
            </wp14:sizeRelH>
            <wp14:sizeRelV relativeFrom="margin">
              <wp14:pctHeight>0</wp14:pctHeight>
            </wp14:sizeRelV>
          </wp:anchor>
        </w:drawing>
      </w:r>
      <w:r w:rsidRPr="001422DF">
        <w:rPr>
          <w:b/>
        </w:rPr>
        <w:t xml:space="preserve">Plate 1. </w:t>
      </w:r>
      <w:r w:rsidRPr="001422DF">
        <w:rPr>
          <w:b/>
          <w:i/>
        </w:rPr>
        <w:t>Ralstonia solanacearum</w:t>
      </w:r>
      <w:r w:rsidRPr="001422DF">
        <w:rPr>
          <w:b/>
        </w:rPr>
        <w:t xml:space="preserve"> (RST-7) cultural characters on TZC medium</w:t>
      </w:r>
    </w:p>
    <w:p w14:paraId="03168764" w14:textId="34A2BAD4" w:rsidR="002041CB" w:rsidRPr="002041CB" w:rsidRDefault="007B3045" w:rsidP="00471FA7">
      <w:pPr>
        <w:spacing w:before="100" w:beforeAutospacing="1" w:after="100" w:afterAutospacing="1" w:line="360" w:lineRule="auto"/>
        <w:jc w:val="both"/>
        <w:outlineLvl w:val="2"/>
        <w:rPr>
          <w:rFonts w:ascii="Times New Roman" w:eastAsia="Times New Roman" w:hAnsi="Times New Roman" w:cs="Times New Roman"/>
          <w:b/>
          <w:bCs/>
          <w:sz w:val="24"/>
          <w:szCs w:val="27"/>
          <w:lang w:eastAsia="en-IN"/>
        </w:rPr>
      </w:pPr>
      <w:r>
        <w:rPr>
          <w:rFonts w:ascii="Times New Roman" w:eastAsia="Times New Roman" w:hAnsi="Times New Roman" w:cs="Times New Roman"/>
          <w:b/>
          <w:bCs/>
          <w:sz w:val="24"/>
          <w:szCs w:val="27"/>
          <w:lang w:eastAsia="en-IN"/>
        </w:rPr>
        <w:t xml:space="preserve">2.2 </w:t>
      </w:r>
      <w:r w:rsidR="002041CB" w:rsidRPr="002041CB">
        <w:rPr>
          <w:rFonts w:ascii="Times New Roman" w:eastAsia="Times New Roman" w:hAnsi="Times New Roman" w:cs="Times New Roman"/>
          <w:b/>
          <w:bCs/>
          <w:sz w:val="24"/>
          <w:szCs w:val="27"/>
          <w:lang w:eastAsia="en-IN"/>
        </w:rPr>
        <w:t>Plant Material and Growth Conditions</w:t>
      </w:r>
    </w:p>
    <w:p w14:paraId="62E3DEF3" w14:textId="70E99557" w:rsidR="00471FA7" w:rsidRDefault="00471FA7" w:rsidP="003C64D2">
      <w:pPr>
        <w:pStyle w:val="NormalWeb"/>
        <w:spacing w:line="360" w:lineRule="auto"/>
        <w:ind w:firstLine="720"/>
        <w:jc w:val="both"/>
      </w:pPr>
      <w:r>
        <w:t>Seeds of tomato cultivar ‘Sahoo’ were selected for early-stage assays. Seeds were surface sterilized by immersing them in</w:t>
      </w:r>
      <w:r w:rsidRPr="003C64D2">
        <w:t xml:space="preserve"> </w:t>
      </w:r>
      <w:r w:rsidR="003C64D2" w:rsidRPr="003C64D2">
        <w:t>1</w:t>
      </w:r>
      <w:r w:rsidRPr="003C64D2">
        <w:t xml:space="preserve">% </w:t>
      </w:r>
      <w:r w:rsidR="003C64D2" w:rsidRPr="003C64D2">
        <w:t>sodium hypochlorite solution</w:t>
      </w:r>
      <w:r w:rsidRPr="003C64D2">
        <w:t xml:space="preserve"> for 1 minute followed by </w:t>
      </w:r>
      <w:r>
        <w:t>thoroughly rin</w:t>
      </w:r>
      <w:r w:rsidR="003C64D2">
        <w:t>sing</w:t>
      </w:r>
      <w:r>
        <w:t xml:space="preserve"> five times with sterile distilled water.</w:t>
      </w:r>
      <w:r w:rsidR="003C64D2">
        <w:t xml:space="preserve"> </w:t>
      </w:r>
      <w:r>
        <w:t>Sterilized seeds were soaked in sterile distilled water for 48 hours at ambient room temperature (25–30 °C) to promote uniform germination. Following soaking, seeds were placed on sterile tissue paper and cotton beds moistened with sterile distilled water in plastic trays. These were maintained in a growth chamber at 28 ± 2 °C, 75% relative humidity and a 12-hour light/12-hour dark photoperiod for 6–7 days, without the addition of nutrients. Germinated seedlings of uniform size were selected for inoculation.</w:t>
      </w:r>
    </w:p>
    <w:p w14:paraId="5880B7A5" w14:textId="6CD0961C" w:rsidR="002041CB" w:rsidRPr="002041CB" w:rsidRDefault="007B3045" w:rsidP="00471FA7">
      <w:pPr>
        <w:spacing w:before="100" w:beforeAutospacing="1" w:after="100" w:afterAutospacing="1" w:line="360" w:lineRule="auto"/>
        <w:jc w:val="both"/>
        <w:outlineLvl w:val="2"/>
        <w:rPr>
          <w:rFonts w:ascii="Times New Roman" w:eastAsia="Times New Roman" w:hAnsi="Times New Roman" w:cs="Times New Roman"/>
          <w:b/>
          <w:bCs/>
          <w:sz w:val="24"/>
          <w:szCs w:val="27"/>
          <w:lang w:eastAsia="en-IN"/>
        </w:rPr>
      </w:pPr>
      <w:r>
        <w:rPr>
          <w:rFonts w:ascii="Times New Roman" w:eastAsia="Times New Roman" w:hAnsi="Times New Roman" w:cs="Times New Roman"/>
          <w:b/>
          <w:bCs/>
          <w:sz w:val="24"/>
          <w:szCs w:val="27"/>
          <w:lang w:eastAsia="en-IN"/>
        </w:rPr>
        <w:t xml:space="preserve">2.3 </w:t>
      </w:r>
      <w:r w:rsidR="002041CB" w:rsidRPr="002041CB">
        <w:rPr>
          <w:rFonts w:ascii="Times New Roman" w:eastAsia="Times New Roman" w:hAnsi="Times New Roman" w:cs="Times New Roman"/>
          <w:b/>
          <w:bCs/>
          <w:sz w:val="24"/>
          <w:szCs w:val="27"/>
          <w:lang w:eastAsia="en-IN"/>
        </w:rPr>
        <w:t>Inoculation Treatments for 6–7-Day-Old Seedlings</w:t>
      </w:r>
    </w:p>
    <w:p w14:paraId="1E7E503C" w14:textId="77777777" w:rsidR="00015E1F" w:rsidRPr="00015E1F" w:rsidRDefault="00015E1F" w:rsidP="008B3A7C">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015E1F">
        <w:rPr>
          <w:rFonts w:ascii="Times New Roman" w:eastAsia="Times New Roman" w:hAnsi="Times New Roman" w:cs="Times New Roman"/>
          <w:sz w:val="24"/>
          <w:szCs w:val="24"/>
          <w:lang w:eastAsia="en-IN"/>
        </w:rPr>
        <w:t>To evaluate the effectiveness of various inoculation strategies, six treatments were designed using either bacterial broth or resuspended bacterial suspension, along with a sterile water control:</w:t>
      </w:r>
    </w:p>
    <w:p w14:paraId="6ED8E17D" w14:textId="77777777" w:rsidR="00015E1F" w:rsidRPr="00015E1F" w:rsidRDefault="00015E1F" w:rsidP="00015E1F">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15E1F">
        <w:rPr>
          <w:rFonts w:ascii="Times New Roman" w:eastAsia="Times New Roman" w:hAnsi="Times New Roman" w:cs="Times New Roman"/>
          <w:b/>
          <w:bCs/>
          <w:sz w:val="24"/>
          <w:szCs w:val="24"/>
          <w:lang w:eastAsia="en-IN"/>
        </w:rPr>
        <w:t>B-1 (Broth Direct Dip)</w:t>
      </w:r>
      <w:r w:rsidRPr="00015E1F">
        <w:rPr>
          <w:rFonts w:ascii="Times New Roman" w:eastAsia="Times New Roman" w:hAnsi="Times New Roman" w:cs="Times New Roman"/>
          <w:sz w:val="24"/>
          <w:szCs w:val="24"/>
          <w:lang w:eastAsia="en-IN"/>
        </w:rPr>
        <w:t xml:space="preserve">: Seedling roots were directly immersed in </w:t>
      </w:r>
      <w:r w:rsidRPr="00015E1F">
        <w:rPr>
          <w:rFonts w:ascii="Times New Roman" w:eastAsia="Times New Roman" w:hAnsi="Times New Roman" w:cs="Times New Roman"/>
          <w:i/>
          <w:iCs/>
          <w:sz w:val="24"/>
          <w:szCs w:val="24"/>
          <w:lang w:eastAsia="en-IN"/>
        </w:rPr>
        <w:t>R. solanacearum</w:t>
      </w:r>
      <w:r w:rsidRPr="00015E1F">
        <w:rPr>
          <w:rFonts w:ascii="Times New Roman" w:eastAsia="Times New Roman" w:hAnsi="Times New Roman" w:cs="Times New Roman"/>
          <w:sz w:val="24"/>
          <w:szCs w:val="24"/>
          <w:lang w:eastAsia="en-IN"/>
        </w:rPr>
        <w:t xml:space="preserve"> nutrient broth culture.</w:t>
      </w:r>
    </w:p>
    <w:p w14:paraId="114F747F" w14:textId="1ADA5F2E" w:rsidR="00015E1F" w:rsidRPr="00015E1F" w:rsidRDefault="00015E1F" w:rsidP="00015E1F">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15E1F">
        <w:rPr>
          <w:rFonts w:ascii="Times New Roman" w:eastAsia="Times New Roman" w:hAnsi="Times New Roman" w:cs="Times New Roman"/>
          <w:b/>
          <w:bCs/>
          <w:sz w:val="24"/>
          <w:szCs w:val="24"/>
          <w:lang w:eastAsia="en-IN"/>
        </w:rPr>
        <w:t>B-2 (Broth Dip → Water Transfer)</w:t>
      </w:r>
      <w:r w:rsidRPr="00015E1F">
        <w:rPr>
          <w:rFonts w:ascii="Times New Roman" w:eastAsia="Times New Roman" w:hAnsi="Times New Roman" w:cs="Times New Roman"/>
          <w:sz w:val="24"/>
          <w:szCs w:val="24"/>
          <w:lang w:eastAsia="en-IN"/>
        </w:rPr>
        <w:t>: Roots were dipped in bacterial broth for 1–2 minutes, transferred to sterile 5.0 mL microcentrifuge tubes, left exposed to air for ~5 minutes and then overlaid with 2.5 mL sterile distilled water.</w:t>
      </w:r>
    </w:p>
    <w:p w14:paraId="3034D7D2" w14:textId="77777777" w:rsidR="00015E1F" w:rsidRPr="00015E1F" w:rsidRDefault="00015E1F" w:rsidP="00015E1F">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15E1F">
        <w:rPr>
          <w:rFonts w:ascii="Times New Roman" w:eastAsia="Times New Roman" w:hAnsi="Times New Roman" w:cs="Times New Roman"/>
          <w:b/>
          <w:bCs/>
          <w:sz w:val="24"/>
          <w:szCs w:val="24"/>
          <w:lang w:eastAsia="en-IN"/>
        </w:rPr>
        <w:lastRenderedPageBreak/>
        <w:t>B-3 (Water → Broth Addition)</w:t>
      </w:r>
      <w:r w:rsidRPr="00015E1F">
        <w:rPr>
          <w:rFonts w:ascii="Times New Roman" w:eastAsia="Times New Roman" w:hAnsi="Times New Roman" w:cs="Times New Roman"/>
          <w:sz w:val="24"/>
          <w:szCs w:val="24"/>
          <w:lang w:eastAsia="en-IN"/>
        </w:rPr>
        <w:t>: Seedling roots were first placed in 1.5 mL of sterile water in microfuge tubes, followed by the addition of 1.0 mL bacterial broth.</w:t>
      </w:r>
    </w:p>
    <w:p w14:paraId="76486927" w14:textId="77777777" w:rsidR="00015E1F" w:rsidRPr="00015E1F" w:rsidRDefault="00015E1F" w:rsidP="00015E1F">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15E1F">
        <w:rPr>
          <w:rFonts w:ascii="Times New Roman" w:eastAsia="Times New Roman" w:hAnsi="Times New Roman" w:cs="Times New Roman"/>
          <w:b/>
          <w:bCs/>
          <w:sz w:val="24"/>
          <w:szCs w:val="24"/>
          <w:lang w:eastAsia="en-IN"/>
        </w:rPr>
        <w:t>S-1 (Suspension Direct Dip)</w:t>
      </w:r>
      <w:r w:rsidRPr="00015E1F">
        <w:rPr>
          <w:rFonts w:ascii="Times New Roman" w:eastAsia="Times New Roman" w:hAnsi="Times New Roman" w:cs="Times New Roman"/>
          <w:sz w:val="24"/>
          <w:szCs w:val="24"/>
          <w:lang w:eastAsia="en-IN"/>
        </w:rPr>
        <w:t>: Roots were directly immersed in sterile distilled water-based bacterial suspension (OD₆₀₀ = 0.6).</w:t>
      </w:r>
    </w:p>
    <w:p w14:paraId="52F70383" w14:textId="5C07E67E" w:rsidR="00015E1F" w:rsidRPr="00015E1F" w:rsidRDefault="00015E1F" w:rsidP="00015E1F">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15E1F">
        <w:rPr>
          <w:rFonts w:ascii="Times New Roman" w:eastAsia="Times New Roman" w:hAnsi="Times New Roman" w:cs="Times New Roman"/>
          <w:b/>
          <w:bCs/>
          <w:sz w:val="24"/>
          <w:szCs w:val="24"/>
          <w:lang w:eastAsia="en-IN"/>
        </w:rPr>
        <w:t>S-2 (Suspension Dip → Water Transfer)</w:t>
      </w:r>
      <w:r w:rsidRPr="00015E1F">
        <w:rPr>
          <w:rFonts w:ascii="Times New Roman" w:eastAsia="Times New Roman" w:hAnsi="Times New Roman" w:cs="Times New Roman"/>
          <w:sz w:val="24"/>
          <w:szCs w:val="24"/>
          <w:lang w:eastAsia="en-IN"/>
        </w:rPr>
        <w:t>: Roots dipped in suspension for 1–2 minutes, air-exposed for ~5 minutes</w:t>
      </w:r>
      <w:r w:rsidR="008B3A7C">
        <w:rPr>
          <w:rFonts w:ascii="Times New Roman" w:eastAsia="Times New Roman" w:hAnsi="Times New Roman" w:cs="Times New Roman"/>
          <w:sz w:val="24"/>
          <w:szCs w:val="24"/>
          <w:lang w:eastAsia="en-IN"/>
        </w:rPr>
        <w:t xml:space="preserve"> and</w:t>
      </w:r>
      <w:r w:rsidRPr="00015E1F">
        <w:rPr>
          <w:rFonts w:ascii="Times New Roman" w:eastAsia="Times New Roman" w:hAnsi="Times New Roman" w:cs="Times New Roman"/>
          <w:sz w:val="24"/>
          <w:szCs w:val="24"/>
          <w:lang w:eastAsia="en-IN"/>
        </w:rPr>
        <w:t xml:space="preserve"> then transferred to tubes containing 2.5 mL sterile water.</w:t>
      </w:r>
    </w:p>
    <w:p w14:paraId="694EACA7" w14:textId="77777777" w:rsidR="00015E1F" w:rsidRPr="00015E1F" w:rsidRDefault="00015E1F" w:rsidP="00015E1F">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15E1F">
        <w:rPr>
          <w:rFonts w:ascii="Times New Roman" w:eastAsia="Times New Roman" w:hAnsi="Times New Roman" w:cs="Times New Roman"/>
          <w:b/>
          <w:bCs/>
          <w:sz w:val="24"/>
          <w:szCs w:val="24"/>
          <w:lang w:eastAsia="en-IN"/>
        </w:rPr>
        <w:t>S-3 (Water → Suspension Addition)</w:t>
      </w:r>
      <w:r w:rsidRPr="00015E1F">
        <w:rPr>
          <w:rFonts w:ascii="Times New Roman" w:eastAsia="Times New Roman" w:hAnsi="Times New Roman" w:cs="Times New Roman"/>
          <w:sz w:val="24"/>
          <w:szCs w:val="24"/>
          <w:lang w:eastAsia="en-IN"/>
        </w:rPr>
        <w:t>: Seedlings were placed in 1.5 mL water in tubes, followed by addition of 1.0 mL bacterial suspension.</w:t>
      </w:r>
    </w:p>
    <w:p w14:paraId="0A426A5F" w14:textId="06BDBF30" w:rsidR="00015E1F" w:rsidRPr="00015E1F" w:rsidRDefault="00015E1F" w:rsidP="008B3A7C">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015E1F">
        <w:rPr>
          <w:rFonts w:ascii="Times New Roman" w:eastAsia="Times New Roman" w:hAnsi="Times New Roman" w:cs="Times New Roman"/>
          <w:sz w:val="24"/>
          <w:szCs w:val="24"/>
          <w:lang w:eastAsia="en-IN"/>
        </w:rPr>
        <w:t xml:space="preserve">Each treatment group consisted of </w:t>
      </w:r>
      <w:r>
        <w:rPr>
          <w:rFonts w:ascii="Times New Roman" w:eastAsia="Times New Roman" w:hAnsi="Times New Roman" w:cs="Times New Roman"/>
          <w:sz w:val="24"/>
          <w:szCs w:val="24"/>
          <w:lang w:eastAsia="en-IN"/>
        </w:rPr>
        <w:t>5</w:t>
      </w:r>
      <w:r w:rsidRPr="00015E1F">
        <w:rPr>
          <w:rFonts w:ascii="Times New Roman" w:eastAsia="Times New Roman" w:hAnsi="Times New Roman" w:cs="Times New Roman"/>
          <w:sz w:val="24"/>
          <w:szCs w:val="24"/>
          <w:lang w:eastAsia="en-IN"/>
        </w:rPr>
        <w:t xml:space="preserve"> seedlings</w:t>
      </w:r>
      <w:r w:rsidR="008B3A7C">
        <w:rPr>
          <w:rFonts w:ascii="Times New Roman" w:eastAsia="Times New Roman" w:hAnsi="Times New Roman" w:cs="Times New Roman"/>
          <w:sz w:val="24"/>
          <w:szCs w:val="24"/>
          <w:lang w:eastAsia="en-IN"/>
        </w:rPr>
        <w:t xml:space="preserve"> and</w:t>
      </w:r>
      <w:r w:rsidRPr="00015E1F">
        <w:rPr>
          <w:rFonts w:ascii="Times New Roman" w:eastAsia="Times New Roman" w:hAnsi="Times New Roman" w:cs="Times New Roman"/>
          <w:sz w:val="24"/>
          <w:szCs w:val="24"/>
          <w:lang w:eastAsia="en-IN"/>
        </w:rPr>
        <w:t xml:space="preserve"> all treatments were performed in triplicate. Seedlings were maintained under the same growth chamber conditions as described above. Sterile water-inoculated seedlings served as negative controls. Disease symptoms were monitored daily up to 3 days post-inoculation (dpi), with observations focused on wilting, turgor loss</w:t>
      </w:r>
      <w:r w:rsidR="008B3A7C">
        <w:rPr>
          <w:rFonts w:ascii="Times New Roman" w:eastAsia="Times New Roman" w:hAnsi="Times New Roman" w:cs="Times New Roman"/>
          <w:sz w:val="24"/>
          <w:szCs w:val="24"/>
          <w:lang w:eastAsia="en-IN"/>
        </w:rPr>
        <w:t xml:space="preserve"> and</w:t>
      </w:r>
      <w:r w:rsidRPr="00015E1F">
        <w:rPr>
          <w:rFonts w:ascii="Times New Roman" w:eastAsia="Times New Roman" w:hAnsi="Times New Roman" w:cs="Times New Roman"/>
          <w:sz w:val="24"/>
          <w:szCs w:val="24"/>
          <w:lang w:eastAsia="en-IN"/>
        </w:rPr>
        <w:t xml:space="preserve"> seedling collapse.</w:t>
      </w:r>
    </w:p>
    <w:p w14:paraId="0F463BDB" w14:textId="286D9B46" w:rsidR="002041CB" w:rsidRPr="002041CB" w:rsidRDefault="007B3045" w:rsidP="00015E1F">
      <w:pPr>
        <w:spacing w:before="100" w:beforeAutospacing="1" w:after="100" w:afterAutospacing="1" w:line="360" w:lineRule="auto"/>
        <w:jc w:val="both"/>
        <w:outlineLvl w:val="2"/>
        <w:rPr>
          <w:rFonts w:ascii="Times New Roman" w:eastAsia="Times New Roman" w:hAnsi="Times New Roman" w:cs="Times New Roman"/>
          <w:b/>
          <w:bCs/>
          <w:sz w:val="24"/>
          <w:szCs w:val="27"/>
          <w:lang w:eastAsia="en-IN"/>
        </w:rPr>
      </w:pPr>
      <w:r>
        <w:rPr>
          <w:rFonts w:ascii="Times New Roman" w:eastAsia="Times New Roman" w:hAnsi="Times New Roman" w:cs="Times New Roman"/>
          <w:b/>
          <w:bCs/>
          <w:sz w:val="24"/>
          <w:szCs w:val="27"/>
          <w:lang w:eastAsia="en-IN"/>
        </w:rPr>
        <w:t xml:space="preserve">2.4 </w:t>
      </w:r>
      <w:r w:rsidR="002041CB" w:rsidRPr="00471FA7">
        <w:rPr>
          <w:rFonts w:ascii="Times New Roman" w:eastAsia="Times New Roman" w:hAnsi="Times New Roman" w:cs="Times New Roman"/>
          <w:b/>
          <w:bCs/>
          <w:sz w:val="24"/>
          <w:szCs w:val="27"/>
          <w:lang w:eastAsia="en-IN"/>
        </w:rPr>
        <w:t>Inoculation of 30-Day-Old Seedlings</w:t>
      </w:r>
    </w:p>
    <w:p w14:paraId="0DC11942" w14:textId="283C73F5" w:rsidR="00015E1F" w:rsidRDefault="00015E1F" w:rsidP="00015E1F">
      <w:pPr>
        <w:pStyle w:val="NormalWeb"/>
        <w:spacing w:line="360" w:lineRule="auto"/>
        <w:ind w:firstLine="720"/>
        <w:jc w:val="both"/>
      </w:pPr>
      <w:r>
        <w:t>To assess the robustness and scalability of the root dip method, pathogenicity assays were extended to 30-day-old tomato seedlings of cultivars ‘Sahoo’ and ‘Aaryaman’. Seedlings were gently uprooted from nursery trays and root systems were washed thoroughly with sterile distilled water to remove adhered soil particles.</w:t>
      </w:r>
    </w:p>
    <w:p w14:paraId="71241B6E" w14:textId="3AAAAB52" w:rsidR="00015E1F" w:rsidRDefault="002E7532" w:rsidP="00A72E6C">
      <w:pPr>
        <w:pStyle w:val="NormalWeb"/>
        <w:spacing w:line="360" w:lineRule="auto"/>
        <w:ind w:firstLine="720"/>
        <w:jc w:val="both"/>
      </w:pPr>
      <w:r>
        <w:t>Five</w:t>
      </w:r>
      <w:r w:rsidR="00015E1F">
        <w:t xml:space="preserve"> </w:t>
      </w:r>
      <w:r>
        <w:t>seedlings had some of their roots were trimmed</w:t>
      </w:r>
      <w:r w:rsidR="00015E1F">
        <w:t xml:space="preserve"> using sterile scissors to mimic natural wounding, while others were left intact. Roots were then directly immersed in freshly prepared </w:t>
      </w:r>
      <w:r w:rsidR="00015E1F">
        <w:rPr>
          <w:rStyle w:val="Emphasis"/>
        </w:rPr>
        <w:t>R. solanacearum</w:t>
      </w:r>
      <w:r w:rsidR="00015E1F">
        <w:t xml:space="preserve"> suspension (OD₆₀₀ = 0.6) for inoculation. Control seedlings were treated similarly but immersed in sterile distilled water. All seedlings were incubated under controlled growth chamber conditions. </w:t>
      </w:r>
    </w:p>
    <w:p w14:paraId="1B111789" w14:textId="57F0103D" w:rsidR="002041CB" w:rsidRPr="002041CB" w:rsidRDefault="007B3045" w:rsidP="00471FA7">
      <w:pPr>
        <w:spacing w:before="100" w:beforeAutospacing="1" w:after="100" w:afterAutospacing="1" w:line="360" w:lineRule="auto"/>
        <w:jc w:val="both"/>
        <w:outlineLvl w:val="2"/>
        <w:rPr>
          <w:rFonts w:ascii="Times New Roman" w:eastAsia="Times New Roman" w:hAnsi="Times New Roman" w:cs="Times New Roman"/>
          <w:b/>
          <w:bCs/>
          <w:sz w:val="24"/>
          <w:szCs w:val="27"/>
          <w:lang w:eastAsia="en-IN"/>
        </w:rPr>
      </w:pPr>
      <w:r>
        <w:rPr>
          <w:rFonts w:ascii="Times New Roman" w:eastAsia="Times New Roman" w:hAnsi="Times New Roman" w:cs="Times New Roman"/>
          <w:b/>
          <w:bCs/>
          <w:sz w:val="24"/>
          <w:szCs w:val="27"/>
          <w:lang w:eastAsia="en-IN"/>
        </w:rPr>
        <w:t xml:space="preserve">2.5 </w:t>
      </w:r>
      <w:r w:rsidR="002041CB" w:rsidRPr="00471FA7">
        <w:rPr>
          <w:rFonts w:ascii="Times New Roman" w:eastAsia="Times New Roman" w:hAnsi="Times New Roman" w:cs="Times New Roman"/>
          <w:b/>
          <w:bCs/>
          <w:sz w:val="24"/>
          <w:szCs w:val="27"/>
          <w:lang w:eastAsia="en-IN"/>
        </w:rPr>
        <w:t>Disease Evaluation</w:t>
      </w:r>
    </w:p>
    <w:p w14:paraId="79C0AB26" w14:textId="4E474D7F" w:rsidR="002041CB" w:rsidRDefault="002041CB" w:rsidP="00471FA7">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2041CB">
        <w:rPr>
          <w:rFonts w:ascii="Times New Roman" w:eastAsia="Times New Roman" w:hAnsi="Times New Roman" w:cs="Times New Roman"/>
          <w:sz w:val="24"/>
          <w:szCs w:val="24"/>
          <w:lang w:eastAsia="en-IN"/>
        </w:rPr>
        <w:t>Wilting symptoms were recorded daily up to 3 dpi. Typical symptoms included drooping, chlorosis</w:t>
      </w:r>
      <w:r w:rsidR="008B3A7C">
        <w:rPr>
          <w:rFonts w:ascii="Times New Roman" w:eastAsia="Times New Roman" w:hAnsi="Times New Roman" w:cs="Times New Roman"/>
          <w:sz w:val="24"/>
          <w:szCs w:val="24"/>
          <w:lang w:eastAsia="en-IN"/>
        </w:rPr>
        <w:t xml:space="preserve"> and</w:t>
      </w:r>
      <w:r w:rsidRPr="002041CB">
        <w:rPr>
          <w:rFonts w:ascii="Times New Roman" w:eastAsia="Times New Roman" w:hAnsi="Times New Roman" w:cs="Times New Roman"/>
          <w:sz w:val="24"/>
          <w:szCs w:val="24"/>
          <w:lang w:eastAsia="en-IN"/>
        </w:rPr>
        <w:t xml:space="preserve"> collapse. The classical ooze test was used to confirm pathogen presence in infected stems.</w:t>
      </w:r>
    </w:p>
    <w:p w14:paraId="2074D3DC" w14:textId="77777777" w:rsidR="002E7532" w:rsidRPr="002041CB" w:rsidRDefault="002E7532" w:rsidP="00471FA7">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p>
    <w:p w14:paraId="6F72BC79" w14:textId="4A3DC7C7" w:rsidR="002041CB" w:rsidRPr="002041CB" w:rsidRDefault="007B3045" w:rsidP="00471FA7">
      <w:pPr>
        <w:spacing w:before="100" w:beforeAutospacing="1" w:after="100" w:afterAutospacing="1" w:line="360" w:lineRule="auto"/>
        <w:jc w:val="both"/>
        <w:outlineLvl w:val="2"/>
        <w:rPr>
          <w:rFonts w:ascii="Times New Roman" w:eastAsia="Times New Roman" w:hAnsi="Times New Roman" w:cs="Times New Roman"/>
          <w:b/>
          <w:bCs/>
          <w:sz w:val="24"/>
          <w:szCs w:val="27"/>
          <w:lang w:eastAsia="en-IN"/>
        </w:rPr>
      </w:pPr>
      <w:r>
        <w:rPr>
          <w:rFonts w:ascii="Times New Roman" w:eastAsia="Times New Roman" w:hAnsi="Times New Roman" w:cs="Times New Roman"/>
          <w:b/>
          <w:bCs/>
          <w:sz w:val="24"/>
          <w:szCs w:val="27"/>
          <w:lang w:eastAsia="en-IN"/>
        </w:rPr>
        <w:lastRenderedPageBreak/>
        <w:t xml:space="preserve">2.6 </w:t>
      </w:r>
      <w:r w:rsidR="002041CB" w:rsidRPr="00471FA7">
        <w:rPr>
          <w:rFonts w:ascii="Times New Roman" w:eastAsia="Times New Roman" w:hAnsi="Times New Roman" w:cs="Times New Roman"/>
          <w:b/>
          <w:bCs/>
          <w:sz w:val="24"/>
          <w:szCs w:val="27"/>
          <w:lang w:eastAsia="en-IN"/>
        </w:rPr>
        <w:t>Histochemical Lignin Staining</w:t>
      </w:r>
    </w:p>
    <w:p w14:paraId="1FB56EE9" w14:textId="4632CFD6" w:rsidR="002041CB" w:rsidRPr="002041CB" w:rsidRDefault="002041CB" w:rsidP="00471FA7">
      <w:pPr>
        <w:spacing w:before="100" w:beforeAutospacing="1" w:after="100" w:afterAutospacing="1" w:line="360" w:lineRule="auto"/>
        <w:ind w:firstLine="360"/>
        <w:jc w:val="both"/>
        <w:rPr>
          <w:rFonts w:ascii="Times New Roman" w:eastAsia="Times New Roman" w:hAnsi="Times New Roman" w:cs="Times New Roman"/>
          <w:sz w:val="24"/>
          <w:szCs w:val="24"/>
          <w:lang w:eastAsia="en-IN"/>
        </w:rPr>
      </w:pPr>
      <w:r w:rsidRPr="002041CB">
        <w:rPr>
          <w:rFonts w:ascii="Times New Roman" w:eastAsia="Times New Roman" w:hAnsi="Times New Roman" w:cs="Times New Roman"/>
          <w:sz w:val="24"/>
          <w:szCs w:val="24"/>
          <w:lang w:eastAsia="en-IN"/>
        </w:rPr>
        <w:t xml:space="preserve">Tomato stems showing wilt symptoms were preserved in 70% ethanol. Thin transverse sections were prepared and subjected to Phloroglucinol-HCl (Wiesner) staining based on the method of Mitra </w:t>
      </w:r>
      <w:r w:rsidR="00697C89">
        <w:rPr>
          <w:rFonts w:ascii="Times New Roman" w:eastAsia="Times New Roman" w:hAnsi="Times New Roman" w:cs="Times New Roman"/>
          <w:sz w:val="24"/>
          <w:szCs w:val="24"/>
          <w:lang w:eastAsia="en-IN"/>
        </w:rPr>
        <w:t>&amp;</w:t>
      </w:r>
      <w:r w:rsidRPr="002041CB">
        <w:rPr>
          <w:rFonts w:ascii="Times New Roman" w:eastAsia="Times New Roman" w:hAnsi="Times New Roman" w:cs="Times New Roman"/>
          <w:sz w:val="24"/>
          <w:szCs w:val="24"/>
          <w:lang w:eastAsia="en-IN"/>
        </w:rPr>
        <w:t xml:space="preserve"> </w:t>
      </w:r>
      <w:proofErr w:type="spellStart"/>
      <w:r w:rsidRPr="002041CB">
        <w:rPr>
          <w:rFonts w:ascii="Times New Roman" w:eastAsia="Times New Roman" w:hAnsi="Times New Roman" w:cs="Times New Roman"/>
          <w:sz w:val="24"/>
          <w:szCs w:val="24"/>
          <w:lang w:eastAsia="en-IN"/>
        </w:rPr>
        <w:t>Loqué</w:t>
      </w:r>
      <w:proofErr w:type="spellEnd"/>
      <w:r w:rsidRPr="002041CB">
        <w:rPr>
          <w:rFonts w:ascii="Times New Roman" w:eastAsia="Times New Roman" w:hAnsi="Times New Roman" w:cs="Times New Roman"/>
          <w:sz w:val="24"/>
          <w:szCs w:val="24"/>
          <w:lang w:eastAsia="en-IN"/>
        </w:rPr>
        <w:t xml:space="preserve"> (2014):</w:t>
      </w:r>
    </w:p>
    <w:p w14:paraId="0E6CAB5A" w14:textId="32F0B0F2" w:rsidR="002041CB" w:rsidRPr="00720EAB" w:rsidRDefault="001D26F9" w:rsidP="00471FA7">
      <w:pPr>
        <w:numPr>
          <w:ilvl w:val="0"/>
          <w:numId w:val="3"/>
        </w:numPr>
        <w:spacing w:before="100" w:beforeAutospacing="1" w:after="100" w:afterAutospacing="1" w:line="360" w:lineRule="auto"/>
        <w:jc w:val="both"/>
        <w:rPr>
          <w:rFonts w:ascii="Times New Roman" w:eastAsia="Times New Roman" w:hAnsi="Times New Roman" w:cs="Times New Roman"/>
          <w:sz w:val="24"/>
          <w:szCs w:val="24"/>
          <w:highlight w:val="yellow"/>
          <w:lang w:eastAsia="en-IN"/>
        </w:rPr>
      </w:pPr>
      <w:r w:rsidRPr="00720EAB">
        <w:rPr>
          <w:rFonts w:ascii="Times New Roman" w:eastAsia="Times New Roman" w:hAnsi="Times New Roman" w:cs="Times New Roman"/>
          <w:sz w:val="24"/>
          <w:szCs w:val="24"/>
          <w:highlight w:val="yellow"/>
          <w:lang w:eastAsia="en-IN"/>
        </w:rPr>
        <w:t xml:space="preserve">A </w:t>
      </w:r>
      <w:r w:rsidR="002041CB" w:rsidRPr="00720EAB">
        <w:rPr>
          <w:rFonts w:ascii="Times New Roman" w:eastAsia="Times New Roman" w:hAnsi="Times New Roman" w:cs="Times New Roman"/>
          <w:sz w:val="24"/>
          <w:szCs w:val="24"/>
          <w:highlight w:val="yellow"/>
          <w:lang w:eastAsia="en-IN"/>
        </w:rPr>
        <w:t xml:space="preserve">3% phloroglucinol solution </w:t>
      </w:r>
      <w:r w:rsidRPr="00720EAB">
        <w:rPr>
          <w:rFonts w:ascii="Times New Roman" w:eastAsia="Times New Roman" w:hAnsi="Times New Roman" w:cs="Times New Roman"/>
          <w:sz w:val="24"/>
          <w:szCs w:val="24"/>
          <w:highlight w:val="yellow"/>
          <w:lang w:eastAsia="en-IN"/>
        </w:rPr>
        <w:t xml:space="preserve">was prepared </w:t>
      </w:r>
      <w:r w:rsidR="002041CB" w:rsidRPr="00720EAB">
        <w:rPr>
          <w:rFonts w:ascii="Times New Roman" w:eastAsia="Times New Roman" w:hAnsi="Times New Roman" w:cs="Times New Roman"/>
          <w:sz w:val="24"/>
          <w:szCs w:val="24"/>
          <w:highlight w:val="yellow"/>
          <w:lang w:eastAsia="en-IN"/>
        </w:rPr>
        <w:t xml:space="preserve">by dissolving 0.3 g in 10 mL absolute ethanol. 2 parts of this solution </w:t>
      </w:r>
      <w:r w:rsidRPr="00720EAB">
        <w:rPr>
          <w:rFonts w:ascii="Times New Roman" w:eastAsia="Times New Roman" w:hAnsi="Times New Roman" w:cs="Times New Roman"/>
          <w:sz w:val="24"/>
          <w:szCs w:val="24"/>
          <w:highlight w:val="yellow"/>
          <w:lang w:eastAsia="en-IN"/>
        </w:rPr>
        <w:t xml:space="preserve">was mixed </w:t>
      </w:r>
      <w:r w:rsidR="002041CB" w:rsidRPr="00720EAB">
        <w:rPr>
          <w:rFonts w:ascii="Times New Roman" w:eastAsia="Times New Roman" w:hAnsi="Times New Roman" w:cs="Times New Roman"/>
          <w:sz w:val="24"/>
          <w:szCs w:val="24"/>
          <w:highlight w:val="yellow"/>
          <w:lang w:eastAsia="en-IN"/>
        </w:rPr>
        <w:t xml:space="preserve">with </w:t>
      </w:r>
      <w:proofErr w:type="gramStart"/>
      <w:r w:rsidR="002041CB" w:rsidRPr="00720EAB">
        <w:rPr>
          <w:rFonts w:ascii="Times New Roman" w:eastAsia="Times New Roman" w:hAnsi="Times New Roman" w:cs="Times New Roman"/>
          <w:sz w:val="24"/>
          <w:szCs w:val="24"/>
          <w:highlight w:val="yellow"/>
          <w:lang w:eastAsia="en-IN"/>
        </w:rPr>
        <w:t>1 part</w:t>
      </w:r>
      <w:proofErr w:type="gramEnd"/>
      <w:r w:rsidR="002041CB" w:rsidRPr="00720EAB">
        <w:rPr>
          <w:rFonts w:ascii="Times New Roman" w:eastAsia="Times New Roman" w:hAnsi="Times New Roman" w:cs="Times New Roman"/>
          <w:sz w:val="24"/>
          <w:szCs w:val="24"/>
          <w:highlight w:val="yellow"/>
          <w:lang w:eastAsia="en-IN"/>
        </w:rPr>
        <w:t xml:space="preserve"> concentrated HCl (37 N) to make Ph-HCl.</w:t>
      </w:r>
    </w:p>
    <w:p w14:paraId="79F652D7" w14:textId="60EA0863" w:rsidR="002041CB" w:rsidRPr="00720EAB" w:rsidRDefault="001D26F9" w:rsidP="00471FA7">
      <w:pPr>
        <w:numPr>
          <w:ilvl w:val="0"/>
          <w:numId w:val="3"/>
        </w:numPr>
        <w:spacing w:before="100" w:beforeAutospacing="1" w:after="100" w:afterAutospacing="1" w:line="360" w:lineRule="auto"/>
        <w:jc w:val="both"/>
        <w:rPr>
          <w:rFonts w:ascii="Times New Roman" w:eastAsia="Times New Roman" w:hAnsi="Times New Roman" w:cs="Times New Roman"/>
          <w:sz w:val="24"/>
          <w:szCs w:val="24"/>
          <w:highlight w:val="yellow"/>
          <w:lang w:eastAsia="en-IN"/>
        </w:rPr>
      </w:pPr>
      <w:r w:rsidRPr="00720EAB">
        <w:rPr>
          <w:rFonts w:ascii="Times New Roman" w:eastAsia="Times New Roman" w:hAnsi="Times New Roman" w:cs="Times New Roman"/>
          <w:sz w:val="24"/>
          <w:szCs w:val="24"/>
          <w:highlight w:val="yellow"/>
          <w:lang w:eastAsia="en-IN"/>
        </w:rPr>
        <w:t xml:space="preserve">Stem </w:t>
      </w:r>
      <w:r w:rsidR="002041CB" w:rsidRPr="00720EAB">
        <w:rPr>
          <w:rFonts w:ascii="Times New Roman" w:eastAsia="Times New Roman" w:hAnsi="Times New Roman" w:cs="Times New Roman"/>
          <w:sz w:val="24"/>
          <w:szCs w:val="24"/>
          <w:highlight w:val="yellow"/>
          <w:lang w:eastAsia="en-IN"/>
        </w:rPr>
        <w:t xml:space="preserve">sections </w:t>
      </w:r>
      <w:r w:rsidRPr="00720EAB">
        <w:rPr>
          <w:rFonts w:ascii="Times New Roman" w:eastAsia="Times New Roman" w:hAnsi="Times New Roman" w:cs="Times New Roman"/>
          <w:sz w:val="24"/>
          <w:szCs w:val="24"/>
          <w:highlight w:val="yellow"/>
          <w:lang w:eastAsia="en-IN"/>
        </w:rPr>
        <w:t xml:space="preserve">were placed </w:t>
      </w:r>
      <w:r w:rsidR="002041CB" w:rsidRPr="00720EAB">
        <w:rPr>
          <w:rFonts w:ascii="Times New Roman" w:eastAsia="Times New Roman" w:hAnsi="Times New Roman" w:cs="Times New Roman"/>
          <w:sz w:val="24"/>
          <w:szCs w:val="24"/>
          <w:highlight w:val="yellow"/>
          <w:lang w:eastAsia="en-IN"/>
        </w:rPr>
        <w:t>in 1.0 mL of Ph-HCl in microcentrifuge tubes and cap</w:t>
      </w:r>
      <w:r w:rsidRPr="00720EAB">
        <w:rPr>
          <w:rFonts w:ascii="Times New Roman" w:eastAsia="Times New Roman" w:hAnsi="Times New Roman" w:cs="Times New Roman"/>
          <w:sz w:val="24"/>
          <w:szCs w:val="24"/>
          <w:highlight w:val="yellow"/>
          <w:lang w:eastAsia="en-IN"/>
        </w:rPr>
        <w:t>ped</w:t>
      </w:r>
      <w:r w:rsidR="002041CB" w:rsidRPr="00720EAB">
        <w:rPr>
          <w:rFonts w:ascii="Times New Roman" w:eastAsia="Times New Roman" w:hAnsi="Times New Roman" w:cs="Times New Roman"/>
          <w:sz w:val="24"/>
          <w:szCs w:val="24"/>
          <w:highlight w:val="yellow"/>
          <w:lang w:eastAsia="en-IN"/>
        </w:rPr>
        <w:t xml:space="preserve"> immediately due to HCl’s corrosiveness.</w:t>
      </w:r>
    </w:p>
    <w:p w14:paraId="79D4F651" w14:textId="0E2BBE52" w:rsidR="002041CB" w:rsidRPr="00720EAB" w:rsidRDefault="001D26F9" w:rsidP="00471FA7">
      <w:pPr>
        <w:numPr>
          <w:ilvl w:val="0"/>
          <w:numId w:val="3"/>
        </w:numPr>
        <w:spacing w:before="100" w:beforeAutospacing="1" w:after="100" w:afterAutospacing="1" w:line="360" w:lineRule="auto"/>
        <w:jc w:val="both"/>
        <w:rPr>
          <w:rFonts w:ascii="Times New Roman" w:eastAsia="Times New Roman" w:hAnsi="Times New Roman" w:cs="Times New Roman"/>
          <w:sz w:val="24"/>
          <w:szCs w:val="24"/>
          <w:highlight w:val="yellow"/>
          <w:lang w:eastAsia="en-IN"/>
        </w:rPr>
      </w:pPr>
      <w:r w:rsidRPr="00720EAB">
        <w:rPr>
          <w:rFonts w:ascii="Times New Roman" w:eastAsia="Times New Roman" w:hAnsi="Times New Roman" w:cs="Times New Roman"/>
          <w:sz w:val="24"/>
          <w:szCs w:val="24"/>
          <w:highlight w:val="yellow"/>
          <w:lang w:eastAsia="en-IN"/>
        </w:rPr>
        <w:t xml:space="preserve">Stained </w:t>
      </w:r>
      <w:r w:rsidR="002041CB" w:rsidRPr="00720EAB">
        <w:rPr>
          <w:rFonts w:ascii="Times New Roman" w:eastAsia="Times New Roman" w:hAnsi="Times New Roman" w:cs="Times New Roman"/>
          <w:sz w:val="24"/>
          <w:szCs w:val="24"/>
          <w:highlight w:val="yellow"/>
          <w:lang w:eastAsia="en-IN"/>
        </w:rPr>
        <w:t xml:space="preserve">sections </w:t>
      </w:r>
      <w:r w:rsidRPr="00720EAB">
        <w:rPr>
          <w:rFonts w:ascii="Times New Roman" w:eastAsia="Times New Roman" w:hAnsi="Times New Roman" w:cs="Times New Roman"/>
          <w:sz w:val="24"/>
          <w:szCs w:val="24"/>
          <w:highlight w:val="yellow"/>
          <w:lang w:eastAsia="en-IN"/>
        </w:rPr>
        <w:t xml:space="preserve">were gently pipetted </w:t>
      </w:r>
      <w:r w:rsidR="002041CB" w:rsidRPr="00720EAB">
        <w:rPr>
          <w:rFonts w:ascii="Times New Roman" w:eastAsia="Times New Roman" w:hAnsi="Times New Roman" w:cs="Times New Roman"/>
          <w:sz w:val="24"/>
          <w:szCs w:val="24"/>
          <w:highlight w:val="yellow"/>
          <w:lang w:eastAsia="en-IN"/>
        </w:rPr>
        <w:t>onto a microscope slide using a tip with a wide bore, mount</w:t>
      </w:r>
      <w:r w:rsidRPr="00720EAB">
        <w:rPr>
          <w:rFonts w:ascii="Times New Roman" w:eastAsia="Times New Roman" w:hAnsi="Times New Roman" w:cs="Times New Roman"/>
          <w:sz w:val="24"/>
          <w:szCs w:val="24"/>
          <w:highlight w:val="yellow"/>
          <w:lang w:eastAsia="en-IN"/>
        </w:rPr>
        <w:t>ed</w:t>
      </w:r>
      <w:r w:rsidR="002041CB" w:rsidRPr="00720EAB">
        <w:rPr>
          <w:rFonts w:ascii="Times New Roman" w:eastAsia="Times New Roman" w:hAnsi="Times New Roman" w:cs="Times New Roman"/>
          <w:sz w:val="24"/>
          <w:szCs w:val="24"/>
          <w:highlight w:val="yellow"/>
          <w:lang w:eastAsia="en-IN"/>
        </w:rPr>
        <w:t xml:space="preserve"> with coverslip</w:t>
      </w:r>
      <w:r w:rsidR="008B3A7C" w:rsidRPr="00720EAB">
        <w:rPr>
          <w:rFonts w:ascii="Times New Roman" w:eastAsia="Times New Roman" w:hAnsi="Times New Roman" w:cs="Times New Roman"/>
          <w:sz w:val="24"/>
          <w:szCs w:val="24"/>
          <w:highlight w:val="yellow"/>
          <w:lang w:eastAsia="en-IN"/>
        </w:rPr>
        <w:t xml:space="preserve"> and</w:t>
      </w:r>
      <w:r w:rsidR="002041CB" w:rsidRPr="00720EAB">
        <w:rPr>
          <w:rFonts w:ascii="Times New Roman" w:eastAsia="Times New Roman" w:hAnsi="Times New Roman" w:cs="Times New Roman"/>
          <w:sz w:val="24"/>
          <w:szCs w:val="24"/>
          <w:highlight w:val="yellow"/>
          <w:lang w:eastAsia="en-IN"/>
        </w:rPr>
        <w:t xml:space="preserve"> observe</w:t>
      </w:r>
      <w:r w:rsidRPr="00720EAB">
        <w:rPr>
          <w:rFonts w:ascii="Times New Roman" w:eastAsia="Times New Roman" w:hAnsi="Times New Roman" w:cs="Times New Roman"/>
          <w:sz w:val="24"/>
          <w:szCs w:val="24"/>
          <w:highlight w:val="yellow"/>
          <w:lang w:eastAsia="en-IN"/>
        </w:rPr>
        <w:t>d</w:t>
      </w:r>
      <w:r w:rsidR="002041CB" w:rsidRPr="00720EAB">
        <w:rPr>
          <w:rFonts w:ascii="Times New Roman" w:eastAsia="Times New Roman" w:hAnsi="Times New Roman" w:cs="Times New Roman"/>
          <w:sz w:val="24"/>
          <w:szCs w:val="24"/>
          <w:highlight w:val="yellow"/>
          <w:lang w:eastAsia="en-IN"/>
        </w:rPr>
        <w:t xml:space="preserve"> under bright-field microscopy.</w:t>
      </w:r>
    </w:p>
    <w:p w14:paraId="79FA7723" w14:textId="4F67E2EF" w:rsidR="002041CB" w:rsidRDefault="002041CB" w:rsidP="00471FA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041CB">
        <w:rPr>
          <w:rFonts w:ascii="Times New Roman" w:eastAsia="Times New Roman" w:hAnsi="Times New Roman" w:cs="Times New Roman"/>
          <w:sz w:val="24"/>
          <w:szCs w:val="24"/>
          <w:lang w:eastAsia="en-IN"/>
        </w:rPr>
        <w:t>This method allowed visualization of reduced lignification in infected vascular tissues, indicating compromised structural defense.</w:t>
      </w:r>
    </w:p>
    <w:p w14:paraId="5F79C3FD" w14:textId="623E9550" w:rsidR="00A72E6C" w:rsidRPr="007B3045" w:rsidRDefault="00A72E6C" w:rsidP="007B3045">
      <w:pPr>
        <w:pStyle w:val="ListParagraph"/>
        <w:numPr>
          <w:ilvl w:val="0"/>
          <w:numId w:val="7"/>
        </w:numPr>
        <w:spacing w:before="100" w:beforeAutospacing="1" w:after="100" w:afterAutospacing="1" w:line="360" w:lineRule="auto"/>
        <w:ind w:left="284"/>
        <w:jc w:val="both"/>
        <w:rPr>
          <w:rFonts w:ascii="Times New Roman" w:eastAsia="Times New Roman" w:hAnsi="Times New Roman" w:cs="Times New Roman"/>
          <w:b/>
          <w:sz w:val="24"/>
          <w:szCs w:val="24"/>
          <w:lang w:eastAsia="en-IN"/>
        </w:rPr>
      </w:pPr>
      <w:r w:rsidRPr="007B3045">
        <w:rPr>
          <w:rFonts w:ascii="Times New Roman" w:eastAsia="Times New Roman" w:hAnsi="Times New Roman" w:cs="Times New Roman"/>
          <w:b/>
          <w:sz w:val="24"/>
          <w:szCs w:val="24"/>
          <w:lang w:eastAsia="en-IN"/>
        </w:rPr>
        <w:t>Results and Discussion</w:t>
      </w:r>
    </w:p>
    <w:p w14:paraId="6371C4FC" w14:textId="2CEEEC25" w:rsidR="00A72E6C" w:rsidRPr="00A72E6C" w:rsidRDefault="007B3045" w:rsidP="00A72E6C">
      <w:pPr>
        <w:pStyle w:val="Heading3"/>
        <w:spacing w:line="360" w:lineRule="auto"/>
        <w:jc w:val="both"/>
        <w:rPr>
          <w:sz w:val="24"/>
          <w:szCs w:val="24"/>
        </w:rPr>
      </w:pPr>
      <w:r>
        <w:rPr>
          <w:rStyle w:val="Strong"/>
          <w:b/>
          <w:bCs/>
          <w:sz w:val="24"/>
          <w:szCs w:val="24"/>
        </w:rPr>
        <w:t xml:space="preserve">3.1 </w:t>
      </w:r>
      <w:r w:rsidR="00A72E6C" w:rsidRPr="00A72E6C">
        <w:rPr>
          <w:rStyle w:val="Strong"/>
          <w:b/>
          <w:bCs/>
          <w:sz w:val="24"/>
          <w:szCs w:val="24"/>
        </w:rPr>
        <w:t>Efficacy of Inoculation Treatments in Young Seedlings</w:t>
      </w:r>
    </w:p>
    <w:p w14:paraId="1E9ED762" w14:textId="638BD3E7" w:rsidR="00A72E6C" w:rsidRPr="00A72E6C" w:rsidRDefault="00A72E6C" w:rsidP="00A72E6C">
      <w:pPr>
        <w:pStyle w:val="NormalWeb"/>
        <w:spacing w:line="360" w:lineRule="auto"/>
        <w:ind w:firstLine="720"/>
        <w:jc w:val="both"/>
      </w:pPr>
      <w:r w:rsidRPr="00A72E6C">
        <w:t xml:space="preserve">The high-throughput pathogenicity assay conducted on 6–7-day-old tomato seedlings revealed a clear hierarchy of disease severity among the six tested inoculation strategies. The </w:t>
      </w:r>
      <w:r w:rsidRPr="00CB250B">
        <w:rPr>
          <w:rStyle w:val="Strong"/>
          <w:b w:val="0"/>
        </w:rPr>
        <w:t>S-1 treatment</w:t>
      </w:r>
      <w:r w:rsidRPr="00A72E6C">
        <w:t>, which involved direct immersion of roots in bacterial suspension (OD₆₀₀ = 0.6), resulted in</w:t>
      </w:r>
      <w:r w:rsidRPr="00EA145E">
        <w:t xml:space="preserve"> </w:t>
      </w:r>
      <w:r w:rsidRPr="00EA145E">
        <w:rPr>
          <w:rStyle w:val="Strong"/>
          <w:b w:val="0"/>
        </w:rPr>
        <w:t>100% wilting within 48 hours</w:t>
      </w:r>
      <w:r w:rsidR="000B221D">
        <w:t xml:space="preserve"> </w:t>
      </w:r>
      <w:r w:rsidRPr="00A72E6C">
        <w:t xml:space="preserve">indicating a high level of pathogenic efficiency. In contrast, treatments involving broth (B-1, B-2, B-3) yielded </w:t>
      </w:r>
      <w:r w:rsidRPr="00EA145E">
        <w:rPr>
          <w:rStyle w:val="Strong"/>
          <w:b w:val="0"/>
        </w:rPr>
        <w:t>minimal or no wilting symptoms (0–10%)</w:t>
      </w:r>
      <w:r w:rsidRPr="00EA145E">
        <w:t>,</w:t>
      </w:r>
      <w:r w:rsidRPr="00EA145E">
        <w:rPr>
          <w:b/>
        </w:rPr>
        <w:t xml:space="preserve"> </w:t>
      </w:r>
      <w:r w:rsidRPr="00A72E6C">
        <w:t>suggesting a possible interference from nutrient-rich media in facilitating infection or influencing the bacterial virulence state</w:t>
      </w:r>
      <w:r w:rsidR="000B4B99">
        <w:t xml:space="preserve"> (Plate 2)</w:t>
      </w:r>
      <w:r w:rsidRPr="00A72E6C">
        <w:t xml:space="preserve">. This observation is consistent with findings that nutrient deprivation or osmotic stress in bacterial suspension may upregulate virulence gene expression in </w:t>
      </w:r>
      <w:r w:rsidRPr="00A72E6C">
        <w:rPr>
          <w:rStyle w:val="Emphasis"/>
        </w:rPr>
        <w:t>R. solanacearum</w:t>
      </w:r>
      <w:r w:rsidRPr="00A72E6C">
        <w:t xml:space="preserve"> (Singh </w:t>
      </w:r>
      <w:r w:rsidRPr="00CE4A7B">
        <w:rPr>
          <w:i/>
        </w:rPr>
        <w:t>et al</w:t>
      </w:r>
      <w:r w:rsidRPr="00A72E6C">
        <w:t>., 201</w:t>
      </w:r>
      <w:r w:rsidR="001005C8">
        <w:t>8</w:t>
      </w:r>
      <w:r w:rsidRPr="00A72E6C">
        <w:t>).</w:t>
      </w:r>
    </w:p>
    <w:p w14:paraId="4EB98A4A" w14:textId="1301D06C" w:rsidR="00A72E6C" w:rsidRDefault="00A72E6C" w:rsidP="00A72E6C">
      <w:pPr>
        <w:pStyle w:val="NormalWeb"/>
        <w:spacing w:line="360" w:lineRule="auto"/>
        <w:ind w:firstLine="720"/>
        <w:jc w:val="both"/>
      </w:pPr>
      <w:r w:rsidRPr="00A72E6C">
        <w:t xml:space="preserve">Interestingly, </w:t>
      </w:r>
      <w:r w:rsidRPr="001F175C">
        <w:rPr>
          <w:rStyle w:val="Strong"/>
          <w:b w:val="0"/>
        </w:rPr>
        <w:t>S-2 and S-3</w:t>
      </w:r>
      <w:r w:rsidRPr="00A72E6C">
        <w:t xml:space="preserve">, which involved delayed or indirect exposure to the suspension, exhibited intermediate responses: S-2 produced 10% wilting, while S-3 showed up to 80% wilting, indicating that immediate and sustained contact with live bacterial cells is crucial for rapid pathogenesis. </w:t>
      </w:r>
      <w:r w:rsidR="008C33B9">
        <w:t xml:space="preserve">The wilting percentage of all the treatments is indicated in figure 1. </w:t>
      </w:r>
      <w:r w:rsidRPr="00A72E6C">
        <w:t xml:space="preserve">These findings underscore the role of exposure timing and direct interaction with planktonic </w:t>
      </w:r>
      <w:r w:rsidRPr="00A72E6C">
        <w:lastRenderedPageBreak/>
        <w:t xml:space="preserve">cells in disease initiation. The results diverge from earlier reports by </w:t>
      </w:r>
      <w:r w:rsidRPr="001F175C">
        <w:rPr>
          <w:rStyle w:val="Strong"/>
          <w:b w:val="0"/>
        </w:rPr>
        <w:t xml:space="preserve">Singh </w:t>
      </w:r>
      <w:r w:rsidRPr="00697C89">
        <w:rPr>
          <w:rStyle w:val="Strong"/>
          <w:b w:val="0"/>
          <w:i/>
        </w:rPr>
        <w:t>et al.</w:t>
      </w:r>
      <w:r w:rsidRPr="001F175C">
        <w:rPr>
          <w:rStyle w:val="Strong"/>
          <w:b w:val="0"/>
        </w:rPr>
        <w:t xml:space="preserve"> (2018)</w:t>
      </w:r>
      <w:r w:rsidRPr="001F175C">
        <w:rPr>
          <w:b/>
        </w:rPr>
        <w:t>,</w:t>
      </w:r>
      <w:r w:rsidRPr="00A72E6C">
        <w:t xml:space="preserve"> who had identified </w:t>
      </w:r>
      <w:r w:rsidRPr="001F175C">
        <w:rPr>
          <w:rStyle w:val="Strong"/>
          <w:b w:val="0"/>
        </w:rPr>
        <w:t>S-2</w:t>
      </w:r>
      <w:r w:rsidRPr="00A72E6C">
        <w:t xml:space="preserve"> as the most efficient treatment in their seedling-based assay. This discrepancy may be attributed to differences in bacterial strain aggressiveness, host cultivar susceptibility, or inoculum preparation protocols. While Singh et al. used strain F1C1 under microfuge-based systems, the present study employed RsT-7 in a sterile water-based root dip </w:t>
      </w:r>
      <w:r w:rsidR="003C4BF3">
        <w:rPr>
          <w:noProof/>
        </w:rPr>
        <w:drawing>
          <wp:anchor distT="0" distB="0" distL="114300" distR="114300" simplePos="0" relativeHeight="251659264" behindDoc="0" locked="0" layoutInCell="1" allowOverlap="1" wp14:anchorId="4489280A" wp14:editId="43025E24">
            <wp:simplePos x="0" y="0"/>
            <wp:positionH relativeFrom="margin">
              <wp:posOffset>971550</wp:posOffset>
            </wp:positionH>
            <wp:positionV relativeFrom="paragraph">
              <wp:posOffset>1533525</wp:posOffset>
            </wp:positionV>
            <wp:extent cx="3829050" cy="3270250"/>
            <wp:effectExtent l="0" t="0" r="0"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9050" cy="3270250"/>
                    </a:xfrm>
                    <a:prstGeom prst="rect">
                      <a:avLst/>
                    </a:prstGeom>
                    <a:noFill/>
                  </pic:spPr>
                </pic:pic>
              </a:graphicData>
            </a:graphic>
            <wp14:sizeRelH relativeFrom="margin">
              <wp14:pctWidth>0</wp14:pctWidth>
            </wp14:sizeRelH>
            <wp14:sizeRelV relativeFrom="margin">
              <wp14:pctHeight>0</wp14:pctHeight>
            </wp14:sizeRelV>
          </wp:anchor>
        </w:drawing>
      </w:r>
      <w:r w:rsidRPr="00A72E6C">
        <w:t xml:space="preserve">setup, which may better preserve virulence expression during host contact </w:t>
      </w:r>
      <w:hyperlink r:id="rId10" w:tgtFrame="_new" w:history="1">
        <w:r w:rsidRPr="00CE4A7B">
          <w:rPr>
            <w:rStyle w:val="Hyperlink"/>
            <w:color w:val="auto"/>
            <w:u w:val="none"/>
          </w:rPr>
          <w:t xml:space="preserve">(Singh </w:t>
        </w:r>
        <w:r w:rsidRPr="001F175C">
          <w:rPr>
            <w:rStyle w:val="Hyperlink"/>
            <w:i/>
            <w:color w:val="auto"/>
            <w:u w:val="none"/>
          </w:rPr>
          <w:t>et al</w:t>
        </w:r>
        <w:r w:rsidRPr="00CE4A7B">
          <w:rPr>
            <w:rStyle w:val="Hyperlink"/>
            <w:color w:val="auto"/>
            <w:u w:val="none"/>
          </w:rPr>
          <w:t>., 2018)</w:t>
        </w:r>
      </w:hyperlink>
      <w:r w:rsidRPr="00CE4A7B">
        <w:t>.</w:t>
      </w:r>
    </w:p>
    <w:p w14:paraId="0C78F0D2" w14:textId="7A341389" w:rsidR="008337E6" w:rsidRDefault="008337E6" w:rsidP="008337E6">
      <w:pPr>
        <w:ind w:left="1276" w:hanging="850"/>
        <w:jc w:val="both"/>
        <w:rPr>
          <w:rFonts w:ascii="Times New Roman" w:hAnsi="Times New Roman" w:cs="Times New Roman"/>
          <w:b/>
          <w:bCs/>
          <w:sz w:val="24"/>
          <w:lang w:val="en-US"/>
        </w:rPr>
      </w:pPr>
      <w:r>
        <w:rPr>
          <w:rFonts w:ascii="Times New Roman" w:hAnsi="Times New Roman" w:cs="Times New Roman"/>
          <w:b/>
          <w:bCs/>
          <w:noProof/>
          <w:sz w:val="24"/>
          <w:lang w:val="en-US"/>
        </w:rPr>
        <w:drawing>
          <wp:anchor distT="0" distB="0" distL="114300" distR="114300" simplePos="0" relativeHeight="251667456" behindDoc="0" locked="0" layoutInCell="1" allowOverlap="1" wp14:anchorId="3C3586B0" wp14:editId="645B11E7">
            <wp:simplePos x="0" y="0"/>
            <wp:positionH relativeFrom="margin">
              <wp:posOffset>923925</wp:posOffset>
            </wp:positionH>
            <wp:positionV relativeFrom="paragraph">
              <wp:posOffset>3845560</wp:posOffset>
            </wp:positionV>
            <wp:extent cx="4095750" cy="3071495"/>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5750" cy="3071495"/>
                    </a:xfrm>
                    <a:prstGeom prst="rect">
                      <a:avLst/>
                    </a:prstGeom>
                    <a:noFill/>
                  </pic:spPr>
                </pic:pic>
              </a:graphicData>
            </a:graphic>
            <wp14:sizeRelH relativeFrom="margin">
              <wp14:pctWidth>0</wp14:pctWidth>
            </wp14:sizeRelH>
            <wp14:sizeRelV relativeFrom="margin">
              <wp14:pctHeight>0</wp14:pctHeight>
            </wp14:sizeRelV>
          </wp:anchor>
        </w:drawing>
      </w:r>
      <w:r w:rsidR="000B4B99" w:rsidRPr="000B4B99">
        <w:rPr>
          <w:rFonts w:ascii="Times New Roman" w:hAnsi="Times New Roman" w:cs="Times New Roman"/>
          <w:b/>
          <w:sz w:val="24"/>
        </w:rPr>
        <w:t>Plate 2.</w:t>
      </w:r>
      <w:r w:rsidR="000B4B99">
        <w:t xml:space="preserve"> </w:t>
      </w:r>
      <w:r w:rsidR="000B4B99" w:rsidRPr="00D50ABC">
        <w:rPr>
          <w:rFonts w:ascii="Times New Roman" w:hAnsi="Times New Roman" w:cs="Times New Roman"/>
          <w:b/>
          <w:sz w:val="24"/>
        </w:rPr>
        <w:t>High throughput technique to prove pathogenicity in Tomato</w:t>
      </w:r>
      <w:r w:rsidR="000B4B99">
        <w:rPr>
          <w:rFonts w:ascii="Times New Roman" w:hAnsi="Times New Roman" w:cs="Times New Roman"/>
          <w:b/>
          <w:sz w:val="24"/>
        </w:rPr>
        <w:t xml:space="preserve">. (Where </w:t>
      </w:r>
      <w:r w:rsidR="000B4B99">
        <w:rPr>
          <w:rFonts w:ascii="Times New Roman" w:hAnsi="Times New Roman" w:cs="Times New Roman"/>
          <w:b/>
          <w:sz w:val="24"/>
        </w:rPr>
        <w:tab/>
      </w:r>
      <w:r w:rsidR="000B4B99" w:rsidRPr="00D50ABC">
        <w:rPr>
          <w:rFonts w:ascii="Times New Roman" w:hAnsi="Times New Roman" w:cs="Times New Roman"/>
          <w:b/>
          <w:bCs/>
          <w:sz w:val="24"/>
        </w:rPr>
        <w:t>C: Water control</w:t>
      </w:r>
      <w:r w:rsidR="000B4B99">
        <w:rPr>
          <w:rFonts w:ascii="Times New Roman" w:hAnsi="Times New Roman" w:cs="Times New Roman"/>
          <w:b/>
          <w:sz w:val="24"/>
        </w:rPr>
        <w:t xml:space="preserve">, </w:t>
      </w:r>
      <w:r w:rsidR="000B4B99" w:rsidRPr="00D50ABC">
        <w:rPr>
          <w:rFonts w:ascii="Times New Roman" w:hAnsi="Times New Roman" w:cs="Times New Roman"/>
          <w:b/>
          <w:bCs/>
          <w:sz w:val="24"/>
          <w:lang w:val="en-US"/>
        </w:rPr>
        <w:t>B-1: Broth</w:t>
      </w:r>
      <w:r w:rsidR="000B4B99">
        <w:rPr>
          <w:rFonts w:ascii="Times New Roman" w:hAnsi="Times New Roman" w:cs="Times New Roman"/>
          <w:b/>
          <w:sz w:val="24"/>
        </w:rPr>
        <w:t xml:space="preserve">, </w:t>
      </w:r>
      <w:r w:rsidR="000B4B99" w:rsidRPr="00D50ABC">
        <w:rPr>
          <w:rFonts w:ascii="Times New Roman" w:hAnsi="Times New Roman" w:cs="Times New Roman"/>
          <w:b/>
          <w:bCs/>
          <w:sz w:val="24"/>
          <w:lang w:val="en-US"/>
        </w:rPr>
        <w:t>B-2: Broth dip-&gt; water</w:t>
      </w:r>
      <w:r w:rsidR="000B4B99">
        <w:rPr>
          <w:rFonts w:ascii="Times New Roman" w:hAnsi="Times New Roman" w:cs="Times New Roman"/>
          <w:b/>
          <w:sz w:val="24"/>
        </w:rPr>
        <w:t xml:space="preserve">, </w:t>
      </w:r>
      <w:r w:rsidR="000B4B99" w:rsidRPr="00D50ABC">
        <w:rPr>
          <w:rFonts w:ascii="Times New Roman" w:hAnsi="Times New Roman" w:cs="Times New Roman"/>
          <w:b/>
          <w:bCs/>
          <w:sz w:val="24"/>
          <w:lang w:val="en-US"/>
        </w:rPr>
        <w:t>B-3: Water + Broth</w:t>
      </w:r>
      <w:r w:rsidR="000B4B99">
        <w:rPr>
          <w:rFonts w:ascii="Times New Roman" w:hAnsi="Times New Roman" w:cs="Times New Roman"/>
          <w:b/>
          <w:sz w:val="24"/>
        </w:rPr>
        <w:t xml:space="preserve">, </w:t>
      </w:r>
      <w:r w:rsidR="000B4B99" w:rsidRPr="00D50ABC">
        <w:rPr>
          <w:rFonts w:ascii="Times New Roman" w:hAnsi="Times New Roman" w:cs="Times New Roman"/>
          <w:b/>
          <w:bCs/>
          <w:sz w:val="24"/>
          <w:lang w:val="en-US"/>
        </w:rPr>
        <w:t>S-1: Bacterial Suspension</w:t>
      </w:r>
      <w:r w:rsidR="000B4B99">
        <w:rPr>
          <w:rFonts w:ascii="Times New Roman" w:hAnsi="Times New Roman" w:cs="Times New Roman"/>
          <w:b/>
          <w:sz w:val="24"/>
        </w:rPr>
        <w:t xml:space="preserve">, </w:t>
      </w:r>
      <w:r w:rsidR="000B4B99" w:rsidRPr="00D50ABC">
        <w:rPr>
          <w:rFonts w:ascii="Times New Roman" w:hAnsi="Times New Roman" w:cs="Times New Roman"/>
          <w:b/>
          <w:bCs/>
          <w:sz w:val="24"/>
          <w:lang w:val="en-US"/>
        </w:rPr>
        <w:t>S-2: Suspension &gt; water</w:t>
      </w:r>
      <w:r w:rsidR="000B4B99">
        <w:rPr>
          <w:rFonts w:ascii="Times New Roman" w:hAnsi="Times New Roman" w:cs="Times New Roman"/>
          <w:b/>
          <w:sz w:val="24"/>
        </w:rPr>
        <w:t xml:space="preserve"> and </w:t>
      </w:r>
      <w:r w:rsidR="000B4B99" w:rsidRPr="00D50ABC">
        <w:rPr>
          <w:rFonts w:ascii="Times New Roman" w:hAnsi="Times New Roman" w:cs="Times New Roman"/>
          <w:b/>
          <w:bCs/>
          <w:sz w:val="24"/>
          <w:lang w:val="en-US"/>
        </w:rPr>
        <w:t>S-3: Water + Suspension</w:t>
      </w:r>
      <w:r w:rsidR="000B4B99">
        <w:rPr>
          <w:rFonts w:ascii="Times New Roman" w:hAnsi="Times New Roman" w:cs="Times New Roman"/>
          <w:b/>
          <w:bCs/>
          <w:sz w:val="24"/>
          <w:lang w:val="en-US"/>
        </w:rPr>
        <w:t>)</w:t>
      </w:r>
    </w:p>
    <w:p w14:paraId="10FA155D" w14:textId="581F962C" w:rsidR="008C33B9" w:rsidRPr="000B4B99" w:rsidRDefault="008C33B9" w:rsidP="008C33B9">
      <w:pPr>
        <w:ind w:left="1276" w:hanging="850"/>
        <w:jc w:val="center"/>
        <w:rPr>
          <w:rFonts w:ascii="Times New Roman" w:hAnsi="Times New Roman" w:cs="Times New Roman"/>
          <w:b/>
          <w:sz w:val="24"/>
        </w:rPr>
      </w:pPr>
      <w:r>
        <w:rPr>
          <w:rFonts w:ascii="Times New Roman" w:hAnsi="Times New Roman" w:cs="Times New Roman"/>
          <w:b/>
          <w:sz w:val="24"/>
        </w:rPr>
        <w:t>Fig. 1.  Wilting percentage of different treatments</w:t>
      </w:r>
      <w:r w:rsidR="00965DC6">
        <w:rPr>
          <w:rFonts w:ascii="Times New Roman" w:hAnsi="Times New Roman" w:cs="Times New Roman"/>
          <w:b/>
          <w:sz w:val="24"/>
        </w:rPr>
        <w:t xml:space="preserve"> on 6-7 days old seedlings</w:t>
      </w:r>
    </w:p>
    <w:p w14:paraId="3EFB21DC" w14:textId="08600CCD" w:rsidR="00A72E6C" w:rsidRPr="00A72E6C" w:rsidRDefault="007B3045" w:rsidP="00A72E6C">
      <w:pPr>
        <w:pStyle w:val="Heading3"/>
        <w:spacing w:line="360" w:lineRule="auto"/>
        <w:jc w:val="both"/>
        <w:rPr>
          <w:sz w:val="24"/>
          <w:szCs w:val="24"/>
        </w:rPr>
      </w:pPr>
      <w:r>
        <w:rPr>
          <w:rStyle w:val="Strong"/>
          <w:b/>
          <w:bCs/>
          <w:sz w:val="24"/>
          <w:szCs w:val="24"/>
        </w:rPr>
        <w:lastRenderedPageBreak/>
        <w:t xml:space="preserve">3.2 </w:t>
      </w:r>
      <w:r w:rsidR="00A72E6C" w:rsidRPr="00A72E6C">
        <w:rPr>
          <w:rStyle w:val="Strong"/>
          <w:b/>
          <w:bCs/>
          <w:sz w:val="24"/>
          <w:szCs w:val="24"/>
        </w:rPr>
        <w:t>Validation in 30-Day-Old Tomato Seedlings</w:t>
      </w:r>
    </w:p>
    <w:p w14:paraId="434EBAC1" w14:textId="41BF8037" w:rsidR="00A72E6C" w:rsidRDefault="00965DC6" w:rsidP="00A72E6C">
      <w:pPr>
        <w:pStyle w:val="NormalWeb"/>
        <w:spacing w:line="360" w:lineRule="auto"/>
        <w:ind w:firstLine="720"/>
        <w:jc w:val="both"/>
      </w:pPr>
      <w:r w:rsidRPr="000B4B99">
        <w:rPr>
          <w:b/>
          <w:noProof/>
        </w:rPr>
        <w:drawing>
          <wp:anchor distT="0" distB="0" distL="114300" distR="114300" simplePos="0" relativeHeight="251661312" behindDoc="0" locked="0" layoutInCell="1" allowOverlap="1" wp14:anchorId="16B0A497" wp14:editId="67046328">
            <wp:simplePos x="0" y="0"/>
            <wp:positionH relativeFrom="margin">
              <wp:align>center</wp:align>
            </wp:positionH>
            <wp:positionV relativeFrom="paragraph">
              <wp:posOffset>5130003</wp:posOffset>
            </wp:positionV>
            <wp:extent cx="4486275" cy="2551430"/>
            <wp:effectExtent l="0" t="0" r="952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347"/>
                    <a:stretch/>
                  </pic:blipFill>
                  <pic:spPr bwMode="auto">
                    <a:xfrm>
                      <a:off x="0" y="0"/>
                      <a:ext cx="4486275" cy="2551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4B99">
        <w:rPr>
          <w:b/>
          <w:noProof/>
        </w:rPr>
        <w:drawing>
          <wp:anchor distT="0" distB="0" distL="114300" distR="114300" simplePos="0" relativeHeight="251660288" behindDoc="0" locked="0" layoutInCell="1" allowOverlap="1" wp14:anchorId="3CFFD2BE" wp14:editId="01002B77">
            <wp:simplePos x="0" y="0"/>
            <wp:positionH relativeFrom="margin">
              <wp:align>center</wp:align>
            </wp:positionH>
            <wp:positionV relativeFrom="paragraph">
              <wp:posOffset>2482968</wp:posOffset>
            </wp:positionV>
            <wp:extent cx="3873500" cy="261556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3500" cy="2615565"/>
                    </a:xfrm>
                    <a:prstGeom prst="rect">
                      <a:avLst/>
                    </a:prstGeom>
                    <a:noFill/>
                  </pic:spPr>
                </pic:pic>
              </a:graphicData>
            </a:graphic>
            <wp14:sizeRelH relativeFrom="margin">
              <wp14:pctWidth>0</wp14:pctWidth>
            </wp14:sizeRelH>
            <wp14:sizeRelV relativeFrom="margin">
              <wp14:pctHeight>0</wp14:pctHeight>
            </wp14:sizeRelV>
          </wp:anchor>
        </w:drawing>
      </w:r>
      <w:r w:rsidR="00A72E6C" w:rsidRPr="00A72E6C">
        <w:t>The adaptability of the root dip assay to older plants was successfully demonstrated using 30-day-old tomato seedlings from two cultivars, ‘Sahoo’ and ‘Aaryaman’. Following root immersion in the bacterial suspension, both cultivars showed clear wilting symptoms within 48–72 hours. In ‘Sahoo’, symptoms included chlorosis, drooping</w:t>
      </w:r>
      <w:r w:rsidR="008B3A7C">
        <w:t xml:space="preserve"> and</w:t>
      </w:r>
      <w:r w:rsidR="00A72E6C" w:rsidRPr="00A72E6C">
        <w:t xml:space="preserve"> gradual stem collapse, while ‘Aaryaman’ exhibited more severe wilting and rapid xylem discoloration</w:t>
      </w:r>
      <w:r w:rsidR="000B4B99">
        <w:t xml:space="preserve"> (Plate 3A&amp;B)</w:t>
      </w:r>
      <w:r w:rsidR="00A72E6C" w:rsidRPr="00A72E6C">
        <w:t xml:space="preserve">. </w:t>
      </w:r>
      <w:r w:rsidR="008C33B9">
        <w:t>Both cultivars showed cent per cent wilting</w:t>
      </w:r>
      <w:r>
        <w:t xml:space="preserve"> (Fig. 2). </w:t>
      </w:r>
      <w:r w:rsidR="00A72E6C" w:rsidRPr="00A72E6C">
        <w:t xml:space="preserve">These differences may reflect inherent genotypic variation in susceptibility to </w:t>
      </w:r>
      <w:r w:rsidR="00A72E6C" w:rsidRPr="00A72E6C">
        <w:rPr>
          <w:rStyle w:val="Emphasis"/>
        </w:rPr>
        <w:t>R. solanacearum</w:t>
      </w:r>
      <w:r w:rsidR="00A72E6C" w:rsidRPr="00A72E6C">
        <w:t xml:space="preserve">, which has been reported in earlier studies comparing cultivar responses under greenhouse conditions (Mekonnen </w:t>
      </w:r>
      <w:r w:rsidR="00A72E6C" w:rsidRPr="00697C89">
        <w:rPr>
          <w:i/>
        </w:rPr>
        <w:t>et al</w:t>
      </w:r>
      <w:r w:rsidR="00A72E6C" w:rsidRPr="00A72E6C">
        <w:t xml:space="preserve">., 2022; </w:t>
      </w:r>
      <w:r w:rsidR="004C65DC" w:rsidRPr="00636A47">
        <w:rPr>
          <w:highlight w:val="yellow"/>
        </w:rPr>
        <w:t>B-Mensah</w:t>
      </w:r>
      <w:r w:rsidR="00A72E6C" w:rsidRPr="00636A47">
        <w:rPr>
          <w:highlight w:val="yellow"/>
        </w:rPr>
        <w:t xml:space="preserve"> </w:t>
      </w:r>
      <w:r w:rsidR="00A72E6C" w:rsidRPr="00636A47">
        <w:rPr>
          <w:i/>
          <w:highlight w:val="yellow"/>
        </w:rPr>
        <w:t>et al.</w:t>
      </w:r>
      <w:r w:rsidR="00A72E6C" w:rsidRPr="00636A47">
        <w:rPr>
          <w:highlight w:val="yellow"/>
        </w:rPr>
        <w:t>, 2021</w:t>
      </w:r>
      <w:r w:rsidR="00A72E6C" w:rsidRPr="00A72E6C">
        <w:t>).</w:t>
      </w:r>
    </w:p>
    <w:p w14:paraId="33D59200" w14:textId="77777777" w:rsidR="00965DC6" w:rsidRDefault="000B4B99" w:rsidP="00965DC6">
      <w:pPr>
        <w:pStyle w:val="NormalWeb"/>
        <w:spacing w:line="360" w:lineRule="auto"/>
        <w:ind w:left="993" w:hanging="993"/>
        <w:jc w:val="both"/>
      </w:pPr>
      <w:r w:rsidRPr="000B4B99">
        <w:rPr>
          <w:b/>
        </w:rPr>
        <w:t xml:space="preserve">Plate 3. </w:t>
      </w:r>
      <w:r>
        <w:rPr>
          <w:b/>
        </w:rPr>
        <w:t>Wilting symptoms observes after 48 HPI in Sahoo (A) and Aaryaman (B) cultivars</w:t>
      </w:r>
    </w:p>
    <w:p w14:paraId="2AC2DE93" w14:textId="47E31EF8" w:rsidR="00965DC6" w:rsidRPr="00965DC6" w:rsidRDefault="00965DC6" w:rsidP="00965DC6">
      <w:pPr>
        <w:ind w:left="1276" w:hanging="850"/>
        <w:jc w:val="center"/>
        <w:rPr>
          <w:rFonts w:ascii="Times New Roman" w:hAnsi="Times New Roman" w:cs="Times New Roman"/>
          <w:b/>
          <w:sz w:val="24"/>
        </w:rPr>
      </w:pPr>
      <w:r>
        <w:rPr>
          <w:noProof/>
        </w:rPr>
        <w:lastRenderedPageBreak/>
        <w:drawing>
          <wp:anchor distT="0" distB="0" distL="114300" distR="114300" simplePos="0" relativeHeight="251664384" behindDoc="0" locked="0" layoutInCell="1" allowOverlap="1" wp14:anchorId="67F4D7F3" wp14:editId="7BF4A40E">
            <wp:simplePos x="0" y="0"/>
            <wp:positionH relativeFrom="column">
              <wp:posOffset>871545</wp:posOffset>
            </wp:positionH>
            <wp:positionV relativeFrom="paragraph">
              <wp:posOffset>99444</wp:posOffset>
            </wp:positionV>
            <wp:extent cx="3733977" cy="3111648"/>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977" cy="3111648"/>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rPr>
        <w:t>Fig. 2.  Wilting percentage of Sahoo and Aaryaman cultivars (30 days old seedling)</w:t>
      </w:r>
    </w:p>
    <w:p w14:paraId="5CE9DD73" w14:textId="1E754E85" w:rsidR="00024DFE" w:rsidRDefault="00024DFE" w:rsidP="00024DFE">
      <w:pPr>
        <w:pStyle w:val="NormalWeb"/>
        <w:spacing w:line="360" w:lineRule="auto"/>
        <w:ind w:firstLine="720"/>
        <w:jc w:val="both"/>
      </w:pPr>
      <w:r>
        <w:rPr>
          <w:noProof/>
        </w:rPr>
        <w:drawing>
          <wp:anchor distT="0" distB="0" distL="114300" distR="114300" simplePos="0" relativeHeight="251666432" behindDoc="0" locked="0" layoutInCell="1" allowOverlap="1" wp14:anchorId="2E8CD764" wp14:editId="4D09A8A0">
            <wp:simplePos x="0" y="0"/>
            <wp:positionH relativeFrom="margin">
              <wp:posOffset>1094740</wp:posOffset>
            </wp:positionH>
            <wp:positionV relativeFrom="paragraph">
              <wp:posOffset>1697355</wp:posOffset>
            </wp:positionV>
            <wp:extent cx="3756660" cy="247713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6660" cy="2477135"/>
                    </a:xfrm>
                    <a:prstGeom prst="rect">
                      <a:avLst/>
                    </a:prstGeom>
                    <a:noFill/>
                  </pic:spPr>
                </pic:pic>
              </a:graphicData>
            </a:graphic>
            <wp14:sizeRelH relativeFrom="margin">
              <wp14:pctWidth>0</wp14:pctWidth>
            </wp14:sizeRelH>
            <wp14:sizeRelV relativeFrom="margin">
              <wp14:pctHeight>0</wp14:pctHeight>
            </wp14:sizeRelV>
          </wp:anchor>
        </w:drawing>
      </w:r>
      <w:r w:rsidR="00A72E6C" w:rsidRPr="00A72E6C">
        <w:t xml:space="preserve">The presence of active pathogen colonization in infected plants was confirmed using the </w:t>
      </w:r>
      <w:r w:rsidR="00A72E6C" w:rsidRPr="000B4B99">
        <w:rPr>
          <w:rStyle w:val="Strong"/>
          <w:b w:val="0"/>
        </w:rPr>
        <w:t>ooze test</w:t>
      </w:r>
      <w:r w:rsidR="00A72E6C" w:rsidRPr="00A72E6C">
        <w:t>, which revealed typical bacterial streaming from cut stem sections</w:t>
      </w:r>
      <w:r w:rsidR="00A57F5D">
        <w:t xml:space="preserve"> (Plate 4)</w:t>
      </w:r>
      <w:r w:rsidR="00A72E6C" w:rsidRPr="00A72E6C">
        <w:t xml:space="preserve">. This classical diagnostic tool remains highly effective for confirming </w:t>
      </w:r>
      <w:r w:rsidR="00A72E6C" w:rsidRPr="00A72E6C">
        <w:rPr>
          <w:rStyle w:val="Emphasis"/>
        </w:rPr>
        <w:t>R. solanacearum</w:t>
      </w:r>
      <w:r w:rsidR="00A72E6C" w:rsidRPr="00A72E6C">
        <w:t xml:space="preserve"> presence during wilt assessment (Elphinstone, 2005). Notably, control plants treated with sterile water remained symptomless, validating the reliability of the experimental conditions and confirming that abiotic factors were not responsible for observed wilting</w:t>
      </w:r>
      <w:r w:rsidR="00A57F5D">
        <w:t>.</w:t>
      </w:r>
    </w:p>
    <w:p w14:paraId="3D8083B7" w14:textId="6401016D" w:rsidR="00A57F5D" w:rsidRPr="00A72E6C" w:rsidRDefault="00A57F5D" w:rsidP="00A57F5D">
      <w:pPr>
        <w:pStyle w:val="NormalWeb"/>
        <w:spacing w:line="360" w:lineRule="auto"/>
        <w:ind w:left="993" w:hanging="993"/>
        <w:jc w:val="both"/>
      </w:pPr>
      <w:r w:rsidRPr="00A57F5D">
        <w:rPr>
          <w:b/>
        </w:rPr>
        <w:t xml:space="preserve">Plate 4. </w:t>
      </w:r>
      <w:r>
        <w:rPr>
          <w:b/>
        </w:rPr>
        <w:t xml:space="preserve">Ooze test to confirm </w:t>
      </w:r>
      <w:r w:rsidRPr="006A7516">
        <w:rPr>
          <w:b/>
          <w:i/>
        </w:rPr>
        <w:t>R. sola</w:t>
      </w:r>
      <w:r>
        <w:rPr>
          <w:b/>
          <w:i/>
        </w:rPr>
        <w:t>na</w:t>
      </w:r>
      <w:r w:rsidRPr="006A7516">
        <w:rPr>
          <w:b/>
          <w:i/>
        </w:rPr>
        <w:t xml:space="preserve">cearum </w:t>
      </w:r>
      <w:r>
        <w:rPr>
          <w:b/>
        </w:rPr>
        <w:t>colonization in Sahoo and Aaryaman cultivars</w:t>
      </w:r>
    </w:p>
    <w:p w14:paraId="6C676A2B" w14:textId="68281F4C" w:rsidR="00A72E6C" w:rsidRPr="00A72E6C" w:rsidRDefault="00A72E6C" w:rsidP="00A72E6C">
      <w:pPr>
        <w:pStyle w:val="NormalWeb"/>
        <w:spacing w:line="360" w:lineRule="auto"/>
        <w:ind w:firstLine="720"/>
        <w:jc w:val="both"/>
      </w:pPr>
      <w:r w:rsidRPr="00A72E6C">
        <w:lastRenderedPageBreak/>
        <w:t>These results reinforce the scalability of the S-1 inoculation method and support its potential use across a range of growth stages, offering plant pathologists a unified and reproducible protocol for pathogenicity screening.</w:t>
      </w:r>
    </w:p>
    <w:p w14:paraId="5660F745" w14:textId="7DB8184C" w:rsidR="00A72E6C" w:rsidRPr="00A72E6C" w:rsidRDefault="007B3045" w:rsidP="00A72E6C">
      <w:pPr>
        <w:pStyle w:val="Heading3"/>
        <w:spacing w:line="360" w:lineRule="auto"/>
        <w:jc w:val="both"/>
        <w:rPr>
          <w:sz w:val="24"/>
          <w:szCs w:val="24"/>
        </w:rPr>
      </w:pPr>
      <w:r>
        <w:rPr>
          <w:rStyle w:val="Strong"/>
          <w:b/>
          <w:bCs/>
          <w:sz w:val="24"/>
          <w:szCs w:val="24"/>
        </w:rPr>
        <w:t xml:space="preserve">3.3 </w:t>
      </w:r>
      <w:r w:rsidR="00A72E6C" w:rsidRPr="00A72E6C">
        <w:rPr>
          <w:rStyle w:val="Strong"/>
          <w:b/>
          <w:bCs/>
          <w:sz w:val="24"/>
          <w:szCs w:val="24"/>
        </w:rPr>
        <w:t>Histological Confirmation of Pathogen Impact</w:t>
      </w:r>
    </w:p>
    <w:p w14:paraId="60FAF173" w14:textId="08DF9DCB" w:rsidR="00A72E6C" w:rsidRDefault="00965DC6" w:rsidP="00A72E6C">
      <w:pPr>
        <w:pStyle w:val="NormalWeb"/>
        <w:spacing w:line="360" w:lineRule="auto"/>
        <w:ind w:firstLine="720"/>
        <w:jc w:val="both"/>
      </w:pPr>
      <w:r w:rsidRPr="00965DC6">
        <w:rPr>
          <w:noProof/>
        </w:rPr>
        <w:drawing>
          <wp:anchor distT="0" distB="0" distL="114300" distR="114300" simplePos="0" relativeHeight="251665408" behindDoc="0" locked="0" layoutInCell="1" allowOverlap="1" wp14:anchorId="2F942B1B" wp14:editId="5CA2AE6D">
            <wp:simplePos x="0" y="0"/>
            <wp:positionH relativeFrom="column">
              <wp:posOffset>946032</wp:posOffset>
            </wp:positionH>
            <wp:positionV relativeFrom="paragraph">
              <wp:posOffset>2483795</wp:posOffset>
            </wp:positionV>
            <wp:extent cx="3912235" cy="2147570"/>
            <wp:effectExtent l="0" t="0" r="0" b="0"/>
            <wp:wrapTopAndBottom/>
            <wp:docPr id="5" name="Picture 4">
              <a:extLst xmlns:a="http://schemas.openxmlformats.org/drawingml/2006/main">
                <a:ext uri="{FF2B5EF4-FFF2-40B4-BE49-F238E27FC236}">
                  <a16:creationId xmlns:a16="http://schemas.microsoft.com/office/drawing/2014/main" id="{AF599A7A-2569-4A20-B555-F33F3998B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F599A7A-2569-4A20-B555-F33F3998B5EB}"/>
                        </a:ext>
                      </a:extLst>
                    </pic:cNvPr>
                    <pic:cNvPicPr>
                      <a:picLocks noChangeAspect="1"/>
                    </pic:cNvPicPr>
                  </pic:nvPicPr>
                  <pic:blipFill>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912235" cy="2147570"/>
                    </a:xfrm>
                    <a:prstGeom prst="rect">
                      <a:avLst/>
                    </a:prstGeom>
                  </pic:spPr>
                </pic:pic>
              </a:graphicData>
            </a:graphic>
            <wp14:sizeRelH relativeFrom="margin">
              <wp14:pctWidth>0</wp14:pctWidth>
            </wp14:sizeRelH>
            <wp14:sizeRelV relativeFrom="margin">
              <wp14:pctHeight>0</wp14:pctHeight>
            </wp14:sizeRelV>
          </wp:anchor>
        </w:drawing>
      </w:r>
      <w:r w:rsidR="00A72E6C" w:rsidRPr="00A72E6C">
        <w:t xml:space="preserve">To gain anatomical insight into the host response, </w:t>
      </w:r>
      <w:r w:rsidR="00A72E6C" w:rsidRPr="00A72E6C">
        <w:rPr>
          <w:rStyle w:val="Strong"/>
          <w:b w:val="0"/>
        </w:rPr>
        <w:t>phloroglucinol-HCl staining</w:t>
      </w:r>
      <w:r w:rsidR="00A72E6C" w:rsidRPr="00A72E6C">
        <w:t xml:space="preserve"> was employed to assess lignin integrity in vascular tissues. In infected seedlings, a marked reduction in lignin staining was observed compared to controls, particularly in xylem regions</w:t>
      </w:r>
      <w:r>
        <w:t xml:space="preserve"> (Plate 5)</w:t>
      </w:r>
      <w:r w:rsidR="00A72E6C" w:rsidRPr="00A72E6C">
        <w:t xml:space="preserve">. This supports the hypothesis that </w:t>
      </w:r>
      <w:r w:rsidR="00A72E6C" w:rsidRPr="00A72E6C">
        <w:rPr>
          <w:rStyle w:val="Emphasis"/>
        </w:rPr>
        <w:t>R. solanacearum</w:t>
      </w:r>
      <w:r w:rsidR="00A72E6C" w:rsidRPr="00A72E6C">
        <w:t xml:space="preserve"> disrupts vascular lignification to facilitate systemic movement within the host. Lignin degradation not only compromises the structural integrity of xylem vessels but also lowers host defense thresholds, accelerating symptom progression. Similar anatomical evidence has been reported in studies examining wilt progression in solanaceous hosts and in </w:t>
      </w:r>
      <w:proofErr w:type="spellStart"/>
      <w:r w:rsidR="00A72E6C" w:rsidRPr="00A72E6C">
        <w:t>pathosystems</w:t>
      </w:r>
      <w:proofErr w:type="spellEnd"/>
      <w:r w:rsidR="00A72E6C" w:rsidRPr="00A72E6C">
        <w:t xml:space="preserve"> involving vascular bacterial pathogens (</w:t>
      </w:r>
      <w:r w:rsidR="008F0CD2" w:rsidRPr="008F0CD2">
        <w:rPr>
          <w:highlight w:val="yellow"/>
        </w:rPr>
        <w:t>Shi</w:t>
      </w:r>
      <w:r w:rsidR="00A72E6C" w:rsidRPr="008F0CD2">
        <w:rPr>
          <w:highlight w:val="yellow"/>
        </w:rPr>
        <w:t xml:space="preserve"> </w:t>
      </w:r>
      <w:r w:rsidR="00A72E6C" w:rsidRPr="008F0CD2">
        <w:rPr>
          <w:i/>
          <w:highlight w:val="yellow"/>
        </w:rPr>
        <w:t>et al</w:t>
      </w:r>
      <w:r w:rsidR="00A72E6C" w:rsidRPr="008F0CD2">
        <w:rPr>
          <w:highlight w:val="yellow"/>
        </w:rPr>
        <w:t>., 2023</w:t>
      </w:r>
      <w:r w:rsidR="00A72E6C" w:rsidRPr="00A72E6C">
        <w:t>).</w:t>
      </w:r>
    </w:p>
    <w:p w14:paraId="3B774B48" w14:textId="66FE68B8" w:rsidR="00965DC6" w:rsidRPr="00965DC6" w:rsidRDefault="00965DC6" w:rsidP="00A72E6C">
      <w:pPr>
        <w:pStyle w:val="NormalWeb"/>
        <w:spacing w:line="360" w:lineRule="auto"/>
        <w:ind w:firstLine="720"/>
        <w:jc w:val="both"/>
        <w:rPr>
          <w:b/>
        </w:rPr>
      </w:pPr>
      <w:r w:rsidRPr="00965DC6">
        <w:rPr>
          <w:b/>
        </w:rPr>
        <w:t>Plate 5.</w:t>
      </w:r>
      <w:r>
        <w:rPr>
          <w:b/>
        </w:rPr>
        <w:t xml:space="preserve">  Phloroglucinol-HCl staining to visualize lignification in Sahoo cultivar</w:t>
      </w:r>
    </w:p>
    <w:p w14:paraId="160DAB63" w14:textId="1ACC18A0" w:rsidR="00A72E6C" w:rsidRPr="00A72E6C" w:rsidRDefault="00A72E6C" w:rsidP="00A72E6C">
      <w:pPr>
        <w:pStyle w:val="NormalWeb"/>
        <w:spacing w:line="360" w:lineRule="auto"/>
        <w:ind w:firstLine="720"/>
        <w:jc w:val="both"/>
      </w:pPr>
      <w:r w:rsidRPr="00A72E6C">
        <w:t xml:space="preserve">This finding is particularly significant in light of </w:t>
      </w:r>
      <w:r w:rsidRPr="00A72E6C">
        <w:rPr>
          <w:rStyle w:val="Emphasis"/>
        </w:rPr>
        <w:t xml:space="preserve">R. </w:t>
      </w:r>
      <w:proofErr w:type="spellStart"/>
      <w:r w:rsidRPr="00A72E6C">
        <w:rPr>
          <w:rStyle w:val="Emphasis"/>
        </w:rPr>
        <w:t>solanacearum</w:t>
      </w:r>
      <w:r w:rsidRPr="00A72E6C">
        <w:t>’s</w:t>
      </w:r>
      <w:proofErr w:type="spellEnd"/>
      <w:r w:rsidRPr="00A72E6C">
        <w:t xml:space="preserve"> well-known ability to form biofilms within xylem vessels, a strategy that enhances colonization, protects against host defenses</w:t>
      </w:r>
      <w:r w:rsidR="008B3A7C">
        <w:t xml:space="preserve"> and</w:t>
      </w:r>
      <w:r w:rsidRPr="00A72E6C">
        <w:t xml:space="preserve"> ensures sustained pathogenicity under fluctuating environmental conditions (</w:t>
      </w:r>
      <w:r w:rsidR="00636A47">
        <w:t xml:space="preserve">Kashyap </w:t>
      </w:r>
      <w:r w:rsidR="00636A47" w:rsidRPr="00636A47">
        <w:rPr>
          <w:i/>
        </w:rPr>
        <w:t>et al</w:t>
      </w:r>
      <w:r w:rsidR="00636A47">
        <w:t>., 2022</w:t>
      </w:r>
      <w:r w:rsidRPr="00A72E6C">
        <w:t>). The consistent reduction in lignin across both seedling stages also implies that the physiological mechanisms underpinning wilt are activated early in the infection process, reinforcing the need for early detection and rapid pathogenicity assays.</w:t>
      </w:r>
    </w:p>
    <w:p w14:paraId="47E9B213" w14:textId="6AE1A8D7" w:rsidR="009B3ADB" w:rsidRDefault="00A72E6C" w:rsidP="005C2AA8">
      <w:pPr>
        <w:pStyle w:val="NormalWeb"/>
        <w:spacing w:line="360" w:lineRule="auto"/>
        <w:ind w:firstLine="720"/>
        <w:jc w:val="both"/>
      </w:pPr>
      <w:r w:rsidRPr="00A72E6C">
        <w:t>Together, the integration of phenotypic (wilt scores), classical diagnostic (ooze test)</w:t>
      </w:r>
      <w:r w:rsidR="008B3A7C">
        <w:t xml:space="preserve"> and</w:t>
      </w:r>
      <w:r w:rsidRPr="00A72E6C">
        <w:t xml:space="preserve"> histological (lignin staining) assessments presents a comprehensive framework for </w:t>
      </w:r>
      <w:r w:rsidRPr="00A72E6C">
        <w:lastRenderedPageBreak/>
        <w:t xml:space="preserve">evaluating </w:t>
      </w:r>
      <w:r w:rsidRPr="00A72E6C">
        <w:rPr>
          <w:rStyle w:val="Emphasis"/>
        </w:rPr>
        <w:t>R. solanacearum</w:t>
      </w:r>
      <w:r w:rsidRPr="00A72E6C">
        <w:t xml:space="preserve"> aggressiveness under laboratory conditions. Compared to traditional soil-based or stem-injection methods, the root dip assay described herein offers a more time-efficient, scalable</w:t>
      </w:r>
      <w:r w:rsidR="008B3A7C">
        <w:t xml:space="preserve"> and</w:t>
      </w:r>
      <w:r w:rsidRPr="00A72E6C">
        <w:t xml:space="preserve"> reproducible platform suitable for screening resistant germplasm, evaluating biocontrol agents</w:t>
      </w:r>
      <w:r w:rsidR="008B3A7C">
        <w:t xml:space="preserve"> and</w:t>
      </w:r>
      <w:r w:rsidRPr="00A72E6C">
        <w:t xml:space="preserve"> investigating strain-level pathogenic variability (Heena </w:t>
      </w:r>
      <w:r w:rsidRPr="00697C89">
        <w:rPr>
          <w:i/>
        </w:rPr>
        <w:t>et al</w:t>
      </w:r>
      <w:r w:rsidRPr="00A72E6C">
        <w:t xml:space="preserve">., 2020; </w:t>
      </w:r>
      <w:r w:rsidR="00F30AF9">
        <w:t xml:space="preserve">Singh </w:t>
      </w:r>
      <w:r w:rsidR="00F30AF9" w:rsidRPr="00F30AF9">
        <w:rPr>
          <w:i/>
        </w:rPr>
        <w:t>et al</w:t>
      </w:r>
      <w:r w:rsidR="00F30AF9">
        <w:t>., 2018</w:t>
      </w:r>
      <w:r w:rsidRPr="00A72E6C">
        <w:t>).</w:t>
      </w:r>
    </w:p>
    <w:p w14:paraId="56495970" w14:textId="5806E2F4" w:rsidR="007B3045" w:rsidRDefault="007B3045" w:rsidP="007B3045">
      <w:pPr>
        <w:pStyle w:val="NormalWeb"/>
        <w:numPr>
          <w:ilvl w:val="0"/>
          <w:numId w:val="7"/>
        </w:numPr>
        <w:spacing w:line="360" w:lineRule="auto"/>
        <w:ind w:left="426"/>
        <w:jc w:val="both"/>
        <w:rPr>
          <w:b/>
        </w:rPr>
      </w:pPr>
      <w:r>
        <w:rPr>
          <w:b/>
        </w:rPr>
        <w:t>CONCLUSION</w:t>
      </w:r>
    </w:p>
    <w:p w14:paraId="1B3D889A" w14:textId="7508FA49" w:rsidR="007B3045" w:rsidRPr="007B3045" w:rsidRDefault="007B3045" w:rsidP="007B3045">
      <w:pPr>
        <w:pStyle w:val="NormalWeb"/>
        <w:spacing w:line="360" w:lineRule="auto"/>
        <w:ind w:firstLine="720"/>
        <w:jc w:val="both"/>
        <w:rPr>
          <w:b/>
        </w:rPr>
      </w:pPr>
      <w:r>
        <w:t xml:space="preserve">The root dip assay proved to be a rapid and reproducible method for evaluating </w:t>
      </w:r>
      <w:r>
        <w:rPr>
          <w:rStyle w:val="Emphasis"/>
        </w:rPr>
        <w:t>Ralstonia solanacearum</w:t>
      </w:r>
      <w:r>
        <w:t xml:space="preserve"> pathogenicity in tomato. Direct root immersion reliably induced wilt, while ooze tests and lignin staining confirmed pathogen colonization and vascular damage. This standardized approach offers a practical alternative to traditional assays for resistance screening and virulence studies.</w:t>
      </w:r>
    </w:p>
    <w:p w14:paraId="375C8AFC" w14:textId="4539727B" w:rsidR="009B3ADB" w:rsidRPr="009B3ADB" w:rsidRDefault="009B3ADB" w:rsidP="009B3ADB">
      <w:pPr>
        <w:pStyle w:val="NormalWeb"/>
        <w:spacing w:line="360" w:lineRule="auto"/>
        <w:jc w:val="both"/>
        <w:rPr>
          <w:b/>
          <w:shd w:val="clear" w:color="auto" w:fill="FFFFFF"/>
        </w:rPr>
      </w:pPr>
      <w:r w:rsidRPr="009B3ADB">
        <w:rPr>
          <w:b/>
          <w:shd w:val="clear" w:color="auto" w:fill="FFFFFF"/>
        </w:rPr>
        <w:t>DISCLAIMER (ARTIFICIAL INTELLIGENCE)</w:t>
      </w:r>
    </w:p>
    <w:p w14:paraId="106C9F03" w14:textId="3EDB8324" w:rsidR="009B3ADB" w:rsidRPr="009B3ADB" w:rsidRDefault="009B3ADB" w:rsidP="009B3ADB">
      <w:pPr>
        <w:pStyle w:val="NormalWeb"/>
        <w:spacing w:line="360" w:lineRule="auto"/>
        <w:jc w:val="both"/>
        <w:rPr>
          <w:shd w:val="clear" w:color="auto" w:fill="FFFFFF"/>
        </w:rPr>
      </w:pPr>
      <w:r w:rsidRPr="009B3ADB">
        <w:rPr>
          <w:shd w:val="clear" w:color="auto" w:fill="FFFFFF"/>
        </w:rPr>
        <w:t>Author(s) hereby declare that NO generative AI technologies such as Large Language Models (ChatGPT, COPILOT, etc.)   and   text-to-image generators have been used during the writing or editing of this manuscript.</w:t>
      </w:r>
    </w:p>
    <w:p w14:paraId="330F8EDE" w14:textId="48E27F44" w:rsidR="009B3ADB" w:rsidRPr="009B3ADB" w:rsidRDefault="009B3ADB" w:rsidP="009B3ADB">
      <w:pPr>
        <w:pStyle w:val="NormalWeb"/>
        <w:spacing w:line="360" w:lineRule="auto"/>
        <w:jc w:val="both"/>
        <w:rPr>
          <w:b/>
          <w:shd w:val="clear" w:color="auto" w:fill="FFFFFF"/>
        </w:rPr>
      </w:pPr>
      <w:r w:rsidRPr="009B3ADB">
        <w:rPr>
          <w:b/>
          <w:shd w:val="clear" w:color="auto" w:fill="FFFFFF"/>
        </w:rPr>
        <w:t>COMPETING INTERESTS</w:t>
      </w:r>
    </w:p>
    <w:p w14:paraId="75945DEA" w14:textId="7F98EB89" w:rsidR="0026513E" w:rsidRPr="009B3ADB" w:rsidRDefault="009B3ADB" w:rsidP="009B3ADB">
      <w:pPr>
        <w:pStyle w:val="NormalWeb"/>
        <w:spacing w:line="360" w:lineRule="auto"/>
        <w:jc w:val="both"/>
      </w:pPr>
      <w:r w:rsidRPr="009B3ADB">
        <w:rPr>
          <w:shd w:val="clear" w:color="auto" w:fill="FFFFFF"/>
        </w:rPr>
        <w:t>Authors    have    declared    that    no    competing interests exist</w:t>
      </w:r>
    </w:p>
    <w:p w14:paraId="5B8A3855" w14:textId="029DF874" w:rsidR="0026513E" w:rsidRPr="009B3ADB" w:rsidRDefault="009B3ADB" w:rsidP="009B3AD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B3ADB">
        <w:rPr>
          <w:rFonts w:ascii="Times New Roman" w:eastAsia="Times New Roman" w:hAnsi="Times New Roman" w:cs="Times New Roman"/>
          <w:b/>
          <w:bCs/>
          <w:sz w:val="24"/>
          <w:szCs w:val="24"/>
          <w:lang w:eastAsia="en-IN"/>
        </w:rPr>
        <w:t>REFERENCES</w:t>
      </w:r>
    </w:p>
    <w:p w14:paraId="07E036DF" w14:textId="77777777" w:rsidR="00AA7EFB" w:rsidRPr="00AA7EFB" w:rsidRDefault="00AA7EFB"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AA7EFB">
        <w:rPr>
          <w:rFonts w:ascii="Times New Roman" w:eastAsia="Times New Roman" w:hAnsi="Times New Roman" w:cs="Times New Roman"/>
          <w:sz w:val="24"/>
          <w:szCs w:val="24"/>
          <w:lang w:eastAsia="en-IN"/>
        </w:rPr>
        <w:t xml:space="preserve">Balamurugan, A., Muthamilan, M., Kamalakannan, A., Shanthi, A. &amp; Arumugam, T. (2020). Characterization of </w:t>
      </w:r>
      <w:r w:rsidRPr="00AA7EFB">
        <w:rPr>
          <w:rFonts w:ascii="Times New Roman" w:eastAsia="Times New Roman" w:hAnsi="Times New Roman" w:cs="Times New Roman"/>
          <w:i/>
          <w:iCs/>
          <w:sz w:val="24"/>
          <w:szCs w:val="24"/>
          <w:lang w:eastAsia="en-IN"/>
        </w:rPr>
        <w:t>Ralstonia solanacearum</w:t>
      </w:r>
      <w:r w:rsidRPr="00AA7EFB">
        <w:rPr>
          <w:rFonts w:ascii="Times New Roman" w:eastAsia="Times New Roman" w:hAnsi="Times New Roman" w:cs="Times New Roman"/>
          <w:sz w:val="24"/>
          <w:szCs w:val="24"/>
          <w:lang w:eastAsia="en-IN"/>
        </w:rPr>
        <w:t xml:space="preserve"> causing bacterial wilt disease of tomato in Coimbatore District of Tamil Nadu, India. </w:t>
      </w:r>
      <w:r w:rsidRPr="00AA7EFB">
        <w:rPr>
          <w:rFonts w:ascii="Times New Roman" w:eastAsia="Times New Roman" w:hAnsi="Times New Roman" w:cs="Times New Roman"/>
          <w:i/>
          <w:iCs/>
          <w:sz w:val="24"/>
          <w:szCs w:val="24"/>
          <w:lang w:eastAsia="en-IN"/>
        </w:rPr>
        <w:t>International Journal of Current Microbiology and Applied Sciences</w:t>
      </w:r>
      <w:r w:rsidRPr="00AA7EFB">
        <w:rPr>
          <w:rFonts w:ascii="Times New Roman" w:eastAsia="Times New Roman" w:hAnsi="Times New Roman" w:cs="Times New Roman"/>
          <w:sz w:val="24"/>
          <w:szCs w:val="24"/>
          <w:lang w:eastAsia="en-IN"/>
        </w:rPr>
        <w:t>, 9(2), 2975–2982.</w:t>
      </w:r>
    </w:p>
    <w:p w14:paraId="3FA5C302" w14:textId="77777777" w:rsidR="00AA7EFB" w:rsidRPr="00AA7EFB" w:rsidRDefault="00AA7EFB" w:rsidP="00F30AF9">
      <w:pPr>
        <w:spacing w:before="100" w:beforeAutospacing="1" w:after="100" w:afterAutospacing="1" w:line="360" w:lineRule="auto"/>
        <w:ind w:left="720" w:hanging="720"/>
        <w:jc w:val="both"/>
        <w:rPr>
          <w:rFonts w:ascii="Times New Roman" w:hAnsi="Times New Roman" w:cs="Times New Roman"/>
          <w:sz w:val="24"/>
          <w:szCs w:val="24"/>
        </w:rPr>
      </w:pPr>
      <w:r w:rsidRPr="00AA7EFB">
        <w:rPr>
          <w:rFonts w:ascii="Times New Roman" w:hAnsi="Times New Roman" w:cs="Times New Roman"/>
          <w:sz w:val="24"/>
          <w:szCs w:val="24"/>
          <w:highlight w:val="yellow"/>
        </w:rPr>
        <w:t>B-Mensah, I. N., Osei, K. &amp; Prempeh, R. N. A. (2021). Screening tomato genotypes for bacterial wilt disease (</w:t>
      </w:r>
      <w:r w:rsidRPr="00AA7EFB">
        <w:rPr>
          <w:rStyle w:val="Emphasis"/>
          <w:rFonts w:ascii="Times New Roman" w:hAnsi="Times New Roman" w:cs="Times New Roman"/>
          <w:sz w:val="24"/>
          <w:szCs w:val="24"/>
          <w:highlight w:val="yellow"/>
        </w:rPr>
        <w:t>Ralstonia solanacearum</w:t>
      </w:r>
      <w:r w:rsidRPr="00AA7EFB">
        <w:rPr>
          <w:rFonts w:ascii="Times New Roman" w:hAnsi="Times New Roman" w:cs="Times New Roman"/>
          <w:sz w:val="24"/>
          <w:szCs w:val="24"/>
          <w:highlight w:val="yellow"/>
        </w:rPr>
        <w:t xml:space="preserve">) resistance in Ghana. </w:t>
      </w:r>
      <w:r w:rsidRPr="00AA7EFB">
        <w:rPr>
          <w:rStyle w:val="Emphasis"/>
          <w:rFonts w:ascii="Times New Roman" w:hAnsi="Times New Roman" w:cs="Times New Roman"/>
          <w:sz w:val="24"/>
          <w:szCs w:val="24"/>
          <w:highlight w:val="yellow"/>
        </w:rPr>
        <w:t>European Journal of Agriculture and Food Sciences</w:t>
      </w:r>
      <w:r w:rsidRPr="00AA7EFB">
        <w:rPr>
          <w:rFonts w:ascii="Times New Roman" w:hAnsi="Times New Roman" w:cs="Times New Roman"/>
          <w:sz w:val="24"/>
          <w:szCs w:val="24"/>
          <w:highlight w:val="yellow"/>
        </w:rPr>
        <w:t xml:space="preserve">, 3(5), 1–8. </w:t>
      </w:r>
      <w:hyperlink r:id="rId18" w:tgtFrame="_new" w:history="1">
        <w:r w:rsidRPr="00AA7EFB">
          <w:rPr>
            <w:rStyle w:val="Hyperlink"/>
            <w:rFonts w:ascii="Times New Roman" w:hAnsi="Times New Roman" w:cs="Times New Roman"/>
            <w:color w:val="auto"/>
            <w:sz w:val="24"/>
            <w:szCs w:val="24"/>
            <w:highlight w:val="yellow"/>
          </w:rPr>
          <w:t>https://doi.org/10.24018/ejfood.2021.3.5.277</w:t>
        </w:r>
      </w:hyperlink>
    </w:p>
    <w:p w14:paraId="5536EDD4" w14:textId="77777777" w:rsidR="00AA7EFB" w:rsidRPr="00AA7EFB" w:rsidRDefault="00AA7EFB" w:rsidP="009B3ADB">
      <w:pPr>
        <w:spacing w:before="240" w:line="360" w:lineRule="auto"/>
        <w:ind w:left="720" w:hanging="720"/>
        <w:jc w:val="both"/>
        <w:rPr>
          <w:rFonts w:ascii="Times New Roman" w:hAnsi="Times New Roman" w:cs="Times New Roman"/>
          <w:b/>
          <w:sz w:val="24"/>
          <w:szCs w:val="24"/>
          <w:lang w:val="en-US"/>
        </w:rPr>
      </w:pPr>
      <w:r w:rsidRPr="00AA7EFB">
        <w:rPr>
          <w:rFonts w:ascii="Times New Roman" w:hAnsi="Times New Roman" w:cs="Times New Roman"/>
          <w:sz w:val="24"/>
          <w:szCs w:val="24"/>
          <w:highlight w:val="yellow"/>
          <w:shd w:val="clear" w:color="auto" w:fill="F7F7F7"/>
        </w:rPr>
        <w:lastRenderedPageBreak/>
        <w:t xml:space="preserve">Caldwell, D., Kim, B.-S. &amp; </w:t>
      </w:r>
      <w:proofErr w:type="spellStart"/>
      <w:r w:rsidRPr="00AA7EFB">
        <w:rPr>
          <w:rFonts w:ascii="Times New Roman" w:hAnsi="Times New Roman" w:cs="Times New Roman"/>
          <w:sz w:val="24"/>
          <w:szCs w:val="24"/>
          <w:highlight w:val="yellow"/>
          <w:shd w:val="clear" w:color="auto" w:fill="F7F7F7"/>
        </w:rPr>
        <w:t>Iyer-Pascuzzi</w:t>
      </w:r>
      <w:proofErr w:type="spellEnd"/>
      <w:r w:rsidRPr="00AA7EFB">
        <w:rPr>
          <w:rFonts w:ascii="Times New Roman" w:hAnsi="Times New Roman" w:cs="Times New Roman"/>
          <w:sz w:val="24"/>
          <w:szCs w:val="24"/>
          <w:highlight w:val="yellow"/>
          <w:shd w:val="clear" w:color="auto" w:fill="F7F7F7"/>
        </w:rPr>
        <w:t>, A. S. (2017). </w:t>
      </w:r>
      <w:r w:rsidRPr="00AA7EFB">
        <w:rPr>
          <w:rFonts w:ascii="Times New Roman" w:hAnsi="Times New Roman" w:cs="Times New Roman"/>
          <w:i/>
          <w:iCs/>
          <w:sz w:val="24"/>
          <w:szCs w:val="24"/>
          <w:highlight w:val="yellow"/>
          <w:shd w:val="clear" w:color="auto" w:fill="F7F7F7"/>
        </w:rPr>
        <w:t>Ralstonia solanacearum</w:t>
      </w:r>
      <w:r w:rsidRPr="00AA7EFB">
        <w:rPr>
          <w:rFonts w:ascii="Times New Roman" w:hAnsi="Times New Roman" w:cs="Times New Roman"/>
          <w:sz w:val="24"/>
          <w:szCs w:val="24"/>
          <w:highlight w:val="yellow"/>
          <w:shd w:val="clear" w:color="auto" w:fill="F7F7F7"/>
        </w:rPr>
        <w:t> differentially colonizes roots of resistant and susceptible tomato plants. </w:t>
      </w:r>
      <w:r w:rsidRPr="00AA7EFB">
        <w:rPr>
          <w:rFonts w:ascii="Times New Roman" w:hAnsi="Times New Roman" w:cs="Times New Roman"/>
          <w:i/>
          <w:iCs/>
          <w:sz w:val="24"/>
          <w:szCs w:val="24"/>
          <w:highlight w:val="yellow"/>
          <w:shd w:val="clear" w:color="auto" w:fill="F7F7F7"/>
        </w:rPr>
        <w:t>Phytopathology,</w:t>
      </w:r>
      <w:r w:rsidRPr="00AA7EFB">
        <w:rPr>
          <w:rFonts w:ascii="Times New Roman" w:hAnsi="Times New Roman" w:cs="Times New Roman"/>
          <w:sz w:val="24"/>
          <w:szCs w:val="24"/>
          <w:highlight w:val="yellow"/>
          <w:shd w:val="clear" w:color="auto" w:fill="F7F7F7"/>
        </w:rPr>
        <w:t xml:space="preserve"> 107, 528–536. </w:t>
      </w:r>
      <w:proofErr w:type="spellStart"/>
      <w:r w:rsidRPr="00AA7EFB">
        <w:rPr>
          <w:rFonts w:ascii="Times New Roman" w:hAnsi="Times New Roman" w:cs="Times New Roman"/>
          <w:sz w:val="24"/>
          <w:szCs w:val="24"/>
          <w:highlight w:val="yellow"/>
          <w:shd w:val="clear" w:color="auto" w:fill="F7F7F7"/>
        </w:rPr>
        <w:t>doi</w:t>
      </w:r>
      <w:proofErr w:type="spellEnd"/>
      <w:r w:rsidRPr="00AA7EFB">
        <w:rPr>
          <w:rFonts w:ascii="Times New Roman" w:hAnsi="Times New Roman" w:cs="Times New Roman"/>
          <w:sz w:val="24"/>
          <w:szCs w:val="24"/>
          <w:highlight w:val="yellow"/>
          <w:shd w:val="clear" w:color="auto" w:fill="F7F7F7"/>
        </w:rPr>
        <w:t>: 10.1094/phyto-09-16-0353-r</w:t>
      </w:r>
    </w:p>
    <w:p w14:paraId="374ED082" w14:textId="77777777" w:rsidR="00AA7EFB" w:rsidRPr="00AA7EFB" w:rsidRDefault="00AA7EFB"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AA7EFB">
        <w:rPr>
          <w:rFonts w:ascii="Times New Roman" w:eastAsia="Times New Roman" w:hAnsi="Times New Roman" w:cs="Times New Roman"/>
          <w:sz w:val="24"/>
          <w:szCs w:val="24"/>
          <w:lang w:eastAsia="en-IN"/>
        </w:rPr>
        <w:t xml:space="preserve">Devi, U. P., Vineet, K. &amp; Deshpande, K. S. (2021). Study of pathogenic traits of bacterial wilt-causing phytopathogens around Kanpur and Fatehpur regions, Uttar Pradesh, India. </w:t>
      </w:r>
      <w:r w:rsidRPr="00AA7EFB">
        <w:rPr>
          <w:rFonts w:ascii="Times New Roman" w:eastAsia="Times New Roman" w:hAnsi="Times New Roman" w:cs="Times New Roman"/>
          <w:i/>
          <w:iCs/>
          <w:sz w:val="24"/>
          <w:szCs w:val="24"/>
          <w:lang w:eastAsia="en-IN"/>
        </w:rPr>
        <w:t>Journal of Applied Biology and Biotechnology</w:t>
      </w:r>
      <w:r w:rsidRPr="00AA7EFB">
        <w:rPr>
          <w:rFonts w:ascii="Times New Roman" w:eastAsia="Times New Roman" w:hAnsi="Times New Roman" w:cs="Times New Roman"/>
          <w:sz w:val="24"/>
          <w:szCs w:val="24"/>
          <w:lang w:eastAsia="en-IN"/>
        </w:rPr>
        <w:t>, 9(5), 39–46.</w:t>
      </w:r>
    </w:p>
    <w:p w14:paraId="65A1D3AE" w14:textId="77777777" w:rsidR="00AA7EFB" w:rsidRPr="00AA7EFB" w:rsidRDefault="00AA7EFB"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AA7EFB">
        <w:rPr>
          <w:rFonts w:ascii="Times New Roman" w:eastAsia="Times New Roman" w:hAnsi="Times New Roman" w:cs="Times New Roman"/>
          <w:sz w:val="24"/>
          <w:szCs w:val="24"/>
          <w:lang w:eastAsia="en-IN"/>
        </w:rPr>
        <w:t xml:space="preserve">Elphinstone, J. G. (2005). The current bacterial wilt situation: A global overview. In: Allen, C., Prior, P., &amp; Hayward, A. C. (Eds.), </w:t>
      </w:r>
      <w:r w:rsidRPr="00AA7EFB">
        <w:rPr>
          <w:rFonts w:ascii="Times New Roman" w:eastAsia="Times New Roman" w:hAnsi="Times New Roman" w:cs="Times New Roman"/>
          <w:i/>
          <w:iCs/>
          <w:sz w:val="24"/>
          <w:szCs w:val="24"/>
          <w:lang w:eastAsia="en-IN"/>
        </w:rPr>
        <w:t>Bacterial Wilt Disease and the Ralstonia solanacearum Species Complex</w:t>
      </w:r>
      <w:r w:rsidRPr="00AA7EFB">
        <w:rPr>
          <w:rFonts w:ascii="Times New Roman" w:eastAsia="Times New Roman" w:hAnsi="Times New Roman" w:cs="Times New Roman"/>
          <w:sz w:val="24"/>
          <w:szCs w:val="24"/>
          <w:lang w:eastAsia="en-IN"/>
        </w:rPr>
        <w:t xml:space="preserve"> (pp. 9–28). CABI Publishing.</w:t>
      </w:r>
    </w:p>
    <w:p w14:paraId="0C42ACDB" w14:textId="77777777" w:rsidR="00AA7EFB" w:rsidRPr="00AA7EFB" w:rsidRDefault="00AA7EFB"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AA7EFB">
        <w:rPr>
          <w:rFonts w:ascii="Times New Roman" w:hAnsi="Times New Roman" w:cs="Times New Roman"/>
          <w:sz w:val="24"/>
          <w:szCs w:val="24"/>
        </w:rPr>
        <w:t>FAOSTAT. (2023). World food and agriculture – Statistical yearbook 2023. Food and Agriculture Organization of the United Nations. Available at: https://openknowledge.fao.org/handle/20.500.14283/cc9413en</w:t>
      </w:r>
    </w:p>
    <w:p w14:paraId="74EDFD96" w14:textId="77777777" w:rsidR="00AA7EFB" w:rsidRPr="00AA7EFB" w:rsidRDefault="00AA7EFB"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proofErr w:type="spellStart"/>
      <w:r w:rsidRPr="00AA7EFB">
        <w:rPr>
          <w:rFonts w:ascii="Times New Roman" w:eastAsia="Times New Roman" w:hAnsi="Times New Roman" w:cs="Times New Roman"/>
          <w:sz w:val="24"/>
          <w:szCs w:val="24"/>
          <w:lang w:eastAsia="en-IN"/>
        </w:rPr>
        <w:t>Heena</w:t>
      </w:r>
      <w:proofErr w:type="spellEnd"/>
      <w:r w:rsidRPr="00AA7EFB">
        <w:rPr>
          <w:rFonts w:ascii="Times New Roman" w:eastAsia="Times New Roman" w:hAnsi="Times New Roman" w:cs="Times New Roman"/>
          <w:sz w:val="24"/>
          <w:szCs w:val="24"/>
          <w:lang w:eastAsia="en-IN"/>
        </w:rPr>
        <w:t xml:space="preserve">, A., </w:t>
      </w:r>
      <w:proofErr w:type="spellStart"/>
      <w:r w:rsidRPr="00AA7EFB">
        <w:rPr>
          <w:rFonts w:ascii="Times New Roman" w:eastAsia="Times New Roman" w:hAnsi="Times New Roman" w:cs="Times New Roman"/>
          <w:sz w:val="24"/>
          <w:szCs w:val="24"/>
          <w:lang w:eastAsia="en-IN"/>
        </w:rPr>
        <w:t>Dowarah</w:t>
      </w:r>
      <w:proofErr w:type="spellEnd"/>
      <w:r w:rsidRPr="00AA7EFB">
        <w:rPr>
          <w:rFonts w:ascii="Times New Roman" w:eastAsia="Times New Roman" w:hAnsi="Times New Roman" w:cs="Times New Roman"/>
          <w:sz w:val="24"/>
          <w:szCs w:val="24"/>
          <w:lang w:eastAsia="en-IN"/>
        </w:rPr>
        <w:t xml:space="preserve">, B. &amp; Agarwala, N. (2020). A quick method for screening biocontrol efficacy of bacterial isolates against </w:t>
      </w:r>
      <w:r w:rsidRPr="00AA7EFB">
        <w:rPr>
          <w:rFonts w:ascii="Times New Roman" w:eastAsia="Times New Roman" w:hAnsi="Times New Roman" w:cs="Times New Roman"/>
          <w:i/>
          <w:iCs/>
          <w:sz w:val="24"/>
          <w:szCs w:val="24"/>
          <w:lang w:eastAsia="en-IN"/>
        </w:rPr>
        <w:t>Ralstonia solanacearum</w:t>
      </w:r>
      <w:r w:rsidRPr="00AA7EFB">
        <w:rPr>
          <w:rFonts w:ascii="Times New Roman" w:eastAsia="Times New Roman" w:hAnsi="Times New Roman" w:cs="Times New Roman"/>
          <w:sz w:val="24"/>
          <w:szCs w:val="24"/>
          <w:lang w:eastAsia="en-IN"/>
        </w:rPr>
        <w:t xml:space="preserve"> in tomato. </w:t>
      </w:r>
      <w:r w:rsidRPr="00AA7EFB">
        <w:rPr>
          <w:rFonts w:ascii="Times New Roman" w:eastAsia="Times New Roman" w:hAnsi="Times New Roman" w:cs="Times New Roman"/>
          <w:i/>
          <w:iCs/>
          <w:sz w:val="24"/>
          <w:szCs w:val="24"/>
          <w:lang w:eastAsia="en-IN"/>
        </w:rPr>
        <w:t>Bio-protocol</w:t>
      </w:r>
      <w:r w:rsidRPr="00AA7EFB">
        <w:rPr>
          <w:rFonts w:ascii="Times New Roman" w:eastAsia="Times New Roman" w:hAnsi="Times New Roman" w:cs="Times New Roman"/>
          <w:sz w:val="24"/>
          <w:szCs w:val="24"/>
          <w:lang w:eastAsia="en-IN"/>
        </w:rPr>
        <w:t>, 10(22), e3829.</w:t>
      </w:r>
    </w:p>
    <w:p w14:paraId="69264DE3" w14:textId="77777777" w:rsidR="00AA7EFB" w:rsidRPr="00AA7EFB" w:rsidRDefault="00AA7EFB"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AA7EFB">
        <w:rPr>
          <w:rFonts w:ascii="Times New Roman" w:eastAsia="Times New Roman" w:hAnsi="Times New Roman" w:cs="Times New Roman"/>
          <w:sz w:val="24"/>
          <w:szCs w:val="24"/>
          <w:lang w:eastAsia="en-IN"/>
        </w:rPr>
        <w:t xml:space="preserve">Ijaz, M., </w:t>
      </w:r>
      <w:proofErr w:type="spellStart"/>
      <w:r w:rsidRPr="00AA7EFB">
        <w:rPr>
          <w:rFonts w:ascii="Times New Roman" w:eastAsia="Times New Roman" w:hAnsi="Times New Roman" w:cs="Times New Roman"/>
          <w:sz w:val="24"/>
          <w:szCs w:val="24"/>
          <w:lang w:eastAsia="en-IN"/>
        </w:rPr>
        <w:t>Lv</w:t>
      </w:r>
      <w:proofErr w:type="spellEnd"/>
      <w:r w:rsidRPr="00AA7EFB">
        <w:rPr>
          <w:rFonts w:ascii="Times New Roman" w:eastAsia="Times New Roman" w:hAnsi="Times New Roman" w:cs="Times New Roman"/>
          <w:sz w:val="24"/>
          <w:szCs w:val="24"/>
          <w:lang w:eastAsia="en-IN"/>
        </w:rPr>
        <w:t xml:space="preserve">, L., Ahmed, T., Noman, M., Manan, A., Ijaz, R., Shahid, M. S., Wang, D., </w:t>
      </w:r>
      <w:proofErr w:type="spellStart"/>
      <w:r w:rsidRPr="00AA7EFB">
        <w:rPr>
          <w:rFonts w:ascii="Times New Roman" w:eastAsia="Times New Roman" w:hAnsi="Times New Roman" w:cs="Times New Roman"/>
          <w:sz w:val="24"/>
          <w:szCs w:val="24"/>
          <w:lang w:eastAsia="en-IN"/>
        </w:rPr>
        <w:t>Ondrašek</w:t>
      </w:r>
      <w:proofErr w:type="spellEnd"/>
      <w:r w:rsidRPr="00AA7EFB">
        <w:rPr>
          <w:rFonts w:ascii="Times New Roman" w:eastAsia="Times New Roman" w:hAnsi="Times New Roman" w:cs="Times New Roman"/>
          <w:sz w:val="24"/>
          <w:szCs w:val="24"/>
          <w:lang w:eastAsia="en-IN"/>
        </w:rPr>
        <w:t xml:space="preserve">, G. &amp; Li, B. (2024). Immunomodulating melatonin-decorated silica nanoparticles suppress bacterial wilt (Ralstonia solanacearum) in tomato (Solanum lycopersicum L.) through fine-tuning of oxidative </w:t>
      </w:r>
      <w:proofErr w:type="spellStart"/>
      <w:r w:rsidRPr="00AA7EFB">
        <w:rPr>
          <w:rFonts w:ascii="Times New Roman" w:eastAsia="Times New Roman" w:hAnsi="Times New Roman" w:cs="Times New Roman"/>
          <w:sz w:val="24"/>
          <w:szCs w:val="24"/>
          <w:lang w:eastAsia="en-IN"/>
        </w:rPr>
        <w:t>signaling</w:t>
      </w:r>
      <w:proofErr w:type="spellEnd"/>
      <w:r w:rsidRPr="00AA7EFB">
        <w:rPr>
          <w:rFonts w:ascii="Times New Roman" w:eastAsia="Times New Roman" w:hAnsi="Times New Roman" w:cs="Times New Roman"/>
          <w:sz w:val="24"/>
          <w:szCs w:val="24"/>
          <w:lang w:eastAsia="en-IN"/>
        </w:rPr>
        <w:t xml:space="preserve"> and rhizosphere bacterial community. </w:t>
      </w:r>
      <w:r w:rsidRPr="00AA7EFB">
        <w:rPr>
          <w:rFonts w:ascii="Times New Roman" w:eastAsia="Times New Roman" w:hAnsi="Times New Roman" w:cs="Times New Roman"/>
          <w:i/>
          <w:iCs/>
          <w:sz w:val="24"/>
          <w:szCs w:val="24"/>
          <w:lang w:eastAsia="en-IN"/>
        </w:rPr>
        <w:t>Journal of Nanobiotechnology</w:t>
      </w:r>
      <w:r w:rsidRPr="00AA7EFB">
        <w:rPr>
          <w:rFonts w:ascii="Times New Roman" w:eastAsia="Times New Roman" w:hAnsi="Times New Roman" w:cs="Times New Roman"/>
          <w:sz w:val="24"/>
          <w:szCs w:val="24"/>
          <w:lang w:eastAsia="en-IN"/>
        </w:rPr>
        <w:t>, 22, 123–132.</w:t>
      </w:r>
    </w:p>
    <w:p w14:paraId="7D86FAF7" w14:textId="77777777" w:rsidR="00AA7EFB" w:rsidRPr="00AA7EFB" w:rsidRDefault="00AA7EFB"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AA7EFB">
        <w:rPr>
          <w:rFonts w:ascii="Times New Roman" w:eastAsia="Times New Roman" w:hAnsi="Times New Roman" w:cs="Times New Roman"/>
          <w:sz w:val="24"/>
          <w:szCs w:val="24"/>
          <w:lang w:eastAsia="en-IN"/>
        </w:rPr>
        <w:t xml:space="preserve">Karanja, L. N., </w:t>
      </w:r>
      <w:proofErr w:type="spellStart"/>
      <w:r w:rsidRPr="00AA7EFB">
        <w:rPr>
          <w:rFonts w:ascii="Times New Roman" w:eastAsia="Times New Roman" w:hAnsi="Times New Roman" w:cs="Times New Roman"/>
          <w:sz w:val="24"/>
          <w:szCs w:val="24"/>
          <w:lang w:eastAsia="en-IN"/>
        </w:rPr>
        <w:t>K’Owino</w:t>
      </w:r>
      <w:proofErr w:type="spellEnd"/>
      <w:r w:rsidRPr="00AA7EFB">
        <w:rPr>
          <w:rFonts w:ascii="Times New Roman" w:eastAsia="Times New Roman" w:hAnsi="Times New Roman" w:cs="Times New Roman"/>
          <w:sz w:val="24"/>
          <w:szCs w:val="24"/>
          <w:lang w:eastAsia="en-IN"/>
        </w:rPr>
        <w:t xml:space="preserve">, I. O., Wangila, P., </w:t>
      </w:r>
      <w:proofErr w:type="spellStart"/>
      <w:r w:rsidRPr="00AA7EFB">
        <w:rPr>
          <w:rFonts w:ascii="Times New Roman" w:eastAsia="Times New Roman" w:hAnsi="Times New Roman" w:cs="Times New Roman"/>
          <w:sz w:val="24"/>
          <w:szCs w:val="24"/>
          <w:lang w:eastAsia="en-IN"/>
        </w:rPr>
        <w:t>Ramkat</w:t>
      </w:r>
      <w:proofErr w:type="spellEnd"/>
      <w:r w:rsidRPr="00AA7EFB">
        <w:rPr>
          <w:rFonts w:ascii="Times New Roman" w:eastAsia="Times New Roman" w:hAnsi="Times New Roman" w:cs="Times New Roman"/>
          <w:sz w:val="24"/>
          <w:szCs w:val="24"/>
          <w:lang w:eastAsia="en-IN"/>
        </w:rPr>
        <w:t xml:space="preserve">, R. C. &amp; Odero, M. P. (2024). Evaluation of biochar plant extract composites from </w:t>
      </w:r>
      <w:r w:rsidRPr="00AA7EFB">
        <w:rPr>
          <w:rFonts w:ascii="Times New Roman" w:eastAsia="Times New Roman" w:hAnsi="Times New Roman" w:cs="Times New Roman"/>
          <w:i/>
          <w:iCs/>
          <w:sz w:val="24"/>
          <w:szCs w:val="24"/>
          <w:lang w:eastAsia="en-IN"/>
        </w:rPr>
        <w:t xml:space="preserve">Solanum </w:t>
      </w:r>
      <w:proofErr w:type="spellStart"/>
      <w:r w:rsidRPr="00AA7EFB">
        <w:rPr>
          <w:rFonts w:ascii="Times New Roman" w:eastAsia="Times New Roman" w:hAnsi="Times New Roman" w:cs="Times New Roman"/>
          <w:i/>
          <w:iCs/>
          <w:sz w:val="24"/>
          <w:szCs w:val="24"/>
          <w:lang w:eastAsia="en-IN"/>
        </w:rPr>
        <w:t>incanum</w:t>
      </w:r>
      <w:proofErr w:type="spellEnd"/>
      <w:r w:rsidRPr="00AA7EFB">
        <w:rPr>
          <w:rFonts w:ascii="Times New Roman" w:eastAsia="Times New Roman" w:hAnsi="Times New Roman" w:cs="Times New Roman"/>
          <w:sz w:val="24"/>
          <w:szCs w:val="24"/>
          <w:lang w:eastAsia="en-IN"/>
        </w:rPr>
        <w:t xml:space="preserve"> fruits in controlling </w:t>
      </w:r>
      <w:r w:rsidRPr="00AA7EFB">
        <w:rPr>
          <w:rFonts w:ascii="Times New Roman" w:eastAsia="Times New Roman" w:hAnsi="Times New Roman" w:cs="Times New Roman"/>
          <w:i/>
          <w:iCs/>
          <w:sz w:val="24"/>
          <w:szCs w:val="24"/>
          <w:lang w:eastAsia="en-IN"/>
        </w:rPr>
        <w:t>Ralstonia solanacearum</w:t>
      </w:r>
      <w:r w:rsidRPr="00AA7EFB">
        <w:rPr>
          <w:rFonts w:ascii="Times New Roman" w:eastAsia="Times New Roman" w:hAnsi="Times New Roman" w:cs="Times New Roman"/>
          <w:sz w:val="24"/>
          <w:szCs w:val="24"/>
          <w:lang w:eastAsia="en-IN"/>
        </w:rPr>
        <w:t xml:space="preserve">-based bacterial wilt in tomato plants. </w:t>
      </w:r>
      <w:r w:rsidRPr="00AA7EFB">
        <w:rPr>
          <w:rFonts w:ascii="Times New Roman" w:eastAsia="Times New Roman" w:hAnsi="Times New Roman" w:cs="Times New Roman"/>
          <w:i/>
          <w:iCs/>
          <w:sz w:val="24"/>
          <w:szCs w:val="24"/>
          <w:lang w:eastAsia="en-IN"/>
        </w:rPr>
        <w:t>International Research Journal of Pure and Applied Chemistry</w:t>
      </w:r>
      <w:r w:rsidRPr="00AA7EFB">
        <w:rPr>
          <w:rFonts w:ascii="Times New Roman" w:eastAsia="Times New Roman" w:hAnsi="Times New Roman" w:cs="Times New Roman"/>
          <w:sz w:val="24"/>
          <w:szCs w:val="24"/>
          <w:lang w:eastAsia="en-IN"/>
        </w:rPr>
        <w:t>, 25, 89–97.</w:t>
      </w:r>
    </w:p>
    <w:p w14:paraId="3E56DF73" w14:textId="77777777" w:rsidR="00AA7EFB" w:rsidRPr="00AA7EFB" w:rsidRDefault="00AA7EFB" w:rsidP="00F30AF9">
      <w:pPr>
        <w:spacing w:before="100" w:beforeAutospacing="1" w:after="100" w:afterAutospacing="1" w:line="360" w:lineRule="auto"/>
        <w:ind w:left="720" w:hanging="720"/>
        <w:jc w:val="both"/>
        <w:rPr>
          <w:rFonts w:ascii="Times New Roman" w:hAnsi="Times New Roman" w:cs="Times New Roman"/>
          <w:sz w:val="24"/>
          <w:szCs w:val="24"/>
        </w:rPr>
      </w:pPr>
      <w:r w:rsidRPr="00AA7EFB">
        <w:rPr>
          <w:rFonts w:ascii="Times New Roman" w:hAnsi="Times New Roman" w:cs="Times New Roman"/>
          <w:sz w:val="24"/>
          <w:szCs w:val="24"/>
          <w:highlight w:val="yellow"/>
        </w:rPr>
        <w:t xml:space="preserve">Kashyap, A., Jiménez-Jiménez, Á. L., Zhang, W., </w:t>
      </w:r>
      <w:proofErr w:type="spellStart"/>
      <w:r w:rsidRPr="00AA7EFB">
        <w:rPr>
          <w:rFonts w:ascii="Times New Roman" w:hAnsi="Times New Roman" w:cs="Times New Roman"/>
          <w:sz w:val="24"/>
          <w:szCs w:val="24"/>
          <w:highlight w:val="yellow"/>
        </w:rPr>
        <w:t>Capellades</w:t>
      </w:r>
      <w:proofErr w:type="spellEnd"/>
      <w:r w:rsidRPr="00AA7EFB">
        <w:rPr>
          <w:rFonts w:ascii="Times New Roman" w:hAnsi="Times New Roman" w:cs="Times New Roman"/>
          <w:sz w:val="24"/>
          <w:szCs w:val="24"/>
          <w:highlight w:val="yellow"/>
        </w:rPr>
        <w:t xml:space="preserve">, M., Srinivasan, S., </w:t>
      </w:r>
      <w:proofErr w:type="spellStart"/>
      <w:r w:rsidRPr="00AA7EFB">
        <w:rPr>
          <w:rFonts w:ascii="Times New Roman" w:hAnsi="Times New Roman" w:cs="Times New Roman"/>
          <w:sz w:val="24"/>
          <w:szCs w:val="24"/>
          <w:highlight w:val="yellow"/>
        </w:rPr>
        <w:t>Laromaine</w:t>
      </w:r>
      <w:proofErr w:type="spellEnd"/>
      <w:r w:rsidRPr="00AA7EFB">
        <w:rPr>
          <w:rFonts w:ascii="Times New Roman" w:hAnsi="Times New Roman" w:cs="Times New Roman"/>
          <w:sz w:val="24"/>
          <w:szCs w:val="24"/>
          <w:highlight w:val="yellow"/>
        </w:rPr>
        <w:t xml:space="preserve">, A., Serra, O., </w:t>
      </w:r>
      <w:proofErr w:type="spellStart"/>
      <w:r w:rsidRPr="00AA7EFB">
        <w:rPr>
          <w:rFonts w:ascii="Times New Roman" w:hAnsi="Times New Roman" w:cs="Times New Roman"/>
          <w:sz w:val="24"/>
          <w:szCs w:val="24"/>
          <w:highlight w:val="yellow"/>
        </w:rPr>
        <w:t>Figueras</w:t>
      </w:r>
      <w:proofErr w:type="spellEnd"/>
      <w:r w:rsidRPr="00AA7EFB">
        <w:rPr>
          <w:rFonts w:ascii="Times New Roman" w:hAnsi="Times New Roman" w:cs="Times New Roman"/>
          <w:sz w:val="24"/>
          <w:szCs w:val="24"/>
          <w:highlight w:val="yellow"/>
        </w:rPr>
        <w:t xml:space="preserve">, M., </w:t>
      </w:r>
      <w:proofErr w:type="spellStart"/>
      <w:r w:rsidRPr="00AA7EFB">
        <w:rPr>
          <w:rFonts w:ascii="Times New Roman" w:hAnsi="Times New Roman" w:cs="Times New Roman"/>
          <w:sz w:val="24"/>
          <w:szCs w:val="24"/>
          <w:highlight w:val="yellow"/>
        </w:rPr>
        <w:t>Rencoret</w:t>
      </w:r>
      <w:proofErr w:type="spellEnd"/>
      <w:r w:rsidRPr="00AA7EFB">
        <w:rPr>
          <w:rFonts w:ascii="Times New Roman" w:hAnsi="Times New Roman" w:cs="Times New Roman"/>
          <w:sz w:val="24"/>
          <w:szCs w:val="24"/>
          <w:highlight w:val="yellow"/>
        </w:rPr>
        <w:t xml:space="preserve">, J., Gutiérrez, A., Valls, M. &amp; Coll, N. S. (2022). Induced </w:t>
      </w:r>
      <w:proofErr w:type="spellStart"/>
      <w:r w:rsidRPr="00AA7EFB">
        <w:rPr>
          <w:rFonts w:ascii="Times New Roman" w:hAnsi="Times New Roman" w:cs="Times New Roman"/>
          <w:sz w:val="24"/>
          <w:szCs w:val="24"/>
          <w:highlight w:val="yellow"/>
        </w:rPr>
        <w:t>ligno</w:t>
      </w:r>
      <w:proofErr w:type="spellEnd"/>
      <w:r w:rsidRPr="00AA7EFB">
        <w:rPr>
          <w:rFonts w:ascii="Times New Roman" w:hAnsi="Times New Roman" w:cs="Times New Roman"/>
          <w:sz w:val="24"/>
          <w:szCs w:val="24"/>
          <w:highlight w:val="yellow"/>
        </w:rPr>
        <w:t xml:space="preserve">-suberin vascular coating and tyramine-derived hydroxycinnamic acid amides restrict </w:t>
      </w:r>
      <w:r w:rsidRPr="00AA7EFB">
        <w:rPr>
          <w:rStyle w:val="Emphasis"/>
          <w:rFonts w:ascii="Times New Roman" w:hAnsi="Times New Roman" w:cs="Times New Roman"/>
          <w:sz w:val="24"/>
          <w:szCs w:val="24"/>
          <w:highlight w:val="yellow"/>
        </w:rPr>
        <w:t>Ralstonia solanacearum</w:t>
      </w:r>
      <w:r w:rsidRPr="00AA7EFB">
        <w:rPr>
          <w:rFonts w:ascii="Times New Roman" w:hAnsi="Times New Roman" w:cs="Times New Roman"/>
          <w:sz w:val="24"/>
          <w:szCs w:val="24"/>
          <w:highlight w:val="yellow"/>
        </w:rPr>
        <w:t xml:space="preserve"> colonization in resistant tomato. </w:t>
      </w:r>
      <w:r w:rsidRPr="00AA7EFB">
        <w:rPr>
          <w:rStyle w:val="Emphasis"/>
          <w:rFonts w:ascii="Times New Roman" w:hAnsi="Times New Roman" w:cs="Times New Roman"/>
          <w:sz w:val="24"/>
          <w:szCs w:val="24"/>
          <w:highlight w:val="yellow"/>
        </w:rPr>
        <w:t xml:space="preserve">New </w:t>
      </w:r>
      <w:proofErr w:type="spellStart"/>
      <w:r w:rsidRPr="00AA7EFB">
        <w:rPr>
          <w:rStyle w:val="Emphasis"/>
          <w:rFonts w:ascii="Times New Roman" w:hAnsi="Times New Roman" w:cs="Times New Roman"/>
          <w:sz w:val="24"/>
          <w:szCs w:val="24"/>
          <w:highlight w:val="yellow"/>
        </w:rPr>
        <w:t>Phytologist</w:t>
      </w:r>
      <w:proofErr w:type="spellEnd"/>
      <w:r w:rsidRPr="00AA7EFB">
        <w:rPr>
          <w:rFonts w:ascii="Times New Roman" w:hAnsi="Times New Roman" w:cs="Times New Roman"/>
          <w:sz w:val="24"/>
          <w:szCs w:val="24"/>
          <w:highlight w:val="yellow"/>
        </w:rPr>
        <w:t xml:space="preserve">, 234(4), 1612–1626. </w:t>
      </w:r>
      <w:hyperlink r:id="rId19" w:history="1">
        <w:r w:rsidRPr="00AA7EFB">
          <w:rPr>
            <w:rStyle w:val="Hyperlink"/>
            <w:rFonts w:ascii="Times New Roman" w:hAnsi="Times New Roman" w:cs="Times New Roman"/>
            <w:sz w:val="24"/>
            <w:szCs w:val="24"/>
            <w:highlight w:val="yellow"/>
          </w:rPr>
          <w:t>https://doi.org/10.1111/nph.17982</w:t>
        </w:r>
      </w:hyperlink>
    </w:p>
    <w:p w14:paraId="25C71339" w14:textId="77777777" w:rsidR="00AA7EFB" w:rsidRPr="00AA7EFB" w:rsidRDefault="00AA7EFB"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proofErr w:type="spellStart"/>
      <w:r w:rsidRPr="00AA7EFB">
        <w:rPr>
          <w:rFonts w:ascii="Times New Roman" w:eastAsia="Times New Roman" w:hAnsi="Times New Roman" w:cs="Times New Roman"/>
          <w:sz w:val="24"/>
          <w:szCs w:val="24"/>
          <w:lang w:eastAsia="en-IN"/>
        </w:rPr>
        <w:lastRenderedPageBreak/>
        <w:t>Konappa</w:t>
      </w:r>
      <w:proofErr w:type="spellEnd"/>
      <w:r w:rsidRPr="00AA7EFB">
        <w:rPr>
          <w:rFonts w:ascii="Times New Roman" w:eastAsia="Times New Roman" w:hAnsi="Times New Roman" w:cs="Times New Roman"/>
          <w:sz w:val="24"/>
          <w:szCs w:val="24"/>
          <w:lang w:eastAsia="en-IN"/>
        </w:rPr>
        <w:t xml:space="preserve">, N., Krishnamurthy, S., </w:t>
      </w:r>
      <w:proofErr w:type="spellStart"/>
      <w:r w:rsidRPr="00AA7EFB">
        <w:rPr>
          <w:rFonts w:ascii="Times New Roman" w:eastAsia="Times New Roman" w:hAnsi="Times New Roman" w:cs="Times New Roman"/>
          <w:sz w:val="24"/>
          <w:szCs w:val="24"/>
          <w:lang w:eastAsia="en-IN"/>
        </w:rPr>
        <w:t>Siddaiah</w:t>
      </w:r>
      <w:proofErr w:type="spellEnd"/>
      <w:r w:rsidRPr="00AA7EFB">
        <w:rPr>
          <w:rFonts w:ascii="Times New Roman" w:eastAsia="Times New Roman" w:hAnsi="Times New Roman" w:cs="Times New Roman"/>
          <w:sz w:val="24"/>
          <w:szCs w:val="24"/>
          <w:lang w:eastAsia="en-IN"/>
        </w:rPr>
        <w:t xml:space="preserve">, C. N., </w:t>
      </w:r>
      <w:proofErr w:type="spellStart"/>
      <w:r w:rsidRPr="00AA7EFB">
        <w:rPr>
          <w:rFonts w:ascii="Times New Roman" w:eastAsia="Times New Roman" w:hAnsi="Times New Roman" w:cs="Times New Roman"/>
          <w:sz w:val="24"/>
          <w:szCs w:val="24"/>
          <w:lang w:eastAsia="en-IN"/>
        </w:rPr>
        <w:t>Ramachandrappa</w:t>
      </w:r>
      <w:proofErr w:type="spellEnd"/>
      <w:r w:rsidRPr="00AA7EFB">
        <w:rPr>
          <w:rFonts w:ascii="Times New Roman" w:eastAsia="Times New Roman" w:hAnsi="Times New Roman" w:cs="Times New Roman"/>
          <w:sz w:val="24"/>
          <w:szCs w:val="24"/>
          <w:lang w:eastAsia="en-IN"/>
        </w:rPr>
        <w:t xml:space="preserve">, N. S. &amp; </w:t>
      </w:r>
      <w:proofErr w:type="spellStart"/>
      <w:r w:rsidRPr="00AA7EFB">
        <w:rPr>
          <w:rFonts w:ascii="Times New Roman" w:eastAsia="Times New Roman" w:hAnsi="Times New Roman" w:cs="Times New Roman"/>
          <w:sz w:val="24"/>
          <w:szCs w:val="24"/>
          <w:lang w:eastAsia="en-IN"/>
        </w:rPr>
        <w:t>Chowdappa</w:t>
      </w:r>
      <w:proofErr w:type="spellEnd"/>
      <w:r w:rsidRPr="00AA7EFB">
        <w:rPr>
          <w:rFonts w:ascii="Times New Roman" w:eastAsia="Times New Roman" w:hAnsi="Times New Roman" w:cs="Times New Roman"/>
          <w:sz w:val="24"/>
          <w:szCs w:val="24"/>
          <w:lang w:eastAsia="en-IN"/>
        </w:rPr>
        <w:t xml:space="preserve">, S. (2018). Evaluation of biological efficacy of </w:t>
      </w:r>
      <w:r w:rsidRPr="00AA7EFB">
        <w:rPr>
          <w:rFonts w:ascii="Times New Roman" w:eastAsia="Times New Roman" w:hAnsi="Times New Roman" w:cs="Times New Roman"/>
          <w:i/>
          <w:iCs/>
          <w:sz w:val="24"/>
          <w:szCs w:val="24"/>
          <w:lang w:eastAsia="en-IN"/>
        </w:rPr>
        <w:t xml:space="preserve">Trichoderma </w:t>
      </w:r>
      <w:proofErr w:type="spellStart"/>
      <w:r w:rsidRPr="00AA7EFB">
        <w:rPr>
          <w:rFonts w:ascii="Times New Roman" w:eastAsia="Times New Roman" w:hAnsi="Times New Roman" w:cs="Times New Roman"/>
          <w:i/>
          <w:iCs/>
          <w:sz w:val="24"/>
          <w:szCs w:val="24"/>
          <w:lang w:eastAsia="en-IN"/>
        </w:rPr>
        <w:t>asperellum</w:t>
      </w:r>
      <w:proofErr w:type="spellEnd"/>
      <w:r w:rsidRPr="00AA7EFB">
        <w:rPr>
          <w:rFonts w:ascii="Times New Roman" w:eastAsia="Times New Roman" w:hAnsi="Times New Roman" w:cs="Times New Roman"/>
          <w:sz w:val="24"/>
          <w:szCs w:val="24"/>
          <w:lang w:eastAsia="en-IN"/>
        </w:rPr>
        <w:t xml:space="preserve"> against tomato bacterial wilt caused by </w:t>
      </w:r>
      <w:r w:rsidRPr="00AA7EFB">
        <w:rPr>
          <w:rFonts w:ascii="Times New Roman" w:eastAsia="Times New Roman" w:hAnsi="Times New Roman" w:cs="Times New Roman"/>
          <w:i/>
          <w:iCs/>
          <w:sz w:val="24"/>
          <w:szCs w:val="24"/>
          <w:lang w:eastAsia="en-IN"/>
        </w:rPr>
        <w:t>Ralstonia solanacearum</w:t>
      </w:r>
      <w:r w:rsidRPr="00AA7EFB">
        <w:rPr>
          <w:rFonts w:ascii="Times New Roman" w:eastAsia="Times New Roman" w:hAnsi="Times New Roman" w:cs="Times New Roman"/>
          <w:sz w:val="24"/>
          <w:szCs w:val="24"/>
          <w:lang w:eastAsia="en-IN"/>
        </w:rPr>
        <w:t xml:space="preserve">. </w:t>
      </w:r>
      <w:r w:rsidRPr="00AA7EFB">
        <w:rPr>
          <w:rFonts w:ascii="Times New Roman" w:eastAsia="Times New Roman" w:hAnsi="Times New Roman" w:cs="Times New Roman"/>
          <w:i/>
          <w:iCs/>
          <w:sz w:val="24"/>
          <w:szCs w:val="24"/>
          <w:lang w:eastAsia="en-IN"/>
        </w:rPr>
        <w:t>Egyptian Journal of Biological Pest Control</w:t>
      </w:r>
      <w:r w:rsidRPr="00AA7EFB">
        <w:rPr>
          <w:rFonts w:ascii="Times New Roman" w:eastAsia="Times New Roman" w:hAnsi="Times New Roman" w:cs="Times New Roman"/>
          <w:sz w:val="24"/>
          <w:szCs w:val="24"/>
          <w:lang w:eastAsia="en-IN"/>
        </w:rPr>
        <w:t>, 28(1), 1–10.</w:t>
      </w:r>
    </w:p>
    <w:p w14:paraId="61394061" w14:textId="77777777" w:rsidR="00AA7EFB" w:rsidRPr="00AA7EFB" w:rsidRDefault="00AA7EFB"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AA7EFB">
        <w:rPr>
          <w:rFonts w:ascii="Times New Roman" w:eastAsia="Times New Roman" w:hAnsi="Times New Roman" w:cs="Times New Roman"/>
          <w:sz w:val="24"/>
          <w:szCs w:val="24"/>
          <w:lang w:eastAsia="en-IN"/>
        </w:rPr>
        <w:t xml:space="preserve">Kumar, S., Gowda, P. H. R., Saikia, B., Debbarma, J., Velmurugan, N. &amp; </w:t>
      </w:r>
      <w:proofErr w:type="spellStart"/>
      <w:r w:rsidRPr="00AA7EFB">
        <w:rPr>
          <w:rFonts w:ascii="Times New Roman" w:eastAsia="Times New Roman" w:hAnsi="Times New Roman" w:cs="Times New Roman"/>
          <w:sz w:val="24"/>
          <w:szCs w:val="24"/>
          <w:lang w:eastAsia="en-IN"/>
        </w:rPr>
        <w:t>Chikkaputtaiah</w:t>
      </w:r>
      <w:proofErr w:type="spellEnd"/>
      <w:r w:rsidRPr="00AA7EFB">
        <w:rPr>
          <w:rFonts w:ascii="Times New Roman" w:eastAsia="Times New Roman" w:hAnsi="Times New Roman" w:cs="Times New Roman"/>
          <w:sz w:val="24"/>
          <w:szCs w:val="24"/>
          <w:lang w:eastAsia="en-IN"/>
        </w:rPr>
        <w:t>, C. (2018). Screening of tomato genotypes against bacterial wilt (</w:t>
      </w:r>
      <w:r w:rsidRPr="00AA7EFB">
        <w:rPr>
          <w:rFonts w:ascii="Times New Roman" w:eastAsia="Times New Roman" w:hAnsi="Times New Roman" w:cs="Times New Roman"/>
          <w:i/>
          <w:iCs/>
          <w:sz w:val="24"/>
          <w:szCs w:val="24"/>
          <w:lang w:eastAsia="en-IN"/>
        </w:rPr>
        <w:t>Ralstonia solanacearum</w:t>
      </w:r>
      <w:r w:rsidRPr="00AA7EFB">
        <w:rPr>
          <w:rFonts w:ascii="Times New Roman" w:eastAsia="Times New Roman" w:hAnsi="Times New Roman" w:cs="Times New Roman"/>
          <w:sz w:val="24"/>
          <w:szCs w:val="24"/>
          <w:lang w:eastAsia="en-IN"/>
        </w:rPr>
        <w:t xml:space="preserve">) and validation of resistance-linked DNA markers. </w:t>
      </w:r>
      <w:r w:rsidRPr="00AA7EFB">
        <w:rPr>
          <w:rFonts w:ascii="Times New Roman" w:eastAsia="Times New Roman" w:hAnsi="Times New Roman" w:cs="Times New Roman"/>
          <w:i/>
          <w:iCs/>
          <w:sz w:val="24"/>
          <w:szCs w:val="24"/>
          <w:lang w:eastAsia="en-IN"/>
        </w:rPr>
        <w:t>Australasian Plant Pathology</w:t>
      </w:r>
      <w:r w:rsidRPr="00AA7EFB">
        <w:rPr>
          <w:rFonts w:ascii="Times New Roman" w:eastAsia="Times New Roman" w:hAnsi="Times New Roman" w:cs="Times New Roman"/>
          <w:sz w:val="24"/>
          <w:szCs w:val="24"/>
          <w:lang w:eastAsia="en-IN"/>
        </w:rPr>
        <w:t>, 47(5), 513–521.</w:t>
      </w:r>
    </w:p>
    <w:p w14:paraId="2E3450C8" w14:textId="77777777" w:rsidR="003B09AD" w:rsidRDefault="00AA7EFB" w:rsidP="003B09AD">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proofErr w:type="spellStart"/>
      <w:r w:rsidRPr="00AA7EFB">
        <w:rPr>
          <w:rFonts w:ascii="Times New Roman" w:eastAsia="Times New Roman" w:hAnsi="Times New Roman" w:cs="Times New Roman"/>
          <w:sz w:val="24"/>
          <w:szCs w:val="24"/>
          <w:lang w:eastAsia="en-IN"/>
        </w:rPr>
        <w:t>Mekonnen</w:t>
      </w:r>
      <w:proofErr w:type="spellEnd"/>
      <w:r w:rsidRPr="00AA7EFB">
        <w:rPr>
          <w:rFonts w:ascii="Times New Roman" w:eastAsia="Times New Roman" w:hAnsi="Times New Roman" w:cs="Times New Roman"/>
          <w:sz w:val="24"/>
          <w:szCs w:val="24"/>
          <w:lang w:eastAsia="en-IN"/>
        </w:rPr>
        <w:t xml:space="preserve">, H., </w:t>
      </w:r>
      <w:proofErr w:type="spellStart"/>
      <w:r w:rsidRPr="00AA7EFB">
        <w:rPr>
          <w:rFonts w:ascii="Times New Roman" w:eastAsia="Times New Roman" w:hAnsi="Times New Roman" w:cs="Times New Roman"/>
          <w:sz w:val="24"/>
          <w:szCs w:val="24"/>
          <w:lang w:eastAsia="en-IN"/>
        </w:rPr>
        <w:t>Kibret</w:t>
      </w:r>
      <w:proofErr w:type="spellEnd"/>
      <w:r w:rsidRPr="00AA7EFB">
        <w:rPr>
          <w:rFonts w:ascii="Times New Roman" w:eastAsia="Times New Roman" w:hAnsi="Times New Roman" w:cs="Times New Roman"/>
          <w:sz w:val="24"/>
          <w:szCs w:val="24"/>
          <w:lang w:eastAsia="en-IN"/>
        </w:rPr>
        <w:t xml:space="preserve">, M. &amp; Assefa, F. (2022). Isolation and characterization of </w:t>
      </w:r>
      <w:r w:rsidRPr="00AA7EFB">
        <w:rPr>
          <w:rFonts w:ascii="Times New Roman" w:eastAsia="Times New Roman" w:hAnsi="Times New Roman" w:cs="Times New Roman"/>
          <w:i/>
          <w:iCs/>
          <w:sz w:val="24"/>
          <w:szCs w:val="24"/>
          <w:lang w:eastAsia="en-IN"/>
        </w:rPr>
        <w:t>Ralstonia solanacearum</w:t>
      </w:r>
      <w:r w:rsidRPr="00AA7EFB">
        <w:rPr>
          <w:rFonts w:ascii="Times New Roman" w:eastAsia="Times New Roman" w:hAnsi="Times New Roman" w:cs="Times New Roman"/>
          <w:sz w:val="24"/>
          <w:szCs w:val="24"/>
          <w:lang w:eastAsia="en-IN"/>
        </w:rPr>
        <w:t xml:space="preserve"> causing wilt disease in tomato. </w:t>
      </w:r>
      <w:r w:rsidRPr="00AA7EFB">
        <w:rPr>
          <w:rFonts w:ascii="Times New Roman" w:eastAsia="Times New Roman" w:hAnsi="Times New Roman" w:cs="Times New Roman"/>
          <w:i/>
          <w:iCs/>
          <w:sz w:val="24"/>
          <w:szCs w:val="24"/>
          <w:lang w:eastAsia="en-IN"/>
        </w:rPr>
        <w:t>Archives of Phytopathology and Plant Protection</w:t>
      </w:r>
      <w:r w:rsidRPr="00AA7EFB">
        <w:rPr>
          <w:rFonts w:ascii="Times New Roman" w:eastAsia="Times New Roman" w:hAnsi="Times New Roman" w:cs="Times New Roman"/>
          <w:sz w:val="24"/>
          <w:szCs w:val="24"/>
          <w:lang w:eastAsia="en-IN"/>
        </w:rPr>
        <w:t>, 55(20), 2527–2542.</w:t>
      </w:r>
    </w:p>
    <w:p w14:paraId="441A00CF" w14:textId="0CA7BAF0" w:rsidR="003B09AD" w:rsidRPr="003B09AD" w:rsidRDefault="003B09AD" w:rsidP="003B09AD">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3B09AD">
        <w:rPr>
          <w:rStyle w:val="Strong"/>
          <w:rFonts w:ascii="Times New Roman" w:hAnsi="Times New Roman" w:cs="Times New Roman"/>
          <w:b w:val="0"/>
          <w:sz w:val="24"/>
          <w:szCs w:val="24"/>
          <w:highlight w:val="yellow"/>
        </w:rPr>
        <w:t>Ministry of Agriculture &amp; Farmers Welfare</w:t>
      </w:r>
      <w:r w:rsidRPr="003B09AD">
        <w:rPr>
          <w:rFonts w:ascii="Times New Roman" w:hAnsi="Times New Roman" w:cs="Times New Roman"/>
          <w:b/>
          <w:sz w:val="24"/>
          <w:szCs w:val="24"/>
          <w:highlight w:val="yellow"/>
        </w:rPr>
        <w:t xml:space="preserve">, </w:t>
      </w:r>
      <w:r>
        <w:rPr>
          <w:rFonts w:ascii="Times New Roman" w:hAnsi="Times New Roman" w:cs="Times New Roman"/>
          <w:b/>
          <w:sz w:val="24"/>
          <w:szCs w:val="24"/>
          <w:highlight w:val="yellow"/>
        </w:rPr>
        <w:t>(</w:t>
      </w:r>
      <w:r w:rsidRPr="003B09AD">
        <w:rPr>
          <w:rFonts w:ascii="Times New Roman" w:hAnsi="Times New Roman" w:cs="Times New Roman"/>
          <w:sz w:val="24"/>
          <w:szCs w:val="24"/>
          <w:highlight w:val="yellow"/>
        </w:rPr>
        <w:t>2022</w:t>
      </w:r>
      <w:r>
        <w:rPr>
          <w:rFonts w:ascii="Times New Roman" w:hAnsi="Times New Roman" w:cs="Times New Roman"/>
          <w:sz w:val="24"/>
          <w:szCs w:val="24"/>
          <w:highlight w:val="yellow"/>
        </w:rPr>
        <w:t>).</w:t>
      </w:r>
      <w:r w:rsidRPr="003B09AD">
        <w:rPr>
          <w:rFonts w:ascii="Times New Roman" w:hAnsi="Times New Roman" w:cs="Times New Roman"/>
          <w:sz w:val="24"/>
          <w:szCs w:val="24"/>
          <w:highlight w:val="yellow"/>
        </w:rPr>
        <w:t xml:space="preserve"> </w:t>
      </w:r>
      <w:r w:rsidRPr="003B09AD">
        <w:rPr>
          <w:rStyle w:val="Emphasis"/>
          <w:rFonts w:ascii="Times New Roman" w:hAnsi="Times New Roman" w:cs="Times New Roman"/>
          <w:sz w:val="24"/>
          <w:szCs w:val="24"/>
          <w:highlight w:val="yellow"/>
        </w:rPr>
        <w:t>Third advance estimates of area and production of horticultural crops for 2021–22</w:t>
      </w:r>
      <w:r w:rsidRPr="003B09AD">
        <w:rPr>
          <w:rFonts w:ascii="Times New Roman" w:hAnsi="Times New Roman" w:cs="Times New Roman"/>
          <w:sz w:val="24"/>
          <w:szCs w:val="24"/>
          <w:highlight w:val="yellow"/>
        </w:rPr>
        <w:t>. Government of India, New Delhi.</w:t>
      </w:r>
    </w:p>
    <w:p w14:paraId="630F9816" w14:textId="77777777" w:rsidR="00AA7EFB" w:rsidRPr="00AA7EFB" w:rsidRDefault="00AA7EFB" w:rsidP="009B3ADB">
      <w:pPr>
        <w:spacing w:before="100" w:beforeAutospacing="1" w:after="100" w:afterAutospacing="1" w:line="360" w:lineRule="auto"/>
        <w:ind w:left="720" w:hanging="720"/>
        <w:jc w:val="both"/>
        <w:rPr>
          <w:rFonts w:ascii="Times New Roman" w:eastAsia="Times New Roman" w:hAnsi="Times New Roman" w:cs="Times New Roman"/>
          <w:color w:val="FF0000"/>
          <w:sz w:val="24"/>
          <w:szCs w:val="24"/>
          <w:lang w:eastAsia="en-IN"/>
        </w:rPr>
      </w:pPr>
      <w:r w:rsidRPr="00AA7EFB">
        <w:rPr>
          <w:rFonts w:ascii="Times New Roman" w:hAnsi="Times New Roman" w:cs="Times New Roman"/>
          <w:sz w:val="24"/>
          <w:szCs w:val="24"/>
        </w:rPr>
        <w:t xml:space="preserve">Mitra, P. P. &amp; </w:t>
      </w:r>
      <w:proofErr w:type="spellStart"/>
      <w:r w:rsidRPr="00AA7EFB">
        <w:rPr>
          <w:rFonts w:ascii="Times New Roman" w:hAnsi="Times New Roman" w:cs="Times New Roman"/>
          <w:sz w:val="24"/>
          <w:szCs w:val="24"/>
        </w:rPr>
        <w:t>Loqué</w:t>
      </w:r>
      <w:proofErr w:type="spellEnd"/>
      <w:r w:rsidRPr="00AA7EFB">
        <w:rPr>
          <w:rFonts w:ascii="Times New Roman" w:hAnsi="Times New Roman" w:cs="Times New Roman"/>
          <w:sz w:val="24"/>
          <w:szCs w:val="24"/>
        </w:rPr>
        <w:t xml:space="preserve">, D. (2014). Histochemical staining of </w:t>
      </w:r>
      <w:r w:rsidRPr="00AA7EFB">
        <w:rPr>
          <w:rStyle w:val="Emphasis"/>
          <w:rFonts w:ascii="Times New Roman" w:hAnsi="Times New Roman" w:cs="Times New Roman"/>
          <w:sz w:val="24"/>
          <w:szCs w:val="24"/>
        </w:rPr>
        <w:t>Arabidopsis thaliana</w:t>
      </w:r>
      <w:r w:rsidRPr="00AA7EFB">
        <w:rPr>
          <w:rFonts w:ascii="Times New Roman" w:hAnsi="Times New Roman" w:cs="Times New Roman"/>
          <w:sz w:val="24"/>
          <w:szCs w:val="24"/>
        </w:rPr>
        <w:t xml:space="preserve"> secondary cell wall elements. </w:t>
      </w:r>
      <w:r w:rsidRPr="00AA7EFB">
        <w:rPr>
          <w:rStyle w:val="Emphasis"/>
          <w:rFonts w:ascii="Times New Roman" w:hAnsi="Times New Roman" w:cs="Times New Roman"/>
          <w:sz w:val="24"/>
          <w:szCs w:val="24"/>
        </w:rPr>
        <w:t>Journal of Visualized Experiments</w:t>
      </w:r>
      <w:r w:rsidRPr="00AA7EFB">
        <w:rPr>
          <w:rFonts w:ascii="Times New Roman" w:hAnsi="Times New Roman" w:cs="Times New Roman"/>
          <w:sz w:val="24"/>
          <w:szCs w:val="24"/>
        </w:rPr>
        <w:t>, 87, 51381.</w:t>
      </w:r>
    </w:p>
    <w:p w14:paraId="684A671F" w14:textId="77777777" w:rsidR="00AA7EFB" w:rsidRPr="00AA7EFB" w:rsidRDefault="00AA7EFB"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AA7EFB">
        <w:rPr>
          <w:rFonts w:ascii="Times New Roman" w:eastAsia="Times New Roman" w:hAnsi="Times New Roman" w:cs="Times New Roman"/>
          <w:sz w:val="24"/>
          <w:szCs w:val="24"/>
          <w:lang w:eastAsia="en-IN"/>
        </w:rPr>
        <w:t xml:space="preserve">Peng, S., Xu, Y., Qu, H., Nong, F., Shu, F., Yuan, G., Ruan, L. &amp; Zheng, D. (2024). Trojan Horse virus delivering CRISPR-AsCas12f1 controls plant bacterial wilt caused by </w:t>
      </w:r>
      <w:r w:rsidRPr="00AA7EFB">
        <w:rPr>
          <w:rFonts w:ascii="Times New Roman" w:eastAsia="Times New Roman" w:hAnsi="Times New Roman" w:cs="Times New Roman"/>
          <w:i/>
          <w:iCs/>
          <w:sz w:val="24"/>
          <w:szCs w:val="24"/>
          <w:lang w:eastAsia="en-IN"/>
        </w:rPr>
        <w:t>Ralstonia solanacearum</w:t>
      </w:r>
      <w:r w:rsidRPr="00AA7EFB">
        <w:rPr>
          <w:rFonts w:ascii="Times New Roman" w:eastAsia="Times New Roman" w:hAnsi="Times New Roman" w:cs="Times New Roman"/>
          <w:sz w:val="24"/>
          <w:szCs w:val="24"/>
          <w:lang w:eastAsia="en-IN"/>
        </w:rPr>
        <w:t xml:space="preserve">. </w:t>
      </w:r>
      <w:r w:rsidRPr="00AA7EFB">
        <w:rPr>
          <w:rFonts w:ascii="Times New Roman" w:eastAsia="Times New Roman" w:hAnsi="Times New Roman" w:cs="Times New Roman"/>
          <w:i/>
          <w:iCs/>
          <w:sz w:val="24"/>
          <w:szCs w:val="24"/>
          <w:lang w:eastAsia="en-IN"/>
        </w:rPr>
        <w:t>mBio</w:t>
      </w:r>
      <w:r w:rsidRPr="00AA7EFB">
        <w:rPr>
          <w:rFonts w:ascii="Times New Roman" w:eastAsia="Times New Roman" w:hAnsi="Times New Roman" w:cs="Times New Roman"/>
          <w:sz w:val="24"/>
          <w:szCs w:val="24"/>
          <w:lang w:eastAsia="en-IN"/>
        </w:rPr>
        <w:t>, 15(3), 45–52.</w:t>
      </w:r>
    </w:p>
    <w:p w14:paraId="0962F605" w14:textId="77777777" w:rsidR="00AA7EFB" w:rsidRPr="00AA7EFB" w:rsidRDefault="00AA7EFB" w:rsidP="00F30AF9">
      <w:pPr>
        <w:spacing w:before="100" w:beforeAutospacing="1" w:after="100" w:afterAutospacing="1" w:line="360" w:lineRule="auto"/>
        <w:ind w:left="720" w:hanging="720"/>
        <w:jc w:val="both"/>
        <w:rPr>
          <w:rFonts w:ascii="Times New Roman" w:eastAsia="Times New Roman" w:hAnsi="Times New Roman" w:cs="Times New Roman"/>
          <w:color w:val="FF0000"/>
          <w:sz w:val="24"/>
          <w:szCs w:val="24"/>
          <w:lang w:eastAsia="en-IN"/>
        </w:rPr>
      </w:pPr>
      <w:r w:rsidRPr="00AA7EFB">
        <w:rPr>
          <w:rFonts w:ascii="Times New Roman" w:eastAsia="Times New Roman" w:hAnsi="Times New Roman" w:cs="Times New Roman"/>
          <w:sz w:val="24"/>
          <w:szCs w:val="24"/>
          <w:lang w:eastAsia="en-IN"/>
        </w:rPr>
        <w:t>Rout, P. P.  (2015). Studies on the wilt disease complex in tomato (</w:t>
      </w:r>
      <w:r w:rsidRPr="00AA7EFB">
        <w:rPr>
          <w:rFonts w:ascii="Times New Roman" w:eastAsia="Times New Roman" w:hAnsi="Times New Roman" w:cs="Times New Roman"/>
          <w:i/>
          <w:iCs/>
          <w:sz w:val="24"/>
          <w:szCs w:val="24"/>
          <w:lang w:eastAsia="en-IN"/>
        </w:rPr>
        <w:t>Solanum lycopersicum</w:t>
      </w:r>
      <w:r w:rsidRPr="00AA7EFB">
        <w:rPr>
          <w:rFonts w:ascii="Times New Roman" w:eastAsia="Times New Roman" w:hAnsi="Times New Roman" w:cs="Times New Roman"/>
          <w:sz w:val="24"/>
          <w:szCs w:val="24"/>
          <w:lang w:eastAsia="en-IN"/>
        </w:rPr>
        <w:t xml:space="preserve"> L.) and its management (Ph.D. thesis). Orissa University of Agriculture and Technology, India. 210 p.</w:t>
      </w:r>
    </w:p>
    <w:p w14:paraId="3484C48E" w14:textId="77777777" w:rsidR="00AA7EFB" w:rsidRPr="00AA7EFB" w:rsidRDefault="00AA7EFB"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AA7EFB">
        <w:rPr>
          <w:rFonts w:ascii="Times New Roman" w:eastAsia="Times New Roman" w:hAnsi="Times New Roman" w:cs="Times New Roman"/>
          <w:sz w:val="24"/>
          <w:szCs w:val="24"/>
          <w:lang w:eastAsia="en-IN"/>
        </w:rPr>
        <w:t xml:space="preserve">Sabharwal, U., Kant, P., </w:t>
      </w:r>
      <w:proofErr w:type="spellStart"/>
      <w:r w:rsidRPr="00AA7EFB">
        <w:rPr>
          <w:rFonts w:ascii="Times New Roman" w:eastAsia="Times New Roman" w:hAnsi="Times New Roman" w:cs="Times New Roman"/>
          <w:sz w:val="24"/>
          <w:szCs w:val="24"/>
          <w:lang w:eastAsia="en-IN"/>
        </w:rPr>
        <w:t>Choure</w:t>
      </w:r>
      <w:proofErr w:type="spellEnd"/>
      <w:r w:rsidRPr="00AA7EFB">
        <w:rPr>
          <w:rFonts w:ascii="Times New Roman" w:eastAsia="Times New Roman" w:hAnsi="Times New Roman" w:cs="Times New Roman"/>
          <w:sz w:val="24"/>
          <w:szCs w:val="24"/>
          <w:lang w:eastAsia="en-IN"/>
        </w:rPr>
        <w:t xml:space="preserve">, K., Subramanian, R. B., Joo, J. C. &amp; Pandey, A. (2025). Investigating the effect of pipecolic acid on specialized metabolites involved in tomato plant defense mechanisms against </w:t>
      </w:r>
      <w:r w:rsidRPr="00AA7EFB">
        <w:rPr>
          <w:rFonts w:ascii="Times New Roman" w:eastAsia="Times New Roman" w:hAnsi="Times New Roman" w:cs="Times New Roman"/>
          <w:i/>
          <w:iCs/>
          <w:sz w:val="24"/>
          <w:szCs w:val="24"/>
          <w:lang w:eastAsia="en-IN"/>
        </w:rPr>
        <w:t>Ralstonia solanacearum</w:t>
      </w:r>
      <w:r w:rsidRPr="00AA7EFB">
        <w:rPr>
          <w:rFonts w:ascii="Times New Roman" w:eastAsia="Times New Roman" w:hAnsi="Times New Roman" w:cs="Times New Roman"/>
          <w:sz w:val="24"/>
          <w:szCs w:val="24"/>
          <w:lang w:eastAsia="en-IN"/>
        </w:rPr>
        <w:t xml:space="preserve"> wilt pathogens. </w:t>
      </w:r>
      <w:r w:rsidRPr="00AA7EFB">
        <w:rPr>
          <w:rFonts w:ascii="Times New Roman" w:eastAsia="Times New Roman" w:hAnsi="Times New Roman" w:cs="Times New Roman"/>
          <w:i/>
          <w:iCs/>
          <w:sz w:val="24"/>
          <w:szCs w:val="24"/>
          <w:lang w:eastAsia="en-IN"/>
        </w:rPr>
        <w:t>Analytica</w:t>
      </w:r>
      <w:r w:rsidRPr="00AA7EFB">
        <w:rPr>
          <w:rFonts w:ascii="Times New Roman" w:eastAsia="Times New Roman" w:hAnsi="Times New Roman" w:cs="Times New Roman"/>
          <w:sz w:val="24"/>
          <w:szCs w:val="24"/>
          <w:lang w:eastAsia="en-IN"/>
        </w:rPr>
        <w:t>, 6(1), 1–12.</w:t>
      </w:r>
    </w:p>
    <w:p w14:paraId="647551E7" w14:textId="77777777" w:rsidR="00AA7EFB" w:rsidRPr="00AA7EFB" w:rsidRDefault="00AA7EFB"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AA7EFB">
        <w:rPr>
          <w:rFonts w:ascii="Times New Roman" w:eastAsia="Times New Roman" w:hAnsi="Times New Roman" w:cs="Times New Roman"/>
          <w:sz w:val="24"/>
          <w:szCs w:val="24"/>
          <w:lang w:eastAsia="en-IN"/>
        </w:rPr>
        <w:t xml:space="preserve">Sankaran, S. S. P., Murugan, M., Shanthi, M., Thiyagarajan, E., </w:t>
      </w:r>
      <w:proofErr w:type="spellStart"/>
      <w:r w:rsidRPr="00AA7EFB">
        <w:rPr>
          <w:rFonts w:ascii="Times New Roman" w:eastAsia="Times New Roman" w:hAnsi="Times New Roman" w:cs="Times New Roman"/>
          <w:sz w:val="24"/>
          <w:szCs w:val="24"/>
          <w:lang w:eastAsia="en-IN"/>
        </w:rPr>
        <w:t>Kathithachalam</w:t>
      </w:r>
      <w:proofErr w:type="spellEnd"/>
      <w:r w:rsidRPr="00AA7EFB">
        <w:rPr>
          <w:rFonts w:ascii="Times New Roman" w:eastAsia="Times New Roman" w:hAnsi="Times New Roman" w:cs="Times New Roman"/>
          <w:sz w:val="24"/>
          <w:szCs w:val="24"/>
          <w:lang w:eastAsia="en-IN"/>
        </w:rPr>
        <w:t xml:space="preserve">, A., Karthikeyan, G., Gopal, A. V., Palanisamy, M., Manickam, R., Sotelo-Cardona, P., Oliva, R. &amp; Ramasamy, S. (2024). Evaluation of integrated pest and disease </w:t>
      </w:r>
      <w:r w:rsidRPr="00AA7EFB">
        <w:rPr>
          <w:rFonts w:ascii="Times New Roman" w:eastAsia="Times New Roman" w:hAnsi="Times New Roman" w:cs="Times New Roman"/>
          <w:sz w:val="24"/>
          <w:szCs w:val="24"/>
          <w:lang w:eastAsia="en-IN"/>
        </w:rPr>
        <w:lastRenderedPageBreak/>
        <w:t xml:space="preserve">management combinations against major insect pests and diseases of tomato in Tamil Nadu, India. </w:t>
      </w:r>
      <w:proofErr w:type="spellStart"/>
      <w:r w:rsidRPr="00AA7EFB">
        <w:rPr>
          <w:rFonts w:ascii="Times New Roman" w:eastAsia="Times New Roman" w:hAnsi="Times New Roman" w:cs="Times New Roman"/>
          <w:i/>
          <w:iCs/>
          <w:sz w:val="24"/>
          <w:szCs w:val="24"/>
          <w:lang w:eastAsia="en-IN"/>
        </w:rPr>
        <w:t>Horticulturae</w:t>
      </w:r>
      <w:proofErr w:type="spellEnd"/>
      <w:r w:rsidRPr="00AA7EFB">
        <w:rPr>
          <w:rFonts w:ascii="Times New Roman" w:eastAsia="Times New Roman" w:hAnsi="Times New Roman" w:cs="Times New Roman"/>
          <w:sz w:val="24"/>
          <w:szCs w:val="24"/>
          <w:lang w:eastAsia="en-IN"/>
        </w:rPr>
        <w:t>, 10(7), 766–774.</w:t>
      </w:r>
    </w:p>
    <w:p w14:paraId="03D3EE5A" w14:textId="77777777" w:rsidR="00AA7EFB" w:rsidRPr="00AA7EFB" w:rsidRDefault="00AA7EFB" w:rsidP="009B3ADB">
      <w:pPr>
        <w:spacing w:before="100" w:beforeAutospacing="1" w:after="100" w:afterAutospacing="1" w:line="360" w:lineRule="auto"/>
        <w:ind w:left="720" w:hanging="720"/>
        <w:jc w:val="both"/>
        <w:rPr>
          <w:rFonts w:ascii="Times New Roman" w:hAnsi="Times New Roman" w:cs="Times New Roman"/>
          <w:sz w:val="24"/>
          <w:szCs w:val="24"/>
        </w:rPr>
      </w:pPr>
      <w:r w:rsidRPr="00AA7EFB">
        <w:rPr>
          <w:rFonts w:ascii="Times New Roman" w:hAnsi="Times New Roman" w:cs="Times New Roman"/>
          <w:sz w:val="24"/>
          <w:szCs w:val="24"/>
          <w:highlight w:val="yellow"/>
        </w:rPr>
        <w:t xml:space="preserve">Shi, H., Chen, H., Yang, Y., Liu, Z., Li, W. &amp; Zhang, Z. (2023). Induced defense strategies of plants against </w:t>
      </w:r>
      <w:r w:rsidRPr="00AA7EFB">
        <w:rPr>
          <w:rStyle w:val="Emphasis"/>
          <w:rFonts w:ascii="Times New Roman" w:hAnsi="Times New Roman" w:cs="Times New Roman"/>
          <w:sz w:val="24"/>
          <w:szCs w:val="24"/>
          <w:highlight w:val="yellow"/>
        </w:rPr>
        <w:t>Ralstonia solanacearum</w:t>
      </w:r>
      <w:r w:rsidRPr="00AA7EFB">
        <w:rPr>
          <w:rFonts w:ascii="Times New Roman" w:hAnsi="Times New Roman" w:cs="Times New Roman"/>
          <w:sz w:val="24"/>
          <w:szCs w:val="24"/>
          <w:highlight w:val="yellow"/>
        </w:rPr>
        <w:t xml:space="preserve"> involve changes in cell wall components including lignin and suberin, </w:t>
      </w:r>
      <w:proofErr w:type="spellStart"/>
      <w:r w:rsidRPr="00AA7EFB">
        <w:rPr>
          <w:rFonts w:ascii="Times New Roman" w:hAnsi="Times New Roman" w:cs="Times New Roman"/>
          <w:sz w:val="24"/>
          <w:szCs w:val="24"/>
          <w:highlight w:val="yellow"/>
        </w:rPr>
        <w:t>callose</w:t>
      </w:r>
      <w:proofErr w:type="spellEnd"/>
      <w:r w:rsidRPr="00AA7EFB">
        <w:rPr>
          <w:rFonts w:ascii="Times New Roman" w:hAnsi="Times New Roman" w:cs="Times New Roman"/>
          <w:sz w:val="24"/>
          <w:szCs w:val="24"/>
          <w:highlight w:val="yellow"/>
        </w:rPr>
        <w:t xml:space="preserve">, and pit membrane reinforcement. </w:t>
      </w:r>
      <w:r w:rsidRPr="00AA7EFB">
        <w:rPr>
          <w:rFonts w:ascii="Times New Roman" w:hAnsi="Times New Roman" w:cs="Times New Roman"/>
          <w:i/>
          <w:sz w:val="24"/>
          <w:szCs w:val="24"/>
          <w:highlight w:val="yellow"/>
          <w:shd w:val="clear" w:color="auto" w:fill="F7F7F7"/>
        </w:rPr>
        <w:t>Frontiers in Microbiology</w:t>
      </w:r>
      <w:r w:rsidRPr="00AA7EFB">
        <w:rPr>
          <w:rFonts w:ascii="Times New Roman" w:hAnsi="Times New Roman" w:cs="Times New Roman"/>
          <w:sz w:val="24"/>
          <w:szCs w:val="24"/>
          <w:highlight w:val="yellow"/>
        </w:rPr>
        <w:t xml:space="preserve">, </w:t>
      </w:r>
      <w:r w:rsidRPr="00AA7EFB">
        <w:rPr>
          <w:rFonts w:ascii="Times New Roman" w:hAnsi="Times New Roman" w:cs="Times New Roman"/>
          <w:sz w:val="24"/>
          <w:szCs w:val="24"/>
          <w:highlight w:val="yellow"/>
          <w:shd w:val="clear" w:color="auto" w:fill="F7F7F7"/>
        </w:rPr>
        <w:t xml:space="preserve">14:1059799. </w:t>
      </w:r>
      <w:proofErr w:type="spellStart"/>
      <w:r w:rsidRPr="00AA7EFB">
        <w:rPr>
          <w:rFonts w:ascii="Times New Roman" w:hAnsi="Times New Roman" w:cs="Times New Roman"/>
          <w:sz w:val="24"/>
          <w:szCs w:val="24"/>
          <w:highlight w:val="yellow"/>
          <w:shd w:val="clear" w:color="auto" w:fill="F7F7F7"/>
        </w:rPr>
        <w:t>doi</w:t>
      </w:r>
      <w:proofErr w:type="spellEnd"/>
      <w:r w:rsidRPr="00AA7EFB">
        <w:rPr>
          <w:rFonts w:ascii="Times New Roman" w:hAnsi="Times New Roman" w:cs="Times New Roman"/>
          <w:sz w:val="24"/>
          <w:szCs w:val="24"/>
          <w:highlight w:val="yellow"/>
          <w:shd w:val="clear" w:color="auto" w:fill="F7F7F7"/>
        </w:rPr>
        <w:t>: 10.3389/fmicb.2023.1059799</w:t>
      </w:r>
    </w:p>
    <w:p w14:paraId="746BA798" w14:textId="77777777" w:rsidR="00AA7EFB" w:rsidRPr="00AA7EFB" w:rsidRDefault="00AA7EFB"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AA7EFB">
        <w:rPr>
          <w:rFonts w:ascii="Times New Roman" w:eastAsia="Times New Roman" w:hAnsi="Times New Roman" w:cs="Times New Roman"/>
          <w:sz w:val="24"/>
          <w:szCs w:val="24"/>
          <w:lang w:eastAsia="en-IN"/>
        </w:rPr>
        <w:t xml:space="preserve">Singh, N., Phukan, T., Sharma, P. L., Kabyashree, K., Barman, A., Kumar, R., Sonti, R. V., Genin, S. &amp; Ray, S. K. (2018). An innovative root inoculation method to study </w:t>
      </w:r>
      <w:r w:rsidRPr="00AA7EFB">
        <w:rPr>
          <w:rFonts w:ascii="Times New Roman" w:eastAsia="Times New Roman" w:hAnsi="Times New Roman" w:cs="Times New Roman"/>
          <w:i/>
          <w:iCs/>
          <w:sz w:val="24"/>
          <w:szCs w:val="24"/>
          <w:lang w:eastAsia="en-IN"/>
        </w:rPr>
        <w:t>Ralstonia solanacearum</w:t>
      </w:r>
      <w:r w:rsidRPr="00AA7EFB">
        <w:rPr>
          <w:rFonts w:ascii="Times New Roman" w:eastAsia="Times New Roman" w:hAnsi="Times New Roman" w:cs="Times New Roman"/>
          <w:sz w:val="24"/>
          <w:szCs w:val="24"/>
          <w:lang w:eastAsia="en-IN"/>
        </w:rPr>
        <w:t xml:space="preserve"> pathogenicity in tomato seedlings. </w:t>
      </w:r>
      <w:r w:rsidRPr="00AA7EFB">
        <w:rPr>
          <w:rFonts w:ascii="Times New Roman" w:eastAsia="Times New Roman" w:hAnsi="Times New Roman" w:cs="Times New Roman"/>
          <w:i/>
          <w:iCs/>
          <w:sz w:val="24"/>
          <w:szCs w:val="24"/>
          <w:lang w:eastAsia="en-IN"/>
        </w:rPr>
        <w:t>Phytopathology</w:t>
      </w:r>
      <w:r w:rsidRPr="00AA7EFB">
        <w:rPr>
          <w:rFonts w:ascii="Times New Roman" w:eastAsia="Times New Roman" w:hAnsi="Times New Roman" w:cs="Times New Roman"/>
          <w:sz w:val="24"/>
          <w:szCs w:val="24"/>
          <w:lang w:eastAsia="en-IN"/>
        </w:rPr>
        <w:t>, 108(4), 436–442.</w:t>
      </w:r>
    </w:p>
    <w:p w14:paraId="61095533" w14:textId="77777777" w:rsidR="00AA7EFB" w:rsidRPr="00AA7EFB" w:rsidRDefault="00AA7EFB"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AA7EFB">
        <w:rPr>
          <w:rFonts w:ascii="Times New Roman" w:eastAsia="Times New Roman" w:hAnsi="Times New Roman" w:cs="Times New Roman"/>
          <w:sz w:val="24"/>
          <w:szCs w:val="24"/>
          <w:lang w:eastAsia="en-IN"/>
        </w:rPr>
        <w:t xml:space="preserve">Solanki, B. &amp; Khan, M. S. (2024). Unveiling the efficacy of a bacterial antagonist in the management of tomato wilt disease caused by </w:t>
      </w:r>
      <w:r w:rsidRPr="00AA7EFB">
        <w:rPr>
          <w:rFonts w:ascii="Times New Roman" w:eastAsia="Times New Roman" w:hAnsi="Times New Roman" w:cs="Times New Roman"/>
          <w:i/>
          <w:iCs/>
          <w:sz w:val="24"/>
          <w:szCs w:val="24"/>
          <w:lang w:eastAsia="en-IN"/>
        </w:rPr>
        <w:t>Ralstonia solanacearum</w:t>
      </w:r>
      <w:r w:rsidRPr="00AA7EFB">
        <w:rPr>
          <w:rFonts w:ascii="Times New Roman" w:eastAsia="Times New Roman" w:hAnsi="Times New Roman" w:cs="Times New Roman"/>
          <w:sz w:val="24"/>
          <w:szCs w:val="24"/>
          <w:lang w:eastAsia="en-IN"/>
        </w:rPr>
        <w:t xml:space="preserve">. </w:t>
      </w:r>
      <w:r w:rsidRPr="00AA7EFB">
        <w:rPr>
          <w:rFonts w:ascii="Times New Roman" w:eastAsia="Times New Roman" w:hAnsi="Times New Roman" w:cs="Times New Roman"/>
          <w:i/>
          <w:iCs/>
          <w:sz w:val="24"/>
          <w:szCs w:val="24"/>
          <w:lang w:eastAsia="en-IN"/>
        </w:rPr>
        <w:t>Research on Crops</w:t>
      </w:r>
      <w:r w:rsidRPr="00AA7EFB">
        <w:rPr>
          <w:rFonts w:ascii="Times New Roman" w:eastAsia="Times New Roman" w:hAnsi="Times New Roman" w:cs="Times New Roman"/>
          <w:sz w:val="24"/>
          <w:szCs w:val="24"/>
          <w:lang w:eastAsia="en-IN"/>
        </w:rPr>
        <w:t>, 25(3), 102–110.</w:t>
      </w:r>
    </w:p>
    <w:p w14:paraId="3E165D6B" w14:textId="77777777" w:rsidR="00AA7EFB" w:rsidRPr="00AA7EFB" w:rsidRDefault="00AA7EFB"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proofErr w:type="spellStart"/>
      <w:r w:rsidRPr="00AA7EFB">
        <w:rPr>
          <w:rFonts w:ascii="Times New Roman" w:eastAsia="Times New Roman" w:hAnsi="Times New Roman" w:cs="Times New Roman"/>
          <w:sz w:val="24"/>
          <w:szCs w:val="24"/>
          <w:lang w:eastAsia="en-IN"/>
        </w:rPr>
        <w:t>Srinivasamurthy</w:t>
      </w:r>
      <w:proofErr w:type="spellEnd"/>
      <w:r w:rsidRPr="00AA7EFB">
        <w:rPr>
          <w:rFonts w:ascii="Times New Roman" w:eastAsia="Times New Roman" w:hAnsi="Times New Roman" w:cs="Times New Roman"/>
          <w:sz w:val="24"/>
          <w:szCs w:val="24"/>
          <w:lang w:eastAsia="en-IN"/>
        </w:rPr>
        <w:t xml:space="preserve">, R., Singh, J. P. &amp; Rai, A. K. (2014). Biological control of bacterial wilt disease-causing pathogens: A sustainable approach for increasing crop production. In: </w:t>
      </w:r>
      <w:r w:rsidRPr="00AA7EFB">
        <w:rPr>
          <w:rFonts w:ascii="Times New Roman" w:eastAsia="Times New Roman" w:hAnsi="Times New Roman" w:cs="Times New Roman"/>
          <w:i/>
          <w:iCs/>
          <w:sz w:val="24"/>
          <w:szCs w:val="24"/>
          <w:lang w:eastAsia="en-IN"/>
        </w:rPr>
        <w:t>Biological Control of Plant Diseases</w:t>
      </w:r>
      <w:r w:rsidRPr="00AA7EFB">
        <w:rPr>
          <w:rFonts w:ascii="Times New Roman" w:eastAsia="Times New Roman" w:hAnsi="Times New Roman" w:cs="Times New Roman"/>
          <w:sz w:val="24"/>
          <w:szCs w:val="24"/>
          <w:lang w:eastAsia="en-IN"/>
        </w:rPr>
        <w:t xml:space="preserve"> (pp. 535–546). Springer.</w:t>
      </w:r>
    </w:p>
    <w:p w14:paraId="7B0AAE2E" w14:textId="77777777" w:rsidR="00AA7EFB" w:rsidRPr="00AA7EFB" w:rsidRDefault="00AA7EFB"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AA7EFB">
        <w:rPr>
          <w:rFonts w:ascii="Times New Roman" w:eastAsia="Times New Roman" w:hAnsi="Times New Roman" w:cs="Times New Roman"/>
          <w:sz w:val="24"/>
          <w:szCs w:val="24"/>
          <w:lang w:eastAsia="en-IN"/>
        </w:rPr>
        <w:t xml:space="preserve">Subramanian, R. B. (2023). Variation in defense enzymes in GT-2 and GAT-5 varieties of tomato during infection with bacterial wilt disease in Central Gujarat, India. </w:t>
      </w:r>
      <w:r w:rsidRPr="00AA7EFB">
        <w:rPr>
          <w:rFonts w:ascii="Times New Roman" w:eastAsia="Times New Roman" w:hAnsi="Times New Roman" w:cs="Times New Roman"/>
          <w:i/>
          <w:iCs/>
          <w:sz w:val="24"/>
          <w:szCs w:val="24"/>
          <w:lang w:eastAsia="en-IN"/>
        </w:rPr>
        <w:t>Plant Stress</w:t>
      </w:r>
      <w:r w:rsidRPr="00AA7EFB">
        <w:rPr>
          <w:rFonts w:ascii="Times New Roman" w:eastAsia="Times New Roman" w:hAnsi="Times New Roman" w:cs="Times New Roman"/>
          <w:sz w:val="24"/>
          <w:szCs w:val="24"/>
          <w:lang w:eastAsia="en-IN"/>
        </w:rPr>
        <w:t>, 100, 160–168.</w:t>
      </w:r>
    </w:p>
    <w:sectPr w:rsidR="00AA7EFB" w:rsidRPr="00AA7EFB" w:rsidSect="00C1073C">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489F6" w14:textId="77777777" w:rsidR="00F70EC2" w:rsidRDefault="00F70EC2" w:rsidP="00C1073C">
      <w:pPr>
        <w:spacing w:after="0" w:line="240" w:lineRule="auto"/>
      </w:pPr>
      <w:r>
        <w:separator/>
      </w:r>
    </w:p>
  </w:endnote>
  <w:endnote w:type="continuationSeparator" w:id="0">
    <w:p w14:paraId="005D1557" w14:textId="77777777" w:rsidR="00F70EC2" w:rsidRDefault="00F70EC2" w:rsidP="00C10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E9DD0" w14:textId="77777777" w:rsidR="00C1073C" w:rsidRDefault="00C107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76AEB" w14:textId="77777777" w:rsidR="00C1073C" w:rsidRDefault="00C107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EBE20" w14:textId="77777777" w:rsidR="00C1073C" w:rsidRDefault="00C107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F8F4B" w14:textId="77777777" w:rsidR="00F70EC2" w:rsidRDefault="00F70EC2" w:rsidP="00C1073C">
      <w:pPr>
        <w:spacing w:after="0" w:line="240" w:lineRule="auto"/>
      </w:pPr>
      <w:r>
        <w:separator/>
      </w:r>
    </w:p>
  </w:footnote>
  <w:footnote w:type="continuationSeparator" w:id="0">
    <w:p w14:paraId="725E8DF2" w14:textId="77777777" w:rsidR="00F70EC2" w:rsidRDefault="00F70EC2" w:rsidP="00C10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14AA4" w14:textId="780538EF" w:rsidR="00C1073C" w:rsidRDefault="00F70EC2">
    <w:pPr>
      <w:pStyle w:val="Header"/>
    </w:pPr>
    <w:r>
      <w:rPr>
        <w:noProof/>
      </w:rPr>
      <w:pict w14:anchorId="5E86E4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76744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FBC46" w14:textId="2882A93D" w:rsidR="00C1073C" w:rsidRDefault="00F70EC2">
    <w:pPr>
      <w:pStyle w:val="Header"/>
    </w:pPr>
    <w:r>
      <w:rPr>
        <w:noProof/>
      </w:rPr>
      <w:pict w14:anchorId="0A0623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76744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4830B" w14:textId="1F28F972" w:rsidR="00C1073C" w:rsidRDefault="00F70EC2">
    <w:pPr>
      <w:pStyle w:val="Header"/>
    </w:pPr>
    <w:r>
      <w:rPr>
        <w:noProof/>
      </w:rPr>
      <w:pict w14:anchorId="11986A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76744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E60CD"/>
    <w:multiLevelType w:val="multilevel"/>
    <w:tmpl w:val="B1C41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7E1398"/>
    <w:multiLevelType w:val="multilevel"/>
    <w:tmpl w:val="BC907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23332B"/>
    <w:multiLevelType w:val="multilevel"/>
    <w:tmpl w:val="7B0E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1B008D"/>
    <w:multiLevelType w:val="hybridMultilevel"/>
    <w:tmpl w:val="7D9896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4AD2709"/>
    <w:multiLevelType w:val="multilevel"/>
    <w:tmpl w:val="86284D3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A2B71B3"/>
    <w:multiLevelType w:val="multilevel"/>
    <w:tmpl w:val="58288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D62645C"/>
    <w:multiLevelType w:val="hybridMultilevel"/>
    <w:tmpl w:val="427E28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0"/>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495"/>
    <w:rsid w:val="00015E1F"/>
    <w:rsid w:val="00024030"/>
    <w:rsid w:val="00024DFE"/>
    <w:rsid w:val="000A63F5"/>
    <w:rsid w:val="000B221D"/>
    <w:rsid w:val="000B4B99"/>
    <w:rsid w:val="001005C8"/>
    <w:rsid w:val="00104A99"/>
    <w:rsid w:val="00133888"/>
    <w:rsid w:val="001422DF"/>
    <w:rsid w:val="001D26F9"/>
    <w:rsid w:val="001F175C"/>
    <w:rsid w:val="002027A6"/>
    <w:rsid w:val="002041CB"/>
    <w:rsid w:val="00222E11"/>
    <w:rsid w:val="002606E4"/>
    <w:rsid w:val="0026513E"/>
    <w:rsid w:val="002C06FD"/>
    <w:rsid w:val="002E7532"/>
    <w:rsid w:val="003B09AD"/>
    <w:rsid w:val="003C4BF3"/>
    <w:rsid w:val="003C64D2"/>
    <w:rsid w:val="003F373D"/>
    <w:rsid w:val="00416495"/>
    <w:rsid w:val="00420719"/>
    <w:rsid w:val="00471FA7"/>
    <w:rsid w:val="004C65DC"/>
    <w:rsid w:val="005804BA"/>
    <w:rsid w:val="005C2AA8"/>
    <w:rsid w:val="005F02BA"/>
    <w:rsid w:val="00636A47"/>
    <w:rsid w:val="00697C89"/>
    <w:rsid w:val="006D33E6"/>
    <w:rsid w:val="00720EAB"/>
    <w:rsid w:val="007258CB"/>
    <w:rsid w:val="00740261"/>
    <w:rsid w:val="007B3045"/>
    <w:rsid w:val="008337E6"/>
    <w:rsid w:val="00854DF8"/>
    <w:rsid w:val="008B3A7C"/>
    <w:rsid w:val="008C33B9"/>
    <w:rsid w:val="008F0CD2"/>
    <w:rsid w:val="00906102"/>
    <w:rsid w:val="0094459F"/>
    <w:rsid w:val="00965DC6"/>
    <w:rsid w:val="009B3ADB"/>
    <w:rsid w:val="009C7995"/>
    <w:rsid w:val="00A57F5D"/>
    <w:rsid w:val="00A72E6C"/>
    <w:rsid w:val="00AA7EFB"/>
    <w:rsid w:val="00C1073C"/>
    <w:rsid w:val="00CB250B"/>
    <w:rsid w:val="00CE4A7B"/>
    <w:rsid w:val="00D00872"/>
    <w:rsid w:val="00D342DA"/>
    <w:rsid w:val="00D66C41"/>
    <w:rsid w:val="00DA4312"/>
    <w:rsid w:val="00DD6311"/>
    <w:rsid w:val="00DF38BA"/>
    <w:rsid w:val="00E009A3"/>
    <w:rsid w:val="00E9783A"/>
    <w:rsid w:val="00EA145E"/>
    <w:rsid w:val="00F215E1"/>
    <w:rsid w:val="00F30AF9"/>
    <w:rsid w:val="00F70EC2"/>
    <w:rsid w:val="00FD41DC"/>
    <w:rsid w:val="00FF0F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23A613"/>
  <w15:chartTrackingRefBased/>
  <w15:docId w15:val="{523EFB14-8D0A-442C-8364-5C5A8DEB6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2041CB"/>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2041C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22E11"/>
    <w:rPr>
      <w:i/>
      <w:iCs/>
    </w:rPr>
  </w:style>
  <w:style w:type="character" w:styleId="LineNumber">
    <w:name w:val="line number"/>
    <w:basedOn w:val="DefaultParagraphFont"/>
    <w:uiPriority w:val="99"/>
    <w:semiHidden/>
    <w:unhideWhenUsed/>
    <w:rsid w:val="00222E11"/>
  </w:style>
  <w:style w:type="character" w:customStyle="1" w:styleId="Heading2Char">
    <w:name w:val="Heading 2 Char"/>
    <w:basedOn w:val="DefaultParagraphFont"/>
    <w:link w:val="Heading2"/>
    <w:uiPriority w:val="9"/>
    <w:rsid w:val="002041CB"/>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2041CB"/>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2041CB"/>
    <w:rPr>
      <w:b/>
      <w:bCs/>
    </w:rPr>
  </w:style>
  <w:style w:type="paragraph" w:styleId="NormalWeb">
    <w:name w:val="Normal (Web)"/>
    <w:basedOn w:val="Normal"/>
    <w:uiPriority w:val="99"/>
    <w:unhideWhenUsed/>
    <w:rsid w:val="002041C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26513E"/>
    <w:rPr>
      <w:color w:val="0563C1" w:themeColor="hyperlink"/>
      <w:u w:val="single"/>
    </w:rPr>
  </w:style>
  <w:style w:type="character" w:styleId="UnresolvedMention">
    <w:name w:val="Unresolved Mention"/>
    <w:basedOn w:val="DefaultParagraphFont"/>
    <w:uiPriority w:val="99"/>
    <w:semiHidden/>
    <w:unhideWhenUsed/>
    <w:rsid w:val="0026513E"/>
    <w:rPr>
      <w:color w:val="605E5C"/>
      <w:shd w:val="clear" w:color="auto" w:fill="E1DFDD"/>
    </w:rPr>
  </w:style>
  <w:style w:type="paragraph" w:styleId="ListParagraph">
    <w:name w:val="List Paragraph"/>
    <w:basedOn w:val="Normal"/>
    <w:uiPriority w:val="34"/>
    <w:qFormat/>
    <w:rsid w:val="009B3ADB"/>
    <w:pPr>
      <w:ind w:left="720"/>
      <w:contextualSpacing/>
    </w:pPr>
  </w:style>
  <w:style w:type="paragraph" w:styleId="Header">
    <w:name w:val="header"/>
    <w:basedOn w:val="Normal"/>
    <w:link w:val="HeaderChar"/>
    <w:uiPriority w:val="99"/>
    <w:unhideWhenUsed/>
    <w:rsid w:val="00C107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73C"/>
  </w:style>
  <w:style w:type="paragraph" w:styleId="Footer">
    <w:name w:val="footer"/>
    <w:basedOn w:val="Normal"/>
    <w:link w:val="FooterChar"/>
    <w:uiPriority w:val="99"/>
    <w:unhideWhenUsed/>
    <w:rsid w:val="00C107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73C"/>
  </w:style>
  <w:style w:type="character" w:customStyle="1" w:styleId="ms-1">
    <w:name w:val="ms-1"/>
    <w:basedOn w:val="DefaultParagraphFont"/>
    <w:rsid w:val="00636A47"/>
  </w:style>
  <w:style w:type="character" w:customStyle="1" w:styleId="max-w-full">
    <w:name w:val="max-w-full"/>
    <w:basedOn w:val="DefaultParagraphFont"/>
    <w:rsid w:val="00636A47"/>
  </w:style>
  <w:style w:type="character" w:styleId="FollowedHyperlink">
    <w:name w:val="FollowedHyperlink"/>
    <w:basedOn w:val="DefaultParagraphFont"/>
    <w:uiPriority w:val="99"/>
    <w:semiHidden/>
    <w:unhideWhenUsed/>
    <w:rsid w:val="00636A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750565">
      <w:bodyDiv w:val="1"/>
      <w:marLeft w:val="0"/>
      <w:marRight w:val="0"/>
      <w:marTop w:val="0"/>
      <w:marBottom w:val="0"/>
      <w:divBdr>
        <w:top w:val="none" w:sz="0" w:space="0" w:color="auto"/>
        <w:left w:val="none" w:sz="0" w:space="0" w:color="auto"/>
        <w:bottom w:val="none" w:sz="0" w:space="0" w:color="auto"/>
        <w:right w:val="none" w:sz="0" w:space="0" w:color="auto"/>
      </w:divBdr>
    </w:div>
    <w:div w:id="765662390">
      <w:bodyDiv w:val="1"/>
      <w:marLeft w:val="0"/>
      <w:marRight w:val="0"/>
      <w:marTop w:val="0"/>
      <w:marBottom w:val="0"/>
      <w:divBdr>
        <w:top w:val="none" w:sz="0" w:space="0" w:color="auto"/>
        <w:left w:val="none" w:sz="0" w:space="0" w:color="auto"/>
        <w:bottom w:val="none" w:sz="0" w:space="0" w:color="auto"/>
        <w:right w:val="none" w:sz="0" w:space="0" w:color="auto"/>
      </w:divBdr>
    </w:div>
    <w:div w:id="775907975">
      <w:bodyDiv w:val="1"/>
      <w:marLeft w:val="0"/>
      <w:marRight w:val="0"/>
      <w:marTop w:val="0"/>
      <w:marBottom w:val="0"/>
      <w:divBdr>
        <w:top w:val="none" w:sz="0" w:space="0" w:color="auto"/>
        <w:left w:val="none" w:sz="0" w:space="0" w:color="auto"/>
        <w:bottom w:val="none" w:sz="0" w:space="0" w:color="auto"/>
        <w:right w:val="none" w:sz="0" w:space="0" w:color="auto"/>
      </w:divBdr>
    </w:div>
    <w:div w:id="835343494">
      <w:bodyDiv w:val="1"/>
      <w:marLeft w:val="0"/>
      <w:marRight w:val="0"/>
      <w:marTop w:val="0"/>
      <w:marBottom w:val="0"/>
      <w:divBdr>
        <w:top w:val="none" w:sz="0" w:space="0" w:color="auto"/>
        <w:left w:val="none" w:sz="0" w:space="0" w:color="auto"/>
        <w:bottom w:val="none" w:sz="0" w:space="0" w:color="auto"/>
        <w:right w:val="none" w:sz="0" w:space="0" w:color="auto"/>
      </w:divBdr>
    </w:div>
    <w:div w:id="916204606">
      <w:bodyDiv w:val="1"/>
      <w:marLeft w:val="0"/>
      <w:marRight w:val="0"/>
      <w:marTop w:val="0"/>
      <w:marBottom w:val="0"/>
      <w:divBdr>
        <w:top w:val="none" w:sz="0" w:space="0" w:color="auto"/>
        <w:left w:val="none" w:sz="0" w:space="0" w:color="auto"/>
        <w:bottom w:val="none" w:sz="0" w:space="0" w:color="auto"/>
        <w:right w:val="none" w:sz="0" w:space="0" w:color="auto"/>
      </w:divBdr>
    </w:div>
    <w:div w:id="1093939398">
      <w:bodyDiv w:val="1"/>
      <w:marLeft w:val="0"/>
      <w:marRight w:val="0"/>
      <w:marTop w:val="0"/>
      <w:marBottom w:val="0"/>
      <w:divBdr>
        <w:top w:val="none" w:sz="0" w:space="0" w:color="auto"/>
        <w:left w:val="none" w:sz="0" w:space="0" w:color="auto"/>
        <w:bottom w:val="none" w:sz="0" w:space="0" w:color="auto"/>
        <w:right w:val="none" w:sz="0" w:space="0" w:color="auto"/>
      </w:divBdr>
    </w:div>
    <w:div w:id="1298294116">
      <w:bodyDiv w:val="1"/>
      <w:marLeft w:val="0"/>
      <w:marRight w:val="0"/>
      <w:marTop w:val="0"/>
      <w:marBottom w:val="0"/>
      <w:divBdr>
        <w:top w:val="none" w:sz="0" w:space="0" w:color="auto"/>
        <w:left w:val="none" w:sz="0" w:space="0" w:color="auto"/>
        <w:bottom w:val="none" w:sz="0" w:space="0" w:color="auto"/>
        <w:right w:val="none" w:sz="0" w:space="0" w:color="auto"/>
      </w:divBdr>
    </w:div>
    <w:div w:id="1378433360">
      <w:bodyDiv w:val="1"/>
      <w:marLeft w:val="0"/>
      <w:marRight w:val="0"/>
      <w:marTop w:val="0"/>
      <w:marBottom w:val="0"/>
      <w:divBdr>
        <w:top w:val="none" w:sz="0" w:space="0" w:color="auto"/>
        <w:left w:val="none" w:sz="0" w:space="0" w:color="auto"/>
        <w:bottom w:val="none" w:sz="0" w:space="0" w:color="auto"/>
        <w:right w:val="none" w:sz="0" w:space="0" w:color="auto"/>
      </w:divBdr>
    </w:div>
    <w:div w:id="1540623856">
      <w:bodyDiv w:val="1"/>
      <w:marLeft w:val="0"/>
      <w:marRight w:val="0"/>
      <w:marTop w:val="0"/>
      <w:marBottom w:val="0"/>
      <w:divBdr>
        <w:top w:val="none" w:sz="0" w:space="0" w:color="auto"/>
        <w:left w:val="none" w:sz="0" w:space="0" w:color="auto"/>
        <w:bottom w:val="none" w:sz="0" w:space="0" w:color="auto"/>
        <w:right w:val="none" w:sz="0" w:space="0" w:color="auto"/>
      </w:divBdr>
    </w:div>
    <w:div w:id="1729953879">
      <w:bodyDiv w:val="1"/>
      <w:marLeft w:val="0"/>
      <w:marRight w:val="0"/>
      <w:marTop w:val="0"/>
      <w:marBottom w:val="0"/>
      <w:divBdr>
        <w:top w:val="none" w:sz="0" w:space="0" w:color="auto"/>
        <w:left w:val="none" w:sz="0" w:space="0" w:color="auto"/>
        <w:bottom w:val="none" w:sz="0" w:space="0" w:color="auto"/>
        <w:right w:val="none" w:sz="0" w:space="0" w:color="auto"/>
      </w:divBdr>
    </w:div>
    <w:div w:id="1764916327">
      <w:bodyDiv w:val="1"/>
      <w:marLeft w:val="0"/>
      <w:marRight w:val="0"/>
      <w:marTop w:val="0"/>
      <w:marBottom w:val="0"/>
      <w:divBdr>
        <w:top w:val="none" w:sz="0" w:space="0" w:color="auto"/>
        <w:left w:val="none" w:sz="0" w:space="0" w:color="auto"/>
        <w:bottom w:val="none" w:sz="0" w:space="0" w:color="auto"/>
        <w:right w:val="none" w:sz="0" w:space="0" w:color="auto"/>
      </w:divBdr>
    </w:div>
    <w:div w:id="2068214102">
      <w:bodyDiv w:val="1"/>
      <w:marLeft w:val="0"/>
      <w:marRight w:val="0"/>
      <w:marTop w:val="0"/>
      <w:marBottom w:val="0"/>
      <w:divBdr>
        <w:top w:val="none" w:sz="0" w:space="0" w:color="auto"/>
        <w:left w:val="none" w:sz="0" w:space="0" w:color="auto"/>
        <w:bottom w:val="none" w:sz="0" w:space="0" w:color="auto"/>
        <w:right w:val="none" w:sz="0" w:space="0" w:color="auto"/>
      </w:divBdr>
      <w:divsChild>
        <w:div w:id="175732257">
          <w:marLeft w:val="0"/>
          <w:marRight w:val="0"/>
          <w:marTop w:val="0"/>
          <w:marBottom w:val="0"/>
          <w:divBdr>
            <w:top w:val="none" w:sz="0" w:space="0" w:color="auto"/>
            <w:left w:val="none" w:sz="0" w:space="0" w:color="auto"/>
            <w:bottom w:val="none" w:sz="0" w:space="0" w:color="auto"/>
            <w:right w:val="none" w:sz="0" w:space="0" w:color="auto"/>
          </w:divBdr>
          <w:divsChild>
            <w:div w:id="33195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74553">
      <w:bodyDiv w:val="1"/>
      <w:marLeft w:val="0"/>
      <w:marRight w:val="0"/>
      <w:marTop w:val="0"/>
      <w:marBottom w:val="0"/>
      <w:divBdr>
        <w:top w:val="none" w:sz="0" w:space="0" w:color="auto"/>
        <w:left w:val="none" w:sz="0" w:space="0" w:color="auto"/>
        <w:bottom w:val="none" w:sz="0" w:space="0" w:color="auto"/>
        <w:right w:val="none" w:sz="0" w:space="0" w:color="auto"/>
      </w:divBdr>
    </w:div>
    <w:div w:id="213065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hyperlink" Target="https://doi.org/10.24018/ejfood.2021.3.5.277"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hyperlink" Target="https://scispace.com/papers/an-innovative-approach-to-study-ralstonia-solanacearum-40n20871nx" TargetMode="External"/><Relationship Id="rId19" Type="http://schemas.openxmlformats.org/officeDocument/2006/relationships/hyperlink" Target="https://doi.org/10.1111/nph.1798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25000</TotalTime>
  <Pages>15</Pages>
  <Words>4063</Words>
  <Characters>23163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1137</cp:lastModifiedBy>
  <cp:revision>30</cp:revision>
  <dcterms:created xsi:type="dcterms:W3CDTF">2025-03-03T04:48:00Z</dcterms:created>
  <dcterms:modified xsi:type="dcterms:W3CDTF">2025-09-25T10:00:00Z</dcterms:modified>
</cp:coreProperties>
</file>