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9636F" w14:textId="26284DC6" w:rsidR="002B630C" w:rsidRPr="00293B16" w:rsidRDefault="00277D15" w:rsidP="00277D15">
      <w:pPr>
        <w:spacing w:line="240" w:lineRule="auto"/>
        <w:jc w:val="center"/>
        <w:rPr>
          <w:rFonts w:ascii="Times New Roman" w:hAnsi="Times New Roman" w:cs="Times New Roman"/>
          <w:b/>
          <w:color w:val="000000"/>
          <w:sz w:val="24"/>
          <w:szCs w:val="24"/>
        </w:rPr>
      </w:pPr>
      <w:r w:rsidRPr="00293B16">
        <w:rPr>
          <w:rFonts w:ascii="Times New Roman" w:hAnsi="Times New Roman" w:cs="Times New Roman"/>
          <w:b/>
          <w:color w:val="000000"/>
          <w:sz w:val="24"/>
          <w:szCs w:val="24"/>
        </w:rPr>
        <w:t xml:space="preserve">INFLUENCE OF PGRs ON SPROUTING </w:t>
      </w:r>
      <w:r w:rsidR="003649F2" w:rsidRPr="00293B16">
        <w:rPr>
          <w:rFonts w:ascii="Times New Roman" w:hAnsi="Times New Roman" w:cs="Times New Roman"/>
          <w:b/>
          <w:color w:val="000000"/>
          <w:sz w:val="24"/>
          <w:szCs w:val="24"/>
        </w:rPr>
        <w:t xml:space="preserve">AND EARLY GROWTH </w:t>
      </w:r>
      <w:r w:rsidRPr="00293B16">
        <w:rPr>
          <w:rFonts w:ascii="Times New Roman" w:hAnsi="Times New Roman" w:cs="Times New Roman"/>
          <w:b/>
          <w:color w:val="000000"/>
          <w:sz w:val="24"/>
          <w:szCs w:val="24"/>
        </w:rPr>
        <w:t>OF GINGER SEED RHIZOMES IN PROTRAY NURSERY</w:t>
      </w:r>
    </w:p>
    <w:p w14:paraId="54BC3A15" w14:textId="43B27221" w:rsidR="002E7BA9" w:rsidRPr="00293B16" w:rsidRDefault="002B630C" w:rsidP="002E7BA9">
      <w:pPr>
        <w:jc w:val="both"/>
        <w:rPr>
          <w:rFonts w:ascii="Times New Roman" w:hAnsi="Times New Roman" w:cs="Times New Roman"/>
          <w:bCs/>
          <w:sz w:val="24"/>
          <w:szCs w:val="24"/>
        </w:rPr>
      </w:pPr>
      <w:r w:rsidRPr="00293B16">
        <w:rPr>
          <w:rFonts w:ascii="Times New Roman" w:hAnsi="Times New Roman" w:cs="Times New Roman"/>
          <w:bCs/>
          <w:sz w:val="24"/>
          <w:szCs w:val="24"/>
        </w:rPr>
        <w:t>Abstract:</w:t>
      </w:r>
    </w:p>
    <w:p w14:paraId="540D1FDA" w14:textId="77777777" w:rsidR="002E7BA9" w:rsidRPr="00293B16" w:rsidRDefault="002E7BA9" w:rsidP="002E7BA9">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The study evaluated the influence of plant growth regulators (PGRs) on sprouting and early growth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Rosc</w:t>
      </w:r>
      <w:proofErr w:type="spellEnd"/>
      <w:r w:rsidRPr="00293B16">
        <w:rPr>
          <w:rFonts w:ascii="Times New Roman" w:hAnsi="Times New Roman" w:cs="Times New Roman"/>
          <w:bCs/>
          <w:sz w:val="24"/>
          <w:szCs w:val="24"/>
          <w:lang w:val="en-IN"/>
        </w:rPr>
        <w:t xml:space="preserve">.) raised through </w:t>
      </w:r>
      <w:proofErr w:type="spellStart"/>
      <w:r w:rsidRPr="00293B16">
        <w:rPr>
          <w:rFonts w:ascii="Times New Roman" w:hAnsi="Times New Roman" w:cs="Times New Roman"/>
          <w:bCs/>
          <w:sz w:val="24"/>
          <w:szCs w:val="24"/>
          <w:lang w:val="en-IN"/>
        </w:rPr>
        <w:t>protray</w:t>
      </w:r>
      <w:proofErr w:type="spellEnd"/>
      <w:r w:rsidRPr="00293B16">
        <w:rPr>
          <w:rFonts w:ascii="Times New Roman" w:hAnsi="Times New Roman" w:cs="Times New Roman"/>
          <w:bCs/>
          <w:sz w:val="24"/>
          <w:szCs w:val="24"/>
          <w:lang w:val="en-IN"/>
        </w:rPr>
        <w:t xml:space="preserve"> nursery techniques. The experiment was conducted in a Completely Randomized Design (CRD) with seven treatments: IAA (1000 and 500 ppm), BA (1000 and 500 ppm), NAA (1000 and 500 ppm), and an untreated control. Observations on sprouting percentage, shoot traits (plant height, leaf length, leaf breadth, </w:t>
      </w:r>
      <w:proofErr w:type="spellStart"/>
      <w:r w:rsidRPr="00293B16">
        <w:rPr>
          <w:rFonts w:ascii="Times New Roman" w:hAnsi="Times New Roman" w:cs="Times New Roman"/>
          <w:bCs/>
          <w:sz w:val="24"/>
          <w:szCs w:val="24"/>
          <w:lang w:val="en-IN"/>
        </w:rPr>
        <w:t>pseudostem</w:t>
      </w:r>
      <w:proofErr w:type="spellEnd"/>
      <w:r w:rsidRPr="00293B16">
        <w:rPr>
          <w:rFonts w:ascii="Times New Roman" w:hAnsi="Times New Roman" w:cs="Times New Roman"/>
          <w:bCs/>
          <w:sz w:val="24"/>
          <w:szCs w:val="24"/>
          <w:lang w:val="en-IN"/>
        </w:rPr>
        <w:t xml:space="preserve"> girth) and root traits (number and length of roots) were recorded and </w:t>
      </w:r>
      <w:proofErr w:type="spellStart"/>
      <w:r w:rsidRPr="00293B16">
        <w:rPr>
          <w:rFonts w:ascii="Times New Roman" w:hAnsi="Times New Roman" w:cs="Times New Roman"/>
          <w:bCs/>
          <w:sz w:val="24"/>
          <w:szCs w:val="24"/>
          <w:lang w:val="en-IN"/>
        </w:rPr>
        <w:t>analyzed</w:t>
      </w:r>
      <w:proofErr w:type="spellEnd"/>
      <w:r w:rsidRPr="00293B16">
        <w:rPr>
          <w:rFonts w:ascii="Times New Roman" w:hAnsi="Times New Roman" w:cs="Times New Roman"/>
          <w:bCs/>
          <w:sz w:val="24"/>
          <w:szCs w:val="24"/>
          <w:lang w:val="en-IN"/>
        </w:rPr>
        <w:t>. Results revealed that BA at 500 ppm significantly enhanced sprouting (90.22%), promoted early emergence, and recorded the highest shoot and root growth parameters compared to other treatments. The improved performance is attributed to the cytokinin-mediated stimulation of lateral bud break and cell division. These findings suggest that BA 500 ppm is an effective pre-planting seed rhizome treatment for achieving uniform sprouting and vigorous seedling establishment in ginger. Optimizing nursery PGR protocols can enhance propagation efficiency and support sustainable ginger production.</w:t>
      </w:r>
    </w:p>
    <w:p w14:paraId="168BE170" w14:textId="77777777" w:rsidR="002E7BA9" w:rsidRPr="00293B16" w:rsidRDefault="002E7BA9" w:rsidP="002E7BA9">
      <w:pPr>
        <w:jc w:val="both"/>
        <w:rPr>
          <w:rFonts w:ascii="Times New Roman" w:hAnsi="Times New Roman" w:cs="Times New Roman"/>
          <w:bCs/>
          <w:sz w:val="24"/>
          <w:szCs w:val="24"/>
          <w:lang w:val="en-IN"/>
        </w:rPr>
      </w:pPr>
      <w:r w:rsidRPr="00293B16">
        <w:rPr>
          <w:rFonts w:ascii="Times New Roman" w:hAnsi="Times New Roman" w:cs="Times New Roman"/>
          <w:b/>
          <w:bCs/>
          <w:sz w:val="24"/>
          <w:szCs w:val="24"/>
          <w:lang w:val="en-IN"/>
        </w:rPr>
        <w:t>Keywords:</w:t>
      </w:r>
      <w:r w:rsidRPr="00293B16">
        <w:rPr>
          <w:rFonts w:ascii="Times New Roman" w:hAnsi="Times New Roman" w:cs="Times New Roman"/>
          <w:bCs/>
          <w:sz w:val="24"/>
          <w:szCs w:val="24"/>
          <w:lang w:val="en-IN"/>
        </w:rPr>
        <w:t xml:space="preserve"> Ginger, </w:t>
      </w:r>
      <w:proofErr w:type="spellStart"/>
      <w:r w:rsidRPr="00293B16">
        <w:rPr>
          <w:rFonts w:ascii="Times New Roman" w:hAnsi="Times New Roman" w:cs="Times New Roman"/>
          <w:bCs/>
          <w:sz w:val="24"/>
          <w:szCs w:val="24"/>
          <w:lang w:val="en-IN"/>
        </w:rPr>
        <w:t>Benzyladenine</w:t>
      </w:r>
      <w:proofErr w:type="spellEnd"/>
      <w:r w:rsidRPr="00293B16">
        <w:rPr>
          <w:rFonts w:ascii="Times New Roman" w:hAnsi="Times New Roman" w:cs="Times New Roman"/>
          <w:bCs/>
          <w:sz w:val="24"/>
          <w:szCs w:val="24"/>
          <w:lang w:val="en-IN"/>
        </w:rPr>
        <w:t xml:space="preserve">, Seed rhizomes, Sprouting, </w:t>
      </w:r>
      <w:proofErr w:type="spellStart"/>
      <w:r w:rsidRPr="00293B16">
        <w:rPr>
          <w:rFonts w:ascii="Times New Roman" w:hAnsi="Times New Roman" w:cs="Times New Roman"/>
          <w:bCs/>
          <w:sz w:val="24"/>
          <w:szCs w:val="24"/>
          <w:lang w:val="en-IN"/>
        </w:rPr>
        <w:t>Protray</w:t>
      </w:r>
      <w:proofErr w:type="spellEnd"/>
      <w:r w:rsidRPr="00293B16">
        <w:rPr>
          <w:rFonts w:ascii="Times New Roman" w:hAnsi="Times New Roman" w:cs="Times New Roman"/>
          <w:bCs/>
          <w:sz w:val="24"/>
          <w:szCs w:val="24"/>
          <w:lang w:val="en-IN"/>
        </w:rPr>
        <w:t xml:space="preserve"> nursery, Plant growth regulators</w:t>
      </w:r>
    </w:p>
    <w:p w14:paraId="3E3A4F9B" w14:textId="77777777" w:rsidR="00181176" w:rsidRPr="00293B16" w:rsidRDefault="00181176" w:rsidP="002752B3">
      <w:pPr>
        <w:jc w:val="both"/>
        <w:rPr>
          <w:rFonts w:ascii="Times New Roman" w:hAnsi="Times New Roman" w:cs="Times New Roman"/>
          <w:b/>
          <w:sz w:val="24"/>
          <w:szCs w:val="24"/>
        </w:rPr>
      </w:pPr>
      <w:r w:rsidRPr="00293B16">
        <w:rPr>
          <w:rFonts w:ascii="Times New Roman" w:hAnsi="Times New Roman" w:cs="Times New Roman"/>
          <w:b/>
          <w:sz w:val="24"/>
          <w:szCs w:val="24"/>
        </w:rPr>
        <w:t>Introduction:</w:t>
      </w:r>
    </w:p>
    <w:p w14:paraId="1C5FE700" w14:textId="77777777" w:rsidR="00C51016" w:rsidRPr="00293B16" w:rsidRDefault="00181176" w:rsidP="002752B3">
      <w:pPr>
        <w:jc w:val="both"/>
        <w:rPr>
          <w:rFonts w:ascii="Times New Roman" w:hAnsi="Times New Roman" w:cs="Times New Roman"/>
          <w:bCs/>
          <w:iCs/>
          <w:sz w:val="24"/>
          <w:szCs w:val="24"/>
        </w:rPr>
      </w:pPr>
      <w:r w:rsidRPr="00293B16">
        <w:rPr>
          <w:rFonts w:ascii="Times New Roman" w:hAnsi="Times New Roman" w:cs="Times New Roman"/>
          <w:bCs/>
          <w:sz w:val="24"/>
          <w:szCs w:val="24"/>
        </w:rPr>
        <w:tab/>
        <w:t xml:space="preserve">    India is endowed with a remarkably heterogeneous area characterized by a great diversity of </w:t>
      </w:r>
      <w:proofErr w:type="spellStart"/>
      <w:r w:rsidRPr="00293B16">
        <w:rPr>
          <w:rFonts w:ascii="Times New Roman" w:hAnsi="Times New Roman" w:cs="Times New Roman"/>
          <w:bCs/>
          <w:sz w:val="24"/>
          <w:szCs w:val="24"/>
        </w:rPr>
        <w:t>agro</w:t>
      </w:r>
      <w:proofErr w:type="spellEnd"/>
      <w:r w:rsidRPr="00293B16">
        <w:rPr>
          <w:rFonts w:ascii="Times New Roman" w:hAnsi="Times New Roman" w:cs="Times New Roman"/>
          <w:bCs/>
          <w:sz w:val="24"/>
          <w:szCs w:val="24"/>
        </w:rPr>
        <w:t xml:space="preserve"> climatic zones suitable for cultivation of various horticultural crops such as fruits, flowers, spices, vegetables, plantation crops, root and tuber crops, aromatic and medicinal crops.</w:t>
      </w:r>
      <w:r w:rsidRPr="00293B16">
        <w:rPr>
          <w:rFonts w:ascii="Times New Roman" w:hAnsi="Times New Roman" w:cs="Times New Roman"/>
          <w:bCs/>
          <w:i/>
          <w:sz w:val="24"/>
          <w:szCs w:val="24"/>
        </w:rPr>
        <w:t xml:space="preserve"> </w:t>
      </w:r>
      <w:r w:rsidR="00C51016" w:rsidRPr="00293B16">
        <w:rPr>
          <w:rFonts w:ascii="Times New Roman" w:hAnsi="Times New Roman" w:cs="Times New Roman"/>
          <w:bCs/>
          <w:i/>
          <w:sz w:val="24"/>
          <w:szCs w:val="24"/>
        </w:rPr>
        <w:t>Ginger (</w:t>
      </w:r>
      <w:proofErr w:type="spellStart"/>
      <w:r w:rsidR="00C51016" w:rsidRPr="00293B16">
        <w:rPr>
          <w:rFonts w:ascii="Times New Roman" w:hAnsi="Times New Roman" w:cs="Times New Roman"/>
          <w:bCs/>
          <w:i/>
          <w:iCs/>
          <w:sz w:val="24"/>
          <w:szCs w:val="24"/>
        </w:rPr>
        <w:t>Zingiber</w:t>
      </w:r>
      <w:proofErr w:type="spellEnd"/>
      <w:r w:rsidR="00C51016" w:rsidRPr="00293B16">
        <w:rPr>
          <w:rFonts w:ascii="Times New Roman" w:hAnsi="Times New Roman" w:cs="Times New Roman"/>
          <w:bCs/>
          <w:i/>
          <w:iCs/>
          <w:sz w:val="24"/>
          <w:szCs w:val="24"/>
        </w:rPr>
        <w:t xml:space="preserve"> </w:t>
      </w:r>
      <w:proofErr w:type="spellStart"/>
      <w:r w:rsidR="00C51016" w:rsidRPr="00293B16">
        <w:rPr>
          <w:rFonts w:ascii="Times New Roman" w:hAnsi="Times New Roman" w:cs="Times New Roman"/>
          <w:bCs/>
          <w:i/>
          <w:iCs/>
          <w:sz w:val="24"/>
          <w:szCs w:val="24"/>
        </w:rPr>
        <w:t>officinale</w:t>
      </w:r>
      <w:proofErr w:type="spellEnd"/>
      <w:r w:rsidR="00C51016" w:rsidRPr="00293B16">
        <w:rPr>
          <w:rFonts w:ascii="Times New Roman" w:hAnsi="Times New Roman" w:cs="Times New Roman"/>
          <w:bCs/>
          <w:i/>
          <w:sz w:val="24"/>
          <w:szCs w:val="24"/>
        </w:rPr>
        <w:t xml:space="preserve"> </w:t>
      </w:r>
      <w:proofErr w:type="spellStart"/>
      <w:r w:rsidR="00C51016" w:rsidRPr="00293B16">
        <w:rPr>
          <w:rFonts w:ascii="Times New Roman" w:hAnsi="Times New Roman" w:cs="Times New Roman"/>
          <w:bCs/>
          <w:i/>
          <w:sz w:val="24"/>
          <w:szCs w:val="24"/>
        </w:rPr>
        <w:t>Rosc</w:t>
      </w:r>
      <w:proofErr w:type="spellEnd"/>
      <w:r w:rsidR="00C51016" w:rsidRPr="00293B16">
        <w:rPr>
          <w:rFonts w:ascii="Times New Roman" w:hAnsi="Times New Roman" w:cs="Times New Roman"/>
          <w:bCs/>
          <w:iCs/>
          <w:sz w:val="24"/>
          <w:szCs w:val="24"/>
        </w:rPr>
        <w:t>.</w:t>
      </w:r>
      <w:r w:rsidR="00C51016" w:rsidRPr="00293B16">
        <w:rPr>
          <w:rFonts w:ascii="Times New Roman" w:hAnsi="Times New Roman" w:cs="Times New Roman"/>
          <w:bCs/>
          <w:i/>
          <w:sz w:val="24"/>
          <w:szCs w:val="24"/>
        </w:rPr>
        <w:t>)</w:t>
      </w:r>
      <w:r w:rsidR="00C51016" w:rsidRPr="00293B16">
        <w:rPr>
          <w:rFonts w:ascii="Times New Roman" w:hAnsi="Times New Roman" w:cs="Times New Roman"/>
          <w:bCs/>
          <w:iCs/>
          <w:sz w:val="24"/>
          <w:szCs w:val="24"/>
        </w:rPr>
        <w:t xml:space="preserve"> is one of the most important spice and medicinal crops cultivated across tropical and subtropical regions of the world. It is valued for its rhizomes, which contain bioactive compounds such as gingerols, shogaols and essential oils, widely used in food, pharmaceuticals, and nutraceutical industries (Ali </w:t>
      </w:r>
      <w:r w:rsidR="00C51016" w:rsidRPr="00293B16">
        <w:rPr>
          <w:rFonts w:ascii="Times New Roman" w:hAnsi="Times New Roman" w:cs="Times New Roman"/>
          <w:bCs/>
          <w:i/>
          <w:sz w:val="24"/>
          <w:szCs w:val="24"/>
        </w:rPr>
        <w:t>et al</w:t>
      </w:r>
      <w:r w:rsidR="00C51016" w:rsidRPr="00293B16">
        <w:rPr>
          <w:rFonts w:ascii="Times New Roman" w:hAnsi="Times New Roman" w:cs="Times New Roman"/>
          <w:bCs/>
          <w:iCs/>
          <w:sz w:val="24"/>
          <w:szCs w:val="24"/>
        </w:rPr>
        <w:t>., 2008). Achieving vigorous early growth and uniform plant establishment is critical for enhancing yield and quality in ginger cultivation.</w:t>
      </w:r>
    </w:p>
    <w:p w14:paraId="432C9D10" w14:textId="77777777" w:rsidR="000356E7" w:rsidRPr="00293B16" w:rsidRDefault="000356E7" w:rsidP="002752B3">
      <w:pPr>
        <w:jc w:val="both"/>
        <w:rPr>
          <w:rFonts w:ascii="Times New Roman" w:hAnsi="Times New Roman" w:cs="Times New Roman"/>
          <w:bCs/>
          <w:iCs/>
          <w:sz w:val="24"/>
          <w:szCs w:val="24"/>
          <w:lang w:val="en-IN"/>
        </w:rPr>
      </w:pPr>
      <w:r w:rsidRPr="00293B16">
        <w:rPr>
          <w:rFonts w:ascii="Times New Roman" w:hAnsi="Times New Roman" w:cs="Times New Roman"/>
          <w:bCs/>
          <w:iCs/>
          <w:sz w:val="24"/>
          <w:szCs w:val="24"/>
        </w:rPr>
        <w:tab/>
        <w:t xml:space="preserve">Conventional propagation of ginger through rhizome pieces often suffers from low multiplication rates, uneven sprouting, and higher disease transmission risks. Recently, </w:t>
      </w:r>
      <w:proofErr w:type="spellStart"/>
      <w:r w:rsidRPr="00293B16">
        <w:rPr>
          <w:rFonts w:ascii="Times New Roman" w:hAnsi="Times New Roman" w:cs="Times New Roman"/>
          <w:bCs/>
          <w:iCs/>
          <w:sz w:val="24"/>
          <w:szCs w:val="24"/>
        </w:rPr>
        <w:t>protray</w:t>
      </w:r>
      <w:proofErr w:type="spellEnd"/>
      <w:r w:rsidRPr="00293B16">
        <w:rPr>
          <w:rFonts w:ascii="Times New Roman" w:hAnsi="Times New Roman" w:cs="Times New Roman"/>
          <w:bCs/>
          <w:iCs/>
          <w:sz w:val="24"/>
          <w:szCs w:val="24"/>
        </w:rPr>
        <w:t xml:space="preserve">-based nursery techniques have been explored to improve seedling vigor and facilitate large-scale production of healthy planting material </w:t>
      </w:r>
      <w:r w:rsidRPr="00293B16">
        <w:rPr>
          <w:rFonts w:ascii="Times New Roman" w:hAnsi="Times New Roman" w:cs="Times New Roman"/>
          <w:bCs/>
          <w:iCs/>
          <w:sz w:val="24"/>
          <w:szCs w:val="24"/>
          <w:lang w:val="en-IN"/>
        </w:rPr>
        <w:t>(Bose et al., 2021). Optimizing nursery practices using plant growth regulators (PGRs) can further enhance germination, root development, and shoot elongation, thereby improving transplant success and crop performance.</w:t>
      </w:r>
    </w:p>
    <w:p w14:paraId="77C43207" w14:textId="77777777" w:rsidR="00277D15" w:rsidRPr="00293B16" w:rsidRDefault="000356E7" w:rsidP="00277D15">
      <w:pPr>
        <w:ind w:firstLine="720"/>
        <w:jc w:val="both"/>
        <w:rPr>
          <w:rFonts w:ascii="Times New Roman" w:hAnsi="Times New Roman" w:cs="Times New Roman"/>
          <w:bCs/>
          <w:iCs/>
          <w:sz w:val="24"/>
          <w:szCs w:val="24"/>
          <w:lang w:val="en-IN"/>
        </w:rPr>
      </w:pPr>
      <w:r w:rsidRPr="00293B16">
        <w:rPr>
          <w:rFonts w:ascii="Times New Roman" w:hAnsi="Times New Roman" w:cs="Times New Roman"/>
          <w:bCs/>
          <w:iCs/>
          <w:sz w:val="24"/>
          <w:szCs w:val="24"/>
          <w:lang w:val="en-IN"/>
        </w:rPr>
        <w:t xml:space="preserve">PGRs such as IAA, NAA and BA have been widely studied for their role in cell elongation, differentiation, and rhizome sprouting in several horticultural crops (Taiz &amp; Zeiger, 2015). However, limited studies have focused on their combined effects on ginger seedlings grown in </w:t>
      </w:r>
      <w:proofErr w:type="spellStart"/>
      <w:r w:rsidRPr="00293B16">
        <w:rPr>
          <w:rFonts w:ascii="Times New Roman" w:hAnsi="Times New Roman" w:cs="Times New Roman"/>
          <w:bCs/>
          <w:iCs/>
          <w:sz w:val="24"/>
          <w:szCs w:val="24"/>
          <w:lang w:val="en-IN"/>
        </w:rPr>
        <w:lastRenderedPageBreak/>
        <w:t>protrays</w:t>
      </w:r>
      <w:proofErr w:type="spellEnd"/>
      <w:r w:rsidRPr="00293B16">
        <w:rPr>
          <w:rFonts w:ascii="Times New Roman" w:hAnsi="Times New Roman" w:cs="Times New Roman"/>
          <w:bCs/>
          <w:iCs/>
          <w:sz w:val="24"/>
          <w:szCs w:val="24"/>
          <w:lang w:val="en-IN"/>
        </w:rPr>
        <w:t xml:space="preserve"> under controlled nursery conditions. Investigating the influence of PGRs on physiological and morphological traits in ginger could provide practical insights for improving propagation efficiency and subsequent field performance.</w:t>
      </w:r>
    </w:p>
    <w:p w14:paraId="7AC3B087" w14:textId="2552E266" w:rsidR="000356E7" w:rsidRPr="00293B16" w:rsidRDefault="000356E7" w:rsidP="00277D15">
      <w:pPr>
        <w:ind w:firstLine="720"/>
        <w:jc w:val="both"/>
        <w:rPr>
          <w:rFonts w:ascii="Times New Roman" w:hAnsi="Times New Roman" w:cs="Times New Roman"/>
          <w:bCs/>
          <w:iCs/>
          <w:sz w:val="24"/>
          <w:szCs w:val="24"/>
          <w:lang w:val="en-IN"/>
        </w:rPr>
      </w:pPr>
      <w:r w:rsidRPr="00293B16">
        <w:rPr>
          <w:rFonts w:ascii="Times New Roman" w:hAnsi="Times New Roman" w:cs="Times New Roman"/>
          <w:bCs/>
          <w:iCs/>
          <w:sz w:val="24"/>
          <w:szCs w:val="24"/>
        </w:rPr>
        <w:t xml:space="preserve">Hence, the present study aims to evaluate the effect of selected PGRs on growth and development of ginger seedlings raised through </w:t>
      </w:r>
      <w:proofErr w:type="spellStart"/>
      <w:r w:rsidRPr="00293B16">
        <w:rPr>
          <w:rFonts w:ascii="Times New Roman" w:hAnsi="Times New Roman" w:cs="Times New Roman"/>
          <w:bCs/>
          <w:iCs/>
          <w:sz w:val="24"/>
          <w:szCs w:val="24"/>
        </w:rPr>
        <w:t>protrays</w:t>
      </w:r>
      <w:proofErr w:type="spellEnd"/>
      <w:r w:rsidRPr="00293B16">
        <w:rPr>
          <w:rFonts w:ascii="Times New Roman" w:hAnsi="Times New Roman" w:cs="Times New Roman"/>
          <w:bCs/>
          <w:iCs/>
          <w:sz w:val="24"/>
          <w:szCs w:val="24"/>
        </w:rPr>
        <w:t>, focusing on parameters such as sprouting percentage, root and shoot growth, and seedling vigor index. The outcomes may contribute towards developing efficient nursery protocols for sustainable ginger production.</w:t>
      </w:r>
    </w:p>
    <w:p w14:paraId="6032B5EA" w14:textId="3CC0219E" w:rsidR="007A4F2D" w:rsidRPr="00293B16" w:rsidRDefault="007A4F2D" w:rsidP="002752B3">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t>Review of Literature</w:t>
      </w:r>
      <w:r w:rsidR="00277D15" w:rsidRPr="00293B16">
        <w:rPr>
          <w:rFonts w:ascii="Times New Roman" w:hAnsi="Times New Roman" w:cs="Times New Roman"/>
          <w:b/>
          <w:sz w:val="24"/>
          <w:szCs w:val="24"/>
          <w:lang w:val="en-IN"/>
        </w:rPr>
        <w:t>:</w:t>
      </w:r>
    </w:p>
    <w:p w14:paraId="268AD60E" w14:textId="77777777" w:rsidR="003D56E8" w:rsidRPr="003D56E8" w:rsidRDefault="003D56E8" w:rsidP="003D56E8">
      <w:pPr>
        <w:ind w:firstLine="720"/>
        <w:jc w:val="both"/>
        <w:rPr>
          <w:rFonts w:ascii="Times New Roman" w:hAnsi="Times New Roman" w:cs="Times New Roman"/>
          <w:bCs/>
          <w:sz w:val="24"/>
          <w:szCs w:val="24"/>
          <w:lang w:val="en-IN"/>
        </w:rPr>
      </w:pPr>
      <w:r w:rsidRPr="003D56E8">
        <w:rPr>
          <w:rFonts w:ascii="Times New Roman" w:hAnsi="Times New Roman" w:cs="Times New Roman"/>
          <w:bCs/>
          <w:sz w:val="24"/>
          <w:szCs w:val="24"/>
          <w:lang w:val="en-IN"/>
        </w:rPr>
        <w:t>The use of plant growth regulators (PGRs) in nursery and field management of ginger (</w:t>
      </w:r>
      <w:proofErr w:type="spellStart"/>
      <w:r w:rsidRPr="003D56E8">
        <w:rPr>
          <w:rFonts w:ascii="Times New Roman" w:hAnsi="Times New Roman" w:cs="Times New Roman"/>
          <w:bCs/>
          <w:i/>
          <w:iCs/>
          <w:sz w:val="24"/>
          <w:szCs w:val="24"/>
          <w:lang w:val="en-IN"/>
        </w:rPr>
        <w:t>Zingiber</w:t>
      </w:r>
      <w:proofErr w:type="spellEnd"/>
      <w:r w:rsidRPr="003D56E8">
        <w:rPr>
          <w:rFonts w:ascii="Times New Roman" w:hAnsi="Times New Roman" w:cs="Times New Roman"/>
          <w:bCs/>
          <w:i/>
          <w:iCs/>
          <w:sz w:val="24"/>
          <w:szCs w:val="24"/>
          <w:lang w:val="en-IN"/>
        </w:rPr>
        <w:t xml:space="preserve"> </w:t>
      </w:r>
      <w:proofErr w:type="spellStart"/>
      <w:r w:rsidRPr="003D56E8">
        <w:rPr>
          <w:rFonts w:ascii="Times New Roman" w:hAnsi="Times New Roman" w:cs="Times New Roman"/>
          <w:bCs/>
          <w:i/>
          <w:iCs/>
          <w:sz w:val="24"/>
          <w:szCs w:val="24"/>
          <w:lang w:val="en-IN"/>
        </w:rPr>
        <w:t>officinale</w:t>
      </w:r>
      <w:proofErr w:type="spellEnd"/>
      <w:r w:rsidRPr="003D56E8">
        <w:rPr>
          <w:rFonts w:ascii="Times New Roman" w:hAnsi="Times New Roman" w:cs="Times New Roman"/>
          <w:bCs/>
          <w:sz w:val="24"/>
          <w:szCs w:val="24"/>
          <w:lang w:val="en-IN"/>
        </w:rPr>
        <w:t xml:space="preserve"> </w:t>
      </w:r>
      <w:proofErr w:type="spellStart"/>
      <w:r w:rsidRPr="003D56E8">
        <w:rPr>
          <w:rFonts w:ascii="Times New Roman" w:hAnsi="Times New Roman" w:cs="Times New Roman"/>
          <w:bCs/>
          <w:sz w:val="24"/>
          <w:szCs w:val="24"/>
          <w:lang w:val="en-IN"/>
        </w:rPr>
        <w:t>Rosc</w:t>
      </w:r>
      <w:proofErr w:type="spellEnd"/>
      <w:r w:rsidRPr="003D56E8">
        <w:rPr>
          <w:rFonts w:ascii="Times New Roman" w:hAnsi="Times New Roman" w:cs="Times New Roman"/>
          <w:bCs/>
          <w:sz w:val="24"/>
          <w:szCs w:val="24"/>
          <w:lang w:val="en-IN"/>
        </w:rPr>
        <w:t xml:space="preserve">.) has gained considerable attention in recent years due to their potential role in improving sprouting efficiency, seedling </w:t>
      </w:r>
      <w:proofErr w:type="spellStart"/>
      <w:r w:rsidRPr="003D56E8">
        <w:rPr>
          <w:rFonts w:ascii="Times New Roman" w:hAnsi="Times New Roman" w:cs="Times New Roman"/>
          <w:bCs/>
          <w:sz w:val="24"/>
          <w:szCs w:val="24"/>
          <w:lang w:val="en-IN"/>
        </w:rPr>
        <w:t>vigor</w:t>
      </w:r>
      <w:proofErr w:type="spellEnd"/>
      <w:r w:rsidRPr="003D56E8">
        <w:rPr>
          <w:rFonts w:ascii="Times New Roman" w:hAnsi="Times New Roman" w:cs="Times New Roman"/>
          <w:bCs/>
          <w:sz w:val="24"/>
          <w:szCs w:val="24"/>
          <w:lang w:val="en-IN"/>
        </w:rPr>
        <w:t xml:space="preserve">, and ultimately rhizome yield. Ginger, a major spice crop cultivated for its aromatic rhizomes, is conventionally propagated using seed rhizomes, which are bulky, disease-prone, and associated with low multiplication rates. A significant challenge in conventional propagation is the slow and uneven sprouting of rhizome buds, often leading to non-uniform crop stands in the field. This limitation not only affects seed efficiency but also reduces the overall productivity of the crop. To overcome these constraints, research has increasingly focused on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-based nursery systems, combined with PGR applications, as a viable strategy for producing vigorous and uniform seedlings (ICAR-IISR, 2021; Kerala Agricultural University, 2020).</w:t>
      </w:r>
    </w:p>
    <w:p w14:paraId="3742AA55" w14:textId="77777777" w:rsidR="003D56E8" w:rsidRPr="003D56E8" w:rsidRDefault="003D56E8" w:rsidP="003D56E8">
      <w:pPr>
        <w:ind w:firstLine="720"/>
        <w:jc w:val="both"/>
        <w:rPr>
          <w:rFonts w:ascii="Times New Roman" w:hAnsi="Times New Roman" w:cs="Times New Roman"/>
          <w:bCs/>
          <w:sz w:val="24"/>
          <w:szCs w:val="24"/>
          <w:lang w:val="en-IN"/>
        </w:rPr>
      </w:pP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 xml:space="preserve"> nursery technology using single-bud rhizome segments represents a major advancement in ginger propagation. Unlike traditional methods where whole or cut rhizomes are planted directly in the field,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 xml:space="preserve"> nurseries allow for the efficient use of seed material by generating multiple seedlings from a single rhizome. This approach significantly enhances seed multiplication rates while reducing the quantity of planting material required. Moreover, the use of sterilized potting media in portrays minimizes soil-borne diseases and ensures the production of healthy seedlings. However, the success of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-based nurseries is heavily dependent on achieving rapid and uniform sprouting of buds, an aspect that remains a major challenge in ginger cultivation (</w:t>
      </w:r>
      <w:proofErr w:type="spellStart"/>
      <w:r w:rsidRPr="003D56E8">
        <w:rPr>
          <w:rFonts w:ascii="Times New Roman" w:hAnsi="Times New Roman" w:cs="Times New Roman"/>
          <w:bCs/>
          <w:sz w:val="24"/>
          <w:szCs w:val="24"/>
          <w:lang w:val="en-IN"/>
        </w:rPr>
        <w:t>Sathyan</w:t>
      </w:r>
      <w:proofErr w:type="spellEnd"/>
      <w:r w:rsidRPr="003D56E8">
        <w:rPr>
          <w:rFonts w:ascii="Times New Roman" w:hAnsi="Times New Roman" w:cs="Times New Roman"/>
          <w:bCs/>
          <w:sz w:val="24"/>
          <w:szCs w:val="24"/>
          <w:lang w:val="en-IN"/>
        </w:rPr>
        <w:t xml:space="preserve"> et al., 2018).</w:t>
      </w:r>
    </w:p>
    <w:p w14:paraId="138D5127" w14:textId="77777777" w:rsidR="003D56E8" w:rsidRPr="003D56E8" w:rsidRDefault="003D56E8" w:rsidP="003D56E8">
      <w:pPr>
        <w:ind w:firstLine="720"/>
        <w:jc w:val="both"/>
        <w:rPr>
          <w:rFonts w:ascii="Times New Roman" w:hAnsi="Times New Roman" w:cs="Times New Roman"/>
          <w:bCs/>
          <w:sz w:val="24"/>
          <w:szCs w:val="24"/>
          <w:lang w:val="en-IN"/>
        </w:rPr>
      </w:pPr>
      <w:r w:rsidRPr="003D56E8">
        <w:rPr>
          <w:rFonts w:ascii="Times New Roman" w:hAnsi="Times New Roman" w:cs="Times New Roman"/>
          <w:bCs/>
          <w:sz w:val="24"/>
          <w:szCs w:val="24"/>
          <w:lang w:val="en-IN"/>
        </w:rPr>
        <w:t xml:space="preserve">In this context, PGRs such as </w:t>
      </w:r>
      <w:proofErr w:type="spellStart"/>
      <w:r w:rsidRPr="003D56E8">
        <w:rPr>
          <w:rFonts w:ascii="Times New Roman" w:hAnsi="Times New Roman" w:cs="Times New Roman"/>
          <w:bCs/>
          <w:sz w:val="24"/>
          <w:szCs w:val="24"/>
          <w:lang w:val="en-IN"/>
        </w:rPr>
        <w:t>cytokinins</w:t>
      </w:r>
      <w:proofErr w:type="spellEnd"/>
      <w:r w:rsidRPr="003D56E8">
        <w:rPr>
          <w:rFonts w:ascii="Times New Roman" w:hAnsi="Times New Roman" w:cs="Times New Roman"/>
          <w:bCs/>
          <w:sz w:val="24"/>
          <w:szCs w:val="24"/>
          <w:lang w:val="en-IN"/>
        </w:rPr>
        <w:t xml:space="preserve">, auxins, and gibberellins have shown promise in modulating physiological processes involved in bud break, shoot initiation, and root development. Benzyl adenine (BA), a synthetic cytokinin, has been particularly effective in promoting sprouting by stimulating cell division, breaking apical dominance, and encouraging lateral bud development. Similarly, auxins like indole-3-acetic acid (IAA) and naphthalene acetic acid (NAA) are known to enhance root initiation and early seedling establishment, while gibberellic acid (GA₃) has been widely reported to break dormancy and accelerate sprouting in rhizomatous crops (Kumar et al., 2010; Priya et al., 2019). When applied as pre-sowing rhizome treatments or foliar sprays in </w:t>
      </w:r>
      <w:r w:rsidRPr="003D56E8">
        <w:rPr>
          <w:rFonts w:ascii="Times New Roman" w:hAnsi="Times New Roman" w:cs="Times New Roman"/>
          <w:bCs/>
          <w:sz w:val="24"/>
          <w:szCs w:val="24"/>
          <w:lang w:val="en-IN"/>
        </w:rPr>
        <w:lastRenderedPageBreak/>
        <w:t xml:space="preserve">nurseries, these PGRs can significantly improve sprouting percentage, reduce the time taken for bud emergence, and enhance the </w:t>
      </w:r>
      <w:proofErr w:type="spellStart"/>
      <w:r w:rsidRPr="003D56E8">
        <w:rPr>
          <w:rFonts w:ascii="Times New Roman" w:hAnsi="Times New Roman" w:cs="Times New Roman"/>
          <w:bCs/>
          <w:sz w:val="24"/>
          <w:szCs w:val="24"/>
          <w:lang w:val="en-IN"/>
        </w:rPr>
        <w:t>vigor</w:t>
      </w:r>
      <w:proofErr w:type="spellEnd"/>
      <w:r w:rsidRPr="003D56E8">
        <w:rPr>
          <w:rFonts w:ascii="Times New Roman" w:hAnsi="Times New Roman" w:cs="Times New Roman"/>
          <w:bCs/>
          <w:sz w:val="24"/>
          <w:szCs w:val="24"/>
          <w:lang w:val="en-IN"/>
        </w:rPr>
        <w:t xml:space="preserve"> of seedlings (Rani </w:t>
      </w:r>
      <w:r w:rsidRPr="003D56E8">
        <w:rPr>
          <w:rFonts w:ascii="Times New Roman" w:hAnsi="Times New Roman" w:cs="Times New Roman"/>
          <w:bCs/>
          <w:i/>
          <w:iCs/>
          <w:sz w:val="24"/>
          <w:szCs w:val="24"/>
          <w:lang w:val="en-IN"/>
        </w:rPr>
        <w:t>et al.</w:t>
      </w:r>
      <w:r w:rsidRPr="003D56E8">
        <w:rPr>
          <w:rFonts w:ascii="Times New Roman" w:hAnsi="Times New Roman" w:cs="Times New Roman"/>
          <w:bCs/>
          <w:sz w:val="24"/>
          <w:szCs w:val="24"/>
          <w:lang w:val="en-IN"/>
        </w:rPr>
        <w:t>, 2020).</w:t>
      </w:r>
    </w:p>
    <w:p w14:paraId="2F6F0994" w14:textId="77777777" w:rsidR="003D56E8" w:rsidRPr="003D56E8" w:rsidRDefault="003D56E8" w:rsidP="003D56E8">
      <w:pPr>
        <w:ind w:firstLine="720"/>
        <w:jc w:val="both"/>
        <w:rPr>
          <w:rFonts w:ascii="Times New Roman" w:hAnsi="Times New Roman" w:cs="Times New Roman"/>
          <w:bCs/>
          <w:sz w:val="24"/>
          <w:szCs w:val="24"/>
          <w:lang w:val="en-IN"/>
        </w:rPr>
      </w:pPr>
      <w:r w:rsidRPr="003D56E8">
        <w:rPr>
          <w:rFonts w:ascii="Times New Roman" w:hAnsi="Times New Roman" w:cs="Times New Roman"/>
          <w:bCs/>
          <w:sz w:val="24"/>
          <w:szCs w:val="24"/>
          <w:lang w:val="en-IN"/>
        </w:rPr>
        <w:t xml:space="preserve">The integration of PGRs with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 xml:space="preserve"> nursery systems therefore represents a sustainable and cost-effective strategy for ginger cultivation. By ensuring rapid and uniform sprouting, farmers can raise healthy, vigorous seedlings that establish quickly in the main field, leading to better crop stand and higher productivity. Furthermore, uniform seedlings allow for synchronized growth and ease of management, which is particularly beneficial for large-scale commercial cultivation. Studies conducted at ICAR-IISR and Kerala Agricultural University have highlighted the potential of this technology to reduce the seed rate by up to 70%, while simultaneously improving plant health and rhizome yield (ICAR-IISR, 2021; Kerala Agricultural University, 2020).</w:t>
      </w:r>
    </w:p>
    <w:p w14:paraId="6DABE113" w14:textId="77777777" w:rsidR="00E90E18" w:rsidRPr="00293B16" w:rsidRDefault="00E90E18" w:rsidP="002752B3">
      <w:pPr>
        <w:ind w:firstLine="720"/>
        <w:jc w:val="both"/>
        <w:rPr>
          <w:rFonts w:ascii="Times New Roman" w:hAnsi="Times New Roman" w:cs="Times New Roman"/>
          <w:bCs/>
          <w:sz w:val="24"/>
          <w:szCs w:val="24"/>
        </w:rPr>
      </w:pPr>
      <w:proofErr w:type="spellStart"/>
      <w:r w:rsidRPr="00293B16">
        <w:rPr>
          <w:rFonts w:ascii="Times New Roman" w:hAnsi="Times New Roman" w:cs="Times New Roman"/>
          <w:bCs/>
          <w:sz w:val="24"/>
          <w:szCs w:val="24"/>
        </w:rPr>
        <w:t>Cytokinins</w:t>
      </w:r>
      <w:proofErr w:type="spellEnd"/>
      <w:r w:rsidRPr="00293B16">
        <w:rPr>
          <w:rFonts w:ascii="Times New Roman" w:hAnsi="Times New Roman" w:cs="Times New Roman"/>
          <w:bCs/>
          <w:sz w:val="24"/>
          <w:szCs w:val="24"/>
        </w:rPr>
        <w:t xml:space="preserve"> such as Benzyl Adenine (BA) play an important role in regulating shoot initiation, bud break, and overall vegetative growth in ginger. When applied in </w:t>
      </w:r>
      <w:proofErr w:type="spellStart"/>
      <w:r w:rsidRPr="00293B16">
        <w:rPr>
          <w:rFonts w:ascii="Times New Roman" w:hAnsi="Times New Roman" w:cs="Times New Roman"/>
          <w:bCs/>
          <w:sz w:val="24"/>
          <w:szCs w:val="24"/>
        </w:rPr>
        <w:t>protray</w:t>
      </w:r>
      <w:proofErr w:type="spellEnd"/>
      <w:r w:rsidRPr="00293B16">
        <w:rPr>
          <w:rFonts w:ascii="Times New Roman" w:hAnsi="Times New Roman" w:cs="Times New Roman"/>
          <w:bCs/>
          <w:sz w:val="24"/>
          <w:szCs w:val="24"/>
        </w:rPr>
        <w:t xml:space="preserve">-raised seedlings and later during transplanting, BA has been found to enhance the vigor and uniformity of plants. Foliar application of BA at appropriate concentrations stimulates the growth of additional tillers and increases the number of leaves per plant, which directly contributes to better canopy development. This is particularly important in ginger raised through single-bud rhizome propagation, where the number of sprouting buds is naturally limited. By stimulating dormant buds and encouraging lateral growth, BA ensures that each plant achieves a more robust and balanced structure. A well-developed canopy not only supports higher photosynthetic activity but also leads to better nutrient uptake and overall plant health. </w:t>
      </w:r>
    </w:p>
    <w:p w14:paraId="725EAC95" w14:textId="59174B2D" w:rsidR="00F017B5" w:rsidRPr="00293B16" w:rsidRDefault="00E90E18" w:rsidP="002752B3">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Moreover, improved shoot proliferation in the early growth stages ensures greater crop uniformity and higher productivity potential at maturity. Thus, the strategic use of BA as a foliar spray at multiple stages of growth can effectively compensate for the inherent limitations of single-node propagation and contribute to stronger, healthier, and more productive ginger plants under </w:t>
      </w:r>
      <w:proofErr w:type="spellStart"/>
      <w:r w:rsidRPr="00293B16">
        <w:rPr>
          <w:rFonts w:ascii="Times New Roman" w:hAnsi="Times New Roman" w:cs="Times New Roman"/>
          <w:bCs/>
          <w:sz w:val="24"/>
          <w:szCs w:val="24"/>
        </w:rPr>
        <w:t>protray</w:t>
      </w:r>
      <w:proofErr w:type="spellEnd"/>
      <w:r w:rsidRPr="00293B16">
        <w:rPr>
          <w:rFonts w:ascii="Times New Roman" w:hAnsi="Times New Roman" w:cs="Times New Roman"/>
          <w:bCs/>
          <w:sz w:val="24"/>
          <w:szCs w:val="24"/>
        </w:rPr>
        <w:t xml:space="preserve"> nursery and field </w:t>
      </w:r>
      <w:proofErr w:type="gramStart"/>
      <w:r w:rsidRPr="00293B16">
        <w:rPr>
          <w:rFonts w:ascii="Times New Roman" w:hAnsi="Times New Roman" w:cs="Times New Roman"/>
          <w:bCs/>
          <w:sz w:val="24"/>
          <w:szCs w:val="24"/>
        </w:rPr>
        <w:t>conditions.</w:t>
      </w:r>
      <w:r w:rsidR="00F017B5" w:rsidRPr="00293B16">
        <w:rPr>
          <w:rFonts w:ascii="Times New Roman" w:hAnsi="Times New Roman" w:cs="Times New Roman"/>
          <w:bCs/>
          <w:sz w:val="24"/>
          <w:szCs w:val="24"/>
          <w:lang w:val="en-IN"/>
        </w:rPr>
        <w:t>Auxins</w:t>
      </w:r>
      <w:proofErr w:type="gramEnd"/>
      <w:r w:rsidR="00F017B5" w:rsidRPr="00293B16">
        <w:rPr>
          <w:rFonts w:ascii="Times New Roman" w:hAnsi="Times New Roman" w:cs="Times New Roman"/>
          <w:bCs/>
          <w:sz w:val="24"/>
          <w:szCs w:val="24"/>
          <w:lang w:val="en-IN"/>
        </w:rPr>
        <w:t xml:space="preserve"> (IAA and NAA) are well-known for their roles in root initiation and elongation. While there is limited literature on their direct use in </w:t>
      </w:r>
      <w:proofErr w:type="spellStart"/>
      <w:r w:rsidR="00F017B5" w:rsidRPr="00293B16">
        <w:rPr>
          <w:rFonts w:ascii="Times New Roman" w:hAnsi="Times New Roman" w:cs="Times New Roman"/>
          <w:bCs/>
          <w:sz w:val="24"/>
          <w:szCs w:val="24"/>
          <w:lang w:val="en-IN"/>
        </w:rPr>
        <w:t>protray</w:t>
      </w:r>
      <w:proofErr w:type="spellEnd"/>
      <w:r w:rsidR="00F017B5" w:rsidRPr="00293B16">
        <w:rPr>
          <w:rFonts w:ascii="Times New Roman" w:hAnsi="Times New Roman" w:cs="Times New Roman"/>
          <w:bCs/>
          <w:sz w:val="24"/>
          <w:szCs w:val="24"/>
          <w:lang w:val="en-IN"/>
        </w:rPr>
        <w:t xml:space="preserve">-raised ginger seedlings, several in-vitro studies demonstrate their relevance. Abdullah </w:t>
      </w:r>
      <w:r w:rsidR="00F017B5" w:rsidRPr="00293B16">
        <w:rPr>
          <w:rFonts w:ascii="Times New Roman" w:hAnsi="Times New Roman" w:cs="Times New Roman"/>
          <w:bCs/>
          <w:i/>
          <w:iCs/>
          <w:sz w:val="24"/>
          <w:szCs w:val="24"/>
          <w:lang w:val="en-IN"/>
        </w:rPr>
        <w:t>et al</w:t>
      </w:r>
      <w:r w:rsidR="00F017B5" w:rsidRPr="00293B16">
        <w:rPr>
          <w:rFonts w:ascii="Times New Roman" w:hAnsi="Times New Roman" w:cs="Times New Roman"/>
          <w:bCs/>
          <w:sz w:val="24"/>
          <w:szCs w:val="24"/>
          <w:lang w:val="en-IN"/>
        </w:rPr>
        <w:t xml:space="preserve">. (2021) observed that NAA (7.5 µM) was more effective than IAA or IBA for root induction in ginger </w:t>
      </w:r>
      <w:proofErr w:type="spellStart"/>
      <w:r w:rsidR="00F017B5" w:rsidRPr="00293B16">
        <w:rPr>
          <w:rFonts w:ascii="Times New Roman" w:hAnsi="Times New Roman" w:cs="Times New Roman"/>
          <w:bCs/>
          <w:sz w:val="24"/>
          <w:szCs w:val="24"/>
          <w:lang w:val="en-IN"/>
        </w:rPr>
        <w:t>microshoots</w:t>
      </w:r>
      <w:proofErr w:type="spellEnd"/>
      <w:r w:rsidR="00F017B5" w:rsidRPr="00293B16">
        <w:rPr>
          <w:rFonts w:ascii="Times New Roman" w:hAnsi="Times New Roman" w:cs="Times New Roman"/>
          <w:bCs/>
          <w:sz w:val="24"/>
          <w:szCs w:val="24"/>
          <w:lang w:val="en-IN"/>
        </w:rPr>
        <w:t xml:space="preserve">, resulting in greater root length and number. Similarly, BAP combined with low concentrations of NAA or IAA improved shoot proliferation in ginger and related </w:t>
      </w:r>
      <w:proofErr w:type="spellStart"/>
      <w:r w:rsidR="00F017B5" w:rsidRPr="00293B16">
        <w:rPr>
          <w:rFonts w:ascii="Times New Roman" w:hAnsi="Times New Roman" w:cs="Times New Roman"/>
          <w:bCs/>
          <w:sz w:val="24"/>
          <w:szCs w:val="24"/>
          <w:lang w:val="en-IN"/>
        </w:rPr>
        <w:t>Zingiberaceae</w:t>
      </w:r>
      <w:proofErr w:type="spellEnd"/>
      <w:r w:rsidR="00F017B5" w:rsidRPr="00293B16">
        <w:rPr>
          <w:rFonts w:ascii="Times New Roman" w:hAnsi="Times New Roman" w:cs="Times New Roman"/>
          <w:bCs/>
          <w:sz w:val="24"/>
          <w:szCs w:val="24"/>
          <w:lang w:val="en-IN"/>
        </w:rPr>
        <w:t xml:space="preserve"> species (</w:t>
      </w:r>
      <w:proofErr w:type="spellStart"/>
      <w:r w:rsidR="00F017B5" w:rsidRPr="00293B16">
        <w:rPr>
          <w:rFonts w:ascii="Times New Roman" w:hAnsi="Times New Roman" w:cs="Times New Roman"/>
          <w:bCs/>
          <w:sz w:val="24"/>
          <w:szCs w:val="24"/>
          <w:lang w:val="en-IN"/>
        </w:rPr>
        <w:t>Jin</w:t>
      </w:r>
      <w:proofErr w:type="spellEnd"/>
      <w:r w:rsidR="00F017B5" w:rsidRPr="00293B16">
        <w:rPr>
          <w:rFonts w:ascii="Times New Roman" w:hAnsi="Times New Roman" w:cs="Times New Roman"/>
          <w:bCs/>
          <w:sz w:val="24"/>
          <w:szCs w:val="24"/>
          <w:lang w:val="en-IN"/>
        </w:rPr>
        <w:t xml:space="preserve"> </w:t>
      </w:r>
      <w:r w:rsidR="00F017B5" w:rsidRPr="00293B16">
        <w:rPr>
          <w:rFonts w:ascii="Times New Roman" w:hAnsi="Times New Roman" w:cs="Times New Roman"/>
          <w:bCs/>
          <w:i/>
          <w:iCs/>
          <w:sz w:val="24"/>
          <w:szCs w:val="24"/>
          <w:lang w:val="en-IN"/>
        </w:rPr>
        <w:t>et al</w:t>
      </w:r>
      <w:r w:rsidR="00F017B5" w:rsidRPr="00293B16">
        <w:rPr>
          <w:rFonts w:ascii="Times New Roman" w:hAnsi="Times New Roman" w:cs="Times New Roman"/>
          <w:bCs/>
          <w:sz w:val="24"/>
          <w:szCs w:val="24"/>
          <w:lang w:val="en-IN"/>
        </w:rPr>
        <w:t>., 2022). These findings highlight the potential benefit of applying auxins during the nursery stage to enhance root development and transplant success, although on-tray studies are scarce.</w:t>
      </w:r>
    </w:p>
    <w:p w14:paraId="350FBE80" w14:textId="77777777" w:rsidR="00F017B5" w:rsidRPr="00293B16" w:rsidRDefault="00F017B5" w:rsidP="002752B3">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Earlier field research also supports the responsiveness of ginger to PGRs. Sengupta et al. (2008) found significant improvements in rhizome production with PGR applications (mainly GA₃, CCC, and </w:t>
      </w:r>
      <w:proofErr w:type="spellStart"/>
      <w:r w:rsidRPr="00293B16">
        <w:rPr>
          <w:rFonts w:ascii="Times New Roman" w:hAnsi="Times New Roman" w:cs="Times New Roman"/>
          <w:bCs/>
          <w:sz w:val="24"/>
          <w:szCs w:val="24"/>
          <w:lang w:val="en-IN"/>
        </w:rPr>
        <w:t>ethrel</w:t>
      </w:r>
      <w:proofErr w:type="spellEnd"/>
      <w:r w:rsidRPr="00293B16">
        <w:rPr>
          <w:rFonts w:ascii="Times New Roman" w:hAnsi="Times New Roman" w:cs="Times New Roman"/>
          <w:bCs/>
          <w:sz w:val="24"/>
          <w:szCs w:val="24"/>
          <w:lang w:val="en-IN"/>
        </w:rPr>
        <w:t>), indicating that ginger growth is strongly modifiable by exogenous hormones.</w:t>
      </w:r>
    </w:p>
    <w:p w14:paraId="31ADB1FB" w14:textId="3BEA91E7" w:rsidR="00732F86" w:rsidRPr="00293B16" w:rsidRDefault="00732F86" w:rsidP="002752B3">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lastRenderedPageBreak/>
        <w:t>Materials and Methods:</w:t>
      </w:r>
    </w:p>
    <w:p w14:paraId="7357DA43" w14:textId="13AF47A3" w:rsidR="00732F86" w:rsidRPr="00293B16" w:rsidRDefault="00732F86" w:rsidP="002752B3">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ab/>
        <w:t xml:space="preserve">The Experiment was conducted at the garden land of </w:t>
      </w:r>
      <w:proofErr w:type="spellStart"/>
      <w:r w:rsidRPr="00293B16">
        <w:rPr>
          <w:rFonts w:ascii="Times New Roman" w:hAnsi="Times New Roman" w:cs="Times New Roman"/>
          <w:bCs/>
          <w:sz w:val="24"/>
          <w:szCs w:val="24"/>
          <w:lang w:val="en-IN"/>
        </w:rPr>
        <w:t>Dhanalakshmi</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Srnivasan</w:t>
      </w:r>
      <w:proofErr w:type="spellEnd"/>
      <w:r w:rsidRPr="00293B16">
        <w:rPr>
          <w:rFonts w:ascii="Times New Roman" w:hAnsi="Times New Roman" w:cs="Times New Roman"/>
          <w:bCs/>
          <w:sz w:val="24"/>
          <w:szCs w:val="24"/>
          <w:lang w:val="en-IN"/>
        </w:rPr>
        <w:t xml:space="preserve"> University, </w:t>
      </w:r>
      <w:proofErr w:type="spellStart"/>
      <w:r w:rsidRPr="00293B16">
        <w:rPr>
          <w:rFonts w:ascii="Times New Roman" w:hAnsi="Times New Roman" w:cs="Times New Roman"/>
          <w:bCs/>
          <w:sz w:val="24"/>
          <w:szCs w:val="24"/>
          <w:lang w:val="en-IN"/>
        </w:rPr>
        <w:t>Samayapuram</w:t>
      </w:r>
      <w:proofErr w:type="spellEnd"/>
      <w:r w:rsidRPr="00293B16">
        <w:rPr>
          <w:rFonts w:ascii="Times New Roman" w:hAnsi="Times New Roman" w:cs="Times New Roman"/>
          <w:bCs/>
          <w:sz w:val="24"/>
          <w:szCs w:val="24"/>
          <w:lang w:val="en-IN"/>
        </w:rPr>
        <w:t>, Trichy during June – August 2025.</w:t>
      </w:r>
      <w:r w:rsidR="00277D15" w:rsidRPr="00293B16">
        <w:rPr>
          <w:rFonts w:ascii="Times New Roman" w:hAnsi="Times New Roman" w:cs="Times New Roman"/>
          <w:bCs/>
          <w:sz w:val="24"/>
          <w:szCs w:val="24"/>
          <w:lang w:val="en-IN"/>
        </w:rPr>
        <w:t xml:space="preserve"> Healthy seed rhizomes collected from an </w:t>
      </w:r>
      <w:proofErr w:type="gramStart"/>
      <w:r w:rsidR="00277D15" w:rsidRPr="00293B16">
        <w:rPr>
          <w:rFonts w:ascii="Times New Roman" w:hAnsi="Times New Roman" w:cs="Times New Roman"/>
          <w:bCs/>
          <w:sz w:val="24"/>
          <w:szCs w:val="24"/>
          <w:lang w:val="en-IN"/>
        </w:rPr>
        <w:t>identified farmers</w:t>
      </w:r>
      <w:proofErr w:type="gramEnd"/>
      <w:r w:rsidR="00277D15" w:rsidRPr="00293B16">
        <w:rPr>
          <w:rFonts w:ascii="Times New Roman" w:hAnsi="Times New Roman" w:cs="Times New Roman"/>
          <w:bCs/>
          <w:sz w:val="24"/>
          <w:szCs w:val="24"/>
          <w:lang w:val="en-IN"/>
        </w:rPr>
        <w:t xml:space="preserve"> at </w:t>
      </w:r>
      <w:proofErr w:type="spellStart"/>
      <w:r w:rsidR="00277D15" w:rsidRPr="00293B16">
        <w:rPr>
          <w:rFonts w:ascii="Times New Roman" w:hAnsi="Times New Roman" w:cs="Times New Roman"/>
          <w:bCs/>
          <w:sz w:val="24"/>
          <w:szCs w:val="24"/>
          <w:lang w:val="en-IN"/>
        </w:rPr>
        <w:t>Sathyamangalam</w:t>
      </w:r>
      <w:proofErr w:type="spellEnd"/>
      <w:r w:rsidR="00277D15" w:rsidRPr="00293B16">
        <w:rPr>
          <w:rFonts w:ascii="Times New Roman" w:hAnsi="Times New Roman" w:cs="Times New Roman"/>
          <w:bCs/>
          <w:sz w:val="24"/>
          <w:szCs w:val="24"/>
          <w:lang w:val="en-IN"/>
        </w:rPr>
        <w:t xml:space="preserve"> village of Erode district were used as seed material. </w:t>
      </w:r>
      <w:r w:rsidRPr="00293B16">
        <w:rPr>
          <w:rFonts w:ascii="Times New Roman" w:hAnsi="Times New Roman" w:cs="Times New Roman"/>
          <w:bCs/>
          <w:sz w:val="24"/>
          <w:szCs w:val="24"/>
          <w:lang w:val="en-IN"/>
        </w:rPr>
        <w:t xml:space="preserve">The study was carried out with seven treatments viz., T1- IAA (1000 ppm), T2- IAA (500 ppm), T3- BA (1000 ppm), T4 – BA (500 ppm), T5- NAA (1000 ppm), T6- NAA (500 ppm) and T7 – Control in a CRD (Completely Randomized </w:t>
      </w:r>
      <w:r w:rsidR="006146EE">
        <w:rPr>
          <w:rFonts w:ascii="Times New Roman" w:hAnsi="Times New Roman" w:cs="Times New Roman"/>
          <w:bCs/>
          <w:sz w:val="24"/>
          <w:szCs w:val="24"/>
          <w:lang w:val="en-IN"/>
        </w:rPr>
        <w:t>D</w:t>
      </w:r>
      <w:r w:rsidRPr="00293B16">
        <w:rPr>
          <w:rFonts w:ascii="Times New Roman" w:hAnsi="Times New Roman" w:cs="Times New Roman"/>
          <w:bCs/>
          <w:sz w:val="24"/>
          <w:szCs w:val="24"/>
          <w:lang w:val="en-IN"/>
        </w:rPr>
        <w:t>esign). The observations on sprouting percentage, shoot parameters like plant height (cm), number of leaves, leaf length and breadth (cm), root parameters like root length (cm), number of roots were recorded and analysed statistically.</w:t>
      </w:r>
    </w:p>
    <w:p w14:paraId="04E99DD6" w14:textId="0FFC47FC" w:rsidR="00E00EF8" w:rsidRPr="00293B16" w:rsidRDefault="00E00EF8" w:rsidP="002752B3">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t>Results and Discussion:</w:t>
      </w:r>
    </w:p>
    <w:p w14:paraId="6FB527DA" w14:textId="351EDF38" w:rsidR="00732F86" w:rsidRPr="00293B16" w:rsidRDefault="00E00EF8" w:rsidP="002752B3">
      <w:pPr>
        <w:jc w:val="both"/>
        <w:rPr>
          <w:rFonts w:ascii="Times New Roman" w:hAnsi="Times New Roman" w:cs="Times New Roman"/>
          <w:bCs/>
          <w:sz w:val="24"/>
          <w:szCs w:val="24"/>
        </w:rPr>
      </w:pPr>
      <w:r w:rsidRPr="00293B16">
        <w:rPr>
          <w:rFonts w:ascii="Times New Roman" w:hAnsi="Times New Roman" w:cs="Times New Roman"/>
          <w:bCs/>
          <w:sz w:val="24"/>
          <w:szCs w:val="24"/>
          <w:lang w:val="en-IN"/>
        </w:rPr>
        <w:tab/>
        <w:t>Among all the treatments used, treatment T4 – BA (500 ppm) recorded maximum sprouting percentage (</w:t>
      </w:r>
      <w:r w:rsidR="002752B3" w:rsidRPr="00293B16">
        <w:rPr>
          <w:rFonts w:ascii="Times New Roman" w:hAnsi="Times New Roman" w:cs="Times New Roman"/>
          <w:bCs/>
          <w:sz w:val="24"/>
          <w:szCs w:val="24"/>
        </w:rPr>
        <w:t xml:space="preserve">90.22 %), shoot parameters like maximum Plant height </w:t>
      </w:r>
      <w:r w:rsidR="00346F39" w:rsidRPr="00293B16">
        <w:rPr>
          <w:rFonts w:ascii="Times New Roman" w:hAnsi="Times New Roman" w:cs="Times New Roman"/>
          <w:bCs/>
          <w:sz w:val="24"/>
          <w:szCs w:val="24"/>
        </w:rPr>
        <w:t>(26.69 cm, 38.92 cm and 44.96 cm at 15, 30 and 45 DAP</w:t>
      </w:r>
      <w:r w:rsidR="002752B3" w:rsidRPr="00293B16">
        <w:rPr>
          <w:rFonts w:ascii="Times New Roman" w:hAnsi="Times New Roman" w:cs="Times New Roman"/>
          <w:bCs/>
          <w:sz w:val="24"/>
          <w:szCs w:val="24"/>
        </w:rPr>
        <w:t>, leaf length (</w:t>
      </w:r>
      <w:r w:rsidR="00346F39" w:rsidRPr="00293B16">
        <w:rPr>
          <w:rFonts w:ascii="Times New Roman" w:hAnsi="Times New Roman" w:cs="Times New Roman"/>
          <w:bCs/>
          <w:sz w:val="24"/>
          <w:szCs w:val="24"/>
        </w:rPr>
        <w:t>11.50 cm and 20.01 cm at 30 and 45 DAP</w:t>
      </w:r>
      <w:r w:rsidR="002752B3" w:rsidRPr="00293B16">
        <w:rPr>
          <w:rFonts w:ascii="Times New Roman" w:hAnsi="Times New Roman" w:cs="Times New Roman"/>
          <w:bCs/>
          <w:sz w:val="24"/>
          <w:szCs w:val="24"/>
        </w:rPr>
        <w:t xml:space="preserve">), leaf width </w:t>
      </w:r>
      <w:r w:rsidR="00346F39" w:rsidRPr="00293B16">
        <w:rPr>
          <w:rFonts w:ascii="Times New Roman" w:hAnsi="Times New Roman" w:cs="Times New Roman"/>
          <w:bCs/>
          <w:sz w:val="24"/>
          <w:szCs w:val="24"/>
        </w:rPr>
        <w:t xml:space="preserve">(4.58 cm and 7.98 cm), </w:t>
      </w:r>
      <w:proofErr w:type="spellStart"/>
      <w:r w:rsidR="00346F39" w:rsidRPr="00293B16">
        <w:rPr>
          <w:rFonts w:ascii="Times New Roman" w:hAnsi="Times New Roman" w:cs="Times New Roman"/>
          <w:bCs/>
          <w:sz w:val="24"/>
          <w:szCs w:val="24"/>
        </w:rPr>
        <w:t>pseudostem</w:t>
      </w:r>
      <w:proofErr w:type="spellEnd"/>
      <w:r w:rsidR="00346F39" w:rsidRPr="00293B16">
        <w:rPr>
          <w:rFonts w:ascii="Times New Roman" w:hAnsi="Times New Roman" w:cs="Times New Roman"/>
          <w:bCs/>
          <w:sz w:val="24"/>
          <w:szCs w:val="24"/>
        </w:rPr>
        <w:t xml:space="preserve"> girth (7.48 mm at 45 DAP) </w:t>
      </w:r>
      <w:r w:rsidR="002752B3" w:rsidRPr="00293B16">
        <w:rPr>
          <w:rFonts w:ascii="Times New Roman" w:hAnsi="Times New Roman" w:cs="Times New Roman"/>
          <w:bCs/>
          <w:sz w:val="24"/>
          <w:szCs w:val="24"/>
        </w:rPr>
        <w:t>and the highest values on root parameters like number of roots (</w:t>
      </w:r>
      <w:r w:rsidR="00346F39" w:rsidRPr="00293B16">
        <w:rPr>
          <w:rFonts w:ascii="Times New Roman" w:hAnsi="Times New Roman" w:cs="Times New Roman"/>
          <w:bCs/>
          <w:sz w:val="24"/>
          <w:szCs w:val="24"/>
        </w:rPr>
        <w:t>7.45</w:t>
      </w:r>
      <w:r w:rsidR="002752B3" w:rsidRPr="00293B16">
        <w:rPr>
          <w:rFonts w:ascii="Times New Roman" w:hAnsi="Times New Roman" w:cs="Times New Roman"/>
          <w:bCs/>
          <w:sz w:val="24"/>
          <w:szCs w:val="24"/>
        </w:rPr>
        <w:t>) and root length (</w:t>
      </w:r>
      <w:r w:rsidR="00346F39" w:rsidRPr="00293B16">
        <w:rPr>
          <w:rFonts w:ascii="Times New Roman" w:hAnsi="Times New Roman" w:cs="Times New Roman"/>
          <w:bCs/>
          <w:sz w:val="24"/>
          <w:szCs w:val="24"/>
        </w:rPr>
        <w:t>10 cm</w:t>
      </w:r>
      <w:r w:rsidR="002752B3" w:rsidRPr="00293B16">
        <w:rPr>
          <w:rFonts w:ascii="Times New Roman" w:hAnsi="Times New Roman" w:cs="Times New Roman"/>
          <w:bCs/>
          <w:sz w:val="24"/>
          <w:szCs w:val="24"/>
        </w:rPr>
        <w:t>) which is followed by the treatment T3 – BA (1000 ppm) and the least values were recorded at T7 – Control.</w:t>
      </w:r>
    </w:p>
    <w:p w14:paraId="76B5583C" w14:textId="77777777"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The present study demonstrated that pre-planting treatment of seed rhizomes with BA at 500 ppm significantly enhanced sprouting percentage, reduced dormancy period, and improved the uniformity of sprout emergence. </w:t>
      </w:r>
      <w:proofErr w:type="spellStart"/>
      <w:r w:rsidRPr="00293B16">
        <w:rPr>
          <w:rFonts w:ascii="Times New Roman" w:hAnsi="Times New Roman" w:cs="Times New Roman"/>
          <w:bCs/>
          <w:sz w:val="24"/>
          <w:szCs w:val="24"/>
          <w:lang w:val="en-IN"/>
        </w:rPr>
        <w:t>Cytokinins</w:t>
      </w:r>
      <w:proofErr w:type="spellEnd"/>
      <w:r w:rsidRPr="00293B16">
        <w:rPr>
          <w:rFonts w:ascii="Times New Roman" w:hAnsi="Times New Roman" w:cs="Times New Roman"/>
          <w:bCs/>
          <w:sz w:val="24"/>
          <w:szCs w:val="24"/>
          <w:lang w:val="en-IN"/>
        </w:rPr>
        <w:t xml:space="preserve"> such as BA are known to promote cell division and break apical dominance by stimulating lateral bud outgrowth (Taiz &amp; Zeiger, 2015). </w:t>
      </w:r>
    </w:p>
    <w:p w14:paraId="74B9340A" w14:textId="77777777"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The enhanced sprouting observed in BA-treated rhizomes could be attributed to its role in mobilizing stored carbohydrates and nutrients towards the meristematic tissues, thus facilitating early and vigorous bud initiation. In cardamom and other </w:t>
      </w:r>
      <w:proofErr w:type="spellStart"/>
      <w:r w:rsidRPr="00293B16">
        <w:rPr>
          <w:rFonts w:ascii="Times New Roman" w:hAnsi="Times New Roman" w:cs="Times New Roman"/>
          <w:bCs/>
          <w:sz w:val="24"/>
          <w:szCs w:val="24"/>
          <w:lang w:val="en-IN"/>
        </w:rPr>
        <w:t>Zingiberaceae</w:t>
      </w:r>
      <w:proofErr w:type="spellEnd"/>
      <w:r w:rsidRPr="00293B16">
        <w:rPr>
          <w:rFonts w:ascii="Times New Roman" w:hAnsi="Times New Roman" w:cs="Times New Roman"/>
          <w:bCs/>
          <w:sz w:val="24"/>
          <w:szCs w:val="24"/>
          <w:lang w:val="en-IN"/>
        </w:rPr>
        <w:t xml:space="preserve"> members, BA application has been shown to stimulate multiple bud break and improve shoot </w:t>
      </w:r>
      <w:proofErr w:type="spellStart"/>
      <w:r w:rsidRPr="00293B16">
        <w:rPr>
          <w:rFonts w:ascii="Times New Roman" w:hAnsi="Times New Roman" w:cs="Times New Roman"/>
          <w:bCs/>
          <w:sz w:val="24"/>
          <w:szCs w:val="24"/>
          <w:lang w:val="en-IN"/>
        </w:rPr>
        <w:t>vigor</w:t>
      </w:r>
      <w:proofErr w:type="spellEnd"/>
      <w:r w:rsidRPr="00293B16">
        <w:rPr>
          <w:rFonts w:ascii="Times New Roman" w:hAnsi="Times New Roman" w:cs="Times New Roman"/>
          <w:bCs/>
          <w:sz w:val="24"/>
          <w:szCs w:val="24"/>
          <w:lang w:val="en-IN"/>
        </w:rPr>
        <w:t xml:space="preserve"> (Ravindran </w:t>
      </w:r>
      <w:r w:rsidRPr="00293B16">
        <w:rPr>
          <w:rFonts w:ascii="Times New Roman" w:hAnsi="Times New Roman" w:cs="Times New Roman"/>
          <w:bCs/>
          <w:i/>
          <w:iCs/>
          <w:sz w:val="24"/>
          <w:szCs w:val="24"/>
          <w:lang w:val="en-IN"/>
        </w:rPr>
        <w:t>et al.,</w:t>
      </w:r>
      <w:r w:rsidRPr="00293B16">
        <w:rPr>
          <w:rFonts w:ascii="Times New Roman" w:hAnsi="Times New Roman" w:cs="Times New Roman"/>
          <w:bCs/>
          <w:sz w:val="24"/>
          <w:szCs w:val="24"/>
          <w:lang w:val="en-IN"/>
        </w:rPr>
        <w:t xml:space="preserve"> 2007). The response observed in the present experiment aligns with these findings, suggesting that BA-mediated cytokinin signalling effectively counteracts the dominance of the terminal bud and induces lateral sprouting. </w:t>
      </w:r>
    </w:p>
    <w:p w14:paraId="3C0B6CFF" w14:textId="2606FA33"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The early sprouting induced by BA could also contribute to better crop establishment and uniform growth, which are crucial for obtaining higher yields. Additionally, BA treatment helps synchronize sprouting, reducing gaps in the field and promoting better canopy development. However, excessive cytokinin application or higher concentrations (&gt;500 ppm) have been reported to cause phytotoxic effects or irregular bud growth in some studies (Sharma et al., 2010), indicating the importance of optimizing the dosage.</w:t>
      </w:r>
    </w:p>
    <w:p w14:paraId="1D6134CD" w14:textId="77777777"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Overall, BA at 500 ppm appears to be an effective pre-planting seed rhizome treatment to enhance sprouting and crop establishment. Further studies on the interaction of BA with other </w:t>
      </w:r>
      <w:r w:rsidRPr="00293B16">
        <w:rPr>
          <w:rFonts w:ascii="Times New Roman" w:hAnsi="Times New Roman" w:cs="Times New Roman"/>
          <w:bCs/>
          <w:sz w:val="24"/>
          <w:szCs w:val="24"/>
          <w:lang w:val="en-IN"/>
        </w:rPr>
        <w:lastRenderedPageBreak/>
        <w:t>plant growth regulators such as auxins (IAA, NAA) and gibberellins could help refine protocols for maximizing sprouting and early growth in ginger nurseries.</w:t>
      </w:r>
    </w:p>
    <w:p w14:paraId="1ADBBBA9" w14:textId="0F49F653" w:rsidR="00DF3172" w:rsidRPr="00293B16" w:rsidRDefault="00DF3172" w:rsidP="00DF3172">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t>Conclusion:</w:t>
      </w:r>
    </w:p>
    <w:p w14:paraId="616E341B" w14:textId="793FE3DC" w:rsidR="001A2FB5" w:rsidRPr="00293B16" w:rsidRDefault="00DF3172" w:rsidP="001A2FB5">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ab/>
      </w:r>
      <w:r w:rsidR="001A2FB5" w:rsidRPr="00293B16">
        <w:rPr>
          <w:rFonts w:ascii="Times New Roman" w:hAnsi="Times New Roman" w:cs="Times New Roman"/>
          <w:bCs/>
          <w:sz w:val="24"/>
          <w:szCs w:val="24"/>
          <w:lang w:val="en-IN"/>
        </w:rPr>
        <w:t xml:space="preserve">The present investigation clearly demonstrated that the use of Benzyl Adenine (BA) at 500 ppm as a pre-sowing rhizome treatment plays a significant role in improving the sprouting </w:t>
      </w:r>
      <w:proofErr w:type="spellStart"/>
      <w:r w:rsidR="001A2FB5" w:rsidRPr="00293B16">
        <w:rPr>
          <w:rFonts w:ascii="Times New Roman" w:hAnsi="Times New Roman" w:cs="Times New Roman"/>
          <w:bCs/>
          <w:sz w:val="24"/>
          <w:szCs w:val="24"/>
          <w:lang w:val="en-IN"/>
        </w:rPr>
        <w:t>behavior</w:t>
      </w:r>
      <w:proofErr w:type="spellEnd"/>
      <w:r w:rsidR="001A2FB5" w:rsidRPr="00293B16">
        <w:rPr>
          <w:rFonts w:ascii="Times New Roman" w:hAnsi="Times New Roman" w:cs="Times New Roman"/>
          <w:bCs/>
          <w:sz w:val="24"/>
          <w:szCs w:val="24"/>
          <w:lang w:val="en-IN"/>
        </w:rPr>
        <w:t xml:space="preserve"> and early growth performance of ginger in </w:t>
      </w:r>
      <w:proofErr w:type="spellStart"/>
      <w:r w:rsidR="001A2FB5" w:rsidRPr="00293B16">
        <w:rPr>
          <w:rFonts w:ascii="Times New Roman" w:hAnsi="Times New Roman" w:cs="Times New Roman"/>
          <w:bCs/>
          <w:sz w:val="24"/>
          <w:szCs w:val="24"/>
          <w:lang w:val="en-IN"/>
        </w:rPr>
        <w:t>protray</w:t>
      </w:r>
      <w:proofErr w:type="spellEnd"/>
      <w:r w:rsidR="001A2FB5" w:rsidRPr="00293B16">
        <w:rPr>
          <w:rFonts w:ascii="Times New Roman" w:hAnsi="Times New Roman" w:cs="Times New Roman"/>
          <w:bCs/>
          <w:sz w:val="24"/>
          <w:szCs w:val="24"/>
          <w:lang w:val="en-IN"/>
        </w:rPr>
        <w:t xml:space="preserve"> nursery conditions. Sprouting in ginger is often slow, erratic, and non-uniform due to dormancy and physiological constraints associated with rhizome buds. Such delayed and uneven sprouting generally leads to poor establishment in nursery trays, resulting in weak seedlings with non-synchronous growth, which further affects crop uniformity after transplanting to the main field. The application of BA at 500 ppm successfully addressed these constraints by accelerating bud activity, breaking dormancy, and stimulating cell division and elongation, thereby promoting rapid and uniform sprout emergence </w:t>
      </w:r>
      <w:r w:rsidR="001A2FB5" w:rsidRPr="00293B16">
        <w:rPr>
          <w:rFonts w:ascii="Times New Roman" w:hAnsi="Times New Roman" w:cs="Times New Roman"/>
          <w:bCs/>
          <w:sz w:val="24"/>
          <w:szCs w:val="24"/>
        </w:rPr>
        <w:t xml:space="preserve">(George </w:t>
      </w:r>
      <w:r w:rsidR="001A2FB5" w:rsidRPr="00293B16">
        <w:rPr>
          <w:rFonts w:ascii="Times New Roman" w:hAnsi="Times New Roman" w:cs="Times New Roman"/>
          <w:bCs/>
          <w:i/>
          <w:iCs/>
          <w:sz w:val="24"/>
          <w:szCs w:val="24"/>
        </w:rPr>
        <w:t>et a</w:t>
      </w:r>
      <w:r w:rsidR="001A2FB5" w:rsidRPr="00293B16">
        <w:rPr>
          <w:rFonts w:ascii="Times New Roman" w:hAnsi="Times New Roman" w:cs="Times New Roman"/>
          <w:bCs/>
          <w:sz w:val="24"/>
          <w:szCs w:val="24"/>
        </w:rPr>
        <w:t xml:space="preserve">l., 2008; Priya </w:t>
      </w:r>
      <w:r w:rsidR="001A2FB5" w:rsidRPr="00293B16">
        <w:rPr>
          <w:rFonts w:ascii="Times New Roman" w:hAnsi="Times New Roman" w:cs="Times New Roman"/>
          <w:bCs/>
          <w:i/>
          <w:iCs/>
          <w:sz w:val="24"/>
          <w:szCs w:val="24"/>
        </w:rPr>
        <w:t>et al</w:t>
      </w:r>
      <w:r w:rsidR="001A2FB5" w:rsidRPr="00293B16">
        <w:rPr>
          <w:rFonts w:ascii="Times New Roman" w:hAnsi="Times New Roman" w:cs="Times New Roman"/>
          <w:bCs/>
          <w:sz w:val="24"/>
          <w:szCs w:val="24"/>
        </w:rPr>
        <w:t>., 2019)</w:t>
      </w:r>
      <w:r w:rsidR="001A2FB5" w:rsidRPr="00293B16">
        <w:rPr>
          <w:rFonts w:ascii="Times New Roman" w:hAnsi="Times New Roman" w:cs="Times New Roman"/>
          <w:bCs/>
          <w:sz w:val="24"/>
          <w:szCs w:val="24"/>
          <w:lang w:val="en-IN"/>
        </w:rPr>
        <w:t>.</w:t>
      </w:r>
    </w:p>
    <w:p w14:paraId="5BD1CFA4" w14:textId="1B939C9F" w:rsidR="001A2FB5" w:rsidRPr="001A2FB5" w:rsidRDefault="001A2FB5" w:rsidP="001A2FB5">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t xml:space="preserve">Seed rhizomes treated with BA showed a remarkable increase in the percentage of sprouting and a considerable reduction in the number of days required for first sprout initiation. Uniform sprouting is an important factor in nursery management since it ensures that seedlings are of similar age and </w:t>
      </w:r>
      <w:proofErr w:type="spellStart"/>
      <w:r w:rsidRPr="001A2FB5">
        <w:rPr>
          <w:rFonts w:ascii="Times New Roman" w:hAnsi="Times New Roman" w:cs="Times New Roman"/>
          <w:bCs/>
          <w:sz w:val="24"/>
          <w:szCs w:val="24"/>
          <w:lang w:val="en-IN"/>
        </w:rPr>
        <w:t>vigor</w:t>
      </w:r>
      <w:proofErr w:type="spellEnd"/>
      <w:r w:rsidRPr="001A2FB5">
        <w:rPr>
          <w:rFonts w:ascii="Times New Roman" w:hAnsi="Times New Roman" w:cs="Times New Roman"/>
          <w:bCs/>
          <w:sz w:val="24"/>
          <w:szCs w:val="24"/>
          <w:lang w:val="en-IN"/>
        </w:rPr>
        <w:t xml:space="preserve"> at the time of transplanting. Such synchronization of growth not only improves management efficiency but also enhances crop productivity potential in the main field. The beneficial effects of BA are primarily attributed to its cytokinin activity, which is known to promote cell proliferation, delay senescence, and stimulate lateral bud outgrowth. In ginger, where sprouting is a critical bottleneck, this hormone-mediated regulation becomes highly valuable</w:t>
      </w:r>
      <w:r w:rsidR="008E36F5" w:rsidRPr="00293B16">
        <w:rPr>
          <w:rFonts w:ascii="Times New Roman" w:hAnsi="Times New Roman" w:cs="Times New Roman"/>
          <w:bCs/>
          <w:sz w:val="24"/>
          <w:szCs w:val="24"/>
          <w:lang w:val="en-IN"/>
        </w:rPr>
        <w:t xml:space="preserve"> </w:t>
      </w:r>
      <w:r w:rsidR="00C22195" w:rsidRPr="00293B16">
        <w:rPr>
          <w:rFonts w:ascii="Times New Roman" w:hAnsi="Times New Roman" w:cs="Times New Roman"/>
          <w:bCs/>
          <w:sz w:val="24"/>
          <w:szCs w:val="24"/>
        </w:rPr>
        <w:t xml:space="preserve">(Werner &amp; </w:t>
      </w:r>
      <w:proofErr w:type="spellStart"/>
      <w:r w:rsidR="00C22195" w:rsidRPr="00293B16">
        <w:rPr>
          <w:rFonts w:ascii="Times New Roman" w:hAnsi="Times New Roman" w:cs="Times New Roman"/>
          <w:bCs/>
          <w:sz w:val="24"/>
          <w:szCs w:val="24"/>
        </w:rPr>
        <w:t>Schmülling</w:t>
      </w:r>
      <w:proofErr w:type="spellEnd"/>
      <w:r w:rsidR="00C22195" w:rsidRPr="00293B16">
        <w:rPr>
          <w:rFonts w:ascii="Times New Roman" w:hAnsi="Times New Roman" w:cs="Times New Roman"/>
          <w:bCs/>
          <w:sz w:val="24"/>
          <w:szCs w:val="24"/>
        </w:rPr>
        <w:t>, 2009)</w:t>
      </w:r>
      <w:r w:rsidRPr="001A2FB5">
        <w:rPr>
          <w:rFonts w:ascii="Times New Roman" w:hAnsi="Times New Roman" w:cs="Times New Roman"/>
          <w:bCs/>
          <w:sz w:val="24"/>
          <w:szCs w:val="24"/>
          <w:lang w:val="en-IN"/>
        </w:rPr>
        <w:t>.</w:t>
      </w:r>
    </w:p>
    <w:p w14:paraId="1B17ACA2" w14:textId="77777777" w:rsidR="001A2FB5" w:rsidRPr="001A2FB5" w:rsidRDefault="001A2FB5" w:rsidP="001A2FB5">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t xml:space="preserve">Furthermore, BA 500 ppm treatment resulted in enhanced early growth attributes such as increased shoot length, higher number of functional leaves, and improved root initiation. Vigorous seedling growth in the </w:t>
      </w:r>
      <w:proofErr w:type="spellStart"/>
      <w:r w:rsidRPr="001A2FB5">
        <w:rPr>
          <w:rFonts w:ascii="Times New Roman" w:hAnsi="Times New Roman" w:cs="Times New Roman"/>
          <w:bCs/>
          <w:sz w:val="24"/>
          <w:szCs w:val="24"/>
          <w:lang w:val="en-IN"/>
        </w:rPr>
        <w:t>protray</w:t>
      </w:r>
      <w:proofErr w:type="spellEnd"/>
      <w:r w:rsidRPr="001A2FB5">
        <w:rPr>
          <w:rFonts w:ascii="Times New Roman" w:hAnsi="Times New Roman" w:cs="Times New Roman"/>
          <w:bCs/>
          <w:sz w:val="24"/>
          <w:szCs w:val="24"/>
          <w:lang w:val="en-IN"/>
        </w:rPr>
        <w:t xml:space="preserve"> nursery is essential to withstand transplant shock and establish faster in the main field. BA treatment provided a significant advantage in this regard, as seedlings not only sprouted earlier but also exhibited superior vegetative </w:t>
      </w:r>
      <w:proofErr w:type="spellStart"/>
      <w:r w:rsidRPr="001A2FB5">
        <w:rPr>
          <w:rFonts w:ascii="Times New Roman" w:hAnsi="Times New Roman" w:cs="Times New Roman"/>
          <w:bCs/>
          <w:sz w:val="24"/>
          <w:szCs w:val="24"/>
          <w:lang w:val="en-IN"/>
        </w:rPr>
        <w:t>vigor</w:t>
      </w:r>
      <w:proofErr w:type="spellEnd"/>
      <w:r w:rsidRPr="001A2FB5">
        <w:rPr>
          <w:rFonts w:ascii="Times New Roman" w:hAnsi="Times New Roman" w:cs="Times New Roman"/>
          <w:bCs/>
          <w:sz w:val="24"/>
          <w:szCs w:val="24"/>
          <w:lang w:val="en-IN"/>
        </w:rPr>
        <w:t xml:space="preserve"> and biomass accumulation. The improved leaf development also contributes to early photosynthetic efficiency, which in turn supports stronger plant establishment.</w:t>
      </w:r>
    </w:p>
    <w:p w14:paraId="76468576" w14:textId="426CC981" w:rsidR="001A2FB5" w:rsidRPr="001A2FB5" w:rsidRDefault="001A2FB5" w:rsidP="001A2FB5">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t xml:space="preserve">The </w:t>
      </w:r>
      <w:proofErr w:type="spellStart"/>
      <w:r w:rsidRPr="001A2FB5">
        <w:rPr>
          <w:rFonts w:ascii="Times New Roman" w:hAnsi="Times New Roman" w:cs="Times New Roman"/>
          <w:bCs/>
          <w:sz w:val="24"/>
          <w:szCs w:val="24"/>
          <w:lang w:val="en-IN"/>
        </w:rPr>
        <w:t>protray</w:t>
      </w:r>
      <w:proofErr w:type="spellEnd"/>
      <w:r w:rsidRPr="001A2FB5">
        <w:rPr>
          <w:rFonts w:ascii="Times New Roman" w:hAnsi="Times New Roman" w:cs="Times New Roman"/>
          <w:bCs/>
          <w:sz w:val="24"/>
          <w:szCs w:val="24"/>
          <w:lang w:val="en-IN"/>
        </w:rPr>
        <w:t xml:space="preserve"> nursery system, being a modern approach for raising ginger seedlings, demands treatments that maximize germination efficiency and seedling uniformity. In this context, BA at 500 ppm has proven to be a cost-effective and practical strategy to improve nursery efficiency. The results of this study </w:t>
      </w:r>
      <w:proofErr w:type="gramStart"/>
      <w:r w:rsidRPr="001A2FB5">
        <w:rPr>
          <w:rFonts w:ascii="Times New Roman" w:hAnsi="Times New Roman" w:cs="Times New Roman"/>
          <w:bCs/>
          <w:sz w:val="24"/>
          <w:szCs w:val="24"/>
          <w:lang w:val="en-IN"/>
        </w:rPr>
        <w:t>are in agreement</w:t>
      </w:r>
      <w:proofErr w:type="gramEnd"/>
      <w:r w:rsidRPr="001A2FB5">
        <w:rPr>
          <w:rFonts w:ascii="Times New Roman" w:hAnsi="Times New Roman" w:cs="Times New Roman"/>
          <w:bCs/>
          <w:sz w:val="24"/>
          <w:szCs w:val="24"/>
          <w:lang w:val="en-IN"/>
        </w:rPr>
        <w:t xml:space="preserve"> with earlier reports where </w:t>
      </w:r>
      <w:proofErr w:type="spellStart"/>
      <w:r w:rsidRPr="001A2FB5">
        <w:rPr>
          <w:rFonts w:ascii="Times New Roman" w:hAnsi="Times New Roman" w:cs="Times New Roman"/>
          <w:bCs/>
          <w:sz w:val="24"/>
          <w:szCs w:val="24"/>
          <w:lang w:val="en-IN"/>
        </w:rPr>
        <w:t>cytokinins</w:t>
      </w:r>
      <w:proofErr w:type="spellEnd"/>
      <w:r w:rsidRPr="001A2FB5">
        <w:rPr>
          <w:rFonts w:ascii="Times New Roman" w:hAnsi="Times New Roman" w:cs="Times New Roman"/>
          <w:bCs/>
          <w:sz w:val="24"/>
          <w:szCs w:val="24"/>
          <w:lang w:val="en-IN"/>
        </w:rPr>
        <w:t>, particularly BA, were found effective in breaking dormancy and stimulating sprouting in various tuber and rhizome crops. The findings therefore highlight the potential of integrating BA treatment into ginger nursery management protocols, especially for commercial growers who depend on timely and uniform plant establishment for high yields</w:t>
      </w:r>
      <w:r w:rsidR="00422B7E" w:rsidRPr="00293B16">
        <w:rPr>
          <w:rFonts w:ascii="Times New Roman" w:hAnsi="Times New Roman" w:cs="Times New Roman"/>
          <w:bCs/>
          <w:sz w:val="24"/>
          <w:szCs w:val="24"/>
          <w:lang w:val="en-IN"/>
        </w:rPr>
        <w:t xml:space="preserve"> </w:t>
      </w:r>
      <w:r w:rsidR="00422B7E" w:rsidRPr="00293B16">
        <w:rPr>
          <w:rFonts w:ascii="Times New Roman" w:hAnsi="Times New Roman" w:cs="Times New Roman"/>
          <w:bCs/>
          <w:sz w:val="24"/>
          <w:szCs w:val="24"/>
        </w:rPr>
        <w:t xml:space="preserve">(Kumar </w:t>
      </w:r>
      <w:r w:rsidR="00422B7E" w:rsidRPr="00293B16">
        <w:rPr>
          <w:rFonts w:ascii="Times New Roman" w:hAnsi="Times New Roman" w:cs="Times New Roman"/>
          <w:bCs/>
          <w:i/>
          <w:iCs/>
          <w:sz w:val="24"/>
          <w:szCs w:val="24"/>
        </w:rPr>
        <w:t>et al</w:t>
      </w:r>
      <w:r w:rsidR="00422B7E" w:rsidRPr="00293B16">
        <w:rPr>
          <w:rFonts w:ascii="Times New Roman" w:hAnsi="Times New Roman" w:cs="Times New Roman"/>
          <w:bCs/>
          <w:sz w:val="24"/>
          <w:szCs w:val="24"/>
        </w:rPr>
        <w:t xml:space="preserve">., 2010; Rani </w:t>
      </w:r>
      <w:r w:rsidR="00422B7E" w:rsidRPr="00293B16">
        <w:rPr>
          <w:rFonts w:ascii="Times New Roman" w:hAnsi="Times New Roman" w:cs="Times New Roman"/>
          <w:bCs/>
          <w:i/>
          <w:iCs/>
          <w:sz w:val="24"/>
          <w:szCs w:val="24"/>
        </w:rPr>
        <w:t>et al.,</w:t>
      </w:r>
      <w:r w:rsidR="00422B7E" w:rsidRPr="00293B16">
        <w:rPr>
          <w:rFonts w:ascii="Times New Roman" w:hAnsi="Times New Roman" w:cs="Times New Roman"/>
          <w:bCs/>
          <w:sz w:val="24"/>
          <w:szCs w:val="24"/>
        </w:rPr>
        <w:t xml:space="preserve"> 2020).</w:t>
      </w:r>
    </w:p>
    <w:p w14:paraId="57422B77" w14:textId="3B0B93AA" w:rsidR="00DF3172" w:rsidRDefault="001A2FB5" w:rsidP="00493DAD">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lastRenderedPageBreak/>
        <w:t xml:space="preserve">In conclusion, the use of BA at 500 ppm as a rhizome treatment in ginger is a promising practice to enhance sprouting efficiency and early seedling </w:t>
      </w:r>
      <w:proofErr w:type="spellStart"/>
      <w:r w:rsidRPr="001A2FB5">
        <w:rPr>
          <w:rFonts w:ascii="Times New Roman" w:hAnsi="Times New Roman" w:cs="Times New Roman"/>
          <w:bCs/>
          <w:sz w:val="24"/>
          <w:szCs w:val="24"/>
          <w:lang w:val="en-IN"/>
        </w:rPr>
        <w:t>vigor</w:t>
      </w:r>
      <w:proofErr w:type="spellEnd"/>
      <w:r w:rsidRPr="001A2FB5">
        <w:rPr>
          <w:rFonts w:ascii="Times New Roman" w:hAnsi="Times New Roman" w:cs="Times New Roman"/>
          <w:bCs/>
          <w:sz w:val="24"/>
          <w:szCs w:val="24"/>
          <w:lang w:val="en-IN"/>
        </w:rPr>
        <w:t xml:space="preserve"> under </w:t>
      </w:r>
      <w:proofErr w:type="spellStart"/>
      <w:r w:rsidRPr="001A2FB5">
        <w:rPr>
          <w:rFonts w:ascii="Times New Roman" w:hAnsi="Times New Roman" w:cs="Times New Roman"/>
          <w:bCs/>
          <w:sz w:val="24"/>
          <w:szCs w:val="24"/>
          <w:lang w:val="en-IN"/>
        </w:rPr>
        <w:t>protray</w:t>
      </w:r>
      <w:proofErr w:type="spellEnd"/>
      <w:r w:rsidRPr="001A2FB5">
        <w:rPr>
          <w:rFonts w:ascii="Times New Roman" w:hAnsi="Times New Roman" w:cs="Times New Roman"/>
          <w:bCs/>
          <w:sz w:val="24"/>
          <w:szCs w:val="24"/>
          <w:lang w:val="en-IN"/>
        </w:rPr>
        <w:t xml:space="preserve"> nursery conditions. It ensures rapid, uniform, and vigorous seedling production, thereby reducing the nursery period and enabling timely field planting. Adoption of this practice can significantly improve the productivity and profitability of ginger cultivation. However, large-scale field validation, optimization of concentration across different cultivars, and assessment of cost-benefit aspects are recommended before making widespread recommendations to farmers.</w:t>
      </w:r>
    </w:p>
    <w:p w14:paraId="462CBE92" w14:textId="3D97B5DD" w:rsidR="00800130" w:rsidRDefault="00800130" w:rsidP="00493DAD">
      <w:pPr>
        <w:ind w:firstLine="720"/>
        <w:jc w:val="both"/>
        <w:rPr>
          <w:rFonts w:ascii="Times New Roman" w:hAnsi="Times New Roman" w:cs="Times New Roman"/>
          <w:bCs/>
          <w:sz w:val="24"/>
          <w:szCs w:val="24"/>
          <w:lang w:val="en-IN"/>
        </w:rPr>
      </w:pPr>
    </w:p>
    <w:p w14:paraId="6F4A2C05" w14:textId="77777777" w:rsidR="00800130" w:rsidRDefault="00800130" w:rsidP="00800130">
      <w:pPr>
        <w:rPr>
          <w:highlight w:val="yellow"/>
        </w:rPr>
      </w:pPr>
      <w:r>
        <w:rPr>
          <w:highlight w:val="yellow"/>
        </w:rPr>
        <w:t>Disclaimer (Artificial intelligence)</w:t>
      </w:r>
    </w:p>
    <w:p w14:paraId="0B87A8B1" w14:textId="77777777" w:rsidR="00800130" w:rsidRDefault="00800130" w:rsidP="00800130">
      <w:pPr>
        <w:rPr>
          <w:highlight w:val="yellow"/>
        </w:rPr>
      </w:pPr>
      <w:r>
        <w:rPr>
          <w:highlight w:val="yellow"/>
        </w:rPr>
        <w:t xml:space="preserve">Option 1: </w:t>
      </w:r>
    </w:p>
    <w:p w14:paraId="6E5F3EED" w14:textId="77777777" w:rsidR="00800130" w:rsidRDefault="00800130" w:rsidP="0080013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6FE05E1" w14:textId="77777777" w:rsidR="00800130" w:rsidRDefault="00800130" w:rsidP="00800130">
      <w:pPr>
        <w:rPr>
          <w:highlight w:val="yellow"/>
        </w:rPr>
      </w:pPr>
      <w:r>
        <w:rPr>
          <w:highlight w:val="yellow"/>
        </w:rPr>
        <w:t xml:space="preserve">Option 2: </w:t>
      </w:r>
    </w:p>
    <w:p w14:paraId="6A346546" w14:textId="77777777" w:rsidR="00800130" w:rsidRDefault="00800130" w:rsidP="0080013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1E14C7" w14:textId="77777777" w:rsidR="00800130" w:rsidRDefault="00800130" w:rsidP="00800130">
      <w:pPr>
        <w:rPr>
          <w:highlight w:val="yellow"/>
        </w:rPr>
      </w:pPr>
      <w:r>
        <w:rPr>
          <w:highlight w:val="yellow"/>
        </w:rPr>
        <w:t>Details of the AI usage are given below:</w:t>
      </w:r>
    </w:p>
    <w:p w14:paraId="58101B24" w14:textId="77777777" w:rsidR="00800130" w:rsidRDefault="00800130" w:rsidP="00800130">
      <w:pPr>
        <w:rPr>
          <w:highlight w:val="yellow"/>
        </w:rPr>
      </w:pPr>
      <w:r>
        <w:rPr>
          <w:highlight w:val="yellow"/>
        </w:rPr>
        <w:t>1.</w:t>
      </w:r>
    </w:p>
    <w:p w14:paraId="7CEE0FDD" w14:textId="77777777" w:rsidR="00800130" w:rsidRDefault="00800130" w:rsidP="00800130">
      <w:pPr>
        <w:rPr>
          <w:highlight w:val="yellow"/>
        </w:rPr>
      </w:pPr>
      <w:r>
        <w:rPr>
          <w:highlight w:val="yellow"/>
        </w:rPr>
        <w:t>2.</w:t>
      </w:r>
    </w:p>
    <w:p w14:paraId="53E37EAE" w14:textId="77777777" w:rsidR="00800130" w:rsidRDefault="00800130" w:rsidP="00800130">
      <w:r>
        <w:rPr>
          <w:highlight w:val="yellow"/>
        </w:rPr>
        <w:t>3.</w:t>
      </w:r>
    </w:p>
    <w:p w14:paraId="0028BC6D" w14:textId="77777777" w:rsidR="00800130" w:rsidRPr="00293B16" w:rsidRDefault="00800130" w:rsidP="00493DAD">
      <w:pPr>
        <w:ind w:firstLine="720"/>
        <w:jc w:val="both"/>
        <w:rPr>
          <w:rFonts w:ascii="Times New Roman" w:hAnsi="Times New Roman" w:cs="Times New Roman"/>
          <w:bCs/>
          <w:sz w:val="24"/>
          <w:szCs w:val="24"/>
          <w:lang w:val="en-IN"/>
        </w:rPr>
      </w:pPr>
      <w:bookmarkStart w:id="0" w:name="_GoBack"/>
      <w:bookmarkEnd w:id="0"/>
    </w:p>
    <w:p w14:paraId="06D67C25" w14:textId="78B272CA" w:rsidR="000435C7" w:rsidRPr="00293B16" w:rsidRDefault="000435C7" w:rsidP="002752B3">
      <w:pPr>
        <w:jc w:val="both"/>
        <w:rPr>
          <w:rFonts w:ascii="Times New Roman" w:hAnsi="Times New Roman" w:cs="Times New Roman"/>
          <w:b/>
          <w:sz w:val="24"/>
          <w:szCs w:val="24"/>
        </w:rPr>
      </w:pPr>
      <w:r w:rsidRPr="00293B16">
        <w:rPr>
          <w:rFonts w:ascii="Times New Roman" w:hAnsi="Times New Roman" w:cs="Times New Roman"/>
          <w:b/>
          <w:sz w:val="24"/>
          <w:szCs w:val="24"/>
        </w:rPr>
        <w:t>References:</w:t>
      </w:r>
    </w:p>
    <w:p w14:paraId="7A8CC670" w14:textId="05A59FBE" w:rsidR="000435C7" w:rsidRPr="00293B16" w:rsidRDefault="000435C7" w:rsidP="002752B3">
      <w:pPr>
        <w:jc w:val="both"/>
        <w:rPr>
          <w:rFonts w:ascii="Times New Roman" w:hAnsi="Times New Roman" w:cs="Times New Roman"/>
          <w:bCs/>
          <w:sz w:val="24"/>
          <w:szCs w:val="24"/>
        </w:rPr>
      </w:pPr>
      <w:r w:rsidRPr="00293B16">
        <w:rPr>
          <w:rFonts w:ascii="Times New Roman" w:hAnsi="Times New Roman" w:cs="Times New Roman"/>
          <w:bCs/>
          <w:sz w:val="24"/>
          <w:szCs w:val="24"/>
          <w:lang w:val="en-IN"/>
        </w:rPr>
        <w:t>Abdullah, N., Ahmad, F., &amp; Razali, N. (2021). Micropropagation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Bentong</w:t>
      </w:r>
      <w:proofErr w:type="spellEnd"/>
      <w:r w:rsidRPr="00293B16">
        <w:rPr>
          <w:rFonts w:ascii="Times New Roman" w:hAnsi="Times New Roman" w:cs="Times New Roman"/>
          <w:bCs/>
          <w:sz w:val="24"/>
          <w:szCs w:val="24"/>
          <w:lang w:val="en-IN"/>
        </w:rPr>
        <w:t xml:space="preserve">’): Effect of auxins on rooting and acclimatization. </w:t>
      </w:r>
      <w:r w:rsidRPr="00293B16">
        <w:rPr>
          <w:rFonts w:ascii="Times New Roman" w:hAnsi="Times New Roman" w:cs="Times New Roman"/>
          <w:bCs/>
          <w:i/>
          <w:iCs/>
          <w:sz w:val="24"/>
          <w:szCs w:val="24"/>
          <w:lang w:val="en-IN"/>
        </w:rPr>
        <w:t>Plants, 10</w:t>
      </w:r>
      <w:r w:rsidRPr="00293B16">
        <w:rPr>
          <w:rFonts w:ascii="Times New Roman" w:hAnsi="Times New Roman" w:cs="Times New Roman"/>
          <w:bCs/>
          <w:sz w:val="24"/>
          <w:szCs w:val="24"/>
          <w:lang w:val="en-IN"/>
        </w:rPr>
        <w:t>(5), 899</w:t>
      </w:r>
    </w:p>
    <w:p w14:paraId="314E301F" w14:textId="16165AFC"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Ali, B. H., Blunden, G., </w:t>
      </w:r>
      <w:proofErr w:type="spellStart"/>
      <w:r w:rsidRPr="00293B16">
        <w:rPr>
          <w:rFonts w:ascii="Times New Roman" w:hAnsi="Times New Roman" w:cs="Times New Roman"/>
          <w:bCs/>
          <w:sz w:val="24"/>
          <w:szCs w:val="24"/>
          <w:lang w:val="en-IN"/>
        </w:rPr>
        <w:t>Tanira</w:t>
      </w:r>
      <w:proofErr w:type="spellEnd"/>
      <w:r w:rsidRPr="00293B16">
        <w:rPr>
          <w:rFonts w:ascii="Times New Roman" w:hAnsi="Times New Roman" w:cs="Times New Roman"/>
          <w:bCs/>
          <w:sz w:val="24"/>
          <w:szCs w:val="24"/>
          <w:lang w:val="en-IN"/>
        </w:rPr>
        <w:t xml:space="preserve">, M. O., &amp; </w:t>
      </w:r>
      <w:proofErr w:type="spellStart"/>
      <w:r w:rsidRPr="00293B16">
        <w:rPr>
          <w:rFonts w:ascii="Times New Roman" w:hAnsi="Times New Roman" w:cs="Times New Roman"/>
          <w:bCs/>
          <w:sz w:val="24"/>
          <w:szCs w:val="24"/>
          <w:lang w:val="en-IN"/>
        </w:rPr>
        <w:t>Nemmar</w:t>
      </w:r>
      <w:proofErr w:type="spellEnd"/>
      <w:r w:rsidRPr="00293B16">
        <w:rPr>
          <w:rFonts w:ascii="Times New Roman" w:hAnsi="Times New Roman" w:cs="Times New Roman"/>
          <w:bCs/>
          <w:sz w:val="24"/>
          <w:szCs w:val="24"/>
          <w:lang w:val="en-IN"/>
        </w:rPr>
        <w:t>, A. (2008). Some phytochemical, pharmacological and toxicological properties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Roscoe): A review of recent research. </w:t>
      </w:r>
      <w:r w:rsidRPr="00293B16">
        <w:rPr>
          <w:rFonts w:ascii="Times New Roman" w:hAnsi="Times New Roman" w:cs="Times New Roman"/>
          <w:bCs/>
          <w:i/>
          <w:iCs/>
          <w:sz w:val="24"/>
          <w:szCs w:val="24"/>
          <w:lang w:val="en-IN"/>
        </w:rPr>
        <w:t>Food and Chemical Toxicology, 46</w:t>
      </w:r>
      <w:r w:rsidRPr="00293B16">
        <w:rPr>
          <w:rFonts w:ascii="Times New Roman" w:hAnsi="Times New Roman" w:cs="Times New Roman"/>
          <w:bCs/>
          <w:sz w:val="24"/>
          <w:szCs w:val="24"/>
          <w:lang w:val="en-IN"/>
        </w:rPr>
        <w:t>(2), 409–420.</w:t>
      </w:r>
    </w:p>
    <w:p w14:paraId="1F98E8BC" w14:textId="7B615670"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 Bose, T. K., Tripathi, V. K., &amp; Yadav, L. P. (2021). Advances in nursery management of spice crops. </w:t>
      </w:r>
      <w:r w:rsidRPr="00293B16">
        <w:rPr>
          <w:rFonts w:ascii="Times New Roman" w:hAnsi="Times New Roman" w:cs="Times New Roman"/>
          <w:bCs/>
          <w:i/>
          <w:iCs/>
          <w:sz w:val="24"/>
          <w:szCs w:val="24"/>
          <w:lang w:val="en-IN"/>
        </w:rPr>
        <w:t>Journal of Spices and Aromatic Crops, 30</w:t>
      </w:r>
      <w:r w:rsidRPr="00293B16">
        <w:rPr>
          <w:rFonts w:ascii="Times New Roman" w:hAnsi="Times New Roman" w:cs="Times New Roman"/>
          <w:bCs/>
          <w:sz w:val="24"/>
          <w:szCs w:val="24"/>
          <w:lang w:val="en-IN"/>
        </w:rPr>
        <w:t>(1), 12–20.</w:t>
      </w:r>
    </w:p>
    <w:p w14:paraId="6A1D09D2" w14:textId="6B6EC356" w:rsidR="008E36F5" w:rsidRPr="00293B16" w:rsidRDefault="008E36F5"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lastRenderedPageBreak/>
        <w:t xml:space="preserve">George, P. S., </w:t>
      </w:r>
      <w:proofErr w:type="spellStart"/>
      <w:r w:rsidRPr="00293B16">
        <w:rPr>
          <w:rFonts w:ascii="Times New Roman" w:hAnsi="Times New Roman" w:cs="Times New Roman"/>
          <w:bCs/>
          <w:sz w:val="24"/>
          <w:szCs w:val="24"/>
        </w:rPr>
        <w:t>Radhamani</w:t>
      </w:r>
      <w:proofErr w:type="spellEnd"/>
      <w:r w:rsidRPr="00293B16">
        <w:rPr>
          <w:rFonts w:ascii="Times New Roman" w:hAnsi="Times New Roman" w:cs="Times New Roman"/>
          <w:bCs/>
          <w:sz w:val="24"/>
          <w:szCs w:val="24"/>
        </w:rPr>
        <w:t>, T. R., &amp; Nair, R. R. (2008). Influence of growth regulators on sprouting and growth of ginger (</w:t>
      </w:r>
      <w:proofErr w:type="spellStart"/>
      <w:r w:rsidRPr="00293B16">
        <w:rPr>
          <w:rFonts w:ascii="Times New Roman" w:hAnsi="Times New Roman" w:cs="Times New Roman"/>
          <w:bCs/>
          <w:i/>
          <w:iCs/>
          <w:sz w:val="24"/>
          <w:szCs w:val="24"/>
        </w:rPr>
        <w:t>Zingiber</w:t>
      </w:r>
      <w:proofErr w:type="spellEnd"/>
      <w:r w:rsidRPr="00293B16">
        <w:rPr>
          <w:rFonts w:ascii="Times New Roman" w:hAnsi="Times New Roman" w:cs="Times New Roman"/>
          <w:bCs/>
          <w:i/>
          <w:iCs/>
          <w:sz w:val="24"/>
          <w:szCs w:val="24"/>
        </w:rPr>
        <w:t xml:space="preserve"> </w:t>
      </w:r>
      <w:proofErr w:type="spellStart"/>
      <w:r w:rsidRPr="00293B16">
        <w:rPr>
          <w:rFonts w:ascii="Times New Roman" w:hAnsi="Times New Roman" w:cs="Times New Roman"/>
          <w:bCs/>
          <w:i/>
          <w:iCs/>
          <w:sz w:val="24"/>
          <w:szCs w:val="24"/>
        </w:rPr>
        <w:t>officinale</w:t>
      </w:r>
      <w:proofErr w:type="spellEnd"/>
      <w:r w:rsidRPr="00293B16">
        <w:rPr>
          <w:rFonts w:ascii="Times New Roman" w:hAnsi="Times New Roman" w:cs="Times New Roman"/>
          <w:bCs/>
          <w:sz w:val="24"/>
          <w:szCs w:val="24"/>
        </w:rPr>
        <w:t xml:space="preserve"> </w:t>
      </w:r>
      <w:proofErr w:type="spellStart"/>
      <w:r w:rsidRPr="00293B16">
        <w:rPr>
          <w:rFonts w:ascii="Times New Roman" w:hAnsi="Times New Roman" w:cs="Times New Roman"/>
          <w:bCs/>
          <w:sz w:val="24"/>
          <w:szCs w:val="24"/>
        </w:rPr>
        <w:t>Rosc</w:t>
      </w:r>
      <w:proofErr w:type="spellEnd"/>
      <w:r w:rsidRPr="00293B16">
        <w:rPr>
          <w:rFonts w:ascii="Times New Roman" w:hAnsi="Times New Roman" w:cs="Times New Roman"/>
          <w:bCs/>
          <w:sz w:val="24"/>
          <w:szCs w:val="24"/>
        </w:rPr>
        <w:t xml:space="preserve">.) rhizomes. </w:t>
      </w:r>
      <w:r w:rsidRPr="00293B16">
        <w:rPr>
          <w:rFonts w:ascii="Times New Roman" w:hAnsi="Times New Roman" w:cs="Times New Roman"/>
          <w:bCs/>
          <w:i/>
          <w:iCs/>
          <w:sz w:val="24"/>
          <w:szCs w:val="24"/>
        </w:rPr>
        <w:t>Journal of Spices and Aromatic Crops</w:t>
      </w:r>
      <w:r w:rsidRPr="00293B16">
        <w:rPr>
          <w:rFonts w:ascii="Times New Roman" w:hAnsi="Times New Roman" w:cs="Times New Roman"/>
          <w:bCs/>
          <w:sz w:val="24"/>
          <w:szCs w:val="24"/>
        </w:rPr>
        <w:t>, 17(1), 21–26.</w:t>
      </w:r>
    </w:p>
    <w:p w14:paraId="26E0A2BB" w14:textId="4636512E" w:rsidR="000435C7" w:rsidRPr="00293B16" w:rsidRDefault="000435C7" w:rsidP="000435C7">
      <w:pPr>
        <w:jc w:val="both"/>
        <w:rPr>
          <w:rFonts w:ascii="Times New Roman" w:hAnsi="Times New Roman" w:cs="Times New Roman"/>
          <w:bCs/>
          <w:sz w:val="24"/>
          <w:szCs w:val="24"/>
          <w:lang w:val="en-IN"/>
        </w:rPr>
      </w:pPr>
      <w:proofErr w:type="spellStart"/>
      <w:r w:rsidRPr="00293B16">
        <w:rPr>
          <w:rFonts w:ascii="Times New Roman" w:hAnsi="Times New Roman" w:cs="Times New Roman"/>
          <w:bCs/>
          <w:sz w:val="24"/>
          <w:szCs w:val="24"/>
          <w:lang w:val="en-IN"/>
        </w:rPr>
        <w:t>Jin</w:t>
      </w:r>
      <w:proofErr w:type="spellEnd"/>
      <w:r w:rsidRPr="00293B16">
        <w:rPr>
          <w:rFonts w:ascii="Times New Roman" w:hAnsi="Times New Roman" w:cs="Times New Roman"/>
          <w:bCs/>
          <w:sz w:val="24"/>
          <w:szCs w:val="24"/>
          <w:lang w:val="en-IN"/>
        </w:rPr>
        <w:t xml:space="preserve">, H., Wang, Y., &amp; Liu, L. (2022). Effect of growth regulators on in vitro micropropagation of </w:t>
      </w:r>
      <w:proofErr w:type="spellStart"/>
      <w:r w:rsidRPr="00293B16">
        <w:rPr>
          <w:rFonts w:ascii="Times New Roman" w:hAnsi="Times New Roman" w:cs="Times New Roman"/>
          <w:bCs/>
          <w:sz w:val="24"/>
          <w:szCs w:val="24"/>
          <w:lang w:val="en-IN"/>
        </w:rPr>
        <w:t>Zingiberaceae</w:t>
      </w:r>
      <w:proofErr w:type="spellEnd"/>
      <w:r w:rsidRPr="00293B16">
        <w:rPr>
          <w:rFonts w:ascii="Times New Roman" w:hAnsi="Times New Roman" w:cs="Times New Roman"/>
          <w:bCs/>
          <w:sz w:val="24"/>
          <w:szCs w:val="24"/>
          <w:lang w:val="en-IN"/>
        </w:rPr>
        <w:t xml:space="preserve">: A review. </w:t>
      </w:r>
      <w:r w:rsidRPr="00293B16">
        <w:rPr>
          <w:rFonts w:ascii="Times New Roman" w:hAnsi="Times New Roman" w:cs="Times New Roman"/>
          <w:bCs/>
          <w:i/>
          <w:iCs/>
          <w:sz w:val="24"/>
          <w:szCs w:val="24"/>
          <w:lang w:val="en-IN"/>
        </w:rPr>
        <w:t>Agriculture (MDPI), 12</w:t>
      </w:r>
      <w:r w:rsidRPr="00293B16">
        <w:rPr>
          <w:rFonts w:ascii="Times New Roman" w:hAnsi="Times New Roman" w:cs="Times New Roman"/>
          <w:bCs/>
          <w:sz w:val="24"/>
          <w:szCs w:val="24"/>
          <w:lang w:val="en-IN"/>
        </w:rPr>
        <w:t>(3), 421.</w:t>
      </w:r>
    </w:p>
    <w:p w14:paraId="3AF072C0" w14:textId="635124FA" w:rsidR="000435C7" w:rsidRPr="00293B16" w:rsidRDefault="000435C7" w:rsidP="000435C7">
      <w:pPr>
        <w:jc w:val="both"/>
        <w:rPr>
          <w:rFonts w:ascii="Times New Roman" w:hAnsi="Times New Roman" w:cs="Times New Roman"/>
          <w:bCs/>
          <w:sz w:val="24"/>
          <w:szCs w:val="24"/>
        </w:rPr>
      </w:pPr>
      <w:r w:rsidRPr="00293B16">
        <w:rPr>
          <w:rFonts w:ascii="Times New Roman" w:hAnsi="Times New Roman" w:cs="Times New Roman"/>
          <w:bCs/>
          <w:sz w:val="24"/>
          <w:szCs w:val="24"/>
        </w:rPr>
        <w:t xml:space="preserve">ICAR-IISR. </w:t>
      </w:r>
      <w:r w:rsidRPr="00293B16">
        <w:rPr>
          <w:rFonts w:ascii="Times New Roman" w:hAnsi="Times New Roman" w:cs="Times New Roman"/>
          <w:bCs/>
          <w:i/>
          <w:iCs/>
          <w:sz w:val="24"/>
          <w:szCs w:val="24"/>
        </w:rPr>
        <w:t xml:space="preserve">AICRPS Technologies (2021): Single-bud </w:t>
      </w:r>
      <w:proofErr w:type="spellStart"/>
      <w:r w:rsidRPr="00293B16">
        <w:rPr>
          <w:rFonts w:ascii="Times New Roman" w:hAnsi="Times New Roman" w:cs="Times New Roman"/>
          <w:bCs/>
          <w:i/>
          <w:iCs/>
          <w:sz w:val="24"/>
          <w:szCs w:val="24"/>
        </w:rPr>
        <w:t>protray</w:t>
      </w:r>
      <w:proofErr w:type="spellEnd"/>
      <w:r w:rsidRPr="00293B16">
        <w:rPr>
          <w:rFonts w:ascii="Times New Roman" w:hAnsi="Times New Roman" w:cs="Times New Roman"/>
          <w:bCs/>
          <w:i/>
          <w:iCs/>
          <w:sz w:val="24"/>
          <w:szCs w:val="24"/>
        </w:rPr>
        <w:t xml:space="preserve"> method</w:t>
      </w:r>
      <w:r w:rsidRPr="00293B16">
        <w:rPr>
          <w:rFonts w:ascii="Times New Roman" w:hAnsi="Times New Roman" w:cs="Times New Roman"/>
          <w:bCs/>
          <w:sz w:val="24"/>
          <w:szCs w:val="24"/>
        </w:rPr>
        <w:t xml:space="preserve"> (seed piece size, media, rationale).</w:t>
      </w:r>
    </w:p>
    <w:p w14:paraId="0452E469" w14:textId="5ECF4E47"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ICAR-IISR. (2021). </w:t>
      </w:r>
      <w:r w:rsidRPr="00293B16">
        <w:rPr>
          <w:rFonts w:ascii="Times New Roman" w:hAnsi="Times New Roman" w:cs="Times New Roman"/>
          <w:bCs/>
          <w:i/>
          <w:iCs/>
          <w:sz w:val="24"/>
          <w:szCs w:val="24"/>
          <w:lang w:val="en-IN"/>
        </w:rPr>
        <w:t xml:space="preserve">Single bud </w:t>
      </w:r>
      <w:proofErr w:type="spellStart"/>
      <w:r w:rsidRPr="00293B16">
        <w:rPr>
          <w:rFonts w:ascii="Times New Roman" w:hAnsi="Times New Roman" w:cs="Times New Roman"/>
          <w:bCs/>
          <w:i/>
          <w:iCs/>
          <w:sz w:val="24"/>
          <w:szCs w:val="24"/>
          <w:lang w:val="en-IN"/>
        </w:rPr>
        <w:t>protray</w:t>
      </w:r>
      <w:proofErr w:type="spellEnd"/>
      <w:r w:rsidRPr="00293B16">
        <w:rPr>
          <w:rFonts w:ascii="Times New Roman" w:hAnsi="Times New Roman" w:cs="Times New Roman"/>
          <w:bCs/>
          <w:i/>
          <w:iCs/>
          <w:sz w:val="24"/>
          <w:szCs w:val="24"/>
          <w:lang w:val="en-IN"/>
        </w:rPr>
        <w:t xml:space="preserve"> technology for quality ginger seed production.</w:t>
      </w:r>
      <w:r w:rsidRPr="00293B16">
        <w:rPr>
          <w:rFonts w:ascii="Times New Roman" w:hAnsi="Times New Roman" w:cs="Times New Roman"/>
          <w:bCs/>
          <w:sz w:val="24"/>
          <w:szCs w:val="24"/>
          <w:lang w:val="en-IN"/>
        </w:rPr>
        <w:t xml:space="preserve"> Indian Institute of Spices Research, Calicut.</w:t>
      </w:r>
    </w:p>
    <w:p w14:paraId="244D6396" w14:textId="33DF3D75"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Kerala Agricultural University (KAU). (2020). </w:t>
      </w:r>
      <w:r w:rsidRPr="00293B16">
        <w:rPr>
          <w:rFonts w:ascii="Times New Roman" w:hAnsi="Times New Roman" w:cs="Times New Roman"/>
          <w:bCs/>
          <w:i/>
          <w:iCs/>
          <w:sz w:val="24"/>
          <w:szCs w:val="24"/>
          <w:lang w:val="en-IN"/>
        </w:rPr>
        <w:t xml:space="preserve">Priming and </w:t>
      </w:r>
      <w:proofErr w:type="spellStart"/>
      <w:r w:rsidRPr="00293B16">
        <w:rPr>
          <w:rFonts w:ascii="Times New Roman" w:hAnsi="Times New Roman" w:cs="Times New Roman"/>
          <w:bCs/>
          <w:i/>
          <w:iCs/>
          <w:sz w:val="24"/>
          <w:szCs w:val="24"/>
          <w:lang w:val="en-IN"/>
        </w:rPr>
        <w:t>protray</w:t>
      </w:r>
      <w:proofErr w:type="spellEnd"/>
      <w:r w:rsidRPr="00293B16">
        <w:rPr>
          <w:rFonts w:ascii="Times New Roman" w:hAnsi="Times New Roman" w:cs="Times New Roman"/>
          <w:bCs/>
          <w:i/>
          <w:iCs/>
          <w:sz w:val="24"/>
          <w:szCs w:val="24"/>
          <w:lang w:val="en-IN"/>
        </w:rPr>
        <w:t xml:space="preserve"> nursery techniques for ginger.</w:t>
      </w:r>
      <w:r w:rsidRPr="00293B16">
        <w:rPr>
          <w:rFonts w:ascii="Times New Roman" w:hAnsi="Times New Roman" w:cs="Times New Roman"/>
          <w:bCs/>
          <w:sz w:val="24"/>
          <w:szCs w:val="24"/>
          <w:lang w:val="en-IN"/>
        </w:rPr>
        <w:t xml:space="preserve"> KAU Extension Bulletin.</w:t>
      </w:r>
    </w:p>
    <w:p w14:paraId="55C8C2A3" w14:textId="35D0976E" w:rsidR="004A2AD1" w:rsidRPr="00293B16" w:rsidRDefault="004A2AD1"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Kumar, V., Sharma, A., &amp; Singh, R. K. (2010). Effect of plant growth regulators on dormancy breaking and sprouting behavior of potato tubers. </w:t>
      </w:r>
      <w:r w:rsidRPr="00293B16">
        <w:rPr>
          <w:rFonts w:ascii="Times New Roman" w:hAnsi="Times New Roman" w:cs="Times New Roman"/>
          <w:bCs/>
          <w:i/>
          <w:iCs/>
          <w:sz w:val="24"/>
          <w:szCs w:val="24"/>
        </w:rPr>
        <w:t>Indian Journal of Plant Physiology</w:t>
      </w:r>
      <w:r w:rsidRPr="00293B16">
        <w:rPr>
          <w:rFonts w:ascii="Times New Roman" w:hAnsi="Times New Roman" w:cs="Times New Roman"/>
          <w:bCs/>
          <w:sz w:val="24"/>
          <w:szCs w:val="24"/>
        </w:rPr>
        <w:t>, 15(2), 123–129.</w:t>
      </w:r>
    </w:p>
    <w:p w14:paraId="374B87B5" w14:textId="4BE2208C"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Nayak, R. J., Naik, B. R., &amp; Mohapatra, D. (2020). Influence of foliar application of benzyl adenine and nutrients on growth and yield of transplanted ginger. </w:t>
      </w:r>
      <w:r w:rsidRPr="00293B16">
        <w:rPr>
          <w:rFonts w:ascii="Times New Roman" w:hAnsi="Times New Roman" w:cs="Times New Roman"/>
          <w:bCs/>
          <w:i/>
          <w:iCs/>
          <w:sz w:val="24"/>
          <w:szCs w:val="24"/>
          <w:lang w:val="en-IN"/>
        </w:rPr>
        <w:t>International Journal of Chemical Studies, 8</w:t>
      </w:r>
      <w:r w:rsidRPr="00293B16">
        <w:rPr>
          <w:rFonts w:ascii="Times New Roman" w:hAnsi="Times New Roman" w:cs="Times New Roman"/>
          <w:bCs/>
          <w:sz w:val="24"/>
          <w:szCs w:val="24"/>
          <w:lang w:val="en-IN"/>
        </w:rPr>
        <w:t>(5), 2634–2638.</w:t>
      </w:r>
    </w:p>
    <w:p w14:paraId="587F76BF" w14:textId="77777777"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Nirmal, B. K., &amp; Roy, A. (2019). Effect of plant growth regulators on sprouting and growth of ginger rhizomes. </w:t>
      </w:r>
      <w:r w:rsidRPr="00293B16">
        <w:rPr>
          <w:rFonts w:ascii="Times New Roman" w:hAnsi="Times New Roman" w:cs="Times New Roman"/>
          <w:bCs/>
          <w:i/>
          <w:iCs/>
          <w:sz w:val="24"/>
          <w:szCs w:val="24"/>
          <w:lang w:val="en-IN"/>
        </w:rPr>
        <w:t>International Journal of Current Microbiology and Applied Sciences, 8</w:t>
      </w:r>
      <w:r w:rsidRPr="00293B16">
        <w:rPr>
          <w:rFonts w:ascii="Times New Roman" w:hAnsi="Times New Roman" w:cs="Times New Roman"/>
          <w:bCs/>
          <w:sz w:val="24"/>
          <w:szCs w:val="24"/>
          <w:lang w:val="en-IN"/>
        </w:rPr>
        <w:t>(3), 210–217.</w:t>
      </w:r>
    </w:p>
    <w:p w14:paraId="080BC503" w14:textId="44A75373" w:rsidR="00D05467" w:rsidRPr="00293B16" w:rsidRDefault="00D05467" w:rsidP="000435C7">
      <w:pPr>
        <w:jc w:val="both"/>
        <w:rPr>
          <w:rFonts w:ascii="Times New Roman" w:hAnsi="Times New Roman" w:cs="Times New Roman"/>
          <w:bCs/>
          <w:sz w:val="24"/>
          <w:szCs w:val="24"/>
        </w:rPr>
      </w:pPr>
      <w:r w:rsidRPr="00293B16">
        <w:rPr>
          <w:rFonts w:ascii="Times New Roman" w:hAnsi="Times New Roman" w:cs="Times New Roman"/>
          <w:bCs/>
          <w:sz w:val="24"/>
          <w:szCs w:val="24"/>
        </w:rPr>
        <w:t xml:space="preserve">Priya, G., Joseph, B., &amp; Sabu, M. (2019). Influence of </w:t>
      </w:r>
      <w:proofErr w:type="spellStart"/>
      <w:r w:rsidRPr="00293B16">
        <w:rPr>
          <w:rFonts w:ascii="Times New Roman" w:hAnsi="Times New Roman" w:cs="Times New Roman"/>
          <w:bCs/>
          <w:sz w:val="24"/>
          <w:szCs w:val="24"/>
        </w:rPr>
        <w:t>cytokinins</w:t>
      </w:r>
      <w:proofErr w:type="spellEnd"/>
      <w:r w:rsidRPr="00293B16">
        <w:rPr>
          <w:rFonts w:ascii="Times New Roman" w:hAnsi="Times New Roman" w:cs="Times New Roman"/>
          <w:bCs/>
          <w:sz w:val="24"/>
          <w:szCs w:val="24"/>
        </w:rPr>
        <w:t xml:space="preserve"> on bud sprouting and seedling vigor in ginger. </w:t>
      </w:r>
      <w:r w:rsidRPr="00293B16">
        <w:rPr>
          <w:rFonts w:ascii="Times New Roman" w:hAnsi="Times New Roman" w:cs="Times New Roman"/>
          <w:bCs/>
          <w:i/>
          <w:iCs/>
          <w:sz w:val="24"/>
          <w:szCs w:val="24"/>
        </w:rPr>
        <w:t>International Journal of Current Microbiology and Applied Sciences</w:t>
      </w:r>
      <w:r w:rsidRPr="00293B16">
        <w:rPr>
          <w:rFonts w:ascii="Times New Roman" w:hAnsi="Times New Roman" w:cs="Times New Roman"/>
          <w:bCs/>
          <w:sz w:val="24"/>
          <w:szCs w:val="24"/>
        </w:rPr>
        <w:t>, 8(5), 2015–2023.</w:t>
      </w:r>
    </w:p>
    <w:p w14:paraId="2292CA6A" w14:textId="77777777" w:rsidR="004A2AD1" w:rsidRPr="00293B16" w:rsidRDefault="004A2AD1" w:rsidP="004A2AD1">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Rani, S., </w:t>
      </w:r>
      <w:proofErr w:type="spellStart"/>
      <w:r w:rsidRPr="00293B16">
        <w:rPr>
          <w:rFonts w:ascii="Times New Roman" w:hAnsi="Times New Roman" w:cs="Times New Roman"/>
          <w:bCs/>
          <w:sz w:val="24"/>
          <w:szCs w:val="24"/>
        </w:rPr>
        <w:t>Anitha</w:t>
      </w:r>
      <w:proofErr w:type="spellEnd"/>
      <w:r w:rsidRPr="00293B16">
        <w:rPr>
          <w:rFonts w:ascii="Times New Roman" w:hAnsi="Times New Roman" w:cs="Times New Roman"/>
          <w:bCs/>
          <w:sz w:val="24"/>
          <w:szCs w:val="24"/>
        </w:rPr>
        <w:t>, K., &amp; Thomas, J. (2020). Effect of BA and GA3 on dormancy breaking and sprouting in turmeric (</w:t>
      </w:r>
      <w:r w:rsidRPr="00293B16">
        <w:rPr>
          <w:rFonts w:ascii="Times New Roman" w:hAnsi="Times New Roman" w:cs="Times New Roman"/>
          <w:bCs/>
          <w:i/>
          <w:iCs/>
          <w:sz w:val="24"/>
          <w:szCs w:val="24"/>
        </w:rPr>
        <w:t>Curcuma longa</w:t>
      </w:r>
      <w:r w:rsidRPr="00293B16">
        <w:rPr>
          <w:rFonts w:ascii="Times New Roman" w:hAnsi="Times New Roman" w:cs="Times New Roman"/>
          <w:bCs/>
          <w:sz w:val="24"/>
          <w:szCs w:val="24"/>
        </w:rPr>
        <w:t xml:space="preserve"> L.) rhizomes. </w:t>
      </w:r>
      <w:r w:rsidRPr="00293B16">
        <w:rPr>
          <w:rFonts w:ascii="Times New Roman" w:hAnsi="Times New Roman" w:cs="Times New Roman"/>
          <w:bCs/>
          <w:i/>
          <w:iCs/>
          <w:sz w:val="24"/>
          <w:szCs w:val="24"/>
        </w:rPr>
        <w:t>Journal of Pharmacognosy and Phytochemistry</w:t>
      </w:r>
      <w:r w:rsidRPr="00293B16">
        <w:rPr>
          <w:rFonts w:ascii="Times New Roman" w:hAnsi="Times New Roman" w:cs="Times New Roman"/>
          <w:bCs/>
          <w:sz w:val="24"/>
          <w:szCs w:val="24"/>
        </w:rPr>
        <w:t>, 9(3), 199–203.</w:t>
      </w:r>
    </w:p>
    <w:p w14:paraId="0081BEAD" w14:textId="0C995021" w:rsidR="00032CAD" w:rsidRPr="00293B16" w:rsidRDefault="00032CAD"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Ravindran, P. N., Nirmal </w:t>
      </w:r>
      <w:proofErr w:type="spellStart"/>
      <w:r w:rsidRPr="00293B16">
        <w:rPr>
          <w:rFonts w:ascii="Times New Roman" w:hAnsi="Times New Roman" w:cs="Times New Roman"/>
          <w:bCs/>
          <w:sz w:val="24"/>
          <w:szCs w:val="24"/>
          <w:lang w:val="en-IN"/>
        </w:rPr>
        <w:t>Babu</w:t>
      </w:r>
      <w:proofErr w:type="spellEnd"/>
      <w:r w:rsidRPr="00293B16">
        <w:rPr>
          <w:rFonts w:ascii="Times New Roman" w:hAnsi="Times New Roman" w:cs="Times New Roman"/>
          <w:bCs/>
          <w:sz w:val="24"/>
          <w:szCs w:val="24"/>
          <w:lang w:val="en-IN"/>
        </w:rPr>
        <w:t xml:space="preserve">, K., &amp; </w:t>
      </w:r>
      <w:proofErr w:type="spellStart"/>
      <w:r w:rsidRPr="00293B16">
        <w:rPr>
          <w:rFonts w:ascii="Times New Roman" w:hAnsi="Times New Roman" w:cs="Times New Roman"/>
          <w:bCs/>
          <w:sz w:val="24"/>
          <w:szCs w:val="24"/>
          <w:lang w:val="en-IN"/>
        </w:rPr>
        <w:t>Sivaraman</w:t>
      </w:r>
      <w:proofErr w:type="spellEnd"/>
      <w:r w:rsidRPr="00293B16">
        <w:rPr>
          <w:rFonts w:ascii="Times New Roman" w:hAnsi="Times New Roman" w:cs="Times New Roman"/>
          <w:bCs/>
          <w:sz w:val="24"/>
          <w:szCs w:val="24"/>
          <w:lang w:val="en-IN"/>
        </w:rPr>
        <w:t xml:space="preserve">, K. (2007). </w:t>
      </w:r>
      <w:r w:rsidRPr="00293B16">
        <w:rPr>
          <w:rFonts w:ascii="Times New Roman" w:hAnsi="Times New Roman" w:cs="Times New Roman"/>
          <w:bCs/>
          <w:i/>
          <w:iCs/>
          <w:sz w:val="24"/>
          <w:szCs w:val="24"/>
          <w:lang w:val="en-IN"/>
        </w:rPr>
        <w:t>Turmeric: The genus Curcuma</w:t>
      </w:r>
      <w:r w:rsidRPr="00293B16">
        <w:rPr>
          <w:rFonts w:ascii="Times New Roman" w:hAnsi="Times New Roman" w:cs="Times New Roman"/>
          <w:bCs/>
          <w:sz w:val="24"/>
          <w:szCs w:val="24"/>
          <w:lang w:val="en-IN"/>
        </w:rPr>
        <w:t>. CRC Press</w:t>
      </w:r>
    </w:p>
    <w:p w14:paraId="0302E4B1" w14:textId="098AB475"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Sengupta, D. K., Chattopadhyay, A., &amp; Bhattacharya, S. (2008). Effect of growth regulators on growth and rhizome production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Rosc</w:t>
      </w:r>
      <w:proofErr w:type="spellEnd"/>
      <w:r w:rsidRPr="00293B16">
        <w:rPr>
          <w:rFonts w:ascii="Times New Roman" w:hAnsi="Times New Roman" w:cs="Times New Roman"/>
          <w:bCs/>
          <w:sz w:val="24"/>
          <w:szCs w:val="24"/>
          <w:lang w:val="en-IN"/>
        </w:rPr>
        <w:t xml:space="preserve">.). </w:t>
      </w:r>
      <w:r w:rsidRPr="00293B16">
        <w:rPr>
          <w:rFonts w:ascii="Times New Roman" w:hAnsi="Times New Roman" w:cs="Times New Roman"/>
          <w:bCs/>
          <w:i/>
          <w:iCs/>
          <w:sz w:val="24"/>
          <w:szCs w:val="24"/>
          <w:lang w:val="en-IN"/>
        </w:rPr>
        <w:t>Journal of Spices and Aromatic Crops, 17</w:t>
      </w:r>
      <w:r w:rsidRPr="00293B16">
        <w:rPr>
          <w:rFonts w:ascii="Times New Roman" w:hAnsi="Times New Roman" w:cs="Times New Roman"/>
          <w:bCs/>
          <w:sz w:val="24"/>
          <w:szCs w:val="24"/>
          <w:lang w:val="en-IN"/>
        </w:rPr>
        <w:t>(2), 140–144.</w:t>
      </w:r>
    </w:p>
    <w:p w14:paraId="45D538BD" w14:textId="798B4960" w:rsidR="00032CAD" w:rsidRPr="00293B16" w:rsidRDefault="00032CAD"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Sharma, Y. R., et al. (2010). Influence of </w:t>
      </w:r>
      <w:proofErr w:type="spellStart"/>
      <w:r w:rsidRPr="00293B16">
        <w:rPr>
          <w:rFonts w:ascii="Times New Roman" w:hAnsi="Times New Roman" w:cs="Times New Roman"/>
          <w:bCs/>
          <w:sz w:val="24"/>
          <w:szCs w:val="24"/>
          <w:lang w:val="en-IN"/>
        </w:rPr>
        <w:t>cytokinins</w:t>
      </w:r>
      <w:proofErr w:type="spellEnd"/>
      <w:r w:rsidRPr="00293B16">
        <w:rPr>
          <w:rFonts w:ascii="Times New Roman" w:hAnsi="Times New Roman" w:cs="Times New Roman"/>
          <w:bCs/>
          <w:sz w:val="24"/>
          <w:szCs w:val="24"/>
          <w:lang w:val="en-IN"/>
        </w:rPr>
        <w:t xml:space="preserve"> on sprouting and growth of rhizomatous crops. </w:t>
      </w:r>
      <w:r w:rsidRPr="00293B16">
        <w:rPr>
          <w:rFonts w:ascii="Times New Roman" w:hAnsi="Times New Roman" w:cs="Times New Roman"/>
          <w:bCs/>
          <w:i/>
          <w:iCs/>
          <w:sz w:val="24"/>
          <w:szCs w:val="24"/>
          <w:lang w:val="en-IN"/>
        </w:rPr>
        <w:t>Indian Journal of Plant Physiology</w:t>
      </w:r>
      <w:r w:rsidRPr="00293B16">
        <w:rPr>
          <w:rFonts w:ascii="Times New Roman" w:hAnsi="Times New Roman" w:cs="Times New Roman"/>
          <w:bCs/>
          <w:sz w:val="24"/>
          <w:szCs w:val="24"/>
          <w:lang w:val="en-IN"/>
        </w:rPr>
        <w:t>, 15(2), 150–155.</w:t>
      </w:r>
    </w:p>
    <w:p w14:paraId="36F21552" w14:textId="77777777" w:rsidR="00032CAD" w:rsidRPr="00293B16" w:rsidRDefault="00032CAD"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lastRenderedPageBreak/>
        <w:t xml:space="preserve">Taiz, L., &amp; Zeiger, E. (2015). </w:t>
      </w:r>
      <w:r w:rsidRPr="00293B16">
        <w:rPr>
          <w:rFonts w:ascii="Times New Roman" w:hAnsi="Times New Roman" w:cs="Times New Roman"/>
          <w:bCs/>
          <w:i/>
          <w:iCs/>
          <w:sz w:val="24"/>
          <w:szCs w:val="24"/>
          <w:lang w:val="en-IN"/>
        </w:rPr>
        <w:t>Plant Physiology and Development</w:t>
      </w:r>
      <w:r w:rsidRPr="00293B16">
        <w:rPr>
          <w:rFonts w:ascii="Times New Roman" w:hAnsi="Times New Roman" w:cs="Times New Roman"/>
          <w:bCs/>
          <w:sz w:val="24"/>
          <w:szCs w:val="24"/>
          <w:lang w:val="en-IN"/>
        </w:rPr>
        <w:t xml:space="preserve"> (6th ed.). Sinauer Associates.</w:t>
      </w:r>
    </w:p>
    <w:p w14:paraId="567F3427" w14:textId="11EA8851" w:rsidR="00493DAD" w:rsidRPr="00293B16" w:rsidRDefault="00493DAD"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Werner, T., &amp; </w:t>
      </w:r>
      <w:proofErr w:type="spellStart"/>
      <w:r w:rsidRPr="00293B16">
        <w:rPr>
          <w:rFonts w:ascii="Times New Roman" w:hAnsi="Times New Roman" w:cs="Times New Roman"/>
          <w:bCs/>
          <w:sz w:val="24"/>
          <w:szCs w:val="24"/>
        </w:rPr>
        <w:t>Schmülling</w:t>
      </w:r>
      <w:proofErr w:type="spellEnd"/>
      <w:r w:rsidRPr="00293B16">
        <w:rPr>
          <w:rFonts w:ascii="Times New Roman" w:hAnsi="Times New Roman" w:cs="Times New Roman"/>
          <w:bCs/>
          <w:sz w:val="24"/>
          <w:szCs w:val="24"/>
        </w:rPr>
        <w:t xml:space="preserve">, T. (2009). Cytokinin action in plant development. </w:t>
      </w:r>
      <w:r w:rsidRPr="00293B16">
        <w:rPr>
          <w:rFonts w:ascii="Times New Roman" w:hAnsi="Times New Roman" w:cs="Times New Roman"/>
          <w:bCs/>
          <w:i/>
          <w:iCs/>
          <w:sz w:val="24"/>
          <w:szCs w:val="24"/>
        </w:rPr>
        <w:t>Current Opinion in Plant Biology</w:t>
      </w:r>
      <w:r w:rsidRPr="00293B16">
        <w:rPr>
          <w:rFonts w:ascii="Times New Roman" w:hAnsi="Times New Roman" w:cs="Times New Roman"/>
          <w:bCs/>
          <w:sz w:val="24"/>
          <w:szCs w:val="24"/>
        </w:rPr>
        <w:t>, 12(5), 527–538.</w:t>
      </w:r>
    </w:p>
    <w:p w14:paraId="6B4C558D"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0A38D6DF"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79881DDD"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5F659A8A"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4010150F"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05F828B6"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25EFEB07"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7FAF476B" w14:textId="77777777" w:rsidR="000940EB" w:rsidRPr="00293B16" w:rsidRDefault="000940EB" w:rsidP="00293B16">
      <w:pPr>
        <w:spacing w:line="240" w:lineRule="auto"/>
        <w:rPr>
          <w:rFonts w:ascii="Times New Roman" w:hAnsi="Times New Roman" w:cs="Times New Roman"/>
          <w:b/>
          <w:sz w:val="24"/>
          <w:szCs w:val="24"/>
          <w:lang w:val="en-IN"/>
        </w:rPr>
      </w:pPr>
    </w:p>
    <w:p w14:paraId="65210CE4"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372425F4" w14:textId="3FF87760" w:rsidR="003E6525" w:rsidRPr="00293B16" w:rsidRDefault="003E6525" w:rsidP="003E6525">
      <w:pPr>
        <w:spacing w:line="240" w:lineRule="auto"/>
        <w:jc w:val="center"/>
        <w:rPr>
          <w:rFonts w:ascii="Times New Roman" w:hAnsi="Times New Roman" w:cs="Times New Roman"/>
          <w:b/>
          <w:color w:val="000000"/>
          <w:sz w:val="24"/>
          <w:szCs w:val="24"/>
        </w:rPr>
      </w:pPr>
      <w:r w:rsidRPr="00293B16">
        <w:rPr>
          <w:rFonts w:ascii="Times New Roman" w:hAnsi="Times New Roman" w:cs="Times New Roman"/>
          <w:b/>
          <w:sz w:val="24"/>
          <w:szCs w:val="24"/>
          <w:lang w:val="en-IN"/>
        </w:rPr>
        <w:t>Table 1.</w:t>
      </w:r>
      <w:r w:rsidRPr="00293B16">
        <w:rPr>
          <w:rFonts w:ascii="Times New Roman" w:hAnsi="Times New Roman" w:cs="Times New Roman"/>
          <w:bCs/>
          <w:sz w:val="24"/>
          <w:szCs w:val="24"/>
          <w:lang w:val="en-IN"/>
        </w:rPr>
        <w:t xml:space="preserve"> </w:t>
      </w:r>
      <w:r w:rsidRPr="00293B16">
        <w:rPr>
          <w:rFonts w:ascii="Times New Roman" w:hAnsi="Times New Roman" w:cs="Times New Roman"/>
          <w:b/>
          <w:color w:val="000000"/>
          <w:sz w:val="24"/>
          <w:szCs w:val="24"/>
        </w:rPr>
        <w:t xml:space="preserve">Influence of PGRs on Sprouting of Ginger Seed rhizomes in </w:t>
      </w:r>
      <w:proofErr w:type="spellStart"/>
      <w:r w:rsidRPr="00293B16">
        <w:rPr>
          <w:rFonts w:ascii="Times New Roman" w:hAnsi="Times New Roman" w:cs="Times New Roman"/>
          <w:b/>
          <w:color w:val="000000"/>
          <w:sz w:val="24"/>
          <w:szCs w:val="24"/>
        </w:rPr>
        <w:t>Protray</w:t>
      </w:r>
      <w:proofErr w:type="spellEnd"/>
      <w:r w:rsidRPr="00293B16">
        <w:rPr>
          <w:rFonts w:ascii="Times New Roman" w:hAnsi="Times New Roman" w:cs="Times New Roman"/>
          <w:b/>
          <w:color w:val="000000"/>
          <w:sz w:val="24"/>
          <w:szCs w:val="24"/>
        </w:rPr>
        <w:t xml:space="preserve"> nursery</w:t>
      </w:r>
    </w:p>
    <w:tbl>
      <w:tblPr>
        <w:tblStyle w:val="TableGrid"/>
        <w:tblW w:w="0" w:type="auto"/>
        <w:jc w:val="center"/>
        <w:tblLook w:val="04A0" w:firstRow="1" w:lastRow="0" w:firstColumn="1" w:lastColumn="0" w:noHBand="0" w:noVBand="1"/>
      </w:tblPr>
      <w:tblGrid>
        <w:gridCol w:w="3467"/>
        <w:gridCol w:w="4472"/>
      </w:tblGrid>
      <w:tr w:rsidR="003E6525" w:rsidRPr="00293B16" w14:paraId="1325A885" w14:textId="77777777" w:rsidTr="003E6525">
        <w:trPr>
          <w:jc w:val="center"/>
        </w:trPr>
        <w:tc>
          <w:tcPr>
            <w:tcW w:w="3467" w:type="dxa"/>
          </w:tcPr>
          <w:p w14:paraId="6327837E" w14:textId="21610D3D" w:rsidR="003E6525" w:rsidRPr="00293B16" w:rsidRDefault="003E6525"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Treatments</w:t>
            </w:r>
          </w:p>
        </w:tc>
        <w:tc>
          <w:tcPr>
            <w:tcW w:w="4472" w:type="dxa"/>
          </w:tcPr>
          <w:p w14:paraId="7DEC529C" w14:textId="3FC01F41" w:rsidR="003E6525" w:rsidRPr="00293B16" w:rsidRDefault="003E6525"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Sprouting %</w:t>
            </w:r>
          </w:p>
        </w:tc>
      </w:tr>
      <w:tr w:rsidR="003E6525" w:rsidRPr="00293B16" w14:paraId="2EE7100E" w14:textId="77777777" w:rsidTr="003E6525">
        <w:trPr>
          <w:jc w:val="center"/>
        </w:trPr>
        <w:tc>
          <w:tcPr>
            <w:tcW w:w="3467" w:type="dxa"/>
            <w:vAlign w:val="center"/>
          </w:tcPr>
          <w:p w14:paraId="26BEC478" w14:textId="4B6C844C"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1 </w:t>
            </w:r>
            <w:proofErr w:type="gramStart"/>
            <w:r w:rsidRPr="00293B16">
              <w:rPr>
                <w:rFonts w:ascii="Times New Roman" w:eastAsia="Calibri" w:hAnsi="Times New Roman" w:cs="Times New Roman"/>
                <w:bCs/>
                <w:color w:val="000000" w:themeColor="text1"/>
                <w:kern w:val="24"/>
                <w:sz w:val="24"/>
                <w:szCs w:val="24"/>
              </w:rPr>
              <w:t>( IAA</w:t>
            </w:r>
            <w:proofErr w:type="gramEnd"/>
            <w:r w:rsidRPr="00293B16">
              <w:rPr>
                <w:rFonts w:ascii="Times New Roman" w:eastAsia="Calibri" w:hAnsi="Times New Roman" w:cs="Times New Roman"/>
                <w:bCs/>
                <w:color w:val="000000" w:themeColor="text1"/>
                <w:kern w:val="24"/>
                <w:sz w:val="24"/>
                <w:szCs w:val="24"/>
              </w:rPr>
              <w:t xml:space="preserve"> 1000 ppm )</w:t>
            </w:r>
          </w:p>
        </w:tc>
        <w:tc>
          <w:tcPr>
            <w:tcW w:w="4472" w:type="dxa"/>
            <w:vAlign w:val="center"/>
          </w:tcPr>
          <w:p w14:paraId="7F83F460" w14:textId="1D1C369F"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78.1</w:t>
            </w:r>
          </w:p>
        </w:tc>
      </w:tr>
      <w:tr w:rsidR="003E6525" w:rsidRPr="00293B16" w14:paraId="323CB13B" w14:textId="77777777" w:rsidTr="003E6525">
        <w:trPr>
          <w:jc w:val="center"/>
        </w:trPr>
        <w:tc>
          <w:tcPr>
            <w:tcW w:w="3467" w:type="dxa"/>
            <w:vAlign w:val="center"/>
          </w:tcPr>
          <w:p w14:paraId="715FA806" w14:textId="5E683186"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2 </w:t>
            </w:r>
            <w:proofErr w:type="gramStart"/>
            <w:r w:rsidRPr="00293B16">
              <w:rPr>
                <w:rFonts w:ascii="Times New Roman" w:eastAsia="Calibri" w:hAnsi="Times New Roman" w:cs="Times New Roman"/>
                <w:bCs/>
                <w:color w:val="000000" w:themeColor="text1"/>
                <w:kern w:val="24"/>
                <w:sz w:val="24"/>
                <w:szCs w:val="24"/>
              </w:rPr>
              <w:t>( IAA</w:t>
            </w:r>
            <w:proofErr w:type="gramEnd"/>
            <w:r w:rsidRPr="00293B16">
              <w:rPr>
                <w:rFonts w:ascii="Times New Roman" w:eastAsia="Calibri" w:hAnsi="Times New Roman" w:cs="Times New Roman"/>
                <w:bCs/>
                <w:color w:val="000000" w:themeColor="text1"/>
                <w:kern w:val="24"/>
                <w:sz w:val="24"/>
                <w:szCs w:val="24"/>
              </w:rPr>
              <w:t xml:space="preserve"> 500 ppm )</w:t>
            </w:r>
          </w:p>
        </w:tc>
        <w:tc>
          <w:tcPr>
            <w:tcW w:w="4472" w:type="dxa"/>
            <w:vAlign w:val="center"/>
          </w:tcPr>
          <w:p w14:paraId="7DBDDE32" w14:textId="5E40D19F"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80.40</w:t>
            </w:r>
          </w:p>
        </w:tc>
      </w:tr>
      <w:tr w:rsidR="003E6525" w:rsidRPr="00293B16" w14:paraId="637C2010" w14:textId="77777777" w:rsidTr="003E6525">
        <w:trPr>
          <w:jc w:val="center"/>
        </w:trPr>
        <w:tc>
          <w:tcPr>
            <w:tcW w:w="3467" w:type="dxa"/>
            <w:vAlign w:val="center"/>
          </w:tcPr>
          <w:p w14:paraId="5D67E8EB" w14:textId="77B6A8D6"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3 </w:t>
            </w:r>
            <w:r w:rsidRPr="00293B16">
              <w:rPr>
                <w:rFonts w:ascii="Times New Roman" w:eastAsia="Calibri" w:hAnsi="Times New Roman" w:cs="Times New Roman"/>
                <w:bCs/>
                <w:color w:val="000000" w:themeColor="text1"/>
                <w:kern w:val="24"/>
                <w:sz w:val="24"/>
                <w:szCs w:val="24"/>
              </w:rPr>
              <w:t xml:space="preserve">(BA 1000 </w:t>
            </w:r>
            <w:proofErr w:type="gramStart"/>
            <w:r w:rsidRPr="00293B16">
              <w:rPr>
                <w:rFonts w:ascii="Times New Roman" w:eastAsia="Calibri" w:hAnsi="Times New Roman" w:cs="Times New Roman"/>
                <w:bCs/>
                <w:color w:val="000000" w:themeColor="text1"/>
                <w:kern w:val="24"/>
                <w:sz w:val="24"/>
                <w:szCs w:val="24"/>
              </w:rPr>
              <w:t>ppm )</w:t>
            </w:r>
            <w:proofErr w:type="gramEnd"/>
          </w:p>
        </w:tc>
        <w:tc>
          <w:tcPr>
            <w:tcW w:w="4472" w:type="dxa"/>
            <w:vAlign w:val="center"/>
          </w:tcPr>
          <w:p w14:paraId="765F59F5" w14:textId="3577FF0C"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86.43</w:t>
            </w:r>
          </w:p>
        </w:tc>
      </w:tr>
      <w:tr w:rsidR="003E6525" w:rsidRPr="00293B16" w14:paraId="06E7F36C" w14:textId="77777777" w:rsidTr="003E6525">
        <w:trPr>
          <w:jc w:val="center"/>
        </w:trPr>
        <w:tc>
          <w:tcPr>
            <w:tcW w:w="3467" w:type="dxa"/>
            <w:vAlign w:val="center"/>
          </w:tcPr>
          <w:p w14:paraId="2BE6EA11" w14:textId="57803903"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kern w:val="24"/>
                <w:sz w:val="24"/>
                <w:szCs w:val="24"/>
              </w:rPr>
              <w:t>T</w:t>
            </w:r>
            <w:r w:rsidRPr="00293B16">
              <w:rPr>
                <w:rFonts w:ascii="Times New Roman" w:eastAsia="Calibri" w:hAnsi="Times New Roman" w:cs="Times New Roman"/>
                <w:bCs/>
                <w:kern w:val="24"/>
                <w:position w:val="-7"/>
                <w:sz w:val="24"/>
                <w:szCs w:val="24"/>
                <w:vertAlign w:val="subscript"/>
              </w:rPr>
              <w:t xml:space="preserve">4 </w:t>
            </w:r>
            <w:r w:rsidRPr="00293B16">
              <w:rPr>
                <w:rFonts w:ascii="Times New Roman" w:eastAsia="Calibri" w:hAnsi="Times New Roman" w:cs="Times New Roman"/>
                <w:bCs/>
                <w:kern w:val="24"/>
                <w:sz w:val="24"/>
                <w:szCs w:val="24"/>
              </w:rPr>
              <w:t xml:space="preserve">(BA 500 </w:t>
            </w:r>
            <w:proofErr w:type="gramStart"/>
            <w:r w:rsidRPr="00293B16">
              <w:rPr>
                <w:rFonts w:ascii="Times New Roman" w:eastAsia="Calibri" w:hAnsi="Times New Roman" w:cs="Times New Roman"/>
                <w:bCs/>
                <w:kern w:val="24"/>
                <w:sz w:val="24"/>
                <w:szCs w:val="24"/>
              </w:rPr>
              <w:t>ppm )</w:t>
            </w:r>
            <w:proofErr w:type="gramEnd"/>
          </w:p>
        </w:tc>
        <w:tc>
          <w:tcPr>
            <w:tcW w:w="4472" w:type="dxa"/>
            <w:vAlign w:val="center"/>
          </w:tcPr>
          <w:p w14:paraId="54AE695D" w14:textId="6D181722"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kern w:val="24"/>
                <w:sz w:val="24"/>
                <w:szCs w:val="24"/>
              </w:rPr>
              <w:t>90.22</w:t>
            </w:r>
          </w:p>
        </w:tc>
      </w:tr>
      <w:tr w:rsidR="003E6525" w:rsidRPr="00293B16" w14:paraId="6DEB9A4D" w14:textId="77777777" w:rsidTr="003E6525">
        <w:trPr>
          <w:jc w:val="center"/>
        </w:trPr>
        <w:tc>
          <w:tcPr>
            <w:tcW w:w="3467" w:type="dxa"/>
            <w:vAlign w:val="center"/>
          </w:tcPr>
          <w:p w14:paraId="0B721A5A" w14:textId="503C5488"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5 </w:t>
            </w:r>
            <w:r w:rsidRPr="00293B16">
              <w:rPr>
                <w:rFonts w:ascii="Times New Roman" w:eastAsia="Calibri" w:hAnsi="Times New Roman" w:cs="Times New Roman"/>
                <w:bCs/>
                <w:color w:val="000000" w:themeColor="text1"/>
                <w:kern w:val="24"/>
                <w:sz w:val="24"/>
                <w:szCs w:val="24"/>
              </w:rPr>
              <w:t xml:space="preserve">(NAA 1000 </w:t>
            </w:r>
            <w:proofErr w:type="gramStart"/>
            <w:r w:rsidRPr="00293B16">
              <w:rPr>
                <w:rFonts w:ascii="Times New Roman" w:eastAsia="Calibri" w:hAnsi="Times New Roman" w:cs="Times New Roman"/>
                <w:bCs/>
                <w:color w:val="000000" w:themeColor="text1"/>
                <w:kern w:val="24"/>
                <w:sz w:val="24"/>
                <w:szCs w:val="24"/>
              </w:rPr>
              <w:t>ppm )</w:t>
            </w:r>
            <w:proofErr w:type="gramEnd"/>
          </w:p>
        </w:tc>
        <w:tc>
          <w:tcPr>
            <w:tcW w:w="4472" w:type="dxa"/>
            <w:vAlign w:val="center"/>
          </w:tcPr>
          <w:p w14:paraId="3369B74D" w14:textId="3583D5E0"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67.66</w:t>
            </w:r>
          </w:p>
        </w:tc>
      </w:tr>
      <w:tr w:rsidR="003E6525" w:rsidRPr="00293B16" w14:paraId="5A626738" w14:textId="77777777" w:rsidTr="003E6525">
        <w:trPr>
          <w:jc w:val="center"/>
        </w:trPr>
        <w:tc>
          <w:tcPr>
            <w:tcW w:w="3467" w:type="dxa"/>
            <w:vAlign w:val="center"/>
          </w:tcPr>
          <w:p w14:paraId="16AC5D02" w14:textId="1DB0BE81"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6 </w:t>
            </w:r>
            <w:r w:rsidRPr="00293B16">
              <w:rPr>
                <w:rFonts w:ascii="Times New Roman" w:eastAsia="Calibri" w:hAnsi="Times New Roman" w:cs="Times New Roman"/>
                <w:bCs/>
                <w:color w:val="000000" w:themeColor="text1"/>
                <w:kern w:val="24"/>
                <w:sz w:val="24"/>
                <w:szCs w:val="24"/>
              </w:rPr>
              <w:t xml:space="preserve">(NAA 500 </w:t>
            </w:r>
            <w:proofErr w:type="gramStart"/>
            <w:r w:rsidRPr="00293B16">
              <w:rPr>
                <w:rFonts w:ascii="Times New Roman" w:eastAsia="Calibri" w:hAnsi="Times New Roman" w:cs="Times New Roman"/>
                <w:bCs/>
                <w:color w:val="000000" w:themeColor="text1"/>
                <w:kern w:val="24"/>
                <w:sz w:val="24"/>
                <w:szCs w:val="24"/>
              </w:rPr>
              <w:t>ppm )</w:t>
            </w:r>
            <w:proofErr w:type="gramEnd"/>
          </w:p>
        </w:tc>
        <w:tc>
          <w:tcPr>
            <w:tcW w:w="4472" w:type="dxa"/>
            <w:vAlign w:val="center"/>
          </w:tcPr>
          <w:p w14:paraId="6D78C5C1" w14:textId="20892352"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73.46</w:t>
            </w:r>
          </w:p>
        </w:tc>
      </w:tr>
      <w:tr w:rsidR="003E6525" w:rsidRPr="00293B16" w14:paraId="7C399BD9" w14:textId="77777777" w:rsidTr="003E6525">
        <w:trPr>
          <w:jc w:val="center"/>
        </w:trPr>
        <w:tc>
          <w:tcPr>
            <w:tcW w:w="3467" w:type="dxa"/>
            <w:vAlign w:val="center"/>
          </w:tcPr>
          <w:p w14:paraId="20D03F8F" w14:textId="481CCD11"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7</w:t>
            </w:r>
            <w:r w:rsidRPr="00293B16">
              <w:rPr>
                <w:rFonts w:ascii="Times New Roman" w:eastAsia="Calibri" w:hAnsi="Times New Roman" w:cs="Times New Roman"/>
                <w:bCs/>
                <w:color w:val="000000" w:themeColor="text1"/>
                <w:kern w:val="24"/>
                <w:sz w:val="24"/>
                <w:szCs w:val="24"/>
              </w:rPr>
              <w:t xml:space="preserve"> (Control) </w:t>
            </w:r>
          </w:p>
        </w:tc>
        <w:tc>
          <w:tcPr>
            <w:tcW w:w="4472" w:type="dxa"/>
            <w:vAlign w:val="center"/>
          </w:tcPr>
          <w:p w14:paraId="7023240B" w14:textId="13F3DB92"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55.96</w:t>
            </w:r>
          </w:p>
        </w:tc>
      </w:tr>
      <w:tr w:rsidR="003E6525" w:rsidRPr="00293B16" w14:paraId="1BB15953" w14:textId="77777777" w:rsidTr="003E6525">
        <w:trPr>
          <w:jc w:val="center"/>
        </w:trPr>
        <w:tc>
          <w:tcPr>
            <w:tcW w:w="3467" w:type="dxa"/>
          </w:tcPr>
          <w:p w14:paraId="6B514BC3" w14:textId="0D3B3414" w:rsidR="003E6525" w:rsidRPr="00293B16" w:rsidRDefault="003E6525" w:rsidP="003E6525">
            <w:pPr>
              <w:jc w:val="both"/>
              <w:rPr>
                <w:rFonts w:ascii="Times New Roman" w:hAnsi="Times New Roman" w:cs="Times New Roman"/>
                <w:bCs/>
                <w:sz w:val="24"/>
                <w:szCs w:val="24"/>
                <w:lang w:val="en-IN"/>
              </w:rPr>
            </w:pPr>
            <w:proofErr w:type="spellStart"/>
            <w:proofErr w:type="gramStart"/>
            <w:r w:rsidRPr="00293B16">
              <w:rPr>
                <w:rFonts w:ascii="Times New Roman" w:eastAsia="Calibri" w:hAnsi="Times New Roman" w:cs="Times New Roman"/>
                <w:bCs/>
                <w:color w:val="000000" w:themeColor="text1"/>
                <w:kern w:val="24"/>
                <w:sz w:val="24"/>
                <w:szCs w:val="24"/>
              </w:rPr>
              <w:t>S.Ed</w:t>
            </w:r>
            <w:proofErr w:type="spellEnd"/>
            <w:proofErr w:type="gramEnd"/>
          </w:p>
        </w:tc>
        <w:tc>
          <w:tcPr>
            <w:tcW w:w="4472" w:type="dxa"/>
            <w:vAlign w:val="center"/>
          </w:tcPr>
          <w:p w14:paraId="28D45B45" w14:textId="3349940C"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1.28</w:t>
            </w:r>
          </w:p>
        </w:tc>
      </w:tr>
      <w:tr w:rsidR="003E6525" w:rsidRPr="00293B16" w14:paraId="2939EC71" w14:textId="77777777" w:rsidTr="003E6525">
        <w:trPr>
          <w:jc w:val="center"/>
        </w:trPr>
        <w:tc>
          <w:tcPr>
            <w:tcW w:w="3467" w:type="dxa"/>
          </w:tcPr>
          <w:p w14:paraId="79302C58" w14:textId="28C14D5A"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CD (P=0.05)</w:t>
            </w:r>
          </w:p>
        </w:tc>
        <w:tc>
          <w:tcPr>
            <w:tcW w:w="4472" w:type="dxa"/>
            <w:vAlign w:val="center"/>
          </w:tcPr>
          <w:p w14:paraId="4822346A" w14:textId="1AC149FE"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2.56</w:t>
            </w:r>
          </w:p>
        </w:tc>
      </w:tr>
    </w:tbl>
    <w:p w14:paraId="17551ACE" w14:textId="00D0DEEE" w:rsidR="00032CAD" w:rsidRPr="00293B16" w:rsidRDefault="00032CAD" w:rsidP="00032CAD">
      <w:pPr>
        <w:jc w:val="both"/>
        <w:rPr>
          <w:rFonts w:ascii="Times New Roman" w:hAnsi="Times New Roman" w:cs="Times New Roman"/>
          <w:bCs/>
          <w:sz w:val="24"/>
          <w:szCs w:val="24"/>
          <w:lang w:val="en-IN"/>
        </w:rPr>
      </w:pPr>
    </w:p>
    <w:p w14:paraId="4411841B" w14:textId="3AD2B04E" w:rsidR="003649F2" w:rsidRPr="00293B16" w:rsidRDefault="003649F2" w:rsidP="003649F2">
      <w:pPr>
        <w:spacing w:line="240" w:lineRule="auto"/>
        <w:jc w:val="center"/>
        <w:rPr>
          <w:rFonts w:ascii="Times New Roman" w:hAnsi="Times New Roman" w:cs="Times New Roman"/>
          <w:b/>
          <w:color w:val="000000"/>
          <w:sz w:val="24"/>
          <w:szCs w:val="24"/>
        </w:rPr>
      </w:pPr>
      <w:r w:rsidRPr="00293B16">
        <w:rPr>
          <w:rFonts w:ascii="Times New Roman" w:hAnsi="Times New Roman" w:cs="Times New Roman"/>
          <w:bCs/>
          <w:sz w:val="24"/>
          <w:szCs w:val="24"/>
          <w:lang w:val="en-IN"/>
        </w:rPr>
        <w:tab/>
      </w:r>
      <w:r w:rsidRPr="00293B16">
        <w:rPr>
          <w:rFonts w:ascii="Times New Roman" w:hAnsi="Times New Roman" w:cs="Times New Roman"/>
          <w:b/>
          <w:sz w:val="24"/>
          <w:szCs w:val="24"/>
          <w:lang w:val="en-IN"/>
        </w:rPr>
        <w:t xml:space="preserve">Table </w:t>
      </w:r>
      <w:r w:rsidR="005A4B2C" w:rsidRPr="00293B16">
        <w:rPr>
          <w:rFonts w:ascii="Times New Roman" w:hAnsi="Times New Roman" w:cs="Times New Roman"/>
          <w:b/>
          <w:sz w:val="24"/>
          <w:szCs w:val="24"/>
          <w:lang w:val="en-IN"/>
        </w:rPr>
        <w:t>2</w:t>
      </w:r>
      <w:r w:rsidRPr="00293B16">
        <w:rPr>
          <w:rFonts w:ascii="Times New Roman" w:hAnsi="Times New Roman" w:cs="Times New Roman"/>
          <w:b/>
          <w:sz w:val="24"/>
          <w:szCs w:val="24"/>
          <w:lang w:val="en-IN"/>
        </w:rPr>
        <w:t>.</w:t>
      </w:r>
      <w:r w:rsidRPr="00293B16">
        <w:rPr>
          <w:rFonts w:ascii="Times New Roman" w:hAnsi="Times New Roman" w:cs="Times New Roman"/>
          <w:bCs/>
          <w:sz w:val="24"/>
          <w:szCs w:val="24"/>
          <w:lang w:val="en-IN"/>
        </w:rPr>
        <w:t xml:space="preserve"> </w:t>
      </w:r>
      <w:r w:rsidRPr="00293B16">
        <w:rPr>
          <w:rFonts w:ascii="Times New Roman" w:hAnsi="Times New Roman" w:cs="Times New Roman"/>
          <w:b/>
          <w:color w:val="000000"/>
          <w:sz w:val="24"/>
          <w:szCs w:val="24"/>
        </w:rPr>
        <w:t xml:space="preserve">Influence of PGRs on shoot parameters of Ginger Seed rhizomes in </w:t>
      </w:r>
      <w:proofErr w:type="spellStart"/>
      <w:r w:rsidRPr="00293B16">
        <w:rPr>
          <w:rFonts w:ascii="Times New Roman" w:hAnsi="Times New Roman" w:cs="Times New Roman"/>
          <w:b/>
          <w:color w:val="000000"/>
          <w:sz w:val="24"/>
          <w:szCs w:val="24"/>
        </w:rPr>
        <w:t>Protray</w:t>
      </w:r>
      <w:proofErr w:type="spellEnd"/>
      <w:r w:rsidRPr="00293B16">
        <w:rPr>
          <w:rFonts w:ascii="Times New Roman" w:hAnsi="Times New Roman" w:cs="Times New Roman"/>
          <w:b/>
          <w:color w:val="000000"/>
          <w:sz w:val="24"/>
          <w:szCs w:val="24"/>
        </w:rPr>
        <w:t xml:space="preserve"> nursery</w:t>
      </w:r>
    </w:p>
    <w:p w14:paraId="41D4081C" w14:textId="6F05E842" w:rsidR="00032CAD" w:rsidRPr="00293B16" w:rsidRDefault="00032CAD" w:rsidP="003649F2">
      <w:pPr>
        <w:tabs>
          <w:tab w:val="left" w:pos="2442"/>
        </w:tabs>
        <w:jc w:val="both"/>
        <w:rPr>
          <w:rFonts w:ascii="Times New Roman" w:hAnsi="Times New Roman" w:cs="Times New Roman"/>
          <w:bCs/>
          <w:sz w:val="24"/>
          <w:szCs w:val="24"/>
          <w:lang w:val="en-IN"/>
        </w:rPr>
      </w:pPr>
    </w:p>
    <w:tbl>
      <w:tblPr>
        <w:tblStyle w:val="TableGrid"/>
        <w:tblW w:w="0" w:type="auto"/>
        <w:tblLook w:val="0600" w:firstRow="0" w:lastRow="0" w:firstColumn="0" w:lastColumn="0" w:noHBand="1" w:noVBand="1"/>
      </w:tblPr>
      <w:tblGrid>
        <w:gridCol w:w="1582"/>
        <w:gridCol w:w="828"/>
        <w:gridCol w:w="828"/>
        <w:gridCol w:w="937"/>
        <w:gridCol w:w="901"/>
        <w:gridCol w:w="1006"/>
        <w:gridCol w:w="787"/>
        <w:gridCol w:w="787"/>
        <w:gridCol w:w="1694"/>
      </w:tblGrid>
      <w:tr w:rsidR="00B55EB5" w:rsidRPr="00293B16" w14:paraId="111D50B6" w14:textId="2EA80BAC" w:rsidTr="004D4334">
        <w:trPr>
          <w:trHeight w:val="483"/>
        </w:trPr>
        <w:tc>
          <w:tcPr>
            <w:tcW w:w="0" w:type="auto"/>
            <w:vMerge w:val="restart"/>
            <w:hideMark/>
          </w:tcPr>
          <w:p w14:paraId="4E47857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Treatments</w:t>
            </w:r>
          </w:p>
        </w:tc>
        <w:tc>
          <w:tcPr>
            <w:tcW w:w="0" w:type="auto"/>
            <w:gridSpan w:val="3"/>
            <w:hideMark/>
          </w:tcPr>
          <w:p w14:paraId="28D8681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Plant height (cm)</w:t>
            </w:r>
          </w:p>
        </w:tc>
        <w:tc>
          <w:tcPr>
            <w:tcW w:w="0" w:type="auto"/>
            <w:gridSpan w:val="2"/>
          </w:tcPr>
          <w:p w14:paraId="41EBB55B" w14:textId="59487019"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Length of Leaves (cm)</w:t>
            </w:r>
          </w:p>
        </w:tc>
        <w:tc>
          <w:tcPr>
            <w:tcW w:w="0" w:type="auto"/>
            <w:gridSpan w:val="2"/>
          </w:tcPr>
          <w:p w14:paraId="4ABE8EED" w14:textId="1093C71A"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Leaf width (cm)</w:t>
            </w:r>
          </w:p>
        </w:tc>
        <w:tc>
          <w:tcPr>
            <w:tcW w:w="0" w:type="auto"/>
          </w:tcPr>
          <w:p w14:paraId="7FD490B5" w14:textId="4462696A" w:rsidR="004D4334" w:rsidRPr="00293B16" w:rsidRDefault="004D4334" w:rsidP="000940EB">
            <w:pPr>
              <w:jc w:val="both"/>
              <w:rPr>
                <w:rFonts w:ascii="Times New Roman" w:hAnsi="Times New Roman" w:cs="Times New Roman"/>
                <w:sz w:val="24"/>
                <w:szCs w:val="24"/>
              </w:rPr>
            </w:pPr>
            <w:proofErr w:type="spellStart"/>
            <w:r w:rsidRPr="00293B16">
              <w:rPr>
                <w:rFonts w:ascii="Times New Roman" w:hAnsi="Times New Roman" w:cs="Times New Roman"/>
                <w:sz w:val="24"/>
                <w:szCs w:val="24"/>
              </w:rPr>
              <w:t>Pseudostem</w:t>
            </w:r>
            <w:proofErr w:type="spellEnd"/>
            <w:r w:rsidRPr="00293B16">
              <w:rPr>
                <w:rFonts w:ascii="Times New Roman" w:hAnsi="Times New Roman" w:cs="Times New Roman"/>
                <w:sz w:val="24"/>
                <w:szCs w:val="24"/>
              </w:rPr>
              <w:t xml:space="preserve"> girth (mm)</w:t>
            </w:r>
          </w:p>
        </w:tc>
      </w:tr>
      <w:tr w:rsidR="00B55EB5" w:rsidRPr="00293B16" w14:paraId="5ED58063" w14:textId="18C07E0C" w:rsidTr="004D4334">
        <w:trPr>
          <w:trHeight w:val="967"/>
        </w:trPr>
        <w:tc>
          <w:tcPr>
            <w:tcW w:w="0" w:type="auto"/>
            <w:vMerge/>
            <w:hideMark/>
          </w:tcPr>
          <w:p w14:paraId="2CAE0540" w14:textId="77777777" w:rsidR="004D4334" w:rsidRPr="00293B16" w:rsidRDefault="004D4334" w:rsidP="000940EB">
            <w:pPr>
              <w:spacing w:line="276" w:lineRule="auto"/>
              <w:jc w:val="both"/>
              <w:rPr>
                <w:rFonts w:ascii="Times New Roman" w:hAnsi="Times New Roman" w:cs="Times New Roman"/>
                <w:sz w:val="24"/>
                <w:szCs w:val="24"/>
                <w:lang w:val="en-IN"/>
              </w:rPr>
            </w:pPr>
          </w:p>
        </w:tc>
        <w:tc>
          <w:tcPr>
            <w:tcW w:w="0" w:type="auto"/>
            <w:hideMark/>
          </w:tcPr>
          <w:p w14:paraId="2B0C2565"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 xml:space="preserve">15 </w:t>
            </w:r>
            <w:proofErr w:type="gramStart"/>
            <w:r w:rsidRPr="00293B16">
              <w:rPr>
                <w:rFonts w:ascii="Times New Roman" w:hAnsi="Times New Roman" w:cs="Times New Roman"/>
                <w:sz w:val="24"/>
                <w:szCs w:val="24"/>
              </w:rPr>
              <w:t>DAP</w:t>
            </w:r>
            <w:proofErr w:type="gramEnd"/>
          </w:p>
        </w:tc>
        <w:tc>
          <w:tcPr>
            <w:tcW w:w="0" w:type="auto"/>
            <w:hideMark/>
          </w:tcPr>
          <w:p w14:paraId="0C034F90"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 xml:space="preserve">30 </w:t>
            </w:r>
            <w:proofErr w:type="gramStart"/>
            <w:r w:rsidRPr="00293B16">
              <w:rPr>
                <w:rFonts w:ascii="Times New Roman" w:hAnsi="Times New Roman" w:cs="Times New Roman"/>
                <w:sz w:val="24"/>
                <w:szCs w:val="24"/>
              </w:rPr>
              <w:t>DAP</w:t>
            </w:r>
            <w:proofErr w:type="gramEnd"/>
          </w:p>
        </w:tc>
        <w:tc>
          <w:tcPr>
            <w:tcW w:w="0" w:type="auto"/>
            <w:hideMark/>
          </w:tcPr>
          <w:p w14:paraId="760FFFCE"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45DAP</w:t>
            </w:r>
          </w:p>
        </w:tc>
        <w:tc>
          <w:tcPr>
            <w:tcW w:w="0" w:type="auto"/>
          </w:tcPr>
          <w:p w14:paraId="5C07879A" w14:textId="0C7FE0A9"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30 </w:t>
            </w:r>
            <w:proofErr w:type="gramStart"/>
            <w:r w:rsidRPr="00293B16">
              <w:rPr>
                <w:rFonts w:ascii="Times New Roman" w:hAnsi="Times New Roman" w:cs="Times New Roman"/>
                <w:sz w:val="24"/>
                <w:szCs w:val="24"/>
              </w:rPr>
              <w:t>DAP</w:t>
            </w:r>
            <w:proofErr w:type="gramEnd"/>
          </w:p>
        </w:tc>
        <w:tc>
          <w:tcPr>
            <w:tcW w:w="0" w:type="auto"/>
          </w:tcPr>
          <w:p w14:paraId="30DA9568" w14:textId="407FFD0E"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45DAP</w:t>
            </w:r>
          </w:p>
        </w:tc>
        <w:tc>
          <w:tcPr>
            <w:tcW w:w="0" w:type="auto"/>
          </w:tcPr>
          <w:p w14:paraId="2FA09236" w14:textId="74D3924E"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30 </w:t>
            </w:r>
            <w:proofErr w:type="gramStart"/>
            <w:r w:rsidRPr="00293B16">
              <w:rPr>
                <w:rFonts w:ascii="Times New Roman" w:hAnsi="Times New Roman" w:cs="Times New Roman"/>
                <w:sz w:val="24"/>
                <w:szCs w:val="24"/>
              </w:rPr>
              <w:t>DAP</w:t>
            </w:r>
            <w:proofErr w:type="gramEnd"/>
          </w:p>
        </w:tc>
        <w:tc>
          <w:tcPr>
            <w:tcW w:w="0" w:type="auto"/>
          </w:tcPr>
          <w:p w14:paraId="7B73FF4D" w14:textId="0BEC5CBB"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45 </w:t>
            </w:r>
            <w:proofErr w:type="gramStart"/>
            <w:r w:rsidRPr="00293B16">
              <w:rPr>
                <w:rFonts w:ascii="Times New Roman" w:hAnsi="Times New Roman" w:cs="Times New Roman"/>
                <w:sz w:val="24"/>
                <w:szCs w:val="24"/>
              </w:rPr>
              <w:t>DAP</w:t>
            </w:r>
            <w:proofErr w:type="gramEnd"/>
          </w:p>
        </w:tc>
        <w:tc>
          <w:tcPr>
            <w:tcW w:w="0" w:type="auto"/>
          </w:tcPr>
          <w:p w14:paraId="2BB04370" w14:textId="2A188FDD"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45 </w:t>
            </w:r>
            <w:proofErr w:type="gramStart"/>
            <w:r w:rsidRPr="00293B16">
              <w:rPr>
                <w:rFonts w:ascii="Times New Roman" w:hAnsi="Times New Roman" w:cs="Times New Roman"/>
                <w:sz w:val="24"/>
                <w:szCs w:val="24"/>
              </w:rPr>
              <w:t>DAP</w:t>
            </w:r>
            <w:proofErr w:type="gramEnd"/>
          </w:p>
        </w:tc>
      </w:tr>
      <w:tr w:rsidR="00B55EB5" w:rsidRPr="00293B16" w14:paraId="2F27C7B1" w14:textId="2417F88E" w:rsidTr="004D4334">
        <w:trPr>
          <w:trHeight w:val="483"/>
        </w:trPr>
        <w:tc>
          <w:tcPr>
            <w:tcW w:w="0" w:type="auto"/>
            <w:hideMark/>
          </w:tcPr>
          <w:p w14:paraId="3FAB4E3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lastRenderedPageBreak/>
              <w:t>T</w:t>
            </w:r>
            <w:r w:rsidRPr="00293B16">
              <w:rPr>
                <w:rFonts w:ascii="Times New Roman" w:hAnsi="Times New Roman" w:cs="Times New Roman"/>
                <w:sz w:val="24"/>
                <w:szCs w:val="24"/>
                <w:vertAlign w:val="subscript"/>
              </w:rPr>
              <w:t xml:space="preserve">1 </w:t>
            </w:r>
            <w:proofErr w:type="gramStart"/>
            <w:r w:rsidRPr="00293B16">
              <w:rPr>
                <w:rFonts w:ascii="Times New Roman" w:hAnsi="Times New Roman" w:cs="Times New Roman"/>
                <w:sz w:val="24"/>
                <w:szCs w:val="24"/>
              </w:rPr>
              <w:t>( IAA</w:t>
            </w:r>
            <w:proofErr w:type="gramEnd"/>
            <w:r w:rsidRPr="00293B16">
              <w:rPr>
                <w:rFonts w:ascii="Times New Roman" w:hAnsi="Times New Roman" w:cs="Times New Roman"/>
                <w:sz w:val="24"/>
                <w:szCs w:val="24"/>
              </w:rPr>
              <w:t xml:space="preserve"> 1000 ppm )</w:t>
            </w:r>
          </w:p>
        </w:tc>
        <w:tc>
          <w:tcPr>
            <w:tcW w:w="0" w:type="auto"/>
            <w:hideMark/>
          </w:tcPr>
          <w:p w14:paraId="29E4CF01"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22.90</w:t>
            </w:r>
          </w:p>
        </w:tc>
        <w:tc>
          <w:tcPr>
            <w:tcW w:w="0" w:type="auto"/>
            <w:hideMark/>
          </w:tcPr>
          <w:p w14:paraId="49E61B3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31.44</w:t>
            </w:r>
          </w:p>
        </w:tc>
        <w:tc>
          <w:tcPr>
            <w:tcW w:w="0" w:type="auto"/>
            <w:hideMark/>
          </w:tcPr>
          <w:p w14:paraId="1BAF4CF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35.55</w:t>
            </w:r>
          </w:p>
        </w:tc>
        <w:tc>
          <w:tcPr>
            <w:tcW w:w="0" w:type="auto"/>
            <w:vAlign w:val="center"/>
          </w:tcPr>
          <w:p w14:paraId="566743C7" w14:textId="36DF657B"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10.61</w:t>
            </w:r>
          </w:p>
        </w:tc>
        <w:tc>
          <w:tcPr>
            <w:tcW w:w="0" w:type="auto"/>
            <w:vAlign w:val="center"/>
          </w:tcPr>
          <w:p w14:paraId="0F03E9F1" w14:textId="699B648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8.28</w:t>
            </w:r>
          </w:p>
        </w:tc>
        <w:tc>
          <w:tcPr>
            <w:tcW w:w="0" w:type="auto"/>
            <w:vAlign w:val="center"/>
          </w:tcPr>
          <w:p w14:paraId="6B59D4D0" w14:textId="613C374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2.83</w:t>
            </w:r>
          </w:p>
        </w:tc>
        <w:tc>
          <w:tcPr>
            <w:tcW w:w="0" w:type="auto"/>
            <w:vAlign w:val="center"/>
          </w:tcPr>
          <w:p w14:paraId="6B2E9950" w14:textId="5E20EF4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5.67</w:t>
            </w:r>
          </w:p>
        </w:tc>
        <w:tc>
          <w:tcPr>
            <w:tcW w:w="0" w:type="auto"/>
            <w:vAlign w:val="center"/>
          </w:tcPr>
          <w:p w14:paraId="46A72365" w14:textId="56C5CA5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6.46</w:t>
            </w:r>
          </w:p>
        </w:tc>
      </w:tr>
      <w:tr w:rsidR="00B55EB5" w:rsidRPr="00293B16" w14:paraId="0E074548" w14:textId="1505C24B" w:rsidTr="004D4334">
        <w:trPr>
          <w:trHeight w:val="483"/>
        </w:trPr>
        <w:tc>
          <w:tcPr>
            <w:tcW w:w="0" w:type="auto"/>
            <w:hideMark/>
          </w:tcPr>
          <w:p w14:paraId="24249ABC"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2 </w:t>
            </w:r>
            <w:proofErr w:type="gramStart"/>
            <w:r w:rsidRPr="00293B16">
              <w:rPr>
                <w:rFonts w:ascii="Times New Roman" w:hAnsi="Times New Roman" w:cs="Times New Roman"/>
                <w:sz w:val="24"/>
                <w:szCs w:val="24"/>
              </w:rPr>
              <w:t>( IAA</w:t>
            </w:r>
            <w:proofErr w:type="gramEnd"/>
            <w:r w:rsidRPr="00293B16">
              <w:rPr>
                <w:rFonts w:ascii="Times New Roman" w:hAnsi="Times New Roman" w:cs="Times New Roman"/>
                <w:sz w:val="24"/>
                <w:szCs w:val="24"/>
              </w:rPr>
              <w:t xml:space="preserve"> 500 ppm )</w:t>
            </w:r>
          </w:p>
        </w:tc>
        <w:tc>
          <w:tcPr>
            <w:tcW w:w="0" w:type="auto"/>
            <w:hideMark/>
          </w:tcPr>
          <w:p w14:paraId="2B50D21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25.94</w:t>
            </w:r>
          </w:p>
        </w:tc>
        <w:tc>
          <w:tcPr>
            <w:tcW w:w="0" w:type="auto"/>
            <w:hideMark/>
          </w:tcPr>
          <w:p w14:paraId="5697EA15"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37.01</w:t>
            </w:r>
          </w:p>
        </w:tc>
        <w:tc>
          <w:tcPr>
            <w:tcW w:w="0" w:type="auto"/>
            <w:hideMark/>
          </w:tcPr>
          <w:p w14:paraId="1CFC16E6"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42.22</w:t>
            </w:r>
          </w:p>
        </w:tc>
        <w:tc>
          <w:tcPr>
            <w:tcW w:w="0" w:type="auto"/>
            <w:vAlign w:val="center"/>
          </w:tcPr>
          <w:p w14:paraId="5F1B073B" w14:textId="3344DEB3"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11.08</w:t>
            </w:r>
          </w:p>
        </w:tc>
        <w:tc>
          <w:tcPr>
            <w:tcW w:w="0" w:type="auto"/>
            <w:vAlign w:val="center"/>
          </w:tcPr>
          <w:p w14:paraId="425C1462" w14:textId="096C1F1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19.13</w:t>
            </w:r>
          </w:p>
        </w:tc>
        <w:tc>
          <w:tcPr>
            <w:tcW w:w="0" w:type="auto"/>
            <w:vAlign w:val="center"/>
          </w:tcPr>
          <w:p w14:paraId="4DA95AB6" w14:textId="3088BD94"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4.22</w:t>
            </w:r>
          </w:p>
        </w:tc>
        <w:tc>
          <w:tcPr>
            <w:tcW w:w="0" w:type="auto"/>
            <w:vAlign w:val="center"/>
          </w:tcPr>
          <w:p w14:paraId="5EA2E81B" w14:textId="08DDAC7D"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7.43</w:t>
            </w:r>
          </w:p>
        </w:tc>
        <w:tc>
          <w:tcPr>
            <w:tcW w:w="0" w:type="auto"/>
            <w:vAlign w:val="center"/>
          </w:tcPr>
          <w:p w14:paraId="18FB809B" w14:textId="7CF0970A"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5.03</w:t>
            </w:r>
          </w:p>
        </w:tc>
      </w:tr>
      <w:tr w:rsidR="00B55EB5" w:rsidRPr="00293B16" w14:paraId="26275924" w14:textId="0381671F" w:rsidTr="004D4334">
        <w:trPr>
          <w:trHeight w:val="483"/>
        </w:trPr>
        <w:tc>
          <w:tcPr>
            <w:tcW w:w="0" w:type="auto"/>
            <w:hideMark/>
          </w:tcPr>
          <w:p w14:paraId="47F998D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3 </w:t>
            </w:r>
            <w:r w:rsidRPr="00293B16">
              <w:rPr>
                <w:rFonts w:ascii="Times New Roman" w:hAnsi="Times New Roman" w:cs="Times New Roman"/>
                <w:sz w:val="24"/>
                <w:szCs w:val="24"/>
              </w:rPr>
              <w:t xml:space="preserve">(BA 1000 </w:t>
            </w:r>
            <w:proofErr w:type="gramStart"/>
            <w:r w:rsidRPr="00293B16">
              <w:rPr>
                <w:rFonts w:ascii="Times New Roman" w:hAnsi="Times New Roman" w:cs="Times New Roman"/>
                <w:sz w:val="24"/>
                <w:szCs w:val="24"/>
              </w:rPr>
              <w:t>ppm )</w:t>
            </w:r>
            <w:proofErr w:type="gramEnd"/>
          </w:p>
        </w:tc>
        <w:tc>
          <w:tcPr>
            <w:tcW w:w="0" w:type="auto"/>
            <w:hideMark/>
          </w:tcPr>
          <w:p w14:paraId="4D689CE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20.29</w:t>
            </w:r>
          </w:p>
        </w:tc>
        <w:tc>
          <w:tcPr>
            <w:tcW w:w="0" w:type="auto"/>
            <w:hideMark/>
          </w:tcPr>
          <w:p w14:paraId="4159653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26.23</w:t>
            </w:r>
          </w:p>
        </w:tc>
        <w:tc>
          <w:tcPr>
            <w:tcW w:w="0" w:type="auto"/>
            <w:hideMark/>
          </w:tcPr>
          <w:p w14:paraId="1D8C3058"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29.21</w:t>
            </w:r>
          </w:p>
        </w:tc>
        <w:tc>
          <w:tcPr>
            <w:tcW w:w="0" w:type="auto"/>
            <w:vAlign w:val="center"/>
          </w:tcPr>
          <w:p w14:paraId="0476D189" w14:textId="742049A6"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9.74</w:t>
            </w:r>
          </w:p>
        </w:tc>
        <w:tc>
          <w:tcPr>
            <w:tcW w:w="0" w:type="auto"/>
            <w:vAlign w:val="center"/>
          </w:tcPr>
          <w:p w14:paraId="0AF48031" w14:textId="13F1172A"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16.56</w:t>
            </w:r>
          </w:p>
        </w:tc>
        <w:tc>
          <w:tcPr>
            <w:tcW w:w="0" w:type="auto"/>
            <w:vAlign w:val="center"/>
          </w:tcPr>
          <w:p w14:paraId="153B7081" w14:textId="3B2EE318"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3.14</w:t>
            </w:r>
          </w:p>
        </w:tc>
        <w:tc>
          <w:tcPr>
            <w:tcW w:w="0" w:type="auto"/>
            <w:vAlign w:val="center"/>
          </w:tcPr>
          <w:p w14:paraId="20066D7E" w14:textId="10CAE597"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6.06</w:t>
            </w:r>
          </w:p>
        </w:tc>
        <w:tc>
          <w:tcPr>
            <w:tcW w:w="0" w:type="auto"/>
            <w:vAlign w:val="center"/>
          </w:tcPr>
          <w:p w14:paraId="165DB534" w14:textId="34DF4B40"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5.46</w:t>
            </w:r>
          </w:p>
        </w:tc>
      </w:tr>
      <w:tr w:rsidR="00B55EB5" w:rsidRPr="00293B16" w14:paraId="38E3CA6F" w14:textId="23FD546C" w:rsidTr="004D4334">
        <w:trPr>
          <w:trHeight w:val="483"/>
        </w:trPr>
        <w:tc>
          <w:tcPr>
            <w:tcW w:w="0" w:type="auto"/>
            <w:hideMark/>
          </w:tcPr>
          <w:p w14:paraId="4E93844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4 </w:t>
            </w:r>
            <w:r w:rsidRPr="00293B16">
              <w:rPr>
                <w:rFonts w:ascii="Times New Roman" w:hAnsi="Times New Roman" w:cs="Times New Roman"/>
                <w:sz w:val="24"/>
                <w:szCs w:val="24"/>
              </w:rPr>
              <w:t xml:space="preserve">(BA 500 </w:t>
            </w:r>
            <w:proofErr w:type="gramStart"/>
            <w:r w:rsidRPr="00293B16">
              <w:rPr>
                <w:rFonts w:ascii="Times New Roman" w:hAnsi="Times New Roman" w:cs="Times New Roman"/>
                <w:sz w:val="24"/>
                <w:szCs w:val="24"/>
              </w:rPr>
              <w:t>ppm )</w:t>
            </w:r>
            <w:proofErr w:type="gramEnd"/>
          </w:p>
        </w:tc>
        <w:tc>
          <w:tcPr>
            <w:tcW w:w="0" w:type="auto"/>
            <w:hideMark/>
          </w:tcPr>
          <w:p w14:paraId="0C45AB1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26.69</w:t>
            </w:r>
          </w:p>
        </w:tc>
        <w:tc>
          <w:tcPr>
            <w:tcW w:w="0" w:type="auto"/>
            <w:hideMark/>
          </w:tcPr>
          <w:p w14:paraId="67C0BC3C"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38.92</w:t>
            </w:r>
          </w:p>
        </w:tc>
        <w:tc>
          <w:tcPr>
            <w:tcW w:w="0" w:type="auto"/>
            <w:hideMark/>
          </w:tcPr>
          <w:p w14:paraId="68023CC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44.96</w:t>
            </w:r>
          </w:p>
        </w:tc>
        <w:tc>
          <w:tcPr>
            <w:tcW w:w="0" w:type="auto"/>
            <w:vAlign w:val="center"/>
          </w:tcPr>
          <w:p w14:paraId="0DBB47FA" w14:textId="15B6503B"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11.50</w:t>
            </w:r>
          </w:p>
        </w:tc>
        <w:tc>
          <w:tcPr>
            <w:tcW w:w="0" w:type="auto"/>
            <w:vAlign w:val="center"/>
          </w:tcPr>
          <w:p w14:paraId="098ADCAC" w14:textId="2312520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20.01</w:t>
            </w:r>
          </w:p>
        </w:tc>
        <w:tc>
          <w:tcPr>
            <w:tcW w:w="0" w:type="auto"/>
            <w:vAlign w:val="center"/>
          </w:tcPr>
          <w:p w14:paraId="5847053C" w14:textId="52D68B7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4.58</w:t>
            </w:r>
          </w:p>
        </w:tc>
        <w:tc>
          <w:tcPr>
            <w:tcW w:w="0" w:type="auto"/>
            <w:vAlign w:val="center"/>
          </w:tcPr>
          <w:p w14:paraId="5F0C3E12" w14:textId="0BB194F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7.98</w:t>
            </w:r>
          </w:p>
        </w:tc>
        <w:tc>
          <w:tcPr>
            <w:tcW w:w="0" w:type="auto"/>
            <w:vAlign w:val="center"/>
          </w:tcPr>
          <w:p w14:paraId="489C867B" w14:textId="7556B06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7.48</w:t>
            </w:r>
          </w:p>
        </w:tc>
      </w:tr>
      <w:tr w:rsidR="00B55EB5" w:rsidRPr="00293B16" w14:paraId="03E82711" w14:textId="37DFEEF5" w:rsidTr="004D4334">
        <w:trPr>
          <w:trHeight w:val="483"/>
        </w:trPr>
        <w:tc>
          <w:tcPr>
            <w:tcW w:w="0" w:type="auto"/>
            <w:hideMark/>
          </w:tcPr>
          <w:p w14:paraId="15D9DA1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5 </w:t>
            </w:r>
            <w:r w:rsidRPr="00293B16">
              <w:rPr>
                <w:rFonts w:ascii="Times New Roman" w:hAnsi="Times New Roman" w:cs="Times New Roman"/>
                <w:sz w:val="24"/>
                <w:szCs w:val="24"/>
              </w:rPr>
              <w:t xml:space="preserve">(NAA 1000 </w:t>
            </w:r>
            <w:proofErr w:type="gramStart"/>
            <w:r w:rsidRPr="00293B16">
              <w:rPr>
                <w:rFonts w:ascii="Times New Roman" w:hAnsi="Times New Roman" w:cs="Times New Roman"/>
                <w:sz w:val="24"/>
                <w:szCs w:val="24"/>
              </w:rPr>
              <w:t>ppm )</w:t>
            </w:r>
            <w:proofErr w:type="gramEnd"/>
          </w:p>
        </w:tc>
        <w:tc>
          <w:tcPr>
            <w:tcW w:w="0" w:type="auto"/>
            <w:hideMark/>
          </w:tcPr>
          <w:p w14:paraId="619189E9"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24.65</w:t>
            </w:r>
          </w:p>
        </w:tc>
        <w:tc>
          <w:tcPr>
            <w:tcW w:w="0" w:type="auto"/>
            <w:hideMark/>
          </w:tcPr>
          <w:p w14:paraId="2764A7C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32.92</w:t>
            </w:r>
          </w:p>
        </w:tc>
        <w:tc>
          <w:tcPr>
            <w:tcW w:w="0" w:type="auto"/>
            <w:hideMark/>
          </w:tcPr>
          <w:p w14:paraId="5B847778"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37.33</w:t>
            </w:r>
          </w:p>
        </w:tc>
        <w:tc>
          <w:tcPr>
            <w:tcW w:w="0" w:type="auto"/>
            <w:vAlign w:val="center"/>
          </w:tcPr>
          <w:p w14:paraId="721780E2" w14:textId="0E30A2B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 xml:space="preserve"> 8.65</w:t>
            </w:r>
          </w:p>
        </w:tc>
        <w:tc>
          <w:tcPr>
            <w:tcW w:w="0" w:type="auto"/>
            <w:vAlign w:val="center"/>
          </w:tcPr>
          <w:p w14:paraId="55DC114B" w14:textId="10E1404B"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14.42</w:t>
            </w:r>
          </w:p>
        </w:tc>
        <w:tc>
          <w:tcPr>
            <w:tcW w:w="0" w:type="auto"/>
            <w:vAlign w:val="center"/>
          </w:tcPr>
          <w:p w14:paraId="2DBC557C" w14:textId="36ABE8A6"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2.38</w:t>
            </w:r>
          </w:p>
        </w:tc>
        <w:tc>
          <w:tcPr>
            <w:tcW w:w="0" w:type="auto"/>
            <w:vAlign w:val="center"/>
          </w:tcPr>
          <w:p w14:paraId="2EF6B65B" w14:textId="7C08EEE2"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5.08</w:t>
            </w:r>
          </w:p>
        </w:tc>
        <w:tc>
          <w:tcPr>
            <w:tcW w:w="0" w:type="auto"/>
            <w:vAlign w:val="center"/>
          </w:tcPr>
          <w:p w14:paraId="24DEF16A" w14:textId="19B9B38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5.97</w:t>
            </w:r>
          </w:p>
        </w:tc>
      </w:tr>
      <w:tr w:rsidR="00B55EB5" w:rsidRPr="00293B16" w14:paraId="18A00768" w14:textId="17E04321" w:rsidTr="004D4334">
        <w:trPr>
          <w:trHeight w:val="483"/>
        </w:trPr>
        <w:tc>
          <w:tcPr>
            <w:tcW w:w="0" w:type="auto"/>
            <w:hideMark/>
          </w:tcPr>
          <w:p w14:paraId="7C2F5CF0"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6 </w:t>
            </w:r>
            <w:r w:rsidRPr="00293B16">
              <w:rPr>
                <w:rFonts w:ascii="Times New Roman" w:hAnsi="Times New Roman" w:cs="Times New Roman"/>
                <w:sz w:val="24"/>
                <w:szCs w:val="24"/>
              </w:rPr>
              <w:t xml:space="preserve">(NAA 500 </w:t>
            </w:r>
            <w:proofErr w:type="gramStart"/>
            <w:r w:rsidRPr="00293B16">
              <w:rPr>
                <w:rFonts w:ascii="Times New Roman" w:hAnsi="Times New Roman" w:cs="Times New Roman"/>
                <w:sz w:val="24"/>
                <w:szCs w:val="24"/>
              </w:rPr>
              <w:t>ppm )</w:t>
            </w:r>
            <w:proofErr w:type="gramEnd"/>
          </w:p>
        </w:tc>
        <w:tc>
          <w:tcPr>
            <w:tcW w:w="0" w:type="auto"/>
            <w:hideMark/>
          </w:tcPr>
          <w:p w14:paraId="400D520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21.79</w:t>
            </w:r>
          </w:p>
        </w:tc>
        <w:tc>
          <w:tcPr>
            <w:tcW w:w="0" w:type="auto"/>
            <w:hideMark/>
          </w:tcPr>
          <w:p w14:paraId="5A0FE314"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29.25</w:t>
            </w:r>
          </w:p>
        </w:tc>
        <w:tc>
          <w:tcPr>
            <w:tcW w:w="0" w:type="auto"/>
            <w:hideMark/>
          </w:tcPr>
          <w:p w14:paraId="2E8753A1"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32.77</w:t>
            </w:r>
          </w:p>
        </w:tc>
        <w:tc>
          <w:tcPr>
            <w:tcW w:w="0" w:type="auto"/>
            <w:vAlign w:val="center"/>
          </w:tcPr>
          <w:p w14:paraId="5CDBB588" w14:textId="7ADEA0DD"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8.24</w:t>
            </w:r>
          </w:p>
        </w:tc>
        <w:tc>
          <w:tcPr>
            <w:tcW w:w="0" w:type="auto"/>
            <w:vAlign w:val="center"/>
          </w:tcPr>
          <w:p w14:paraId="1BD52086" w14:textId="2C6C32BF"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13.56</w:t>
            </w:r>
          </w:p>
        </w:tc>
        <w:tc>
          <w:tcPr>
            <w:tcW w:w="0" w:type="auto"/>
            <w:vAlign w:val="center"/>
          </w:tcPr>
          <w:p w14:paraId="7E488C3D" w14:textId="7DC1585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2.46</w:t>
            </w:r>
          </w:p>
        </w:tc>
        <w:tc>
          <w:tcPr>
            <w:tcW w:w="0" w:type="auto"/>
            <w:vAlign w:val="center"/>
          </w:tcPr>
          <w:p w14:paraId="2C60E83C" w14:textId="7D673F18"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5.15</w:t>
            </w:r>
          </w:p>
        </w:tc>
        <w:tc>
          <w:tcPr>
            <w:tcW w:w="0" w:type="auto"/>
            <w:vAlign w:val="center"/>
          </w:tcPr>
          <w:p w14:paraId="117C17BE" w14:textId="042871A6"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4.82</w:t>
            </w:r>
          </w:p>
        </w:tc>
      </w:tr>
      <w:tr w:rsidR="00B55EB5" w:rsidRPr="00293B16" w14:paraId="62F61224" w14:textId="60A783D3" w:rsidTr="004D4334">
        <w:trPr>
          <w:trHeight w:val="483"/>
        </w:trPr>
        <w:tc>
          <w:tcPr>
            <w:tcW w:w="0" w:type="auto"/>
            <w:hideMark/>
          </w:tcPr>
          <w:p w14:paraId="4E48D1E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7</w:t>
            </w:r>
            <w:r w:rsidRPr="00293B16">
              <w:rPr>
                <w:rFonts w:ascii="Times New Roman" w:hAnsi="Times New Roman" w:cs="Times New Roman"/>
                <w:sz w:val="24"/>
                <w:szCs w:val="24"/>
              </w:rPr>
              <w:t xml:space="preserve"> (Control) </w:t>
            </w:r>
          </w:p>
        </w:tc>
        <w:tc>
          <w:tcPr>
            <w:tcW w:w="0" w:type="auto"/>
            <w:hideMark/>
          </w:tcPr>
          <w:p w14:paraId="5AAA9DA8"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19.54</w:t>
            </w:r>
          </w:p>
        </w:tc>
        <w:tc>
          <w:tcPr>
            <w:tcW w:w="0" w:type="auto"/>
            <w:hideMark/>
          </w:tcPr>
          <w:p w14:paraId="5E6F1C15"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24.72</w:t>
            </w:r>
          </w:p>
        </w:tc>
        <w:tc>
          <w:tcPr>
            <w:tcW w:w="0" w:type="auto"/>
            <w:hideMark/>
          </w:tcPr>
          <w:p w14:paraId="67953A9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27.82</w:t>
            </w:r>
          </w:p>
        </w:tc>
        <w:tc>
          <w:tcPr>
            <w:tcW w:w="0" w:type="auto"/>
            <w:vAlign w:val="center"/>
          </w:tcPr>
          <w:p w14:paraId="0F03D7EE" w14:textId="49CE3772"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7.38</w:t>
            </w:r>
          </w:p>
        </w:tc>
        <w:tc>
          <w:tcPr>
            <w:tcW w:w="0" w:type="auto"/>
            <w:vAlign w:val="center"/>
          </w:tcPr>
          <w:p w14:paraId="679E8CD2" w14:textId="4DE39763"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11.88</w:t>
            </w:r>
          </w:p>
        </w:tc>
        <w:tc>
          <w:tcPr>
            <w:tcW w:w="0" w:type="auto"/>
            <w:vAlign w:val="center"/>
          </w:tcPr>
          <w:p w14:paraId="63519E3E" w14:textId="7CEC8A27"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1.35</w:t>
            </w:r>
          </w:p>
        </w:tc>
        <w:tc>
          <w:tcPr>
            <w:tcW w:w="0" w:type="auto"/>
            <w:vAlign w:val="center"/>
          </w:tcPr>
          <w:p w14:paraId="27BEEB88" w14:textId="197D05E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3.63</w:t>
            </w:r>
          </w:p>
        </w:tc>
        <w:tc>
          <w:tcPr>
            <w:tcW w:w="0" w:type="auto"/>
            <w:vAlign w:val="center"/>
          </w:tcPr>
          <w:p w14:paraId="15793183" w14:textId="1E9CA49B"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3.05</w:t>
            </w:r>
          </w:p>
        </w:tc>
      </w:tr>
      <w:tr w:rsidR="00B55EB5" w:rsidRPr="00293B16" w14:paraId="4970DDEB" w14:textId="656D2BBB" w:rsidTr="004D4334">
        <w:trPr>
          <w:trHeight w:val="483"/>
        </w:trPr>
        <w:tc>
          <w:tcPr>
            <w:tcW w:w="0" w:type="auto"/>
          </w:tcPr>
          <w:p w14:paraId="30AAFAD6" w14:textId="7320048D"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S Ed</w:t>
            </w:r>
          </w:p>
        </w:tc>
        <w:tc>
          <w:tcPr>
            <w:tcW w:w="0" w:type="auto"/>
          </w:tcPr>
          <w:p w14:paraId="2A65BFE8" w14:textId="42419C82"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0.33</w:t>
            </w:r>
          </w:p>
        </w:tc>
        <w:tc>
          <w:tcPr>
            <w:tcW w:w="0" w:type="auto"/>
          </w:tcPr>
          <w:p w14:paraId="1C7FEACB" w14:textId="08D2A1FC"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0.75</w:t>
            </w:r>
          </w:p>
        </w:tc>
        <w:tc>
          <w:tcPr>
            <w:tcW w:w="0" w:type="auto"/>
          </w:tcPr>
          <w:p w14:paraId="725F3A78" w14:textId="1CA274A4"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1.02</w:t>
            </w:r>
          </w:p>
        </w:tc>
        <w:tc>
          <w:tcPr>
            <w:tcW w:w="0" w:type="auto"/>
            <w:vAlign w:val="center"/>
          </w:tcPr>
          <w:p w14:paraId="4A530DCC" w14:textId="775900C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0.21</w:t>
            </w:r>
          </w:p>
        </w:tc>
        <w:tc>
          <w:tcPr>
            <w:tcW w:w="0" w:type="auto"/>
            <w:vAlign w:val="center"/>
          </w:tcPr>
          <w:p w14:paraId="6F451CDB" w14:textId="646BEC35"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0.44</w:t>
            </w:r>
          </w:p>
        </w:tc>
        <w:tc>
          <w:tcPr>
            <w:tcW w:w="0" w:type="auto"/>
            <w:vAlign w:val="center"/>
          </w:tcPr>
          <w:p w14:paraId="5A52C24B" w14:textId="6C588C57"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0.17</w:t>
            </w:r>
          </w:p>
        </w:tc>
        <w:tc>
          <w:tcPr>
            <w:tcW w:w="0" w:type="auto"/>
            <w:vAlign w:val="center"/>
          </w:tcPr>
          <w:p w14:paraId="5FE3507E" w14:textId="1C0CD780"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0.23</w:t>
            </w:r>
          </w:p>
        </w:tc>
        <w:tc>
          <w:tcPr>
            <w:tcW w:w="0" w:type="auto"/>
          </w:tcPr>
          <w:p w14:paraId="2833872B" w14:textId="7A6383BB"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0.20</w:t>
            </w:r>
          </w:p>
        </w:tc>
      </w:tr>
      <w:tr w:rsidR="00B55EB5" w:rsidRPr="00293B16" w14:paraId="50704609" w14:textId="5BD5351E" w:rsidTr="004D4334">
        <w:trPr>
          <w:trHeight w:val="483"/>
        </w:trPr>
        <w:tc>
          <w:tcPr>
            <w:tcW w:w="0" w:type="auto"/>
            <w:hideMark/>
          </w:tcPr>
          <w:p w14:paraId="1522D402" w14:textId="77777777" w:rsidR="004D4334" w:rsidRPr="00293B16" w:rsidRDefault="004D4334" w:rsidP="000940EB">
            <w:pPr>
              <w:jc w:val="both"/>
              <w:rPr>
                <w:rFonts w:ascii="Times New Roman" w:hAnsi="Times New Roman" w:cs="Times New Roman"/>
                <w:sz w:val="24"/>
                <w:szCs w:val="24"/>
                <w:lang w:val="en-IN"/>
              </w:rPr>
            </w:pPr>
            <w:r w:rsidRPr="00293B16">
              <w:rPr>
                <w:rFonts w:ascii="Times New Roman" w:hAnsi="Times New Roman" w:cs="Times New Roman"/>
                <w:sz w:val="24"/>
                <w:szCs w:val="24"/>
              </w:rPr>
              <w:t>CD (0.05)</w:t>
            </w:r>
          </w:p>
        </w:tc>
        <w:tc>
          <w:tcPr>
            <w:tcW w:w="0" w:type="auto"/>
            <w:hideMark/>
          </w:tcPr>
          <w:p w14:paraId="742C1DE6"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0.75</w:t>
            </w:r>
          </w:p>
        </w:tc>
        <w:tc>
          <w:tcPr>
            <w:tcW w:w="0" w:type="auto"/>
            <w:hideMark/>
          </w:tcPr>
          <w:p w14:paraId="5B840434"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1.51</w:t>
            </w:r>
          </w:p>
        </w:tc>
        <w:tc>
          <w:tcPr>
            <w:tcW w:w="0" w:type="auto"/>
            <w:hideMark/>
          </w:tcPr>
          <w:p w14:paraId="72A21E46"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2.01</w:t>
            </w:r>
          </w:p>
        </w:tc>
        <w:tc>
          <w:tcPr>
            <w:tcW w:w="0" w:type="auto"/>
            <w:vAlign w:val="center"/>
          </w:tcPr>
          <w:p w14:paraId="33691430" w14:textId="21475E8F"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0.44</w:t>
            </w:r>
          </w:p>
        </w:tc>
        <w:tc>
          <w:tcPr>
            <w:tcW w:w="0" w:type="auto"/>
            <w:vAlign w:val="center"/>
          </w:tcPr>
          <w:p w14:paraId="6E431639" w14:textId="1D261C67"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0.86</w:t>
            </w:r>
          </w:p>
        </w:tc>
        <w:tc>
          <w:tcPr>
            <w:tcW w:w="0" w:type="auto"/>
            <w:vAlign w:val="center"/>
          </w:tcPr>
          <w:p w14:paraId="488E693E" w14:textId="33B4009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0.35</w:t>
            </w:r>
          </w:p>
        </w:tc>
        <w:tc>
          <w:tcPr>
            <w:tcW w:w="0" w:type="auto"/>
            <w:vAlign w:val="center"/>
          </w:tcPr>
          <w:p w14:paraId="7810CB08" w14:textId="1B86CE4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0.46</w:t>
            </w:r>
          </w:p>
        </w:tc>
        <w:tc>
          <w:tcPr>
            <w:tcW w:w="0" w:type="auto"/>
          </w:tcPr>
          <w:p w14:paraId="1D639817" w14:textId="56C18A54"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0.43</w:t>
            </w:r>
          </w:p>
        </w:tc>
      </w:tr>
    </w:tbl>
    <w:p w14:paraId="3B2D253F" w14:textId="77777777" w:rsidR="005A4B2C" w:rsidRPr="00293B16" w:rsidRDefault="005A4B2C" w:rsidP="005A4B2C">
      <w:pPr>
        <w:spacing w:line="240" w:lineRule="auto"/>
        <w:jc w:val="center"/>
        <w:rPr>
          <w:rFonts w:ascii="Times New Roman" w:hAnsi="Times New Roman" w:cs="Times New Roman"/>
          <w:b/>
          <w:sz w:val="24"/>
          <w:szCs w:val="24"/>
          <w:lang w:val="en-IN"/>
        </w:rPr>
      </w:pPr>
    </w:p>
    <w:p w14:paraId="21E18D04" w14:textId="1B91BA89" w:rsidR="005A4B2C" w:rsidRPr="00293B16" w:rsidRDefault="005A4B2C" w:rsidP="000940EB">
      <w:pPr>
        <w:spacing w:line="240" w:lineRule="auto"/>
        <w:rPr>
          <w:rFonts w:ascii="Times New Roman" w:hAnsi="Times New Roman" w:cs="Times New Roman"/>
          <w:b/>
          <w:color w:val="000000"/>
          <w:sz w:val="24"/>
          <w:szCs w:val="24"/>
        </w:rPr>
      </w:pPr>
      <w:r w:rsidRPr="00293B16">
        <w:rPr>
          <w:rFonts w:ascii="Times New Roman" w:hAnsi="Times New Roman" w:cs="Times New Roman"/>
          <w:b/>
          <w:sz w:val="24"/>
          <w:szCs w:val="24"/>
          <w:lang w:val="en-IN"/>
        </w:rPr>
        <w:t>Table 3.</w:t>
      </w:r>
      <w:r w:rsidRPr="00293B16">
        <w:rPr>
          <w:rFonts w:ascii="Times New Roman" w:hAnsi="Times New Roman" w:cs="Times New Roman"/>
          <w:bCs/>
          <w:sz w:val="24"/>
          <w:szCs w:val="24"/>
          <w:lang w:val="en-IN"/>
        </w:rPr>
        <w:t xml:space="preserve"> </w:t>
      </w:r>
      <w:r w:rsidRPr="00293B16">
        <w:rPr>
          <w:rFonts w:ascii="Times New Roman" w:hAnsi="Times New Roman" w:cs="Times New Roman"/>
          <w:b/>
          <w:color w:val="000000"/>
          <w:sz w:val="24"/>
          <w:szCs w:val="24"/>
        </w:rPr>
        <w:t xml:space="preserve">Influence of PGRs on root parameters of Ginger Seed rhizomes in </w:t>
      </w:r>
      <w:proofErr w:type="spellStart"/>
      <w:r w:rsidRPr="00293B16">
        <w:rPr>
          <w:rFonts w:ascii="Times New Roman" w:hAnsi="Times New Roman" w:cs="Times New Roman"/>
          <w:b/>
          <w:color w:val="000000"/>
          <w:sz w:val="24"/>
          <w:szCs w:val="24"/>
        </w:rPr>
        <w:t>Protray</w:t>
      </w:r>
      <w:proofErr w:type="spellEnd"/>
      <w:r w:rsidRPr="00293B16">
        <w:rPr>
          <w:rFonts w:ascii="Times New Roman" w:hAnsi="Times New Roman" w:cs="Times New Roman"/>
          <w:b/>
          <w:color w:val="000000"/>
          <w:sz w:val="24"/>
          <w:szCs w:val="24"/>
        </w:rPr>
        <w:t xml:space="preserve"> nursery</w:t>
      </w:r>
    </w:p>
    <w:tbl>
      <w:tblPr>
        <w:tblStyle w:val="TableGrid"/>
        <w:tblW w:w="3410" w:type="pct"/>
        <w:tblInd w:w="1482" w:type="dxa"/>
        <w:tblLook w:val="0600" w:firstRow="0" w:lastRow="0" w:firstColumn="0" w:lastColumn="0" w:noHBand="1" w:noVBand="1"/>
      </w:tblPr>
      <w:tblGrid>
        <w:gridCol w:w="2405"/>
        <w:gridCol w:w="1986"/>
        <w:gridCol w:w="1986"/>
      </w:tblGrid>
      <w:tr w:rsidR="005A4B2C" w:rsidRPr="00293B16" w14:paraId="51ACBCC4" w14:textId="03ECD9D2" w:rsidTr="000940EB">
        <w:trPr>
          <w:trHeight w:val="532"/>
        </w:trPr>
        <w:tc>
          <w:tcPr>
            <w:tcW w:w="1886" w:type="pct"/>
            <w:vMerge w:val="restart"/>
            <w:hideMark/>
          </w:tcPr>
          <w:p w14:paraId="01D1C3BC"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Treatments</w:t>
            </w:r>
          </w:p>
        </w:tc>
        <w:tc>
          <w:tcPr>
            <w:tcW w:w="1557" w:type="pct"/>
            <w:hideMark/>
          </w:tcPr>
          <w:p w14:paraId="674EB619"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 xml:space="preserve">No. </w:t>
            </w:r>
            <w:proofErr w:type="gramStart"/>
            <w:r w:rsidRPr="00293B16">
              <w:rPr>
                <w:rFonts w:ascii="Times New Roman" w:hAnsi="Times New Roman" w:cs="Times New Roman"/>
                <w:color w:val="000000"/>
                <w:sz w:val="24"/>
                <w:szCs w:val="24"/>
              </w:rPr>
              <w:t>of  Roots</w:t>
            </w:r>
            <w:proofErr w:type="gramEnd"/>
          </w:p>
        </w:tc>
        <w:tc>
          <w:tcPr>
            <w:tcW w:w="1557" w:type="pct"/>
          </w:tcPr>
          <w:p w14:paraId="306CED96" w14:textId="111E054A" w:rsidR="005A4B2C" w:rsidRPr="00293B16" w:rsidRDefault="005A4B2C"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Length of roots (cm)</w:t>
            </w:r>
          </w:p>
        </w:tc>
      </w:tr>
      <w:tr w:rsidR="005A4B2C" w:rsidRPr="00293B16" w14:paraId="71AA9A9B" w14:textId="5DE351FB" w:rsidTr="000940EB">
        <w:trPr>
          <w:trHeight w:val="343"/>
        </w:trPr>
        <w:tc>
          <w:tcPr>
            <w:tcW w:w="1886" w:type="pct"/>
            <w:vMerge/>
            <w:hideMark/>
          </w:tcPr>
          <w:p w14:paraId="6AD29A52" w14:textId="77777777" w:rsidR="005A4B2C" w:rsidRPr="00293B16" w:rsidRDefault="005A4B2C" w:rsidP="005A4B2C">
            <w:pPr>
              <w:spacing w:after="200"/>
              <w:jc w:val="center"/>
              <w:rPr>
                <w:rFonts w:ascii="Times New Roman" w:hAnsi="Times New Roman" w:cs="Times New Roman"/>
                <w:color w:val="000000"/>
                <w:sz w:val="24"/>
                <w:szCs w:val="24"/>
                <w:lang w:val="en-IN"/>
              </w:rPr>
            </w:pPr>
          </w:p>
        </w:tc>
        <w:tc>
          <w:tcPr>
            <w:tcW w:w="1557" w:type="pct"/>
            <w:hideMark/>
          </w:tcPr>
          <w:p w14:paraId="2C7723F1"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 xml:space="preserve">45 </w:t>
            </w:r>
            <w:proofErr w:type="gramStart"/>
            <w:r w:rsidRPr="00293B16">
              <w:rPr>
                <w:rFonts w:ascii="Times New Roman" w:hAnsi="Times New Roman" w:cs="Times New Roman"/>
                <w:color w:val="000000"/>
                <w:sz w:val="24"/>
                <w:szCs w:val="24"/>
              </w:rPr>
              <w:t>DAP</w:t>
            </w:r>
            <w:proofErr w:type="gramEnd"/>
          </w:p>
        </w:tc>
        <w:tc>
          <w:tcPr>
            <w:tcW w:w="1557" w:type="pct"/>
          </w:tcPr>
          <w:p w14:paraId="74CCF6C0" w14:textId="4E7F50BB" w:rsidR="005A4B2C" w:rsidRPr="00293B16" w:rsidRDefault="005A4B2C"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 xml:space="preserve">45 </w:t>
            </w:r>
            <w:proofErr w:type="gramStart"/>
            <w:r w:rsidRPr="00293B16">
              <w:rPr>
                <w:rFonts w:ascii="Times New Roman" w:hAnsi="Times New Roman" w:cs="Times New Roman"/>
                <w:color w:val="000000"/>
                <w:sz w:val="24"/>
                <w:szCs w:val="24"/>
              </w:rPr>
              <w:t>DAP</w:t>
            </w:r>
            <w:proofErr w:type="gramEnd"/>
          </w:p>
        </w:tc>
      </w:tr>
      <w:tr w:rsidR="005A4B2C" w:rsidRPr="00293B16" w14:paraId="6C7FCDC3" w14:textId="76232B84" w:rsidTr="000940EB">
        <w:trPr>
          <w:trHeight w:val="501"/>
        </w:trPr>
        <w:tc>
          <w:tcPr>
            <w:tcW w:w="1886" w:type="pct"/>
            <w:hideMark/>
          </w:tcPr>
          <w:p w14:paraId="38FA2625"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T1- IAA 1000ppm</w:t>
            </w:r>
          </w:p>
        </w:tc>
        <w:tc>
          <w:tcPr>
            <w:tcW w:w="1557" w:type="pct"/>
            <w:hideMark/>
          </w:tcPr>
          <w:p w14:paraId="6F961A67"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5.14</w:t>
            </w:r>
          </w:p>
        </w:tc>
        <w:tc>
          <w:tcPr>
            <w:tcW w:w="1557" w:type="pct"/>
          </w:tcPr>
          <w:p w14:paraId="3E496C40" w14:textId="799224EC"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6.62</w:t>
            </w:r>
          </w:p>
        </w:tc>
      </w:tr>
      <w:tr w:rsidR="005A4B2C" w:rsidRPr="00293B16" w14:paraId="398E89B3" w14:textId="21CAB27C" w:rsidTr="000940EB">
        <w:trPr>
          <w:trHeight w:val="540"/>
        </w:trPr>
        <w:tc>
          <w:tcPr>
            <w:tcW w:w="1886" w:type="pct"/>
            <w:hideMark/>
          </w:tcPr>
          <w:p w14:paraId="7E05A4DA"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T2- IAA 500ppm</w:t>
            </w:r>
          </w:p>
        </w:tc>
        <w:tc>
          <w:tcPr>
            <w:tcW w:w="1557" w:type="pct"/>
            <w:hideMark/>
          </w:tcPr>
          <w:p w14:paraId="39923881"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6.95</w:t>
            </w:r>
          </w:p>
        </w:tc>
        <w:tc>
          <w:tcPr>
            <w:tcW w:w="1557" w:type="pct"/>
          </w:tcPr>
          <w:p w14:paraId="782E13B6" w14:textId="12B07FE2"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7.40</w:t>
            </w:r>
          </w:p>
        </w:tc>
      </w:tr>
      <w:tr w:rsidR="005A4B2C" w:rsidRPr="00293B16" w14:paraId="497B053A" w14:textId="1AB73710" w:rsidTr="000940EB">
        <w:trPr>
          <w:trHeight w:val="540"/>
        </w:trPr>
        <w:tc>
          <w:tcPr>
            <w:tcW w:w="1886" w:type="pct"/>
            <w:hideMark/>
          </w:tcPr>
          <w:p w14:paraId="2C4573E4"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T3- BA 1000ppm</w:t>
            </w:r>
          </w:p>
        </w:tc>
        <w:tc>
          <w:tcPr>
            <w:tcW w:w="1557" w:type="pct"/>
            <w:hideMark/>
          </w:tcPr>
          <w:p w14:paraId="7F7BBFD3"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5.58</w:t>
            </w:r>
          </w:p>
        </w:tc>
        <w:tc>
          <w:tcPr>
            <w:tcW w:w="1557" w:type="pct"/>
          </w:tcPr>
          <w:p w14:paraId="01C823BA" w14:textId="2EF3DB65"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8.15</w:t>
            </w:r>
          </w:p>
        </w:tc>
      </w:tr>
      <w:tr w:rsidR="005A4B2C" w:rsidRPr="00293B16" w14:paraId="3EF27601" w14:textId="760F51E9" w:rsidTr="000940EB">
        <w:trPr>
          <w:trHeight w:val="582"/>
        </w:trPr>
        <w:tc>
          <w:tcPr>
            <w:tcW w:w="1886" w:type="pct"/>
            <w:hideMark/>
          </w:tcPr>
          <w:p w14:paraId="0F845A6A"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 xml:space="preserve">T4- BA 500ppm </w:t>
            </w:r>
          </w:p>
        </w:tc>
        <w:tc>
          <w:tcPr>
            <w:tcW w:w="1557" w:type="pct"/>
            <w:hideMark/>
          </w:tcPr>
          <w:p w14:paraId="638D4DE7"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7.45</w:t>
            </w:r>
          </w:p>
        </w:tc>
        <w:tc>
          <w:tcPr>
            <w:tcW w:w="1557" w:type="pct"/>
          </w:tcPr>
          <w:p w14:paraId="44C65274" w14:textId="63223CE2" w:rsidR="005A4B2C" w:rsidRPr="00293B16" w:rsidRDefault="005A4B2C"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10.0</w:t>
            </w:r>
            <w:r w:rsidR="000940EB" w:rsidRPr="00293B16">
              <w:rPr>
                <w:rFonts w:ascii="Times New Roman" w:hAnsi="Times New Roman" w:cs="Times New Roman"/>
                <w:color w:val="000000"/>
                <w:sz w:val="24"/>
                <w:szCs w:val="24"/>
              </w:rPr>
              <w:t>2</w:t>
            </w:r>
          </w:p>
        </w:tc>
      </w:tr>
      <w:tr w:rsidR="005A4B2C" w:rsidRPr="00293B16" w14:paraId="67C4EDA8" w14:textId="075611D2" w:rsidTr="000940EB">
        <w:trPr>
          <w:trHeight w:val="540"/>
        </w:trPr>
        <w:tc>
          <w:tcPr>
            <w:tcW w:w="1886" w:type="pct"/>
            <w:hideMark/>
          </w:tcPr>
          <w:p w14:paraId="76A5CB18"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T5- NAA 1000ppm</w:t>
            </w:r>
          </w:p>
        </w:tc>
        <w:tc>
          <w:tcPr>
            <w:tcW w:w="1557" w:type="pct"/>
            <w:hideMark/>
          </w:tcPr>
          <w:p w14:paraId="516D438A"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4.50</w:t>
            </w:r>
          </w:p>
        </w:tc>
        <w:tc>
          <w:tcPr>
            <w:tcW w:w="1557" w:type="pct"/>
          </w:tcPr>
          <w:p w14:paraId="0BF66B6D" w14:textId="4AC5E69E"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5.12</w:t>
            </w:r>
          </w:p>
        </w:tc>
      </w:tr>
      <w:tr w:rsidR="005A4B2C" w:rsidRPr="00293B16" w14:paraId="24E08635" w14:textId="0783E8AD" w:rsidTr="000940EB">
        <w:trPr>
          <w:trHeight w:val="540"/>
        </w:trPr>
        <w:tc>
          <w:tcPr>
            <w:tcW w:w="1886" w:type="pct"/>
            <w:hideMark/>
          </w:tcPr>
          <w:p w14:paraId="08DE2EC9"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T6- NAA 500ppm</w:t>
            </w:r>
          </w:p>
        </w:tc>
        <w:tc>
          <w:tcPr>
            <w:tcW w:w="1557" w:type="pct"/>
            <w:hideMark/>
          </w:tcPr>
          <w:p w14:paraId="4EB585F2"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4.91</w:t>
            </w:r>
          </w:p>
        </w:tc>
        <w:tc>
          <w:tcPr>
            <w:tcW w:w="1557" w:type="pct"/>
          </w:tcPr>
          <w:p w14:paraId="6A81F18A" w14:textId="37DC0E63"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5.60</w:t>
            </w:r>
          </w:p>
        </w:tc>
      </w:tr>
      <w:tr w:rsidR="005A4B2C" w:rsidRPr="00293B16" w14:paraId="42773CD6" w14:textId="161C19EC" w:rsidTr="000940EB">
        <w:trPr>
          <w:trHeight w:val="694"/>
        </w:trPr>
        <w:tc>
          <w:tcPr>
            <w:tcW w:w="1886" w:type="pct"/>
            <w:hideMark/>
          </w:tcPr>
          <w:p w14:paraId="54896B4E"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T7- control</w:t>
            </w:r>
          </w:p>
        </w:tc>
        <w:tc>
          <w:tcPr>
            <w:tcW w:w="1557" w:type="pct"/>
            <w:hideMark/>
          </w:tcPr>
          <w:p w14:paraId="36E67730"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3.40</w:t>
            </w:r>
          </w:p>
        </w:tc>
        <w:tc>
          <w:tcPr>
            <w:tcW w:w="1557" w:type="pct"/>
          </w:tcPr>
          <w:p w14:paraId="4F1B1D98" w14:textId="66A32207"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4.02</w:t>
            </w:r>
          </w:p>
        </w:tc>
      </w:tr>
      <w:tr w:rsidR="005A4B2C" w:rsidRPr="00293B16" w14:paraId="725E9983" w14:textId="5E4B2629" w:rsidTr="000940EB">
        <w:trPr>
          <w:trHeight w:val="540"/>
        </w:trPr>
        <w:tc>
          <w:tcPr>
            <w:tcW w:w="1886" w:type="pct"/>
            <w:hideMark/>
          </w:tcPr>
          <w:p w14:paraId="7365B3C2" w14:textId="77777777" w:rsidR="005A4B2C" w:rsidRPr="00293B16" w:rsidRDefault="005A4B2C" w:rsidP="005A4B2C">
            <w:pPr>
              <w:spacing w:after="200"/>
              <w:rPr>
                <w:rFonts w:ascii="Times New Roman" w:hAnsi="Times New Roman" w:cs="Times New Roman"/>
                <w:color w:val="000000"/>
                <w:sz w:val="24"/>
                <w:szCs w:val="24"/>
                <w:lang w:val="en-IN"/>
              </w:rPr>
            </w:pPr>
            <w:proofErr w:type="spellStart"/>
            <w:r w:rsidRPr="00293B16">
              <w:rPr>
                <w:rFonts w:ascii="Times New Roman" w:hAnsi="Times New Roman" w:cs="Times New Roman"/>
                <w:color w:val="000000"/>
                <w:sz w:val="24"/>
                <w:szCs w:val="24"/>
              </w:rPr>
              <w:t>S.Ed</w:t>
            </w:r>
            <w:proofErr w:type="spellEnd"/>
            <w:r w:rsidRPr="00293B16">
              <w:rPr>
                <w:rFonts w:ascii="Times New Roman" w:hAnsi="Times New Roman" w:cs="Times New Roman"/>
                <w:color w:val="000000"/>
                <w:sz w:val="24"/>
                <w:szCs w:val="24"/>
              </w:rPr>
              <w:t>.</w:t>
            </w:r>
          </w:p>
        </w:tc>
        <w:tc>
          <w:tcPr>
            <w:tcW w:w="1557" w:type="pct"/>
            <w:hideMark/>
          </w:tcPr>
          <w:p w14:paraId="1FAE0766"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0.23</w:t>
            </w:r>
          </w:p>
        </w:tc>
        <w:tc>
          <w:tcPr>
            <w:tcW w:w="1557" w:type="pct"/>
          </w:tcPr>
          <w:p w14:paraId="0403D9DA" w14:textId="6E75AFC3"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0.58</w:t>
            </w:r>
          </w:p>
        </w:tc>
      </w:tr>
      <w:tr w:rsidR="005A4B2C" w:rsidRPr="00293B16" w14:paraId="189111AA" w14:textId="22C92357" w:rsidTr="000940EB">
        <w:trPr>
          <w:trHeight w:val="648"/>
        </w:trPr>
        <w:tc>
          <w:tcPr>
            <w:tcW w:w="1886" w:type="pct"/>
            <w:hideMark/>
          </w:tcPr>
          <w:p w14:paraId="32341F0B"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CD (0.05)</w:t>
            </w:r>
          </w:p>
        </w:tc>
        <w:tc>
          <w:tcPr>
            <w:tcW w:w="1557" w:type="pct"/>
            <w:hideMark/>
          </w:tcPr>
          <w:p w14:paraId="1497A491"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0.45</w:t>
            </w:r>
          </w:p>
        </w:tc>
        <w:tc>
          <w:tcPr>
            <w:tcW w:w="1557" w:type="pct"/>
          </w:tcPr>
          <w:p w14:paraId="195D7B5A" w14:textId="322390DF"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1.01</w:t>
            </w:r>
          </w:p>
        </w:tc>
      </w:tr>
    </w:tbl>
    <w:p w14:paraId="688AA5D4" w14:textId="77777777" w:rsidR="005A4B2C" w:rsidRPr="00293B16" w:rsidRDefault="005A4B2C" w:rsidP="005A4B2C">
      <w:pPr>
        <w:spacing w:line="240" w:lineRule="auto"/>
        <w:jc w:val="center"/>
        <w:rPr>
          <w:rFonts w:ascii="Times New Roman" w:hAnsi="Times New Roman" w:cs="Times New Roman"/>
          <w:b/>
          <w:color w:val="000000"/>
          <w:sz w:val="24"/>
          <w:szCs w:val="24"/>
        </w:rPr>
      </w:pPr>
    </w:p>
    <w:p w14:paraId="771F76A5" w14:textId="77777777" w:rsidR="000435C7" w:rsidRPr="00293B16" w:rsidRDefault="000435C7" w:rsidP="002752B3">
      <w:pPr>
        <w:jc w:val="both"/>
        <w:rPr>
          <w:rFonts w:ascii="Times New Roman" w:hAnsi="Times New Roman" w:cs="Times New Roman"/>
          <w:bCs/>
          <w:sz w:val="24"/>
          <w:szCs w:val="24"/>
        </w:rPr>
      </w:pPr>
    </w:p>
    <w:p w14:paraId="6CEC0503" w14:textId="77777777" w:rsidR="00F017B5" w:rsidRPr="00293B16" w:rsidRDefault="00F017B5" w:rsidP="002752B3">
      <w:pPr>
        <w:ind w:firstLine="720"/>
        <w:jc w:val="both"/>
        <w:rPr>
          <w:rFonts w:ascii="Times New Roman" w:hAnsi="Times New Roman" w:cs="Times New Roman"/>
          <w:bCs/>
          <w:sz w:val="24"/>
          <w:szCs w:val="24"/>
          <w:lang w:val="en-IN"/>
        </w:rPr>
      </w:pPr>
    </w:p>
    <w:p w14:paraId="2C9C5557" w14:textId="77777777" w:rsidR="007A4F2D" w:rsidRPr="00293B16" w:rsidRDefault="007A4F2D" w:rsidP="002752B3">
      <w:pPr>
        <w:jc w:val="both"/>
        <w:rPr>
          <w:rFonts w:ascii="Times New Roman" w:hAnsi="Times New Roman" w:cs="Times New Roman"/>
          <w:bCs/>
          <w:sz w:val="24"/>
          <w:szCs w:val="24"/>
        </w:rPr>
      </w:pPr>
    </w:p>
    <w:p w14:paraId="49859366" w14:textId="77777777" w:rsidR="00EE59EE" w:rsidRPr="00293B16" w:rsidRDefault="00EE59EE" w:rsidP="002752B3">
      <w:pPr>
        <w:jc w:val="both"/>
        <w:rPr>
          <w:rFonts w:ascii="Times New Roman" w:hAnsi="Times New Roman" w:cs="Times New Roman"/>
          <w:bCs/>
          <w:sz w:val="24"/>
          <w:szCs w:val="24"/>
        </w:rPr>
      </w:pPr>
    </w:p>
    <w:p w14:paraId="24747DC2" w14:textId="77777777" w:rsidR="00EE59EE" w:rsidRPr="00293B16" w:rsidRDefault="00EE59EE" w:rsidP="002752B3">
      <w:pPr>
        <w:jc w:val="both"/>
        <w:rPr>
          <w:rFonts w:ascii="Times New Roman" w:hAnsi="Times New Roman" w:cs="Times New Roman"/>
          <w:bCs/>
          <w:sz w:val="24"/>
          <w:szCs w:val="24"/>
        </w:rPr>
      </w:pPr>
    </w:p>
    <w:p w14:paraId="24093CD1" w14:textId="77777777" w:rsidR="00EE59EE" w:rsidRPr="00293B16" w:rsidRDefault="00EE59EE" w:rsidP="002752B3">
      <w:pPr>
        <w:jc w:val="both"/>
        <w:rPr>
          <w:rFonts w:ascii="Times New Roman" w:hAnsi="Times New Roman" w:cs="Times New Roman"/>
          <w:bCs/>
          <w:sz w:val="24"/>
          <w:szCs w:val="24"/>
        </w:rPr>
      </w:pPr>
    </w:p>
    <w:p w14:paraId="116EE064" w14:textId="77777777" w:rsidR="00EE59EE" w:rsidRPr="00293B16" w:rsidRDefault="00EE59EE" w:rsidP="002752B3">
      <w:pPr>
        <w:jc w:val="both"/>
        <w:rPr>
          <w:rFonts w:ascii="Times New Roman" w:hAnsi="Times New Roman" w:cs="Times New Roman"/>
          <w:bCs/>
          <w:sz w:val="24"/>
          <w:szCs w:val="24"/>
        </w:rPr>
      </w:pPr>
    </w:p>
    <w:p w14:paraId="65A31439" w14:textId="77777777" w:rsidR="00EE59EE" w:rsidRPr="00293B16" w:rsidRDefault="00EE59EE" w:rsidP="002752B3">
      <w:pPr>
        <w:jc w:val="both"/>
        <w:rPr>
          <w:rFonts w:ascii="Times New Roman" w:hAnsi="Times New Roman" w:cs="Times New Roman"/>
          <w:bCs/>
          <w:sz w:val="24"/>
          <w:szCs w:val="24"/>
        </w:rPr>
      </w:pPr>
    </w:p>
    <w:p w14:paraId="3C4BBBE1" w14:textId="77777777" w:rsidR="00EE59EE" w:rsidRPr="00293B16" w:rsidRDefault="00EE59EE" w:rsidP="002752B3">
      <w:pPr>
        <w:jc w:val="both"/>
        <w:rPr>
          <w:rFonts w:ascii="Times New Roman" w:hAnsi="Times New Roman" w:cs="Times New Roman"/>
          <w:bCs/>
          <w:sz w:val="24"/>
          <w:szCs w:val="24"/>
        </w:rPr>
      </w:pPr>
    </w:p>
    <w:p w14:paraId="4073732A" w14:textId="77777777" w:rsidR="00EE59EE" w:rsidRPr="00293B16" w:rsidRDefault="00EE59EE" w:rsidP="002752B3">
      <w:pPr>
        <w:jc w:val="both"/>
        <w:rPr>
          <w:rFonts w:ascii="Times New Roman" w:hAnsi="Times New Roman" w:cs="Times New Roman"/>
          <w:bCs/>
          <w:sz w:val="24"/>
          <w:szCs w:val="24"/>
        </w:rPr>
      </w:pPr>
    </w:p>
    <w:p w14:paraId="2815F697" w14:textId="77777777" w:rsidR="00EE59EE" w:rsidRPr="00293B16" w:rsidRDefault="00EE59EE" w:rsidP="002752B3">
      <w:pPr>
        <w:jc w:val="both"/>
        <w:rPr>
          <w:rFonts w:ascii="Times New Roman" w:hAnsi="Times New Roman" w:cs="Times New Roman"/>
          <w:bCs/>
          <w:sz w:val="24"/>
          <w:szCs w:val="24"/>
        </w:rPr>
      </w:pPr>
    </w:p>
    <w:p w14:paraId="6DA1BAA5" w14:textId="77777777" w:rsidR="00EE59EE" w:rsidRPr="00293B16" w:rsidRDefault="00EE59EE" w:rsidP="002752B3">
      <w:pPr>
        <w:jc w:val="both"/>
        <w:rPr>
          <w:rFonts w:ascii="Times New Roman" w:hAnsi="Times New Roman" w:cs="Times New Roman"/>
          <w:bCs/>
          <w:sz w:val="24"/>
          <w:szCs w:val="24"/>
        </w:rPr>
      </w:pPr>
    </w:p>
    <w:p w14:paraId="64F8B08F" w14:textId="77777777" w:rsidR="008238EE" w:rsidRPr="00293B16" w:rsidRDefault="008238EE" w:rsidP="002752B3">
      <w:pPr>
        <w:autoSpaceDE w:val="0"/>
        <w:autoSpaceDN w:val="0"/>
        <w:adjustRightInd w:val="0"/>
        <w:spacing w:after="0"/>
        <w:jc w:val="both"/>
        <w:rPr>
          <w:rFonts w:ascii="Times New Roman" w:hAnsi="Times New Roman" w:cs="Times New Roman"/>
          <w:bCs/>
          <w:sz w:val="24"/>
          <w:szCs w:val="24"/>
        </w:rPr>
      </w:pPr>
    </w:p>
    <w:p w14:paraId="41FE6827" w14:textId="77777777" w:rsidR="008238EE" w:rsidRPr="00293B16" w:rsidRDefault="008238EE" w:rsidP="002752B3">
      <w:pPr>
        <w:autoSpaceDE w:val="0"/>
        <w:autoSpaceDN w:val="0"/>
        <w:adjustRightInd w:val="0"/>
        <w:spacing w:after="0"/>
        <w:jc w:val="both"/>
        <w:rPr>
          <w:rFonts w:ascii="Times New Roman" w:hAnsi="Times New Roman" w:cs="Times New Roman"/>
          <w:bCs/>
          <w:sz w:val="24"/>
          <w:szCs w:val="24"/>
        </w:rPr>
      </w:pPr>
    </w:p>
    <w:p w14:paraId="6A7149F2" w14:textId="77777777" w:rsidR="008058EC" w:rsidRPr="00293B16" w:rsidRDefault="008058EC" w:rsidP="002752B3">
      <w:pPr>
        <w:jc w:val="both"/>
        <w:rPr>
          <w:rFonts w:ascii="Times New Roman" w:hAnsi="Times New Roman" w:cs="Times New Roman"/>
          <w:bCs/>
          <w:sz w:val="24"/>
          <w:szCs w:val="24"/>
        </w:rPr>
      </w:pPr>
    </w:p>
    <w:sectPr w:rsidR="008058EC" w:rsidRPr="00293B16" w:rsidSect="00D10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E59ED"/>
    <w:multiLevelType w:val="hybridMultilevel"/>
    <w:tmpl w:val="46F229A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0C"/>
    <w:rsid w:val="00032CAD"/>
    <w:rsid w:val="000356E7"/>
    <w:rsid w:val="000435C7"/>
    <w:rsid w:val="0006526B"/>
    <w:rsid w:val="000940EB"/>
    <w:rsid w:val="00181176"/>
    <w:rsid w:val="001A2FB5"/>
    <w:rsid w:val="002154D1"/>
    <w:rsid w:val="002544BF"/>
    <w:rsid w:val="002752B3"/>
    <w:rsid w:val="00277D15"/>
    <w:rsid w:val="00293B16"/>
    <w:rsid w:val="002A4E1A"/>
    <w:rsid w:val="002B630C"/>
    <w:rsid w:val="002E7BA9"/>
    <w:rsid w:val="00346F39"/>
    <w:rsid w:val="003649F2"/>
    <w:rsid w:val="00380837"/>
    <w:rsid w:val="003D56E8"/>
    <w:rsid w:val="003E0217"/>
    <w:rsid w:val="003E6525"/>
    <w:rsid w:val="00422B7E"/>
    <w:rsid w:val="00493DAD"/>
    <w:rsid w:val="004A2AD1"/>
    <w:rsid w:val="004D4334"/>
    <w:rsid w:val="00543FD2"/>
    <w:rsid w:val="00567440"/>
    <w:rsid w:val="00582F87"/>
    <w:rsid w:val="005A4B2C"/>
    <w:rsid w:val="005A68CD"/>
    <w:rsid w:val="006146EE"/>
    <w:rsid w:val="006B5D24"/>
    <w:rsid w:val="00732F86"/>
    <w:rsid w:val="007A4F2D"/>
    <w:rsid w:val="007F5822"/>
    <w:rsid w:val="00800130"/>
    <w:rsid w:val="008058EC"/>
    <w:rsid w:val="008238EE"/>
    <w:rsid w:val="008A0809"/>
    <w:rsid w:val="008E36F5"/>
    <w:rsid w:val="00AB19C3"/>
    <w:rsid w:val="00AB73B2"/>
    <w:rsid w:val="00AC4F68"/>
    <w:rsid w:val="00B47289"/>
    <w:rsid w:val="00B55EB5"/>
    <w:rsid w:val="00B6417A"/>
    <w:rsid w:val="00C22195"/>
    <w:rsid w:val="00C2292C"/>
    <w:rsid w:val="00C51016"/>
    <w:rsid w:val="00D05467"/>
    <w:rsid w:val="00D10423"/>
    <w:rsid w:val="00D66DC0"/>
    <w:rsid w:val="00DF3172"/>
    <w:rsid w:val="00E00EF8"/>
    <w:rsid w:val="00E90E18"/>
    <w:rsid w:val="00EE59EE"/>
    <w:rsid w:val="00F017B5"/>
    <w:rsid w:val="00F7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7AEB"/>
  <w15:docId w15:val="{F56C2F1E-0286-4431-88E8-DE548A49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A"/>
  </w:style>
  <w:style w:type="paragraph" w:styleId="Heading3">
    <w:name w:val="heading 3"/>
    <w:basedOn w:val="Normal"/>
    <w:next w:val="Normal"/>
    <w:link w:val="Heading3Char"/>
    <w:uiPriority w:val="9"/>
    <w:semiHidden/>
    <w:unhideWhenUsed/>
    <w:qFormat/>
    <w:rsid w:val="002E7B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8CD"/>
    <w:rPr>
      <w:color w:val="0000FF" w:themeColor="hyperlink"/>
      <w:u w:val="single"/>
    </w:rPr>
  </w:style>
  <w:style w:type="character" w:styleId="UnresolvedMention">
    <w:name w:val="Unresolved Mention"/>
    <w:basedOn w:val="DefaultParagraphFont"/>
    <w:uiPriority w:val="99"/>
    <w:semiHidden/>
    <w:unhideWhenUsed/>
    <w:rsid w:val="005A68CD"/>
    <w:rPr>
      <w:color w:val="605E5C"/>
      <w:shd w:val="clear" w:color="auto" w:fill="E1DFDD"/>
    </w:rPr>
  </w:style>
  <w:style w:type="paragraph" w:styleId="ListParagraph">
    <w:name w:val="List Paragraph"/>
    <w:basedOn w:val="Normal"/>
    <w:uiPriority w:val="34"/>
    <w:qFormat/>
    <w:rsid w:val="008238EE"/>
    <w:pPr>
      <w:ind w:left="720"/>
      <w:contextualSpacing/>
    </w:pPr>
  </w:style>
  <w:style w:type="paragraph" w:styleId="NormalWeb">
    <w:name w:val="Normal (Web)"/>
    <w:basedOn w:val="Normal"/>
    <w:uiPriority w:val="99"/>
    <w:semiHidden/>
    <w:unhideWhenUsed/>
    <w:rsid w:val="000356E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E7BA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E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D4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1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VpS~king</dc:creator>
  <cp:lastModifiedBy>SDI 1137</cp:lastModifiedBy>
  <cp:revision>18</cp:revision>
  <dcterms:created xsi:type="dcterms:W3CDTF">2025-08-28T06:11:00Z</dcterms:created>
  <dcterms:modified xsi:type="dcterms:W3CDTF">2025-09-04T08:26:00Z</dcterms:modified>
</cp:coreProperties>
</file>