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9C71D" w14:textId="39EC2444" w:rsidR="00044C44" w:rsidRPr="00EE640E" w:rsidRDefault="00EE640E">
      <w:pPr>
        <w:pBdr>
          <w:top w:val="nil"/>
          <w:left w:val="nil"/>
          <w:bottom w:val="nil"/>
          <w:right w:val="nil"/>
          <w:between w:val="nil"/>
        </w:pBdr>
        <w:spacing w:before="32"/>
        <w:rPr>
          <w:rFonts w:ascii="Times New Roman" w:eastAsia="Times New Roman" w:hAnsi="Times New Roman" w:cs="Times New Roman"/>
          <w:b/>
          <w:sz w:val="28"/>
          <w:szCs w:val="41"/>
        </w:rPr>
      </w:pPr>
      <w:r w:rsidRPr="00EE640E">
        <w:rPr>
          <w:rFonts w:ascii="Times New Roman" w:eastAsia="Times New Roman" w:hAnsi="Times New Roman" w:cs="Times New Roman"/>
          <w:b/>
          <w:sz w:val="28"/>
          <w:szCs w:val="41"/>
          <w:highlight w:val="yellow"/>
        </w:rPr>
        <w:t>Comparison of Surgical and Medical Management of Symptomatic Fibrocystic Breast Changes: A Prospective Pilot Study</w:t>
      </w:r>
    </w:p>
    <w:p w14:paraId="333825C6" w14:textId="77777777" w:rsidR="00EE640E" w:rsidRDefault="00EE640E">
      <w:pPr>
        <w:pBdr>
          <w:top w:val="nil"/>
          <w:left w:val="nil"/>
          <w:bottom w:val="nil"/>
          <w:right w:val="nil"/>
          <w:between w:val="nil"/>
        </w:pBdr>
        <w:spacing w:before="32"/>
        <w:rPr>
          <w:color w:val="000000"/>
        </w:rPr>
      </w:pPr>
    </w:p>
    <w:p w14:paraId="5C7871C2" w14:textId="77777777" w:rsidR="00044C44" w:rsidRDefault="00DE1DF2">
      <w:pPr>
        <w:ind w:left="1" w:right="358"/>
        <w:jc w:val="center"/>
        <w:rPr>
          <w:b/>
        </w:rPr>
      </w:pPr>
      <w:r>
        <w:rPr>
          <w:b/>
        </w:rPr>
        <w:t>Abstract</w:t>
      </w:r>
    </w:p>
    <w:p w14:paraId="46A05A50" w14:textId="77777777" w:rsidR="00C34076" w:rsidRDefault="00DE1DF2" w:rsidP="00C34076">
      <w:pPr>
        <w:spacing w:before="47" w:line="259" w:lineRule="auto"/>
        <w:ind w:left="597" w:right="956"/>
        <w:jc w:val="both"/>
      </w:pPr>
      <w:r>
        <w:rPr>
          <w:b/>
        </w:rPr>
        <w:t xml:space="preserve">Background: </w:t>
      </w:r>
      <w:r>
        <w:t xml:space="preserve">Fibrocystic breast changes (FBC), a common benign condition affecting up to 50% of reproductive-age women, often present with </w:t>
      </w:r>
      <w:proofErr w:type="spellStart"/>
      <w:r>
        <w:t>mastalgia</w:t>
      </w:r>
      <w:proofErr w:type="spellEnd"/>
      <w:r>
        <w:t xml:space="preserve"> and nodularity. While medical management is first-line, surgical excision is considered for refractory cases.</w:t>
      </w:r>
    </w:p>
    <w:p w14:paraId="1EA27F7B" w14:textId="77777777" w:rsidR="00C34076" w:rsidRDefault="00C34076">
      <w:pPr>
        <w:spacing w:before="47" w:line="259" w:lineRule="auto"/>
        <w:ind w:left="597" w:right="956" w:firstLine="327"/>
        <w:jc w:val="both"/>
      </w:pPr>
      <w:bookmarkStart w:id="0" w:name="_GoBack"/>
      <w:bookmarkEnd w:id="0"/>
    </w:p>
    <w:p w14:paraId="13B11198" w14:textId="7082CAA0" w:rsidR="00044C44" w:rsidRDefault="00C34076" w:rsidP="00C34076">
      <w:pPr>
        <w:spacing w:before="47" w:line="259" w:lineRule="auto"/>
        <w:ind w:left="597" w:right="956"/>
        <w:jc w:val="both"/>
      </w:pPr>
      <w:r w:rsidRPr="00C34076">
        <w:rPr>
          <w:b/>
        </w:rPr>
        <w:t>Aim:</w:t>
      </w:r>
      <w:r w:rsidR="00DE1DF2">
        <w:t xml:space="preserve"> This </w:t>
      </w:r>
      <w:r w:rsidR="003E1265">
        <w:rPr>
          <w:sz w:val="20"/>
        </w:rPr>
        <w:t>single-</w:t>
      </w:r>
      <w:proofErr w:type="spellStart"/>
      <w:r w:rsidR="003E1265">
        <w:rPr>
          <w:sz w:val="20"/>
        </w:rPr>
        <w:t>centre</w:t>
      </w:r>
      <w:proofErr w:type="spellEnd"/>
      <w:r w:rsidR="00EE640E" w:rsidRPr="00EE640E">
        <w:rPr>
          <w:b/>
          <w:sz w:val="20"/>
        </w:rPr>
        <w:t xml:space="preserve"> </w:t>
      </w:r>
      <w:r w:rsidR="00DE1DF2">
        <w:t>pilot study prospectively compared outcomes between surgical and medical cohorts</w:t>
      </w:r>
      <w:r>
        <w:t>.</w:t>
      </w:r>
      <w:r w:rsidR="00DE1DF2">
        <w:t xml:space="preserve"> </w:t>
      </w:r>
    </w:p>
    <w:p w14:paraId="0AFCC033" w14:textId="77777777" w:rsidR="00044C44" w:rsidRDefault="00044C44">
      <w:pPr>
        <w:spacing w:before="47" w:line="259" w:lineRule="auto"/>
        <w:ind w:left="597" w:right="956" w:firstLine="327"/>
        <w:jc w:val="both"/>
      </w:pPr>
    </w:p>
    <w:p w14:paraId="1D661F0C" w14:textId="69FD8987" w:rsidR="00044C44" w:rsidRDefault="00DE1DF2" w:rsidP="00C34076">
      <w:pPr>
        <w:spacing w:before="47" w:line="259" w:lineRule="auto"/>
        <w:ind w:left="597" w:right="956"/>
        <w:jc w:val="both"/>
      </w:pPr>
      <w:r>
        <w:rPr>
          <w:b/>
        </w:rPr>
        <w:t xml:space="preserve">Methods: </w:t>
      </w:r>
      <w:r>
        <w:t xml:space="preserve">From January 2023 to December 2023, 50 premenopausal women (aged 18–45 years) with symptomatic FBC were enrolled at S.C.B. Medical College </w:t>
      </w:r>
      <w:r w:rsidR="00EE640E">
        <w:t>a</w:t>
      </w:r>
      <w:r>
        <w:t>nd Hospital,</w:t>
      </w:r>
      <w:r w:rsidR="00C34076">
        <w:t xml:space="preserve"> </w:t>
      </w:r>
      <w:r>
        <w:t>Cuttack,</w:t>
      </w:r>
      <w:r w:rsidR="00C34076">
        <w:t xml:space="preserve"> </w:t>
      </w:r>
      <w:r>
        <w:t>Odisha,</w:t>
      </w:r>
      <w:r w:rsidR="00C34076">
        <w:t xml:space="preserve"> </w:t>
      </w:r>
      <w:r>
        <w:t>India. Patients were observed based on standard care: 10 underwent surgical excision for large cysts (</w:t>
      </w:r>
      <w:r>
        <w:rPr>
          <w:rFonts w:ascii="Times New Roman" w:eastAsia="Times New Roman" w:hAnsi="Times New Roman" w:cs="Times New Roman"/>
          <w:i/>
        </w:rPr>
        <w:t>&gt;</w:t>
      </w:r>
      <w:r>
        <w:t xml:space="preserve">2 cm) or persistent symptoms, and 40 received medical management (lifestyle modifications + pharmacotherapy). Assessments included </w:t>
      </w:r>
      <w:r w:rsidRPr="00A31006">
        <w:rPr>
          <w:highlight w:val="yellow"/>
        </w:rPr>
        <w:t>visual analog</w:t>
      </w:r>
      <w:r w:rsidR="003E1265" w:rsidRPr="00A31006">
        <w:rPr>
          <w:highlight w:val="yellow"/>
        </w:rPr>
        <w:t>ue</w:t>
      </w:r>
      <w:r w:rsidRPr="00A31006">
        <w:rPr>
          <w:highlight w:val="yellow"/>
        </w:rPr>
        <w:t xml:space="preserve"> scale (</w:t>
      </w:r>
      <w:r>
        <w:t>VAS) for pain, ultrasound, and quality-of-life (QoL) surveys at baseline, 6, and 12 months. Data were analyzed using descriptive statistics and chi-square tests.</w:t>
      </w:r>
    </w:p>
    <w:p w14:paraId="71C1E3E0" w14:textId="77777777" w:rsidR="00044C44" w:rsidRDefault="00044C44">
      <w:pPr>
        <w:spacing w:before="47" w:line="259" w:lineRule="auto"/>
        <w:ind w:left="597" w:right="956" w:firstLine="327"/>
        <w:jc w:val="both"/>
      </w:pPr>
    </w:p>
    <w:p w14:paraId="36500462" w14:textId="1E514296" w:rsidR="00044C44" w:rsidRDefault="00DE1DF2" w:rsidP="00C34076">
      <w:pPr>
        <w:spacing w:before="47" w:line="259" w:lineRule="auto"/>
        <w:ind w:left="597" w:right="956"/>
        <w:jc w:val="both"/>
      </w:pPr>
      <w:r>
        <w:rPr>
          <w:b/>
        </w:rPr>
        <w:t xml:space="preserve">Results: </w:t>
      </w:r>
      <w:r>
        <w:t xml:space="preserve">Mean age was 32.4 </w:t>
      </w:r>
      <w:r>
        <w:rPr>
          <w:i/>
        </w:rPr>
        <w:t xml:space="preserve">± </w:t>
      </w:r>
      <w:r>
        <w:t xml:space="preserve">5.9 years. Surgical patients had larger cysts (mean 2.5 cm vs. 1.2 cm, p&lt;0.01). At 12 months, symptom resolution (VAS reduction </w:t>
      </w:r>
      <w:r>
        <w:rPr>
          <w:rFonts w:ascii="Times New Roman" w:eastAsia="Times New Roman" w:hAnsi="Times New Roman" w:cs="Times New Roman"/>
          <w:i/>
        </w:rPr>
        <w:t>&gt;</w:t>
      </w:r>
      <w:r>
        <w:t>50%) was 90</w:t>
      </w:r>
      <w:r w:rsidRPr="00A31006">
        <w:rPr>
          <w:highlight w:val="yellow"/>
        </w:rPr>
        <w:t xml:space="preserve">% in </w:t>
      </w:r>
      <w:r w:rsidR="003E1265" w:rsidRPr="00A31006">
        <w:rPr>
          <w:highlight w:val="yellow"/>
        </w:rPr>
        <w:t xml:space="preserve">the </w:t>
      </w:r>
      <w:r w:rsidRPr="00A31006">
        <w:rPr>
          <w:highlight w:val="yellow"/>
        </w:rPr>
        <w:t xml:space="preserve">surgical vs. 75% in </w:t>
      </w:r>
      <w:r w:rsidR="003E1265" w:rsidRPr="00A31006">
        <w:rPr>
          <w:highlight w:val="yellow"/>
        </w:rPr>
        <w:t xml:space="preserve">the </w:t>
      </w:r>
      <w:r w:rsidRPr="00A31006">
        <w:rPr>
          <w:highlight w:val="yellow"/>
        </w:rPr>
        <w:t>medical</w:t>
      </w:r>
      <w:r>
        <w:t xml:space="preserve"> groups (p=0.04). Recurrence was lower in surgical (10% vs. 25%, p=0.03). QoL improved similarly (mean +22 points both groups). No malignancies occurred.</w:t>
      </w:r>
      <w:r w:rsidR="00A32EC9">
        <w:t xml:space="preserve"> S</w:t>
      </w:r>
      <w:r w:rsidR="00A32EC9" w:rsidRPr="00A32EC9">
        <w:rPr>
          <w:highlight w:val="yellow"/>
        </w:rPr>
        <w:t>urgical excision confers greater cyst resolution and reduced recurrence in symptomatic FBC patients with dominant lesions, while medical management remains appropriate for milder cases. Future research should target larger populations and extended follow-up to clarify best practices and oncologic safety for both strategies.</w:t>
      </w:r>
    </w:p>
    <w:p w14:paraId="36C4EEC1" w14:textId="77777777" w:rsidR="00044C44" w:rsidRDefault="00044C44">
      <w:pPr>
        <w:spacing w:before="47" w:line="259" w:lineRule="auto"/>
        <w:ind w:left="597" w:right="956" w:firstLine="327"/>
        <w:jc w:val="both"/>
      </w:pPr>
    </w:p>
    <w:p w14:paraId="3C084312" w14:textId="77777777" w:rsidR="00044C44" w:rsidRDefault="00DE1DF2" w:rsidP="00C34076">
      <w:pPr>
        <w:spacing w:before="47" w:line="259" w:lineRule="auto"/>
        <w:ind w:left="597" w:right="956"/>
        <w:jc w:val="both"/>
      </w:pPr>
      <w:r>
        <w:rPr>
          <w:b/>
        </w:rPr>
        <w:t xml:space="preserve">Conclusions: </w:t>
      </w:r>
      <w:r>
        <w:t xml:space="preserve">In this pilot, surgical excision offered faster resolution for select FBC cases, but medical management sufficed for most. Larger trials are needed to confirm cost-effectiveness and long-term risks. </w:t>
      </w:r>
    </w:p>
    <w:p w14:paraId="2401E507" w14:textId="77777777" w:rsidR="00044C44" w:rsidRDefault="00044C44">
      <w:pPr>
        <w:spacing w:before="47" w:line="259" w:lineRule="auto"/>
        <w:ind w:left="597" w:right="956" w:firstLine="327"/>
        <w:jc w:val="both"/>
      </w:pPr>
    </w:p>
    <w:p w14:paraId="77BC0F10" w14:textId="77777777" w:rsidR="00044C44" w:rsidRDefault="00DE1DF2" w:rsidP="00C34076">
      <w:pPr>
        <w:spacing w:before="47" w:line="259" w:lineRule="auto"/>
        <w:ind w:left="597" w:right="956"/>
        <w:jc w:val="both"/>
      </w:pPr>
      <w:r>
        <w:rPr>
          <w:b/>
        </w:rPr>
        <w:t xml:space="preserve">Keywords: </w:t>
      </w:r>
      <w:r>
        <w:t xml:space="preserve">Fibrocystic breast changes, Surgical excision, Medical management, </w:t>
      </w:r>
      <w:proofErr w:type="spellStart"/>
      <w:r>
        <w:t>Mastalgia</w:t>
      </w:r>
      <w:proofErr w:type="spellEnd"/>
      <w:r>
        <w:t>, Benign breast disease, Observational study</w:t>
      </w:r>
    </w:p>
    <w:p w14:paraId="049ACAA2" w14:textId="77777777" w:rsidR="00044C44" w:rsidRDefault="00044C44">
      <w:pPr>
        <w:pBdr>
          <w:top w:val="nil"/>
          <w:left w:val="nil"/>
          <w:bottom w:val="nil"/>
          <w:right w:val="nil"/>
          <w:between w:val="nil"/>
        </w:pBdr>
        <w:spacing w:before="166"/>
        <w:rPr>
          <w:color w:val="000000"/>
        </w:rPr>
      </w:pPr>
    </w:p>
    <w:p w14:paraId="415C5908" w14:textId="77777777" w:rsidR="00044C44" w:rsidRDefault="00044C44">
      <w:pPr>
        <w:pBdr>
          <w:top w:val="nil"/>
          <w:left w:val="nil"/>
          <w:bottom w:val="nil"/>
          <w:right w:val="nil"/>
          <w:between w:val="nil"/>
        </w:pBdr>
        <w:spacing w:before="166"/>
        <w:rPr>
          <w:color w:val="000000"/>
        </w:rPr>
      </w:pPr>
    </w:p>
    <w:p w14:paraId="0ED059E2" w14:textId="77777777" w:rsidR="00044C44" w:rsidRDefault="00DE1DF2">
      <w:pPr>
        <w:pStyle w:val="Heading1"/>
        <w:numPr>
          <w:ilvl w:val="0"/>
          <w:numId w:val="2"/>
        </w:numPr>
        <w:tabs>
          <w:tab w:val="left" w:pos="580"/>
        </w:tabs>
        <w:ind w:hanging="580"/>
      </w:pPr>
      <w:r>
        <w:t>Introduction</w:t>
      </w:r>
    </w:p>
    <w:p w14:paraId="6A14DBA3" w14:textId="4E5AF556" w:rsidR="00044C44" w:rsidRDefault="00DE1DF2">
      <w:pPr>
        <w:pBdr>
          <w:top w:val="nil"/>
          <w:left w:val="nil"/>
          <w:bottom w:val="nil"/>
          <w:right w:val="nil"/>
          <w:between w:val="nil"/>
        </w:pBdr>
        <w:spacing w:before="139" w:line="254" w:lineRule="auto"/>
        <w:ind w:right="356"/>
        <w:jc w:val="both"/>
        <w:rPr>
          <w:sz w:val="24"/>
          <w:szCs w:val="24"/>
        </w:rPr>
      </w:pPr>
      <w:r>
        <w:rPr>
          <w:sz w:val="24"/>
          <w:szCs w:val="24"/>
        </w:rPr>
        <w:t>Fibrocystic breast changes (FBC), formerly referred to as fibrocystic breast disease, constitute the most common benign condition affecting the female breast</w:t>
      </w:r>
      <w:r w:rsidR="00336BD6">
        <w:rPr>
          <w:sz w:val="24"/>
          <w:szCs w:val="24"/>
        </w:rPr>
        <w:t xml:space="preserve"> </w:t>
      </w:r>
      <w:r>
        <w:rPr>
          <w:sz w:val="24"/>
          <w:szCs w:val="24"/>
        </w:rPr>
        <w:t xml:space="preserve">[2]. Rather than a discrete pathological entity, FBC encompasses a broad spectrum of non-malignant </w:t>
      </w:r>
      <w:r>
        <w:rPr>
          <w:sz w:val="24"/>
          <w:szCs w:val="24"/>
        </w:rPr>
        <w:lastRenderedPageBreak/>
        <w:t>histological alterations such as cyst formation, stromal fibrosis, adenosis, and varying degrees of epithelial hyperplasia, all of which are primarily influenced by cyclical hormonal fluctuations, particularly estrogen and progesterone levels [3,5]. These dynamic changes underlie the characteristic clinical pattern of the disorder, which presents most frequently in women aged 30–50 years and affects an estimated 30–60% of this population</w:t>
      </w:r>
      <w:r w:rsidR="003303BC">
        <w:rPr>
          <w:sz w:val="24"/>
          <w:szCs w:val="24"/>
        </w:rPr>
        <w:t xml:space="preserve"> </w:t>
      </w:r>
      <w:r>
        <w:rPr>
          <w:sz w:val="24"/>
          <w:szCs w:val="24"/>
        </w:rPr>
        <w:t>[4].</w:t>
      </w:r>
      <w:r w:rsidR="00336BD6">
        <w:rPr>
          <w:sz w:val="24"/>
          <w:szCs w:val="24"/>
        </w:rPr>
        <w:t xml:space="preserve"> </w:t>
      </w:r>
      <w:r w:rsidR="00336BD6">
        <w:rPr>
          <w:highlight w:val="yellow"/>
        </w:rPr>
        <w:t xml:space="preserve">FBC </w:t>
      </w:r>
      <w:r w:rsidR="00336BD6" w:rsidRPr="00A31006">
        <w:rPr>
          <w:highlight w:val="yellow"/>
        </w:rPr>
        <w:t xml:space="preserve">as well as </w:t>
      </w:r>
      <w:proofErr w:type="spellStart"/>
      <w:r w:rsidR="00336BD6" w:rsidRPr="00A31006">
        <w:rPr>
          <w:highlight w:val="yellow"/>
        </w:rPr>
        <w:t>mastalgia</w:t>
      </w:r>
      <w:proofErr w:type="spellEnd"/>
      <w:r w:rsidR="003E1265">
        <w:rPr>
          <w:highlight w:val="yellow"/>
        </w:rPr>
        <w:t>,</w:t>
      </w:r>
      <w:r w:rsidR="00336BD6" w:rsidRPr="00A31006">
        <w:rPr>
          <w:highlight w:val="yellow"/>
        </w:rPr>
        <w:t xml:space="preserve"> are common conditions that women suffer from. They may occur separately or in combination. The nature of these changes as well as the associated factors responsible for their development</w:t>
      </w:r>
      <w:r w:rsidR="003E1265">
        <w:rPr>
          <w:highlight w:val="yellow"/>
        </w:rPr>
        <w:t>,</w:t>
      </w:r>
      <w:r w:rsidR="00336BD6" w:rsidRPr="00A31006">
        <w:rPr>
          <w:highlight w:val="yellow"/>
        </w:rPr>
        <w:t xml:space="preserve"> </w:t>
      </w:r>
      <w:r w:rsidR="003E1265">
        <w:rPr>
          <w:highlight w:val="yellow"/>
        </w:rPr>
        <w:t>is</w:t>
      </w:r>
      <w:r w:rsidR="00336BD6" w:rsidRPr="00A31006">
        <w:rPr>
          <w:highlight w:val="yellow"/>
        </w:rPr>
        <w:t xml:space="preserve"> not fully understood by many who treat patients suffering from breast pain. Unfortunately, </w:t>
      </w:r>
      <w:proofErr w:type="spellStart"/>
      <w:r w:rsidR="00336BD6" w:rsidRPr="00A31006">
        <w:rPr>
          <w:highlight w:val="yellow"/>
        </w:rPr>
        <w:t>mastalgia</w:t>
      </w:r>
      <w:proofErr w:type="spellEnd"/>
      <w:r w:rsidR="00336BD6" w:rsidRPr="00A31006">
        <w:rPr>
          <w:highlight w:val="yellow"/>
        </w:rPr>
        <w:t xml:space="preserve"> caused by fibrocystic breast changes is treated by breast specialists as well as by those not specialized in breast diseases</w:t>
      </w:r>
      <w:r w:rsidR="00556A41">
        <w:rPr>
          <w:highlight w:val="yellow"/>
        </w:rPr>
        <w:t xml:space="preserve"> [16]</w:t>
      </w:r>
      <w:r w:rsidR="00336BD6" w:rsidRPr="00A31006">
        <w:rPr>
          <w:highlight w:val="yellow"/>
        </w:rPr>
        <w:t>.</w:t>
      </w:r>
    </w:p>
    <w:p w14:paraId="3D3AE052" w14:textId="361105E7" w:rsidR="00044C44" w:rsidRDefault="00DE1DF2">
      <w:pPr>
        <w:pBdr>
          <w:top w:val="nil"/>
          <w:left w:val="nil"/>
          <w:bottom w:val="nil"/>
          <w:right w:val="nil"/>
          <w:between w:val="nil"/>
        </w:pBdr>
        <w:spacing w:before="139" w:line="254" w:lineRule="auto"/>
        <w:ind w:right="356"/>
        <w:jc w:val="both"/>
        <w:rPr>
          <w:color w:val="000000"/>
          <w:sz w:val="24"/>
          <w:szCs w:val="24"/>
        </w:rPr>
        <w:sectPr w:rsidR="00044C44">
          <w:headerReference w:type="even" r:id="rId8"/>
          <w:headerReference w:type="default" r:id="rId9"/>
          <w:footerReference w:type="even" r:id="rId10"/>
          <w:footerReference w:type="default" r:id="rId11"/>
          <w:headerReference w:type="first" r:id="rId12"/>
          <w:footerReference w:type="first" r:id="rId13"/>
          <w:pgSz w:w="12240" w:h="15840"/>
          <w:pgMar w:top="1820" w:right="1080" w:bottom="1100" w:left="1440" w:header="0" w:footer="912" w:gutter="0"/>
          <w:pgNumType w:start="1"/>
          <w:cols w:space="720"/>
        </w:sectPr>
      </w:pPr>
      <w:r>
        <w:rPr>
          <w:sz w:val="24"/>
          <w:szCs w:val="24"/>
        </w:rPr>
        <w:t xml:space="preserve">Clinically, FBC is manifested by cyclic </w:t>
      </w:r>
      <w:proofErr w:type="spellStart"/>
      <w:r>
        <w:rPr>
          <w:sz w:val="24"/>
          <w:szCs w:val="24"/>
        </w:rPr>
        <w:t>mastalgia</w:t>
      </w:r>
      <w:proofErr w:type="spellEnd"/>
      <w:r>
        <w:rPr>
          <w:sz w:val="24"/>
          <w:szCs w:val="24"/>
        </w:rPr>
        <w:t>, breast tenderness, and diffuse or localized nodularity, symptoms that tend to intensify in the premenstrual phase and regress post-</w:t>
      </w:r>
      <w:proofErr w:type="spellStart"/>
      <w:r>
        <w:rPr>
          <w:sz w:val="24"/>
          <w:szCs w:val="24"/>
        </w:rPr>
        <w:t>menstrually</w:t>
      </w:r>
      <w:proofErr w:type="spellEnd"/>
      <w:r>
        <w:rPr>
          <w:sz w:val="24"/>
          <w:szCs w:val="24"/>
        </w:rPr>
        <w:t xml:space="preserve">. While inherently benign, these recurrent symptoms often cause significant distress, impairing quality of life (QoL) and contributing to heightened anxiety because of their overlap with features of breast </w:t>
      </w:r>
      <w:proofErr w:type="gramStart"/>
      <w:r>
        <w:rPr>
          <w:sz w:val="24"/>
          <w:szCs w:val="24"/>
        </w:rPr>
        <w:t>carcinoma[</w:t>
      </w:r>
      <w:proofErr w:type="gramEnd"/>
      <w:r>
        <w:rPr>
          <w:sz w:val="24"/>
          <w:szCs w:val="24"/>
        </w:rPr>
        <w:t>4,8]. Consequently, patients with FBC frequently undergo diagnostic evaluation to exclude malignancy, underscoring the clinical importance of distinguishing benign proliferative changes from premalignant or malignant lesions</w:t>
      </w:r>
      <w:r w:rsidR="005C748E">
        <w:rPr>
          <w:sz w:val="24"/>
          <w:szCs w:val="24"/>
        </w:rPr>
        <w:t xml:space="preserve"> </w:t>
      </w:r>
      <w:r>
        <w:rPr>
          <w:sz w:val="24"/>
          <w:szCs w:val="24"/>
        </w:rPr>
        <w:t>[6].</w:t>
      </w:r>
      <w:r w:rsidR="005C748E">
        <w:rPr>
          <w:sz w:val="24"/>
          <w:szCs w:val="24"/>
        </w:rPr>
        <w:t xml:space="preserve"> </w:t>
      </w:r>
      <w:r w:rsidR="005C748E" w:rsidRPr="00A31006">
        <w:rPr>
          <w:sz w:val="24"/>
          <w:szCs w:val="24"/>
          <w:highlight w:val="yellow"/>
        </w:rPr>
        <w:t xml:space="preserve">Various factors have been recognized as potential contributors to the physiological causes of </w:t>
      </w:r>
      <w:proofErr w:type="spellStart"/>
      <w:r w:rsidR="005C748E" w:rsidRPr="00A31006">
        <w:rPr>
          <w:sz w:val="24"/>
          <w:szCs w:val="24"/>
          <w:highlight w:val="yellow"/>
        </w:rPr>
        <w:t>mastalgia</w:t>
      </w:r>
      <w:proofErr w:type="spellEnd"/>
      <w:r w:rsidR="005C748E" w:rsidRPr="00A31006">
        <w:rPr>
          <w:sz w:val="24"/>
          <w:szCs w:val="24"/>
          <w:highlight w:val="yellow"/>
        </w:rPr>
        <w:t xml:space="preserve">, including hormonal changes, dietary habits, stress, medications, and poorly fitting bras. While breast cancer is a rare </w:t>
      </w:r>
      <w:r w:rsidR="003E1265">
        <w:rPr>
          <w:sz w:val="24"/>
          <w:szCs w:val="24"/>
          <w:highlight w:val="yellow"/>
        </w:rPr>
        <w:t>cause</w:t>
      </w:r>
      <w:r w:rsidR="005C748E" w:rsidRPr="00A31006">
        <w:rPr>
          <w:sz w:val="24"/>
          <w:szCs w:val="24"/>
          <w:highlight w:val="yellow"/>
        </w:rPr>
        <w:t xml:space="preserve"> for breast pain, it should still be considered and investigated as a potential diagnosis. Various therapeutic methods exist to alleviate breast pain, such as providing reassurance, implementing supportive measures, adjusting diet, administering non-steroidal anti-inflammatory drugs, and hormonal interventions. Pain may range from mild to severe, may come and go, and may last all day, affecting quality of life. </w:t>
      </w:r>
      <w:proofErr w:type="spellStart"/>
      <w:r w:rsidR="005C748E" w:rsidRPr="00A31006">
        <w:rPr>
          <w:sz w:val="24"/>
          <w:szCs w:val="24"/>
          <w:highlight w:val="yellow"/>
        </w:rPr>
        <w:t>Mastalgia</w:t>
      </w:r>
      <w:proofErr w:type="spellEnd"/>
      <w:r w:rsidR="005C748E" w:rsidRPr="00A31006">
        <w:rPr>
          <w:sz w:val="24"/>
          <w:szCs w:val="24"/>
          <w:highlight w:val="yellow"/>
        </w:rPr>
        <w:t xml:space="preserve"> can be associated with premenstrual syndrome, fibrocystic disease and, in rare cases, breast cancer. Moreover, studies have shown that breast pain is not associated with an increased risk of cancer</w:t>
      </w:r>
      <w:r w:rsidR="00F4318E">
        <w:rPr>
          <w:sz w:val="24"/>
          <w:szCs w:val="24"/>
          <w:highlight w:val="yellow"/>
        </w:rPr>
        <w:t xml:space="preserve"> [17</w:t>
      </w:r>
      <w:r w:rsidR="003E1265">
        <w:rPr>
          <w:sz w:val="24"/>
          <w:szCs w:val="24"/>
          <w:highlight w:val="yellow"/>
        </w:rPr>
        <w:t>,18</w:t>
      </w:r>
      <w:r w:rsidR="00F4318E">
        <w:rPr>
          <w:sz w:val="24"/>
          <w:szCs w:val="24"/>
          <w:highlight w:val="yellow"/>
        </w:rPr>
        <w:t>]</w:t>
      </w:r>
      <w:r w:rsidR="005C748E" w:rsidRPr="00A31006">
        <w:rPr>
          <w:sz w:val="24"/>
          <w:szCs w:val="24"/>
          <w:highlight w:val="yellow"/>
        </w:rPr>
        <w:t>.</w:t>
      </w:r>
    </w:p>
    <w:p w14:paraId="16BC770B" w14:textId="77777777" w:rsidR="00044C44" w:rsidRDefault="00044C44">
      <w:pPr>
        <w:pBdr>
          <w:top w:val="nil"/>
          <w:left w:val="nil"/>
          <w:bottom w:val="nil"/>
          <w:right w:val="nil"/>
          <w:between w:val="nil"/>
        </w:pBdr>
        <w:spacing w:before="90"/>
        <w:rPr>
          <w:color w:val="000000"/>
          <w:sz w:val="24"/>
          <w:szCs w:val="24"/>
        </w:rPr>
      </w:pPr>
    </w:p>
    <w:p w14:paraId="572F9EE3" w14:textId="77777777" w:rsidR="00044C44" w:rsidRDefault="00DE1DF2">
      <w:pPr>
        <w:pStyle w:val="Heading2"/>
        <w:numPr>
          <w:ilvl w:val="1"/>
          <w:numId w:val="2"/>
        </w:numPr>
        <w:tabs>
          <w:tab w:val="left" w:pos="734"/>
        </w:tabs>
        <w:ind w:hanging="734"/>
      </w:pPr>
      <w:r>
        <w:t xml:space="preserve">Pathophysiology and </w:t>
      </w:r>
      <w:proofErr w:type="spellStart"/>
      <w:r>
        <w:t>Pathomorphology</w:t>
      </w:r>
      <w:proofErr w:type="spellEnd"/>
    </w:p>
    <w:p w14:paraId="58EF45A7" w14:textId="77777777" w:rsidR="00044C44" w:rsidRDefault="00DE1DF2">
      <w:pPr>
        <w:pBdr>
          <w:top w:val="nil"/>
          <w:left w:val="nil"/>
          <w:bottom w:val="nil"/>
          <w:right w:val="nil"/>
          <w:between w:val="nil"/>
        </w:pBdr>
        <w:spacing w:before="162" w:line="254" w:lineRule="auto"/>
        <w:ind w:right="355"/>
        <w:jc w:val="both"/>
        <w:rPr>
          <w:b/>
          <w:sz w:val="24"/>
          <w:szCs w:val="24"/>
        </w:rPr>
      </w:pPr>
      <w:r>
        <w:rPr>
          <w:b/>
          <w:sz w:val="24"/>
          <w:szCs w:val="24"/>
        </w:rPr>
        <w:t>Pathophysiology</w:t>
      </w:r>
    </w:p>
    <w:p w14:paraId="6E4FF3AD"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 xml:space="preserve">Fibrocystic breast disease is primarily driven by hormonal fluctuations, especially involving estrogen and progesterone. Estrogen predominance and relative progesterone deficiency lead to hyperproliferation of connective tissue (fibrosis) and epithelial proliferation within the terminal duct lobular units of the breast. This hormonal imbalance—often cyclical in nature—results in enhanced mitotic activity in breast tissues, which correlates with the recurrent nature of symptoms that typically intensify before menstruation and wane thereafter. Other hormones, such as prolactin, TSH, insulin, and growth factors, may further modulate cell growth and breast </w:t>
      </w:r>
      <w:proofErr w:type="gramStart"/>
      <w:r>
        <w:rPr>
          <w:sz w:val="24"/>
          <w:szCs w:val="24"/>
        </w:rPr>
        <w:t>physiology[</w:t>
      </w:r>
      <w:proofErr w:type="gramEnd"/>
      <w:r>
        <w:rPr>
          <w:sz w:val="24"/>
          <w:szCs w:val="24"/>
        </w:rPr>
        <w:t>4,5]</w:t>
      </w:r>
    </w:p>
    <w:p w14:paraId="0C443627"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The pathogenesis is marked by progressive and regressive changes: some areas may exhibit proliferation and cyst formation, while others undergo involution and fibrosis. This dynamic spectrum is repeated monthly, leading to the accumulation of small cysts, stromal fibrosis, and sometimes larger cyst formation as women age. Over time, these cyclical hormonal influences may instigate epigenetic and genetic alterations in breast tissue, modifying hormone receptor expression and tissue responsiveness [5,7]</w:t>
      </w:r>
    </w:p>
    <w:p w14:paraId="2FDE24DA" w14:textId="77777777" w:rsidR="00044C44" w:rsidRDefault="00DE1DF2">
      <w:pPr>
        <w:pBdr>
          <w:top w:val="nil"/>
          <w:left w:val="nil"/>
          <w:bottom w:val="nil"/>
          <w:right w:val="nil"/>
          <w:between w:val="nil"/>
        </w:pBdr>
        <w:spacing w:before="162" w:line="254" w:lineRule="auto"/>
        <w:ind w:right="355"/>
        <w:jc w:val="both"/>
        <w:rPr>
          <w:b/>
          <w:sz w:val="24"/>
          <w:szCs w:val="24"/>
        </w:rPr>
      </w:pPr>
      <w:proofErr w:type="spellStart"/>
      <w:r>
        <w:rPr>
          <w:b/>
          <w:sz w:val="24"/>
          <w:szCs w:val="24"/>
        </w:rPr>
        <w:t>Pathomorphology</w:t>
      </w:r>
      <w:proofErr w:type="spellEnd"/>
    </w:p>
    <w:p w14:paraId="783878E3"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On a histopathological level, fibrocystic changes are characterized by a constellation of benign structural alterations affecting both epithelial and stromal elements of the breast. The major morphological features include:</w:t>
      </w:r>
    </w:p>
    <w:p w14:paraId="2982976D"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Cyst Formation: Dilatation of ducts and lobules leads to the appearance of multiple small or larger cysts, sometimes lined by apocrine metaplastic epithelium. These may contain eosinophilic secretions or foamy macrophages, with cyst rupture potentially causing a local fibroinflammatory reaction [6]</w:t>
      </w:r>
    </w:p>
    <w:p w14:paraId="11F7E6EC"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Fibrosis: Proliferation of stromal (connective) tissue results in increased breast density and palpable nodularity. Repeated cyst rupture may reinforce fibrosis due to chronic inflammation [7].</w:t>
      </w:r>
    </w:p>
    <w:p w14:paraId="6E62B9A8"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Adenosis: Increased glandular components (acini per lobule), sometimes with mild or focal epithelial hyperplasia, are frequent, particularly in women of reproductive age [8].</w:t>
      </w:r>
    </w:p>
    <w:p w14:paraId="5C795EA3"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Epithelial Hyperplasia and Apocrine Metaplasia: Proliferation of ductal epithelium with or without atypia, including apocrine-type cells with abundant eosinophilic cytoplasm and prominent nucleoli [9].</w:t>
      </w:r>
    </w:p>
    <w:p w14:paraId="37306FC1"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Calcifications: Occasionally, clustered microcalcifications are detected, mostly related to secretory material within cysts or areas of apocrine metaplasia [8].</w:t>
      </w:r>
    </w:p>
    <w:p w14:paraId="583BFF1A"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 xml:space="preserve">Macroscopically, the breast tissue in FBC displays areas of heterogeneous density and nodularity, with cysts ranging from microscopic size up to 2 cm or more—often described as ‘blue-domed’ on gross pathology when large. These transformations represent the benign background against which other proliferative or neoplastic breast lesions must be </w:t>
      </w:r>
      <w:r>
        <w:rPr>
          <w:sz w:val="24"/>
          <w:szCs w:val="24"/>
        </w:rPr>
        <w:lastRenderedPageBreak/>
        <w:t>distinguished [9].</w:t>
      </w:r>
    </w:p>
    <w:p w14:paraId="10B666EF"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This detailed explanation integrates both hormonal mechanisms and the morphologic outcomes central to FBC, essential for research and clinical understanding [9].</w:t>
      </w:r>
    </w:p>
    <w:p w14:paraId="4097942C" w14:textId="77777777" w:rsidR="00044C44" w:rsidRDefault="00044C44">
      <w:pPr>
        <w:pBdr>
          <w:top w:val="nil"/>
          <w:left w:val="nil"/>
          <w:bottom w:val="nil"/>
          <w:right w:val="nil"/>
          <w:between w:val="nil"/>
        </w:pBdr>
        <w:spacing w:before="90"/>
        <w:rPr>
          <w:color w:val="000000"/>
          <w:sz w:val="24"/>
          <w:szCs w:val="24"/>
        </w:rPr>
      </w:pPr>
    </w:p>
    <w:p w14:paraId="121C426A" w14:textId="77777777" w:rsidR="00044C44" w:rsidRDefault="00DE1DF2">
      <w:pPr>
        <w:pStyle w:val="Heading2"/>
        <w:numPr>
          <w:ilvl w:val="1"/>
          <w:numId w:val="2"/>
        </w:numPr>
        <w:tabs>
          <w:tab w:val="left" w:pos="734"/>
        </w:tabs>
        <w:spacing w:before="1"/>
        <w:ind w:hanging="734"/>
      </w:pPr>
      <w:r>
        <w:t>Clinical Picture and Management</w:t>
      </w:r>
    </w:p>
    <w:p w14:paraId="612C9B99" w14:textId="77777777" w:rsidR="00044C44" w:rsidRDefault="00DE1DF2">
      <w:pPr>
        <w:pBdr>
          <w:top w:val="nil"/>
          <w:left w:val="nil"/>
          <w:bottom w:val="nil"/>
          <w:right w:val="nil"/>
          <w:between w:val="nil"/>
        </w:pBdr>
        <w:spacing w:before="161" w:line="254" w:lineRule="auto"/>
        <w:ind w:right="356"/>
        <w:jc w:val="both"/>
        <w:rPr>
          <w:color w:val="000000"/>
          <w:sz w:val="24"/>
          <w:szCs w:val="24"/>
        </w:rPr>
      </w:pPr>
      <w:proofErr w:type="spellStart"/>
      <w:r>
        <w:rPr>
          <w:color w:val="000000"/>
          <w:sz w:val="24"/>
          <w:szCs w:val="24"/>
        </w:rPr>
        <w:t>Mastalgia</w:t>
      </w:r>
      <w:proofErr w:type="spellEnd"/>
      <w:r>
        <w:rPr>
          <w:color w:val="000000"/>
          <w:sz w:val="24"/>
          <w:szCs w:val="24"/>
        </w:rPr>
        <w:t xml:space="preserve"> affects 70% of FBC patients, with VAS scores often exceeding 5/10 [10]. Guidelines recommend conservative medical management (e.g., NSAIDs, lifestyle changes) as first-line, reserving surgery for dominant symptomatic cysts or diagnostic uncertainty [1, 4]. Emerging data suggest adjuncts like evening primrose oil or metformin for refractory cases [11]. However, prospective comparisons of surgical versus medical outcomes in FBC are limited, particularly in small cohorts [2].</w:t>
      </w:r>
    </w:p>
    <w:p w14:paraId="075A142D" w14:textId="77777777" w:rsidR="00044C44" w:rsidRDefault="00DE1DF2">
      <w:pPr>
        <w:pBdr>
          <w:top w:val="nil"/>
          <w:left w:val="nil"/>
          <w:bottom w:val="nil"/>
          <w:right w:val="nil"/>
          <w:between w:val="nil"/>
        </w:pBdr>
        <w:spacing w:line="254" w:lineRule="auto"/>
        <w:ind w:right="356" w:firstLine="358"/>
        <w:jc w:val="both"/>
        <w:rPr>
          <w:color w:val="000000"/>
          <w:sz w:val="24"/>
          <w:szCs w:val="24"/>
        </w:rPr>
      </w:pPr>
      <w:r>
        <w:rPr>
          <w:color w:val="000000"/>
          <w:sz w:val="24"/>
          <w:szCs w:val="24"/>
        </w:rPr>
        <w:t>This pilot study addresses this gap by observing real-world outcomes in a 50-patient cohort, informing tailored interventions and future randomized designs.</w:t>
      </w:r>
    </w:p>
    <w:p w14:paraId="25C4C2CA" w14:textId="77777777" w:rsidR="00044C44" w:rsidRDefault="00044C44">
      <w:pPr>
        <w:pBdr>
          <w:top w:val="nil"/>
          <w:left w:val="nil"/>
          <w:bottom w:val="nil"/>
          <w:right w:val="nil"/>
          <w:between w:val="nil"/>
        </w:pBdr>
        <w:spacing w:before="141"/>
        <w:rPr>
          <w:color w:val="000000"/>
          <w:sz w:val="24"/>
          <w:szCs w:val="24"/>
        </w:rPr>
      </w:pPr>
    </w:p>
    <w:p w14:paraId="08717AF4" w14:textId="77777777" w:rsidR="00044C44" w:rsidRDefault="00DE1DF2">
      <w:pPr>
        <w:pStyle w:val="Heading1"/>
        <w:numPr>
          <w:ilvl w:val="0"/>
          <w:numId w:val="2"/>
        </w:numPr>
        <w:tabs>
          <w:tab w:val="left" w:pos="580"/>
        </w:tabs>
        <w:ind w:hanging="580"/>
      </w:pPr>
      <w:r>
        <w:t>Materials and Methods</w:t>
      </w:r>
    </w:p>
    <w:p w14:paraId="0486A5A1" w14:textId="77777777" w:rsidR="00044C44" w:rsidRDefault="00DE1DF2">
      <w:pPr>
        <w:pStyle w:val="Heading2"/>
        <w:numPr>
          <w:ilvl w:val="1"/>
          <w:numId w:val="2"/>
        </w:numPr>
        <w:tabs>
          <w:tab w:val="left" w:pos="734"/>
        </w:tabs>
        <w:spacing w:before="264"/>
        <w:ind w:hanging="734"/>
      </w:pPr>
      <w:r>
        <w:t>Study Design and Ethical Approval</w:t>
      </w:r>
    </w:p>
    <w:p w14:paraId="3C8CD3CD" w14:textId="7DA8ABF5" w:rsidR="00044C44" w:rsidRDefault="00DE1DF2">
      <w:pPr>
        <w:pBdr>
          <w:top w:val="nil"/>
          <w:left w:val="nil"/>
          <w:bottom w:val="nil"/>
          <w:right w:val="nil"/>
          <w:between w:val="nil"/>
        </w:pBdr>
        <w:spacing w:before="162" w:line="254" w:lineRule="auto"/>
        <w:ind w:right="356"/>
        <w:jc w:val="both"/>
        <w:rPr>
          <w:color w:val="000000"/>
          <w:sz w:val="24"/>
          <w:szCs w:val="24"/>
        </w:rPr>
      </w:pPr>
      <w:r>
        <w:rPr>
          <w:color w:val="000000"/>
          <w:sz w:val="24"/>
          <w:szCs w:val="24"/>
        </w:rPr>
        <w:t>This single-</w:t>
      </w:r>
      <w:proofErr w:type="spellStart"/>
      <w:r w:rsidR="007A3D12" w:rsidRPr="00A31006">
        <w:rPr>
          <w:color w:val="000000"/>
          <w:sz w:val="24"/>
          <w:szCs w:val="24"/>
          <w:highlight w:val="yellow"/>
        </w:rPr>
        <w:t>cent</w:t>
      </w:r>
      <w:r w:rsidR="007A3D12" w:rsidRPr="00A31006">
        <w:rPr>
          <w:color w:val="000000"/>
          <w:sz w:val="24"/>
          <w:szCs w:val="24"/>
          <w:highlight w:val="yellow"/>
        </w:rPr>
        <w:t>re</w:t>
      </w:r>
      <w:proofErr w:type="spellEnd"/>
      <w:r w:rsidR="007A3D12" w:rsidRPr="00A31006">
        <w:rPr>
          <w:color w:val="000000"/>
          <w:sz w:val="24"/>
          <w:szCs w:val="24"/>
          <w:highlight w:val="yellow"/>
        </w:rPr>
        <w:t xml:space="preserve"> </w:t>
      </w:r>
      <w:r w:rsidRPr="00A31006">
        <w:rPr>
          <w:color w:val="000000"/>
          <w:sz w:val="24"/>
          <w:szCs w:val="24"/>
          <w:highlight w:val="yellow"/>
        </w:rPr>
        <w:t>prospective</w:t>
      </w:r>
      <w:r>
        <w:rPr>
          <w:color w:val="000000"/>
          <w:sz w:val="24"/>
          <w:szCs w:val="24"/>
        </w:rPr>
        <w:t xml:space="preserve"> observational pilot study adhered to STROBE guidelines. Informed consent was obtained from all participants. Enrollment occurred from January 1, 2023, to December 31, 202, with follow-up through September 2024.</w:t>
      </w:r>
    </w:p>
    <w:p w14:paraId="01A62FCD" w14:textId="77777777" w:rsidR="00044C44" w:rsidRDefault="00044C44">
      <w:pPr>
        <w:pBdr>
          <w:top w:val="nil"/>
          <w:left w:val="nil"/>
          <w:bottom w:val="nil"/>
          <w:right w:val="nil"/>
          <w:between w:val="nil"/>
        </w:pBdr>
        <w:spacing w:before="90"/>
        <w:rPr>
          <w:color w:val="000000"/>
          <w:sz w:val="24"/>
          <w:szCs w:val="24"/>
        </w:rPr>
      </w:pPr>
    </w:p>
    <w:p w14:paraId="5F847428" w14:textId="77777777" w:rsidR="00044C44" w:rsidRDefault="00DE1DF2">
      <w:pPr>
        <w:pStyle w:val="Heading2"/>
        <w:numPr>
          <w:ilvl w:val="1"/>
          <w:numId w:val="2"/>
        </w:numPr>
        <w:tabs>
          <w:tab w:val="left" w:pos="734"/>
        </w:tabs>
        <w:spacing w:before="1"/>
        <w:ind w:hanging="734"/>
      </w:pPr>
      <w:r>
        <w:t>Participants</w:t>
      </w:r>
    </w:p>
    <w:p w14:paraId="77691492" w14:textId="77777777" w:rsidR="00044C44" w:rsidRDefault="00DE1DF2">
      <w:pPr>
        <w:pBdr>
          <w:top w:val="nil"/>
          <w:left w:val="nil"/>
          <w:bottom w:val="nil"/>
          <w:right w:val="nil"/>
          <w:between w:val="nil"/>
        </w:pBdr>
        <w:spacing w:before="161" w:line="244" w:lineRule="auto"/>
        <w:ind w:right="357"/>
        <w:jc w:val="both"/>
        <w:rPr>
          <w:color w:val="000000"/>
          <w:sz w:val="24"/>
          <w:szCs w:val="24"/>
        </w:rPr>
      </w:pPr>
      <w:r>
        <w:rPr>
          <w:color w:val="000000"/>
          <w:sz w:val="24"/>
          <w:szCs w:val="24"/>
        </w:rPr>
        <w:t xml:space="preserve">Premenopausal women (18–45 years) with ultrasound-confirmed FBC (BI-RADS 2–3) and symptoms (VAS </w:t>
      </w:r>
      <w:r>
        <w:rPr>
          <w:rFonts w:ascii="Verdana" w:eastAsia="Verdana" w:hAnsi="Verdana" w:cs="Verdana"/>
          <w:i/>
          <w:color w:val="000000"/>
          <w:sz w:val="24"/>
          <w:szCs w:val="24"/>
        </w:rPr>
        <w:t>&gt;</w:t>
      </w:r>
      <w:r>
        <w:rPr>
          <w:color w:val="000000"/>
          <w:sz w:val="24"/>
          <w:szCs w:val="24"/>
        </w:rPr>
        <w:t xml:space="preserve">4/10 </w:t>
      </w:r>
      <w:proofErr w:type="spellStart"/>
      <w:r>
        <w:rPr>
          <w:color w:val="000000"/>
          <w:sz w:val="24"/>
          <w:szCs w:val="24"/>
        </w:rPr>
        <w:t>mastalgia</w:t>
      </w:r>
      <w:proofErr w:type="spellEnd"/>
      <w:r>
        <w:rPr>
          <w:color w:val="000000"/>
          <w:sz w:val="24"/>
          <w:szCs w:val="24"/>
        </w:rPr>
        <w:t xml:space="preserve">, cysts 1–3 cm) were eligible. Exclusions: Pregnancy, malignancy suspicion, prior breast surgery, or hormone therapy. Of 65 screened, 50 enrolled (10 surgical based on cyst size </w:t>
      </w:r>
      <w:r>
        <w:rPr>
          <w:rFonts w:ascii="Verdana" w:eastAsia="Verdana" w:hAnsi="Verdana" w:cs="Verdana"/>
          <w:i/>
          <w:color w:val="000000"/>
          <w:sz w:val="24"/>
          <w:szCs w:val="24"/>
        </w:rPr>
        <w:t>&gt;</w:t>
      </w:r>
      <w:r>
        <w:rPr>
          <w:color w:val="000000"/>
          <w:sz w:val="24"/>
          <w:szCs w:val="24"/>
        </w:rPr>
        <w:t>2 cm or refractory pain after 3-month medical trial; 40 medical).</w:t>
      </w:r>
    </w:p>
    <w:p w14:paraId="15471BE1" w14:textId="77777777" w:rsidR="00044C44" w:rsidRDefault="00044C44">
      <w:pPr>
        <w:pBdr>
          <w:top w:val="nil"/>
          <w:left w:val="nil"/>
          <w:bottom w:val="nil"/>
          <w:right w:val="nil"/>
          <w:between w:val="nil"/>
        </w:pBdr>
        <w:spacing w:before="102"/>
        <w:rPr>
          <w:color w:val="000000"/>
          <w:sz w:val="24"/>
          <w:szCs w:val="24"/>
        </w:rPr>
      </w:pPr>
    </w:p>
    <w:p w14:paraId="64053D5C" w14:textId="77777777" w:rsidR="00044C44" w:rsidRDefault="00DE1DF2">
      <w:pPr>
        <w:pStyle w:val="Heading2"/>
        <w:numPr>
          <w:ilvl w:val="1"/>
          <w:numId w:val="2"/>
        </w:numPr>
        <w:tabs>
          <w:tab w:val="left" w:pos="734"/>
        </w:tabs>
        <w:ind w:hanging="734"/>
      </w:pPr>
      <w:r>
        <w:t>Procedures</w:t>
      </w:r>
    </w:p>
    <w:p w14:paraId="380FDC39" w14:textId="77777777" w:rsidR="00044C44" w:rsidRDefault="00DE1DF2">
      <w:pPr>
        <w:numPr>
          <w:ilvl w:val="2"/>
          <w:numId w:val="2"/>
        </w:numPr>
        <w:pBdr>
          <w:top w:val="nil"/>
          <w:left w:val="nil"/>
          <w:bottom w:val="nil"/>
          <w:right w:val="nil"/>
          <w:between w:val="nil"/>
        </w:pBdr>
        <w:tabs>
          <w:tab w:val="left" w:pos="595"/>
          <w:tab w:val="left" w:pos="597"/>
        </w:tabs>
        <w:spacing w:before="162" w:line="254" w:lineRule="auto"/>
        <w:ind w:right="356" w:hanging="302"/>
        <w:rPr>
          <w:color w:val="000000"/>
          <w:sz w:val="24"/>
          <w:szCs w:val="24"/>
        </w:rPr>
        <w:sectPr w:rsidR="00044C44">
          <w:pgSz w:w="12240" w:h="15840"/>
          <w:pgMar w:top="1320" w:right="1080" w:bottom="1100" w:left="1440" w:header="0" w:footer="912" w:gutter="0"/>
          <w:cols w:space="720"/>
        </w:sectPr>
      </w:pPr>
      <w:r>
        <w:rPr>
          <w:b/>
          <w:color w:val="000000"/>
          <w:sz w:val="24"/>
          <w:szCs w:val="24"/>
        </w:rPr>
        <w:t xml:space="preserve">Baseline: </w:t>
      </w:r>
      <w:r>
        <w:rPr>
          <w:color w:val="000000"/>
          <w:sz w:val="24"/>
          <w:szCs w:val="24"/>
        </w:rPr>
        <w:t>History, VAS (0–10), clinical exam, ultrasound (10–14 MHz probe), core biopsy if atypical features. QoL via Breast-QOL-Revised (0–100 scale).</w:t>
      </w:r>
    </w:p>
    <w:p w14:paraId="53803C77" w14:textId="77777777" w:rsidR="00044C44" w:rsidRDefault="00DE1DF2">
      <w:pPr>
        <w:numPr>
          <w:ilvl w:val="2"/>
          <w:numId w:val="2"/>
        </w:numPr>
        <w:pBdr>
          <w:top w:val="nil"/>
          <w:left w:val="nil"/>
          <w:bottom w:val="nil"/>
          <w:right w:val="nil"/>
          <w:between w:val="nil"/>
        </w:pBdr>
        <w:tabs>
          <w:tab w:val="left" w:pos="595"/>
          <w:tab w:val="left" w:pos="597"/>
        </w:tabs>
        <w:spacing w:before="139" w:line="254" w:lineRule="auto"/>
        <w:ind w:right="358" w:hanging="302"/>
        <w:rPr>
          <w:color w:val="000000"/>
          <w:sz w:val="24"/>
          <w:szCs w:val="24"/>
        </w:rPr>
      </w:pPr>
      <w:r>
        <w:rPr>
          <w:b/>
          <w:color w:val="000000"/>
          <w:sz w:val="24"/>
          <w:szCs w:val="24"/>
        </w:rPr>
        <w:lastRenderedPageBreak/>
        <w:t xml:space="preserve">Surgical Management (n=10): </w:t>
      </w:r>
      <w:r>
        <w:rPr>
          <w:color w:val="000000"/>
          <w:sz w:val="24"/>
          <w:szCs w:val="24"/>
        </w:rPr>
        <w:t>Ultrasound-guided local excision under sedation; histopathology confirmed FBC.</w:t>
      </w:r>
    </w:p>
    <w:p w14:paraId="799C7F30" w14:textId="77777777" w:rsidR="00044C44" w:rsidRDefault="00DE1DF2">
      <w:pPr>
        <w:numPr>
          <w:ilvl w:val="2"/>
          <w:numId w:val="2"/>
        </w:numPr>
        <w:pBdr>
          <w:top w:val="nil"/>
          <w:left w:val="nil"/>
          <w:bottom w:val="nil"/>
          <w:right w:val="nil"/>
          <w:between w:val="nil"/>
        </w:pBdr>
        <w:tabs>
          <w:tab w:val="left" w:pos="595"/>
          <w:tab w:val="left" w:pos="597"/>
        </w:tabs>
        <w:spacing w:before="176" w:line="254" w:lineRule="auto"/>
        <w:ind w:right="358" w:hanging="302"/>
        <w:rPr>
          <w:color w:val="000000"/>
          <w:sz w:val="24"/>
          <w:szCs w:val="24"/>
        </w:rPr>
      </w:pPr>
      <w:r>
        <w:rPr>
          <w:b/>
          <w:color w:val="000000"/>
          <w:sz w:val="24"/>
          <w:szCs w:val="24"/>
        </w:rPr>
        <w:t xml:space="preserve">Medical Management (n=40): </w:t>
      </w:r>
      <w:r>
        <w:rPr>
          <w:color w:val="000000"/>
          <w:sz w:val="24"/>
          <w:szCs w:val="24"/>
        </w:rPr>
        <w:t>Caffeine reduction (</w:t>
      </w:r>
      <w:r>
        <w:rPr>
          <w:rFonts w:ascii="Verdana" w:eastAsia="Verdana" w:hAnsi="Verdana" w:cs="Verdana"/>
          <w:i/>
          <w:color w:val="000000"/>
          <w:sz w:val="24"/>
          <w:szCs w:val="24"/>
        </w:rPr>
        <w:t>&lt;</w:t>
      </w:r>
      <w:r>
        <w:rPr>
          <w:color w:val="000000"/>
          <w:sz w:val="24"/>
          <w:szCs w:val="24"/>
        </w:rPr>
        <w:t>150 mg/day), supportive bras, ibuprofen (400–600 mg PRN), evening primrose oil (2 g/day) for 6 months.</w:t>
      </w:r>
    </w:p>
    <w:p w14:paraId="03C84C1A" w14:textId="77777777" w:rsidR="00044C44" w:rsidRDefault="00DE1DF2">
      <w:pPr>
        <w:numPr>
          <w:ilvl w:val="2"/>
          <w:numId w:val="2"/>
        </w:numPr>
        <w:pBdr>
          <w:top w:val="nil"/>
          <w:left w:val="nil"/>
          <w:bottom w:val="nil"/>
          <w:right w:val="nil"/>
          <w:between w:val="nil"/>
        </w:pBdr>
        <w:tabs>
          <w:tab w:val="left" w:pos="596"/>
        </w:tabs>
        <w:spacing w:before="195"/>
        <w:ind w:left="596" w:hanging="300"/>
        <w:rPr>
          <w:color w:val="000000"/>
          <w:sz w:val="24"/>
          <w:szCs w:val="24"/>
        </w:rPr>
      </w:pPr>
      <w:r>
        <w:rPr>
          <w:b/>
          <w:color w:val="000000"/>
          <w:sz w:val="24"/>
          <w:szCs w:val="24"/>
        </w:rPr>
        <w:t xml:space="preserve">Follow-up: </w:t>
      </w:r>
      <w:r>
        <w:rPr>
          <w:color w:val="000000"/>
          <w:sz w:val="24"/>
          <w:szCs w:val="24"/>
        </w:rPr>
        <w:t>6 and 12 months; repeat VAS, ultrasound, QoL. Adverse events recorded.</w:t>
      </w:r>
    </w:p>
    <w:p w14:paraId="361C3812" w14:textId="77777777" w:rsidR="00044C44" w:rsidRDefault="00044C44">
      <w:pPr>
        <w:pBdr>
          <w:top w:val="nil"/>
          <w:left w:val="nil"/>
          <w:bottom w:val="nil"/>
          <w:right w:val="nil"/>
          <w:between w:val="nil"/>
        </w:pBdr>
        <w:spacing w:before="110"/>
        <w:rPr>
          <w:color w:val="000000"/>
          <w:sz w:val="24"/>
          <w:szCs w:val="24"/>
        </w:rPr>
      </w:pPr>
    </w:p>
    <w:p w14:paraId="739FCDF9" w14:textId="77777777" w:rsidR="00044C44" w:rsidRDefault="00DE1DF2">
      <w:pPr>
        <w:pStyle w:val="Heading2"/>
        <w:numPr>
          <w:ilvl w:val="1"/>
          <w:numId w:val="2"/>
        </w:numPr>
        <w:tabs>
          <w:tab w:val="left" w:pos="734"/>
        </w:tabs>
        <w:spacing w:before="1"/>
        <w:ind w:hanging="734"/>
      </w:pPr>
      <w:r>
        <w:t>Statistical Analysis</w:t>
      </w:r>
    </w:p>
    <w:p w14:paraId="54ADB594" w14:textId="77777777" w:rsidR="00044C44" w:rsidRDefault="00DE1DF2">
      <w:pPr>
        <w:pBdr>
          <w:top w:val="nil"/>
          <w:left w:val="nil"/>
          <w:bottom w:val="nil"/>
          <w:right w:val="nil"/>
          <w:between w:val="nil"/>
        </w:pBdr>
        <w:spacing w:before="161" w:line="254" w:lineRule="auto"/>
        <w:ind w:right="356"/>
        <w:jc w:val="both"/>
        <w:rPr>
          <w:color w:val="000000"/>
          <w:sz w:val="24"/>
          <w:szCs w:val="24"/>
        </w:rPr>
      </w:pPr>
      <w:r>
        <w:rPr>
          <w:color w:val="000000"/>
          <w:sz w:val="24"/>
          <w:szCs w:val="24"/>
        </w:rPr>
        <w:t xml:space="preserve">Descriptive: Means </w:t>
      </w:r>
      <w:r>
        <w:rPr>
          <w:i/>
          <w:color w:val="000000"/>
          <w:sz w:val="24"/>
          <w:szCs w:val="24"/>
        </w:rPr>
        <w:t xml:space="preserve">± </w:t>
      </w:r>
      <w:r>
        <w:rPr>
          <w:color w:val="000000"/>
          <w:sz w:val="24"/>
          <w:szCs w:val="24"/>
        </w:rPr>
        <w:t>SD, frequencies (%). Group comparisons: Chi-square/Fisher’s exact for categorical; t-test/Mann-Whitney for continuous. Kaplan-Meier for time-to-resolution. SPSS v.28; p&lt;0.05 significant. Pilot power: 80% for 10% difference in resolution.</w:t>
      </w:r>
    </w:p>
    <w:p w14:paraId="271BCCCD" w14:textId="77777777" w:rsidR="00044C44" w:rsidRDefault="00044C44">
      <w:pPr>
        <w:pBdr>
          <w:top w:val="nil"/>
          <w:left w:val="nil"/>
          <w:bottom w:val="nil"/>
          <w:right w:val="nil"/>
          <w:between w:val="nil"/>
        </w:pBdr>
        <w:spacing w:before="144"/>
        <w:rPr>
          <w:color w:val="000000"/>
          <w:sz w:val="24"/>
          <w:szCs w:val="24"/>
        </w:rPr>
      </w:pPr>
    </w:p>
    <w:p w14:paraId="708CACBC" w14:textId="77777777" w:rsidR="00044C44" w:rsidRDefault="00DE1DF2">
      <w:pPr>
        <w:pStyle w:val="Heading1"/>
        <w:numPr>
          <w:ilvl w:val="0"/>
          <w:numId w:val="2"/>
        </w:numPr>
        <w:tabs>
          <w:tab w:val="left" w:pos="580"/>
        </w:tabs>
        <w:ind w:hanging="580"/>
      </w:pPr>
      <w:r>
        <w:t>Results</w:t>
      </w:r>
    </w:p>
    <w:p w14:paraId="5FCBA773" w14:textId="77777777" w:rsidR="00044C44" w:rsidRDefault="00DE1DF2">
      <w:pPr>
        <w:pStyle w:val="Heading2"/>
        <w:numPr>
          <w:ilvl w:val="1"/>
          <w:numId w:val="2"/>
        </w:numPr>
        <w:tabs>
          <w:tab w:val="left" w:pos="734"/>
        </w:tabs>
        <w:spacing w:before="264"/>
        <w:ind w:hanging="734"/>
      </w:pPr>
      <w:r>
        <w:t>Baseline Characteristics</w:t>
      </w:r>
    </w:p>
    <w:p w14:paraId="22E3CA0F" w14:textId="77777777" w:rsidR="00044C44" w:rsidRDefault="00DE1DF2">
      <w:pPr>
        <w:pBdr>
          <w:top w:val="nil"/>
          <w:left w:val="nil"/>
          <w:bottom w:val="nil"/>
          <w:right w:val="nil"/>
          <w:between w:val="nil"/>
        </w:pBdr>
        <w:spacing w:before="162" w:line="254" w:lineRule="auto"/>
        <w:ind w:right="356"/>
        <w:jc w:val="both"/>
        <w:rPr>
          <w:color w:val="000000"/>
          <w:sz w:val="24"/>
          <w:szCs w:val="24"/>
        </w:rPr>
      </w:pPr>
      <w:r>
        <w:rPr>
          <w:color w:val="000000"/>
          <w:sz w:val="24"/>
          <w:szCs w:val="24"/>
        </w:rPr>
        <w:t xml:space="preserve">Mean age was 32.4 </w:t>
      </w:r>
      <w:r>
        <w:rPr>
          <w:i/>
          <w:color w:val="000000"/>
          <w:sz w:val="24"/>
          <w:szCs w:val="24"/>
        </w:rPr>
        <w:t xml:space="preserve">± </w:t>
      </w:r>
      <w:r>
        <w:rPr>
          <w:color w:val="000000"/>
          <w:sz w:val="24"/>
          <w:szCs w:val="24"/>
        </w:rPr>
        <w:t xml:space="preserve">5.9 years; 62% nulliparous. Surgical patients had higher baseline VAS (7.2 </w:t>
      </w:r>
      <w:r>
        <w:rPr>
          <w:i/>
          <w:color w:val="000000"/>
          <w:sz w:val="24"/>
          <w:szCs w:val="24"/>
        </w:rPr>
        <w:t xml:space="preserve">± </w:t>
      </w:r>
      <w:r>
        <w:rPr>
          <w:color w:val="000000"/>
          <w:sz w:val="24"/>
          <w:szCs w:val="24"/>
        </w:rPr>
        <w:t xml:space="preserve">1.4 vs. 5.9 </w:t>
      </w:r>
      <w:r>
        <w:rPr>
          <w:i/>
          <w:color w:val="000000"/>
          <w:sz w:val="24"/>
          <w:szCs w:val="24"/>
        </w:rPr>
        <w:t xml:space="preserve">± </w:t>
      </w:r>
      <w:r>
        <w:rPr>
          <w:color w:val="000000"/>
          <w:sz w:val="24"/>
          <w:szCs w:val="24"/>
        </w:rPr>
        <w:t xml:space="preserve">1.8, p=0.02) and larger cysts (2.5 </w:t>
      </w:r>
      <w:r>
        <w:rPr>
          <w:i/>
          <w:color w:val="000000"/>
          <w:sz w:val="24"/>
          <w:szCs w:val="24"/>
        </w:rPr>
        <w:t xml:space="preserve">± </w:t>
      </w:r>
      <w:r>
        <w:rPr>
          <w:color w:val="000000"/>
          <w:sz w:val="24"/>
          <w:szCs w:val="24"/>
        </w:rPr>
        <w:t xml:space="preserve">0.6 cm vs. 1.2 </w:t>
      </w:r>
      <w:r>
        <w:rPr>
          <w:i/>
          <w:color w:val="000000"/>
          <w:sz w:val="24"/>
          <w:szCs w:val="24"/>
        </w:rPr>
        <w:t xml:space="preserve">± </w:t>
      </w:r>
      <w:r>
        <w:rPr>
          <w:color w:val="000000"/>
          <w:sz w:val="24"/>
          <w:szCs w:val="24"/>
        </w:rPr>
        <w:t>0.5 cm, p&lt;0.001). Table 1 details demographics.</w:t>
      </w:r>
    </w:p>
    <w:p w14:paraId="17CB6EC7" w14:textId="77777777" w:rsidR="00044C44" w:rsidRDefault="00DE1DF2">
      <w:pPr>
        <w:pBdr>
          <w:top w:val="nil"/>
          <w:left w:val="nil"/>
          <w:bottom w:val="nil"/>
          <w:right w:val="nil"/>
          <w:between w:val="nil"/>
        </w:pBdr>
        <w:spacing w:before="235"/>
        <w:ind w:left="2" w:right="358"/>
        <w:jc w:val="center"/>
        <w:rPr>
          <w:color w:val="000000"/>
          <w:sz w:val="24"/>
          <w:szCs w:val="24"/>
        </w:rPr>
      </w:pPr>
      <w:r>
        <w:rPr>
          <w:color w:val="000000"/>
          <w:sz w:val="24"/>
          <w:szCs w:val="24"/>
        </w:rPr>
        <w:t>Table 1: Baseline Characteristics by Group (N=50)</w:t>
      </w:r>
    </w:p>
    <w:p w14:paraId="72658D26" w14:textId="77777777" w:rsidR="00044C44" w:rsidRDefault="00044C44">
      <w:pPr>
        <w:pBdr>
          <w:top w:val="nil"/>
          <w:left w:val="nil"/>
          <w:bottom w:val="nil"/>
          <w:right w:val="nil"/>
          <w:between w:val="nil"/>
        </w:pBdr>
        <w:spacing w:before="15"/>
        <w:rPr>
          <w:color w:val="000000"/>
          <w:sz w:val="20"/>
          <w:szCs w:val="20"/>
        </w:rPr>
      </w:pPr>
    </w:p>
    <w:tbl>
      <w:tblPr>
        <w:tblStyle w:val="a"/>
        <w:tblW w:w="9493" w:type="dxa"/>
        <w:tblInd w:w="7" w:type="dxa"/>
        <w:tblLayout w:type="fixed"/>
        <w:tblLook w:val="0000" w:firstRow="0" w:lastRow="0" w:firstColumn="0" w:lastColumn="0" w:noHBand="0" w:noVBand="0"/>
      </w:tblPr>
      <w:tblGrid>
        <w:gridCol w:w="4208"/>
        <w:gridCol w:w="2108"/>
        <w:gridCol w:w="2092"/>
        <w:gridCol w:w="1085"/>
      </w:tblGrid>
      <w:tr w:rsidR="00044C44" w14:paraId="0DC6D8AE" w14:textId="77777777">
        <w:trPr>
          <w:trHeight w:val="395"/>
        </w:trPr>
        <w:tc>
          <w:tcPr>
            <w:tcW w:w="4208" w:type="dxa"/>
            <w:tcBorders>
              <w:top w:val="single" w:sz="8" w:space="0" w:color="000000"/>
              <w:bottom w:val="single" w:sz="6" w:space="0" w:color="000000"/>
            </w:tcBorders>
          </w:tcPr>
          <w:p w14:paraId="3CE4E83C" w14:textId="77777777" w:rsidR="00044C44" w:rsidRDefault="00DE1DF2">
            <w:pPr>
              <w:pBdr>
                <w:top w:val="nil"/>
                <w:left w:val="nil"/>
                <w:bottom w:val="nil"/>
                <w:right w:val="nil"/>
                <w:between w:val="nil"/>
              </w:pBdr>
              <w:spacing w:before="48"/>
              <w:ind w:left="119"/>
              <w:rPr>
                <w:b/>
                <w:color w:val="000000"/>
                <w:sz w:val="24"/>
                <w:szCs w:val="24"/>
              </w:rPr>
            </w:pPr>
            <w:r>
              <w:rPr>
                <w:b/>
                <w:color w:val="000000"/>
                <w:sz w:val="24"/>
                <w:szCs w:val="24"/>
              </w:rPr>
              <w:t>Characteristic</w:t>
            </w:r>
          </w:p>
        </w:tc>
        <w:tc>
          <w:tcPr>
            <w:tcW w:w="2108" w:type="dxa"/>
            <w:tcBorders>
              <w:top w:val="single" w:sz="8" w:space="0" w:color="000000"/>
              <w:bottom w:val="single" w:sz="6" w:space="0" w:color="000000"/>
            </w:tcBorders>
          </w:tcPr>
          <w:p w14:paraId="34AE222F" w14:textId="77777777" w:rsidR="00044C44" w:rsidRDefault="00DE1DF2">
            <w:pPr>
              <w:pBdr>
                <w:top w:val="nil"/>
                <w:left w:val="nil"/>
                <w:bottom w:val="nil"/>
                <w:right w:val="nil"/>
                <w:between w:val="nil"/>
              </w:pBdr>
              <w:spacing w:before="48"/>
              <w:jc w:val="center"/>
              <w:rPr>
                <w:b/>
                <w:color w:val="000000"/>
                <w:sz w:val="24"/>
                <w:szCs w:val="24"/>
              </w:rPr>
            </w:pPr>
            <w:r>
              <w:rPr>
                <w:b/>
                <w:color w:val="000000"/>
                <w:sz w:val="24"/>
                <w:szCs w:val="24"/>
              </w:rPr>
              <w:t>Surgical (n=10)</w:t>
            </w:r>
          </w:p>
        </w:tc>
        <w:tc>
          <w:tcPr>
            <w:tcW w:w="2092" w:type="dxa"/>
            <w:tcBorders>
              <w:top w:val="single" w:sz="8" w:space="0" w:color="000000"/>
              <w:bottom w:val="single" w:sz="6" w:space="0" w:color="000000"/>
            </w:tcBorders>
          </w:tcPr>
          <w:p w14:paraId="17623D7E" w14:textId="77777777" w:rsidR="00044C44" w:rsidRDefault="00DE1DF2">
            <w:pPr>
              <w:pBdr>
                <w:top w:val="nil"/>
                <w:left w:val="nil"/>
                <w:bottom w:val="nil"/>
                <w:right w:val="nil"/>
                <w:between w:val="nil"/>
              </w:pBdr>
              <w:spacing w:before="48"/>
              <w:ind w:left="2" w:right="2"/>
              <w:jc w:val="center"/>
              <w:rPr>
                <w:b/>
                <w:color w:val="000000"/>
                <w:sz w:val="24"/>
                <w:szCs w:val="24"/>
              </w:rPr>
            </w:pPr>
            <w:r>
              <w:rPr>
                <w:b/>
                <w:color w:val="000000"/>
                <w:sz w:val="24"/>
                <w:szCs w:val="24"/>
              </w:rPr>
              <w:t>Medical (n=40)</w:t>
            </w:r>
          </w:p>
        </w:tc>
        <w:tc>
          <w:tcPr>
            <w:tcW w:w="1085" w:type="dxa"/>
            <w:tcBorders>
              <w:top w:val="single" w:sz="8" w:space="0" w:color="000000"/>
              <w:bottom w:val="single" w:sz="6" w:space="0" w:color="000000"/>
            </w:tcBorders>
          </w:tcPr>
          <w:p w14:paraId="2EDDCB23" w14:textId="77777777" w:rsidR="00044C44" w:rsidRDefault="00DE1DF2">
            <w:pPr>
              <w:pBdr>
                <w:top w:val="nil"/>
                <w:left w:val="nil"/>
                <w:bottom w:val="nil"/>
                <w:right w:val="nil"/>
                <w:between w:val="nil"/>
              </w:pBdr>
              <w:spacing w:before="48"/>
              <w:jc w:val="center"/>
              <w:rPr>
                <w:b/>
                <w:color w:val="000000"/>
                <w:sz w:val="24"/>
                <w:szCs w:val="24"/>
              </w:rPr>
            </w:pPr>
            <w:r>
              <w:rPr>
                <w:b/>
                <w:color w:val="000000"/>
                <w:sz w:val="24"/>
                <w:szCs w:val="24"/>
              </w:rPr>
              <w:t>p-value</w:t>
            </w:r>
          </w:p>
        </w:tc>
      </w:tr>
      <w:tr w:rsidR="00044C44" w14:paraId="733FCDFD" w14:textId="77777777">
        <w:trPr>
          <w:trHeight w:val="310"/>
        </w:trPr>
        <w:tc>
          <w:tcPr>
            <w:tcW w:w="4208" w:type="dxa"/>
            <w:tcBorders>
              <w:top w:val="single" w:sz="6" w:space="0" w:color="000000"/>
            </w:tcBorders>
          </w:tcPr>
          <w:p w14:paraId="20735252" w14:textId="77777777" w:rsidR="00044C44" w:rsidRDefault="00DE1DF2">
            <w:pPr>
              <w:pBdr>
                <w:top w:val="nil"/>
                <w:left w:val="nil"/>
                <w:bottom w:val="nil"/>
                <w:right w:val="nil"/>
                <w:between w:val="nil"/>
              </w:pBdr>
              <w:spacing w:before="47" w:line="242" w:lineRule="auto"/>
              <w:ind w:left="119"/>
              <w:rPr>
                <w:color w:val="000000"/>
                <w:sz w:val="24"/>
                <w:szCs w:val="24"/>
              </w:rPr>
            </w:pPr>
            <w:r>
              <w:rPr>
                <w:color w:val="000000"/>
                <w:sz w:val="24"/>
                <w:szCs w:val="24"/>
              </w:rPr>
              <w:t xml:space="preserve">Age (years), mean </w:t>
            </w:r>
            <w:r>
              <w:rPr>
                <w:i/>
                <w:color w:val="000000"/>
                <w:sz w:val="24"/>
                <w:szCs w:val="24"/>
              </w:rPr>
              <w:t xml:space="preserve">± </w:t>
            </w:r>
            <w:r>
              <w:rPr>
                <w:color w:val="000000"/>
                <w:sz w:val="24"/>
                <w:szCs w:val="24"/>
              </w:rPr>
              <w:t>SD</w:t>
            </w:r>
          </w:p>
        </w:tc>
        <w:tc>
          <w:tcPr>
            <w:tcW w:w="2108" w:type="dxa"/>
            <w:tcBorders>
              <w:top w:val="single" w:sz="6" w:space="0" w:color="000000"/>
            </w:tcBorders>
          </w:tcPr>
          <w:p w14:paraId="0329D5BB" w14:textId="77777777" w:rsidR="00044C44" w:rsidRDefault="00DE1DF2">
            <w:pPr>
              <w:pBdr>
                <w:top w:val="nil"/>
                <w:left w:val="nil"/>
                <w:bottom w:val="nil"/>
                <w:right w:val="nil"/>
                <w:between w:val="nil"/>
              </w:pBdr>
              <w:spacing w:before="47" w:line="242" w:lineRule="auto"/>
              <w:ind w:left="525"/>
              <w:rPr>
                <w:color w:val="000000"/>
                <w:sz w:val="24"/>
                <w:szCs w:val="24"/>
              </w:rPr>
            </w:pPr>
            <w:r>
              <w:rPr>
                <w:color w:val="000000"/>
                <w:sz w:val="24"/>
                <w:szCs w:val="24"/>
              </w:rPr>
              <w:t xml:space="preserve">33.1 </w:t>
            </w:r>
            <w:r>
              <w:rPr>
                <w:i/>
                <w:color w:val="000000"/>
                <w:sz w:val="24"/>
                <w:szCs w:val="24"/>
              </w:rPr>
              <w:t xml:space="preserve">± </w:t>
            </w:r>
            <w:r>
              <w:rPr>
                <w:color w:val="000000"/>
                <w:sz w:val="24"/>
                <w:szCs w:val="24"/>
              </w:rPr>
              <w:t>6.2</w:t>
            </w:r>
          </w:p>
        </w:tc>
        <w:tc>
          <w:tcPr>
            <w:tcW w:w="2092" w:type="dxa"/>
            <w:tcBorders>
              <w:top w:val="single" w:sz="6" w:space="0" w:color="000000"/>
            </w:tcBorders>
          </w:tcPr>
          <w:p w14:paraId="76F91469" w14:textId="77777777" w:rsidR="00044C44" w:rsidRDefault="00DE1DF2">
            <w:pPr>
              <w:pBdr>
                <w:top w:val="nil"/>
                <w:left w:val="nil"/>
                <w:bottom w:val="nil"/>
                <w:right w:val="nil"/>
                <w:between w:val="nil"/>
              </w:pBdr>
              <w:spacing w:before="47" w:line="242" w:lineRule="auto"/>
              <w:ind w:left="518"/>
              <w:rPr>
                <w:color w:val="000000"/>
                <w:sz w:val="24"/>
                <w:szCs w:val="24"/>
              </w:rPr>
            </w:pPr>
            <w:r>
              <w:rPr>
                <w:color w:val="000000"/>
                <w:sz w:val="24"/>
                <w:szCs w:val="24"/>
              </w:rPr>
              <w:t xml:space="preserve">32.2 </w:t>
            </w:r>
            <w:r>
              <w:rPr>
                <w:i/>
                <w:color w:val="000000"/>
                <w:sz w:val="24"/>
                <w:szCs w:val="24"/>
              </w:rPr>
              <w:t xml:space="preserve">± </w:t>
            </w:r>
            <w:r>
              <w:rPr>
                <w:color w:val="000000"/>
                <w:sz w:val="24"/>
                <w:szCs w:val="24"/>
              </w:rPr>
              <w:t>5.8</w:t>
            </w:r>
          </w:p>
        </w:tc>
        <w:tc>
          <w:tcPr>
            <w:tcW w:w="1085" w:type="dxa"/>
            <w:tcBorders>
              <w:top w:val="single" w:sz="6" w:space="0" w:color="000000"/>
            </w:tcBorders>
          </w:tcPr>
          <w:p w14:paraId="4C910A2A" w14:textId="77777777" w:rsidR="00044C44" w:rsidRDefault="00DE1DF2">
            <w:pPr>
              <w:pBdr>
                <w:top w:val="nil"/>
                <w:left w:val="nil"/>
                <w:bottom w:val="nil"/>
                <w:right w:val="nil"/>
                <w:between w:val="nil"/>
              </w:pBdr>
              <w:spacing w:before="47" w:line="242" w:lineRule="auto"/>
              <w:jc w:val="center"/>
              <w:rPr>
                <w:color w:val="000000"/>
                <w:sz w:val="24"/>
                <w:szCs w:val="24"/>
              </w:rPr>
            </w:pPr>
            <w:r>
              <w:rPr>
                <w:color w:val="000000"/>
                <w:sz w:val="24"/>
                <w:szCs w:val="24"/>
              </w:rPr>
              <w:t>0.72</w:t>
            </w:r>
          </w:p>
        </w:tc>
      </w:tr>
      <w:tr w:rsidR="00044C44" w14:paraId="04A21870" w14:textId="77777777">
        <w:trPr>
          <w:trHeight w:val="288"/>
        </w:trPr>
        <w:tc>
          <w:tcPr>
            <w:tcW w:w="4208" w:type="dxa"/>
          </w:tcPr>
          <w:p w14:paraId="71CE4FDA" w14:textId="77777777" w:rsidR="00044C44" w:rsidRDefault="00DE1DF2">
            <w:pPr>
              <w:pBdr>
                <w:top w:val="nil"/>
                <w:left w:val="nil"/>
                <w:bottom w:val="nil"/>
                <w:right w:val="nil"/>
                <w:between w:val="nil"/>
              </w:pBdr>
              <w:spacing w:before="5" w:line="263" w:lineRule="auto"/>
              <w:ind w:left="119"/>
              <w:rPr>
                <w:color w:val="000000"/>
                <w:sz w:val="24"/>
                <w:szCs w:val="24"/>
              </w:rPr>
            </w:pPr>
            <w:r>
              <w:rPr>
                <w:color w:val="000000"/>
                <w:sz w:val="24"/>
                <w:szCs w:val="24"/>
              </w:rPr>
              <w:t>BMI (kg/m</w:t>
            </w:r>
            <w:r>
              <w:rPr>
                <w:rFonts w:ascii="Trebuchet MS" w:eastAsia="Trebuchet MS" w:hAnsi="Trebuchet MS" w:cs="Trebuchet MS"/>
                <w:color w:val="000000"/>
                <w:sz w:val="26"/>
                <w:szCs w:val="26"/>
                <w:vertAlign w:val="superscript"/>
              </w:rPr>
              <w:t>2</w:t>
            </w:r>
            <w:r>
              <w:rPr>
                <w:color w:val="000000"/>
                <w:sz w:val="24"/>
                <w:szCs w:val="24"/>
              </w:rPr>
              <w:t xml:space="preserve">), mean </w:t>
            </w:r>
            <w:r>
              <w:rPr>
                <w:i/>
                <w:color w:val="000000"/>
                <w:sz w:val="24"/>
                <w:szCs w:val="24"/>
              </w:rPr>
              <w:t xml:space="preserve">± </w:t>
            </w:r>
            <w:r>
              <w:rPr>
                <w:color w:val="000000"/>
                <w:sz w:val="24"/>
                <w:szCs w:val="24"/>
              </w:rPr>
              <w:t>SD</w:t>
            </w:r>
          </w:p>
        </w:tc>
        <w:tc>
          <w:tcPr>
            <w:tcW w:w="2108" w:type="dxa"/>
          </w:tcPr>
          <w:p w14:paraId="12DA6272" w14:textId="77777777" w:rsidR="00044C44" w:rsidRDefault="00DE1DF2">
            <w:pPr>
              <w:pBdr>
                <w:top w:val="nil"/>
                <w:left w:val="nil"/>
                <w:bottom w:val="nil"/>
                <w:right w:val="nil"/>
                <w:between w:val="nil"/>
              </w:pBdr>
              <w:spacing w:before="25" w:line="242" w:lineRule="auto"/>
              <w:ind w:left="525"/>
              <w:rPr>
                <w:color w:val="000000"/>
                <w:sz w:val="24"/>
                <w:szCs w:val="24"/>
              </w:rPr>
            </w:pPr>
            <w:r>
              <w:rPr>
                <w:color w:val="000000"/>
                <w:sz w:val="24"/>
                <w:szCs w:val="24"/>
              </w:rPr>
              <w:t xml:space="preserve">24.3 </w:t>
            </w:r>
            <w:r>
              <w:rPr>
                <w:i/>
                <w:color w:val="000000"/>
                <w:sz w:val="24"/>
                <w:szCs w:val="24"/>
              </w:rPr>
              <w:t xml:space="preserve">± </w:t>
            </w:r>
            <w:r>
              <w:rPr>
                <w:color w:val="000000"/>
                <w:sz w:val="24"/>
                <w:szCs w:val="24"/>
              </w:rPr>
              <w:t>3.7</w:t>
            </w:r>
          </w:p>
        </w:tc>
        <w:tc>
          <w:tcPr>
            <w:tcW w:w="2092" w:type="dxa"/>
          </w:tcPr>
          <w:p w14:paraId="5EFF79D1" w14:textId="77777777" w:rsidR="00044C44" w:rsidRDefault="00DE1DF2">
            <w:pPr>
              <w:pBdr>
                <w:top w:val="nil"/>
                <w:left w:val="nil"/>
                <w:bottom w:val="nil"/>
                <w:right w:val="nil"/>
                <w:between w:val="nil"/>
              </w:pBdr>
              <w:spacing w:before="25" w:line="242" w:lineRule="auto"/>
              <w:ind w:left="518"/>
              <w:rPr>
                <w:color w:val="000000"/>
                <w:sz w:val="24"/>
                <w:szCs w:val="24"/>
              </w:rPr>
            </w:pPr>
            <w:r>
              <w:rPr>
                <w:color w:val="000000"/>
                <w:sz w:val="24"/>
                <w:szCs w:val="24"/>
              </w:rPr>
              <w:t xml:space="preserve">23.6 </w:t>
            </w:r>
            <w:r>
              <w:rPr>
                <w:i/>
                <w:color w:val="000000"/>
                <w:sz w:val="24"/>
                <w:szCs w:val="24"/>
              </w:rPr>
              <w:t xml:space="preserve">± </w:t>
            </w:r>
            <w:r>
              <w:rPr>
                <w:color w:val="000000"/>
                <w:sz w:val="24"/>
                <w:szCs w:val="24"/>
              </w:rPr>
              <w:t>4.1</w:t>
            </w:r>
          </w:p>
        </w:tc>
        <w:tc>
          <w:tcPr>
            <w:tcW w:w="1085" w:type="dxa"/>
          </w:tcPr>
          <w:p w14:paraId="09F12EEE"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0.61</w:t>
            </w:r>
          </w:p>
        </w:tc>
      </w:tr>
      <w:tr w:rsidR="00044C44" w14:paraId="23245895" w14:textId="77777777">
        <w:trPr>
          <w:trHeight w:val="288"/>
        </w:trPr>
        <w:tc>
          <w:tcPr>
            <w:tcW w:w="4208" w:type="dxa"/>
          </w:tcPr>
          <w:p w14:paraId="59902819"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Nulliparous, n (%)</w:t>
            </w:r>
          </w:p>
        </w:tc>
        <w:tc>
          <w:tcPr>
            <w:tcW w:w="2108" w:type="dxa"/>
          </w:tcPr>
          <w:p w14:paraId="0A5F35C1"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7 (70%)</w:t>
            </w:r>
          </w:p>
        </w:tc>
        <w:tc>
          <w:tcPr>
            <w:tcW w:w="2092" w:type="dxa"/>
          </w:tcPr>
          <w:p w14:paraId="019DEB75" w14:textId="77777777" w:rsidR="00044C44" w:rsidRDefault="00DE1DF2">
            <w:pPr>
              <w:pBdr>
                <w:top w:val="nil"/>
                <w:left w:val="nil"/>
                <w:bottom w:val="nil"/>
                <w:right w:val="nil"/>
                <w:between w:val="nil"/>
              </w:pBdr>
              <w:spacing w:before="25" w:line="242" w:lineRule="auto"/>
              <w:ind w:left="2"/>
              <w:jc w:val="center"/>
              <w:rPr>
                <w:color w:val="000000"/>
                <w:sz w:val="24"/>
                <w:szCs w:val="24"/>
              </w:rPr>
            </w:pPr>
            <w:r>
              <w:rPr>
                <w:color w:val="000000"/>
                <w:sz w:val="24"/>
                <w:szCs w:val="24"/>
              </w:rPr>
              <w:t>24 (60%)</w:t>
            </w:r>
          </w:p>
        </w:tc>
        <w:tc>
          <w:tcPr>
            <w:tcW w:w="1085" w:type="dxa"/>
          </w:tcPr>
          <w:p w14:paraId="225E9FC7"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0.52</w:t>
            </w:r>
          </w:p>
        </w:tc>
      </w:tr>
      <w:tr w:rsidR="00044C44" w14:paraId="63277CBA" w14:textId="77777777">
        <w:trPr>
          <w:trHeight w:val="288"/>
        </w:trPr>
        <w:tc>
          <w:tcPr>
            <w:tcW w:w="4208" w:type="dxa"/>
          </w:tcPr>
          <w:p w14:paraId="44670F74" w14:textId="77777777" w:rsidR="00044C44" w:rsidRDefault="00DE1DF2">
            <w:pPr>
              <w:pBdr>
                <w:top w:val="nil"/>
                <w:left w:val="nil"/>
                <w:bottom w:val="nil"/>
                <w:right w:val="nil"/>
                <w:between w:val="nil"/>
              </w:pBdr>
              <w:spacing w:before="4" w:line="264" w:lineRule="auto"/>
              <w:ind w:left="119"/>
              <w:rPr>
                <w:color w:val="000000"/>
                <w:sz w:val="24"/>
                <w:szCs w:val="24"/>
              </w:rPr>
            </w:pPr>
            <w:r>
              <w:rPr>
                <w:color w:val="000000"/>
                <w:sz w:val="24"/>
                <w:szCs w:val="24"/>
              </w:rPr>
              <w:t>Caffeine intake (</w:t>
            </w:r>
            <w:r>
              <w:rPr>
                <w:rFonts w:ascii="Verdana" w:eastAsia="Verdana" w:hAnsi="Verdana" w:cs="Verdana"/>
                <w:i/>
                <w:color w:val="000000"/>
                <w:sz w:val="24"/>
                <w:szCs w:val="24"/>
              </w:rPr>
              <w:t>&gt;</w:t>
            </w:r>
            <w:r>
              <w:rPr>
                <w:color w:val="000000"/>
                <w:sz w:val="24"/>
                <w:szCs w:val="24"/>
              </w:rPr>
              <w:t>150 mg/day), n (%)</w:t>
            </w:r>
          </w:p>
        </w:tc>
        <w:tc>
          <w:tcPr>
            <w:tcW w:w="2108" w:type="dxa"/>
          </w:tcPr>
          <w:p w14:paraId="40C8A3A1"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6 (60%)</w:t>
            </w:r>
          </w:p>
        </w:tc>
        <w:tc>
          <w:tcPr>
            <w:tcW w:w="2092" w:type="dxa"/>
          </w:tcPr>
          <w:p w14:paraId="6C3A287C" w14:textId="77777777" w:rsidR="00044C44" w:rsidRDefault="00DE1DF2">
            <w:pPr>
              <w:pBdr>
                <w:top w:val="nil"/>
                <w:left w:val="nil"/>
                <w:bottom w:val="nil"/>
                <w:right w:val="nil"/>
                <w:between w:val="nil"/>
              </w:pBdr>
              <w:spacing w:before="25" w:line="242" w:lineRule="auto"/>
              <w:ind w:left="2"/>
              <w:jc w:val="center"/>
              <w:rPr>
                <w:color w:val="000000"/>
                <w:sz w:val="24"/>
                <w:szCs w:val="24"/>
              </w:rPr>
            </w:pPr>
            <w:r>
              <w:rPr>
                <w:color w:val="000000"/>
                <w:sz w:val="24"/>
                <w:szCs w:val="24"/>
              </w:rPr>
              <w:t>22 (55%)</w:t>
            </w:r>
          </w:p>
        </w:tc>
        <w:tc>
          <w:tcPr>
            <w:tcW w:w="1085" w:type="dxa"/>
          </w:tcPr>
          <w:p w14:paraId="0E300474"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0.80</w:t>
            </w:r>
          </w:p>
        </w:tc>
      </w:tr>
      <w:tr w:rsidR="00044C44" w14:paraId="22FBDA43" w14:textId="77777777">
        <w:trPr>
          <w:trHeight w:val="288"/>
        </w:trPr>
        <w:tc>
          <w:tcPr>
            <w:tcW w:w="4208" w:type="dxa"/>
          </w:tcPr>
          <w:p w14:paraId="7CE8DA50"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 xml:space="preserve">Baseline VAS, mean </w:t>
            </w:r>
            <w:r>
              <w:rPr>
                <w:i/>
                <w:color w:val="000000"/>
                <w:sz w:val="24"/>
                <w:szCs w:val="24"/>
              </w:rPr>
              <w:t xml:space="preserve">± </w:t>
            </w:r>
            <w:r>
              <w:rPr>
                <w:color w:val="000000"/>
                <w:sz w:val="24"/>
                <w:szCs w:val="24"/>
              </w:rPr>
              <w:t>SD</w:t>
            </w:r>
          </w:p>
        </w:tc>
        <w:tc>
          <w:tcPr>
            <w:tcW w:w="2108" w:type="dxa"/>
          </w:tcPr>
          <w:p w14:paraId="0C0C1ABD" w14:textId="77777777" w:rsidR="00044C44" w:rsidRDefault="00DE1DF2">
            <w:pPr>
              <w:pBdr>
                <w:top w:val="nil"/>
                <w:left w:val="nil"/>
                <w:bottom w:val="nil"/>
                <w:right w:val="nil"/>
                <w:between w:val="nil"/>
              </w:pBdr>
              <w:spacing w:before="25" w:line="242" w:lineRule="auto"/>
              <w:ind w:left="584"/>
              <w:rPr>
                <w:color w:val="000000"/>
                <w:sz w:val="24"/>
                <w:szCs w:val="24"/>
              </w:rPr>
            </w:pPr>
            <w:r>
              <w:rPr>
                <w:color w:val="000000"/>
                <w:sz w:val="24"/>
                <w:szCs w:val="24"/>
              </w:rPr>
              <w:t xml:space="preserve">7.2 </w:t>
            </w:r>
            <w:r>
              <w:rPr>
                <w:i/>
                <w:color w:val="000000"/>
                <w:sz w:val="24"/>
                <w:szCs w:val="24"/>
              </w:rPr>
              <w:t xml:space="preserve">± </w:t>
            </w:r>
            <w:r>
              <w:rPr>
                <w:color w:val="000000"/>
                <w:sz w:val="24"/>
                <w:szCs w:val="24"/>
              </w:rPr>
              <w:t>1.4</w:t>
            </w:r>
          </w:p>
        </w:tc>
        <w:tc>
          <w:tcPr>
            <w:tcW w:w="2092" w:type="dxa"/>
          </w:tcPr>
          <w:p w14:paraId="476A78E3" w14:textId="77777777" w:rsidR="00044C44" w:rsidRDefault="00DE1DF2">
            <w:pPr>
              <w:pBdr>
                <w:top w:val="nil"/>
                <w:left w:val="nil"/>
                <w:bottom w:val="nil"/>
                <w:right w:val="nil"/>
                <w:between w:val="nil"/>
              </w:pBdr>
              <w:spacing w:before="25" w:line="242" w:lineRule="auto"/>
              <w:ind w:left="576"/>
              <w:rPr>
                <w:color w:val="000000"/>
                <w:sz w:val="24"/>
                <w:szCs w:val="24"/>
              </w:rPr>
            </w:pPr>
            <w:r>
              <w:rPr>
                <w:color w:val="000000"/>
                <w:sz w:val="24"/>
                <w:szCs w:val="24"/>
              </w:rPr>
              <w:t xml:space="preserve">5.9 </w:t>
            </w:r>
            <w:r>
              <w:rPr>
                <w:i/>
                <w:color w:val="000000"/>
                <w:sz w:val="24"/>
                <w:szCs w:val="24"/>
              </w:rPr>
              <w:t xml:space="preserve">± </w:t>
            </w:r>
            <w:r>
              <w:rPr>
                <w:color w:val="000000"/>
                <w:sz w:val="24"/>
                <w:szCs w:val="24"/>
              </w:rPr>
              <w:t>1.8</w:t>
            </w:r>
          </w:p>
        </w:tc>
        <w:tc>
          <w:tcPr>
            <w:tcW w:w="1085" w:type="dxa"/>
          </w:tcPr>
          <w:p w14:paraId="5AAC6718"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0.02</w:t>
            </w:r>
          </w:p>
        </w:tc>
      </w:tr>
      <w:tr w:rsidR="00044C44" w14:paraId="2BDB9682" w14:textId="77777777">
        <w:trPr>
          <w:trHeight w:val="288"/>
        </w:trPr>
        <w:tc>
          <w:tcPr>
            <w:tcW w:w="4208" w:type="dxa"/>
          </w:tcPr>
          <w:p w14:paraId="32F10E50"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 xml:space="preserve">Cyst size (cm), mean </w:t>
            </w:r>
            <w:r>
              <w:rPr>
                <w:i/>
                <w:color w:val="000000"/>
                <w:sz w:val="24"/>
                <w:szCs w:val="24"/>
              </w:rPr>
              <w:t xml:space="preserve">± </w:t>
            </w:r>
            <w:r>
              <w:rPr>
                <w:color w:val="000000"/>
                <w:sz w:val="24"/>
                <w:szCs w:val="24"/>
              </w:rPr>
              <w:t>SD</w:t>
            </w:r>
          </w:p>
        </w:tc>
        <w:tc>
          <w:tcPr>
            <w:tcW w:w="2108" w:type="dxa"/>
          </w:tcPr>
          <w:p w14:paraId="64BEE1F6" w14:textId="77777777" w:rsidR="00044C44" w:rsidRDefault="00DE1DF2">
            <w:pPr>
              <w:pBdr>
                <w:top w:val="nil"/>
                <w:left w:val="nil"/>
                <w:bottom w:val="nil"/>
                <w:right w:val="nil"/>
                <w:between w:val="nil"/>
              </w:pBdr>
              <w:spacing w:before="25" w:line="242" w:lineRule="auto"/>
              <w:ind w:left="584"/>
              <w:rPr>
                <w:color w:val="000000"/>
                <w:sz w:val="24"/>
                <w:szCs w:val="24"/>
              </w:rPr>
            </w:pPr>
            <w:r>
              <w:rPr>
                <w:color w:val="000000"/>
                <w:sz w:val="24"/>
                <w:szCs w:val="24"/>
              </w:rPr>
              <w:t xml:space="preserve">2.5 </w:t>
            </w:r>
            <w:r>
              <w:rPr>
                <w:i/>
                <w:color w:val="000000"/>
                <w:sz w:val="24"/>
                <w:szCs w:val="24"/>
              </w:rPr>
              <w:t xml:space="preserve">± </w:t>
            </w:r>
            <w:r>
              <w:rPr>
                <w:color w:val="000000"/>
                <w:sz w:val="24"/>
                <w:szCs w:val="24"/>
              </w:rPr>
              <w:t>0.6</w:t>
            </w:r>
          </w:p>
        </w:tc>
        <w:tc>
          <w:tcPr>
            <w:tcW w:w="2092" w:type="dxa"/>
          </w:tcPr>
          <w:p w14:paraId="09EF7E7A" w14:textId="77777777" w:rsidR="00044C44" w:rsidRDefault="00DE1DF2">
            <w:pPr>
              <w:pBdr>
                <w:top w:val="nil"/>
                <w:left w:val="nil"/>
                <w:bottom w:val="nil"/>
                <w:right w:val="nil"/>
                <w:between w:val="nil"/>
              </w:pBdr>
              <w:spacing w:before="25" w:line="242" w:lineRule="auto"/>
              <w:ind w:left="576"/>
              <w:rPr>
                <w:color w:val="000000"/>
                <w:sz w:val="24"/>
                <w:szCs w:val="24"/>
              </w:rPr>
            </w:pPr>
            <w:r>
              <w:rPr>
                <w:color w:val="000000"/>
                <w:sz w:val="24"/>
                <w:szCs w:val="24"/>
              </w:rPr>
              <w:t xml:space="preserve">1.2 </w:t>
            </w:r>
            <w:r>
              <w:rPr>
                <w:i/>
                <w:color w:val="000000"/>
                <w:sz w:val="24"/>
                <w:szCs w:val="24"/>
              </w:rPr>
              <w:t xml:space="preserve">± </w:t>
            </w:r>
            <w:r>
              <w:rPr>
                <w:color w:val="000000"/>
                <w:sz w:val="24"/>
                <w:szCs w:val="24"/>
              </w:rPr>
              <w:t>0.5</w:t>
            </w:r>
          </w:p>
        </w:tc>
        <w:tc>
          <w:tcPr>
            <w:tcW w:w="1085" w:type="dxa"/>
          </w:tcPr>
          <w:p w14:paraId="43D3B535"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&lt;0.001</w:t>
            </w:r>
          </w:p>
        </w:tc>
      </w:tr>
      <w:tr w:rsidR="00044C44" w14:paraId="52549B38" w14:textId="77777777">
        <w:trPr>
          <w:trHeight w:val="373"/>
        </w:trPr>
        <w:tc>
          <w:tcPr>
            <w:tcW w:w="4208" w:type="dxa"/>
            <w:tcBorders>
              <w:bottom w:val="single" w:sz="8" w:space="0" w:color="000000"/>
            </w:tcBorders>
          </w:tcPr>
          <w:p w14:paraId="2229D46B" w14:textId="77777777" w:rsidR="00044C44" w:rsidRDefault="00DE1DF2">
            <w:pPr>
              <w:pBdr>
                <w:top w:val="nil"/>
                <w:left w:val="nil"/>
                <w:bottom w:val="nil"/>
                <w:right w:val="nil"/>
                <w:between w:val="nil"/>
              </w:pBdr>
              <w:spacing w:before="25"/>
              <w:ind w:left="119"/>
              <w:rPr>
                <w:color w:val="000000"/>
                <w:sz w:val="24"/>
                <w:szCs w:val="24"/>
              </w:rPr>
            </w:pPr>
            <w:r>
              <w:rPr>
                <w:color w:val="000000"/>
                <w:sz w:val="24"/>
                <w:szCs w:val="24"/>
              </w:rPr>
              <w:t>Family history of breast disease, n (%)</w:t>
            </w:r>
          </w:p>
        </w:tc>
        <w:tc>
          <w:tcPr>
            <w:tcW w:w="2108" w:type="dxa"/>
            <w:tcBorders>
              <w:bottom w:val="single" w:sz="8" w:space="0" w:color="000000"/>
            </w:tcBorders>
          </w:tcPr>
          <w:p w14:paraId="39C6C285" w14:textId="77777777" w:rsidR="00044C44" w:rsidRDefault="00DE1DF2">
            <w:pPr>
              <w:pBdr>
                <w:top w:val="nil"/>
                <w:left w:val="nil"/>
                <w:bottom w:val="nil"/>
                <w:right w:val="nil"/>
                <w:between w:val="nil"/>
              </w:pBdr>
              <w:spacing w:before="25"/>
              <w:jc w:val="center"/>
              <w:rPr>
                <w:color w:val="000000"/>
                <w:sz w:val="24"/>
                <w:szCs w:val="24"/>
              </w:rPr>
            </w:pPr>
            <w:r>
              <w:rPr>
                <w:color w:val="000000"/>
                <w:sz w:val="24"/>
                <w:szCs w:val="24"/>
              </w:rPr>
              <w:t>2 (20%)</w:t>
            </w:r>
          </w:p>
        </w:tc>
        <w:tc>
          <w:tcPr>
            <w:tcW w:w="2092" w:type="dxa"/>
            <w:tcBorders>
              <w:bottom w:val="single" w:sz="8" w:space="0" w:color="000000"/>
            </w:tcBorders>
          </w:tcPr>
          <w:p w14:paraId="19214442" w14:textId="77777777" w:rsidR="00044C44" w:rsidRDefault="00DE1DF2">
            <w:pPr>
              <w:pBdr>
                <w:top w:val="nil"/>
                <w:left w:val="nil"/>
                <w:bottom w:val="nil"/>
                <w:right w:val="nil"/>
                <w:between w:val="nil"/>
              </w:pBdr>
              <w:spacing w:before="25"/>
              <w:ind w:left="2"/>
              <w:jc w:val="center"/>
              <w:rPr>
                <w:color w:val="000000"/>
                <w:sz w:val="24"/>
                <w:szCs w:val="24"/>
              </w:rPr>
            </w:pPr>
            <w:r>
              <w:rPr>
                <w:color w:val="000000"/>
                <w:sz w:val="24"/>
                <w:szCs w:val="24"/>
              </w:rPr>
              <w:t>8 (20%)</w:t>
            </w:r>
          </w:p>
        </w:tc>
        <w:tc>
          <w:tcPr>
            <w:tcW w:w="1085" w:type="dxa"/>
            <w:tcBorders>
              <w:bottom w:val="single" w:sz="8" w:space="0" w:color="000000"/>
            </w:tcBorders>
          </w:tcPr>
          <w:p w14:paraId="2C444695" w14:textId="77777777" w:rsidR="00044C44" w:rsidRDefault="00DE1DF2">
            <w:pPr>
              <w:pBdr>
                <w:top w:val="nil"/>
                <w:left w:val="nil"/>
                <w:bottom w:val="nil"/>
                <w:right w:val="nil"/>
                <w:between w:val="nil"/>
              </w:pBdr>
              <w:spacing w:before="25"/>
              <w:jc w:val="center"/>
              <w:rPr>
                <w:color w:val="000000"/>
                <w:sz w:val="24"/>
                <w:szCs w:val="24"/>
              </w:rPr>
            </w:pPr>
            <w:r>
              <w:rPr>
                <w:color w:val="000000"/>
                <w:sz w:val="24"/>
                <w:szCs w:val="24"/>
              </w:rPr>
              <w:t>1.00</w:t>
            </w:r>
          </w:p>
        </w:tc>
      </w:tr>
    </w:tbl>
    <w:p w14:paraId="12D38C10" w14:textId="77777777" w:rsidR="00044C44" w:rsidRDefault="00044C44">
      <w:pPr>
        <w:pBdr>
          <w:top w:val="nil"/>
          <w:left w:val="nil"/>
          <w:bottom w:val="nil"/>
          <w:right w:val="nil"/>
          <w:between w:val="nil"/>
        </w:pBdr>
        <w:rPr>
          <w:color w:val="000000"/>
          <w:sz w:val="24"/>
          <w:szCs w:val="24"/>
        </w:rPr>
      </w:pPr>
    </w:p>
    <w:p w14:paraId="58B0F7AF" w14:textId="77777777" w:rsidR="00044C44" w:rsidRDefault="00044C44">
      <w:pPr>
        <w:pBdr>
          <w:top w:val="nil"/>
          <w:left w:val="nil"/>
          <w:bottom w:val="nil"/>
          <w:right w:val="nil"/>
          <w:between w:val="nil"/>
        </w:pBdr>
        <w:spacing w:before="114"/>
        <w:rPr>
          <w:color w:val="000000"/>
          <w:sz w:val="24"/>
          <w:szCs w:val="24"/>
        </w:rPr>
      </w:pPr>
    </w:p>
    <w:p w14:paraId="181AE56B" w14:textId="77777777" w:rsidR="00044C44" w:rsidRDefault="00DE1DF2">
      <w:pPr>
        <w:pStyle w:val="Heading2"/>
        <w:numPr>
          <w:ilvl w:val="1"/>
          <w:numId w:val="2"/>
        </w:numPr>
        <w:tabs>
          <w:tab w:val="left" w:pos="734"/>
        </w:tabs>
        <w:ind w:hanging="734"/>
      </w:pPr>
      <w:r>
        <w:t>Clinical and Pathomorphological Findings</w:t>
      </w:r>
    </w:p>
    <w:p w14:paraId="5AE0027A" w14:textId="77777777" w:rsidR="00044C44" w:rsidRDefault="00DE1DF2">
      <w:pPr>
        <w:pBdr>
          <w:top w:val="nil"/>
          <w:left w:val="nil"/>
          <w:bottom w:val="nil"/>
          <w:right w:val="nil"/>
          <w:between w:val="nil"/>
        </w:pBdr>
        <w:spacing w:before="162" w:line="254" w:lineRule="auto"/>
        <w:ind w:right="356"/>
        <w:jc w:val="both"/>
        <w:rPr>
          <w:color w:val="000000"/>
          <w:sz w:val="24"/>
          <w:szCs w:val="24"/>
        </w:rPr>
      </w:pPr>
      <w:r>
        <w:rPr>
          <w:color w:val="000000"/>
          <w:sz w:val="24"/>
          <w:szCs w:val="24"/>
        </w:rPr>
        <w:t xml:space="preserve">Ultrasound showed cysts in 90% and fibrosis in 76%. Biopsies (n=15; all surgical + 5 medical) confirmed </w:t>
      </w:r>
      <w:proofErr w:type="spellStart"/>
      <w:r>
        <w:rPr>
          <w:color w:val="000000"/>
          <w:sz w:val="24"/>
          <w:szCs w:val="24"/>
        </w:rPr>
        <w:t>nonproliferative</w:t>
      </w:r>
      <w:proofErr w:type="spellEnd"/>
      <w:r>
        <w:rPr>
          <w:color w:val="000000"/>
          <w:sz w:val="24"/>
          <w:szCs w:val="24"/>
        </w:rPr>
        <w:t xml:space="preserve"> FBC in 100% (apocrine metaplasia 40%, mild hyperplasia 13%). No atypia or malignancy.</w:t>
      </w:r>
    </w:p>
    <w:p w14:paraId="5ECBDC88" w14:textId="77777777" w:rsidR="00044C44" w:rsidRDefault="00044C44">
      <w:pPr>
        <w:pBdr>
          <w:top w:val="nil"/>
          <w:left w:val="nil"/>
          <w:bottom w:val="nil"/>
          <w:right w:val="nil"/>
          <w:between w:val="nil"/>
        </w:pBdr>
        <w:spacing w:before="93"/>
        <w:rPr>
          <w:color w:val="000000"/>
          <w:sz w:val="24"/>
          <w:szCs w:val="24"/>
        </w:rPr>
      </w:pPr>
    </w:p>
    <w:p w14:paraId="4DD841EB" w14:textId="77777777" w:rsidR="00044C44" w:rsidRDefault="00DE1DF2">
      <w:pPr>
        <w:pStyle w:val="Heading2"/>
        <w:numPr>
          <w:ilvl w:val="1"/>
          <w:numId w:val="2"/>
        </w:numPr>
        <w:tabs>
          <w:tab w:val="left" w:pos="734"/>
        </w:tabs>
        <w:ind w:hanging="734"/>
      </w:pPr>
      <w:r>
        <w:t>Management Outcomes</w:t>
      </w:r>
    </w:p>
    <w:p w14:paraId="7C65BF84" w14:textId="77777777" w:rsidR="00044C44" w:rsidRDefault="00DE1DF2">
      <w:pPr>
        <w:pBdr>
          <w:top w:val="nil"/>
          <w:left w:val="nil"/>
          <w:bottom w:val="nil"/>
          <w:right w:val="nil"/>
          <w:between w:val="nil"/>
        </w:pBdr>
        <w:spacing w:before="141" w:line="244" w:lineRule="auto"/>
        <w:ind w:right="356"/>
        <w:jc w:val="both"/>
        <w:rPr>
          <w:color w:val="000000"/>
          <w:sz w:val="24"/>
          <w:szCs w:val="24"/>
        </w:rPr>
        <w:sectPr w:rsidR="00044C44">
          <w:pgSz w:w="12240" w:h="15840"/>
          <w:pgMar w:top="1320" w:right="1080" w:bottom="1100" w:left="1440" w:header="0" w:footer="912" w:gutter="0"/>
          <w:cols w:space="720"/>
        </w:sectPr>
      </w:pPr>
      <w:r>
        <w:rPr>
          <w:color w:val="000000"/>
          <w:sz w:val="24"/>
          <w:szCs w:val="24"/>
        </w:rPr>
        <w:t xml:space="preserve">At 12 months, 90% surgical vs. 75% medical achieved VAS </w:t>
      </w:r>
      <w:r>
        <w:rPr>
          <w:rFonts w:ascii="Verdana" w:eastAsia="Verdana" w:hAnsi="Verdana" w:cs="Verdana"/>
          <w:i/>
          <w:color w:val="000000"/>
          <w:sz w:val="24"/>
          <w:szCs w:val="24"/>
        </w:rPr>
        <w:t>&gt;</w:t>
      </w:r>
      <w:r>
        <w:rPr>
          <w:color w:val="000000"/>
          <w:sz w:val="24"/>
          <w:szCs w:val="24"/>
        </w:rPr>
        <w:t xml:space="preserve">50% reduction (p=0.04). Median time-to-resolution: 3 months surgical vs. 6 months medical (p&lt;0.01). Recurrence </w:t>
      </w:r>
      <w:r>
        <w:rPr>
          <w:color w:val="000000"/>
          <w:sz w:val="24"/>
          <w:szCs w:val="24"/>
        </w:rPr>
        <w:lastRenderedPageBreak/>
        <w:t xml:space="preserve">(new cysts </w:t>
      </w:r>
      <w:r>
        <w:rPr>
          <w:rFonts w:ascii="Verdana" w:eastAsia="Verdana" w:hAnsi="Verdana" w:cs="Verdana"/>
          <w:i/>
          <w:color w:val="000000"/>
          <w:sz w:val="24"/>
          <w:szCs w:val="24"/>
        </w:rPr>
        <w:t>&gt;</w:t>
      </w:r>
      <w:r>
        <w:rPr>
          <w:color w:val="000000"/>
          <w:sz w:val="24"/>
          <w:szCs w:val="24"/>
        </w:rPr>
        <w:t xml:space="preserve">1 cm): 10% vs. 25% (p=0.03). QoL improved +23 </w:t>
      </w:r>
      <w:r>
        <w:rPr>
          <w:i/>
          <w:color w:val="000000"/>
          <w:sz w:val="24"/>
          <w:szCs w:val="24"/>
        </w:rPr>
        <w:t xml:space="preserve">± </w:t>
      </w:r>
      <w:r>
        <w:rPr>
          <w:color w:val="000000"/>
          <w:sz w:val="24"/>
          <w:szCs w:val="24"/>
        </w:rPr>
        <w:t>8 points surgical vs.</w:t>
      </w:r>
    </w:p>
    <w:p w14:paraId="6671216A" w14:textId="77777777" w:rsidR="00044C44" w:rsidRDefault="00DE1DF2">
      <w:pPr>
        <w:pBdr>
          <w:top w:val="nil"/>
          <w:left w:val="nil"/>
          <w:bottom w:val="nil"/>
          <w:right w:val="nil"/>
          <w:between w:val="nil"/>
        </w:pBdr>
        <w:spacing w:before="139" w:line="254" w:lineRule="auto"/>
        <w:ind w:right="357"/>
        <w:jc w:val="both"/>
        <w:rPr>
          <w:color w:val="000000"/>
          <w:sz w:val="24"/>
          <w:szCs w:val="24"/>
        </w:rPr>
      </w:pPr>
      <w:r>
        <w:rPr>
          <w:color w:val="000000"/>
          <w:sz w:val="24"/>
          <w:szCs w:val="24"/>
        </w:rPr>
        <w:lastRenderedPageBreak/>
        <w:t xml:space="preserve">+21 </w:t>
      </w:r>
      <w:r>
        <w:rPr>
          <w:i/>
          <w:color w:val="000000"/>
          <w:sz w:val="24"/>
          <w:szCs w:val="24"/>
        </w:rPr>
        <w:t xml:space="preserve">± </w:t>
      </w:r>
      <w:r>
        <w:rPr>
          <w:color w:val="000000"/>
          <w:sz w:val="24"/>
          <w:szCs w:val="24"/>
        </w:rPr>
        <w:t>9 medical (p=0.68). One surgical infection (10%) resolved conservatively; no medical adverse events. Table 2 summarizes outcomes.</w:t>
      </w:r>
    </w:p>
    <w:p w14:paraId="1D1BC018" w14:textId="77777777" w:rsidR="00044C44" w:rsidRDefault="00DE1DF2">
      <w:pPr>
        <w:pBdr>
          <w:top w:val="nil"/>
          <w:left w:val="nil"/>
          <w:bottom w:val="nil"/>
          <w:right w:val="nil"/>
          <w:between w:val="nil"/>
        </w:pBdr>
        <w:spacing w:before="165"/>
        <w:ind w:left="2" w:right="358"/>
        <w:jc w:val="center"/>
        <w:rPr>
          <w:color w:val="000000"/>
          <w:sz w:val="24"/>
          <w:szCs w:val="24"/>
        </w:rPr>
      </w:pPr>
      <w:r>
        <w:rPr>
          <w:color w:val="000000"/>
          <w:sz w:val="24"/>
          <w:szCs w:val="24"/>
        </w:rPr>
        <w:t>Table 2: Outcomes at 12 Months by Group</w:t>
      </w:r>
    </w:p>
    <w:p w14:paraId="4CA5115D" w14:textId="77777777" w:rsidR="00044C44" w:rsidRDefault="00DE1DF2">
      <w:pPr>
        <w:pBdr>
          <w:top w:val="nil"/>
          <w:left w:val="nil"/>
          <w:bottom w:val="nil"/>
          <w:right w:val="nil"/>
          <w:between w:val="nil"/>
        </w:pBdr>
        <w:spacing w:before="3"/>
        <w:rPr>
          <w:color w:val="000000"/>
          <w:sz w:val="19"/>
          <w:szCs w:val="19"/>
        </w:rPr>
      </w:pPr>
      <w:r>
        <w:rPr>
          <w:noProof/>
        </w:rPr>
        <mc:AlternateContent>
          <mc:Choice Requires="wps">
            <w:drawing>
              <wp:anchor distT="0" distB="0" distL="0" distR="0" simplePos="0" relativeHeight="251658240" behindDoc="0" locked="0" layoutInCell="1" hidden="0" allowOverlap="1" wp14:anchorId="5E6A4879" wp14:editId="2E6B45AA">
                <wp:simplePos x="0" y="0"/>
                <wp:positionH relativeFrom="column">
                  <wp:posOffset>0</wp:posOffset>
                </wp:positionH>
                <wp:positionV relativeFrom="paragraph">
                  <wp:posOffset>147898</wp:posOffset>
                </wp:positionV>
                <wp:extent cx="1270" cy="12700"/>
                <wp:effectExtent l="0" t="0" r="0" b="0"/>
                <wp:wrapTopAndBottom distT="0" distB="0"/>
                <wp:docPr id="809539770" name="Freeform: Shape 809539770"/>
                <wp:cNvGraphicFramePr/>
                <a:graphic xmlns:a="http://schemas.openxmlformats.org/drawingml/2006/main">
                  <a:graphicData uri="http://schemas.microsoft.com/office/word/2010/wordprocessingShape">
                    <wps:wsp>
                      <wps:cNvSpPr/>
                      <wps:spPr>
                        <a:xfrm>
                          <a:off x="2291968" y="3779365"/>
                          <a:ext cx="6108065" cy="1270"/>
                        </a:xfrm>
                        <a:custGeom>
                          <a:avLst/>
                          <a:gdLst/>
                          <a:ahLst/>
                          <a:cxnLst/>
                          <a:rect l="l" t="t" r="r" b="b"/>
                          <a:pathLst>
                            <a:path w="6108065" h="120000" extrusionOk="0">
                              <a:moveTo>
                                <a:pt x="0" y="0"/>
                              </a:moveTo>
                              <a:lnTo>
                                <a:pt x="6108065" y="0"/>
                              </a:lnTo>
                            </a:path>
                          </a:pathLst>
                        </a:custGeom>
                        <a:noFill/>
                        <a:ln w="121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0</wp:posOffset>
                </wp:positionH>
                <wp:positionV relativeFrom="paragraph">
                  <wp:posOffset>147898</wp:posOffset>
                </wp:positionV>
                <wp:extent cx="1270" cy="12700"/>
                <wp:effectExtent b="0" l="0" r="0" t="0"/>
                <wp:wrapTopAndBottom distB="0" distT="0"/>
                <wp:docPr id="80953977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739802E9" w14:textId="77777777" w:rsidR="00044C44" w:rsidRDefault="00DE1DF2">
      <w:pPr>
        <w:tabs>
          <w:tab w:val="left" w:pos="4454"/>
          <w:tab w:val="left" w:pos="6562"/>
          <w:tab w:val="left" w:pos="8653"/>
        </w:tabs>
        <w:spacing w:before="49"/>
        <w:ind w:left="119"/>
        <w:rPr>
          <w:b/>
          <w:sz w:val="24"/>
          <w:szCs w:val="24"/>
        </w:rPr>
      </w:pPr>
      <w:r>
        <w:rPr>
          <w:b/>
          <w:sz w:val="24"/>
          <w:szCs w:val="24"/>
        </w:rPr>
        <w:t>Outcome</w:t>
      </w:r>
      <w:r>
        <w:rPr>
          <w:b/>
          <w:sz w:val="24"/>
          <w:szCs w:val="24"/>
        </w:rPr>
        <w:tab/>
        <w:t>Surgical (n=10)</w:t>
      </w:r>
      <w:r>
        <w:rPr>
          <w:b/>
          <w:sz w:val="24"/>
          <w:szCs w:val="24"/>
        </w:rPr>
        <w:tab/>
        <w:t>Medical (n=40)</w:t>
      </w:r>
      <w:r>
        <w:rPr>
          <w:b/>
          <w:sz w:val="24"/>
          <w:szCs w:val="24"/>
        </w:rPr>
        <w:tab/>
        <w:t>p-value</w:t>
      </w:r>
    </w:p>
    <w:p w14:paraId="29B49497" w14:textId="77777777" w:rsidR="00044C44" w:rsidRDefault="00044C44">
      <w:pPr>
        <w:pBdr>
          <w:top w:val="nil"/>
          <w:left w:val="nil"/>
          <w:bottom w:val="nil"/>
          <w:right w:val="nil"/>
          <w:between w:val="nil"/>
        </w:pBdr>
        <w:spacing w:before="1" w:after="1"/>
        <w:rPr>
          <w:b/>
          <w:color w:val="000000"/>
          <w:sz w:val="7"/>
          <w:szCs w:val="7"/>
        </w:rPr>
      </w:pPr>
    </w:p>
    <w:tbl>
      <w:tblPr>
        <w:tblStyle w:val="a0"/>
        <w:tblW w:w="9621" w:type="dxa"/>
        <w:tblInd w:w="7" w:type="dxa"/>
        <w:tblLayout w:type="fixed"/>
        <w:tblLook w:val="0000" w:firstRow="0" w:lastRow="0" w:firstColumn="0" w:lastColumn="0" w:noHBand="0" w:noVBand="0"/>
      </w:tblPr>
      <w:tblGrid>
        <w:gridCol w:w="4601"/>
        <w:gridCol w:w="1810"/>
        <w:gridCol w:w="2001"/>
        <w:gridCol w:w="1209"/>
      </w:tblGrid>
      <w:tr w:rsidR="00044C44" w14:paraId="68773733" w14:textId="77777777">
        <w:trPr>
          <w:trHeight w:val="310"/>
        </w:trPr>
        <w:tc>
          <w:tcPr>
            <w:tcW w:w="4601" w:type="dxa"/>
            <w:tcBorders>
              <w:top w:val="single" w:sz="6" w:space="0" w:color="000000"/>
            </w:tcBorders>
          </w:tcPr>
          <w:p w14:paraId="0FB52692" w14:textId="77777777" w:rsidR="00044C44" w:rsidRDefault="00DE1DF2">
            <w:pPr>
              <w:pBdr>
                <w:top w:val="nil"/>
                <w:left w:val="nil"/>
                <w:bottom w:val="nil"/>
                <w:right w:val="nil"/>
                <w:between w:val="nil"/>
              </w:pBdr>
              <w:spacing w:before="26" w:line="264" w:lineRule="auto"/>
              <w:ind w:left="119"/>
              <w:rPr>
                <w:color w:val="000000"/>
                <w:sz w:val="24"/>
                <w:szCs w:val="24"/>
              </w:rPr>
            </w:pPr>
            <w:r>
              <w:rPr>
                <w:color w:val="000000"/>
                <w:sz w:val="24"/>
                <w:szCs w:val="24"/>
              </w:rPr>
              <w:t xml:space="preserve">VAS Reduction </w:t>
            </w:r>
            <w:r>
              <w:rPr>
                <w:rFonts w:ascii="Verdana" w:eastAsia="Verdana" w:hAnsi="Verdana" w:cs="Verdana"/>
                <w:i/>
                <w:color w:val="000000"/>
                <w:sz w:val="24"/>
                <w:szCs w:val="24"/>
              </w:rPr>
              <w:t>&gt;</w:t>
            </w:r>
            <w:r>
              <w:rPr>
                <w:color w:val="000000"/>
                <w:sz w:val="24"/>
                <w:szCs w:val="24"/>
              </w:rPr>
              <w:t>50%, n (%)</w:t>
            </w:r>
          </w:p>
        </w:tc>
        <w:tc>
          <w:tcPr>
            <w:tcW w:w="1810" w:type="dxa"/>
            <w:tcBorders>
              <w:top w:val="single" w:sz="6" w:space="0" w:color="000000"/>
            </w:tcBorders>
          </w:tcPr>
          <w:p w14:paraId="33956DFB" w14:textId="77777777" w:rsidR="00044C44" w:rsidRDefault="00DE1DF2">
            <w:pPr>
              <w:pBdr>
                <w:top w:val="nil"/>
                <w:left w:val="nil"/>
                <w:bottom w:val="nil"/>
                <w:right w:val="nil"/>
                <w:between w:val="nil"/>
              </w:pBdr>
              <w:spacing w:before="47" w:line="242" w:lineRule="auto"/>
              <w:ind w:right="616"/>
              <w:jc w:val="right"/>
              <w:rPr>
                <w:color w:val="000000"/>
                <w:sz w:val="24"/>
                <w:szCs w:val="24"/>
              </w:rPr>
            </w:pPr>
            <w:r>
              <w:rPr>
                <w:color w:val="000000"/>
                <w:sz w:val="24"/>
                <w:szCs w:val="24"/>
              </w:rPr>
              <w:t>9 (90%)</w:t>
            </w:r>
          </w:p>
        </w:tc>
        <w:tc>
          <w:tcPr>
            <w:tcW w:w="2001" w:type="dxa"/>
            <w:tcBorders>
              <w:top w:val="single" w:sz="6" w:space="0" w:color="000000"/>
            </w:tcBorders>
          </w:tcPr>
          <w:p w14:paraId="06A8FFD8" w14:textId="77777777" w:rsidR="00044C44" w:rsidRDefault="00DE1DF2">
            <w:pPr>
              <w:pBdr>
                <w:top w:val="nil"/>
                <w:left w:val="nil"/>
                <w:bottom w:val="nil"/>
                <w:right w:val="nil"/>
                <w:between w:val="nil"/>
              </w:pBdr>
              <w:spacing w:before="47" w:line="242" w:lineRule="auto"/>
              <w:ind w:left="156"/>
              <w:jc w:val="center"/>
              <w:rPr>
                <w:color w:val="000000"/>
                <w:sz w:val="24"/>
                <w:szCs w:val="24"/>
              </w:rPr>
            </w:pPr>
            <w:r>
              <w:rPr>
                <w:color w:val="000000"/>
                <w:sz w:val="24"/>
                <w:szCs w:val="24"/>
              </w:rPr>
              <w:t>30 (75%)</w:t>
            </w:r>
          </w:p>
        </w:tc>
        <w:tc>
          <w:tcPr>
            <w:tcW w:w="1209" w:type="dxa"/>
            <w:tcBorders>
              <w:top w:val="single" w:sz="6" w:space="0" w:color="000000"/>
            </w:tcBorders>
          </w:tcPr>
          <w:p w14:paraId="1C6BA3CA" w14:textId="77777777" w:rsidR="00044C44" w:rsidRDefault="00DE1DF2">
            <w:pPr>
              <w:pBdr>
                <w:top w:val="nil"/>
                <w:left w:val="nil"/>
                <w:bottom w:val="nil"/>
                <w:right w:val="nil"/>
                <w:between w:val="nil"/>
              </w:pBdr>
              <w:spacing w:before="47" w:line="242" w:lineRule="auto"/>
              <w:ind w:right="333"/>
              <w:jc w:val="right"/>
              <w:rPr>
                <w:color w:val="000000"/>
                <w:sz w:val="24"/>
                <w:szCs w:val="24"/>
              </w:rPr>
            </w:pPr>
            <w:r>
              <w:rPr>
                <w:color w:val="000000"/>
                <w:sz w:val="24"/>
                <w:szCs w:val="24"/>
              </w:rPr>
              <w:t>0.04</w:t>
            </w:r>
          </w:p>
        </w:tc>
      </w:tr>
      <w:tr w:rsidR="00044C44" w14:paraId="35867082" w14:textId="77777777">
        <w:trPr>
          <w:trHeight w:val="288"/>
        </w:trPr>
        <w:tc>
          <w:tcPr>
            <w:tcW w:w="4601" w:type="dxa"/>
          </w:tcPr>
          <w:p w14:paraId="408D8FEC"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Recurrence, n (%)</w:t>
            </w:r>
          </w:p>
        </w:tc>
        <w:tc>
          <w:tcPr>
            <w:tcW w:w="1810" w:type="dxa"/>
          </w:tcPr>
          <w:p w14:paraId="11D715E5" w14:textId="77777777" w:rsidR="00044C44" w:rsidRDefault="00DE1DF2">
            <w:pPr>
              <w:pBdr>
                <w:top w:val="nil"/>
                <w:left w:val="nil"/>
                <w:bottom w:val="nil"/>
                <w:right w:val="nil"/>
                <w:between w:val="nil"/>
              </w:pBdr>
              <w:spacing w:before="25" w:line="242" w:lineRule="auto"/>
              <w:ind w:right="616"/>
              <w:jc w:val="right"/>
              <w:rPr>
                <w:color w:val="000000"/>
                <w:sz w:val="24"/>
                <w:szCs w:val="24"/>
              </w:rPr>
            </w:pPr>
            <w:r>
              <w:rPr>
                <w:color w:val="000000"/>
                <w:sz w:val="24"/>
                <w:szCs w:val="24"/>
              </w:rPr>
              <w:t>1 (10%)</w:t>
            </w:r>
          </w:p>
        </w:tc>
        <w:tc>
          <w:tcPr>
            <w:tcW w:w="2001" w:type="dxa"/>
          </w:tcPr>
          <w:p w14:paraId="036FBEC6" w14:textId="77777777" w:rsidR="00044C44" w:rsidRDefault="00DE1DF2">
            <w:pPr>
              <w:pBdr>
                <w:top w:val="nil"/>
                <w:left w:val="nil"/>
                <w:bottom w:val="nil"/>
                <w:right w:val="nil"/>
                <w:between w:val="nil"/>
              </w:pBdr>
              <w:spacing w:before="25" w:line="242" w:lineRule="auto"/>
              <w:ind w:left="156"/>
              <w:jc w:val="center"/>
              <w:rPr>
                <w:color w:val="000000"/>
                <w:sz w:val="24"/>
                <w:szCs w:val="24"/>
              </w:rPr>
            </w:pPr>
            <w:r>
              <w:rPr>
                <w:color w:val="000000"/>
                <w:sz w:val="24"/>
                <w:szCs w:val="24"/>
              </w:rPr>
              <w:t>10 (25%)</w:t>
            </w:r>
          </w:p>
        </w:tc>
        <w:tc>
          <w:tcPr>
            <w:tcW w:w="1209" w:type="dxa"/>
          </w:tcPr>
          <w:p w14:paraId="70F65777" w14:textId="77777777" w:rsidR="00044C44" w:rsidRDefault="00DE1DF2">
            <w:pPr>
              <w:pBdr>
                <w:top w:val="nil"/>
                <w:left w:val="nil"/>
                <w:bottom w:val="nil"/>
                <w:right w:val="nil"/>
                <w:between w:val="nil"/>
              </w:pBdr>
              <w:spacing w:before="25" w:line="242" w:lineRule="auto"/>
              <w:ind w:right="333"/>
              <w:jc w:val="right"/>
              <w:rPr>
                <w:color w:val="000000"/>
                <w:sz w:val="24"/>
                <w:szCs w:val="24"/>
              </w:rPr>
            </w:pPr>
            <w:r>
              <w:rPr>
                <w:color w:val="000000"/>
                <w:sz w:val="24"/>
                <w:szCs w:val="24"/>
              </w:rPr>
              <w:t>0.03</w:t>
            </w:r>
          </w:p>
        </w:tc>
      </w:tr>
      <w:tr w:rsidR="00044C44" w14:paraId="09F50EDD" w14:textId="77777777">
        <w:trPr>
          <w:trHeight w:val="288"/>
        </w:trPr>
        <w:tc>
          <w:tcPr>
            <w:tcW w:w="4601" w:type="dxa"/>
          </w:tcPr>
          <w:p w14:paraId="019703DF"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 xml:space="preserve">QoL Improvement (points), mean </w:t>
            </w:r>
            <w:r>
              <w:rPr>
                <w:i/>
                <w:color w:val="000000"/>
                <w:sz w:val="24"/>
                <w:szCs w:val="24"/>
              </w:rPr>
              <w:t xml:space="preserve">± </w:t>
            </w:r>
            <w:r>
              <w:rPr>
                <w:color w:val="000000"/>
                <w:sz w:val="24"/>
                <w:szCs w:val="24"/>
              </w:rPr>
              <w:t>SD</w:t>
            </w:r>
          </w:p>
        </w:tc>
        <w:tc>
          <w:tcPr>
            <w:tcW w:w="1810" w:type="dxa"/>
          </w:tcPr>
          <w:p w14:paraId="197C30EB" w14:textId="77777777" w:rsidR="00044C44" w:rsidRDefault="00DE1DF2">
            <w:pPr>
              <w:pBdr>
                <w:top w:val="nil"/>
                <w:left w:val="nil"/>
                <w:bottom w:val="nil"/>
                <w:right w:val="nil"/>
                <w:between w:val="nil"/>
              </w:pBdr>
              <w:spacing w:before="25" w:line="242" w:lineRule="auto"/>
              <w:ind w:right="673"/>
              <w:jc w:val="right"/>
              <w:rPr>
                <w:color w:val="000000"/>
                <w:sz w:val="24"/>
                <w:szCs w:val="24"/>
              </w:rPr>
            </w:pPr>
            <w:r>
              <w:rPr>
                <w:color w:val="000000"/>
                <w:sz w:val="24"/>
                <w:szCs w:val="24"/>
              </w:rPr>
              <w:t xml:space="preserve">23 </w:t>
            </w:r>
            <w:r>
              <w:rPr>
                <w:i/>
                <w:color w:val="000000"/>
                <w:sz w:val="24"/>
                <w:szCs w:val="24"/>
              </w:rPr>
              <w:t xml:space="preserve">± </w:t>
            </w:r>
            <w:r>
              <w:rPr>
                <w:color w:val="000000"/>
                <w:sz w:val="24"/>
                <w:szCs w:val="24"/>
              </w:rPr>
              <w:t>8</w:t>
            </w:r>
          </w:p>
        </w:tc>
        <w:tc>
          <w:tcPr>
            <w:tcW w:w="2001" w:type="dxa"/>
          </w:tcPr>
          <w:p w14:paraId="4C6D75F9" w14:textId="77777777" w:rsidR="00044C44" w:rsidRDefault="00DE1DF2">
            <w:pPr>
              <w:pBdr>
                <w:top w:val="nil"/>
                <w:left w:val="nil"/>
                <w:bottom w:val="nil"/>
                <w:right w:val="nil"/>
                <w:between w:val="nil"/>
              </w:pBdr>
              <w:spacing w:before="25" w:line="242" w:lineRule="auto"/>
              <w:ind w:left="156"/>
              <w:jc w:val="center"/>
              <w:rPr>
                <w:color w:val="000000"/>
                <w:sz w:val="24"/>
                <w:szCs w:val="24"/>
              </w:rPr>
            </w:pPr>
            <w:r>
              <w:rPr>
                <w:color w:val="000000"/>
                <w:sz w:val="24"/>
                <w:szCs w:val="24"/>
              </w:rPr>
              <w:t xml:space="preserve">21 </w:t>
            </w:r>
            <w:r>
              <w:rPr>
                <w:i/>
                <w:color w:val="000000"/>
                <w:sz w:val="24"/>
                <w:szCs w:val="24"/>
              </w:rPr>
              <w:t xml:space="preserve">± </w:t>
            </w:r>
            <w:r>
              <w:rPr>
                <w:color w:val="000000"/>
                <w:sz w:val="24"/>
                <w:szCs w:val="24"/>
              </w:rPr>
              <w:t>9</w:t>
            </w:r>
          </w:p>
        </w:tc>
        <w:tc>
          <w:tcPr>
            <w:tcW w:w="1209" w:type="dxa"/>
          </w:tcPr>
          <w:p w14:paraId="1E53A531" w14:textId="77777777" w:rsidR="00044C44" w:rsidRDefault="00DE1DF2">
            <w:pPr>
              <w:pBdr>
                <w:top w:val="nil"/>
                <w:left w:val="nil"/>
                <w:bottom w:val="nil"/>
                <w:right w:val="nil"/>
                <w:between w:val="nil"/>
              </w:pBdr>
              <w:spacing w:before="25" w:line="242" w:lineRule="auto"/>
              <w:ind w:right="333"/>
              <w:jc w:val="right"/>
              <w:rPr>
                <w:color w:val="000000"/>
                <w:sz w:val="24"/>
                <w:szCs w:val="24"/>
              </w:rPr>
            </w:pPr>
            <w:r>
              <w:rPr>
                <w:color w:val="000000"/>
                <w:sz w:val="24"/>
                <w:szCs w:val="24"/>
              </w:rPr>
              <w:t>0.68</w:t>
            </w:r>
          </w:p>
        </w:tc>
      </w:tr>
      <w:tr w:rsidR="00044C44" w14:paraId="20C07789" w14:textId="77777777">
        <w:trPr>
          <w:trHeight w:val="373"/>
        </w:trPr>
        <w:tc>
          <w:tcPr>
            <w:tcW w:w="4601" w:type="dxa"/>
            <w:tcBorders>
              <w:bottom w:val="single" w:sz="8" w:space="0" w:color="000000"/>
            </w:tcBorders>
          </w:tcPr>
          <w:p w14:paraId="1947E165" w14:textId="77777777" w:rsidR="00044C44" w:rsidRDefault="00DE1DF2">
            <w:pPr>
              <w:pBdr>
                <w:top w:val="nil"/>
                <w:left w:val="nil"/>
                <w:bottom w:val="nil"/>
                <w:right w:val="nil"/>
                <w:between w:val="nil"/>
              </w:pBdr>
              <w:spacing w:before="25"/>
              <w:ind w:left="119"/>
              <w:rPr>
                <w:color w:val="000000"/>
                <w:sz w:val="24"/>
                <w:szCs w:val="24"/>
              </w:rPr>
            </w:pPr>
            <w:r>
              <w:rPr>
                <w:color w:val="000000"/>
                <w:sz w:val="24"/>
                <w:szCs w:val="24"/>
              </w:rPr>
              <w:t>Adverse Events, n (%)</w:t>
            </w:r>
          </w:p>
        </w:tc>
        <w:tc>
          <w:tcPr>
            <w:tcW w:w="1810" w:type="dxa"/>
            <w:tcBorders>
              <w:bottom w:val="single" w:sz="8" w:space="0" w:color="000000"/>
            </w:tcBorders>
          </w:tcPr>
          <w:p w14:paraId="759EA080" w14:textId="77777777" w:rsidR="00044C44" w:rsidRDefault="00DE1DF2">
            <w:pPr>
              <w:pBdr>
                <w:top w:val="nil"/>
                <w:left w:val="nil"/>
                <w:bottom w:val="nil"/>
                <w:right w:val="nil"/>
                <w:between w:val="nil"/>
              </w:pBdr>
              <w:spacing w:before="25"/>
              <w:ind w:right="616"/>
              <w:jc w:val="right"/>
              <w:rPr>
                <w:color w:val="000000"/>
                <w:sz w:val="24"/>
                <w:szCs w:val="24"/>
              </w:rPr>
            </w:pPr>
            <w:r>
              <w:rPr>
                <w:color w:val="000000"/>
                <w:sz w:val="24"/>
                <w:szCs w:val="24"/>
              </w:rPr>
              <w:t>1 (10%)</w:t>
            </w:r>
          </w:p>
        </w:tc>
        <w:tc>
          <w:tcPr>
            <w:tcW w:w="2001" w:type="dxa"/>
            <w:tcBorders>
              <w:bottom w:val="single" w:sz="8" w:space="0" w:color="000000"/>
            </w:tcBorders>
          </w:tcPr>
          <w:p w14:paraId="61805345" w14:textId="77777777" w:rsidR="00044C44" w:rsidRDefault="00DE1DF2">
            <w:pPr>
              <w:pBdr>
                <w:top w:val="nil"/>
                <w:left w:val="nil"/>
                <w:bottom w:val="nil"/>
                <w:right w:val="nil"/>
                <w:between w:val="nil"/>
              </w:pBdr>
              <w:spacing w:before="25"/>
              <w:ind w:left="156"/>
              <w:jc w:val="center"/>
              <w:rPr>
                <w:color w:val="000000"/>
                <w:sz w:val="24"/>
                <w:szCs w:val="24"/>
              </w:rPr>
            </w:pPr>
            <w:r>
              <w:rPr>
                <w:color w:val="000000"/>
                <w:sz w:val="24"/>
                <w:szCs w:val="24"/>
              </w:rPr>
              <w:t>0 (0%)</w:t>
            </w:r>
          </w:p>
        </w:tc>
        <w:tc>
          <w:tcPr>
            <w:tcW w:w="1209" w:type="dxa"/>
            <w:tcBorders>
              <w:bottom w:val="single" w:sz="8" w:space="0" w:color="000000"/>
            </w:tcBorders>
          </w:tcPr>
          <w:p w14:paraId="1307792D" w14:textId="77777777" w:rsidR="00044C44" w:rsidRDefault="00DE1DF2">
            <w:pPr>
              <w:pBdr>
                <w:top w:val="nil"/>
                <w:left w:val="nil"/>
                <w:bottom w:val="nil"/>
                <w:right w:val="nil"/>
                <w:between w:val="nil"/>
              </w:pBdr>
              <w:spacing w:before="25"/>
              <w:ind w:right="333"/>
              <w:jc w:val="right"/>
              <w:rPr>
                <w:color w:val="000000"/>
                <w:sz w:val="24"/>
                <w:szCs w:val="24"/>
              </w:rPr>
            </w:pPr>
            <w:r>
              <w:rPr>
                <w:color w:val="000000"/>
                <w:sz w:val="24"/>
                <w:szCs w:val="24"/>
              </w:rPr>
              <w:t>0.09</w:t>
            </w:r>
          </w:p>
        </w:tc>
      </w:tr>
    </w:tbl>
    <w:p w14:paraId="12B6817D" w14:textId="77777777" w:rsidR="00044C44" w:rsidRDefault="00DE1DF2">
      <w:pPr>
        <w:pBdr>
          <w:top w:val="nil"/>
          <w:left w:val="nil"/>
          <w:bottom w:val="nil"/>
          <w:right w:val="nil"/>
          <w:between w:val="nil"/>
        </w:pBdr>
        <w:spacing w:before="208"/>
        <w:rPr>
          <w:b/>
          <w:color w:val="000000"/>
          <w:sz w:val="24"/>
          <w:szCs w:val="24"/>
        </w:rPr>
      </w:pPr>
      <w:r>
        <w:rPr>
          <w:b/>
          <w:noProof/>
          <w:color w:val="000000"/>
          <w:sz w:val="24"/>
          <w:szCs w:val="24"/>
        </w:rPr>
        <w:drawing>
          <wp:inline distT="0" distB="0" distL="0" distR="0" wp14:anchorId="645C6053" wp14:editId="46E83AA0">
            <wp:extent cx="5222240" cy="4060190"/>
            <wp:effectExtent l="0" t="0" r="0" b="0"/>
            <wp:docPr id="8095397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l="6665" t="12290" r="8723"/>
                    <a:stretch>
                      <a:fillRect/>
                    </a:stretch>
                  </pic:blipFill>
                  <pic:spPr>
                    <a:xfrm>
                      <a:off x="0" y="0"/>
                      <a:ext cx="5222240" cy="4060190"/>
                    </a:xfrm>
                    <a:prstGeom prst="rect">
                      <a:avLst/>
                    </a:prstGeom>
                    <a:ln/>
                  </pic:spPr>
                </pic:pic>
              </a:graphicData>
            </a:graphic>
          </wp:inline>
        </w:drawing>
      </w:r>
    </w:p>
    <w:p w14:paraId="7E924D28" w14:textId="77777777" w:rsidR="00044C44" w:rsidRDefault="00DE1DF2">
      <w:pPr>
        <w:pBdr>
          <w:top w:val="nil"/>
          <w:left w:val="nil"/>
          <w:bottom w:val="nil"/>
          <w:right w:val="nil"/>
          <w:between w:val="nil"/>
        </w:pBdr>
        <w:ind w:right="358"/>
        <w:jc w:val="center"/>
        <w:rPr>
          <w:color w:val="000000"/>
          <w:sz w:val="24"/>
          <w:szCs w:val="24"/>
        </w:rPr>
      </w:pPr>
      <w:r>
        <w:rPr>
          <w:color w:val="000000"/>
          <w:sz w:val="24"/>
          <w:szCs w:val="24"/>
        </w:rPr>
        <w:t xml:space="preserve">Figure </w:t>
      </w:r>
      <w:proofErr w:type="gramStart"/>
      <w:r>
        <w:rPr>
          <w:color w:val="000000"/>
          <w:sz w:val="24"/>
          <w:szCs w:val="24"/>
        </w:rPr>
        <w:t>1 :</w:t>
      </w:r>
      <w:proofErr w:type="gramEnd"/>
      <w:r>
        <w:rPr>
          <w:color w:val="000000"/>
          <w:sz w:val="24"/>
          <w:szCs w:val="24"/>
        </w:rPr>
        <w:t xml:space="preserve"> </w:t>
      </w:r>
      <w:r>
        <w:rPr>
          <w:sz w:val="24"/>
          <w:szCs w:val="24"/>
        </w:rPr>
        <w:t>Clinical picture of fibrocystic disease of the breast along with notable skin changes.</w:t>
      </w:r>
    </w:p>
    <w:p w14:paraId="4DA6F2F0" w14:textId="77777777" w:rsidR="00044C44" w:rsidRDefault="00044C44">
      <w:pPr>
        <w:pBdr>
          <w:top w:val="nil"/>
          <w:left w:val="nil"/>
          <w:bottom w:val="nil"/>
          <w:right w:val="nil"/>
          <w:between w:val="nil"/>
        </w:pBdr>
        <w:spacing w:before="208"/>
        <w:rPr>
          <w:b/>
          <w:color w:val="000000"/>
          <w:sz w:val="24"/>
          <w:szCs w:val="24"/>
        </w:rPr>
      </w:pPr>
    </w:p>
    <w:p w14:paraId="18C2C153" w14:textId="77777777" w:rsidR="00044C44" w:rsidRDefault="00DE1DF2">
      <w:pPr>
        <w:pBdr>
          <w:top w:val="nil"/>
          <w:left w:val="nil"/>
          <w:bottom w:val="nil"/>
          <w:right w:val="nil"/>
          <w:between w:val="nil"/>
        </w:pBdr>
        <w:spacing w:before="208"/>
        <w:rPr>
          <w:b/>
          <w:color w:val="000000"/>
          <w:sz w:val="24"/>
          <w:szCs w:val="24"/>
        </w:rPr>
      </w:pPr>
      <w:r>
        <w:rPr>
          <w:b/>
          <w:noProof/>
          <w:color w:val="000000"/>
          <w:sz w:val="24"/>
          <w:szCs w:val="24"/>
        </w:rPr>
        <w:lastRenderedPageBreak/>
        <w:drawing>
          <wp:inline distT="0" distB="0" distL="0" distR="0" wp14:anchorId="561DEA3C" wp14:editId="54AFDF08">
            <wp:extent cx="5669280" cy="5090160"/>
            <wp:effectExtent l="0" t="0" r="0" b="0"/>
            <wp:docPr id="80953977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l="15555" t="17901" r="-7408" b="20247"/>
                    <a:stretch>
                      <a:fillRect/>
                    </a:stretch>
                  </pic:blipFill>
                  <pic:spPr>
                    <a:xfrm>
                      <a:off x="0" y="0"/>
                      <a:ext cx="5669280" cy="5090160"/>
                    </a:xfrm>
                    <a:prstGeom prst="rect">
                      <a:avLst/>
                    </a:prstGeom>
                    <a:ln/>
                  </pic:spPr>
                </pic:pic>
              </a:graphicData>
            </a:graphic>
          </wp:inline>
        </w:drawing>
      </w:r>
    </w:p>
    <w:p w14:paraId="027F425B" w14:textId="77777777" w:rsidR="00044C44" w:rsidRDefault="00DE1DF2">
      <w:pPr>
        <w:pBdr>
          <w:top w:val="nil"/>
          <w:left w:val="nil"/>
          <w:bottom w:val="nil"/>
          <w:right w:val="nil"/>
          <w:between w:val="nil"/>
        </w:pBdr>
        <w:ind w:right="358"/>
        <w:jc w:val="center"/>
        <w:rPr>
          <w:color w:val="000000"/>
          <w:sz w:val="24"/>
          <w:szCs w:val="24"/>
        </w:rPr>
      </w:pPr>
      <w:r>
        <w:rPr>
          <w:color w:val="000000"/>
          <w:sz w:val="24"/>
          <w:szCs w:val="24"/>
        </w:rPr>
        <w:t xml:space="preserve">Figure </w:t>
      </w:r>
      <w:proofErr w:type="gramStart"/>
      <w:r>
        <w:rPr>
          <w:color w:val="000000"/>
          <w:sz w:val="24"/>
          <w:szCs w:val="24"/>
        </w:rPr>
        <w:t>2 :</w:t>
      </w:r>
      <w:proofErr w:type="gramEnd"/>
      <w:r>
        <w:rPr>
          <w:color w:val="000000"/>
          <w:sz w:val="24"/>
          <w:szCs w:val="24"/>
        </w:rPr>
        <w:t xml:space="preserve"> Intra operative </w:t>
      </w:r>
      <w:r>
        <w:rPr>
          <w:sz w:val="24"/>
          <w:szCs w:val="24"/>
        </w:rPr>
        <w:t xml:space="preserve">image </w:t>
      </w:r>
      <w:r>
        <w:rPr>
          <w:color w:val="000000"/>
          <w:sz w:val="24"/>
          <w:szCs w:val="24"/>
        </w:rPr>
        <w:t>of excision of the Fibrocystic breast lump</w:t>
      </w:r>
    </w:p>
    <w:p w14:paraId="67214F2F" w14:textId="77777777" w:rsidR="00044C44" w:rsidRDefault="00044C44">
      <w:pPr>
        <w:pBdr>
          <w:top w:val="nil"/>
          <w:left w:val="nil"/>
          <w:bottom w:val="nil"/>
          <w:right w:val="nil"/>
          <w:between w:val="nil"/>
        </w:pBdr>
        <w:spacing w:before="208"/>
        <w:rPr>
          <w:b/>
          <w:color w:val="000000"/>
          <w:sz w:val="24"/>
          <w:szCs w:val="24"/>
        </w:rPr>
      </w:pPr>
    </w:p>
    <w:p w14:paraId="03E7ABC7" w14:textId="77777777" w:rsidR="00044C44" w:rsidRDefault="00DE1DF2">
      <w:pPr>
        <w:pBdr>
          <w:top w:val="nil"/>
          <w:left w:val="nil"/>
          <w:bottom w:val="nil"/>
          <w:right w:val="nil"/>
          <w:between w:val="nil"/>
        </w:pBdr>
        <w:spacing w:before="208"/>
        <w:rPr>
          <w:b/>
          <w:color w:val="000000"/>
          <w:sz w:val="24"/>
          <w:szCs w:val="24"/>
        </w:rPr>
      </w:pPr>
      <w:r>
        <w:rPr>
          <w:b/>
          <w:noProof/>
          <w:color w:val="000000"/>
          <w:sz w:val="24"/>
          <w:szCs w:val="24"/>
        </w:rPr>
        <w:lastRenderedPageBreak/>
        <w:drawing>
          <wp:inline distT="0" distB="0" distL="0" distR="0" wp14:anchorId="7A0C0A92" wp14:editId="3AFE8CFC">
            <wp:extent cx="5095240" cy="6532880"/>
            <wp:effectExtent l="0" t="0" r="0" b="0"/>
            <wp:docPr id="80953977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l="10123" t="13209" r="7325" b="7408"/>
                    <a:stretch>
                      <a:fillRect/>
                    </a:stretch>
                  </pic:blipFill>
                  <pic:spPr>
                    <a:xfrm>
                      <a:off x="0" y="0"/>
                      <a:ext cx="5095240" cy="6532880"/>
                    </a:xfrm>
                    <a:prstGeom prst="rect">
                      <a:avLst/>
                    </a:prstGeom>
                    <a:ln/>
                  </pic:spPr>
                </pic:pic>
              </a:graphicData>
            </a:graphic>
          </wp:inline>
        </w:drawing>
      </w:r>
    </w:p>
    <w:p w14:paraId="69B59269" w14:textId="77777777" w:rsidR="00044C44" w:rsidRDefault="00DE1DF2">
      <w:pPr>
        <w:pBdr>
          <w:top w:val="nil"/>
          <w:left w:val="nil"/>
          <w:bottom w:val="nil"/>
          <w:right w:val="nil"/>
          <w:between w:val="nil"/>
        </w:pBdr>
        <w:ind w:right="358"/>
        <w:jc w:val="center"/>
        <w:rPr>
          <w:color w:val="000000"/>
          <w:sz w:val="24"/>
          <w:szCs w:val="24"/>
        </w:rPr>
      </w:pPr>
      <w:r>
        <w:rPr>
          <w:color w:val="000000"/>
          <w:sz w:val="24"/>
          <w:szCs w:val="24"/>
        </w:rPr>
        <w:t xml:space="preserve">Figure </w:t>
      </w:r>
      <w:proofErr w:type="gramStart"/>
      <w:r>
        <w:rPr>
          <w:color w:val="000000"/>
          <w:sz w:val="24"/>
          <w:szCs w:val="24"/>
        </w:rPr>
        <w:t>3 :</w:t>
      </w:r>
      <w:proofErr w:type="gramEnd"/>
      <w:r>
        <w:rPr>
          <w:color w:val="000000"/>
          <w:sz w:val="24"/>
          <w:szCs w:val="24"/>
        </w:rPr>
        <w:t xml:space="preserve"> </w:t>
      </w:r>
      <w:proofErr w:type="spellStart"/>
      <w:r>
        <w:rPr>
          <w:color w:val="000000"/>
          <w:sz w:val="24"/>
          <w:szCs w:val="24"/>
        </w:rPr>
        <w:t>Post operative</w:t>
      </w:r>
      <w:proofErr w:type="spellEnd"/>
      <w:r>
        <w:rPr>
          <w:color w:val="000000"/>
          <w:sz w:val="24"/>
          <w:szCs w:val="24"/>
        </w:rPr>
        <w:t xml:space="preserve"> image of FCD lump specimen</w:t>
      </w:r>
    </w:p>
    <w:p w14:paraId="75BEAAEC" w14:textId="77777777" w:rsidR="00044C44" w:rsidRDefault="00044C44">
      <w:pPr>
        <w:pBdr>
          <w:top w:val="nil"/>
          <w:left w:val="nil"/>
          <w:bottom w:val="nil"/>
          <w:right w:val="nil"/>
          <w:between w:val="nil"/>
        </w:pBdr>
        <w:rPr>
          <w:color w:val="000000"/>
          <w:sz w:val="24"/>
          <w:szCs w:val="24"/>
        </w:rPr>
      </w:pPr>
    </w:p>
    <w:p w14:paraId="2EB00557" w14:textId="77777777" w:rsidR="00044C44" w:rsidRDefault="00044C44">
      <w:pPr>
        <w:pBdr>
          <w:top w:val="nil"/>
          <w:left w:val="nil"/>
          <w:bottom w:val="nil"/>
          <w:right w:val="nil"/>
          <w:between w:val="nil"/>
        </w:pBdr>
        <w:rPr>
          <w:color w:val="000000"/>
          <w:sz w:val="24"/>
          <w:szCs w:val="24"/>
        </w:rPr>
      </w:pPr>
    </w:p>
    <w:p w14:paraId="31C999C5" w14:textId="77777777" w:rsidR="00044C44" w:rsidRDefault="00044C44">
      <w:pPr>
        <w:pBdr>
          <w:top w:val="nil"/>
          <w:left w:val="nil"/>
          <w:bottom w:val="nil"/>
          <w:right w:val="nil"/>
          <w:between w:val="nil"/>
        </w:pBdr>
        <w:spacing w:before="147"/>
        <w:rPr>
          <w:color w:val="000000"/>
          <w:sz w:val="24"/>
          <w:szCs w:val="24"/>
        </w:rPr>
      </w:pPr>
    </w:p>
    <w:p w14:paraId="1E1CF921" w14:textId="77777777" w:rsidR="00044C44" w:rsidRDefault="00DE1DF2">
      <w:pPr>
        <w:pStyle w:val="Heading1"/>
        <w:numPr>
          <w:ilvl w:val="0"/>
          <w:numId w:val="2"/>
        </w:numPr>
        <w:tabs>
          <w:tab w:val="left" w:pos="580"/>
        </w:tabs>
        <w:ind w:hanging="580"/>
      </w:pPr>
      <w:r>
        <w:t>Discussion</w:t>
      </w:r>
    </w:p>
    <w:p w14:paraId="588E234E"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 xml:space="preserve">This pilot study demonstrates that surgical excision provides superior short-term clinical resolution for select fibrocystic breast change (FBC) patients with larger cysts, in concordance with guidelines advocating intervention for dominant lesions. The 90% resolution seen post-operatively compares favorably to the 75% rate for medical </w:t>
      </w:r>
      <w:r>
        <w:rPr>
          <w:sz w:val="24"/>
          <w:szCs w:val="24"/>
        </w:rPr>
        <w:lastRenderedPageBreak/>
        <w:t xml:space="preserve">management, supporting surgery’s role in high-burden cases where decompression achieves greater symptom </w:t>
      </w:r>
      <w:proofErr w:type="gramStart"/>
      <w:r>
        <w:rPr>
          <w:sz w:val="24"/>
          <w:szCs w:val="24"/>
        </w:rPr>
        <w:t>control[</w:t>
      </w:r>
      <w:proofErr w:type="gramEnd"/>
      <w:r>
        <w:rPr>
          <w:sz w:val="24"/>
          <w:szCs w:val="24"/>
        </w:rPr>
        <w:t xml:space="preserve">1,4]. However, improvements in quality of life (QoL) were similar between the two arms, suggesting that medical management remains a sufficient option for patients with mild or less symptomatic disease. Lower cyst recurrence rates post-excision further </w:t>
      </w:r>
      <w:proofErr w:type="gramStart"/>
      <w:r>
        <w:rPr>
          <w:sz w:val="24"/>
          <w:szCs w:val="24"/>
        </w:rPr>
        <w:t>reinforce</w:t>
      </w:r>
      <w:proofErr w:type="gramEnd"/>
      <w:r>
        <w:rPr>
          <w:sz w:val="24"/>
          <w:szCs w:val="24"/>
        </w:rPr>
        <w:t xml:space="preserve"> surgical treatment’s value in severe presentations, though considerations include higher direct costs and procedural risks [15].</w:t>
      </w:r>
    </w:p>
    <w:p w14:paraId="5FED49A4"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Caffeine intake did not differ significantly between groups; nevertheless, reduction was associated with medical management success, underscoring the potential benefit of lifestyle modifications. This finding resonates with mixed evidence in the literature regarding dietary factors’ impact on FBC symptoms [12].</w:t>
      </w:r>
    </w:p>
    <w:p w14:paraId="2D2EFE68" w14:textId="20A57051" w:rsidR="00044C44" w:rsidRDefault="00DE1DF2">
      <w:pPr>
        <w:pBdr>
          <w:top w:val="nil"/>
          <w:left w:val="nil"/>
          <w:bottom w:val="nil"/>
          <w:right w:val="nil"/>
          <w:between w:val="nil"/>
        </w:pBdr>
        <w:spacing w:before="231" w:line="254" w:lineRule="auto"/>
        <w:ind w:right="355"/>
        <w:jc w:val="both"/>
        <w:rPr>
          <w:sz w:val="24"/>
          <w:szCs w:val="24"/>
        </w:rPr>
      </w:pPr>
      <w:r>
        <w:rPr>
          <w:sz w:val="24"/>
          <w:szCs w:val="24"/>
        </w:rPr>
        <w:t>Study limitations include small sample size, potential selection bias (with surgery preferentially assigned to more severe presentations), and single-</w:t>
      </w:r>
      <w:proofErr w:type="spellStart"/>
      <w:r w:rsidR="007A3D12" w:rsidRPr="00A31006">
        <w:rPr>
          <w:sz w:val="24"/>
          <w:szCs w:val="24"/>
          <w:highlight w:val="yellow"/>
        </w:rPr>
        <w:t>cent</w:t>
      </w:r>
      <w:r w:rsidR="007A3D12" w:rsidRPr="00A31006">
        <w:rPr>
          <w:sz w:val="24"/>
          <w:szCs w:val="24"/>
          <w:highlight w:val="yellow"/>
        </w:rPr>
        <w:t>re</w:t>
      </w:r>
      <w:proofErr w:type="spellEnd"/>
      <w:r w:rsidR="007A3D12" w:rsidRPr="00A31006">
        <w:rPr>
          <w:sz w:val="24"/>
          <w:szCs w:val="24"/>
          <w:highlight w:val="yellow"/>
        </w:rPr>
        <w:t xml:space="preserve"> </w:t>
      </w:r>
      <w:r w:rsidRPr="00A31006">
        <w:rPr>
          <w:sz w:val="24"/>
          <w:szCs w:val="24"/>
          <w:highlight w:val="yellow"/>
        </w:rPr>
        <w:t>design</w:t>
      </w:r>
      <w:r>
        <w:rPr>
          <w:sz w:val="24"/>
          <w:szCs w:val="24"/>
        </w:rPr>
        <w:t>, curbing generalizability. Importantly, long-term surveillance for malignancy risk was not included; future investigations incorporating advanced imaging like MRI and larger, multi-</w:t>
      </w:r>
      <w:proofErr w:type="spellStart"/>
      <w:r w:rsidR="003E1265" w:rsidRPr="00A31006">
        <w:rPr>
          <w:sz w:val="24"/>
          <w:szCs w:val="24"/>
          <w:highlight w:val="yellow"/>
        </w:rPr>
        <w:t>cent</w:t>
      </w:r>
      <w:r w:rsidR="003E1265" w:rsidRPr="00A31006">
        <w:rPr>
          <w:sz w:val="24"/>
          <w:szCs w:val="24"/>
          <w:highlight w:val="yellow"/>
        </w:rPr>
        <w:t>re</w:t>
      </w:r>
      <w:proofErr w:type="spellEnd"/>
      <w:r w:rsidR="003E1265" w:rsidRPr="00A31006">
        <w:rPr>
          <w:sz w:val="24"/>
          <w:szCs w:val="24"/>
          <w:highlight w:val="yellow"/>
        </w:rPr>
        <w:t xml:space="preserve"> </w:t>
      </w:r>
      <w:r w:rsidRPr="00A31006">
        <w:rPr>
          <w:sz w:val="24"/>
          <w:szCs w:val="24"/>
          <w:highlight w:val="yellow"/>
        </w:rPr>
        <w:t xml:space="preserve">cohorts </w:t>
      </w:r>
      <w:r>
        <w:rPr>
          <w:sz w:val="24"/>
          <w:szCs w:val="24"/>
        </w:rPr>
        <w:t>are needed to validate these findings and optimize selection criteria [6,11</w:t>
      </w:r>
      <w:proofErr w:type="gramStart"/>
      <w:r>
        <w:rPr>
          <w:sz w:val="24"/>
          <w:szCs w:val="24"/>
        </w:rPr>
        <w:t>] .</w:t>
      </w:r>
      <w:proofErr w:type="gramEnd"/>
    </w:p>
    <w:p w14:paraId="7EE2AFD9"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In summary, surgical excision confers greater cyst resolution and reduced recurrence in symptomatic FBC patients with dominant lesions, while medical management remains appropriate for milder cases. Future research should target larger populations and extended follow-up to clarify best practices and oncologic safety for both strategies [13</w:t>
      </w:r>
      <w:proofErr w:type="gramStart"/>
      <w:r>
        <w:rPr>
          <w:sz w:val="24"/>
          <w:szCs w:val="24"/>
        </w:rPr>
        <w:t>] .</w:t>
      </w:r>
      <w:proofErr w:type="gramEnd"/>
    </w:p>
    <w:p w14:paraId="59811064" w14:textId="77777777" w:rsidR="00044C44" w:rsidRDefault="00044C44">
      <w:pPr>
        <w:pBdr>
          <w:top w:val="nil"/>
          <w:left w:val="nil"/>
          <w:bottom w:val="nil"/>
          <w:right w:val="nil"/>
          <w:between w:val="nil"/>
        </w:pBdr>
        <w:spacing w:before="137"/>
        <w:rPr>
          <w:color w:val="000000"/>
          <w:sz w:val="24"/>
          <w:szCs w:val="24"/>
        </w:rPr>
      </w:pPr>
    </w:p>
    <w:p w14:paraId="475EB035" w14:textId="77777777" w:rsidR="00044C44" w:rsidRDefault="00DE1DF2">
      <w:pPr>
        <w:pStyle w:val="Heading1"/>
        <w:numPr>
          <w:ilvl w:val="0"/>
          <w:numId w:val="2"/>
        </w:numPr>
        <w:tabs>
          <w:tab w:val="left" w:pos="580"/>
        </w:tabs>
        <w:ind w:hanging="580"/>
      </w:pPr>
      <w:r>
        <w:t>Conclusion</w:t>
      </w:r>
    </w:p>
    <w:p w14:paraId="169ABFF7" w14:textId="7EF03E85" w:rsidR="00044C44" w:rsidRDefault="00DE1DF2">
      <w:pPr>
        <w:pBdr>
          <w:top w:val="nil"/>
          <w:left w:val="nil"/>
          <w:bottom w:val="nil"/>
          <w:right w:val="nil"/>
          <w:between w:val="nil"/>
        </w:pBdr>
        <w:spacing w:before="231" w:line="246" w:lineRule="auto"/>
        <w:ind w:right="356"/>
        <w:jc w:val="both"/>
        <w:rPr>
          <w:color w:val="000000"/>
          <w:sz w:val="24"/>
          <w:szCs w:val="24"/>
        </w:rPr>
      </w:pPr>
      <w:r>
        <w:rPr>
          <w:color w:val="000000"/>
          <w:sz w:val="24"/>
          <w:szCs w:val="24"/>
        </w:rPr>
        <w:t xml:space="preserve">Surgical excision provides rapid relief in refractory FBC, complementing effective medical management for most. This pilot underscores personalized care, advocating conservative first-line with surgery reserved for </w:t>
      </w:r>
      <w:r>
        <w:rPr>
          <w:rFonts w:ascii="Verdana" w:eastAsia="Verdana" w:hAnsi="Verdana" w:cs="Verdana"/>
          <w:i/>
          <w:color w:val="000000"/>
          <w:sz w:val="24"/>
          <w:szCs w:val="24"/>
        </w:rPr>
        <w:t>&lt;</w:t>
      </w:r>
      <w:r>
        <w:rPr>
          <w:color w:val="000000"/>
          <w:sz w:val="24"/>
          <w:szCs w:val="24"/>
        </w:rPr>
        <w:t>20% of cases. Multicenter trials are warranted to optimize strategies.</w:t>
      </w:r>
    </w:p>
    <w:p w14:paraId="619B70EC" w14:textId="23480133" w:rsidR="00D0523A" w:rsidRDefault="00D0523A">
      <w:pPr>
        <w:pBdr>
          <w:top w:val="nil"/>
          <w:left w:val="nil"/>
          <w:bottom w:val="nil"/>
          <w:right w:val="nil"/>
          <w:between w:val="nil"/>
        </w:pBdr>
        <w:spacing w:before="231" w:line="246" w:lineRule="auto"/>
        <w:ind w:right="356"/>
        <w:jc w:val="both"/>
        <w:rPr>
          <w:color w:val="000000"/>
          <w:sz w:val="24"/>
          <w:szCs w:val="24"/>
        </w:rPr>
      </w:pPr>
    </w:p>
    <w:p w14:paraId="16FF5CE7" w14:textId="77777777" w:rsidR="00D0523A" w:rsidRPr="009C5487" w:rsidRDefault="00D0523A" w:rsidP="00D0523A">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5D9BBED1"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AF43AE8"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4684AE19"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B17CA6C"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BD8D2B"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4DD6EE2"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5DF399C9" w14:textId="77777777" w:rsidR="00D0523A" w:rsidRPr="009C5487" w:rsidRDefault="00D0523A" w:rsidP="00D052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55F8B02" w14:textId="77777777" w:rsidR="00D0523A" w:rsidRPr="009C5487" w:rsidRDefault="00D0523A" w:rsidP="00D0523A">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1C62D7D9" w14:textId="77777777" w:rsidR="00D0523A" w:rsidRDefault="00D0523A">
      <w:pPr>
        <w:pBdr>
          <w:top w:val="nil"/>
          <w:left w:val="nil"/>
          <w:bottom w:val="nil"/>
          <w:right w:val="nil"/>
          <w:between w:val="nil"/>
        </w:pBdr>
        <w:spacing w:before="231" w:line="246" w:lineRule="auto"/>
        <w:ind w:right="356"/>
        <w:jc w:val="both"/>
        <w:rPr>
          <w:color w:val="000000"/>
          <w:sz w:val="24"/>
          <w:szCs w:val="24"/>
        </w:rPr>
      </w:pPr>
    </w:p>
    <w:p w14:paraId="49C330FC" w14:textId="77777777" w:rsidR="00044C44" w:rsidRDefault="00044C44">
      <w:pPr>
        <w:pBdr>
          <w:top w:val="nil"/>
          <w:left w:val="nil"/>
          <w:bottom w:val="nil"/>
          <w:right w:val="nil"/>
          <w:between w:val="nil"/>
        </w:pBdr>
        <w:spacing w:before="149"/>
        <w:rPr>
          <w:color w:val="000000"/>
          <w:sz w:val="24"/>
          <w:szCs w:val="24"/>
        </w:rPr>
      </w:pPr>
    </w:p>
    <w:p w14:paraId="6598DA4B" w14:textId="77777777" w:rsidR="00044C44" w:rsidRDefault="00DE1DF2">
      <w:pPr>
        <w:pStyle w:val="Heading1"/>
        <w:spacing w:before="151"/>
        <w:ind w:left="0" w:right="6272" w:firstLine="0"/>
      </w:pPr>
      <w:r>
        <w:t>References</w:t>
      </w:r>
    </w:p>
    <w:p w14:paraId="33FB6915" w14:textId="77777777" w:rsidR="00044C44" w:rsidRDefault="00DE1DF2">
      <w:pPr>
        <w:numPr>
          <w:ilvl w:val="0"/>
          <w:numId w:val="1"/>
        </w:numPr>
        <w:pBdr>
          <w:top w:val="nil"/>
          <w:left w:val="nil"/>
          <w:bottom w:val="nil"/>
          <w:right w:val="nil"/>
          <w:between w:val="nil"/>
        </w:pBdr>
        <w:tabs>
          <w:tab w:val="left" w:pos="483"/>
        </w:tabs>
        <w:spacing w:before="236" w:line="252" w:lineRule="auto"/>
        <w:ind w:right="355"/>
        <w:jc w:val="both"/>
        <w:rPr>
          <w:color w:val="000000"/>
          <w:sz w:val="24"/>
          <w:szCs w:val="24"/>
        </w:rPr>
      </w:pPr>
      <w:r>
        <w:rPr>
          <w:color w:val="000000"/>
          <w:sz w:val="24"/>
          <w:szCs w:val="24"/>
        </w:rPr>
        <w:t xml:space="preserve">American College of Obstetricians and Gynecologists. Diagnosis and Management of Benign Breast Disorders. </w:t>
      </w:r>
      <w:r>
        <w:rPr>
          <w:rFonts w:ascii="Times New Roman" w:eastAsia="Times New Roman" w:hAnsi="Times New Roman" w:cs="Times New Roman"/>
          <w:i/>
          <w:color w:val="000000"/>
          <w:sz w:val="24"/>
          <w:szCs w:val="24"/>
        </w:rPr>
        <w:t>ACOG Practice Bulletin No. 164</w:t>
      </w:r>
      <w:r>
        <w:rPr>
          <w:color w:val="000000"/>
          <w:sz w:val="24"/>
          <w:szCs w:val="24"/>
        </w:rPr>
        <w:t xml:space="preserve">. </w:t>
      </w:r>
      <w:proofErr w:type="spellStart"/>
      <w:r>
        <w:rPr>
          <w:rFonts w:ascii="Times New Roman" w:eastAsia="Times New Roman" w:hAnsi="Times New Roman" w:cs="Times New Roman"/>
          <w:i/>
          <w:color w:val="000000"/>
          <w:sz w:val="24"/>
          <w:szCs w:val="24"/>
        </w:rPr>
        <w:t>Obstet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Gynecol</w:t>
      </w:r>
      <w:proofErr w:type="spellEnd"/>
      <w:r>
        <w:rPr>
          <w:color w:val="000000"/>
          <w:sz w:val="24"/>
          <w:szCs w:val="24"/>
        </w:rPr>
        <w:t>, 127(3</w:t>
      </w:r>
      <w:proofErr w:type="gramStart"/>
      <w:r>
        <w:rPr>
          <w:color w:val="000000"/>
          <w:sz w:val="24"/>
          <w:szCs w:val="24"/>
        </w:rPr>
        <w:t>):e</w:t>
      </w:r>
      <w:proofErr w:type="gramEnd"/>
      <w:r>
        <w:rPr>
          <w:color w:val="000000"/>
          <w:sz w:val="24"/>
          <w:szCs w:val="24"/>
        </w:rPr>
        <w:t>75– e90, 2016.</w:t>
      </w:r>
    </w:p>
    <w:p w14:paraId="4EFB0B71" w14:textId="77777777" w:rsidR="00044C44" w:rsidRDefault="00DE1DF2">
      <w:pPr>
        <w:numPr>
          <w:ilvl w:val="0"/>
          <w:numId w:val="1"/>
        </w:numPr>
        <w:pBdr>
          <w:top w:val="nil"/>
          <w:left w:val="nil"/>
          <w:bottom w:val="nil"/>
          <w:right w:val="nil"/>
          <w:between w:val="nil"/>
        </w:pBdr>
        <w:tabs>
          <w:tab w:val="left" w:pos="483"/>
        </w:tabs>
        <w:spacing w:before="199" w:line="249" w:lineRule="auto"/>
        <w:ind w:right="358"/>
        <w:jc w:val="both"/>
        <w:rPr>
          <w:color w:val="000000"/>
          <w:sz w:val="24"/>
          <w:szCs w:val="24"/>
        </w:rPr>
      </w:pPr>
      <w:r>
        <w:rPr>
          <w:color w:val="000000"/>
          <w:sz w:val="24"/>
          <w:szCs w:val="24"/>
        </w:rPr>
        <w:t xml:space="preserve">Berger N, et al. A Practical Guide to Management of Benign Breast Disease. </w:t>
      </w:r>
      <w:r>
        <w:rPr>
          <w:rFonts w:ascii="Times New Roman" w:eastAsia="Times New Roman" w:hAnsi="Times New Roman" w:cs="Times New Roman"/>
          <w:i/>
          <w:color w:val="000000"/>
          <w:sz w:val="24"/>
          <w:szCs w:val="24"/>
        </w:rPr>
        <w:t>Ann Breast Surg</w:t>
      </w:r>
      <w:r>
        <w:rPr>
          <w:color w:val="000000"/>
          <w:sz w:val="24"/>
          <w:szCs w:val="24"/>
        </w:rPr>
        <w:t>, 5:25, 2021.</w:t>
      </w:r>
    </w:p>
    <w:p w14:paraId="0FF2CC77" w14:textId="77777777" w:rsidR="00044C44" w:rsidRDefault="00DE1DF2">
      <w:pPr>
        <w:numPr>
          <w:ilvl w:val="0"/>
          <w:numId w:val="1"/>
        </w:numPr>
        <w:pBdr>
          <w:top w:val="nil"/>
          <w:left w:val="nil"/>
          <w:bottom w:val="nil"/>
          <w:right w:val="nil"/>
          <w:between w:val="nil"/>
        </w:pBdr>
        <w:tabs>
          <w:tab w:val="left" w:pos="483"/>
        </w:tabs>
        <w:spacing w:before="201" w:line="254" w:lineRule="auto"/>
        <w:ind w:right="357"/>
        <w:jc w:val="both"/>
        <w:rPr>
          <w:color w:val="000000"/>
          <w:sz w:val="24"/>
          <w:szCs w:val="24"/>
        </w:rPr>
      </w:pPr>
      <w:r>
        <w:rPr>
          <w:color w:val="000000"/>
          <w:sz w:val="24"/>
          <w:szCs w:val="24"/>
        </w:rPr>
        <w:t xml:space="preserve">Santen RJ. Benign Breast Disease in Women. </w:t>
      </w:r>
      <w:proofErr w:type="spellStart"/>
      <w:r>
        <w:rPr>
          <w:rFonts w:ascii="Times New Roman" w:eastAsia="Times New Roman" w:hAnsi="Times New Roman" w:cs="Times New Roman"/>
          <w:i/>
          <w:color w:val="000000"/>
          <w:sz w:val="24"/>
          <w:szCs w:val="24"/>
        </w:rPr>
        <w:t>Endotext</w:t>
      </w:r>
      <w:proofErr w:type="spellEnd"/>
      <w:r>
        <w:rPr>
          <w:rFonts w:ascii="Times New Roman" w:eastAsia="Times New Roman" w:hAnsi="Times New Roman" w:cs="Times New Roman"/>
          <w:i/>
          <w:color w:val="000000"/>
          <w:sz w:val="24"/>
          <w:szCs w:val="24"/>
        </w:rPr>
        <w:t xml:space="preserve"> [Internet]</w:t>
      </w:r>
      <w:r>
        <w:rPr>
          <w:color w:val="000000"/>
          <w:sz w:val="24"/>
          <w:szCs w:val="24"/>
        </w:rPr>
        <w:t>. South Dartmouth (MA): MDText.com, Inc., 2018.</w:t>
      </w:r>
    </w:p>
    <w:p w14:paraId="709A9F9C" w14:textId="77777777" w:rsidR="00044C44" w:rsidRDefault="00DE1DF2">
      <w:pPr>
        <w:numPr>
          <w:ilvl w:val="0"/>
          <w:numId w:val="1"/>
        </w:numPr>
        <w:pBdr>
          <w:top w:val="nil"/>
          <w:left w:val="nil"/>
          <w:bottom w:val="nil"/>
          <w:right w:val="nil"/>
          <w:between w:val="nil"/>
        </w:pBdr>
        <w:tabs>
          <w:tab w:val="left" w:pos="483"/>
        </w:tabs>
        <w:spacing w:before="199" w:line="249" w:lineRule="auto"/>
        <w:ind w:right="357"/>
        <w:jc w:val="both"/>
        <w:rPr>
          <w:color w:val="000000"/>
          <w:sz w:val="24"/>
          <w:szCs w:val="24"/>
        </w:rPr>
      </w:pPr>
      <w:r>
        <w:rPr>
          <w:color w:val="000000"/>
          <w:sz w:val="24"/>
          <w:szCs w:val="24"/>
        </w:rPr>
        <w:t xml:space="preserve">American Society of Breast Surgeons and Society of Breast Imaging. </w:t>
      </w:r>
      <w:proofErr w:type="spellStart"/>
      <w:r>
        <w:rPr>
          <w:color w:val="000000"/>
          <w:sz w:val="24"/>
          <w:szCs w:val="24"/>
        </w:rPr>
        <w:t>ASBrS</w:t>
      </w:r>
      <w:proofErr w:type="spellEnd"/>
      <w:r>
        <w:rPr>
          <w:color w:val="000000"/>
          <w:sz w:val="24"/>
          <w:szCs w:val="24"/>
        </w:rPr>
        <w:t xml:space="preserve">-SBI Guide- lines for Management of Benign Breast Disease. </w:t>
      </w:r>
      <w:proofErr w:type="spellStart"/>
      <w:r>
        <w:rPr>
          <w:rFonts w:ascii="Times New Roman" w:eastAsia="Times New Roman" w:hAnsi="Times New Roman" w:cs="Times New Roman"/>
          <w:i/>
          <w:color w:val="000000"/>
          <w:sz w:val="24"/>
          <w:szCs w:val="24"/>
        </w:rPr>
        <w:t>ASBrS</w:t>
      </w:r>
      <w:proofErr w:type="spellEnd"/>
      <w:r>
        <w:rPr>
          <w:rFonts w:ascii="Times New Roman" w:eastAsia="Times New Roman" w:hAnsi="Times New Roman" w:cs="Times New Roman"/>
          <w:i/>
          <w:color w:val="000000"/>
          <w:sz w:val="24"/>
          <w:szCs w:val="24"/>
        </w:rPr>
        <w:t xml:space="preserve"> News</w:t>
      </w:r>
      <w:r>
        <w:rPr>
          <w:color w:val="000000"/>
          <w:sz w:val="24"/>
          <w:szCs w:val="24"/>
        </w:rPr>
        <w:t>, 2024.</w:t>
      </w:r>
    </w:p>
    <w:p w14:paraId="76EA0E38" w14:textId="77777777" w:rsidR="00044C44" w:rsidRDefault="00DE1DF2">
      <w:pPr>
        <w:numPr>
          <w:ilvl w:val="0"/>
          <w:numId w:val="1"/>
        </w:numPr>
        <w:pBdr>
          <w:top w:val="nil"/>
          <w:left w:val="nil"/>
          <w:bottom w:val="nil"/>
          <w:right w:val="nil"/>
          <w:between w:val="nil"/>
        </w:pBdr>
        <w:tabs>
          <w:tab w:val="left" w:pos="483"/>
        </w:tabs>
        <w:spacing w:before="202" w:line="254" w:lineRule="auto"/>
        <w:ind w:right="357"/>
        <w:jc w:val="both"/>
        <w:rPr>
          <w:color w:val="000000"/>
          <w:sz w:val="24"/>
          <w:szCs w:val="24"/>
        </w:rPr>
      </w:pPr>
      <w:r>
        <w:rPr>
          <w:color w:val="000000"/>
          <w:sz w:val="24"/>
          <w:szCs w:val="24"/>
        </w:rPr>
        <w:t xml:space="preserve">Lewis JT, et al. Fibrocystic Breast Disease. </w:t>
      </w:r>
      <w:proofErr w:type="spellStart"/>
      <w:r>
        <w:rPr>
          <w:rFonts w:ascii="Times New Roman" w:eastAsia="Times New Roman" w:hAnsi="Times New Roman" w:cs="Times New Roman"/>
          <w:i/>
          <w:color w:val="000000"/>
          <w:sz w:val="24"/>
          <w:szCs w:val="24"/>
        </w:rPr>
        <w:t>StatPearls</w:t>
      </w:r>
      <w:proofErr w:type="spellEnd"/>
      <w:r>
        <w:rPr>
          <w:rFonts w:ascii="Times New Roman" w:eastAsia="Times New Roman" w:hAnsi="Times New Roman" w:cs="Times New Roman"/>
          <w:i/>
          <w:color w:val="000000"/>
          <w:sz w:val="24"/>
          <w:szCs w:val="24"/>
        </w:rPr>
        <w:t xml:space="preserve"> [Internet]</w:t>
      </w:r>
      <w:r>
        <w:rPr>
          <w:color w:val="000000"/>
          <w:sz w:val="24"/>
          <w:szCs w:val="24"/>
        </w:rPr>
        <w:t xml:space="preserve">. Treasure Island (FL): </w:t>
      </w:r>
      <w:proofErr w:type="spellStart"/>
      <w:r>
        <w:rPr>
          <w:color w:val="000000"/>
          <w:sz w:val="24"/>
          <w:szCs w:val="24"/>
        </w:rPr>
        <w:t>StatPearls</w:t>
      </w:r>
      <w:proofErr w:type="spellEnd"/>
      <w:r>
        <w:rPr>
          <w:color w:val="000000"/>
          <w:sz w:val="24"/>
          <w:szCs w:val="24"/>
        </w:rPr>
        <w:t xml:space="preserve"> Publishing, 2023.</w:t>
      </w:r>
    </w:p>
    <w:p w14:paraId="0C305F6D" w14:textId="77777777" w:rsidR="00044C44" w:rsidRDefault="00DE1DF2">
      <w:pPr>
        <w:numPr>
          <w:ilvl w:val="0"/>
          <w:numId w:val="1"/>
        </w:numPr>
        <w:pBdr>
          <w:top w:val="nil"/>
          <w:left w:val="nil"/>
          <w:bottom w:val="nil"/>
          <w:right w:val="nil"/>
          <w:between w:val="nil"/>
        </w:pBdr>
        <w:tabs>
          <w:tab w:val="left" w:pos="483"/>
        </w:tabs>
        <w:spacing w:before="199" w:line="249" w:lineRule="auto"/>
        <w:ind w:right="359"/>
        <w:jc w:val="both"/>
        <w:rPr>
          <w:color w:val="000000"/>
          <w:sz w:val="24"/>
          <w:szCs w:val="24"/>
        </w:rPr>
      </w:pPr>
      <w:r>
        <w:rPr>
          <w:color w:val="000000"/>
          <w:sz w:val="24"/>
          <w:szCs w:val="24"/>
        </w:rPr>
        <w:t xml:space="preserve">Alotaibi S, et al. Unraveling Benign Breast Conditions: A Comprehensive Study of Diagnosis, Treatment, and Care. </w:t>
      </w:r>
      <w:proofErr w:type="spellStart"/>
      <w:r>
        <w:rPr>
          <w:rFonts w:ascii="Times New Roman" w:eastAsia="Times New Roman" w:hAnsi="Times New Roman" w:cs="Times New Roman"/>
          <w:i/>
          <w:color w:val="000000"/>
          <w:sz w:val="24"/>
          <w:szCs w:val="24"/>
        </w:rPr>
        <w:t>Cureus</w:t>
      </w:r>
      <w:proofErr w:type="spellEnd"/>
      <w:r>
        <w:rPr>
          <w:color w:val="000000"/>
          <w:sz w:val="24"/>
          <w:szCs w:val="24"/>
        </w:rPr>
        <w:t>, 17(6</w:t>
      </w:r>
      <w:proofErr w:type="gramStart"/>
      <w:r>
        <w:rPr>
          <w:color w:val="000000"/>
          <w:sz w:val="24"/>
          <w:szCs w:val="24"/>
        </w:rPr>
        <w:t>):e</w:t>
      </w:r>
      <w:proofErr w:type="gramEnd"/>
      <w:r>
        <w:rPr>
          <w:color w:val="000000"/>
          <w:sz w:val="24"/>
          <w:szCs w:val="24"/>
        </w:rPr>
        <w:t>12212, 2025.</w:t>
      </w:r>
    </w:p>
    <w:p w14:paraId="36C98D6C" w14:textId="77777777" w:rsidR="00044C44" w:rsidRDefault="00DE1DF2">
      <w:pPr>
        <w:numPr>
          <w:ilvl w:val="0"/>
          <w:numId w:val="1"/>
        </w:numPr>
        <w:pBdr>
          <w:top w:val="nil"/>
          <w:left w:val="nil"/>
          <w:bottom w:val="nil"/>
          <w:right w:val="nil"/>
          <w:between w:val="nil"/>
        </w:pBdr>
        <w:tabs>
          <w:tab w:val="left" w:pos="483"/>
        </w:tabs>
        <w:spacing w:before="206"/>
        <w:ind w:hanging="366"/>
        <w:rPr>
          <w:color w:val="000000"/>
          <w:sz w:val="24"/>
          <w:szCs w:val="24"/>
        </w:rPr>
      </w:pPr>
      <w:r>
        <w:rPr>
          <w:color w:val="000000"/>
          <w:sz w:val="24"/>
          <w:szCs w:val="24"/>
        </w:rPr>
        <w:t>Cleveland Clinic Staff. Fibrocystic Breasts: Causes, Symptoms, Diagnosis &amp; Treatment.</w:t>
      </w:r>
    </w:p>
    <w:p w14:paraId="6D43443E" w14:textId="77777777" w:rsidR="00044C44" w:rsidRDefault="00DE1DF2">
      <w:pPr>
        <w:spacing w:before="12"/>
        <w:ind w:left="483"/>
        <w:rPr>
          <w:sz w:val="24"/>
          <w:szCs w:val="24"/>
        </w:rPr>
      </w:pPr>
      <w:r>
        <w:rPr>
          <w:rFonts w:ascii="Times New Roman" w:eastAsia="Times New Roman" w:hAnsi="Times New Roman" w:cs="Times New Roman"/>
          <w:i/>
          <w:sz w:val="24"/>
          <w:szCs w:val="24"/>
        </w:rPr>
        <w:t>Cleveland Clinic</w:t>
      </w:r>
      <w:r>
        <w:rPr>
          <w:sz w:val="24"/>
          <w:szCs w:val="24"/>
        </w:rPr>
        <w:t>, Updated 2024.</w:t>
      </w:r>
    </w:p>
    <w:p w14:paraId="489E00D3" w14:textId="77777777" w:rsidR="00044C44" w:rsidRDefault="00DE1DF2">
      <w:pPr>
        <w:numPr>
          <w:ilvl w:val="0"/>
          <w:numId w:val="1"/>
        </w:numPr>
        <w:pBdr>
          <w:top w:val="nil"/>
          <w:left w:val="nil"/>
          <w:bottom w:val="nil"/>
          <w:right w:val="nil"/>
          <w:between w:val="nil"/>
        </w:pBdr>
        <w:tabs>
          <w:tab w:val="left" w:pos="483"/>
          <w:tab w:val="left" w:pos="6230"/>
        </w:tabs>
        <w:spacing w:before="215"/>
        <w:ind w:hanging="366"/>
        <w:rPr>
          <w:color w:val="000000"/>
          <w:sz w:val="24"/>
          <w:szCs w:val="24"/>
        </w:rPr>
      </w:pPr>
      <w:r>
        <w:rPr>
          <w:color w:val="000000"/>
          <w:sz w:val="24"/>
          <w:szCs w:val="24"/>
        </w:rPr>
        <w:t>Breastcancer.org Staff. Fibrocystic Breast Changes:</w:t>
      </w:r>
      <w:r>
        <w:rPr>
          <w:color w:val="000000"/>
          <w:sz w:val="24"/>
          <w:szCs w:val="24"/>
        </w:rPr>
        <w:tab/>
        <w:t>Causes, Symptoms, &amp; More.</w:t>
      </w:r>
    </w:p>
    <w:p w14:paraId="709273B1" w14:textId="77777777" w:rsidR="00044C44" w:rsidRDefault="00DE1DF2">
      <w:pPr>
        <w:spacing w:before="12"/>
        <w:ind w:left="483"/>
        <w:rPr>
          <w:sz w:val="24"/>
          <w:szCs w:val="24"/>
        </w:rPr>
      </w:pPr>
      <w:r>
        <w:rPr>
          <w:rFonts w:ascii="Times New Roman" w:eastAsia="Times New Roman" w:hAnsi="Times New Roman" w:cs="Times New Roman"/>
          <w:i/>
          <w:sz w:val="24"/>
          <w:szCs w:val="24"/>
        </w:rPr>
        <w:t>Breastcancer.org</w:t>
      </w:r>
      <w:r>
        <w:rPr>
          <w:sz w:val="24"/>
          <w:szCs w:val="24"/>
        </w:rPr>
        <w:t>, Updated February 17, 2025.</w:t>
      </w:r>
    </w:p>
    <w:p w14:paraId="3D6D53B9" w14:textId="77777777" w:rsidR="00044C44" w:rsidRDefault="00DE1DF2">
      <w:pPr>
        <w:numPr>
          <w:ilvl w:val="0"/>
          <w:numId w:val="1"/>
        </w:numPr>
        <w:pBdr>
          <w:top w:val="nil"/>
          <w:left w:val="nil"/>
          <w:bottom w:val="nil"/>
          <w:right w:val="nil"/>
          <w:between w:val="nil"/>
        </w:pBdr>
        <w:tabs>
          <w:tab w:val="left" w:pos="483"/>
        </w:tabs>
        <w:spacing w:before="216" w:line="249" w:lineRule="auto"/>
        <w:ind w:right="358"/>
        <w:jc w:val="both"/>
        <w:rPr>
          <w:color w:val="000000"/>
          <w:sz w:val="24"/>
          <w:szCs w:val="24"/>
        </w:rPr>
      </w:pPr>
      <w:proofErr w:type="spellStart"/>
      <w:r>
        <w:rPr>
          <w:color w:val="000000"/>
          <w:sz w:val="24"/>
          <w:szCs w:val="24"/>
        </w:rPr>
        <w:t>Alshammari</w:t>
      </w:r>
      <w:proofErr w:type="spellEnd"/>
      <w:r>
        <w:rPr>
          <w:color w:val="000000"/>
          <w:sz w:val="24"/>
          <w:szCs w:val="24"/>
        </w:rPr>
        <w:t xml:space="preserve"> S, et al. Assessing and Managing Benign Breast Lesions Leading to </w:t>
      </w:r>
      <w:proofErr w:type="spellStart"/>
      <w:r>
        <w:rPr>
          <w:color w:val="000000"/>
          <w:sz w:val="24"/>
          <w:szCs w:val="24"/>
        </w:rPr>
        <w:t>Mastal</w:t>
      </w:r>
      <w:proofErr w:type="spellEnd"/>
      <w:r>
        <w:rPr>
          <w:color w:val="000000"/>
          <w:sz w:val="24"/>
          <w:szCs w:val="24"/>
        </w:rPr>
        <w:t xml:space="preserve">- </w:t>
      </w:r>
      <w:proofErr w:type="spellStart"/>
      <w:r>
        <w:rPr>
          <w:color w:val="000000"/>
          <w:sz w:val="24"/>
          <w:szCs w:val="24"/>
        </w:rPr>
        <w:t>gia</w:t>
      </w:r>
      <w:proofErr w:type="spellEnd"/>
      <w:r>
        <w:rPr>
          <w:color w:val="000000"/>
          <w:sz w:val="24"/>
          <w:szCs w:val="24"/>
        </w:rPr>
        <w:t xml:space="preserve">. </w:t>
      </w:r>
      <w:r>
        <w:rPr>
          <w:rFonts w:ascii="Times New Roman" w:eastAsia="Times New Roman" w:hAnsi="Times New Roman" w:cs="Times New Roman"/>
          <w:i/>
          <w:color w:val="000000"/>
          <w:sz w:val="24"/>
          <w:szCs w:val="24"/>
        </w:rPr>
        <w:t>J Clin Med</w:t>
      </w:r>
      <w:r>
        <w:rPr>
          <w:color w:val="000000"/>
          <w:sz w:val="24"/>
          <w:szCs w:val="24"/>
        </w:rPr>
        <w:t>, 14(11):3125, 2025.</w:t>
      </w:r>
    </w:p>
    <w:p w14:paraId="2631B4CE" w14:textId="77777777" w:rsidR="00044C44" w:rsidRDefault="00DE1DF2">
      <w:pPr>
        <w:numPr>
          <w:ilvl w:val="0"/>
          <w:numId w:val="1"/>
        </w:numPr>
        <w:pBdr>
          <w:top w:val="nil"/>
          <w:left w:val="nil"/>
          <w:bottom w:val="nil"/>
          <w:right w:val="nil"/>
          <w:between w:val="nil"/>
        </w:pBdr>
        <w:tabs>
          <w:tab w:val="left" w:pos="483"/>
        </w:tabs>
        <w:spacing w:before="206" w:line="249" w:lineRule="auto"/>
        <w:ind w:right="356" w:hanging="484"/>
        <w:jc w:val="both"/>
        <w:rPr>
          <w:color w:val="000000"/>
          <w:sz w:val="24"/>
          <w:szCs w:val="24"/>
        </w:rPr>
      </w:pPr>
      <w:proofErr w:type="spellStart"/>
      <w:r>
        <w:rPr>
          <w:color w:val="000000"/>
          <w:sz w:val="24"/>
          <w:szCs w:val="24"/>
        </w:rPr>
        <w:t>Vahabi</w:t>
      </w:r>
      <w:proofErr w:type="spellEnd"/>
      <w:r>
        <w:rPr>
          <w:color w:val="000000"/>
          <w:sz w:val="24"/>
          <w:szCs w:val="24"/>
        </w:rPr>
        <w:t xml:space="preserve"> S, et al. </w:t>
      </w:r>
      <w:proofErr w:type="spellStart"/>
      <w:r>
        <w:rPr>
          <w:color w:val="000000"/>
          <w:sz w:val="24"/>
          <w:szCs w:val="24"/>
        </w:rPr>
        <w:t>Mastalgia</w:t>
      </w:r>
      <w:proofErr w:type="spellEnd"/>
      <w:r>
        <w:rPr>
          <w:color w:val="000000"/>
          <w:sz w:val="24"/>
          <w:szCs w:val="24"/>
        </w:rPr>
        <w:t xml:space="preserve"> in Fibrocystic Changes; From the Diagnosis Bench to </w:t>
      </w:r>
      <w:proofErr w:type="spellStart"/>
      <w:r>
        <w:rPr>
          <w:color w:val="000000"/>
          <w:sz w:val="24"/>
          <w:szCs w:val="24"/>
        </w:rPr>
        <w:t>Ther</w:t>
      </w:r>
      <w:proofErr w:type="spellEnd"/>
      <w:r>
        <w:rPr>
          <w:color w:val="000000"/>
          <w:sz w:val="24"/>
          <w:szCs w:val="24"/>
        </w:rPr>
        <w:t xml:space="preserve">- </w:t>
      </w:r>
      <w:proofErr w:type="spellStart"/>
      <w:r>
        <w:rPr>
          <w:color w:val="000000"/>
          <w:sz w:val="24"/>
          <w:szCs w:val="24"/>
        </w:rPr>
        <w:t>apeutic</w:t>
      </w:r>
      <w:proofErr w:type="spellEnd"/>
      <w:r>
        <w:rPr>
          <w:color w:val="000000"/>
          <w:sz w:val="24"/>
          <w:szCs w:val="24"/>
        </w:rPr>
        <w:t xml:space="preserve"> Options. </w:t>
      </w:r>
      <w:r>
        <w:rPr>
          <w:rFonts w:ascii="Times New Roman" w:eastAsia="Times New Roman" w:hAnsi="Times New Roman" w:cs="Times New Roman"/>
          <w:i/>
          <w:color w:val="000000"/>
          <w:sz w:val="24"/>
          <w:szCs w:val="24"/>
        </w:rPr>
        <w:t>Open Med Chem J</w:t>
      </w:r>
      <w:r>
        <w:rPr>
          <w:color w:val="000000"/>
          <w:sz w:val="24"/>
          <w:szCs w:val="24"/>
        </w:rPr>
        <w:t xml:space="preserve">, </w:t>
      </w:r>
      <w:proofErr w:type="gramStart"/>
      <w:r>
        <w:rPr>
          <w:color w:val="000000"/>
          <w:sz w:val="24"/>
          <w:szCs w:val="24"/>
        </w:rPr>
        <w:t>19:e</w:t>
      </w:r>
      <w:proofErr w:type="gramEnd"/>
      <w:r>
        <w:rPr>
          <w:color w:val="000000"/>
          <w:sz w:val="24"/>
          <w:szCs w:val="24"/>
        </w:rPr>
        <w:t>18741045371715, 2025.</w:t>
      </w:r>
    </w:p>
    <w:p w14:paraId="5BF1F915" w14:textId="77777777" w:rsidR="00044C44" w:rsidRDefault="00DE1DF2">
      <w:pPr>
        <w:numPr>
          <w:ilvl w:val="0"/>
          <w:numId w:val="1"/>
        </w:numPr>
        <w:pBdr>
          <w:top w:val="nil"/>
          <w:left w:val="nil"/>
          <w:bottom w:val="nil"/>
          <w:right w:val="nil"/>
          <w:between w:val="nil"/>
        </w:pBdr>
        <w:tabs>
          <w:tab w:val="left" w:pos="483"/>
        </w:tabs>
        <w:spacing w:before="205" w:line="249" w:lineRule="auto"/>
        <w:ind w:right="357" w:hanging="484"/>
        <w:jc w:val="both"/>
        <w:rPr>
          <w:color w:val="000000"/>
          <w:sz w:val="24"/>
          <w:szCs w:val="24"/>
        </w:rPr>
      </w:pPr>
      <w:proofErr w:type="spellStart"/>
      <w:r>
        <w:rPr>
          <w:color w:val="000000"/>
          <w:sz w:val="24"/>
          <w:szCs w:val="24"/>
        </w:rPr>
        <w:t>Parvaneh</w:t>
      </w:r>
      <w:proofErr w:type="spellEnd"/>
      <w:r>
        <w:rPr>
          <w:color w:val="000000"/>
          <w:sz w:val="24"/>
          <w:szCs w:val="24"/>
        </w:rPr>
        <w:t xml:space="preserve"> S, et al. Metformin in the Management of Fibrocystic Breast Disease: A Double-Blind Randomized Clinical Trial. </w:t>
      </w:r>
      <w:r>
        <w:rPr>
          <w:rFonts w:ascii="Times New Roman" w:eastAsia="Times New Roman" w:hAnsi="Times New Roman" w:cs="Times New Roman"/>
          <w:i/>
          <w:color w:val="000000"/>
          <w:sz w:val="24"/>
          <w:szCs w:val="24"/>
        </w:rPr>
        <w:t xml:space="preserve">Int J </w:t>
      </w:r>
      <w:proofErr w:type="spellStart"/>
      <w:r>
        <w:rPr>
          <w:rFonts w:ascii="Times New Roman" w:eastAsia="Times New Roman" w:hAnsi="Times New Roman" w:cs="Times New Roman"/>
          <w:i/>
          <w:color w:val="000000"/>
          <w:sz w:val="24"/>
          <w:szCs w:val="24"/>
        </w:rPr>
        <w:t>Fertil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Steril</w:t>
      </w:r>
      <w:proofErr w:type="spellEnd"/>
      <w:r>
        <w:rPr>
          <w:color w:val="000000"/>
          <w:sz w:val="24"/>
          <w:szCs w:val="24"/>
        </w:rPr>
        <w:t>, 15(4):270–276, 2021.</w:t>
      </w:r>
    </w:p>
    <w:p w14:paraId="6CED87F2" w14:textId="77777777" w:rsidR="00044C44" w:rsidRDefault="00DE1DF2">
      <w:pPr>
        <w:numPr>
          <w:ilvl w:val="0"/>
          <w:numId w:val="1"/>
        </w:numPr>
        <w:pBdr>
          <w:top w:val="nil"/>
          <w:left w:val="nil"/>
          <w:bottom w:val="nil"/>
          <w:right w:val="nil"/>
          <w:between w:val="nil"/>
        </w:pBdr>
        <w:tabs>
          <w:tab w:val="left" w:pos="483"/>
        </w:tabs>
        <w:spacing w:before="202" w:line="254" w:lineRule="auto"/>
        <w:ind w:right="356" w:hanging="484"/>
        <w:jc w:val="both"/>
        <w:rPr>
          <w:color w:val="000000"/>
          <w:sz w:val="24"/>
          <w:szCs w:val="24"/>
        </w:rPr>
      </w:pPr>
      <w:r>
        <w:rPr>
          <w:color w:val="000000"/>
          <w:sz w:val="24"/>
          <w:szCs w:val="24"/>
        </w:rPr>
        <w:t xml:space="preserve">Neal L, et al. Management of Cystic Conditions. </w:t>
      </w:r>
      <w:r>
        <w:rPr>
          <w:rFonts w:ascii="Times New Roman" w:eastAsia="Times New Roman" w:hAnsi="Times New Roman" w:cs="Times New Roman"/>
          <w:i/>
          <w:color w:val="000000"/>
          <w:sz w:val="24"/>
          <w:szCs w:val="24"/>
        </w:rPr>
        <w:t>Mayo Clin Proc</w:t>
      </w:r>
      <w:r>
        <w:rPr>
          <w:color w:val="000000"/>
          <w:sz w:val="24"/>
          <w:szCs w:val="24"/>
        </w:rPr>
        <w:t>, 97(11):2170–2180, 2022.</w:t>
      </w:r>
    </w:p>
    <w:p w14:paraId="6F854FA3" w14:textId="77777777" w:rsidR="00044C44" w:rsidRDefault="00DE1DF2">
      <w:pPr>
        <w:numPr>
          <w:ilvl w:val="0"/>
          <w:numId w:val="1"/>
        </w:numPr>
        <w:pBdr>
          <w:top w:val="nil"/>
          <w:left w:val="nil"/>
          <w:bottom w:val="nil"/>
          <w:right w:val="nil"/>
          <w:between w:val="nil"/>
        </w:pBdr>
        <w:tabs>
          <w:tab w:val="left" w:pos="483"/>
        </w:tabs>
        <w:spacing w:before="195" w:line="249" w:lineRule="auto"/>
        <w:ind w:right="358" w:hanging="484"/>
        <w:jc w:val="both"/>
        <w:rPr>
          <w:color w:val="000000"/>
          <w:sz w:val="24"/>
          <w:szCs w:val="24"/>
        </w:rPr>
        <w:sectPr w:rsidR="00044C44">
          <w:pgSz w:w="12240" w:h="15840"/>
          <w:pgMar w:top="1200" w:right="1080" w:bottom="1100" w:left="1440" w:header="0" w:footer="912" w:gutter="0"/>
          <w:cols w:space="720"/>
        </w:sectPr>
      </w:pPr>
      <w:r>
        <w:rPr>
          <w:color w:val="000000"/>
          <w:sz w:val="24"/>
          <w:szCs w:val="24"/>
        </w:rPr>
        <w:t xml:space="preserve">Hartmann LC, et al. Benign Breast Disease and the Risk of Breast Cancer. </w:t>
      </w:r>
      <w:r>
        <w:rPr>
          <w:rFonts w:ascii="Times New Roman" w:eastAsia="Times New Roman" w:hAnsi="Times New Roman" w:cs="Times New Roman"/>
          <w:i/>
          <w:color w:val="000000"/>
          <w:sz w:val="24"/>
          <w:szCs w:val="24"/>
        </w:rPr>
        <w:t xml:space="preserve">N </w:t>
      </w:r>
      <w:proofErr w:type="spellStart"/>
      <w:r>
        <w:rPr>
          <w:rFonts w:ascii="Times New Roman" w:eastAsia="Times New Roman" w:hAnsi="Times New Roman" w:cs="Times New Roman"/>
          <w:i/>
          <w:color w:val="000000"/>
          <w:sz w:val="24"/>
          <w:szCs w:val="24"/>
        </w:rPr>
        <w:t>Engl</w:t>
      </w:r>
      <w:proofErr w:type="spellEnd"/>
      <w:r>
        <w:rPr>
          <w:rFonts w:ascii="Times New Roman" w:eastAsia="Times New Roman" w:hAnsi="Times New Roman" w:cs="Times New Roman"/>
          <w:i/>
          <w:color w:val="000000"/>
          <w:sz w:val="24"/>
          <w:szCs w:val="24"/>
        </w:rPr>
        <w:t xml:space="preserve"> J Med</w:t>
      </w:r>
      <w:r>
        <w:rPr>
          <w:color w:val="000000"/>
          <w:sz w:val="24"/>
          <w:szCs w:val="24"/>
        </w:rPr>
        <w:t>, 353(3):229–237, 2005.</w:t>
      </w:r>
    </w:p>
    <w:p w14:paraId="684D22AA" w14:textId="77777777" w:rsidR="00044C44" w:rsidRDefault="00DE1DF2">
      <w:pPr>
        <w:numPr>
          <w:ilvl w:val="0"/>
          <w:numId w:val="1"/>
        </w:numPr>
        <w:pBdr>
          <w:top w:val="nil"/>
          <w:left w:val="nil"/>
          <w:bottom w:val="nil"/>
          <w:right w:val="nil"/>
          <w:between w:val="nil"/>
        </w:pBdr>
        <w:tabs>
          <w:tab w:val="left" w:pos="483"/>
        </w:tabs>
        <w:spacing w:before="139" w:line="249" w:lineRule="auto"/>
        <w:ind w:right="357" w:hanging="484"/>
        <w:rPr>
          <w:color w:val="000000"/>
          <w:sz w:val="24"/>
          <w:szCs w:val="24"/>
        </w:rPr>
      </w:pPr>
      <w:proofErr w:type="spellStart"/>
      <w:r>
        <w:rPr>
          <w:color w:val="000000"/>
          <w:sz w:val="24"/>
          <w:szCs w:val="24"/>
        </w:rPr>
        <w:lastRenderedPageBreak/>
        <w:t>Vakharia</w:t>
      </w:r>
      <w:proofErr w:type="spellEnd"/>
      <w:r>
        <w:rPr>
          <w:color w:val="000000"/>
          <w:sz w:val="24"/>
          <w:szCs w:val="24"/>
        </w:rPr>
        <w:t xml:space="preserve"> K, et al. Fibrocystic Breast Disease: Pathophysiology, </w:t>
      </w:r>
      <w:proofErr w:type="spellStart"/>
      <w:r>
        <w:rPr>
          <w:color w:val="000000"/>
          <w:sz w:val="24"/>
          <w:szCs w:val="24"/>
        </w:rPr>
        <w:t>Pathomorphology</w:t>
      </w:r>
      <w:proofErr w:type="spellEnd"/>
      <w:r>
        <w:rPr>
          <w:color w:val="000000"/>
          <w:sz w:val="24"/>
          <w:szCs w:val="24"/>
        </w:rPr>
        <w:t xml:space="preserve">, Clin- </w:t>
      </w:r>
      <w:proofErr w:type="spellStart"/>
      <w:r>
        <w:rPr>
          <w:color w:val="000000"/>
          <w:sz w:val="24"/>
          <w:szCs w:val="24"/>
        </w:rPr>
        <w:t>ical</w:t>
      </w:r>
      <w:proofErr w:type="spellEnd"/>
      <w:r>
        <w:rPr>
          <w:color w:val="000000"/>
          <w:sz w:val="24"/>
          <w:szCs w:val="24"/>
        </w:rPr>
        <w:t xml:space="preserve"> Picture and Treatment. </w:t>
      </w:r>
      <w:r>
        <w:rPr>
          <w:rFonts w:ascii="Times New Roman" w:eastAsia="Times New Roman" w:hAnsi="Times New Roman" w:cs="Times New Roman"/>
          <w:i/>
          <w:color w:val="000000"/>
          <w:sz w:val="24"/>
          <w:szCs w:val="24"/>
        </w:rPr>
        <w:t xml:space="preserve">Ann </w:t>
      </w:r>
      <w:proofErr w:type="spellStart"/>
      <w:r>
        <w:rPr>
          <w:rFonts w:ascii="Times New Roman" w:eastAsia="Times New Roman" w:hAnsi="Times New Roman" w:cs="Times New Roman"/>
          <w:i/>
          <w:color w:val="000000"/>
          <w:sz w:val="24"/>
          <w:szCs w:val="24"/>
        </w:rPr>
        <w:t>Chir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Gynaecol</w:t>
      </w:r>
      <w:proofErr w:type="spellEnd"/>
      <w:r>
        <w:rPr>
          <w:color w:val="000000"/>
          <w:sz w:val="24"/>
          <w:szCs w:val="24"/>
        </w:rPr>
        <w:t>, 75(6):289–293, 1986.</w:t>
      </w:r>
    </w:p>
    <w:p w14:paraId="7237B6BC" w14:textId="512AE92F" w:rsidR="00044C44" w:rsidRDefault="00DE1DF2">
      <w:pPr>
        <w:numPr>
          <w:ilvl w:val="0"/>
          <w:numId w:val="1"/>
        </w:numPr>
        <w:pBdr>
          <w:top w:val="nil"/>
          <w:left w:val="nil"/>
          <w:bottom w:val="nil"/>
          <w:right w:val="nil"/>
          <w:between w:val="nil"/>
        </w:pBdr>
        <w:tabs>
          <w:tab w:val="left" w:pos="483"/>
        </w:tabs>
        <w:spacing w:before="201" w:line="254" w:lineRule="auto"/>
        <w:ind w:right="358" w:hanging="484"/>
        <w:rPr>
          <w:color w:val="000000"/>
          <w:sz w:val="24"/>
          <w:szCs w:val="24"/>
        </w:rPr>
      </w:pPr>
      <w:r>
        <w:rPr>
          <w:color w:val="000000"/>
          <w:sz w:val="24"/>
          <w:szCs w:val="24"/>
        </w:rPr>
        <w:t xml:space="preserve">Kennedy M, et al. Surgical Office-Based Ultrasound of the Breast. </w:t>
      </w:r>
      <w:r>
        <w:rPr>
          <w:rFonts w:ascii="Times New Roman" w:eastAsia="Times New Roman" w:hAnsi="Times New Roman" w:cs="Times New Roman"/>
          <w:i/>
          <w:color w:val="000000"/>
          <w:sz w:val="24"/>
          <w:szCs w:val="24"/>
        </w:rPr>
        <w:t>Am Surg</w:t>
      </w:r>
      <w:r>
        <w:rPr>
          <w:color w:val="000000"/>
          <w:sz w:val="24"/>
          <w:szCs w:val="24"/>
        </w:rPr>
        <w:t>, 61(3):205– 210, 1995.</w:t>
      </w:r>
    </w:p>
    <w:p w14:paraId="76409C6B" w14:textId="36E9E445" w:rsidR="008828AE" w:rsidRDefault="008828AE">
      <w:pPr>
        <w:numPr>
          <w:ilvl w:val="0"/>
          <w:numId w:val="1"/>
        </w:numPr>
        <w:pBdr>
          <w:top w:val="nil"/>
          <w:left w:val="nil"/>
          <w:bottom w:val="nil"/>
          <w:right w:val="nil"/>
          <w:between w:val="nil"/>
        </w:pBdr>
        <w:tabs>
          <w:tab w:val="left" w:pos="483"/>
        </w:tabs>
        <w:spacing w:before="201" w:line="254" w:lineRule="auto"/>
        <w:ind w:right="358" w:hanging="484"/>
        <w:rPr>
          <w:color w:val="000000"/>
          <w:sz w:val="24"/>
          <w:szCs w:val="24"/>
          <w:highlight w:val="yellow"/>
        </w:rPr>
      </w:pPr>
      <w:proofErr w:type="spellStart"/>
      <w:r w:rsidRPr="00A31006">
        <w:rPr>
          <w:color w:val="000000"/>
          <w:sz w:val="24"/>
          <w:szCs w:val="24"/>
          <w:highlight w:val="yellow"/>
        </w:rPr>
        <w:t>Adhaiem</w:t>
      </w:r>
      <w:proofErr w:type="spellEnd"/>
      <w:r w:rsidRPr="00A31006">
        <w:rPr>
          <w:color w:val="000000"/>
          <w:sz w:val="24"/>
          <w:szCs w:val="24"/>
          <w:highlight w:val="yellow"/>
        </w:rPr>
        <w:t xml:space="preserve">, H. E. I., Fahmy, K. S. E. S., El Sayed, M. I. A., &amp; </w:t>
      </w:r>
      <w:proofErr w:type="spellStart"/>
      <w:r w:rsidRPr="00A31006">
        <w:rPr>
          <w:color w:val="000000"/>
          <w:sz w:val="24"/>
          <w:szCs w:val="24"/>
          <w:highlight w:val="yellow"/>
        </w:rPr>
        <w:t>Alkilany</w:t>
      </w:r>
      <w:proofErr w:type="spellEnd"/>
      <w:r w:rsidRPr="00A31006">
        <w:rPr>
          <w:color w:val="000000"/>
          <w:sz w:val="24"/>
          <w:szCs w:val="24"/>
          <w:highlight w:val="yellow"/>
        </w:rPr>
        <w:t xml:space="preserve">, M. M. (2024). Comparison of different agents for reducing </w:t>
      </w:r>
      <w:proofErr w:type="spellStart"/>
      <w:r w:rsidRPr="00A31006">
        <w:rPr>
          <w:color w:val="000000"/>
          <w:sz w:val="24"/>
          <w:szCs w:val="24"/>
          <w:highlight w:val="yellow"/>
        </w:rPr>
        <w:t>Mastalgia</w:t>
      </w:r>
      <w:proofErr w:type="spellEnd"/>
      <w:r w:rsidRPr="00A31006">
        <w:rPr>
          <w:color w:val="000000"/>
          <w:sz w:val="24"/>
          <w:szCs w:val="24"/>
          <w:highlight w:val="yellow"/>
        </w:rPr>
        <w:t xml:space="preserve"> in Fibrocystic Disease of women. </w:t>
      </w:r>
      <w:proofErr w:type="spellStart"/>
      <w:r w:rsidRPr="00A31006">
        <w:rPr>
          <w:color w:val="000000"/>
          <w:sz w:val="24"/>
          <w:szCs w:val="24"/>
          <w:highlight w:val="yellow"/>
        </w:rPr>
        <w:t>Zagazig</w:t>
      </w:r>
      <w:proofErr w:type="spellEnd"/>
      <w:r w:rsidRPr="00A31006">
        <w:rPr>
          <w:color w:val="000000"/>
          <w:sz w:val="24"/>
          <w:szCs w:val="24"/>
          <w:highlight w:val="yellow"/>
        </w:rPr>
        <w:t xml:space="preserve"> University Medical Journal, 30(4), 1065-1071.</w:t>
      </w:r>
    </w:p>
    <w:p w14:paraId="45E70907" w14:textId="236BFEA9" w:rsidR="005C748E" w:rsidRDefault="005C748E">
      <w:pPr>
        <w:numPr>
          <w:ilvl w:val="0"/>
          <w:numId w:val="1"/>
        </w:numPr>
        <w:pBdr>
          <w:top w:val="nil"/>
          <w:left w:val="nil"/>
          <w:bottom w:val="nil"/>
          <w:right w:val="nil"/>
          <w:between w:val="nil"/>
        </w:pBdr>
        <w:tabs>
          <w:tab w:val="left" w:pos="483"/>
        </w:tabs>
        <w:spacing w:before="201" w:line="254" w:lineRule="auto"/>
        <w:ind w:right="358" w:hanging="484"/>
        <w:rPr>
          <w:color w:val="000000"/>
          <w:sz w:val="24"/>
          <w:szCs w:val="24"/>
          <w:highlight w:val="yellow"/>
        </w:rPr>
      </w:pPr>
      <w:proofErr w:type="spellStart"/>
      <w:r w:rsidRPr="00A31006">
        <w:rPr>
          <w:color w:val="000000"/>
          <w:sz w:val="24"/>
          <w:szCs w:val="24"/>
          <w:highlight w:val="yellow"/>
        </w:rPr>
        <w:t>Doğan</w:t>
      </w:r>
      <w:proofErr w:type="spellEnd"/>
      <w:r w:rsidRPr="00A31006">
        <w:rPr>
          <w:color w:val="000000"/>
          <w:sz w:val="24"/>
          <w:szCs w:val="24"/>
          <w:highlight w:val="yellow"/>
        </w:rPr>
        <w:t xml:space="preserve">, Y., Dede, A. M., </w:t>
      </w:r>
      <w:proofErr w:type="spellStart"/>
      <w:r w:rsidRPr="00A31006">
        <w:rPr>
          <w:color w:val="000000"/>
          <w:sz w:val="24"/>
          <w:szCs w:val="24"/>
          <w:highlight w:val="yellow"/>
        </w:rPr>
        <w:t>Çapar</w:t>
      </w:r>
      <w:proofErr w:type="spellEnd"/>
      <w:r w:rsidRPr="00A31006">
        <w:rPr>
          <w:color w:val="000000"/>
          <w:sz w:val="24"/>
          <w:szCs w:val="24"/>
          <w:highlight w:val="yellow"/>
        </w:rPr>
        <w:t xml:space="preserve">, M., </w:t>
      </w:r>
      <w:proofErr w:type="spellStart"/>
      <w:r w:rsidRPr="00A31006">
        <w:rPr>
          <w:color w:val="000000"/>
          <w:sz w:val="24"/>
          <w:szCs w:val="24"/>
          <w:highlight w:val="yellow"/>
        </w:rPr>
        <w:t>Coşkun</w:t>
      </w:r>
      <w:proofErr w:type="spellEnd"/>
      <w:r w:rsidRPr="00A31006">
        <w:rPr>
          <w:color w:val="000000"/>
          <w:sz w:val="24"/>
          <w:szCs w:val="24"/>
          <w:highlight w:val="yellow"/>
        </w:rPr>
        <w:t xml:space="preserve">, S. S., &amp; Dede, E. C. (2025). Assessing and managing benign breast lesions leading to </w:t>
      </w:r>
      <w:proofErr w:type="spellStart"/>
      <w:r w:rsidRPr="00A31006">
        <w:rPr>
          <w:color w:val="000000"/>
          <w:sz w:val="24"/>
          <w:szCs w:val="24"/>
          <w:highlight w:val="yellow"/>
        </w:rPr>
        <w:t>mastalgia</w:t>
      </w:r>
      <w:proofErr w:type="spellEnd"/>
      <w:r w:rsidRPr="00A31006">
        <w:rPr>
          <w:color w:val="000000"/>
          <w:sz w:val="24"/>
          <w:szCs w:val="24"/>
          <w:highlight w:val="yellow"/>
        </w:rPr>
        <w:t>: A review of 840 patients. Turkish Journal of Surgery, 41(2), 160.</w:t>
      </w:r>
    </w:p>
    <w:p w14:paraId="39B60975" w14:textId="221841E2" w:rsidR="003E1265" w:rsidRPr="00A31006" w:rsidRDefault="003E1265" w:rsidP="003E1265">
      <w:pPr>
        <w:pStyle w:val="ListParagraph"/>
        <w:widowControl/>
        <w:numPr>
          <w:ilvl w:val="0"/>
          <w:numId w:val="1"/>
        </w:numPr>
        <w:shd w:val="clear" w:color="auto" w:fill="FFFFFF"/>
        <w:rPr>
          <w:rFonts w:ascii="Arial" w:eastAsia="Times New Roman" w:hAnsi="Arial" w:cs="Arial"/>
          <w:color w:val="333333"/>
          <w:sz w:val="27"/>
          <w:szCs w:val="27"/>
          <w:highlight w:val="yellow"/>
          <w:lang w:val="en-US"/>
        </w:rPr>
      </w:pPr>
      <w:proofErr w:type="spellStart"/>
      <w:r w:rsidRPr="00A31006">
        <w:rPr>
          <w:rFonts w:ascii="Arial" w:eastAsia="Times New Roman" w:hAnsi="Arial" w:cs="Arial"/>
          <w:color w:val="333333"/>
          <w:sz w:val="27"/>
          <w:szCs w:val="27"/>
          <w:highlight w:val="yellow"/>
          <w:lang w:val="en-US"/>
        </w:rPr>
        <w:t>Setareh</w:t>
      </w:r>
      <w:proofErr w:type="spellEnd"/>
      <w:r w:rsidRPr="00A31006">
        <w:rPr>
          <w:rFonts w:ascii="Arial" w:eastAsia="Times New Roman" w:hAnsi="Arial" w:cs="Arial"/>
          <w:color w:val="333333"/>
          <w:sz w:val="27"/>
          <w:szCs w:val="27"/>
          <w:highlight w:val="yellow"/>
          <w:lang w:val="en-US"/>
        </w:rPr>
        <w:t xml:space="preserve"> </w:t>
      </w:r>
      <w:proofErr w:type="spellStart"/>
      <w:r w:rsidRPr="00A31006">
        <w:rPr>
          <w:rFonts w:ascii="Arial" w:eastAsia="Times New Roman" w:hAnsi="Arial" w:cs="Arial"/>
          <w:color w:val="333333"/>
          <w:sz w:val="27"/>
          <w:szCs w:val="27"/>
          <w:highlight w:val="yellow"/>
          <w:lang w:val="en-US"/>
        </w:rPr>
        <w:t>Soltany</w:t>
      </w:r>
      <w:proofErr w:type="spellEnd"/>
      <w:r w:rsidRPr="00A31006">
        <w:rPr>
          <w:rFonts w:ascii="Arial" w:eastAsia="Times New Roman" w:hAnsi="Arial" w:cs="Arial"/>
          <w:color w:val="333333"/>
          <w:sz w:val="27"/>
          <w:szCs w:val="27"/>
          <w:highlight w:val="yellow"/>
          <w:lang w:val="en-US"/>
        </w:rPr>
        <w:t xml:space="preserve">, Hamid Reza </w:t>
      </w:r>
      <w:proofErr w:type="spellStart"/>
      <w:r w:rsidRPr="00A31006">
        <w:rPr>
          <w:rFonts w:ascii="Arial" w:eastAsia="Times New Roman" w:hAnsi="Arial" w:cs="Arial"/>
          <w:color w:val="333333"/>
          <w:sz w:val="27"/>
          <w:szCs w:val="27"/>
          <w:highlight w:val="yellow"/>
          <w:lang w:val="en-US"/>
        </w:rPr>
        <w:t>Hemmati</w:t>
      </w:r>
      <w:proofErr w:type="spellEnd"/>
      <w:r w:rsidRPr="00A31006">
        <w:rPr>
          <w:rFonts w:ascii="Arial" w:eastAsia="Times New Roman" w:hAnsi="Arial" w:cs="Arial"/>
          <w:color w:val="333333"/>
          <w:sz w:val="27"/>
          <w:szCs w:val="27"/>
          <w:highlight w:val="yellow"/>
          <w:lang w:val="en-US"/>
        </w:rPr>
        <w:t xml:space="preserve">, </w:t>
      </w:r>
      <w:proofErr w:type="spellStart"/>
      <w:r w:rsidRPr="00A31006">
        <w:rPr>
          <w:rFonts w:ascii="Arial" w:eastAsia="Times New Roman" w:hAnsi="Arial" w:cs="Arial"/>
          <w:color w:val="333333"/>
          <w:sz w:val="27"/>
          <w:szCs w:val="27"/>
          <w:highlight w:val="yellow"/>
          <w:lang w:val="en-US"/>
        </w:rPr>
        <w:t>Jafar</w:t>
      </w:r>
      <w:proofErr w:type="spellEnd"/>
      <w:r w:rsidRPr="00A31006">
        <w:rPr>
          <w:rFonts w:ascii="Arial" w:eastAsia="Times New Roman" w:hAnsi="Arial" w:cs="Arial"/>
          <w:color w:val="333333"/>
          <w:sz w:val="27"/>
          <w:szCs w:val="27"/>
          <w:highlight w:val="yellow"/>
          <w:lang w:val="en-US"/>
        </w:rPr>
        <w:t xml:space="preserve"> </w:t>
      </w:r>
      <w:proofErr w:type="spellStart"/>
      <w:r w:rsidRPr="00A31006">
        <w:rPr>
          <w:rFonts w:ascii="Arial" w:eastAsia="Times New Roman" w:hAnsi="Arial" w:cs="Arial"/>
          <w:color w:val="333333"/>
          <w:sz w:val="27"/>
          <w:szCs w:val="27"/>
          <w:highlight w:val="yellow"/>
          <w:lang w:val="en-US"/>
        </w:rPr>
        <w:t>Alavy</w:t>
      </w:r>
      <w:proofErr w:type="spellEnd"/>
      <w:r w:rsidRPr="00A31006">
        <w:rPr>
          <w:rFonts w:ascii="Arial" w:eastAsia="Times New Roman" w:hAnsi="Arial" w:cs="Arial"/>
          <w:color w:val="333333"/>
          <w:sz w:val="27"/>
          <w:szCs w:val="27"/>
          <w:highlight w:val="yellow"/>
          <w:lang w:val="en-US"/>
        </w:rPr>
        <w:t xml:space="preserve"> </w:t>
      </w:r>
      <w:proofErr w:type="spellStart"/>
      <w:r w:rsidRPr="00A31006">
        <w:rPr>
          <w:rFonts w:ascii="Arial" w:eastAsia="Times New Roman" w:hAnsi="Arial" w:cs="Arial"/>
          <w:color w:val="333333"/>
          <w:sz w:val="27"/>
          <w:szCs w:val="27"/>
          <w:highlight w:val="yellow"/>
          <w:lang w:val="en-US"/>
        </w:rPr>
        <w:t>Toussy</w:t>
      </w:r>
      <w:proofErr w:type="spellEnd"/>
      <w:r w:rsidRPr="00A31006">
        <w:rPr>
          <w:rFonts w:ascii="Arial" w:eastAsia="Times New Roman" w:hAnsi="Arial" w:cs="Arial"/>
          <w:color w:val="333333"/>
          <w:sz w:val="27"/>
          <w:szCs w:val="27"/>
          <w:highlight w:val="yellow"/>
          <w:lang w:val="en-US"/>
        </w:rPr>
        <w:t xml:space="preserve"> and Parisa </w:t>
      </w:r>
      <w:proofErr w:type="spellStart"/>
      <w:r w:rsidRPr="00A31006">
        <w:rPr>
          <w:rFonts w:ascii="Arial" w:eastAsia="Times New Roman" w:hAnsi="Arial" w:cs="Arial"/>
          <w:color w:val="333333"/>
          <w:sz w:val="27"/>
          <w:szCs w:val="27"/>
          <w:highlight w:val="yellow"/>
          <w:lang w:val="en-US"/>
        </w:rPr>
        <w:t>Alavi</w:t>
      </w:r>
      <w:proofErr w:type="spellEnd"/>
      <w:r w:rsidRPr="00A31006">
        <w:rPr>
          <w:rFonts w:ascii="Arial" w:eastAsia="Times New Roman" w:hAnsi="Arial" w:cs="Arial"/>
          <w:color w:val="333333"/>
          <w:sz w:val="27"/>
          <w:szCs w:val="27"/>
          <w:highlight w:val="yellow"/>
          <w:lang w:val="en-US"/>
        </w:rPr>
        <w:t xml:space="preserve"> </w:t>
      </w:r>
      <w:proofErr w:type="spellStart"/>
      <w:r w:rsidRPr="00A31006">
        <w:rPr>
          <w:rFonts w:ascii="Arial" w:eastAsia="Times New Roman" w:hAnsi="Arial" w:cs="Arial"/>
          <w:color w:val="333333"/>
          <w:sz w:val="27"/>
          <w:szCs w:val="27"/>
          <w:highlight w:val="yellow"/>
          <w:lang w:val="en-US"/>
        </w:rPr>
        <w:t>Toosi</w:t>
      </w:r>
      <w:proofErr w:type="spellEnd"/>
      <w:r w:rsidRPr="00A31006">
        <w:rPr>
          <w:rFonts w:ascii="Arial" w:eastAsia="Times New Roman" w:hAnsi="Arial" w:cs="Arial"/>
          <w:color w:val="333333"/>
          <w:sz w:val="27"/>
          <w:szCs w:val="27"/>
          <w:highlight w:val="yellow"/>
          <w:lang w:val="en-US"/>
        </w:rPr>
        <w:t xml:space="preserve"> (2019) “The Effect of Vitamin B6 on Reducing the Number and the Size of Breast Cysts and the Amount of Recurrence after Aspiration in Women”, </w:t>
      </w:r>
      <w:r w:rsidRPr="00A31006">
        <w:rPr>
          <w:rFonts w:ascii="Arial" w:eastAsia="Times New Roman" w:hAnsi="Arial" w:cs="Arial"/>
          <w:i/>
          <w:iCs/>
          <w:color w:val="333333"/>
          <w:sz w:val="27"/>
          <w:szCs w:val="27"/>
          <w:highlight w:val="yellow"/>
          <w:lang w:val="en-US"/>
        </w:rPr>
        <w:t>Journal of Pharmaceutical Research International</w:t>
      </w:r>
      <w:r w:rsidRPr="00A31006">
        <w:rPr>
          <w:rFonts w:ascii="Arial" w:eastAsia="Times New Roman" w:hAnsi="Arial" w:cs="Arial"/>
          <w:color w:val="333333"/>
          <w:sz w:val="27"/>
          <w:szCs w:val="27"/>
          <w:highlight w:val="yellow"/>
          <w:lang w:val="en-US"/>
        </w:rPr>
        <w:t xml:space="preserve">, 31(6), pp. 1–7. </w:t>
      </w:r>
    </w:p>
    <w:p w14:paraId="011552A5" w14:textId="77777777" w:rsidR="003E1265" w:rsidRPr="00A31006" w:rsidRDefault="003E1265" w:rsidP="00A31006">
      <w:pPr>
        <w:pBdr>
          <w:top w:val="nil"/>
          <w:left w:val="nil"/>
          <w:bottom w:val="nil"/>
          <w:right w:val="nil"/>
          <w:between w:val="nil"/>
        </w:pBdr>
        <w:tabs>
          <w:tab w:val="left" w:pos="483"/>
        </w:tabs>
        <w:spacing w:before="201" w:line="254" w:lineRule="auto"/>
        <w:ind w:left="483" w:right="358"/>
        <w:rPr>
          <w:color w:val="000000"/>
          <w:sz w:val="24"/>
          <w:szCs w:val="24"/>
          <w:highlight w:val="yellow"/>
        </w:rPr>
      </w:pPr>
    </w:p>
    <w:sectPr w:rsidR="003E1265" w:rsidRPr="00A31006">
      <w:pgSz w:w="12240" w:h="15840"/>
      <w:pgMar w:top="1320" w:right="1080" w:bottom="1100" w:left="1440"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3A02" w14:textId="77777777" w:rsidR="00076A1E" w:rsidRDefault="00076A1E">
      <w:r>
        <w:separator/>
      </w:r>
    </w:p>
  </w:endnote>
  <w:endnote w:type="continuationSeparator" w:id="0">
    <w:p w14:paraId="1178576B" w14:textId="77777777" w:rsidR="00076A1E" w:rsidRDefault="000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064E" w14:textId="77777777" w:rsidR="00184EFC" w:rsidRDefault="0018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E5D8" w14:textId="77777777" w:rsidR="00044C44" w:rsidRDefault="00DE1DF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1815915B" wp14:editId="0E75FD2B">
              <wp:simplePos x="0" y="0"/>
              <wp:positionH relativeFrom="column">
                <wp:posOffset>2891764</wp:posOffset>
              </wp:positionH>
              <wp:positionV relativeFrom="paragraph">
                <wp:posOffset>9335002</wp:posOffset>
              </wp:positionV>
              <wp:extent cx="173355" cy="248920"/>
              <wp:effectExtent l="0" t="0" r="0" b="0"/>
              <wp:wrapNone/>
              <wp:docPr id="809539771" name="Rectangle 809539771"/>
              <wp:cNvGraphicFramePr/>
              <a:graphic xmlns:a="http://schemas.openxmlformats.org/drawingml/2006/main">
                <a:graphicData uri="http://schemas.microsoft.com/office/word/2010/wordprocessingShape">
                  <wps:wsp>
                    <wps:cNvSpPr/>
                    <wps:spPr>
                      <a:xfrm>
                        <a:off x="5264085" y="3660303"/>
                        <a:ext cx="163830" cy="239395"/>
                      </a:xfrm>
                      <a:prstGeom prst="rect">
                        <a:avLst/>
                      </a:prstGeom>
                      <a:noFill/>
                      <a:ln>
                        <a:noFill/>
                      </a:ln>
                    </wps:spPr>
                    <wps:txbx>
                      <w:txbxContent>
                        <w:p w14:paraId="5F7E1B6F" w14:textId="77777777" w:rsidR="00044C44" w:rsidRDefault="00DE1DF2">
                          <w:pPr>
                            <w:spacing w:before="69"/>
                            <w:ind w:left="60"/>
                            <w:textDirection w:val="btLr"/>
                          </w:pPr>
                          <w:r>
                            <w:rPr>
                              <w:color w:val="000000"/>
                              <w:sz w:val="24"/>
                            </w:rPr>
                            <w:t xml:space="preserve"> PAGE 1</w:t>
                          </w:r>
                        </w:p>
                      </w:txbxContent>
                    </wps:txbx>
                    <wps:bodyPr spcFirstLastPara="1" wrap="square" lIns="0" tIns="0" rIns="0" bIns="0" anchor="t" anchorCtr="0">
                      <a:noAutofit/>
                    </wps:bodyPr>
                  </wps:wsp>
                </a:graphicData>
              </a:graphic>
            </wp:anchor>
          </w:drawing>
        </mc:Choice>
        <mc:Fallback>
          <w:pict>
            <v:rect w14:anchorId="1815915B" id="Rectangle 809539771" o:spid="_x0000_s1026" style="position:absolute;margin-left:227.7pt;margin-top:735.05pt;width:13.65pt;height:19.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U0QEAAH8DAAAOAAAAZHJzL2Uyb0RvYy54bWysU9uO2jAQfa/Uf7D8XhJIyUKEWVVdUVVa&#10;tWh3+wHGsYkl32obEv6+Yycs7fat6osZzwxnzhyfbO4HrdCZ+yCtIXg+KzHihtlWmiPBP152H1YY&#10;hUhNS5U1nOALD/h++/7dpncNX9jOqpZ7BCAmNL0juIvRNUURWMc1DTPruIGisF7TCFd/LFpPe0DX&#10;qliUZV301rfOW8ZDgOzDWMTbjC8EZ/G7EIFHpAgGbjGfPp+HdBbbDW2OnrpOsokG/QcWmkoDQ1+h&#10;Hmik6OTlX1BaMm+DFXHGrC6sEJLxvANsMy/fbPPcUcfzLiBOcK8yhf8Hy76d9x7JluBVuV5W67u7&#10;OUaGaniqJxCPmqPi6FYCuXoXGvjXs9v76RYgTLsPwuv0C1uhgeDlov5YrpYYXQiu6rqsymqUmw8R&#10;MWiY19Wqgkdh0LCo1tV6merFDcj5EL9wq1EKCPZAKItMz48hjq3XljTX2J1UCvK0UeaPBGCmTJG4&#10;j2xTFIfDMK1wsO0FdAiO7STMeqQh7qkHJ4AaPbiD4PDzRD3HSH01IH+y0jXw1+BwDahhnQWTRYzG&#10;8HPMlhs5fTpFK2Tmn1iMoydy8MpZgcmRyUa/33PX7bvZ/gIAAP//AwBQSwMEFAAGAAgAAAAhAC70&#10;uNjjAAAADQEAAA8AAABkcnMvZG93bnJldi54bWxMj8tOwzAQRfdI/IM1SOyo3ZLQJMSpKh4qS2iR&#10;Cjs3NkmEPY5itwl8PcMKljP36M6ZcjU5y05mCJ1HCfOZAGaw9rrDRsLr7vEqAxaiQq2sRyPhywRY&#10;VednpSq0H/HFnLaxYVSCoVAS2hj7gvNQt8apMPO9Qco+/OBUpHFouB7USOXO8oUQN9ypDulCq3pz&#10;15r6c3t0EjZZv3578t9jYx/eN/vnfX6/y6OUlxfT+hZYNFP8g+FXn9ShIqeDP6IOzEpI0jQhlIJk&#10;KebACEmyxRLYgVapyK+BVyX//0X1AwAA//8DAFBLAQItABQABgAIAAAAIQC2gziS/gAAAOEBAAAT&#10;AAAAAAAAAAAAAAAAAAAAAABbQ29udGVudF9UeXBlc10ueG1sUEsBAi0AFAAGAAgAAAAhADj9If/W&#10;AAAAlAEAAAsAAAAAAAAAAAAAAAAALwEAAF9yZWxzLy5yZWxzUEsBAi0AFAAGAAgAAAAhAH9BI5TR&#10;AQAAfwMAAA4AAAAAAAAAAAAAAAAALgIAAGRycy9lMm9Eb2MueG1sUEsBAi0AFAAGAAgAAAAhAC70&#10;uNjjAAAADQEAAA8AAAAAAAAAAAAAAAAAKwQAAGRycy9kb3ducmV2LnhtbFBLBQYAAAAABAAEAPMA&#10;AAA7BQAAAAA=&#10;" filled="f" stroked="f">
              <v:textbox inset="0,0,0,0">
                <w:txbxContent>
                  <w:p w14:paraId="5F7E1B6F" w14:textId="77777777" w:rsidR="00044C44" w:rsidRDefault="00DE1DF2">
                    <w:pPr>
                      <w:spacing w:before="69"/>
                      <w:ind w:left="60"/>
                      <w:textDirection w:val="btLr"/>
                    </w:pPr>
                    <w:r>
                      <w:rPr>
                        <w:color w:val="000000"/>
                        <w:sz w:val="24"/>
                      </w:rPr>
                      <w:t xml:space="preserve"> PAGE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C5A8" w14:textId="77777777" w:rsidR="00184EFC" w:rsidRDefault="0018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561D0" w14:textId="77777777" w:rsidR="00076A1E" w:rsidRDefault="00076A1E">
      <w:r>
        <w:separator/>
      </w:r>
    </w:p>
  </w:footnote>
  <w:footnote w:type="continuationSeparator" w:id="0">
    <w:p w14:paraId="2FEA15D8" w14:textId="77777777" w:rsidR="00076A1E" w:rsidRDefault="000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D735" w14:textId="6766C096" w:rsidR="00184EFC" w:rsidRDefault="00076A1E">
    <w:pPr>
      <w:pStyle w:val="Header"/>
    </w:pPr>
    <w:r>
      <w:rPr>
        <w:noProof/>
      </w:rPr>
      <w:pict w14:anchorId="0380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5766" o:spid="_x0000_s2050" type="#_x0000_t136" style="position:absolute;margin-left:0;margin-top:0;width:619.85pt;height:65.25pt;rotation:315;z-index:-251654144;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A27B" w14:textId="5B8D2663" w:rsidR="00184EFC" w:rsidRDefault="00076A1E">
    <w:pPr>
      <w:pStyle w:val="Header"/>
    </w:pPr>
    <w:r>
      <w:rPr>
        <w:noProof/>
      </w:rPr>
      <w:pict w14:anchorId="3FC7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5767" o:spid="_x0000_s2051" type="#_x0000_t136" style="position:absolute;margin-left:0;margin-top:0;width:619.85pt;height:65.25pt;rotation:315;z-index:-25165209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2EE4" w14:textId="6B76E03B" w:rsidR="00184EFC" w:rsidRDefault="00076A1E">
    <w:pPr>
      <w:pStyle w:val="Header"/>
    </w:pPr>
    <w:r>
      <w:rPr>
        <w:noProof/>
      </w:rPr>
      <w:pict w14:anchorId="2B07F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5765" o:spid="_x0000_s2049" type="#_x0000_t136" style="position:absolute;margin-left:0;margin-top:0;width:619.85pt;height:65.25pt;rotation:315;z-index:-251656192;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0FD5"/>
    <w:multiLevelType w:val="multilevel"/>
    <w:tmpl w:val="FFFFFFFF"/>
    <w:lvl w:ilvl="0">
      <w:start w:val="1"/>
      <w:numFmt w:val="decimal"/>
      <w:lvlText w:val="%1"/>
      <w:lvlJc w:val="left"/>
      <w:pPr>
        <w:ind w:left="580" w:hanging="581"/>
      </w:pPr>
      <w:rPr>
        <w:rFonts w:ascii="Georgia" w:eastAsia="Georgia" w:hAnsi="Georgia" w:cs="Georgia"/>
        <w:b/>
        <w:i w:val="0"/>
        <w:sz w:val="34"/>
        <w:szCs w:val="34"/>
      </w:rPr>
    </w:lvl>
    <w:lvl w:ilvl="1">
      <w:start w:val="1"/>
      <w:numFmt w:val="decimal"/>
      <w:lvlText w:val="%1.%2"/>
      <w:lvlJc w:val="left"/>
      <w:pPr>
        <w:ind w:left="734" w:hanging="735"/>
      </w:pPr>
      <w:rPr>
        <w:rFonts w:ascii="Georgia" w:eastAsia="Georgia" w:hAnsi="Georgia" w:cs="Georgia"/>
        <w:b/>
        <w:i w:val="0"/>
        <w:sz w:val="28"/>
        <w:szCs w:val="28"/>
      </w:rPr>
    </w:lvl>
    <w:lvl w:ilvl="2">
      <w:numFmt w:val="bullet"/>
      <w:lvlText w:val="•"/>
      <w:lvlJc w:val="left"/>
      <w:pPr>
        <w:ind w:left="597" w:hanging="301"/>
      </w:pPr>
      <w:rPr>
        <w:rFonts w:ascii="Georgia" w:eastAsia="Georgia" w:hAnsi="Georgia" w:cs="Georgia"/>
        <w:b w:val="0"/>
        <w:i w:val="0"/>
        <w:sz w:val="24"/>
        <w:szCs w:val="24"/>
      </w:rPr>
    </w:lvl>
    <w:lvl w:ilvl="3">
      <w:numFmt w:val="bullet"/>
      <w:lvlText w:val="•"/>
      <w:lvlJc w:val="left"/>
      <w:pPr>
        <w:ind w:left="1862" w:hanging="302"/>
      </w:pPr>
    </w:lvl>
    <w:lvl w:ilvl="4">
      <w:numFmt w:val="bullet"/>
      <w:lvlText w:val="•"/>
      <w:lvlJc w:val="left"/>
      <w:pPr>
        <w:ind w:left="2985" w:hanging="302"/>
      </w:pPr>
    </w:lvl>
    <w:lvl w:ilvl="5">
      <w:numFmt w:val="bullet"/>
      <w:lvlText w:val="•"/>
      <w:lvlJc w:val="left"/>
      <w:pPr>
        <w:ind w:left="4107" w:hanging="302"/>
      </w:pPr>
    </w:lvl>
    <w:lvl w:ilvl="6">
      <w:numFmt w:val="bullet"/>
      <w:lvlText w:val="•"/>
      <w:lvlJc w:val="left"/>
      <w:pPr>
        <w:ind w:left="5230" w:hanging="302"/>
      </w:pPr>
    </w:lvl>
    <w:lvl w:ilvl="7">
      <w:numFmt w:val="bullet"/>
      <w:lvlText w:val="•"/>
      <w:lvlJc w:val="left"/>
      <w:pPr>
        <w:ind w:left="6352" w:hanging="302"/>
      </w:pPr>
    </w:lvl>
    <w:lvl w:ilvl="8">
      <w:numFmt w:val="bullet"/>
      <w:lvlText w:val="•"/>
      <w:lvlJc w:val="left"/>
      <w:pPr>
        <w:ind w:left="7475" w:hanging="302"/>
      </w:pPr>
    </w:lvl>
  </w:abstractNum>
  <w:abstractNum w:abstractNumId="1" w15:restartNumberingAfterBreak="0">
    <w:nsid w:val="3CA3712C"/>
    <w:multiLevelType w:val="multilevel"/>
    <w:tmpl w:val="FFFFFFFF"/>
    <w:lvl w:ilvl="0">
      <w:start w:val="1"/>
      <w:numFmt w:val="decimal"/>
      <w:lvlText w:val="[%1]"/>
      <w:lvlJc w:val="left"/>
      <w:pPr>
        <w:ind w:left="483" w:hanging="367"/>
      </w:pPr>
      <w:rPr>
        <w:rFonts w:ascii="Georgia" w:eastAsia="Georgia" w:hAnsi="Georgia" w:cs="Georgia"/>
        <w:b w:val="0"/>
        <w:i w:val="0"/>
        <w:sz w:val="24"/>
        <w:szCs w:val="24"/>
      </w:rPr>
    </w:lvl>
    <w:lvl w:ilvl="1">
      <w:numFmt w:val="bullet"/>
      <w:lvlText w:val="•"/>
      <w:lvlJc w:val="left"/>
      <w:pPr>
        <w:ind w:left="1404" w:hanging="367"/>
      </w:pPr>
    </w:lvl>
    <w:lvl w:ilvl="2">
      <w:numFmt w:val="bullet"/>
      <w:lvlText w:val="•"/>
      <w:lvlJc w:val="left"/>
      <w:pPr>
        <w:ind w:left="2328" w:hanging="366"/>
      </w:pPr>
    </w:lvl>
    <w:lvl w:ilvl="3">
      <w:numFmt w:val="bullet"/>
      <w:lvlText w:val="•"/>
      <w:lvlJc w:val="left"/>
      <w:pPr>
        <w:ind w:left="3252" w:hanging="367"/>
      </w:pPr>
    </w:lvl>
    <w:lvl w:ilvl="4">
      <w:numFmt w:val="bullet"/>
      <w:lvlText w:val="•"/>
      <w:lvlJc w:val="left"/>
      <w:pPr>
        <w:ind w:left="4176" w:hanging="366"/>
      </w:pPr>
    </w:lvl>
    <w:lvl w:ilvl="5">
      <w:numFmt w:val="bullet"/>
      <w:lvlText w:val="•"/>
      <w:lvlJc w:val="left"/>
      <w:pPr>
        <w:ind w:left="5100" w:hanging="367"/>
      </w:pPr>
    </w:lvl>
    <w:lvl w:ilvl="6">
      <w:numFmt w:val="bullet"/>
      <w:lvlText w:val="•"/>
      <w:lvlJc w:val="left"/>
      <w:pPr>
        <w:ind w:left="6024" w:hanging="367"/>
      </w:pPr>
    </w:lvl>
    <w:lvl w:ilvl="7">
      <w:numFmt w:val="bullet"/>
      <w:lvlText w:val="•"/>
      <w:lvlJc w:val="left"/>
      <w:pPr>
        <w:ind w:left="6948" w:hanging="367"/>
      </w:pPr>
    </w:lvl>
    <w:lvl w:ilvl="8">
      <w:numFmt w:val="bullet"/>
      <w:lvlText w:val="•"/>
      <w:lvlJc w:val="left"/>
      <w:pPr>
        <w:ind w:left="7872" w:hanging="3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NzC2tDQ3MDAzsjBV0lEKTi0uzszPAykwrAUA/NeN7CwAAAA="/>
  </w:docVars>
  <w:rsids>
    <w:rsidRoot w:val="00044C44"/>
    <w:rsid w:val="00044C44"/>
    <w:rsid w:val="0005617E"/>
    <w:rsid w:val="00063BB6"/>
    <w:rsid w:val="00076A1E"/>
    <w:rsid w:val="000B4ADC"/>
    <w:rsid w:val="00184EFC"/>
    <w:rsid w:val="00307FBB"/>
    <w:rsid w:val="003303BC"/>
    <w:rsid w:val="00336BD6"/>
    <w:rsid w:val="0037129F"/>
    <w:rsid w:val="003E1265"/>
    <w:rsid w:val="00556A41"/>
    <w:rsid w:val="005973A1"/>
    <w:rsid w:val="005C748E"/>
    <w:rsid w:val="00610D1C"/>
    <w:rsid w:val="00647F13"/>
    <w:rsid w:val="0075656D"/>
    <w:rsid w:val="007A3D12"/>
    <w:rsid w:val="008828AE"/>
    <w:rsid w:val="00A31006"/>
    <w:rsid w:val="00A32EC9"/>
    <w:rsid w:val="00AB368F"/>
    <w:rsid w:val="00BF135C"/>
    <w:rsid w:val="00C34076"/>
    <w:rsid w:val="00D0523A"/>
    <w:rsid w:val="00D457BF"/>
    <w:rsid w:val="00D57A23"/>
    <w:rsid w:val="00DE1DF2"/>
    <w:rsid w:val="00E60410"/>
    <w:rsid w:val="00EE640E"/>
    <w:rsid w:val="00F431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1542E"/>
  <w15:docId w15:val="{8E56B4F4-EE69-B746-8956-8B884AB1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580" w:hanging="580"/>
      <w:outlineLvl w:val="0"/>
    </w:pPr>
    <w:rPr>
      <w:b/>
      <w:sz w:val="34"/>
      <w:szCs w:val="34"/>
    </w:rPr>
  </w:style>
  <w:style w:type="paragraph" w:styleId="Heading2">
    <w:name w:val="heading 2"/>
    <w:basedOn w:val="Normal"/>
    <w:next w:val="Normal"/>
    <w:uiPriority w:val="9"/>
    <w:unhideWhenUsed/>
    <w:qFormat/>
    <w:pPr>
      <w:ind w:left="734" w:hanging="734"/>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442"/>
      <w:ind w:left="198" w:right="554" w:hanging="5"/>
      <w:jc w:val="center"/>
    </w:pPr>
    <w:rPr>
      <w:rFonts w:ascii="Times New Roman" w:eastAsia="Times New Roman" w:hAnsi="Times New Roman" w:cs="Times New Roman"/>
      <w:sz w:val="41"/>
      <w:szCs w:val="41"/>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734"/>
    </w:pPr>
  </w:style>
  <w:style w:type="paragraph" w:customStyle="1" w:styleId="TableParagraph">
    <w:name w:val="Table Paragraph"/>
    <w:basedOn w:val="Normal"/>
    <w:uiPriority w:val="1"/>
    <w:qFormat/>
    <w:pPr>
      <w:spacing w:before="25" w:line="243" w:lineRule="exact"/>
    </w:p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5656D"/>
    <w:rPr>
      <w:color w:val="0000FF" w:themeColor="hyperlink"/>
      <w:u w:val="single"/>
    </w:rPr>
  </w:style>
  <w:style w:type="character" w:styleId="UnresolvedMention">
    <w:name w:val="Unresolved Mention"/>
    <w:basedOn w:val="DefaultParagraphFont"/>
    <w:uiPriority w:val="99"/>
    <w:semiHidden/>
    <w:unhideWhenUsed/>
    <w:rsid w:val="0075656D"/>
    <w:rPr>
      <w:color w:val="605E5C"/>
      <w:shd w:val="clear" w:color="auto" w:fill="E1DFDD"/>
    </w:rPr>
  </w:style>
  <w:style w:type="paragraph" w:styleId="Header">
    <w:name w:val="header"/>
    <w:basedOn w:val="Normal"/>
    <w:link w:val="HeaderChar"/>
    <w:uiPriority w:val="99"/>
    <w:unhideWhenUsed/>
    <w:rsid w:val="00184EFC"/>
    <w:pPr>
      <w:tabs>
        <w:tab w:val="center" w:pos="4680"/>
        <w:tab w:val="right" w:pos="9360"/>
      </w:tabs>
    </w:pPr>
  </w:style>
  <w:style w:type="character" w:customStyle="1" w:styleId="HeaderChar">
    <w:name w:val="Header Char"/>
    <w:basedOn w:val="DefaultParagraphFont"/>
    <w:link w:val="Header"/>
    <w:uiPriority w:val="99"/>
    <w:rsid w:val="00184EFC"/>
  </w:style>
  <w:style w:type="paragraph" w:styleId="Footer">
    <w:name w:val="footer"/>
    <w:basedOn w:val="Normal"/>
    <w:link w:val="FooterChar"/>
    <w:uiPriority w:val="99"/>
    <w:unhideWhenUsed/>
    <w:rsid w:val="00184EFC"/>
    <w:pPr>
      <w:tabs>
        <w:tab w:val="center" w:pos="4680"/>
        <w:tab w:val="right" w:pos="9360"/>
      </w:tabs>
    </w:pPr>
  </w:style>
  <w:style w:type="character" w:customStyle="1" w:styleId="FooterChar">
    <w:name w:val="Footer Char"/>
    <w:basedOn w:val="DefaultParagraphFont"/>
    <w:link w:val="Footer"/>
    <w:uiPriority w:val="99"/>
    <w:rsid w:val="00184EFC"/>
  </w:style>
  <w:style w:type="paragraph" w:styleId="BalloonText">
    <w:name w:val="Balloon Text"/>
    <w:basedOn w:val="Normal"/>
    <w:link w:val="BalloonTextChar"/>
    <w:uiPriority w:val="99"/>
    <w:semiHidden/>
    <w:unhideWhenUsed/>
    <w:rsid w:val="00336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7811">
      <w:bodyDiv w:val="1"/>
      <w:marLeft w:val="0"/>
      <w:marRight w:val="0"/>
      <w:marTop w:val="0"/>
      <w:marBottom w:val="0"/>
      <w:divBdr>
        <w:top w:val="none" w:sz="0" w:space="0" w:color="auto"/>
        <w:left w:val="none" w:sz="0" w:space="0" w:color="auto"/>
        <w:bottom w:val="none" w:sz="0" w:space="0" w:color="auto"/>
        <w:right w:val="none" w:sz="0" w:space="0" w:color="auto"/>
      </w:divBdr>
      <w:divsChild>
        <w:div w:id="826170786">
          <w:marLeft w:val="0"/>
          <w:marRight w:val="0"/>
          <w:marTop w:val="0"/>
          <w:marBottom w:val="0"/>
          <w:divBdr>
            <w:top w:val="none" w:sz="0" w:space="0" w:color="auto"/>
            <w:left w:val="none" w:sz="0" w:space="0" w:color="auto"/>
            <w:bottom w:val="none" w:sz="0" w:space="0" w:color="auto"/>
            <w:right w:val="none" w:sz="0" w:space="0" w:color="auto"/>
          </w:divBdr>
          <w:divsChild>
            <w:div w:id="2025132134">
              <w:marLeft w:val="0"/>
              <w:marRight w:val="0"/>
              <w:marTop w:val="0"/>
              <w:marBottom w:val="0"/>
              <w:divBdr>
                <w:top w:val="none" w:sz="0" w:space="0" w:color="auto"/>
                <w:left w:val="none" w:sz="0" w:space="0" w:color="auto"/>
                <w:bottom w:val="none" w:sz="0" w:space="0" w:color="auto"/>
                <w:right w:val="none" w:sz="0" w:space="0" w:color="auto"/>
              </w:divBdr>
              <w:divsChild>
                <w:div w:id="1192570843">
                  <w:marLeft w:val="0"/>
                  <w:marRight w:val="0"/>
                  <w:marTop w:val="0"/>
                  <w:marBottom w:val="0"/>
                  <w:divBdr>
                    <w:top w:val="none" w:sz="0" w:space="0" w:color="auto"/>
                    <w:left w:val="none" w:sz="0" w:space="0" w:color="auto"/>
                    <w:bottom w:val="none" w:sz="0" w:space="0" w:color="auto"/>
                    <w:right w:val="none" w:sz="0" w:space="0" w:color="auto"/>
                  </w:divBdr>
                  <w:divsChild>
                    <w:div w:id="12985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VCXjbqqlIoEy/Y75xdQUXjQvA==">CgMxLjA4AHIhMWV5blE0YUF1cXAzejBLWU5BUnJaWm11TTFHYnE2OC12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SHRIKANTA BISWAS</dc:creator>
  <cp:lastModifiedBy>SDI PC New 16</cp:lastModifiedBy>
  <cp:revision>32</cp:revision>
  <dcterms:created xsi:type="dcterms:W3CDTF">2025-09-13T13:41:00Z</dcterms:created>
  <dcterms:modified xsi:type="dcterms:W3CDTF">2025-09-24T07:15:00Z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XeTeX output 2025.09.12:1935</vt:lpwstr>
  </property>
  <property fmtid="{D5CDD505-2E9C-101B-9397-08002B2CF9AE}" pid="4" name="Producer">
    <vt:lpwstr>xdvipdfmx (20220710)</vt:lpwstr>
  </property>
  <property fmtid="{D5CDD505-2E9C-101B-9397-08002B2CF9AE}" pid="5" name="LastSaved">
    <vt:filetime>2025-09-12T00:00:00Z</vt:filetime>
  </property>
</Properties>
</file>