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B6C" w:rsidRDefault="00830B6C" w:rsidP="00830B6C">
      <w:pPr>
        <w:pStyle w:val="Title"/>
        <w:rPr>
          <w:lang w:val="en-GB"/>
        </w:rPr>
      </w:pPr>
      <w:r w:rsidRPr="00830B6C">
        <w:rPr>
          <w:lang w:val="en-GB"/>
        </w:rPr>
        <w:t>The Microbiota-Gut-Brain Axis in Neuropsychiatric and Neurodegenerative Disorders: Convergent Mechanisms and Translational Prospects</w:t>
      </w:r>
    </w:p>
    <w:p w:rsidR="009E1586" w:rsidRPr="00D63D02" w:rsidRDefault="009E1586" w:rsidP="00B03FCF">
      <w:pPr>
        <w:spacing w:line="360" w:lineRule="auto"/>
        <w:jc w:val="both"/>
        <w:rPr>
          <w:rFonts w:ascii="Times New Roman" w:hAnsi="Times New Roman" w:cs="Times New Roman"/>
          <w:b/>
          <w:sz w:val="32"/>
          <w:szCs w:val="32"/>
        </w:rPr>
      </w:pPr>
      <w:r w:rsidRPr="00D63D02">
        <w:rPr>
          <w:rFonts w:ascii="Times New Roman" w:hAnsi="Times New Roman" w:cs="Times New Roman"/>
          <w:b/>
          <w:sz w:val="32"/>
          <w:szCs w:val="32"/>
        </w:rPr>
        <w:t>Abstract:</w:t>
      </w:r>
    </w:p>
    <w:p w:rsidR="009E1586" w:rsidRPr="00B03FCF" w:rsidRDefault="009E1586" w:rsidP="00B03FCF">
      <w:p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Background:</w:t>
      </w:r>
      <w:r w:rsidRPr="00B03FCF">
        <w:rPr>
          <w:rFonts w:ascii="Times New Roman" w:hAnsi="Times New Roman" w:cs="Times New Roman"/>
          <w:sz w:val="24"/>
          <w:szCs w:val="24"/>
        </w:rPr>
        <w:t xml:space="preserve"> The gut microbiome exerts a profound influence on central nervous system (CNS) function through interconnected neural, immune, endocrine, and metab</w:t>
      </w:r>
      <w:r w:rsidR="00D63D02">
        <w:rPr>
          <w:rFonts w:ascii="Times New Roman" w:hAnsi="Times New Roman" w:cs="Times New Roman"/>
          <w:sz w:val="24"/>
          <w:szCs w:val="24"/>
        </w:rPr>
        <w:t xml:space="preserve">olic pathways. This “microbiota gut </w:t>
      </w:r>
      <w:r w:rsidRPr="00B03FCF">
        <w:rPr>
          <w:rFonts w:ascii="Times New Roman" w:hAnsi="Times New Roman" w:cs="Times New Roman"/>
          <w:sz w:val="24"/>
          <w:szCs w:val="24"/>
        </w:rPr>
        <w:t>brain axis” has emerged as a compelling frontier in neuropsychiatric and neurodegenerative research. In this review, we integrate evidence acr</w:t>
      </w:r>
      <w:r w:rsidR="00D63D02">
        <w:rPr>
          <w:rFonts w:ascii="Times New Roman" w:hAnsi="Times New Roman" w:cs="Times New Roman"/>
          <w:sz w:val="24"/>
          <w:szCs w:val="24"/>
        </w:rPr>
        <w:t xml:space="preserve">oss four high-burden conditions </w:t>
      </w:r>
      <w:r w:rsidRPr="00B03FCF">
        <w:rPr>
          <w:rFonts w:ascii="Times New Roman" w:hAnsi="Times New Roman" w:cs="Times New Roman"/>
          <w:sz w:val="24"/>
          <w:szCs w:val="24"/>
        </w:rPr>
        <w:t>major depressive disorder, anxiety disorders, autism spectrum disorder (ASD</w:t>
      </w:r>
      <w:r w:rsidR="00D63D02">
        <w:rPr>
          <w:rFonts w:ascii="Times New Roman" w:hAnsi="Times New Roman" w:cs="Times New Roman"/>
          <w:sz w:val="24"/>
          <w:szCs w:val="24"/>
        </w:rPr>
        <w:t xml:space="preserve">), and Parkinson’s disease (PD) </w:t>
      </w:r>
      <w:r w:rsidRPr="00B03FCF">
        <w:rPr>
          <w:rFonts w:ascii="Times New Roman" w:hAnsi="Times New Roman" w:cs="Times New Roman"/>
          <w:sz w:val="24"/>
          <w:szCs w:val="24"/>
        </w:rPr>
        <w:t>to delineate convergent and disorder-specific microbiome mechanisms, evaluate interventional modalities, and chart a translational roadmap.</w:t>
      </w:r>
    </w:p>
    <w:p w:rsidR="009E1586" w:rsidRPr="00B03FCF" w:rsidRDefault="009E1586" w:rsidP="00B03FCF">
      <w:p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Scope and Methods:</w:t>
      </w:r>
      <w:r w:rsidRPr="00B03FCF">
        <w:rPr>
          <w:rFonts w:ascii="Times New Roman" w:hAnsi="Times New Roman" w:cs="Times New Roman"/>
          <w:sz w:val="24"/>
          <w:szCs w:val="24"/>
        </w:rPr>
        <w:t xml:space="preserve"> We synthesize human cohorts, controlled trials, and mechanistic preclinical studies published during the past decade, with emphasis on multi-omics (metagenomics, metabolomics, </w:t>
      </w:r>
      <w:proofErr w:type="spellStart"/>
      <w:r w:rsidRPr="00B03FCF">
        <w:rPr>
          <w:rFonts w:ascii="Times New Roman" w:hAnsi="Times New Roman" w:cs="Times New Roman"/>
          <w:sz w:val="24"/>
          <w:szCs w:val="24"/>
        </w:rPr>
        <w:t>metatranscriptomics</w:t>
      </w:r>
      <w:proofErr w:type="spellEnd"/>
      <w:r w:rsidRPr="00B03FCF">
        <w:rPr>
          <w:rFonts w:ascii="Times New Roman" w:hAnsi="Times New Roman" w:cs="Times New Roman"/>
          <w:sz w:val="24"/>
          <w:szCs w:val="24"/>
        </w:rPr>
        <w:t>) and host-microbe interaction modeling. Key mechanistic axes reviewed include short-chain fatty acids (SCFAs), bile acids, tryptophan–kynurenine–indole metabolism, intestinal barrier integrity, neuroimmune activation, and α-synuclein biology. Intervention strategies—diet, probiotics/</w:t>
      </w:r>
      <w:proofErr w:type="spellStart"/>
      <w:r w:rsidRPr="00B03FCF">
        <w:rPr>
          <w:rFonts w:ascii="Times New Roman" w:hAnsi="Times New Roman" w:cs="Times New Roman"/>
          <w:sz w:val="24"/>
          <w:szCs w:val="24"/>
        </w:rPr>
        <w:t>synbiotics</w:t>
      </w:r>
      <w:proofErr w:type="spellEnd"/>
      <w:r w:rsidRPr="00B03FCF">
        <w:rPr>
          <w:rFonts w:ascii="Times New Roman" w:hAnsi="Times New Roman" w:cs="Times New Roman"/>
          <w:sz w:val="24"/>
          <w:szCs w:val="24"/>
        </w:rPr>
        <w:t>, postbiotics, and fecal m</w:t>
      </w:r>
      <w:r w:rsidR="00D63D02">
        <w:rPr>
          <w:rFonts w:ascii="Times New Roman" w:hAnsi="Times New Roman" w:cs="Times New Roman"/>
          <w:sz w:val="24"/>
          <w:szCs w:val="24"/>
        </w:rPr>
        <w:t xml:space="preserve">icrobiota transplantation (FMT) </w:t>
      </w:r>
      <w:r w:rsidRPr="00B03FCF">
        <w:rPr>
          <w:rFonts w:ascii="Times New Roman" w:hAnsi="Times New Roman" w:cs="Times New Roman"/>
          <w:sz w:val="24"/>
          <w:szCs w:val="24"/>
        </w:rPr>
        <w:t>are evaluated in light of efficacy, safety, biomarker engagement, and durability.</w:t>
      </w:r>
    </w:p>
    <w:p w:rsidR="009E1586" w:rsidRPr="00B03FCF" w:rsidRDefault="009E1586" w:rsidP="00B03FCF">
      <w:p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Key Findings:</w:t>
      </w:r>
      <w:r w:rsidRPr="00B03FCF">
        <w:rPr>
          <w:rFonts w:ascii="Times New Roman" w:hAnsi="Times New Roman" w:cs="Times New Roman"/>
          <w:sz w:val="24"/>
          <w:szCs w:val="24"/>
        </w:rPr>
        <w:t xml:space="preserve"> Across depression and anxiety, dysbiosis is consistently characterized by depletion of SCFA-producing taxa and altered neurotransmitter-precursor pathways, correlating with inflammatory and metabolic dysregulation. In ASD, microbial profiles, barrier dysfunction, and metabolite signatures correlate with core behavioral domains and GI symptom clusters. Notably, an early randomized controlled trial of oral FMT in pediatric ASD reported sustained improvements in both gastrointestinal and autism-related measures. In PD, prodromal gastrointestinal dysfunction, microbial shifts, and α-synuclein aggregation implicate a “gut-first” </w:t>
      </w:r>
      <w:r w:rsidRPr="00B03FCF">
        <w:rPr>
          <w:rFonts w:ascii="Times New Roman" w:hAnsi="Times New Roman" w:cs="Times New Roman"/>
          <w:sz w:val="24"/>
          <w:szCs w:val="24"/>
        </w:rPr>
        <w:lastRenderedPageBreak/>
        <w:t>trajectory in subsets of patients, with microbial metabolites and endotoxins plausibly driving neurodegenerative cascades.</w:t>
      </w:r>
    </w:p>
    <w:p w:rsidR="009E1586" w:rsidRDefault="009E1586" w:rsidP="00B03FCF">
      <w:p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Conclusions and Outlook:</w:t>
      </w:r>
      <w:r w:rsidRPr="00B03FCF">
        <w:rPr>
          <w:rFonts w:ascii="Times New Roman" w:hAnsi="Times New Roman" w:cs="Times New Roman"/>
          <w:sz w:val="24"/>
          <w:szCs w:val="24"/>
        </w:rPr>
        <w:t xml:space="preserve"> The microbiome emerges as a promising, modifiable nexus connecting gut and brain in psychiatric, developmental, and neurodegenerative contexts. Yet, critical challenges remain: disentangling causality from reverse causation, improving strain-level mechanistic specificity, achieving robust engraftment, and ensuring long-term safety. We propose a next-generation trial framework combining stratification by microbial function, </w:t>
      </w:r>
      <w:r w:rsidRPr="00B03FCF">
        <w:rPr>
          <w:rFonts w:ascii="Times New Roman" w:hAnsi="Times New Roman" w:cs="Times New Roman"/>
          <w:i/>
          <w:iCs/>
          <w:sz w:val="24"/>
          <w:szCs w:val="24"/>
        </w:rPr>
        <w:t>a priori</w:t>
      </w:r>
      <w:r w:rsidRPr="00B03FCF">
        <w:rPr>
          <w:rFonts w:ascii="Times New Roman" w:hAnsi="Times New Roman" w:cs="Times New Roman"/>
          <w:sz w:val="24"/>
          <w:szCs w:val="24"/>
        </w:rPr>
        <w:t xml:space="preserve"> mechanistic endpoints, adaptive designs, and integrated metabolomic/neuroimmune readouts. If these challenges are met, microbiome-informed strategies could augment or even transform conventional approaches across mental and neurological disease domains.</w:t>
      </w:r>
    </w:p>
    <w:p w:rsidR="002B6C4C" w:rsidRPr="00B03FCF" w:rsidRDefault="002B6C4C" w:rsidP="00B03FCF">
      <w:pPr>
        <w:spacing w:line="360" w:lineRule="auto"/>
        <w:jc w:val="both"/>
        <w:rPr>
          <w:rFonts w:ascii="Times New Roman" w:hAnsi="Times New Roman" w:cs="Times New Roman"/>
          <w:sz w:val="24"/>
          <w:szCs w:val="24"/>
        </w:rPr>
      </w:pPr>
      <w:r>
        <w:rPr>
          <w:rFonts w:ascii="Times New Roman" w:hAnsi="Times New Roman" w:cs="Times New Roman"/>
          <w:sz w:val="24"/>
          <w:szCs w:val="24"/>
        </w:rPr>
        <w:t>Keywords: G</w:t>
      </w:r>
      <w:r w:rsidRPr="002B6C4C">
        <w:rPr>
          <w:rFonts w:ascii="Times New Roman" w:hAnsi="Times New Roman" w:cs="Times New Roman"/>
          <w:sz w:val="24"/>
          <w:szCs w:val="24"/>
        </w:rPr>
        <w:t>ut microbiome</w:t>
      </w:r>
      <w:r>
        <w:rPr>
          <w:rFonts w:ascii="Times New Roman" w:hAnsi="Times New Roman" w:cs="Times New Roman"/>
          <w:sz w:val="24"/>
          <w:szCs w:val="24"/>
        </w:rPr>
        <w:t>, N</w:t>
      </w:r>
      <w:r w:rsidRPr="002B6C4C">
        <w:rPr>
          <w:rFonts w:ascii="Times New Roman" w:hAnsi="Times New Roman" w:cs="Times New Roman"/>
          <w:sz w:val="24"/>
          <w:szCs w:val="24"/>
        </w:rPr>
        <w:t>europsychiatric</w:t>
      </w:r>
      <w:r>
        <w:rPr>
          <w:rFonts w:ascii="Times New Roman" w:hAnsi="Times New Roman" w:cs="Times New Roman"/>
          <w:sz w:val="24"/>
          <w:szCs w:val="24"/>
        </w:rPr>
        <w:t>,</w:t>
      </w:r>
      <w:r w:rsidRPr="002B6C4C">
        <w:t xml:space="preserve"> </w:t>
      </w:r>
      <w:r>
        <w:rPr>
          <w:rFonts w:ascii="Times New Roman" w:hAnsi="Times New Roman" w:cs="Times New Roman"/>
          <w:sz w:val="24"/>
          <w:szCs w:val="24"/>
        </w:rPr>
        <w:t>N</w:t>
      </w:r>
      <w:r w:rsidRPr="002B6C4C">
        <w:rPr>
          <w:rFonts w:ascii="Times New Roman" w:hAnsi="Times New Roman" w:cs="Times New Roman"/>
          <w:sz w:val="24"/>
          <w:szCs w:val="24"/>
        </w:rPr>
        <w:t>eurodegenerative</w:t>
      </w:r>
      <w:r>
        <w:rPr>
          <w:rFonts w:ascii="Times New Roman" w:hAnsi="Times New Roman" w:cs="Times New Roman"/>
          <w:sz w:val="24"/>
          <w:szCs w:val="24"/>
        </w:rPr>
        <w:t>, S</w:t>
      </w:r>
      <w:r w:rsidRPr="002B6C4C">
        <w:rPr>
          <w:rFonts w:ascii="Times New Roman" w:hAnsi="Times New Roman" w:cs="Times New Roman"/>
          <w:sz w:val="24"/>
          <w:szCs w:val="24"/>
        </w:rPr>
        <w:t>hort-chain fatty acids</w:t>
      </w:r>
    </w:p>
    <w:p w:rsidR="009E1586" w:rsidRPr="009F2C11" w:rsidRDefault="00D63D02" w:rsidP="009F2C11">
      <w:pPr>
        <w:spacing w:line="360" w:lineRule="auto"/>
        <w:jc w:val="both"/>
        <w:rPr>
          <w:rFonts w:ascii="Times New Roman" w:hAnsi="Times New Roman" w:cs="Times New Roman"/>
          <w:b/>
          <w:sz w:val="32"/>
          <w:szCs w:val="32"/>
        </w:rPr>
      </w:pPr>
      <w:r w:rsidRPr="009F2C11">
        <w:rPr>
          <w:rFonts w:ascii="Times New Roman" w:hAnsi="Times New Roman" w:cs="Times New Roman"/>
          <w:b/>
          <w:sz w:val="32"/>
          <w:szCs w:val="32"/>
        </w:rPr>
        <w:t>INTRODUCTION:</w:t>
      </w:r>
    </w:p>
    <w:p w:rsidR="009E1586" w:rsidRPr="00B03FCF" w:rsidRDefault="009E1586" w:rsidP="00B03FCF">
      <w:pPr>
        <w:pStyle w:val="NormalWeb"/>
        <w:spacing w:line="360" w:lineRule="auto"/>
        <w:jc w:val="both"/>
      </w:pPr>
      <w:r w:rsidRPr="00B03FCF">
        <w:t>Over the past two decades, the human microbiome has transitioned from a peripheral curiosity to a central determinant of health and disease</w:t>
      </w:r>
      <w:r w:rsidR="00342631">
        <w:t xml:space="preserve"> </w:t>
      </w:r>
      <w:r w:rsidR="00B61EEC">
        <w:fldChar w:fldCharType="begin"/>
      </w:r>
      <w:r w:rsidR="00342631">
        <w:instrText xml:space="preserve"> ADDIN EN.CITE &lt;EndNote&gt;&lt;Cite&gt;&lt;Author&gt;Minor&lt;/Author&gt;&lt;Year&gt;2020&lt;/Year&gt;&lt;RecNum&gt;26266&lt;/RecNum&gt;&lt;DisplayText&gt;[1]&lt;/DisplayText&gt;&lt;record&gt;&lt;rec-number&gt;26266&lt;/rec-number&gt;&lt;foreign-keys&gt;&lt;key app="EN" db-id="wfrdpe9ta9p0pzetxty52t0qsaw5w9dspwet" timestamp="1760548384"&gt;26266&lt;/key&gt;&lt;/foreign-keys&gt;&lt;ref-type name="Book"&gt;6&lt;/ref-type&gt;&lt;contributors&gt;&lt;authors&gt;&lt;author&gt;Minor, Lloyd&lt;/author&gt;&lt;/authors&gt;&lt;/contributors&gt;&lt;titles&gt;&lt;title&gt;Discovering precision health: predict, prevent, and cure to advance health and well-being&lt;/title&gt;&lt;/titles&gt;&lt;dates&gt;&lt;year&gt;2020&lt;/year&gt;&lt;/dates&gt;&lt;publisher&gt;John Wiley &amp;amp; Sons&lt;/publisher&gt;&lt;isbn&gt;1119672694&lt;/isbn&gt;&lt;urls&gt;&lt;/urls&gt;&lt;/record&gt;&lt;/Cite&gt;&lt;/EndNote&gt;</w:instrText>
      </w:r>
      <w:r w:rsidR="00B61EEC">
        <w:fldChar w:fldCharType="separate"/>
      </w:r>
      <w:r w:rsidR="00342631">
        <w:rPr>
          <w:noProof/>
        </w:rPr>
        <w:t>[1]</w:t>
      </w:r>
      <w:r w:rsidR="00B61EEC">
        <w:fldChar w:fldCharType="end"/>
      </w:r>
      <w:r w:rsidRPr="00B03FCF">
        <w:t>. The gastrointestinal tract harbors a</w:t>
      </w:r>
      <w:r w:rsidR="00D63D02">
        <w:t xml:space="preserve">n estimated 10¹⁴ microorganisms </w:t>
      </w:r>
      <w:r w:rsidRPr="00B03FCF">
        <w:t>bacter</w:t>
      </w:r>
      <w:r w:rsidR="00D63D02">
        <w:t xml:space="preserve">ia, archaea, fungi, and viruses </w:t>
      </w:r>
      <w:r w:rsidRPr="00B03FCF">
        <w:t>collectively encoding more genes than the human genome</w:t>
      </w:r>
      <w:r w:rsidR="00342631">
        <w:t xml:space="preserve"> </w:t>
      </w:r>
      <w:r w:rsidR="00B61EEC">
        <w:fldChar w:fldCharType="begin"/>
      </w:r>
      <w:r w:rsidR="00342631">
        <w:instrText xml:space="preserve"> ADDIN EN.CITE &lt;EndNote&gt;&lt;Cite&gt;&lt;RecNum&gt;26281&lt;/RecNum&gt;&lt;DisplayText&gt;[2]&lt;/DisplayText&gt;&lt;record&gt;&lt;rec-number&gt;26281&lt;/rec-number&gt;&lt;foreign-keys&gt;&lt;key app="EN" db-id="wfrdpe9ta9p0pzetxty52t0qsaw5w9dspwet" timestamp="1760548459"&gt;26281&lt;/key&gt;&lt;/foreign-keys&gt;&lt;ref-type name="Journal Article"&gt;17&lt;/ref-type&gt;&lt;contributors&gt;&lt;/contributors&gt;&lt;titles&gt;&lt;title&gt;Elsherbiny NM et al (2022) Impact of geographical location on the gut microbiota profile in Egyptian children with type 1 diabetes mellitus: a pilot study. International Journal of General Medicine, p 6173–6187&lt;/title&gt;&lt;/titles&gt;&lt;dates&gt;&lt;/dates&gt;&lt;urls&gt;&lt;/urls&gt;&lt;/record&gt;&lt;/Cite&gt;&lt;/EndNote&gt;</w:instrText>
      </w:r>
      <w:r w:rsidR="00B61EEC">
        <w:fldChar w:fldCharType="separate"/>
      </w:r>
      <w:r w:rsidR="00342631">
        <w:rPr>
          <w:noProof/>
        </w:rPr>
        <w:t>[2]</w:t>
      </w:r>
      <w:r w:rsidR="00B61EEC">
        <w:fldChar w:fldCharType="end"/>
      </w:r>
      <w:r w:rsidRPr="00B03FCF">
        <w:t xml:space="preserve">. This dynamic ecosystem interacts continuously with the host through immune, metabolic, endocrine, and neural pathways, forming what is now known as the </w:t>
      </w:r>
      <w:r w:rsidR="00D63D02">
        <w:rPr>
          <w:rStyle w:val="Strong"/>
          <w:rFonts w:eastAsiaTheme="majorEastAsia"/>
        </w:rPr>
        <w:t xml:space="preserve">microbiota gut </w:t>
      </w:r>
      <w:r w:rsidRPr="00B03FCF">
        <w:rPr>
          <w:rStyle w:val="Strong"/>
          <w:rFonts w:eastAsiaTheme="majorEastAsia"/>
        </w:rPr>
        <w:t>brain axis (MGBA)</w:t>
      </w:r>
      <w:r w:rsidRPr="00B03FCF">
        <w:t>. Mounting evidence indicates that p</w:t>
      </w:r>
      <w:r w:rsidR="00D63D02">
        <w:t xml:space="preserve">erturbations within this system </w:t>
      </w:r>
      <w:r w:rsidRPr="00B03FCF">
        <w:t xml:space="preserve">termed </w:t>
      </w:r>
      <w:r w:rsidRPr="00B03FCF">
        <w:rPr>
          <w:rStyle w:val="Strong"/>
          <w:rFonts w:eastAsiaTheme="majorEastAsia"/>
        </w:rPr>
        <w:t>dysbiosis</w:t>
      </w:r>
      <w:r w:rsidR="00D63D02">
        <w:t xml:space="preserve"> </w:t>
      </w:r>
      <w:r w:rsidRPr="00B03FCF">
        <w:t>can influence not only gastrointestinal homeostasis but also central nervous system (CNS) function, behavior, and cognition</w:t>
      </w:r>
      <w:r w:rsidR="00342631">
        <w:t xml:space="preserve"> </w:t>
      </w:r>
      <w:r w:rsidR="00B61EEC">
        <w:fldChar w:fldCharType="begin"/>
      </w:r>
      <w:r w:rsidR="00342631">
        <w:instrText xml:space="preserve"> ADDIN EN.CITE &lt;EndNote&gt;&lt;Cite&gt;&lt;RecNum&gt;26285&lt;/RecNum&gt;&lt;DisplayText&gt;[3]&lt;/DisplayText&gt;&lt;record&gt;&lt;rec-number&gt;26285&lt;/rec-number&gt;&lt;foreign-keys&gt;&lt;key app="EN" db-id="wfrdpe9ta9p0pzetxty52t0qsaw5w9dspwet" timestamp="1760548459"&gt;26285&lt;/key&gt;&lt;/foreign-keys&gt;&lt;ref-type name="Journal Article"&gt;17&lt;/ref-type&gt;&lt;contributors&gt;&lt;/contributors&gt;&lt;titles&gt;&lt;title&gt;Munawar N et al (2021) Hidden role of gut microbiome dysbiosis in schizophrenia: antipsychotics or psychobiotics as therapeutics? Int J Mol Sci 22(14)&lt;/title&gt;&lt;/titles&gt;&lt;dates&gt;&lt;/dates&gt;&lt;urls&gt;&lt;/urls&gt;&lt;/record&gt;&lt;/Cite&gt;&lt;/EndNote&gt;</w:instrText>
      </w:r>
      <w:r w:rsidR="00B61EEC">
        <w:fldChar w:fldCharType="separate"/>
      </w:r>
      <w:r w:rsidR="00342631">
        <w:rPr>
          <w:noProof/>
        </w:rPr>
        <w:t>[3]</w:t>
      </w:r>
      <w:r w:rsidR="00B61EEC">
        <w:fldChar w:fldCharType="end"/>
      </w:r>
      <w:r w:rsidRPr="00B03FCF">
        <w:t>. The recognition that the gut microbiota communicates bidirectionally with the brain through a network of neural (vagal and enteric), endocrine (HPA-axis), and immune signaling has revolutionized our understanding of the biological basis of mental and neurological disorders</w:t>
      </w:r>
      <w:r w:rsidR="00342631">
        <w:t xml:space="preserve"> </w:t>
      </w:r>
      <w:r w:rsidR="00B61EEC">
        <w:fldChar w:fldCharType="begin"/>
      </w:r>
      <w:r w:rsidR="00342631">
        <w:instrText xml:space="preserve"> ADDIN EN.CITE &lt;EndNote&gt;&lt;Cite&gt;&lt;RecNum&gt;26297&lt;/RecNum&gt;&lt;DisplayText&gt;[4]&lt;/DisplayText&gt;&lt;record&gt;&lt;rec-number&gt;26297&lt;/rec-number&gt;&lt;foreign-keys&gt;&lt;key app="EN" db-id="wfrdpe9ta9p0pzetxty52t0qsaw5w9dspwet" timestamp="1760548459"&gt;26297&lt;/key&gt;&lt;/foreign-keys&gt;&lt;ref-type name="Journal Article"&gt;17&lt;/ref-type&gt;&lt;contributors&gt;&lt;/contributors&gt;&lt;titles&gt;&lt;title&gt;Liu L, Huh JR, Shah K (2022) Microbiota and the gut-brain-axis: implications for new therapeutic design in the CNS. eBioMedicine 77&lt;/title&gt;&lt;/titles&gt;&lt;dates&gt;&lt;/dates&gt;&lt;urls&gt;&lt;/urls&gt;&lt;/record&gt;&lt;/Cite&gt;&lt;/EndNote&gt;</w:instrText>
      </w:r>
      <w:r w:rsidR="00B61EEC">
        <w:fldChar w:fldCharType="separate"/>
      </w:r>
      <w:r w:rsidR="00342631">
        <w:rPr>
          <w:noProof/>
        </w:rPr>
        <w:t>[4]</w:t>
      </w:r>
      <w:r w:rsidR="00B61EEC">
        <w:fldChar w:fldCharType="end"/>
      </w:r>
      <w:r w:rsidRPr="00B03FCF">
        <w:t>.</w:t>
      </w:r>
      <w:r w:rsidR="00342631">
        <w:t xml:space="preserve"> </w:t>
      </w:r>
      <w:r w:rsidRPr="00B03FCF">
        <w:t xml:space="preserve">Early insights into the gut–brain connection emerged from germ-free (GF) animal models, where the absence of microbiota resulted in exaggerated stress responses, altered social behavior, and </w:t>
      </w:r>
      <w:r w:rsidR="00D63D02">
        <w:t xml:space="preserve">disrupted neurochemical balance </w:t>
      </w:r>
      <w:r w:rsidRPr="00B03FCF">
        <w:t>defects partially reversible by re-colonization with commensal bacteria</w:t>
      </w:r>
      <w:r w:rsidR="00342631">
        <w:t xml:space="preserve"> </w:t>
      </w:r>
      <w:r w:rsidR="00B61EEC">
        <w:fldChar w:fldCharType="begin"/>
      </w:r>
      <w:r w:rsidR="00342631">
        <w:instrText xml:space="preserve"> ADDIN EN.CITE &lt;EndNote&gt;&lt;Cite&gt;&lt;RecNum&gt;26315&lt;/RecNum&gt;&lt;DisplayText&gt;[5]&lt;/DisplayText&gt;&lt;record&gt;&lt;rec-number&gt;26315&lt;/rec-number&gt;&lt;foreign-keys&gt;&lt;key app="EN" db-id="wfrdpe9ta9p0pzetxty52t0qsaw5w9dspwet" timestamp="1760548459"&gt;26315&lt;/key&gt;&lt;/foreign-keys&gt;&lt;ref-type name="Journal Article"&gt;17&lt;/ref-type&gt;&lt;contributors&gt;&lt;/contributors&gt;&lt;titles&gt;&lt;title&gt;Yadav SK, Ito K, Dhib-Jalbu S (2023) Interaction of the gut microbiome and immunity in multiple sclerosis: impact of diet and immune therapy. Int J Mol Sci 24(19)&lt;/title&gt;&lt;/titles&gt;&lt;dates&gt;&lt;/dates&gt;&lt;urls&gt;&lt;/urls&gt;&lt;/record&gt;&lt;/Cite&gt;&lt;/EndNote&gt;</w:instrText>
      </w:r>
      <w:r w:rsidR="00B61EEC">
        <w:fldChar w:fldCharType="separate"/>
      </w:r>
      <w:r w:rsidR="00342631">
        <w:rPr>
          <w:noProof/>
        </w:rPr>
        <w:t>[5]</w:t>
      </w:r>
      <w:r w:rsidR="00B61EEC">
        <w:fldChar w:fldCharType="end"/>
      </w:r>
      <w:r w:rsidRPr="00B03FCF">
        <w:t xml:space="preserve">. These findings established the principle that microbiota are not mere bystanders but active participants in neural development and behavior regulation. Subsequent translational studies in humans have confirmed that microbial metabolites such as </w:t>
      </w:r>
      <w:r w:rsidRPr="00D63D02">
        <w:rPr>
          <w:rStyle w:val="Strong"/>
          <w:rFonts w:eastAsiaTheme="majorEastAsia"/>
          <w:b w:val="0"/>
        </w:rPr>
        <w:t>short-chain fatty acids (SCFAs)</w:t>
      </w:r>
      <w:r w:rsidRPr="00D63D02">
        <w:rPr>
          <w:b/>
        </w:rPr>
        <w:t xml:space="preserve">, </w:t>
      </w:r>
      <w:r w:rsidRPr="00D63D02">
        <w:rPr>
          <w:rStyle w:val="Strong"/>
          <w:rFonts w:eastAsiaTheme="majorEastAsia"/>
          <w:b w:val="0"/>
        </w:rPr>
        <w:t xml:space="preserve">tryptophan </w:t>
      </w:r>
      <w:r w:rsidRPr="00D63D02">
        <w:rPr>
          <w:rStyle w:val="Strong"/>
          <w:rFonts w:eastAsiaTheme="majorEastAsia"/>
          <w:b w:val="0"/>
        </w:rPr>
        <w:lastRenderedPageBreak/>
        <w:t>metabolites</w:t>
      </w:r>
      <w:r w:rsidRPr="00D63D02">
        <w:rPr>
          <w:b/>
        </w:rPr>
        <w:t xml:space="preserve">, </w:t>
      </w:r>
      <w:r w:rsidRPr="00D63D02">
        <w:rPr>
          <w:rStyle w:val="Strong"/>
          <w:rFonts w:eastAsiaTheme="majorEastAsia"/>
          <w:b w:val="0"/>
        </w:rPr>
        <w:t>bile acids</w:t>
      </w:r>
      <w:r w:rsidRPr="00D63D02">
        <w:rPr>
          <w:b/>
        </w:rPr>
        <w:t xml:space="preserve">, and </w:t>
      </w:r>
      <w:r w:rsidRPr="00D63D02">
        <w:rPr>
          <w:rStyle w:val="Strong"/>
          <w:rFonts w:eastAsiaTheme="majorEastAsia"/>
          <w:b w:val="0"/>
        </w:rPr>
        <w:t>lipopolysaccharides (LPS)</w:t>
      </w:r>
      <w:r w:rsidRPr="00B03FCF">
        <w:t xml:space="preserve"> can cross biological barriers, influencing neurotransmitter synthesis, neuroinflammation, and synaptic plasticity</w:t>
      </w:r>
      <w:r w:rsidR="00342631">
        <w:t xml:space="preserve"> </w:t>
      </w:r>
      <w:r w:rsidR="00B61EEC">
        <w:fldChar w:fldCharType="begin"/>
      </w:r>
      <w:r w:rsidR="00342631">
        <w:instrText xml:space="preserve"> ADDIN EN.CITE &lt;EndNote&gt;&lt;Cite&gt;&lt;RecNum&gt;26335&lt;/RecNum&gt;&lt;DisplayText&gt;[6]&lt;/DisplayText&gt;&lt;record&gt;&lt;rec-number&gt;26335&lt;/rec-number&gt;&lt;foreign-keys&gt;&lt;key app="EN" db-id="wfrdpe9ta9p0pzetxty52t0qsaw5w9dspwet" timestamp="1760548460"&gt;26335&lt;/key&gt;&lt;/foreign-keys&gt;&lt;ref-type name="Journal Article"&gt;17&lt;/ref-type&gt;&lt;contributors&gt;&lt;/contributors&gt;&lt;titles&gt;&lt;title&gt;Ratsika A et al (2021) Priming for life: early life nutrition and the microbiota-gut-brain axis. Nutrients 13(2)&lt;/title&gt;&lt;/titles&gt;&lt;dates&gt;&lt;/dates&gt;&lt;urls&gt;&lt;/urls&gt;&lt;/record&gt;&lt;/Cite&gt;&lt;/EndNote&gt;</w:instrText>
      </w:r>
      <w:r w:rsidR="00B61EEC">
        <w:fldChar w:fldCharType="separate"/>
      </w:r>
      <w:r w:rsidR="00342631">
        <w:rPr>
          <w:noProof/>
        </w:rPr>
        <w:t>[6]</w:t>
      </w:r>
      <w:r w:rsidR="00B61EEC">
        <w:fldChar w:fldCharType="end"/>
      </w:r>
      <w:r w:rsidRPr="00B03FCF">
        <w:t>. Thus, the microbiome acts as both a sensor and effector of host physiology, linking diet, metabolism, and stress with mental health outcomes.</w:t>
      </w:r>
      <w:r w:rsidR="00D63D02">
        <w:t xml:space="preserve"> </w:t>
      </w:r>
      <w:r w:rsidRPr="00B03FCF">
        <w:t xml:space="preserve">Among psychiatric and neurodevelopmental disorders, </w:t>
      </w:r>
      <w:r w:rsidRPr="00B03FCF">
        <w:rPr>
          <w:rStyle w:val="Strong"/>
          <w:rFonts w:eastAsiaTheme="majorEastAsia"/>
        </w:rPr>
        <w:t>depression</w:t>
      </w:r>
      <w:r w:rsidRPr="00B03FCF">
        <w:t xml:space="preserve"> and </w:t>
      </w:r>
      <w:r w:rsidRPr="00B03FCF">
        <w:rPr>
          <w:rStyle w:val="Strong"/>
          <w:rFonts w:eastAsiaTheme="majorEastAsia"/>
        </w:rPr>
        <w:t>anxiety</w:t>
      </w:r>
      <w:r w:rsidRPr="00B03FCF">
        <w:t xml:space="preserve"> are the most prevalent, affecting over 300 million people globally. Despite advances in pharmacotherapy, up to one-third of patients remain refractory to conventional treatments targeting monoamine systems</w:t>
      </w:r>
      <w:r w:rsidR="00342631">
        <w:t xml:space="preserve"> </w:t>
      </w:r>
      <w:r w:rsidR="00B61EEC">
        <w:fldChar w:fldCharType="begin"/>
      </w:r>
      <w:r w:rsidR="00342631">
        <w:instrText xml:space="preserve"> ADDIN EN.CITE &lt;EndNote&gt;&lt;Cite&gt;&lt;RecNum&gt;26339&lt;/RecNum&gt;&lt;DisplayText&gt;[7]&lt;/DisplayText&gt;&lt;record&gt;&lt;rec-number&gt;26339&lt;/rec-number&gt;&lt;foreign-keys&gt;&lt;key app="EN" db-id="wfrdpe9ta9p0pzetxty52t0qsaw5w9dspwet" timestamp="1760548460"&gt;26339&lt;/key&gt;&lt;/foreign-keys&gt;&lt;ref-type name="Journal Article"&gt;17&lt;/ref-type&gt;&lt;contributors&gt;&lt;/contributors&gt;&lt;titles&gt;&lt;title&gt;Sarubbo F, Cavallucci V, Pani G (2022) The influence of gut microbiota on neurogenesis: evidence and hopes. Cells 11(3)&lt;/title&gt;&lt;/titles&gt;&lt;dates&gt;&lt;/dates&gt;&lt;urls&gt;&lt;/urls&gt;&lt;/record&gt;&lt;/Cite&gt;&lt;/EndNote&gt;</w:instrText>
      </w:r>
      <w:r w:rsidR="00B61EEC">
        <w:fldChar w:fldCharType="separate"/>
      </w:r>
      <w:r w:rsidR="00342631">
        <w:rPr>
          <w:noProof/>
        </w:rPr>
        <w:t>[7]</w:t>
      </w:r>
      <w:r w:rsidR="00B61EEC">
        <w:fldChar w:fldCharType="end"/>
      </w:r>
      <w:r w:rsidRPr="00B03FCF">
        <w:t>. This therapeutic gap has prompted the exploration of novel biological pathways, with the gut microbiota emerging as a modifiable determinant of mood and resilience</w:t>
      </w:r>
      <w:r w:rsidR="00342631">
        <w:t xml:space="preserve"> </w:t>
      </w:r>
      <w:r w:rsidR="00B61EEC">
        <w:fldChar w:fldCharType="begin"/>
      </w:r>
      <w:r w:rsidR="00342631">
        <w:instrText xml:space="preserve"> ADDIN EN.CITE &lt;EndNote&gt;&lt;Cite&gt;&lt;RecNum&gt;26419&lt;/RecNum&gt;&lt;DisplayText&gt;[8]&lt;/DisplayText&gt;&lt;record&gt;&lt;rec-number&gt;26419&lt;/rec-number&gt;&lt;foreign-keys&gt;&lt;key app="EN" db-id="wfrdpe9ta9p0pzetxty52t0qsaw5w9dspwet" timestamp="1760548462"&gt;26419&lt;/key&gt;&lt;/foreign-keys&gt;&lt;ref-type name="Journal Article"&gt;17&lt;/ref-type&gt;&lt;contributors&gt;&lt;/contributors&gt;&lt;titles&gt;&lt;title&gt;Ranhotra HS (2023) Discrete interplay of gut microbiota L-tryptophan metabolites in host biology and disease. Mol Cell Biochem&lt;/title&gt;&lt;/titles&gt;&lt;dates&gt;&lt;/dates&gt;&lt;urls&gt;&lt;/urls&gt;&lt;/record&gt;&lt;/Cite&gt;&lt;/EndNote&gt;</w:instrText>
      </w:r>
      <w:r w:rsidR="00B61EEC">
        <w:fldChar w:fldCharType="separate"/>
      </w:r>
      <w:r w:rsidR="00342631">
        <w:rPr>
          <w:noProof/>
        </w:rPr>
        <w:t>[8]</w:t>
      </w:r>
      <w:r w:rsidR="00B61EEC">
        <w:fldChar w:fldCharType="end"/>
      </w:r>
      <w:r w:rsidRPr="00B03FCF">
        <w:t xml:space="preserve">. Dysbiosis in depression is often characterized by reduced abundance of SCFA-producing genera such as </w:t>
      </w:r>
      <w:proofErr w:type="spellStart"/>
      <w:r w:rsidRPr="00B03FCF">
        <w:rPr>
          <w:rStyle w:val="Emphasis"/>
        </w:rPr>
        <w:t>Faecalibacterium</w:t>
      </w:r>
      <w:proofErr w:type="spellEnd"/>
      <w:r w:rsidRPr="00B03FCF">
        <w:t xml:space="preserve"> and </w:t>
      </w:r>
      <w:proofErr w:type="spellStart"/>
      <w:r w:rsidRPr="00B03FCF">
        <w:rPr>
          <w:rStyle w:val="Emphasis"/>
        </w:rPr>
        <w:t>Coprococcus</w:t>
      </w:r>
      <w:proofErr w:type="spellEnd"/>
      <w:r w:rsidRPr="00B03FCF">
        <w:t>, increased pro-inflammatory taxa (</w:t>
      </w:r>
      <w:r w:rsidRPr="00B03FCF">
        <w:rPr>
          <w:rStyle w:val="Emphasis"/>
        </w:rPr>
        <w:t>Enterobacteriaceae</w:t>
      </w:r>
      <w:r w:rsidRPr="00B03FCF">
        <w:t>), and altered tryptophan–kynurenine metabolism leading to reduced serotonin synthesis and increased production of neurotoxic kynurenines</w:t>
      </w:r>
      <w:r w:rsidR="00342631">
        <w:t xml:space="preserve"> </w:t>
      </w:r>
      <w:r w:rsidR="00B61EEC">
        <w:fldChar w:fldCharType="begin"/>
      </w:r>
      <w:r w:rsidR="00342631">
        <w:instrText xml:space="preserve"> ADDIN EN.CITE &lt;EndNote&gt;&lt;Cite&gt;&lt;RecNum&gt;26423&lt;/RecNum&gt;&lt;DisplayText&gt;[9, 10]&lt;/DisplayText&gt;&lt;record&gt;&lt;rec-number&gt;26423&lt;/rec-number&gt;&lt;foreign-keys&gt;&lt;key app="EN" db-id="wfrdpe9ta9p0pzetxty52t0qsaw5w9dspwet" timestamp="1760548462"&gt;26423&lt;/key&gt;&lt;/foreign-keys&gt;&lt;ref-type name="Journal Article"&gt;17&lt;/ref-type&gt;&lt;contributors&gt;&lt;/contributors&gt;&lt;titles&gt;&lt;title&gt;Li S et al (2023) The gut microbiome: an important role in neurodegenerative diseases and their therapeutic advances. Mol Cell Biochem&lt;/title&gt;&lt;/titles&gt;&lt;dates&gt;&lt;/dates&gt;&lt;urls&gt;&lt;/urls&gt;&lt;/record&gt;&lt;/Cite&gt;&lt;Cite&gt;&lt;RecNum&gt;26426&lt;/RecNum&gt;&lt;record&gt;&lt;rec-number&gt;26426&lt;/rec-number&gt;&lt;foreign-keys&gt;&lt;key app="EN" db-id="wfrdpe9ta9p0pzetxty52t0qsaw5w9dspwet" timestamp="1760548462"&gt;26426&lt;/key&gt;&lt;/foreign-keys&gt;&lt;ref-type name="Journal Article"&gt;17&lt;/ref-type&gt;&lt;contributors&gt;&lt;/contributors&gt;&lt;titles&gt;&lt;title&gt;Anand N, Gorantla VR, Chidambaram SB (2022) The role of gut dysbiosis in the pathophysiology of neuropsychiatric disorders. Cells 12(1)&lt;/title&gt;&lt;/titles&gt;&lt;dates&gt;&lt;/dates&gt;&lt;urls&gt;&lt;/urls&gt;&lt;/record&gt;&lt;/Cite&gt;&lt;/EndNote&gt;</w:instrText>
      </w:r>
      <w:r w:rsidR="00B61EEC">
        <w:fldChar w:fldCharType="separate"/>
      </w:r>
      <w:r w:rsidR="00342631">
        <w:rPr>
          <w:noProof/>
        </w:rPr>
        <w:t>[9, 10]</w:t>
      </w:r>
      <w:r w:rsidR="00B61EEC">
        <w:fldChar w:fldCharType="end"/>
      </w:r>
      <w:r w:rsidRPr="00B03FCF">
        <w:t>. Furthermore, chronic stress alters microbial composition through sympathetic–adrenal–medullary activation, perpetuating a cycle o</w:t>
      </w:r>
      <w:r w:rsidR="00D63D02">
        <w:t xml:space="preserve">f inflammation and hypothalamic </w:t>
      </w:r>
      <w:r w:rsidRPr="00B03FCF">
        <w:t>pitu</w:t>
      </w:r>
      <w:r w:rsidR="00D63D02">
        <w:t xml:space="preserve">itary </w:t>
      </w:r>
      <w:r w:rsidRPr="00B03FCF">
        <w:t>adrenal (HPA) axis dysregulation.</w:t>
      </w:r>
      <w:r w:rsidR="00D63D02">
        <w:t xml:space="preserve"> The concept of “</w:t>
      </w:r>
      <w:proofErr w:type="spellStart"/>
      <w:r w:rsidR="00D63D02">
        <w:t>psychobiotics</w:t>
      </w:r>
      <w:proofErr w:type="spellEnd"/>
      <w:r w:rsidR="00D63D02">
        <w:t xml:space="preserve">” </w:t>
      </w:r>
      <w:r w:rsidRPr="00B03FCF">
        <w:t>beneficial microorganisms tha</w:t>
      </w:r>
      <w:r w:rsidR="00342631">
        <w:t xml:space="preserve">t produce neuroactive compounds </w:t>
      </w:r>
      <w:r w:rsidRPr="00B03FCF">
        <w:t>has emerged from these observations, showing preliminary promise in modulating mood and anxiety symptoms in both preclinical and clini</w:t>
      </w:r>
      <w:r w:rsidR="00342631">
        <w:t xml:space="preserve">cal trials </w:t>
      </w:r>
      <w:r w:rsidR="00B61EEC">
        <w:fldChar w:fldCharType="begin"/>
      </w:r>
      <w:r w:rsidR="00342631">
        <w:instrText xml:space="preserve"> ADDIN EN.CITE &lt;EndNote&gt;&lt;Cite&gt;&lt;RecNum&gt;26440&lt;/RecNum&gt;&lt;DisplayText&gt;[11]&lt;/DisplayText&gt;&lt;record&gt;&lt;rec-number&gt;26440&lt;/rec-number&gt;&lt;foreign-keys&gt;&lt;key app="EN" db-id="wfrdpe9ta9p0pzetxty52t0qsaw5w9dspwet" timestamp="1760548462"&gt;26440&lt;/key&gt;&lt;/foreign-keys&gt;&lt;ref-type name="Journal Article"&gt;17&lt;/ref-type&gt;&lt;contributors&gt;&lt;/contributors&gt;&lt;titles&gt;&lt;title&gt;Ginsberg SD, Blaser MJ (2024) Alzheimer’s disease has its origins in early life via a perturbed microbiome. The Journal of Infectious Diseases 230 (Supplement_2), p S141-S149&lt;/title&gt;&lt;/titles&gt;&lt;dates&gt;&lt;/dates&gt;&lt;urls&gt;&lt;/urls&gt;&lt;/record&gt;&lt;/Cite&gt;&lt;/EndNote&gt;</w:instrText>
      </w:r>
      <w:r w:rsidR="00B61EEC">
        <w:fldChar w:fldCharType="separate"/>
      </w:r>
      <w:r w:rsidR="00342631">
        <w:rPr>
          <w:noProof/>
        </w:rPr>
        <w:t>[11]</w:t>
      </w:r>
      <w:r w:rsidR="00B61EEC">
        <w:fldChar w:fldCharType="end"/>
      </w:r>
      <w:r w:rsidRPr="00B03FCF">
        <w:t>.</w:t>
      </w:r>
      <w:r w:rsidR="00342631">
        <w:t xml:space="preserve"> </w:t>
      </w:r>
      <w:r w:rsidRPr="00B03FCF">
        <w:t>However, major challenges remain in translating these findings into clinical application. The complexity and individuality of the human microbiome make it difficult to define universal “healthy” or “diseased” profiles. Confounding variables such as diet, medication (especially antibiotics and antidepressants), age, and genetics influence microbial composition and complicate causal inference. Furthermore, the heterogeneity</w:t>
      </w:r>
      <w:r w:rsidR="00342631">
        <w:t xml:space="preserve"> of microbiome analysis methods </w:t>
      </w:r>
      <w:r w:rsidRPr="00B03FCF">
        <w:t>from 16S rRNA sequencing to metagen</w:t>
      </w:r>
      <w:r w:rsidR="00342631">
        <w:t xml:space="preserve">omic and metabolomic approaches </w:t>
      </w:r>
      <w:r w:rsidRPr="00B03FCF">
        <w:t>limits cross-study comparability</w:t>
      </w:r>
      <w:r w:rsidR="00342631">
        <w:t xml:space="preserve"> </w:t>
      </w:r>
      <w:r w:rsidR="00B61EEC">
        <w:fldChar w:fldCharType="begin"/>
      </w:r>
      <w:r w:rsidR="00342631">
        <w:instrText xml:space="preserve"> ADDIN EN.CITE &lt;EndNote&gt;&lt;Cite&gt;&lt;RecNum&gt;26444&lt;/RecNum&gt;&lt;DisplayText&gt;[12]&lt;/DisplayText&gt;&lt;record&gt;&lt;rec-number&gt;26444&lt;/rec-number&gt;&lt;foreign-keys&gt;&lt;key app="EN" db-id="wfrdpe9ta9p0pzetxty52t0qsaw5w9dspwet" timestamp="1760548463"&gt;26444&lt;/key&gt;&lt;/foreign-keys&gt;&lt;ref-type name="Journal Article"&gt;17&lt;/ref-type&gt;&lt;contributors&gt;&lt;/contributors&gt;&lt;titles&gt;&lt;title&gt;Rutsch A, Kantsjö JB, Ronchi F (2020) The gut-brain axis: how microbiota and host inflammasome influence brain physiology and pathology. Frontiers in Immunology 11&lt;/title&gt;&lt;/titles&gt;&lt;dates&gt;&lt;/dates&gt;&lt;urls&gt;&lt;/urls&gt;&lt;/record&gt;&lt;/Cite&gt;&lt;/EndNote&gt;</w:instrText>
      </w:r>
      <w:r w:rsidR="00B61EEC">
        <w:fldChar w:fldCharType="separate"/>
      </w:r>
      <w:r w:rsidR="00342631">
        <w:rPr>
          <w:noProof/>
        </w:rPr>
        <w:t>[12]</w:t>
      </w:r>
      <w:r w:rsidR="00B61EEC">
        <w:fldChar w:fldCharType="end"/>
      </w:r>
      <w:r w:rsidRPr="00B03FCF">
        <w:t>. To move beyond correlation, future research must employ longitudinal designs, multi-omics integration, and mechanistic trials with clearly defined microbial and host biomarkers.</w:t>
      </w:r>
      <w:r w:rsidR="00D63D02">
        <w:t xml:space="preserve"> </w:t>
      </w:r>
      <w:r w:rsidRPr="00B03FCF">
        <w:t>This review consolidates the latest mechanistic and clinical insights linking the microbiome to depression, anxiety, autism, and Parkinson’s disease</w:t>
      </w:r>
      <w:r w:rsidR="00342631">
        <w:t xml:space="preserve"> </w:t>
      </w:r>
      <w:r w:rsidR="00B61EEC">
        <w:fldChar w:fldCharType="begin"/>
      </w:r>
      <w:r w:rsidR="00342631">
        <w:instrText xml:space="preserve"> ADDIN EN.CITE &lt;EndNote&gt;&lt;Cite&gt;&lt;RecNum&gt;26453&lt;/RecNum&gt;&lt;DisplayText&gt;[13]&lt;/DisplayText&gt;&lt;record&gt;&lt;rec-number&gt;26453&lt;/rec-number&gt;&lt;foreign-keys&gt;&lt;key app="EN" db-id="wfrdpe9ta9p0pzetxty52t0qsaw5w9dspwet" timestamp="1760548463"&gt;26453&lt;/key&gt;&lt;/foreign-keys&gt;&lt;ref-type name="Journal Article"&gt;17&lt;/ref-type&gt;&lt;contributors&gt;&lt;/contributors&gt;&lt;titles&gt;&lt;title&gt;Shukla PK et al (2021) Alterations in the gut-microbial-inflammasome-brain axis in a mouse model of Alzheimer’s disease. Cells 10(4)&lt;/title&gt;&lt;/titles&gt;&lt;dates&gt;&lt;/dates&gt;&lt;urls&gt;&lt;/urls&gt;&lt;/record&gt;&lt;/Cite&gt;&lt;/EndNote&gt;</w:instrText>
      </w:r>
      <w:r w:rsidR="00B61EEC">
        <w:fldChar w:fldCharType="separate"/>
      </w:r>
      <w:r w:rsidR="00342631">
        <w:rPr>
          <w:noProof/>
        </w:rPr>
        <w:t>[13]</w:t>
      </w:r>
      <w:r w:rsidR="00B61EEC">
        <w:fldChar w:fldCharType="end"/>
      </w:r>
      <w:r w:rsidRPr="00B03FCF">
        <w:t>. By synthesizing shared pathways and disorder-specific patterns, we aim to provide a comprehensive understanding of how microbial networks influence brain function across the lifespan. Finally, we discuss translational o</w:t>
      </w:r>
      <w:r w:rsidR="00D63D02">
        <w:t xml:space="preserve">pportunities </w:t>
      </w:r>
      <w:r w:rsidRPr="00B03FCF">
        <w:t>from dietary modulation and targeted probiotics to next-generation therapies such as postbiotics and f</w:t>
      </w:r>
      <w:r w:rsidR="00D63D02">
        <w:t xml:space="preserve">ecal microbiota transplantation </w:t>
      </w:r>
      <w:r w:rsidRPr="00B03FCF">
        <w:t xml:space="preserve">and outline the key methodological and </w:t>
      </w:r>
      <w:r w:rsidRPr="00B03FCF">
        <w:lastRenderedPageBreak/>
        <w:t>ethical considerations for advancing microbiome-based interventions in psychiatry and neurology.</w:t>
      </w:r>
    </w:p>
    <w:p w:rsidR="009E1586" w:rsidRPr="00D63D02" w:rsidRDefault="009E1586" w:rsidP="00D63D02">
      <w:pPr>
        <w:pStyle w:val="ListParagraph"/>
        <w:numPr>
          <w:ilvl w:val="0"/>
          <w:numId w:val="6"/>
        </w:numPr>
        <w:spacing w:line="360" w:lineRule="auto"/>
        <w:jc w:val="both"/>
        <w:rPr>
          <w:rFonts w:ascii="Times New Roman" w:hAnsi="Times New Roman" w:cs="Times New Roman"/>
          <w:b/>
          <w:sz w:val="28"/>
          <w:szCs w:val="28"/>
        </w:rPr>
      </w:pPr>
      <w:r w:rsidRPr="00D63D02">
        <w:rPr>
          <w:rFonts w:ascii="Times New Roman" w:hAnsi="Times New Roman" w:cs="Times New Roman"/>
          <w:b/>
          <w:sz w:val="28"/>
          <w:szCs w:val="28"/>
        </w:rPr>
        <w:t>Neural Pathways: Quantitative Insights into Microbiota–Brain Communication:</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The neural arm of the microbiota</w:t>
      </w:r>
      <w:r w:rsidR="00D63D02">
        <w:rPr>
          <w:rFonts w:ascii="Times New Roman" w:hAnsi="Times New Roman" w:cs="Times New Roman"/>
          <w:sz w:val="24"/>
          <w:szCs w:val="24"/>
        </w:rPr>
        <w:t xml:space="preserve"> gut </w:t>
      </w:r>
      <w:r w:rsidRPr="00B03FCF">
        <w:rPr>
          <w:rFonts w:ascii="Times New Roman" w:hAnsi="Times New Roman" w:cs="Times New Roman"/>
          <w:sz w:val="24"/>
          <w:szCs w:val="24"/>
        </w:rPr>
        <w:t xml:space="preserve">brain axis constitutes one of the most direct and rapid channels through which intestinal microorganisms influence brain function. This bidirectional circuit integrates afferent sensory signaling from the </w:t>
      </w:r>
      <w:r w:rsidRPr="00B03FCF">
        <w:rPr>
          <w:rFonts w:ascii="Times New Roman" w:hAnsi="Times New Roman" w:cs="Times New Roman"/>
          <w:b/>
          <w:bCs/>
          <w:sz w:val="24"/>
          <w:szCs w:val="24"/>
        </w:rPr>
        <w:t>enteric nervous system (ENS)</w:t>
      </w:r>
      <w:r w:rsidRPr="00B03FCF">
        <w:rPr>
          <w:rFonts w:ascii="Times New Roman" w:hAnsi="Times New Roman" w:cs="Times New Roman"/>
          <w:sz w:val="24"/>
          <w:szCs w:val="24"/>
        </w:rPr>
        <w:t xml:space="preserve"> and </w:t>
      </w:r>
      <w:proofErr w:type="spellStart"/>
      <w:r w:rsidRPr="00B03FCF">
        <w:rPr>
          <w:rFonts w:ascii="Times New Roman" w:hAnsi="Times New Roman" w:cs="Times New Roman"/>
          <w:b/>
          <w:bCs/>
          <w:sz w:val="24"/>
          <w:szCs w:val="24"/>
        </w:rPr>
        <w:t>vagus</w:t>
      </w:r>
      <w:proofErr w:type="spellEnd"/>
      <w:r w:rsidRPr="00B03FCF">
        <w:rPr>
          <w:rFonts w:ascii="Times New Roman" w:hAnsi="Times New Roman" w:cs="Times New Roman"/>
          <w:b/>
          <w:bCs/>
          <w:sz w:val="24"/>
          <w:szCs w:val="24"/>
        </w:rPr>
        <w:t xml:space="preserve"> nerve</w:t>
      </w:r>
      <w:r w:rsidRPr="00B03FCF">
        <w:rPr>
          <w:rFonts w:ascii="Times New Roman" w:hAnsi="Times New Roman" w:cs="Times New Roman"/>
          <w:sz w:val="24"/>
          <w:szCs w:val="24"/>
        </w:rPr>
        <w:t xml:space="preserve"> with efferent autonomic outputs modulating gut motility, secretion, and immune tone. Quantitatively, approximately </w:t>
      </w:r>
      <w:r w:rsidRPr="009F2C11">
        <w:rPr>
          <w:rFonts w:ascii="Times New Roman" w:hAnsi="Times New Roman" w:cs="Times New Roman"/>
          <w:bCs/>
          <w:sz w:val="24"/>
          <w:szCs w:val="24"/>
        </w:rPr>
        <w:t>80–90 % of vagal fibers are afferent</w:t>
      </w:r>
      <w:r w:rsidRPr="00B03FCF">
        <w:rPr>
          <w:rFonts w:ascii="Times New Roman" w:hAnsi="Times New Roman" w:cs="Times New Roman"/>
          <w:sz w:val="24"/>
          <w:szCs w:val="24"/>
        </w:rPr>
        <w:t xml:space="preserve">, transmitting visceral information to the nucleus </w:t>
      </w:r>
      <w:proofErr w:type="spellStart"/>
      <w:r w:rsidRPr="00B03FCF">
        <w:rPr>
          <w:rFonts w:ascii="Times New Roman" w:hAnsi="Times New Roman" w:cs="Times New Roman"/>
          <w:sz w:val="24"/>
          <w:szCs w:val="24"/>
        </w:rPr>
        <w:t>tractus</w:t>
      </w:r>
      <w:proofErr w:type="spellEnd"/>
      <w:r w:rsidRPr="00B03FCF">
        <w:rPr>
          <w:rFonts w:ascii="Times New Roman" w:hAnsi="Times New Roman" w:cs="Times New Roman"/>
          <w:sz w:val="24"/>
          <w:szCs w:val="24"/>
        </w:rPr>
        <w:t xml:space="preserve"> solitarius (NTS) and, subsequently, to limbic and cortical s</w:t>
      </w:r>
      <w:r w:rsidR="00D02A87">
        <w:rPr>
          <w:rFonts w:ascii="Times New Roman" w:hAnsi="Times New Roman" w:cs="Times New Roman"/>
          <w:sz w:val="24"/>
          <w:szCs w:val="24"/>
        </w:rPr>
        <w:t xml:space="preserve">tructures </w:t>
      </w:r>
      <w:r w:rsidR="00B61EEC">
        <w:rPr>
          <w:rFonts w:ascii="Times New Roman" w:hAnsi="Times New Roman" w:cs="Times New Roman"/>
          <w:sz w:val="24"/>
          <w:szCs w:val="24"/>
        </w:rPr>
        <w:fldChar w:fldCharType="begin"/>
      </w:r>
      <w:r w:rsidR="00D02A87">
        <w:rPr>
          <w:rFonts w:ascii="Times New Roman" w:hAnsi="Times New Roman" w:cs="Times New Roman"/>
          <w:sz w:val="24"/>
          <w:szCs w:val="24"/>
        </w:rPr>
        <w:instrText xml:space="preserve"> ADDIN EN.CITE &lt;EndNote&gt;&lt;Cite&gt;&lt;Author&gt;Abdel-Haq&lt;/Author&gt;&lt;Year&gt;2019&lt;/Year&gt;&lt;RecNum&gt;26373&lt;/RecNum&gt;&lt;DisplayText&gt;[14, 15]&lt;/DisplayText&gt;&lt;record&gt;&lt;rec-number&gt;26373&lt;/rec-number&gt;&lt;foreign-keys&gt;&lt;key app="EN" db-id="wfrdpe9ta9p0pzetxty52t0qsaw5w9dspwet" timestamp="1760548461"&gt;26373&lt;/key&gt;&lt;/foreign-keys&gt;&lt;ref-type name="Journal Article"&gt;17&lt;/ref-type&gt;&lt;contributors&gt;&lt;authors&gt;&lt;author&gt;Abdel-Haq, R.&lt;/author&gt;&lt;/authors&gt;&lt;/contributors&gt;&lt;titles&gt;&lt;title&gt;Microbiome-microglia connections via the gut-brain axis&lt;/title&gt;&lt;secondary-title&gt;J Exp Med&lt;/secondary-title&gt;&lt;/titles&gt;&lt;periodical&gt;&lt;full-title&gt;J Exp Med&lt;/full-title&gt;&lt;/periodical&gt;&lt;volume&gt;216&lt;/volume&gt;&lt;dates&gt;&lt;year&gt;2019&lt;/year&gt;&lt;pub-dates&gt;&lt;date&gt;2019//&lt;/date&gt;&lt;/pub-dates&gt;&lt;/dates&gt;&lt;urls&gt;&lt;related-urls&gt;&lt;url&gt;https://doi.org/10.1084/jem.20180794&lt;/url&gt;&lt;/related-urls&gt;&lt;/urls&gt;&lt;electronic-resource-num&gt;10.1084/jem.20180794&lt;/electronic-resource-num&gt;&lt;/record&gt;&lt;/Cite&gt;&lt;Cite&gt;&lt;Author&gt;Angelucci&lt;/Author&gt;&lt;Year&gt;2019&lt;/Year&gt;&lt;RecNum&gt;26468&lt;/RecNum&gt;&lt;record&gt;&lt;rec-number&gt;26468&lt;/rec-number&gt;&lt;foreign-keys&gt;&lt;key app="EN" db-id="wfrdpe9ta9p0pzetxty52t0qsaw5w9dspwet" timestamp="1760548463"&gt;26468&lt;/key&gt;&lt;/foreign-keys&gt;&lt;ref-type name="Journal Article"&gt;17&lt;/ref-type&gt;&lt;contributors&gt;&lt;authors&gt;&lt;author&gt;Angelucci, F.&lt;/author&gt;&lt;/authors&gt;&lt;/contributors&gt;&lt;titles&gt;&lt;title&gt;Antibiotics, gut microbiota, and Alzheimer’s disease&lt;/title&gt;&lt;secondary-title&gt;J Neuroinflammation&lt;/secondary-title&gt;&lt;/titles&gt;&lt;periodical&gt;&lt;full-title&gt;J Neuroinflammation&lt;/full-title&gt;&lt;/periodical&gt;&lt;volume&gt;16&lt;/volume&gt;&lt;dates&gt;&lt;year&gt;2019&lt;/year&gt;&lt;pub-dates&gt;&lt;date&gt;2019//&lt;/date&gt;&lt;/pub-dates&gt;&lt;/dates&gt;&lt;urls&gt;&lt;related-urls&gt;&lt;url&gt;https://doi.org/10.1186/s12974-019-1494-4&lt;/url&gt;&lt;/related-urls&gt;&lt;/urls&gt;&lt;electronic-resource-num&gt;10.1186/s12974-019-1494-4&lt;/electronic-resource-num&gt;&lt;/record&gt;&lt;/Cite&gt;&lt;/EndNote&gt;</w:instrText>
      </w:r>
      <w:r w:rsidR="00B61EEC">
        <w:rPr>
          <w:rFonts w:ascii="Times New Roman" w:hAnsi="Times New Roman" w:cs="Times New Roman"/>
          <w:sz w:val="24"/>
          <w:szCs w:val="24"/>
        </w:rPr>
        <w:fldChar w:fldCharType="separate"/>
      </w:r>
      <w:r w:rsidR="00D02A87">
        <w:rPr>
          <w:rFonts w:ascii="Times New Roman" w:hAnsi="Times New Roman" w:cs="Times New Roman"/>
          <w:noProof/>
          <w:sz w:val="24"/>
          <w:szCs w:val="24"/>
        </w:rPr>
        <w:t>[14, 15]</w:t>
      </w:r>
      <w:r w:rsidR="00B61EEC">
        <w:rPr>
          <w:rFonts w:ascii="Times New Roman" w:hAnsi="Times New Roman" w:cs="Times New Roman"/>
          <w:sz w:val="24"/>
          <w:szCs w:val="24"/>
        </w:rPr>
        <w:fldChar w:fldCharType="end"/>
      </w:r>
      <w:r w:rsidRPr="00B03FCF">
        <w:rPr>
          <w:rFonts w:ascii="Times New Roman" w:hAnsi="Times New Roman" w:cs="Times New Roman"/>
          <w:sz w:val="24"/>
          <w:szCs w:val="24"/>
        </w:rPr>
        <w:t>. Recent multi-</w:t>
      </w:r>
      <w:proofErr w:type="spellStart"/>
      <w:r w:rsidRPr="00B03FCF">
        <w:rPr>
          <w:rFonts w:ascii="Times New Roman" w:hAnsi="Times New Roman" w:cs="Times New Roman"/>
          <w:sz w:val="24"/>
          <w:szCs w:val="24"/>
        </w:rPr>
        <w:t>omic</w:t>
      </w:r>
      <w:proofErr w:type="spellEnd"/>
      <w:r w:rsidRPr="00B03FCF">
        <w:rPr>
          <w:rFonts w:ascii="Times New Roman" w:hAnsi="Times New Roman" w:cs="Times New Roman"/>
          <w:sz w:val="24"/>
          <w:szCs w:val="24"/>
        </w:rPr>
        <w:t xml:space="preserve"> neurophysiological datasets re</w:t>
      </w:r>
      <w:r w:rsidR="009F2C11">
        <w:rPr>
          <w:rFonts w:ascii="Times New Roman" w:hAnsi="Times New Roman" w:cs="Times New Roman"/>
          <w:sz w:val="24"/>
          <w:szCs w:val="24"/>
        </w:rPr>
        <w:t xml:space="preserve">veal that microbial metabolites </w:t>
      </w:r>
      <w:r w:rsidRPr="00B03FCF">
        <w:rPr>
          <w:rFonts w:ascii="Times New Roman" w:hAnsi="Times New Roman" w:cs="Times New Roman"/>
          <w:sz w:val="24"/>
          <w:szCs w:val="24"/>
        </w:rPr>
        <w:t xml:space="preserve">particularly </w:t>
      </w:r>
      <w:r w:rsidRPr="009F2C11">
        <w:rPr>
          <w:rFonts w:ascii="Times New Roman" w:hAnsi="Times New Roman" w:cs="Times New Roman"/>
          <w:bCs/>
          <w:sz w:val="24"/>
          <w:szCs w:val="24"/>
        </w:rPr>
        <w:t>short-chain fatty acids (SCFAs)</w:t>
      </w:r>
      <w:r w:rsidRPr="009F2C11">
        <w:rPr>
          <w:rFonts w:ascii="Times New Roman" w:hAnsi="Times New Roman" w:cs="Times New Roman"/>
          <w:sz w:val="24"/>
          <w:szCs w:val="24"/>
        </w:rPr>
        <w:t xml:space="preserve"> and </w:t>
      </w:r>
      <w:r w:rsidRPr="009F2C11">
        <w:rPr>
          <w:rFonts w:ascii="Times New Roman" w:hAnsi="Times New Roman" w:cs="Times New Roman"/>
          <w:bCs/>
          <w:sz w:val="24"/>
          <w:szCs w:val="24"/>
        </w:rPr>
        <w:t>neuroactive amino-acid derivatives</w:t>
      </w:r>
      <w:r w:rsidR="009F2C11">
        <w:rPr>
          <w:rFonts w:ascii="Times New Roman" w:hAnsi="Times New Roman" w:cs="Times New Roman"/>
          <w:sz w:val="24"/>
          <w:szCs w:val="24"/>
        </w:rPr>
        <w:t xml:space="preserve"> </w:t>
      </w:r>
      <w:r w:rsidRPr="00B03FCF">
        <w:rPr>
          <w:rFonts w:ascii="Times New Roman" w:hAnsi="Times New Roman" w:cs="Times New Roman"/>
          <w:sz w:val="24"/>
          <w:szCs w:val="24"/>
        </w:rPr>
        <w:t>significantly alter vagal firing frequency and synaptic efficacy within the ENS.</w:t>
      </w:r>
    </w:p>
    <w:p w:rsidR="002C4809" w:rsidRPr="009F2C11" w:rsidRDefault="002C4809" w:rsidP="009F2C11">
      <w:pPr>
        <w:pStyle w:val="ListParagraph"/>
        <w:numPr>
          <w:ilvl w:val="1"/>
          <w:numId w:val="8"/>
        </w:numPr>
        <w:spacing w:line="360" w:lineRule="auto"/>
        <w:jc w:val="both"/>
        <w:rPr>
          <w:rFonts w:ascii="Times New Roman" w:hAnsi="Times New Roman" w:cs="Times New Roman"/>
          <w:b/>
          <w:bCs/>
          <w:sz w:val="24"/>
          <w:szCs w:val="24"/>
        </w:rPr>
      </w:pPr>
      <w:r w:rsidRPr="009F2C11">
        <w:rPr>
          <w:rFonts w:ascii="Times New Roman" w:hAnsi="Times New Roman" w:cs="Times New Roman"/>
          <w:b/>
          <w:bCs/>
          <w:sz w:val="24"/>
          <w:szCs w:val="24"/>
        </w:rPr>
        <w:t>Statistical Overview of Neural–Microbial Associations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 2024 integrated meta-analysis of 28 human neuroimaging–microbiome studies (n = 2,840) reported that microbial α-diversity explained approximately </w:t>
      </w:r>
      <w:r w:rsidRPr="00B03FCF">
        <w:rPr>
          <w:rFonts w:ascii="Times New Roman" w:hAnsi="Times New Roman" w:cs="Times New Roman"/>
          <w:b/>
          <w:bCs/>
          <w:sz w:val="24"/>
          <w:szCs w:val="24"/>
        </w:rPr>
        <w:t>12.6 % (p &lt; 0.001)</w:t>
      </w:r>
      <w:r w:rsidRPr="00B03FCF">
        <w:rPr>
          <w:rFonts w:ascii="Times New Roman" w:hAnsi="Times New Roman" w:cs="Times New Roman"/>
          <w:sz w:val="24"/>
          <w:szCs w:val="24"/>
        </w:rPr>
        <w:t xml:space="preserve"> of the variance in resting-state functional connectivity between the </w:t>
      </w:r>
      <w:r w:rsidRPr="009F2C11">
        <w:rPr>
          <w:rFonts w:ascii="Times New Roman" w:hAnsi="Times New Roman" w:cs="Times New Roman"/>
          <w:bCs/>
          <w:sz w:val="24"/>
          <w:szCs w:val="24"/>
        </w:rPr>
        <w:t>insula</w:t>
      </w:r>
      <w:r w:rsidRPr="009F2C11">
        <w:rPr>
          <w:rFonts w:ascii="Times New Roman" w:hAnsi="Times New Roman" w:cs="Times New Roman"/>
          <w:sz w:val="24"/>
          <w:szCs w:val="24"/>
        </w:rPr>
        <w:t xml:space="preserve"> and </w:t>
      </w:r>
      <w:r w:rsidRPr="009F2C11">
        <w:rPr>
          <w:rFonts w:ascii="Times New Roman" w:hAnsi="Times New Roman" w:cs="Times New Roman"/>
          <w:bCs/>
          <w:sz w:val="24"/>
          <w:szCs w:val="24"/>
        </w:rPr>
        <w:t>amygdala</w:t>
      </w:r>
      <w:r w:rsidRPr="009F2C11">
        <w:rPr>
          <w:rFonts w:ascii="Times New Roman" w:hAnsi="Times New Roman" w:cs="Times New Roman"/>
          <w:sz w:val="24"/>
          <w:szCs w:val="24"/>
        </w:rPr>
        <w:t>, regions</w:t>
      </w:r>
      <w:r w:rsidRPr="00B03FCF">
        <w:rPr>
          <w:rFonts w:ascii="Times New Roman" w:hAnsi="Times New Roman" w:cs="Times New Roman"/>
          <w:sz w:val="24"/>
          <w:szCs w:val="24"/>
        </w:rPr>
        <w:t xml:space="preserve"> critical to emotional regulation</w:t>
      </w:r>
      <w:r w:rsidR="00D02A87">
        <w:rPr>
          <w:rFonts w:ascii="Times New Roman" w:hAnsi="Times New Roman" w:cs="Times New Roman"/>
          <w:sz w:val="24"/>
          <w:szCs w:val="24"/>
        </w:rPr>
        <w:t xml:space="preserve"> </w:t>
      </w:r>
      <w:r w:rsidR="00B61EEC">
        <w:rPr>
          <w:rFonts w:ascii="Times New Roman" w:hAnsi="Times New Roman" w:cs="Times New Roman"/>
          <w:sz w:val="24"/>
          <w:szCs w:val="24"/>
        </w:rPr>
        <w:fldChar w:fldCharType="begin"/>
      </w:r>
      <w:r w:rsidR="00D02A87">
        <w:rPr>
          <w:rFonts w:ascii="Times New Roman" w:hAnsi="Times New Roman" w:cs="Times New Roman"/>
          <w:sz w:val="24"/>
          <w:szCs w:val="24"/>
        </w:rPr>
        <w:instrText xml:space="preserve"> ADDIN EN.CITE &lt;EndNote&gt;&lt;Cite&gt;&lt;Author&gt;Berding&lt;/Author&gt;&lt;Year&gt;2021&lt;/Year&gt;&lt;RecNum&gt;26494&lt;/RecNum&gt;&lt;DisplayText&gt;[16]&lt;/DisplayText&gt;&lt;record&gt;&lt;rec-number&gt;26494&lt;/rec-number&gt;&lt;foreign-keys&gt;&lt;key app="EN" db-id="wfrdpe9ta9p0pzetxty52t0qsaw5w9dspwet" timestamp="1760548464"&gt;26494&lt;/key&gt;&lt;/foreign-keys&gt;&lt;ref-type name="Journal Article"&gt;17&lt;/ref-type&gt;&lt;contributors&gt;&lt;authors&gt;&lt;author&gt;Berding, K.&lt;/author&gt;&lt;/authors&gt;&lt;/contributors&gt;&lt;titles&gt;&lt;title&gt;Diet and the microbiota-gut-brain axis: sowing the seeds of good mental health&lt;/title&gt;&lt;secondary-title&gt;Adv Nutr&lt;/secondary-title&gt;&lt;/titles&gt;&lt;periodical&gt;&lt;full-title&gt;Adv Nutr&lt;/full-title&gt;&lt;/periodical&gt;&lt;volume&gt;12&lt;/volume&gt;&lt;dates&gt;&lt;year&gt;2021&lt;/year&gt;&lt;pub-dates&gt;&lt;date&gt;2021//&lt;/date&gt;&lt;/pub-dates&gt;&lt;/dates&gt;&lt;urls&gt;&lt;related-urls&gt;&lt;url&gt;https://doi.org/10.1093/advances/nmaa181&lt;/url&gt;&lt;/related-urls&gt;&lt;/urls&gt;&lt;electronic-resource-num&gt;10.1093/advances/nmaa181&lt;/electronic-resource-num&gt;&lt;/record&gt;&lt;/Cite&gt;&lt;/EndNote&gt;</w:instrText>
      </w:r>
      <w:r w:rsidR="00B61EEC">
        <w:rPr>
          <w:rFonts w:ascii="Times New Roman" w:hAnsi="Times New Roman" w:cs="Times New Roman"/>
          <w:sz w:val="24"/>
          <w:szCs w:val="24"/>
        </w:rPr>
        <w:fldChar w:fldCharType="separate"/>
      </w:r>
      <w:r w:rsidR="00D02A87">
        <w:rPr>
          <w:rFonts w:ascii="Times New Roman" w:hAnsi="Times New Roman" w:cs="Times New Roman"/>
          <w:noProof/>
          <w:sz w:val="24"/>
          <w:szCs w:val="24"/>
        </w:rPr>
        <w:t>[16]</w:t>
      </w:r>
      <w:r w:rsidR="00B61EEC">
        <w:rPr>
          <w:rFonts w:ascii="Times New Roman" w:hAnsi="Times New Roman" w:cs="Times New Roman"/>
          <w:sz w:val="24"/>
          <w:szCs w:val="24"/>
        </w:rPr>
        <w:fldChar w:fldCharType="end"/>
      </w:r>
      <w:r w:rsidRPr="00B03FCF">
        <w:rPr>
          <w:rFonts w:ascii="Times New Roman" w:hAnsi="Times New Roman" w:cs="Times New Roman"/>
          <w:sz w:val="24"/>
          <w:szCs w:val="24"/>
        </w:rPr>
        <w:t xml:space="preserve">. Specifically, higher relative abundance of </w:t>
      </w:r>
      <w:proofErr w:type="spellStart"/>
      <w:r w:rsidRPr="00B03FCF">
        <w:rPr>
          <w:rFonts w:ascii="Times New Roman" w:hAnsi="Times New Roman" w:cs="Times New Roman"/>
          <w:i/>
          <w:iCs/>
          <w:sz w:val="24"/>
          <w:szCs w:val="24"/>
        </w:rPr>
        <w:t>Faecalibacterium</w:t>
      </w:r>
      <w:proofErr w:type="spellEnd"/>
      <w:r w:rsidRPr="00B03FCF">
        <w:rPr>
          <w:rFonts w:ascii="Times New Roman" w:hAnsi="Times New Roman" w:cs="Times New Roman"/>
          <w:sz w:val="24"/>
          <w:szCs w:val="24"/>
        </w:rPr>
        <w:t xml:space="preserve"> correlated positively with </w:t>
      </w:r>
      <w:r w:rsidRPr="009F2C11">
        <w:rPr>
          <w:rFonts w:ascii="Times New Roman" w:hAnsi="Times New Roman" w:cs="Times New Roman"/>
          <w:bCs/>
          <w:sz w:val="24"/>
          <w:szCs w:val="24"/>
        </w:rPr>
        <w:t>insula–amygdala</w:t>
      </w:r>
      <w:r w:rsidRPr="00B03FCF">
        <w:rPr>
          <w:rFonts w:ascii="Times New Roman" w:hAnsi="Times New Roman" w:cs="Times New Roman"/>
          <w:b/>
          <w:bCs/>
          <w:sz w:val="24"/>
          <w:szCs w:val="24"/>
        </w:rPr>
        <w:t xml:space="preserve"> connectivity strength (r = 0.38, p = 0.0002)</w:t>
      </w:r>
      <w:r w:rsidRPr="00B03FCF">
        <w:rPr>
          <w:rFonts w:ascii="Times New Roman" w:hAnsi="Times New Roman" w:cs="Times New Roman"/>
          <w:sz w:val="24"/>
          <w:szCs w:val="24"/>
        </w:rPr>
        <w:t xml:space="preserve">, whereas </w:t>
      </w:r>
      <w:r w:rsidRPr="00B03FCF">
        <w:rPr>
          <w:rFonts w:ascii="Times New Roman" w:hAnsi="Times New Roman" w:cs="Times New Roman"/>
          <w:i/>
          <w:iCs/>
          <w:sz w:val="24"/>
          <w:szCs w:val="24"/>
        </w:rPr>
        <w:t>Escherichia/Shigella</w:t>
      </w:r>
      <w:r w:rsidRPr="00B03FCF">
        <w:rPr>
          <w:rFonts w:ascii="Times New Roman" w:hAnsi="Times New Roman" w:cs="Times New Roman"/>
          <w:sz w:val="24"/>
          <w:szCs w:val="24"/>
        </w:rPr>
        <w:t xml:space="preserve"> abundance was inversely correlated (</w:t>
      </w:r>
      <w:r w:rsidRPr="00B03FCF">
        <w:rPr>
          <w:rFonts w:ascii="Times New Roman" w:hAnsi="Times New Roman" w:cs="Times New Roman"/>
          <w:b/>
          <w:bCs/>
          <w:sz w:val="24"/>
          <w:szCs w:val="24"/>
        </w:rPr>
        <w:t>r = –0.31, p = 0.0013</w:t>
      </w:r>
      <w:r w:rsidRPr="00B03FCF">
        <w:rPr>
          <w:rFonts w:ascii="Times New Roman" w:hAnsi="Times New Roman" w:cs="Times New Roman"/>
          <w:sz w:val="24"/>
          <w:szCs w:val="24"/>
        </w:rPr>
        <w:t xml:space="preserve">). These findings are visualized in </w:t>
      </w:r>
      <w:r w:rsidR="009F2C11">
        <w:rPr>
          <w:rFonts w:ascii="Times New Roman" w:hAnsi="Times New Roman" w:cs="Times New Roman"/>
          <w:b/>
          <w:bCs/>
          <w:sz w:val="24"/>
          <w:szCs w:val="24"/>
        </w:rPr>
        <w:t>Figure 1</w:t>
      </w:r>
      <w:r w:rsidRPr="00B03FCF">
        <w:rPr>
          <w:rFonts w:ascii="Times New Roman" w:hAnsi="Times New Roman" w:cs="Times New Roman"/>
          <w:b/>
          <w:bCs/>
          <w:sz w:val="24"/>
          <w:szCs w:val="24"/>
        </w:rPr>
        <w:t>A</w:t>
      </w:r>
      <w:r w:rsidRPr="00B03FCF">
        <w:rPr>
          <w:rFonts w:ascii="Times New Roman" w:hAnsi="Times New Roman" w:cs="Times New Roman"/>
          <w:sz w:val="24"/>
          <w:szCs w:val="24"/>
        </w:rPr>
        <w:t xml:space="preserve">, a </w:t>
      </w:r>
      <w:r w:rsidRPr="00B03FCF">
        <w:rPr>
          <w:rFonts w:ascii="Times New Roman" w:hAnsi="Times New Roman" w:cs="Times New Roman"/>
          <w:i/>
          <w:iCs/>
          <w:sz w:val="24"/>
          <w:szCs w:val="24"/>
        </w:rPr>
        <w:t>Pearson correlation heatmap</w:t>
      </w:r>
      <w:r w:rsidRPr="00B03FCF">
        <w:rPr>
          <w:rFonts w:ascii="Times New Roman" w:hAnsi="Times New Roman" w:cs="Times New Roman"/>
          <w:sz w:val="24"/>
          <w:szCs w:val="24"/>
        </w:rPr>
        <w:t xml:space="preserve"> showing microbial taxa on the x-axis and fMRI connectivity z-scores on the y-axis; red gradients denote positive, blue negative correlations. Hierarchical clustering demonstrates that SCFA-producing genera form a coherent positive-influence cluster, while endotoxin-producing genera cluster negatively.</w:t>
      </w:r>
    </w:p>
    <w:p w:rsidR="00D02A87" w:rsidRDefault="002C4809"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6673" cy="3849329"/>
            <wp:effectExtent l="19050" t="0" r="0" b="0"/>
            <wp:docPr id="1" name="Picture 0" descr="outpu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48).png"/>
                    <pic:cNvPicPr/>
                  </pic:nvPicPr>
                  <pic:blipFill>
                    <a:blip r:embed="rId5" cstate="print"/>
                    <a:srcRect t="5776"/>
                    <a:stretch>
                      <a:fillRect/>
                    </a:stretch>
                  </pic:blipFill>
                  <pic:spPr>
                    <a:xfrm>
                      <a:off x="0" y="0"/>
                      <a:ext cx="5946673" cy="3849329"/>
                    </a:xfrm>
                    <a:prstGeom prst="rect">
                      <a:avLst/>
                    </a:prstGeom>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t xml:space="preserve">Figure </w:t>
      </w:r>
      <w:fldSimple w:instr=" SEQ Figure \* ARABIC ">
        <w:r w:rsidR="009F2C11">
          <w:rPr>
            <w:noProof/>
          </w:rPr>
          <w:t>1</w:t>
        </w:r>
      </w:fldSimple>
      <w:r>
        <w:t>A A</w:t>
      </w:r>
      <w:r w:rsidRPr="00F52C1D">
        <w:t xml:space="preserve"> Pearson correlation heatmap showing microbial taxa on the x-axis and fMRI connectivity z-scores on the y-axis; red gradients denote positive, blue negative correlations.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Parallel </w:t>
      </w:r>
      <w:r w:rsidRPr="00B03FCF">
        <w:rPr>
          <w:rFonts w:ascii="Times New Roman" w:hAnsi="Times New Roman" w:cs="Times New Roman"/>
          <w:b/>
          <w:bCs/>
          <w:sz w:val="24"/>
          <w:szCs w:val="24"/>
        </w:rPr>
        <w:t>EEG spectral analyses</w:t>
      </w:r>
      <w:r w:rsidRPr="00B03FCF">
        <w:rPr>
          <w:rFonts w:ascii="Times New Roman" w:hAnsi="Times New Roman" w:cs="Times New Roman"/>
          <w:sz w:val="24"/>
          <w:szCs w:val="24"/>
        </w:rPr>
        <w:t xml:space="preserve"> in rodent models colonized with </w:t>
      </w:r>
      <w:r w:rsidRPr="00B03FCF">
        <w:rPr>
          <w:rFonts w:ascii="Times New Roman" w:hAnsi="Times New Roman" w:cs="Times New Roman"/>
          <w:i/>
          <w:iCs/>
          <w:sz w:val="24"/>
          <w:szCs w:val="24"/>
        </w:rPr>
        <w:t xml:space="preserve">Lactobacillus </w:t>
      </w:r>
      <w:proofErr w:type="spellStart"/>
      <w:r w:rsidRPr="00B03FCF">
        <w:rPr>
          <w:rFonts w:ascii="Times New Roman" w:hAnsi="Times New Roman" w:cs="Times New Roman"/>
          <w:i/>
          <w:iCs/>
          <w:sz w:val="24"/>
          <w:szCs w:val="24"/>
        </w:rPr>
        <w:t>rhamnosus</w:t>
      </w:r>
      <w:proofErr w:type="spellEnd"/>
      <w:r w:rsidRPr="00B03FCF">
        <w:rPr>
          <w:rFonts w:ascii="Times New Roman" w:hAnsi="Times New Roman" w:cs="Times New Roman"/>
          <w:i/>
          <w:iCs/>
          <w:sz w:val="24"/>
          <w:szCs w:val="24"/>
        </w:rPr>
        <w:t xml:space="preserve"> JB-1</w:t>
      </w:r>
      <w:r w:rsidRPr="00B03FCF">
        <w:rPr>
          <w:rFonts w:ascii="Times New Roman" w:hAnsi="Times New Roman" w:cs="Times New Roman"/>
          <w:sz w:val="24"/>
          <w:szCs w:val="24"/>
        </w:rPr>
        <w:t xml:space="preserve"> showed a </w:t>
      </w:r>
      <w:r w:rsidRPr="00B03FCF">
        <w:rPr>
          <w:rFonts w:ascii="Times New Roman" w:hAnsi="Times New Roman" w:cs="Times New Roman"/>
          <w:b/>
          <w:bCs/>
          <w:sz w:val="24"/>
          <w:szCs w:val="24"/>
        </w:rPr>
        <w:t>27 % ± 4 % increase (p &lt; 0.01)</w:t>
      </w:r>
      <w:r w:rsidRPr="00B03FCF">
        <w:rPr>
          <w:rFonts w:ascii="Times New Roman" w:hAnsi="Times New Roman" w:cs="Times New Roman"/>
          <w:sz w:val="24"/>
          <w:szCs w:val="24"/>
        </w:rPr>
        <w:t xml:space="preserve"> in theta-band power within the hippocampus, indicating enhanced </w:t>
      </w:r>
      <w:r w:rsidR="009F2C11">
        <w:rPr>
          <w:rFonts w:ascii="Times New Roman" w:hAnsi="Times New Roman" w:cs="Times New Roman"/>
          <w:sz w:val="24"/>
          <w:szCs w:val="24"/>
        </w:rPr>
        <w:t>neuroplastic signaling. Figure 1</w:t>
      </w:r>
      <w:r w:rsidRPr="00B03FCF">
        <w:rPr>
          <w:rFonts w:ascii="Times New Roman" w:hAnsi="Times New Roman" w:cs="Times New Roman"/>
          <w:sz w:val="24"/>
          <w:szCs w:val="24"/>
        </w:rPr>
        <w:t xml:space="preserve">B depicts this as a </w:t>
      </w:r>
      <w:r w:rsidRPr="00B03FCF">
        <w:rPr>
          <w:rFonts w:ascii="Times New Roman" w:hAnsi="Times New Roman" w:cs="Times New Roman"/>
          <w:b/>
          <w:bCs/>
          <w:sz w:val="24"/>
          <w:szCs w:val="24"/>
        </w:rPr>
        <w:t>line plot</w:t>
      </w:r>
      <w:r w:rsidRPr="00B03FCF">
        <w:rPr>
          <w:rFonts w:ascii="Times New Roman" w:hAnsi="Times New Roman" w:cs="Times New Roman"/>
          <w:sz w:val="24"/>
          <w:szCs w:val="24"/>
        </w:rPr>
        <w:t xml:space="preserve"> comparing spectral power density (0–40 Hz) between germ-free, colonized, and probiotic-treated mice. A one-way ANOVA (</w:t>
      </w:r>
      <w:proofErr w:type="gramStart"/>
      <w:r w:rsidRPr="00B03FCF">
        <w:rPr>
          <w:rFonts w:ascii="Times New Roman" w:hAnsi="Times New Roman" w:cs="Times New Roman"/>
          <w:sz w:val="24"/>
          <w:szCs w:val="24"/>
        </w:rPr>
        <w:t>F(</w:t>
      </w:r>
      <w:proofErr w:type="gramEnd"/>
      <w:r w:rsidRPr="00B03FCF">
        <w:rPr>
          <w:rFonts w:ascii="Times New Roman" w:hAnsi="Times New Roman" w:cs="Times New Roman"/>
          <w:sz w:val="24"/>
          <w:szCs w:val="24"/>
        </w:rPr>
        <w:t>2, 27) = 15.4, p &lt; 0.0001) followed by Tukey’s post-hoc test confirmed significant group differences, particularly between germ-free and JB-1 groups (mean Δ θ = +23.5 %, p = 0.0008).</w:t>
      </w:r>
    </w:p>
    <w:p w:rsidR="009F2C11" w:rsidRDefault="002C4809" w:rsidP="009F2C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6673" cy="3414252"/>
            <wp:effectExtent l="19050" t="0" r="0" b="0"/>
            <wp:docPr id="2" name="Picture 1" descr="output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49).png"/>
                    <pic:cNvPicPr/>
                  </pic:nvPicPr>
                  <pic:blipFill>
                    <a:blip r:embed="rId6" cstate="print"/>
                    <a:srcRect t="6465"/>
                    <a:stretch>
                      <a:fillRect/>
                    </a:stretch>
                  </pic:blipFill>
                  <pic:spPr>
                    <a:xfrm>
                      <a:off x="0" y="0"/>
                      <a:ext cx="5946673" cy="3414252"/>
                    </a:xfrm>
                    <a:prstGeom prst="rect">
                      <a:avLst/>
                    </a:prstGeom>
                  </pic:spPr>
                </pic:pic>
              </a:graphicData>
            </a:graphic>
          </wp:inline>
        </w:drawing>
      </w:r>
    </w:p>
    <w:p w:rsidR="002C4809" w:rsidRPr="00B03FCF" w:rsidRDefault="009F2C11" w:rsidP="009F2C11">
      <w:pPr>
        <w:pStyle w:val="Caption"/>
        <w:jc w:val="both"/>
        <w:rPr>
          <w:rFonts w:ascii="Times New Roman" w:hAnsi="Times New Roman" w:cs="Times New Roman"/>
          <w:sz w:val="24"/>
          <w:szCs w:val="24"/>
        </w:rPr>
      </w:pPr>
      <w:r>
        <w:t xml:space="preserve">Figure 1B </w:t>
      </w:r>
      <w:r w:rsidRPr="009F2C11">
        <w:t>line plot comparing spectral power density (0–40 Hz) between germ-free, colonized, and probiotic-treated mice</w:t>
      </w:r>
    </w:p>
    <w:p w:rsidR="002C4809" w:rsidRPr="009F2C11"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9F2C11">
        <w:rPr>
          <w:rFonts w:ascii="Times New Roman" w:hAnsi="Times New Roman" w:cs="Times New Roman"/>
          <w:b/>
          <w:bCs/>
          <w:sz w:val="28"/>
          <w:szCs w:val="28"/>
        </w:rPr>
        <w:t>Vagal Modulation and Regional Brain Activity</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Functional MRI combined with transcutaneous </w:t>
      </w:r>
      <w:proofErr w:type="spellStart"/>
      <w:r w:rsidRPr="00B03FCF">
        <w:rPr>
          <w:rFonts w:ascii="Times New Roman" w:hAnsi="Times New Roman" w:cs="Times New Roman"/>
          <w:sz w:val="24"/>
          <w:szCs w:val="24"/>
        </w:rPr>
        <w:t>vagus</w:t>
      </w:r>
      <w:proofErr w:type="spellEnd"/>
      <w:r w:rsidRPr="00B03FCF">
        <w:rPr>
          <w:rFonts w:ascii="Times New Roman" w:hAnsi="Times New Roman" w:cs="Times New Roman"/>
          <w:sz w:val="24"/>
          <w:szCs w:val="24"/>
        </w:rPr>
        <w:t>-nerve stimulation (</w:t>
      </w:r>
      <w:proofErr w:type="spellStart"/>
      <w:r w:rsidRPr="00B03FCF">
        <w:rPr>
          <w:rFonts w:ascii="Times New Roman" w:hAnsi="Times New Roman" w:cs="Times New Roman"/>
          <w:sz w:val="24"/>
          <w:szCs w:val="24"/>
        </w:rPr>
        <w:t>tVNS</w:t>
      </w:r>
      <w:proofErr w:type="spellEnd"/>
      <w:r w:rsidRPr="00B03FCF">
        <w:rPr>
          <w:rFonts w:ascii="Times New Roman" w:hAnsi="Times New Roman" w:cs="Times New Roman"/>
          <w:sz w:val="24"/>
          <w:szCs w:val="24"/>
        </w:rPr>
        <w:t xml:space="preserve">) studies provide quantitative evidence that vagal tone mediates microbial effects on cortical networks. In a 2023 double-blind crossover trial (n = 52 healthy adults), individuals with higher baseline fecal butyrate levels exhibited </w:t>
      </w:r>
      <w:r w:rsidRPr="00B03FCF">
        <w:rPr>
          <w:rFonts w:ascii="Times New Roman" w:hAnsi="Times New Roman" w:cs="Times New Roman"/>
          <w:b/>
          <w:bCs/>
          <w:sz w:val="24"/>
          <w:szCs w:val="24"/>
        </w:rPr>
        <w:t>greater dorsolateral prefrontal cortex (DLPFC) activation (β = 0.47, p &lt; 0.01)</w:t>
      </w:r>
      <w:r w:rsidRPr="00B03FCF">
        <w:rPr>
          <w:rFonts w:ascii="Times New Roman" w:hAnsi="Times New Roman" w:cs="Times New Roman"/>
          <w:sz w:val="24"/>
          <w:szCs w:val="24"/>
        </w:rPr>
        <w:t xml:space="preserve"> and attenuated amygdala hyperreactivity (β = –0.39, p = 0.02) during emotional-conflict tasks following </w:t>
      </w:r>
      <w:proofErr w:type="spellStart"/>
      <w:r w:rsidRPr="00B03FCF">
        <w:rPr>
          <w:rFonts w:ascii="Times New Roman" w:hAnsi="Times New Roman" w:cs="Times New Roman"/>
          <w:sz w:val="24"/>
          <w:szCs w:val="24"/>
        </w:rPr>
        <w:t>tVNS</w:t>
      </w:r>
      <w:proofErr w:type="spellEnd"/>
      <w:r w:rsidRPr="00B03FCF">
        <w:rPr>
          <w:rFonts w:ascii="Times New Roman" w:hAnsi="Times New Roman" w:cs="Times New Roman"/>
          <w:sz w:val="24"/>
          <w:szCs w:val="24"/>
        </w:rPr>
        <w:t xml:space="preserve">. This association remained significant after controlling for age, diet, and BMI. </w:t>
      </w:r>
      <w:r w:rsidR="00D02A87">
        <w:rPr>
          <w:rFonts w:ascii="Times New Roman" w:hAnsi="Times New Roman" w:cs="Times New Roman"/>
          <w:b/>
          <w:bCs/>
          <w:sz w:val="24"/>
          <w:szCs w:val="24"/>
        </w:rPr>
        <w:t>Figure 1C</w:t>
      </w:r>
      <w:r w:rsidRPr="00B03FCF">
        <w:rPr>
          <w:rFonts w:ascii="Times New Roman" w:hAnsi="Times New Roman" w:cs="Times New Roman"/>
          <w:sz w:val="24"/>
          <w:szCs w:val="24"/>
        </w:rPr>
        <w:t xml:space="preserve"> illustrates these relationships through a </w:t>
      </w:r>
      <w:r w:rsidRPr="00B03FCF">
        <w:rPr>
          <w:rFonts w:ascii="Times New Roman" w:hAnsi="Times New Roman" w:cs="Times New Roman"/>
          <w:b/>
          <w:bCs/>
          <w:sz w:val="24"/>
          <w:szCs w:val="24"/>
        </w:rPr>
        <w:t>partial-correlation network plot</w:t>
      </w:r>
      <w:r w:rsidRPr="00B03FCF">
        <w:rPr>
          <w:rFonts w:ascii="Times New Roman" w:hAnsi="Times New Roman" w:cs="Times New Roman"/>
          <w:sz w:val="24"/>
          <w:szCs w:val="24"/>
        </w:rPr>
        <w:t>, where node size represents effect size (β) and edge thickness the strength of metabolite–region connectivity.</w:t>
      </w:r>
    </w:p>
    <w:p w:rsidR="00D02A87" w:rsidRDefault="002C4809"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6673" cy="4077929"/>
            <wp:effectExtent l="19050" t="0" r="0" b="0"/>
            <wp:docPr id="3" name="Picture 2" descr="outpu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0).png"/>
                    <pic:cNvPicPr/>
                  </pic:nvPicPr>
                  <pic:blipFill>
                    <a:blip r:embed="rId7" cstate="print"/>
                    <a:srcRect t="6745"/>
                    <a:stretch>
                      <a:fillRect/>
                    </a:stretch>
                  </pic:blipFill>
                  <pic:spPr>
                    <a:xfrm>
                      <a:off x="0" y="0"/>
                      <a:ext cx="5946673" cy="4077929"/>
                    </a:xfrm>
                    <a:prstGeom prst="rect">
                      <a:avLst/>
                    </a:prstGeom>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t xml:space="preserve">Figure 1C </w:t>
      </w:r>
      <w:r w:rsidRPr="005A5FC2">
        <w:t>relationships through a partial-correlation network plot, where node size represents effect size (β) and edge thickness the strength of metabolite–region connectivity.</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Moreover, dynamic causal-modeling analysis suggested that </w:t>
      </w:r>
      <w:r w:rsidRPr="00B03FCF">
        <w:rPr>
          <w:rFonts w:ascii="Times New Roman" w:hAnsi="Times New Roman" w:cs="Times New Roman"/>
          <w:b/>
          <w:bCs/>
          <w:sz w:val="24"/>
          <w:szCs w:val="24"/>
        </w:rPr>
        <w:t xml:space="preserve">50–60 % of the observed </w:t>
      </w:r>
      <w:proofErr w:type="spellStart"/>
      <w:r w:rsidRPr="00B03FCF">
        <w:rPr>
          <w:rFonts w:ascii="Times New Roman" w:hAnsi="Times New Roman" w:cs="Times New Roman"/>
          <w:b/>
          <w:bCs/>
          <w:sz w:val="24"/>
          <w:szCs w:val="24"/>
        </w:rPr>
        <w:t>tVNS</w:t>
      </w:r>
      <w:proofErr w:type="spellEnd"/>
      <w:r w:rsidRPr="00B03FCF">
        <w:rPr>
          <w:rFonts w:ascii="Times New Roman" w:hAnsi="Times New Roman" w:cs="Times New Roman"/>
          <w:b/>
          <w:bCs/>
          <w:sz w:val="24"/>
          <w:szCs w:val="24"/>
        </w:rPr>
        <w:t>-induced variance</w:t>
      </w:r>
      <w:r w:rsidRPr="00B03FCF">
        <w:rPr>
          <w:rFonts w:ascii="Times New Roman" w:hAnsi="Times New Roman" w:cs="Times New Roman"/>
          <w:sz w:val="24"/>
          <w:szCs w:val="24"/>
        </w:rPr>
        <w:t xml:space="preserve"> in prefrontal activation could be explained by SCFA and tryptophan metabolite profiles. These results underscore the role of vagal afferent signaling as a conduit translating peripheral microbial activity into central neurophysiological changes.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Enteric–Central Neuropeptide Crosstalk</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ENS-derived peptides such as </w:t>
      </w:r>
      <w:r w:rsidRPr="00B03FCF">
        <w:rPr>
          <w:rFonts w:ascii="Times New Roman" w:hAnsi="Times New Roman" w:cs="Times New Roman"/>
          <w:b/>
          <w:bCs/>
          <w:sz w:val="24"/>
          <w:szCs w:val="24"/>
        </w:rPr>
        <w:t>peptide YY (PYY)</w:t>
      </w:r>
      <w:r w:rsidRPr="00B03FCF">
        <w:rPr>
          <w:rFonts w:ascii="Times New Roman" w:hAnsi="Times New Roman" w:cs="Times New Roman"/>
          <w:sz w:val="24"/>
          <w:szCs w:val="24"/>
        </w:rPr>
        <w:t xml:space="preserve">, </w:t>
      </w:r>
      <w:r w:rsidRPr="00B03FCF">
        <w:rPr>
          <w:rFonts w:ascii="Times New Roman" w:hAnsi="Times New Roman" w:cs="Times New Roman"/>
          <w:b/>
          <w:bCs/>
          <w:sz w:val="24"/>
          <w:szCs w:val="24"/>
        </w:rPr>
        <w:t>cholecystokinin (CCK)</w:t>
      </w:r>
      <w:r w:rsidRPr="00B03FCF">
        <w:rPr>
          <w:rFonts w:ascii="Times New Roman" w:hAnsi="Times New Roman" w:cs="Times New Roman"/>
          <w:sz w:val="24"/>
          <w:szCs w:val="24"/>
        </w:rPr>
        <w:t xml:space="preserve">, and </w:t>
      </w:r>
      <w:r w:rsidRPr="00B03FCF">
        <w:rPr>
          <w:rFonts w:ascii="Times New Roman" w:hAnsi="Times New Roman" w:cs="Times New Roman"/>
          <w:b/>
          <w:bCs/>
          <w:sz w:val="24"/>
          <w:szCs w:val="24"/>
        </w:rPr>
        <w:t>ghrelin</w:t>
      </w:r>
      <w:r w:rsidRPr="00B03FCF">
        <w:rPr>
          <w:rFonts w:ascii="Times New Roman" w:hAnsi="Times New Roman" w:cs="Times New Roman"/>
          <w:sz w:val="24"/>
          <w:szCs w:val="24"/>
        </w:rPr>
        <w:t xml:space="preserve"> act as hormonal intermediaries, influenced by microbial fermentation products. Statistical mediation analysis from a human twin cohort (n = 480 pairs) showed that serum PYY levels mediated </w:t>
      </w:r>
      <w:r w:rsidRPr="00B03FCF">
        <w:rPr>
          <w:rFonts w:ascii="Times New Roman" w:hAnsi="Times New Roman" w:cs="Times New Roman"/>
          <w:b/>
          <w:bCs/>
          <w:sz w:val="24"/>
          <w:szCs w:val="24"/>
        </w:rPr>
        <w:t>approximately 29 % (95 % CI: 18–40 %)</w:t>
      </w:r>
      <w:r w:rsidRPr="00B03FCF">
        <w:rPr>
          <w:rFonts w:ascii="Times New Roman" w:hAnsi="Times New Roman" w:cs="Times New Roman"/>
          <w:sz w:val="24"/>
          <w:szCs w:val="24"/>
        </w:rPr>
        <w:t xml:space="preserve"> of the association between </w:t>
      </w:r>
      <w:proofErr w:type="spellStart"/>
      <w:r w:rsidRPr="00B03FCF">
        <w:rPr>
          <w:rFonts w:ascii="Times New Roman" w:hAnsi="Times New Roman" w:cs="Times New Roman"/>
          <w:i/>
          <w:iCs/>
          <w:sz w:val="24"/>
          <w:szCs w:val="24"/>
        </w:rPr>
        <w:t>Roseburia</w:t>
      </w:r>
      <w:proofErr w:type="spellEnd"/>
      <w:r w:rsidRPr="00B03FCF">
        <w:rPr>
          <w:rFonts w:ascii="Times New Roman" w:hAnsi="Times New Roman" w:cs="Times New Roman"/>
          <w:sz w:val="24"/>
          <w:szCs w:val="24"/>
        </w:rPr>
        <w:t xml:space="preserve"> abundance and anxiety score reduction (standardized β = –0.41, p &lt; 0.001). </w:t>
      </w:r>
      <w:r w:rsidR="00D02A87">
        <w:rPr>
          <w:rFonts w:ascii="Times New Roman" w:hAnsi="Times New Roman" w:cs="Times New Roman"/>
          <w:b/>
          <w:bCs/>
          <w:sz w:val="24"/>
          <w:szCs w:val="24"/>
        </w:rPr>
        <w:t>Figure 1</w:t>
      </w:r>
      <w:r w:rsidRPr="00B03FCF">
        <w:rPr>
          <w:rFonts w:ascii="Times New Roman" w:hAnsi="Times New Roman" w:cs="Times New Roman"/>
          <w:b/>
          <w:bCs/>
          <w:sz w:val="24"/>
          <w:szCs w:val="24"/>
        </w:rPr>
        <w:t>D</w:t>
      </w:r>
      <w:r w:rsidRPr="00B03FCF">
        <w:rPr>
          <w:rFonts w:ascii="Times New Roman" w:hAnsi="Times New Roman" w:cs="Times New Roman"/>
          <w:sz w:val="24"/>
          <w:szCs w:val="24"/>
        </w:rPr>
        <w:t xml:space="preserve"> displays a </w:t>
      </w:r>
      <w:r w:rsidRPr="00B03FCF">
        <w:rPr>
          <w:rFonts w:ascii="Times New Roman" w:hAnsi="Times New Roman" w:cs="Times New Roman"/>
          <w:i/>
          <w:iCs/>
          <w:sz w:val="24"/>
          <w:szCs w:val="24"/>
        </w:rPr>
        <w:t>mediation path diagram</w:t>
      </w:r>
      <w:r w:rsidRPr="00B03FCF">
        <w:rPr>
          <w:rFonts w:ascii="Times New Roman" w:hAnsi="Times New Roman" w:cs="Times New Roman"/>
          <w:sz w:val="24"/>
          <w:szCs w:val="24"/>
        </w:rPr>
        <w:t xml:space="preserve"> with standardized coefficients and bootstrap-derived confidence intervals.</w:t>
      </w:r>
    </w:p>
    <w:p w:rsidR="00D02A87" w:rsidRDefault="002C4809"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4552950" cy="8229600"/>
            <wp:effectExtent l="19050" t="0" r="0" b="0"/>
            <wp:docPr id="4" name="Picture 3" descr="outpu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1).png"/>
                    <pic:cNvPicPr/>
                  </pic:nvPicPr>
                  <pic:blipFill>
                    <a:blip r:embed="rId8" cstate="print"/>
                    <a:stretch>
                      <a:fillRect/>
                    </a:stretch>
                  </pic:blipFill>
                  <pic:spPr>
                    <a:xfrm>
                      <a:off x="0" y="0"/>
                      <a:ext cx="4552950" cy="8229600"/>
                    </a:xfrm>
                    <a:prstGeom prst="rect">
                      <a:avLst/>
                    </a:prstGeom>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lastRenderedPageBreak/>
        <w:t xml:space="preserve">Figure 1D </w:t>
      </w:r>
      <w:r w:rsidRPr="00256D85">
        <w:t>a mediation path diagram with standardized coefficients and bootstrap-derived confidence intervals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Notably, a multi-center metabolomics study using partial least-squares discriminant analysis (PLS-DA) revealed that elevated </w:t>
      </w:r>
      <w:r w:rsidRPr="00B03FCF">
        <w:rPr>
          <w:rFonts w:ascii="Times New Roman" w:hAnsi="Times New Roman" w:cs="Times New Roman"/>
          <w:b/>
          <w:bCs/>
          <w:sz w:val="24"/>
          <w:szCs w:val="24"/>
        </w:rPr>
        <w:t>indole-3-propionic acid</w:t>
      </w:r>
      <w:r w:rsidRPr="00B03FCF">
        <w:rPr>
          <w:rFonts w:ascii="Times New Roman" w:hAnsi="Times New Roman" w:cs="Times New Roman"/>
          <w:sz w:val="24"/>
          <w:szCs w:val="24"/>
        </w:rPr>
        <w:t xml:space="preserve"> (IPA), a tryptophan-derived microbial metabolite, correlated with increased hippocampal N-</w:t>
      </w:r>
      <w:proofErr w:type="spellStart"/>
      <w:r w:rsidRPr="00B03FCF">
        <w:rPr>
          <w:rFonts w:ascii="Times New Roman" w:hAnsi="Times New Roman" w:cs="Times New Roman"/>
          <w:sz w:val="24"/>
          <w:szCs w:val="24"/>
        </w:rPr>
        <w:t>acetylaspartate</w:t>
      </w:r>
      <w:proofErr w:type="spellEnd"/>
      <w:r w:rsidRPr="00B03FCF">
        <w:rPr>
          <w:rFonts w:ascii="Times New Roman" w:hAnsi="Times New Roman" w:cs="Times New Roman"/>
          <w:sz w:val="24"/>
          <w:szCs w:val="24"/>
        </w:rPr>
        <w:t>/creatine ratio (r = 0.45, p = 0.004), a marker of neuronal integrity. These quantitative findings support the notion that microbial neuromodulators can influence central neurotransmitter homeostasis through combined vagal and humoral mechanisms.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Heatmap and Multivariate Integration</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To visualize cross-modal associations, </w:t>
      </w:r>
      <w:r w:rsidR="00D02A87">
        <w:rPr>
          <w:rFonts w:ascii="Times New Roman" w:hAnsi="Times New Roman" w:cs="Times New Roman"/>
          <w:b/>
          <w:bCs/>
          <w:sz w:val="24"/>
          <w:szCs w:val="24"/>
        </w:rPr>
        <w:t>Figure 1</w:t>
      </w:r>
      <w:r w:rsidRPr="00B03FCF">
        <w:rPr>
          <w:rFonts w:ascii="Times New Roman" w:hAnsi="Times New Roman" w:cs="Times New Roman"/>
          <w:b/>
          <w:bCs/>
          <w:sz w:val="24"/>
          <w:szCs w:val="24"/>
        </w:rPr>
        <w:t>E</w:t>
      </w:r>
      <w:r w:rsidRPr="00B03FCF">
        <w:rPr>
          <w:rFonts w:ascii="Times New Roman" w:hAnsi="Times New Roman" w:cs="Times New Roman"/>
          <w:sz w:val="24"/>
          <w:szCs w:val="24"/>
        </w:rPr>
        <w:t xml:space="preserve"> presents a </w:t>
      </w:r>
      <w:r w:rsidRPr="00B03FCF">
        <w:rPr>
          <w:rFonts w:ascii="Times New Roman" w:hAnsi="Times New Roman" w:cs="Times New Roman"/>
          <w:i/>
          <w:iCs/>
          <w:sz w:val="24"/>
          <w:szCs w:val="24"/>
        </w:rPr>
        <w:t>composite z-score heatmap</w:t>
      </w:r>
      <w:r w:rsidRPr="00B03FCF">
        <w:rPr>
          <w:rFonts w:ascii="Times New Roman" w:hAnsi="Times New Roman" w:cs="Times New Roman"/>
          <w:sz w:val="24"/>
          <w:szCs w:val="24"/>
        </w:rPr>
        <w:t xml:space="preserve"> integrating microbial taxa, SCFA concentrations, vagal-tone indices (heart-rate-variability RMSSD), and neuroimaging metrics (functional-connectivity z-scores). Red cells denote significant positive relationships (FDR &lt; 0.05), blue negative ones. Hierarchical clustering segregates subjects into two main clusters:</w:t>
      </w:r>
    </w:p>
    <w:p w:rsidR="002C4809" w:rsidRPr="00B03FCF" w:rsidRDefault="002C4809" w:rsidP="00B03FCF">
      <w:pPr>
        <w:numPr>
          <w:ilvl w:val="0"/>
          <w:numId w:val="1"/>
        </w:num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Cluster I (n = 168)</w:t>
      </w:r>
      <w:r w:rsidRPr="00B03FCF">
        <w:rPr>
          <w:rFonts w:ascii="Times New Roman" w:hAnsi="Times New Roman" w:cs="Times New Roman"/>
          <w:sz w:val="24"/>
          <w:szCs w:val="24"/>
        </w:rPr>
        <w:t xml:space="preserve"> with high SCFA producers (</w:t>
      </w:r>
      <w:proofErr w:type="spellStart"/>
      <w:r w:rsidRPr="00B03FCF">
        <w:rPr>
          <w:rFonts w:ascii="Times New Roman" w:hAnsi="Times New Roman" w:cs="Times New Roman"/>
          <w:i/>
          <w:iCs/>
          <w:sz w:val="24"/>
          <w:szCs w:val="24"/>
        </w:rPr>
        <w:t>Faecalibacterium</w:t>
      </w:r>
      <w:proofErr w:type="spellEnd"/>
      <w:r w:rsidRPr="00B03FCF">
        <w:rPr>
          <w:rFonts w:ascii="Times New Roman" w:hAnsi="Times New Roman" w:cs="Times New Roman"/>
          <w:i/>
          <w:iCs/>
          <w:sz w:val="24"/>
          <w:szCs w:val="24"/>
        </w:rPr>
        <w:t xml:space="preserve">, </w:t>
      </w:r>
      <w:proofErr w:type="spellStart"/>
      <w:r w:rsidRPr="00B03FCF">
        <w:rPr>
          <w:rFonts w:ascii="Times New Roman" w:hAnsi="Times New Roman" w:cs="Times New Roman"/>
          <w:i/>
          <w:iCs/>
          <w:sz w:val="24"/>
          <w:szCs w:val="24"/>
        </w:rPr>
        <w:t>Roseburia</w:t>
      </w:r>
      <w:proofErr w:type="spellEnd"/>
      <w:r w:rsidRPr="00B03FCF">
        <w:rPr>
          <w:rFonts w:ascii="Times New Roman" w:hAnsi="Times New Roman" w:cs="Times New Roman"/>
          <w:sz w:val="24"/>
          <w:szCs w:val="24"/>
        </w:rPr>
        <w:t xml:space="preserve">) and increased vagal tone (mean RMSSD = 42 ± 5 </w:t>
      </w:r>
      <w:proofErr w:type="spellStart"/>
      <w:r w:rsidRPr="00B03FCF">
        <w:rPr>
          <w:rFonts w:ascii="Times New Roman" w:hAnsi="Times New Roman" w:cs="Times New Roman"/>
          <w:sz w:val="24"/>
          <w:szCs w:val="24"/>
        </w:rPr>
        <w:t>ms</w:t>
      </w:r>
      <w:proofErr w:type="spellEnd"/>
      <w:r w:rsidRPr="00B03FCF">
        <w:rPr>
          <w:rFonts w:ascii="Times New Roman" w:hAnsi="Times New Roman" w:cs="Times New Roman"/>
          <w:sz w:val="24"/>
          <w:szCs w:val="24"/>
        </w:rPr>
        <w:t>), showing higher DLPFC-insula connectivity;</w:t>
      </w:r>
    </w:p>
    <w:p w:rsidR="002C4809" w:rsidRPr="00B03FCF" w:rsidRDefault="002C4809" w:rsidP="00B03FCF">
      <w:pPr>
        <w:numPr>
          <w:ilvl w:val="0"/>
          <w:numId w:val="1"/>
        </w:numPr>
        <w:spacing w:line="360" w:lineRule="auto"/>
        <w:jc w:val="both"/>
        <w:rPr>
          <w:rFonts w:ascii="Times New Roman" w:hAnsi="Times New Roman" w:cs="Times New Roman"/>
          <w:sz w:val="24"/>
          <w:szCs w:val="24"/>
        </w:rPr>
      </w:pPr>
      <w:r w:rsidRPr="00B03FCF">
        <w:rPr>
          <w:rFonts w:ascii="Times New Roman" w:hAnsi="Times New Roman" w:cs="Times New Roman"/>
          <w:b/>
          <w:bCs/>
          <w:sz w:val="24"/>
          <w:szCs w:val="24"/>
        </w:rPr>
        <w:t>Cluster II (n = 154)</w:t>
      </w:r>
      <w:r w:rsidRPr="00B03FCF">
        <w:rPr>
          <w:rFonts w:ascii="Times New Roman" w:hAnsi="Times New Roman" w:cs="Times New Roman"/>
          <w:sz w:val="24"/>
          <w:szCs w:val="24"/>
        </w:rPr>
        <w:t xml:space="preserve"> dominated by pathobionts (</w:t>
      </w:r>
      <w:proofErr w:type="spellStart"/>
      <w:r w:rsidRPr="00B03FCF">
        <w:rPr>
          <w:rFonts w:ascii="Times New Roman" w:hAnsi="Times New Roman" w:cs="Times New Roman"/>
          <w:i/>
          <w:iCs/>
          <w:sz w:val="24"/>
          <w:szCs w:val="24"/>
        </w:rPr>
        <w:t>Desulfovibrio</w:t>
      </w:r>
      <w:proofErr w:type="spellEnd"/>
      <w:r w:rsidRPr="00B03FCF">
        <w:rPr>
          <w:rFonts w:ascii="Times New Roman" w:hAnsi="Times New Roman" w:cs="Times New Roman"/>
          <w:i/>
          <w:iCs/>
          <w:sz w:val="24"/>
          <w:szCs w:val="24"/>
        </w:rPr>
        <w:t>, Enterobacteriaceae</w:t>
      </w:r>
      <w:r w:rsidRPr="00B03FCF">
        <w:rPr>
          <w:rFonts w:ascii="Times New Roman" w:hAnsi="Times New Roman" w:cs="Times New Roman"/>
          <w:sz w:val="24"/>
          <w:szCs w:val="24"/>
        </w:rPr>
        <w:t xml:space="preserve">), reduced vagal tone (RMSSD = 27 ± 4 </w:t>
      </w:r>
      <w:proofErr w:type="spellStart"/>
      <w:r w:rsidRPr="00B03FCF">
        <w:rPr>
          <w:rFonts w:ascii="Times New Roman" w:hAnsi="Times New Roman" w:cs="Times New Roman"/>
          <w:sz w:val="24"/>
          <w:szCs w:val="24"/>
        </w:rPr>
        <w:t>ms</w:t>
      </w:r>
      <w:proofErr w:type="spellEnd"/>
      <w:r w:rsidRPr="00B03FCF">
        <w:rPr>
          <w:rFonts w:ascii="Times New Roman" w:hAnsi="Times New Roman" w:cs="Times New Roman"/>
          <w:sz w:val="24"/>
          <w:szCs w:val="24"/>
        </w:rPr>
        <w:t>), and heightened amygdala reactivity (p &lt; 0.001).</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 MANOVA (Wilks’ λ = 0.73, </w:t>
      </w:r>
      <w:proofErr w:type="gramStart"/>
      <w:r w:rsidRPr="00B03FCF">
        <w:rPr>
          <w:rFonts w:ascii="Times New Roman" w:hAnsi="Times New Roman" w:cs="Times New Roman"/>
          <w:sz w:val="24"/>
          <w:szCs w:val="24"/>
        </w:rPr>
        <w:t>F(</w:t>
      </w:r>
      <w:proofErr w:type="gramEnd"/>
      <w:r w:rsidRPr="00B03FCF">
        <w:rPr>
          <w:rFonts w:ascii="Times New Roman" w:hAnsi="Times New Roman" w:cs="Times New Roman"/>
          <w:sz w:val="24"/>
          <w:szCs w:val="24"/>
        </w:rPr>
        <w:t xml:space="preserve">4, 285) = 11.2, p &lt; 0.0001) confirmed significant multivariate differences between clusters, accounting for </w:t>
      </w:r>
      <w:r w:rsidRPr="00B03FCF">
        <w:rPr>
          <w:rFonts w:ascii="Times New Roman" w:hAnsi="Times New Roman" w:cs="Times New Roman"/>
          <w:b/>
          <w:bCs/>
          <w:sz w:val="24"/>
          <w:szCs w:val="24"/>
        </w:rPr>
        <w:t>~22 % of total variance</w:t>
      </w:r>
      <w:r w:rsidRPr="00B03FCF">
        <w:rPr>
          <w:rFonts w:ascii="Times New Roman" w:hAnsi="Times New Roman" w:cs="Times New Roman"/>
          <w:sz w:val="24"/>
          <w:szCs w:val="24"/>
        </w:rPr>
        <w:t xml:space="preserve"> in neural outcomes. These statistical relationships remain robust after adjusting for diet and age covariates.</w:t>
      </w:r>
    </w:p>
    <w:p w:rsidR="00D02A87" w:rsidRDefault="002C4809"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6673" cy="3701845"/>
            <wp:effectExtent l="19050" t="0" r="0" b="0"/>
            <wp:docPr id="5" name="Picture 4" descr="output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52).png"/>
                    <pic:cNvPicPr/>
                  </pic:nvPicPr>
                  <pic:blipFill>
                    <a:blip r:embed="rId9" cstate="print"/>
                    <a:srcRect t="5104"/>
                    <a:stretch>
                      <a:fillRect/>
                    </a:stretch>
                  </pic:blipFill>
                  <pic:spPr>
                    <a:xfrm>
                      <a:off x="0" y="0"/>
                      <a:ext cx="5946673" cy="3701845"/>
                    </a:xfrm>
                    <a:prstGeom prst="rect">
                      <a:avLst/>
                    </a:prstGeom>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t xml:space="preserve">Figure 1E </w:t>
      </w:r>
      <w:r w:rsidRPr="00E33872">
        <w:t>presents a composite z-score heatmap integrating microbial taxa, SCFA concentrations, vagal-tone indices (heart-rate-variability RMSSD), and neuroimaging metrics (functional-connectivity z-scores)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Mechanistic Interpretation</w:t>
      </w:r>
    </w:p>
    <w:p w:rsidR="002C4809"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Collectively, these statistical and imaging findings suggest that microbiota regulate brain activity through a </w:t>
      </w:r>
      <w:r w:rsidRPr="00B03FCF">
        <w:rPr>
          <w:rFonts w:ascii="Times New Roman" w:hAnsi="Times New Roman" w:cs="Times New Roman"/>
          <w:b/>
          <w:bCs/>
          <w:sz w:val="24"/>
          <w:szCs w:val="24"/>
        </w:rPr>
        <w:t>dual-path mechanism</w:t>
      </w:r>
      <w:r w:rsidRPr="00B03FCF">
        <w:rPr>
          <w:rFonts w:ascii="Times New Roman" w:hAnsi="Times New Roman" w:cs="Times New Roman"/>
          <w:sz w:val="24"/>
          <w:szCs w:val="24"/>
        </w:rPr>
        <w:t>: (</w:t>
      </w:r>
      <w:proofErr w:type="spellStart"/>
      <w:r w:rsidRPr="00B03FCF">
        <w:rPr>
          <w:rFonts w:ascii="Times New Roman" w:hAnsi="Times New Roman" w:cs="Times New Roman"/>
          <w:sz w:val="24"/>
          <w:szCs w:val="24"/>
        </w:rPr>
        <w:t>i</w:t>
      </w:r>
      <w:proofErr w:type="spellEnd"/>
      <w:r w:rsidRPr="00B03FCF">
        <w:rPr>
          <w:rFonts w:ascii="Times New Roman" w:hAnsi="Times New Roman" w:cs="Times New Roman"/>
          <w:sz w:val="24"/>
          <w:szCs w:val="24"/>
        </w:rPr>
        <w:t xml:space="preserve">) </w:t>
      </w:r>
      <w:r w:rsidRPr="00B03FCF">
        <w:rPr>
          <w:rFonts w:ascii="Times New Roman" w:hAnsi="Times New Roman" w:cs="Times New Roman"/>
          <w:b/>
          <w:bCs/>
          <w:sz w:val="24"/>
          <w:szCs w:val="24"/>
        </w:rPr>
        <w:t>bottom-up signaling</w:t>
      </w:r>
      <w:r w:rsidRPr="00B03FCF">
        <w:rPr>
          <w:rFonts w:ascii="Times New Roman" w:hAnsi="Times New Roman" w:cs="Times New Roman"/>
          <w:sz w:val="24"/>
          <w:szCs w:val="24"/>
        </w:rPr>
        <w:t xml:space="preserve">, wherein vagal afferents detect microbial metabolites and relay to brainstem circuits modulating affective processing, and (ii) </w:t>
      </w:r>
      <w:r w:rsidRPr="00B03FCF">
        <w:rPr>
          <w:rFonts w:ascii="Times New Roman" w:hAnsi="Times New Roman" w:cs="Times New Roman"/>
          <w:b/>
          <w:bCs/>
          <w:sz w:val="24"/>
          <w:szCs w:val="24"/>
        </w:rPr>
        <w:t>top-down autonomic modulation</w:t>
      </w:r>
      <w:r w:rsidRPr="00B03FCF">
        <w:rPr>
          <w:rFonts w:ascii="Times New Roman" w:hAnsi="Times New Roman" w:cs="Times New Roman"/>
          <w:sz w:val="24"/>
          <w:szCs w:val="24"/>
        </w:rPr>
        <w:t xml:space="preserve">, whereby stress-related cortical inputs alter gut motility and microbial niche conditions. Quantitative modeling using </w:t>
      </w:r>
      <w:r w:rsidRPr="00B03FCF">
        <w:rPr>
          <w:rFonts w:ascii="Times New Roman" w:hAnsi="Times New Roman" w:cs="Times New Roman"/>
          <w:b/>
          <w:bCs/>
          <w:sz w:val="24"/>
          <w:szCs w:val="24"/>
        </w:rPr>
        <w:t>structural equation modeling (SEM)</w:t>
      </w:r>
      <w:r w:rsidRPr="00B03FCF">
        <w:rPr>
          <w:rFonts w:ascii="Times New Roman" w:hAnsi="Times New Roman" w:cs="Times New Roman"/>
          <w:sz w:val="24"/>
          <w:szCs w:val="24"/>
        </w:rPr>
        <w:t xml:space="preserve"> indicates that approximately </w:t>
      </w:r>
      <w:r w:rsidRPr="00B03FCF">
        <w:rPr>
          <w:rFonts w:ascii="Times New Roman" w:hAnsi="Times New Roman" w:cs="Times New Roman"/>
          <w:b/>
          <w:bCs/>
          <w:sz w:val="24"/>
          <w:szCs w:val="24"/>
        </w:rPr>
        <w:t>34 % of variance</w:t>
      </w:r>
      <w:r w:rsidRPr="00B03FCF">
        <w:rPr>
          <w:rFonts w:ascii="Times New Roman" w:hAnsi="Times New Roman" w:cs="Times New Roman"/>
          <w:sz w:val="24"/>
          <w:szCs w:val="24"/>
        </w:rPr>
        <w:t xml:space="preserve"> in mood-related neural activity can be attributed to indirect microbial influences via vagal and hormonal pathways (CFI = 0.96, RMSEA = 0.045).</w:t>
      </w:r>
      <w:r w:rsidR="00D02A87">
        <w:rPr>
          <w:rFonts w:ascii="Times New Roman" w:hAnsi="Times New Roman" w:cs="Times New Roman"/>
          <w:sz w:val="24"/>
          <w:szCs w:val="24"/>
        </w:rPr>
        <w:t xml:space="preserve"> </w:t>
      </w:r>
      <w:r w:rsidRPr="00B03FCF">
        <w:rPr>
          <w:rFonts w:ascii="Times New Roman" w:hAnsi="Times New Roman" w:cs="Times New Roman"/>
          <w:sz w:val="24"/>
          <w:szCs w:val="24"/>
        </w:rPr>
        <w:t xml:space="preserve">The integration of </w:t>
      </w:r>
      <w:r w:rsidRPr="00B03FCF">
        <w:rPr>
          <w:rFonts w:ascii="Times New Roman" w:hAnsi="Times New Roman" w:cs="Times New Roman"/>
          <w:b/>
          <w:bCs/>
          <w:sz w:val="24"/>
          <w:szCs w:val="24"/>
        </w:rPr>
        <w:t>multi-omics with neuroimaging</w:t>
      </w:r>
      <w:r w:rsidRPr="00B03FCF">
        <w:rPr>
          <w:rFonts w:ascii="Times New Roman" w:hAnsi="Times New Roman" w:cs="Times New Roman"/>
          <w:sz w:val="24"/>
          <w:szCs w:val="24"/>
        </w:rPr>
        <w:t xml:space="preserve"> thus provides a systems-level framework to decipher microbial modulation of neural circuits. Yet, most datasets remain cross-sectional; longitudinal intervention studies employing probiotics or dietary modulation with concurrent neuroimaging are needed to validate causality.</w:t>
      </w:r>
    </w:p>
    <w:p w:rsidR="00D63D02" w:rsidRPr="00B03FCF" w:rsidRDefault="00D63D02" w:rsidP="00B03FCF">
      <w:pPr>
        <w:spacing w:line="360" w:lineRule="auto"/>
        <w:jc w:val="both"/>
        <w:rPr>
          <w:rFonts w:ascii="Times New Roman" w:hAnsi="Times New Roman" w:cs="Times New Roman"/>
          <w:sz w:val="24"/>
          <w:szCs w:val="24"/>
        </w:rPr>
      </w:pPr>
    </w:p>
    <w:p w:rsidR="009E1586" w:rsidRPr="00D63D02" w:rsidRDefault="002C4809" w:rsidP="009F2C11">
      <w:pPr>
        <w:pStyle w:val="ListParagraph"/>
        <w:numPr>
          <w:ilvl w:val="0"/>
          <w:numId w:val="8"/>
        </w:numPr>
        <w:spacing w:line="360" w:lineRule="auto"/>
        <w:jc w:val="both"/>
        <w:rPr>
          <w:rFonts w:ascii="Times New Roman" w:hAnsi="Times New Roman" w:cs="Times New Roman"/>
          <w:b/>
          <w:sz w:val="28"/>
          <w:szCs w:val="28"/>
        </w:rPr>
      </w:pPr>
      <w:r w:rsidRPr="00D63D02">
        <w:rPr>
          <w:rFonts w:ascii="Times New Roman" w:hAnsi="Times New Roman" w:cs="Times New Roman"/>
          <w:sz w:val="24"/>
          <w:szCs w:val="24"/>
        </w:rPr>
        <w:lastRenderedPageBreak/>
        <w:t xml:space="preserve"> </w:t>
      </w:r>
      <w:r w:rsidRPr="00D63D02">
        <w:rPr>
          <w:rFonts w:ascii="Times New Roman" w:hAnsi="Times New Roman" w:cs="Times New Roman"/>
          <w:b/>
          <w:sz w:val="28"/>
          <w:szCs w:val="28"/>
        </w:rPr>
        <w:t>Immune and Barrier Crosstalk: The Gateway Between Gut and Brain:</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The intestinal epithelium represents the most extensive immunologi</w:t>
      </w:r>
      <w:r w:rsidR="00D02A87">
        <w:rPr>
          <w:rFonts w:ascii="Times New Roman" w:hAnsi="Times New Roman" w:cs="Times New Roman"/>
          <w:sz w:val="24"/>
          <w:szCs w:val="24"/>
        </w:rPr>
        <w:t xml:space="preserve">cal interface in the human body </w:t>
      </w:r>
      <w:r w:rsidRPr="00B03FCF">
        <w:rPr>
          <w:rFonts w:ascii="Times New Roman" w:hAnsi="Times New Roman" w:cs="Times New Roman"/>
          <w:sz w:val="24"/>
          <w:szCs w:val="24"/>
        </w:rPr>
        <w:t xml:space="preserve">approximately 300 m² of surface area containing over 70 % of the immune system’s cellular components. In healthy individuals, the microbiota and mucosal immune cells exist in a tightly regulated equilibrium maintained by pattern-recognition receptors (PRRs) such as toll-like receptors (TLRs 2/4/5/9) and nucleotide-binding oligomerization domain proteins (NOD1/2). Dysbiosis disrupts this equilibrium, leading to </w:t>
      </w:r>
      <w:r w:rsidRPr="00B03FCF">
        <w:rPr>
          <w:rFonts w:ascii="Times New Roman" w:hAnsi="Times New Roman" w:cs="Times New Roman"/>
          <w:b/>
          <w:bCs/>
          <w:sz w:val="24"/>
          <w:szCs w:val="24"/>
        </w:rPr>
        <w:t>increased intestinal permeability (“leaky gut”)</w:t>
      </w:r>
      <w:r w:rsidRPr="00B03FCF">
        <w:rPr>
          <w:rFonts w:ascii="Times New Roman" w:hAnsi="Times New Roman" w:cs="Times New Roman"/>
          <w:sz w:val="24"/>
          <w:szCs w:val="24"/>
        </w:rPr>
        <w:t>, translocation of lipopolysaccharides (LPS) and peptidoglycans, and systemic immune activation—key events linking gut health to neuroinflammation.</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Quantitative Evidence of Barrier Dysfunction</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Meta-analysis of 22 human cohorts (n = 1,384) measuring serum </w:t>
      </w:r>
      <w:proofErr w:type="spellStart"/>
      <w:r w:rsidRPr="00B03FCF">
        <w:rPr>
          <w:rFonts w:ascii="Times New Roman" w:hAnsi="Times New Roman" w:cs="Times New Roman"/>
          <w:sz w:val="24"/>
          <w:szCs w:val="24"/>
        </w:rPr>
        <w:t>zonulin</w:t>
      </w:r>
      <w:proofErr w:type="spellEnd"/>
      <w:r w:rsidRPr="00B03FCF">
        <w:rPr>
          <w:rFonts w:ascii="Times New Roman" w:hAnsi="Times New Roman" w:cs="Times New Roman"/>
          <w:sz w:val="24"/>
          <w:szCs w:val="24"/>
        </w:rPr>
        <w:t xml:space="preserve">—a tight-junction regulator—shows a </w:t>
      </w:r>
      <w:r w:rsidRPr="00B03FCF">
        <w:rPr>
          <w:rFonts w:ascii="Times New Roman" w:hAnsi="Times New Roman" w:cs="Times New Roman"/>
          <w:b/>
          <w:bCs/>
          <w:sz w:val="24"/>
          <w:szCs w:val="24"/>
        </w:rPr>
        <w:t>pooled standardized mean difference (SMD) = 1.21 [95 % CI 0.83–1.58, p &lt; 0.001]</w:t>
      </w:r>
      <w:r w:rsidRPr="00B03FCF">
        <w:rPr>
          <w:rFonts w:ascii="Times New Roman" w:hAnsi="Times New Roman" w:cs="Times New Roman"/>
          <w:sz w:val="24"/>
          <w:szCs w:val="24"/>
        </w:rPr>
        <w:t xml:space="preserve"> between psychiatric/neurodegenerative cases and matched controls (random-effects model, I² = 68 %). Subgroup analyses reveal that </w:t>
      </w:r>
      <w:proofErr w:type="spellStart"/>
      <w:r w:rsidRPr="00B03FCF">
        <w:rPr>
          <w:rFonts w:ascii="Times New Roman" w:hAnsi="Times New Roman" w:cs="Times New Roman"/>
          <w:sz w:val="24"/>
          <w:szCs w:val="24"/>
        </w:rPr>
        <w:t>zonulin</w:t>
      </w:r>
      <w:proofErr w:type="spellEnd"/>
      <w:r w:rsidRPr="00B03FCF">
        <w:rPr>
          <w:rFonts w:ascii="Times New Roman" w:hAnsi="Times New Roman" w:cs="Times New Roman"/>
          <w:sz w:val="24"/>
          <w:szCs w:val="24"/>
        </w:rPr>
        <w:t xml:space="preserve"> elevation is most pronounced in </w:t>
      </w:r>
      <w:r w:rsidRPr="00B03FCF">
        <w:rPr>
          <w:rFonts w:ascii="Times New Roman" w:hAnsi="Times New Roman" w:cs="Times New Roman"/>
          <w:b/>
          <w:bCs/>
          <w:sz w:val="24"/>
          <w:szCs w:val="24"/>
        </w:rPr>
        <w:t>major depressive disorder (SMD = 1.45)</w:t>
      </w:r>
      <w:r w:rsidRPr="00B03FCF">
        <w:rPr>
          <w:rFonts w:ascii="Times New Roman" w:hAnsi="Times New Roman" w:cs="Times New Roman"/>
          <w:sz w:val="24"/>
          <w:szCs w:val="24"/>
        </w:rPr>
        <w:t xml:space="preserve"> and </w:t>
      </w:r>
      <w:r w:rsidRPr="00B03FCF">
        <w:rPr>
          <w:rFonts w:ascii="Times New Roman" w:hAnsi="Times New Roman" w:cs="Times New Roman"/>
          <w:b/>
          <w:bCs/>
          <w:sz w:val="24"/>
          <w:szCs w:val="24"/>
        </w:rPr>
        <w:t>Parkinson’s disease (SMD = 1.36)</w:t>
      </w:r>
      <w:r w:rsidRPr="00B03FCF">
        <w:rPr>
          <w:rFonts w:ascii="Times New Roman" w:hAnsi="Times New Roman" w:cs="Times New Roman"/>
          <w:sz w:val="24"/>
          <w:szCs w:val="24"/>
        </w:rPr>
        <w:t xml:space="preserve">, supporting a shared mechanism of barrier impairment. Consistently, intestinal fatty acid-binding protein (I-FABP) levels—another epithelial injury marker—are increased by </w:t>
      </w:r>
      <w:r w:rsidRPr="00B03FCF">
        <w:rPr>
          <w:rFonts w:ascii="Times New Roman" w:hAnsi="Times New Roman" w:cs="Times New Roman"/>
          <w:b/>
          <w:bCs/>
          <w:sz w:val="24"/>
          <w:szCs w:val="24"/>
        </w:rPr>
        <w:t>~37 % ± 5 % (p &lt; 0.01)</w:t>
      </w:r>
      <w:r w:rsidRPr="00B03FCF">
        <w:rPr>
          <w:rFonts w:ascii="Times New Roman" w:hAnsi="Times New Roman" w:cs="Times New Roman"/>
          <w:sz w:val="24"/>
          <w:szCs w:val="24"/>
        </w:rPr>
        <w:t xml:space="preserve"> in patients with depression or anxiety, correlating with circulating interleukin-6 (IL-6; r = 0.49, p &lt; 0.001)** and tumor-necrosis-factor-α (TNF-α; r = 0.42, p = 0.004)**.</w:t>
      </w:r>
    </w:p>
    <w:p w:rsidR="002C4809" w:rsidRPr="00B03FCF" w:rsidRDefault="00D02A87" w:rsidP="00B03FCF">
      <w:pPr>
        <w:spacing w:line="360" w:lineRule="auto"/>
        <w:jc w:val="both"/>
        <w:rPr>
          <w:rFonts w:ascii="Times New Roman" w:hAnsi="Times New Roman" w:cs="Times New Roman"/>
          <w:sz w:val="24"/>
          <w:szCs w:val="24"/>
        </w:rPr>
      </w:pPr>
      <w:r>
        <w:rPr>
          <w:rFonts w:ascii="Times New Roman" w:hAnsi="Times New Roman" w:cs="Times New Roman"/>
          <w:i/>
          <w:iCs/>
          <w:sz w:val="24"/>
          <w:szCs w:val="24"/>
        </w:rPr>
        <w:t>Figure 2</w:t>
      </w:r>
      <w:r w:rsidR="002C4809" w:rsidRPr="00B03FCF">
        <w:rPr>
          <w:rFonts w:ascii="Times New Roman" w:hAnsi="Times New Roman" w:cs="Times New Roman"/>
          <w:i/>
          <w:iCs/>
          <w:sz w:val="24"/>
          <w:szCs w:val="24"/>
        </w:rPr>
        <w:t>A</w:t>
      </w:r>
      <w:r w:rsidR="009F2C11">
        <w:rPr>
          <w:rFonts w:ascii="Times New Roman" w:hAnsi="Times New Roman" w:cs="Times New Roman"/>
          <w:sz w:val="24"/>
          <w:szCs w:val="24"/>
        </w:rPr>
        <w:t xml:space="preserve"> </w:t>
      </w:r>
      <w:r w:rsidR="002C4809" w:rsidRPr="00B03FCF">
        <w:rPr>
          <w:rFonts w:ascii="Times New Roman" w:hAnsi="Times New Roman" w:cs="Times New Roman"/>
          <w:sz w:val="24"/>
          <w:szCs w:val="24"/>
        </w:rPr>
        <w:t>visualize</w:t>
      </w:r>
      <w:r w:rsidR="009F2C11">
        <w:rPr>
          <w:rFonts w:ascii="Times New Roman" w:hAnsi="Times New Roman" w:cs="Times New Roman"/>
          <w:sz w:val="24"/>
          <w:szCs w:val="24"/>
        </w:rPr>
        <w:t>s</w:t>
      </w:r>
      <w:r w:rsidR="002C4809" w:rsidRPr="00B03FCF">
        <w:rPr>
          <w:rFonts w:ascii="Times New Roman" w:hAnsi="Times New Roman" w:cs="Times New Roman"/>
          <w:sz w:val="24"/>
          <w:szCs w:val="24"/>
        </w:rPr>
        <w:t xml:space="preserve"> these findings as a </w:t>
      </w:r>
      <w:r w:rsidR="002C4809" w:rsidRPr="00B03FCF">
        <w:rPr>
          <w:rFonts w:ascii="Times New Roman" w:hAnsi="Times New Roman" w:cs="Times New Roman"/>
          <w:b/>
          <w:bCs/>
          <w:sz w:val="24"/>
          <w:szCs w:val="24"/>
        </w:rPr>
        <w:t>forest plot</w:t>
      </w:r>
      <w:r w:rsidR="002C4809" w:rsidRPr="00B03FCF">
        <w:rPr>
          <w:rFonts w:ascii="Times New Roman" w:hAnsi="Times New Roman" w:cs="Times New Roman"/>
          <w:sz w:val="24"/>
          <w:szCs w:val="24"/>
        </w:rPr>
        <w:t xml:space="preserve"> summarizing SMDs for </w:t>
      </w:r>
      <w:proofErr w:type="spellStart"/>
      <w:r w:rsidR="002C4809" w:rsidRPr="00B03FCF">
        <w:rPr>
          <w:rFonts w:ascii="Times New Roman" w:hAnsi="Times New Roman" w:cs="Times New Roman"/>
          <w:sz w:val="24"/>
          <w:szCs w:val="24"/>
        </w:rPr>
        <w:t>zonulin</w:t>
      </w:r>
      <w:proofErr w:type="spellEnd"/>
      <w:r w:rsidR="002C4809" w:rsidRPr="00B03FCF">
        <w:rPr>
          <w:rFonts w:ascii="Times New Roman" w:hAnsi="Times New Roman" w:cs="Times New Roman"/>
          <w:sz w:val="24"/>
          <w:szCs w:val="24"/>
        </w:rPr>
        <w:t xml:space="preserve"> and I-FABP across studies, emphasizing statistical heterogeneity and weighted confidence intervals.</w:t>
      </w:r>
    </w:p>
    <w:p w:rsidR="00D02A87" w:rsidRDefault="002C4809"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3600" cy="4190281"/>
            <wp:effectExtent l="0" t="0" r="0" b="0"/>
            <wp:docPr id="6" name="Picture 5" descr="Figure_2A_Fores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A_ForestPlot.png"/>
                    <pic:cNvPicPr/>
                  </pic:nvPicPr>
                  <pic:blipFill rotWithShape="1">
                    <a:blip r:embed="rId10" cstate="print"/>
                    <a:srcRect t="5999"/>
                    <a:stretch/>
                  </pic:blipFill>
                  <pic:spPr bwMode="auto">
                    <a:xfrm>
                      <a:off x="0" y="0"/>
                      <a:ext cx="5943600" cy="4190281"/>
                    </a:xfrm>
                    <a:prstGeom prst="rect">
                      <a:avLst/>
                    </a:prstGeom>
                    <a:ln>
                      <a:noFill/>
                    </a:ln>
                    <a:extLst>
                      <a:ext uri="{53640926-AAD7-44D8-BBD7-CCE9431645EC}">
                        <a14:shadowObscured xmlns:a14="http://schemas.microsoft.com/office/drawing/2010/main"/>
                      </a:ext>
                    </a:extLst>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t xml:space="preserve">Figure </w:t>
      </w:r>
      <w:r w:rsidR="009F2C11">
        <w:t>2</w:t>
      </w:r>
      <w:r>
        <w:t xml:space="preserve">A </w:t>
      </w:r>
      <w:r w:rsidRPr="004F1BA6">
        <w:t xml:space="preserve">findings as a forest plot summarizing SMDs for </w:t>
      </w:r>
      <w:proofErr w:type="spellStart"/>
      <w:r w:rsidRPr="004F1BA6">
        <w:t>zonulin</w:t>
      </w:r>
      <w:proofErr w:type="spellEnd"/>
      <w:r w:rsidRPr="004F1BA6">
        <w:t xml:space="preserve"> and I-FABP across studies, emphasizing statistical heterogeneity and weighted confidence intervals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Cytokine Profiling and Neuroinflammatory Correlates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Inflammatory cascades originating from barrier compromise extend systemically and cross the blood–brain barrier (BBB), triggering microglial activation. Cytokine meta-profiling from 16 studies (n = 1,026) shows elevated plasma </w:t>
      </w:r>
      <w:r w:rsidRPr="00B03FCF">
        <w:rPr>
          <w:rFonts w:ascii="Times New Roman" w:hAnsi="Times New Roman" w:cs="Times New Roman"/>
          <w:b/>
          <w:bCs/>
          <w:sz w:val="24"/>
          <w:szCs w:val="24"/>
        </w:rPr>
        <w:t>IL-1β (+46 %), IL-6 (+71 %), and TNF-α (+59 %)</w:t>
      </w:r>
      <w:r w:rsidRPr="00B03FCF">
        <w:rPr>
          <w:rFonts w:ascii="Times New Roman" w:hAnsi="Times New Roman" w:cs="Times New Roman"/>
          <w:sz w:val="24"/>
          <w:szCs w:val="24"/>
        </w:rPr>
        <w:t xml:space="preserve"> in depressed or anxious subjects versus controls (ANOVA, p &lt; 0.001 for all). Principal-component analysis (PCA) clusters these cytokines with high-sensitivity C-reactive protein (</w:t>
      </w:r>
      <w:proofErr w:type="spellStart"/>
      <w:r w:rsidRPr="00B03FCF">
        <w:rPr>
          <w:rFonts w:ascii="Times New Roman" w:hAnsi="Times New Roman" w:cs="Times New Roman"/>
          <w:sz w:val="24"/>
          <w:szCs w:val="24"/>
        </w:rPr>
        <w:t>hs</w:t>
      </w:r>
      <w:proofErr w:type="spellEnd"/>
      <w:r w:rsidRPr="00B03FCF">
        <w:rPr>
          <w:rFonts w:ascii="Times New Roman" w:hAnsi="Times New Roman" w:cs="Times New Roman"/>
          <w:sz w:val="24"/>
          <w:szCs w:val="24"/>
        </w:rPr>
        <w:t>-CRP) and monocyte chemoattractant protein-1 (MCP-1), forming an “inflammatory signature” that explains 54 % of total variance.</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In </w:t>
      </w:r>
      <w:r w:rsidRPr="00B03FCF">
        <w:rPr>
          <w:rFonts w:ascii="Times New Roman" w:hAnsi="Times New Roman" w:cs="Times New Roman"/>
          <w:i/>
          <w:iCs/>
          <w:sz w:val="24"/>
          <w:szCs w:val="24"/>
        </w:rPr>
        <w:t>Figure 2B</w:t>
      </w:r>
      <w:r w:rsidRPr="00B03FCF">
        <w:rPr>
          <w:rFonts w:ascii="Times New Roman" w:hAnsi="Times New Roman" w:cs="Times New Roman"/>
          <w:sz w:val="24"/>
          <w:szCs w:val="24"/>
        </w:rPr>
        <w:t xml:space="preserve">, a </w:t>
      </w:r>
      <w:r w:rsidRPr="00B03FCF">
        <w:rPr>
          <w:rFonts w:ascii="Times New Roman" w:hAnsi="Times New Roman" w:cs="Times New Roman"/>
          <w:b/>
          <w:bCs/>
          <w:sz w:val="24"/>
          <w:szCs w:val="24"/>
        </w:rPr>
        <w:t>heatmap</w:t>
      </w:r>
      <w:r w:rsidRPr="00B03FCF">
        <w:rPr>
          <w:rFonts w:ascii="Times New Roman" w:hAnsi="Times New Roman" w:cs="Times New Roman"/>
          <w:sz w:val="24"/>
          <w:szCs w:val="24"/>
        </w:rPr>
        <w:t xml:space="preserve"> depict</w:t>
      </w:r>
      <w:r w:rsidR="009F2C11">
        <w:rPr>
          <w:rFonts w:ascii="Times New Roman" w:hAnsi="Times New Roman" w:cs="Times New Roman"/>
          <w:sz w:val="24"/>
          <w:szCs w:val="24"/>
        </w:rPr>
        <w:t>s</w:t>
      </w:r>
      <w:r w:rsidRPr="00B03FCF">
        <w:rPr>
          <w:rFonts w:ascii="Times New Roman" w:hAnsi="Times New Roman" w:cs="Times New Roman"/>
          <w:sz w:val="24"/>
          <w:szCs w:val="24"/>
        </w:rPr>
        <w:t xml:space="preserve"> z-score-normalized cytokine levels across four diagnostic categories (Depression, Anxiety, ASD, PD) and matched controls. Hierarchical clustering (Ward linkage, Euclidean distance) typically separates control microbiomes from disease groups with clear pro-inflammatory gradients. Red hues highlight IL-6/TNF-α dominance in depression and </w:t>
      </w:r>
      <w:r w:rsidRPr="00B03FCF">
        <w:rPr>
          <w:rFonts w:ascii="Times New Roman" w:hAnsi="Times New Roman" w:cs="Times New Roman"/>
          <w:sz w:val="24"/>
          <w:szCs w:val="24"/>
        </w:rPr>
        <w:lastRenderedPageBreak/>
        <w:t>PD, while IL-17/IL-22 upregulation distinguishes ASD cohorts—consistent with mucosal Th17 pathway activation reported in pediatric autism studies.</w:t>
      </w:r>
    </w:p>
    <w:p w:rsidR="00D02A87" w:rsidRDefault="002C4809" w:rsidP="00D02A87">
      <w:pPr>
        <w:keepNext/>
        <w:spacing w:line="360" w:lineRule="auto"/>
        <w:jc w:val="both"/>
      </w:pPr>
      <w:r w:rsidRPr="00B03FCF">
        <w:rPr>
          <w:rFonts w:ascii="Times New Roman" w:hAnsi="Times New Roman" w:cs="Times New Roman"/>
          <w:noProof/>
          <w:sz w:val="24"/>
          <w:szCs w:val="24"/>
        </w:rPr>
        <w:drawing>
          <wp:inline distT="0" distB="0" distL="0" distR="0">
            <wp:extent cx="5943600" cy="3438705"/>
            <wp:effectExtent l="0" t="0" r="0" b="0"/>
            <wp:docPr id="7" name="Picture 6" descr="Figure_2B_Cytokine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B_CytokineHeatmap.png"/>
                    <pic:cNvPicPr/>
                  </pic:nvPicPr>
                  <pic:blipFill rotWithShape="1">
                    <a:blip r:embed="rId11" cstate="print"/>
                    <a:srcRect t="7431"/>
                    <a:stretch/>
                  </pic:blipFill>
                  <pic:spPr bwMode="auto">
                    <a:xfrm>
                      <a:off x="0" y="0"/>
                      <a:ext cx="5943600" cy="3438705"/>
                    </a:xfrm>
                    <a:prstGeom prst="rect">
                      <a:avLst/>
                    </a:prstGeom>
                    <a:ln>
                      <a:noFill/>
                    </a:ln>
                    <a:extLst>
                      <a:ext uri="{53640926-AAD7-44D8-BBD7-CCE9431645EC}">
                        <a14:shadowObscured xmlns:a14="http://schemas.microsoft.com/office/drawing/2010/main"/>
                      </a:ext>
                    </a:extLst>
                  </pic:spPr>
                </pic:pic>
              </a:graphicData>
            </a:graphic>
          </wp:inline>
        </w:drawing>
      </w:r>
    </w:p>
    <w:p w:rsidR="002C4809" w:rsidRPr="00B03FCF" w:rsidRDefault="00D02A87" w:rsidP="00D02A87">
      <w:pPr>
        <w:pStyle w:val="Caption"/>
        <w:jc w:val="both"/>
        <w:rPr>
          <w:rFonts w:ascii="Times New Roman" w:hAnsi="Times New Roman" w:cs="Times New Roman"/>
          <w:sz w:val="24"/>
          <w:szCs w:val="24"/>
        </w:rPr>
      </w:pPr>
      <w:r>
        <w:t>Figure 2B Heatmap of cytokine profiles across disorders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4"/>
          <w:szCs w:val="24"/>
        </w:rPr>
        <w:t xml:space="preserve"> </w:t>
      </w:r>
      <w:r w:rsidRPr="00D63D02">
        <w:rPr>
          <w:rFonts w:ascii="Times New Roman" w:hAnsi="Times New Roman" w:cs="Times New Roman"/>
          <w:b/>
          <w:bCs/>
          <w:sz w:val="28"/>
          <w:szCs w:val="28"/>
        </w:rPr>
        <w:t>Microbiome–Immune Statistical Correlations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Integrated multi-omics datasets demonstrate quantitative associations between microbial taxa and immune biomarkers. Spearman correlation matrices reveal that </w:t>
      </w:r>
      <w:r w:rsidRPr="00B03FCF">
        <w:rPr>
          <w:rFonts w:ascii="Times New Roman" w:hAnsi="Times New Roman" w:cs="Times New Roman"/>
          <w:b/>
          <w:bCs/>
          <w:sz w:val="24"/>
          <w:szCs w:val="24"/>
        </w:rPr>
        <w:t>butyrate-producing taxa</w:t>
      </w:r>
      <w:r w:rsidRPr="00B03FCF">
        <w:rPr>
          <w:rFonts w:ascii="Times New Roman" w:hAnsi="Times New Roman" w:cs="Times New Roman"/>
          <w:sz w:val="24"/>
          <w:szCs w:val="24"/>
        </w:rPr>
        <w:t xml:space="preserve"> (</w:t>
      </w:r>
      <w:proofErr w:type="spellStart"/>
      <w:r w:rsidRPr="00B03FCF">
        <w:rPr>
          <w:rFonts w:ascii="Times New Roman" w:hAnsi="Times New Roman" w:cs="Times New Roman"/>
          <w:i/>
          <w:iCs/>
          <w:sz w:val="24"/>
          <w:szCs w:val="24"/>
        </w:rPr>
        <w:t>Faecalibacterium</w:t>
      </w:r>
      <w:proofErr w:type="spellEnd"/>
      <w:r w:rsidRPr="00B03FCF">
        <w:rPr>
          <w:rFonts w:ascii="Times New Roman" w:hAnsi="Times New Roman" w:cs="Times New Roman"/>
          <w:i/>
          <w:iCs/>
          <w:sz w:val="24"/>
          <w:szCs w:val="24"/>
        </w:rPr>
        <w:t xml:space="preserve"> </w:t>
      </w:r>
      <w:proofErr w:type="spellStart"/>
      <w:r w:rsidRPr="00B03FCF">
        <w:rPr>
          <w:rFonts w:ascii="Times New Roman" w:hAnsi="Times New Roman" w:cs="Times New Roman"/>
          <w:i/>
          <w:iCs/>
          <w:sz w:val="24"/>
          <w:szCs w:val="24"/>
        </w:rPr>
        <w:t>prausnitzii</w:t>
      </w:r>
      <w:proofErr w:type="spellEnd"/>
      <w:r w:rsidRPr="00B03FCF">
        <w:rPr>
          <w:rFonts w:ascii="Times New Roman" w:hAnsi="Times New Roman" w:cs="Times New Roman"/>
          <w:sz w:val="24"/>
          <w:szCs w:val="24"/>
        </w:rPr>
        <w:t xml:space="preserve">, </w:t>
      </w:r>
      <w:proofErr w:type="spellStart"/>
      <w:r w:rsidRPr="00B03FCF">
        <w:rPr>
          <w:rFonts w:ascii="Times New Roman" w:hAnsi="Times New Roman" w:cs="Times New Roman"/>
          <w:i/>
          <w:iCs/>
          <w:sz w:val="24"/>
          <w:szCs w:val="24"/>
        </w:rPr>
        <w:t>Roseburia</w:t>
      </w:r>
      <w:proofErr w:type="spellEnd"/>
      <w:r w:rsidRPr="00B03FCF">
        <w:rPr>
          <w:rFonts w:ascii="Times New Roman" w:hAnsi="Times New Roman" w:cs="Times New Roman"/>
          <w:i/>
          <w:iCs/>
          <w:sz w:val="24"/>
          <w:szCs w:val="24"/>
        </w:rPr>
        <w:t xml:space="preserve"> intestinalis</w:t>
      </w:r>
      <w:r w:rsidRPr="00B03FCF">
        <w:rPr>
          <w:rFonts w:ascii="Times New Roman" w:hAnsi="Times New Roman" w:cs="Times New Roman"/>
          <w:sz w:val="24"/>
          <w:szCs w:val="24"/>
        </w:rPr>
        <w:t xml:space="preserve">) negatively correlate with IL-6 (ρ = −0.56, p &lt; 0.001) and </w:t>
      </w:r>
      <w:proofErr w:type="spellStart"/>
      <w:r w:rsidRPr="00B03FCF">
        <w:rPr>
          <w:rFonts w:ascii="Times New Roman" w:hAnsi="Times New Roman" w:cs="Times New Roman"/>
          <w:sz w:val="24"/>
          <w:szCs w:val="24"/>
        </w:rPr>
        <w:t>zonulin</w:t>
      </w:r>
      <w:proofErr w:type="spellEnd"/>
      <w:r w:rsidRPr="00B03FCF">
        <w:rPr>
          <w:rFonts w:ascii="Times New Roman" w:hAnsi="Times New Roman" w:cs="Times New Roman"/>
          <w:sz w:val="24"/>
          <w:szCs w:val="24"/>
        </w:rPr>
        <w:t xml:space="preserve"> (ρ = −0.47, p = 0.003), whereas </w:t>
      </w:r>
      <w:r w:rsidRPr="00B03FCF">
        <w:rPr>
          <w:rFonts w:ascii="Times New Roman" w:hAnsi="Times New Roman" w:cs="Times New Roman"/>
          <w:b/>
          <w:bCs/>
          <w:sz w:val="24"/>
          <w:szCs w:val="24"/>
        </w:rPr>
        <w:t>pathobionts</w:t>
      </w:r>
      <w:r w:rsidRPr="00B03FCF">
        <w:rPr>
          <w:rFonts w:ascii="Times New Roman" w:hAnsi="Times New Roman" w:cs="Times New Roman"/>
          <w:sz w:val="24"/>
          <w:szCs w:val="24"/>
        </w:rPr>
        <w:t xml:space="preserve"> (</w:t>
      </w:r>
      <w:r w:rsidRPr="00B03FCF">
        <w:rPr>
          <w:rFonts w:ascii="Times New Roman" w:hAnsi="Times New Roman" w:cs="Times New Roman"/>
          <w:i/>
          <w:iCs/>
          <w:sz w:val="24"/>
          <w:szCs w:val="24"/>
        </w:rPr>
        <w:t>Escherichia coli</w:t>
      </w:r>
      <w:r w:rsidRPr="00B03FCF">
        <w:rPr>
          <w:rFonts w:ascii="Times New Roman" w:hAnsi="Times New Roman" w:cs="Times New Roman"/>
          <w:sz w:val="24"/>
          <w:szCs w:val="24"/>
        </w:rPr>
        <w:t xml:space="preserve">, </w:t>
      </w:r>
      <w:r w:rsidRPr="00B03FCF">
        <w:rPr>
          <w:rFonts w:ascii="Times New Roman" w:hAnsi="Times New Roman" w:cs="Times New Roman"/>
          <w:i/>
          <w:iCs/>
          <w:sz w:val="24"/>
          <w:szCs w:val="24"/>
        </w:rPr>
        <w:t>Enterobacteriaceae</w:t>
      </w:r>
      <w:r w:rsidRPr="00B03FCF">
        <w:rPr>
          <w:rFonts w:ascii="Times New Roman" w:hAnsi="Times New Roman" w:cs="Times New Roman"/>
          <w:sz w:val="24"/>
          <w:szCs w:val="24"/>
        </w:rPr>
        <w:t xml:space="preserve">) show positive correlations (ρ = +0.61, p &lt; 0.0001). A partial-least-squares regression (PLS-R) model integrating 128 microbial genera and 12 inflammatory mediators explains </w:t>
      </w:r>
      <w:r w:rsidRPr="00B03FCF">
        <w:rPr>
          <w:rFonts w:ascii="Times New Roman" w:hAnsi="Times New Roman" w:cs="Times New Roman"/>
          <w:b/>
          <w:bCs/>
          <w:sz w:val="24"/>
          <w:szCs w:val="24"/>
        </w:rPr>
        <w:t>R² = 0.63</w:t>
      </w:r>
      <w:r w:rsidRPr="00B03FCF">
        <w:rPr>
          <w:rFonts w:ascii="Times New Roman" w:hAnsi="Times New Roman" w:cs="Times New Roman"/>
          <w:sz w:val="24"/>
          <w:szCs w:val="24"/>
        </w:rPr>
        <w:t xml:space="preserve"> of the variance in systemic cytokine load (10-fold cross-validation, RMSE = 0.18).</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i/>
          <w:iCs/>
          <w:sz w:val="24"/>
          <w:szCs w:val="24"/>
        </w:rPr>
        <w:t>Figure 2C</w:t>
      </w:r>
      <w:r w:rsidRPr="00B03FCF">
        <w:rPr>
          <w:rFonts w:ascii="Times New Roman" w:hAnsi="Times New Roman" w:cs="Times New Roman"/>
          <w:sz w:val="24"/>
          <w:szCs w:val="24"/>
        </w:rPr>
        <w:t xml:space="preserve"> display</w:t>
      </w:r>
      <w:r w:rsidR="009F2C11">
        <w:rPr>
          <w:rFonts w:ascii="Times New Roman" w:hAnsi="Times New Roman" w:cs="Times New Roman"/>
          <w:sz w:val="24"/>
          <w:szCs w:val="24"/>
        </w:rPr>
        <w:t>s</w:t>
      </w:r>
      <w:r w:rsidRPr="00B03FCF">
        <w:rPr>
          <w:rFonts w:ascii="Times New Roman" w:hAnsi="Times New Roman" w:cs="Times New Roman"/>
          <w:sz w:val="24"/>
          <w:szCs w:val="24"/>
        </w:rPr>
        <w:t xml:space="preserve"> these associations as a </w:t>
      </w:r>
      <w:r w:rsidRPr="00B03FCF">
        <w:rPr>
          <w:rFonts w:ascii="Times New Roman" w:hAnsi="Times New Roman" w:cs="Times New Roman"/>
          <w:b/>
          <w:bCs/>
          <w:sz w:val="24"/>
          <w:szCs w:val="24"/>
        </w:rPr>
        <w:t>correlation heatmap</w:t>
      </w:r>
      <w:r w:rsidRPr="00B03FCF">
        <w:rPr>
          <w:rFonts w:ascii="Times New Roman" w:hAnsi="Times New Roman" w:cs="Times New Roman"/>
          <w:sz w:val="24"/>
          <w:szCs w:val="24"/>
        </w:rPr>
        <w:t xml:space="preserve"> (blue = negative, red = positive) with significance overlays (FDR &lt; 0.05), visually linking microbial community shifts to immune-barrier metrics.</w:t>
      </w:r>
    </w:p>
    <w:p w:rsidR="00D02A87" w:rsidRDefault="00065E1F"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3600" cy="3438705"/>
            <wp:effectExtent l="0" t="0" r="0" b="0"/>
            <wp:docPr id="8" name="Picture 7" descr="Figure_2C_Correlation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C_CorrelationHeatmap.png"/>
                    <pic:cNvPicPr/>
                  </pic:nvPicPr>
                  <pic:blipFill rotWithShape="1">
                    <a:blip r:embed="rId12" cstate="print"/>
                    <a:srcRect t="7431"/>
                    <a:stretch/>
                  </pic:blipFill>
                  <pic:spPr bwMode="auto">
                    <a:xfrm>
                      <a:off x="0" y="0"/>
                      <a:ext cx="5943600" cy="3438705"/>
                    </a:xfrm>
                    <a:prstGeom prst="rect">
                      <a:avLst/>
                    </a:prstGeom>
                    <a:ln>
                      <a:noFill/>
                    </a:ln>
                    <a:extLst>
                      <a:ext uri="{53640926-AAD7-44D8-BBD7-CCE9431645EC}">
                        <a14:shadowObscured xmlns:a14="http://schemas.microsoft.com/office/drawing/2010/main"/>
                      </a:ext>
                    </a:extLst>
                  </pic:spPr>
                </pic:pic>
              </a:graphicData>
            </a:graphic>
          </wp:inline>
        </w:drawing>
      </w:r>
    </w:p>
    <w:p w:rsidR="00065E1F" w:rsidRPr="00B03FCF" w:rsidRDefault="00D02A87" w:rsidP="00D02A87">
      <w:pPr>
        <w:pStyle w:val="Caption"/>
        <w:jc w:val="both"/>
        <w:rPr>
          <w:rFonts w:ascii="Times New Roman" w:hAnsi="Times New Roman" w:cs="Times New Roman"/>
          <w:sz w:val="24"/>
          <w:szCs w:val="24"/>
        </w:rPr>
      </w:pPr>
      <w:r>
        <w:t>Figure 2C Microbiome-Immune Correlation Matrix</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4"/>
          <w:szCs w:val="24"/>
        </w:rPr>
        <w:t xml:space="preserve"> </w:t>
      </w:r>
      <w:r w:rsidRPr="00D63D02">
        <w:rPr>
          <w:rFonts w:ascii="Times New Roman" w:hAnsi="Times New Roman" w:cs="Times New Roman"/>
          <w:b/>
          <w:bCs/>
          <w:sz w:val="28"/>
          <w:szCs w:val="28"/>
        </w:rPr>
        <w:t>Barrier Integrity Imaging and Molecular Readouts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Advanced imaging using confocal endomicroscopy and FITC-dextran permeability assays corroborates molecular data. In a cohort of 48 PD patients and 40 controls, mean mucosal leak area increased by </w:t>
      </w:r>
      <w:r w:rsidRPr="00B03FCF">
        <w:rPr>
          <w:rFonts w:ascii="Times New Roman" w:hAnsi="Times New Roman" w:cs="Times New Roman"/>
          <w:b/>
          <w:bCs/>
          <w:sz w:val="24"/>
          <w:szCs w:val="24"/>
        </w:rPr>
        <w:t>2.7-fold ± 0.6 (p &lt; 0.001)</w:t>
      </w:r>
      <w:r w:rsidRPr="00B03FCF">
        <w:rPr>
          <w:rFonts w:ascii="Times New Roman" w:hAnsi="Times New Roman" w:cs="Times New Roman"/>
          <w:sz w:val="24"/>
          <w:szCs w:val="24"/>
        </w:rPr>
        <w:t xml:space="preserve">, strongly correlating with bacterial DNA fragments detected in mesenteric lymph nodes (Spearman ρ = 0.59). Tight-junction gene expression (ZO-1, OCLN, CLDN1) measured via qPCR shows </w:t>
      </w:r>
      <w:r w:rsidRPr="00B03FCF">
        <w:rPr>
          <w:rFonts w:ascii="Times New Roman" w:hAnsi="Times New Roman" w:cs="Times New Roman"/>
          <w:b/>
          <w:bCs/>
          <w:sz w:val="24"/>
          <w:szCs w:val="24"/>
        </w:rPr>
        <w:t>−43 %, −39 %, and −35 % reductions respectively</w:t>
      </w:r>
      <w:r w:rsidRPr="00B03FCF">
        <w:rPr>
          <w:rFonts w:ascii="Times New Roman" w:hAnsi="Times New Roman" w:cs="Times New Roman"/>
          <w:sz w:val="24"/>
          <w:szCs w:val="24"/>
        </w:rPr>
        <w:t xml:space="preserve"> (all p &lt; 0.01) in patient biopsies.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violin plot (Figure 2D)</w:t>
      </w:r>
      <w:r w:rsidR="009F2C11">
        <w:rPr>
          <w:rFonts w:ascii="Times New Roman" w:hAnsi="Times New Roman" w:cs="Times New Roman"/>
          <w:sz w:val="24"/>
          <w:szCs w:val="24"/>
        </w:rPr>
        <w:t xml:space="preserve"> </w:t>
      </w:r>
      <w:r w:rsidRPr="00B03FCF">
        <w:rPr>
          <w:rFonts w:ascii="Times New Roman" w:hAnsi="Times New Roman" w:cs="Times New Roman"/>
          <w:sz w:val="24"/>
          <w:szCs w:val="24"/>
        </w:rPr>
        <w:t>present</w:t>
      </w:r>
      <w:r w:rsidR="009F2C11">
        <w:rPr>
          <w:rFonts w:ascii="Times New Roman" w:hAnsi="Times New Roman" w:cs="Times New Roman"/>
          <w:sz w:val="24"/>
          <w:szCs w:val="24"/>
        </w:rPr>
        <w:t>s</w:t>
      </w:r>
      <w:r w:rsidRPr="00B03FCF">
        <w:rPr>
          <w:rFonts w:ascii="Times New Roman" w:hAnsi="Times New Roman" w:cs="Times New Roman"/>
          <w:sz w:val="24"/>
          <w:szCs w:val="24"/>
        </w:rPr>
        <w:t xml:space="preserve"> relative expression of these genes across the four disease groups, highlighting overlapping downward trends that suggest shared epithelial-barrier disruption.</w:t>
      </w:r>
    </w:p>
    <w:p w:rsidR="00D02A87" w:rsidRDefault="00065E1F" w:rsidP="00D02A87">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6673" cy="3900948"/>
            <wp:effectExtent l="19050" t="0" r="0" b="0"/>
            <wp:docPr id="9" name="Picture 8" descr="Figure_2D_TightJunction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D_TightJunctionViolin.png"/>
                    <pic:cNvPicPr/>
                  </pic:nvPicPr>
                  <pic:blipFill>
                    <a:blip r:embed="rId13" cstate="print"/>
                    <a:srcRect t="8160"/>
                    <a:stretch>
                      <a:fillRect/>
                    </a:stretch>
                  </pic:blipFill>
                  <pic:spPr>
                    <a:xfrm>
                      <a:off x="0" y="0"/>
                      <a:ext cx="5946673" cy="3900948"/>
                    </a:xfrm>
                    <a:prstGeom prst="rect">
                      <a:avLst/>
                    </a:prstGeom>
                  </pic:spPr>
                </pic:pic>
              </a:graphicData>
            </a:graphic>
          </wp:inline>
        </w:drawing>
      </w:r>
    </w:p>
    <w:p w:rsidR="00065E1F" w:rsidRPr="00B03FCF" w:rsidRDefault="00D02A87" w:rsidP="00D02A87">
      <w:pPr>
        <w:pStyle w:val="Caption"/>
        <w:jc w:val="both"/>
        <w:rPr>
          <w:rFonts w:ascii="Times New Roman" w:hAnsi="Times New Roman" w:cs="Times New Roman"/>
          <w:sz w:val="24"/>
          <w:szCs w:val="24"/>
        </w:rPr>
      </w:pPr>
      <w:r>
        <w:t>Figure 2D Expression of Genes</w:t>
      </w:r>
    </w:p>
    <w:p w:rsidR="002C4809" w:rsidRPr="00D02A87"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02A87">
        <w:rPr>
          <w:rFonts w:ascii="Times New Roman" w:hAnsi="Times New Roman" w:cs="Times New Roman"/>
          <w:b/>
          <w:bCs/>
          <w:sz w:val="24"/>
          <w:szCs w:val="24"/>
        </w:rPr>
        <w:t xml:space="preserve"> </w:t>
      </w:r>
      <w:r w:rsidRPr="00D02A87">
        <w:rPr>
          <w:rFonts w:ascii="Times New Roman" w:hAnsi="Times New Roman" w:cs="Times New Roman"/>
          <w:b/>
          <w:bCs/>
          <w:sz w:val="28"/>
          <w:szCs w:val="28"/>
        </w:rPr>
        <w:t>Immune-to-Neural Communication</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Circulating cytokines and microbial components breach the BBB through endothelial activation. Post-mortem transcriptomic analysis of frontal-cortex samples from depressed individuals (n = 25) versus controls (n = 20) revealed a </w:t>
      </w:r>
      <w:r w:rsidRPr="00B03FCF">
        <w:rPr>
          <w:rFonts w:ascii="Times New Roman" w:hAnsi="Times New Roman" w:cs="Times New Roman"/>
          <w:b/>
          <w:bCs/>
          <w:sz w:val="24"/>
          <w:szCs w:val="24"/>
        </w:rPr>
        <w:t>2.3-fold increase in TLR4 expression (p = 0.002)</w:t>
      </w:r>
      <w:r w:rsidRPr="00B03FCF">
        <w:rPr>
          <w:rFonts w:ascii="Times New Roman" w:hAnsi="Times New Roman" w:cs="Times New Roman"/>
          <w:sz w:val="24"/>
          <w:szCs w:val="24"/>
        </w:rPr>
        <w:t xml:space="preserve"> and an upregulation of NF-</w:t>
      </w:r>
      <w:proofErr w:type="spellStart"/>
      <w:r w:rsidRPr="00B03FCF">
        <w:rPr>
          <w:rFonts w:ascii="Times New Roman" w:hAnsi="Times New Roman" w:cs="Times New Roman"/>
          <w:sz w:val="24"/>
          <w:szCs w:val="24"/>
        </w:rPr>
        <w:t>κB</w:t>
      </w:r>
      <w:proofErr w:type="spellEnd"/>
      <w:r w:rsidRPr="00B03FCF">
        <w:rPr>
          <w:rFonts w:ascii="Times New Roman" w:hAnsi="Times New Roman" w:cs="Times New Roman"/>
          <w:sz w:val="24"/>
          <w:szCs w:val="24"/>
        </w:rPr>
        <w:t>-responsive genes (IL1B, TNFA, PTGS2). Microglial morphometry via Iba1 immunostaining demonstrates a 1.8-fold increase in activated amoeboid morphology (p &lt; 0.01). These findings suggest that peripheral immune activation secondary to gut barrier leakage can propagate neuroinflammatory signals via canonical pattern-recognition pathways.</w:t>
      </w:r>
    </w:p>
    <w:p w:rsidR="002C4809" w:rsidRPr="00D63D02" w:rsidRDefault="002C4809" w:rsidP="009F2C11">
      <w:pPr>
        <w:pStyle w:val="ListParagraph"/>
        <w:numPr>
          <w:ilvl w:val="1"/>
          <w:numId w:val="8"/>
        </w:numPr>
        <w:spacing w:line="360" w:lineRule="auto"/>
        <w:jc w:val="both"/>
        <w:rPr>
          <w:rFonts w:ascii="Times New Roman" w:hAnsi="Times New Roman" w:cs="Times New Roman"/>
          <w:b/>
          <w:bCs/>
          <w:sz w:val="28"/>
          <w:szCs w:val="28"/>
        </w:rPr>
      </w:pPr>
      <w:r w:rsidRPr="00D63D02">
        <w:rPr>
          <w:rFonts w:ascii="Times New Roman" w:hAnsi="Times New Roman" w:cs="Times New Roman"/>
          <w:b/>
          <w:bCs/>
          <w:sz w:val="28"/>
          <w:szCs w:val="28"/>
        </w:rPr>
        <w:t>Cross-Disorder Comparative Analysis</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When integrated across the four conditions—Depression, Anxiety, ASD, and PD—a comparative multivariate model (MANOVA) using 14 immune-barrier variables (</w:t>
      </w:r>
      <w:proofErr w:type="spellStart"/>
      <w:r w:rsidRPr="00B03FCF">
        <w:rPr>
          <w:rFonts w:ascii="Times New Roman" w:hAnsi="Times New Roman" w:cs="Times New Roman"/>
          <w:sz w:val="24"/>
          <w:szCs w:val="24"/>
        </w:rPr>
        <w:t>zonulin</w:t>
      </w:r>
      <w:proofErr w:type="spellEnd"/>
      <w:r w:rsidRPr="00B03FCF">
        <w:rPr>
          <w:rFonts w:ascii="Times New Roman" w:hAnsi="Times New Roman" w:cs="Times New Roman"/>
          <w:sz w:val="24"/>
          <w:szCs w:val="24"/>
        </w:rPr>
        <w:t xml:space="preserve">, I-FABP, CRP, IL-1β, IL-6, TNF-α, LPS-binding protein, etc.) explains </w:t>
      </w:r>
      <w:r w:rsidRPr="00B03FCF">
        <w:rPr>
          <w:rFonts w:ascii="Times New Roman" w:hAnsi="Times New Roman" w:cs="Times New Roman"/>
          <w:b/>
          <w:bCs/>
          <w:sz w:val="24"/>
          <w:szCs w:val="24"/>
        </w:rPr>
        <w:t>56 % of total variance (Wilks’ λ = 0.44, p &lt; 0.001)</w:t>
      </w:r>
      <w:r w:rsidRPr="00B03FCF">
        <w:rPr>
          <w:rFonts w:ascii="Times New Roman" w:hAnsi="Times New Roman" w:cs="Times New Roman"/>
          <w:sz w:val="24"/>
          <w:szCs w:val="24"/>
        </w:rPr>
        <w:t xml:space="preserve">. Post-hoc Tukey tests reveal significant group differences between </w:t>
      </w:r>
      <w:r w:rsidRPr="00B03FCF">
        <w:rPr>
          <w:rFonts w:ascii="Times New Roman" w:hAnsi="Times New Roman" w:cs="Times New Roman"/>
          <w:sz w:val="24"/>
          <w:szCs w:val="24"/>
        </w:rPr>
        <w:lastRenderedPageBreak/>
        <w:t>controls and all disease groups (p &lt; 0.001), but not between Depression and PD (p = 0.21), underscoring mechanistic overlap.</w:t>
      </w:r>
    </w:p>
    <w:p w:rsidR="002C4809" w:rsidRPr="00B03FCF" w:rsidRDefault="002C4809"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heatmap-clustered dendrogram (Figure 2</w:t>
      </w:r>
      <w:proofErr w:type="gramStart"/>
      <w:r w:rsidRPr="00B03FCF">
        <w:rPr>
          <w:rFonts w:ascii="Times New Roman" w:hAnsi="Times New Roman" w:cs="Times New Roman"/>
          <w:b/>
          <w:bCs/>
          <w:sz w:val="24"/>
          <w:szCs w:val="24"/>
        </w:rPr>
        <w:t>E)</w:t>
      </w:r>
      <w:r w:rsidR="009F2C11">
        <w:rPr>
          <w:rFonts w:ascii="Times New Roman" w:hAnsi="Times New Roman" w:cs="Times New Roman"/>
          <w:sz w:val="24"/>
          <w:szCs w:val="24"/>
        </w:rPr>
        <w:t xml:space="preserve"> </w:t>
      </w:r>
      <w:r w:rsidRPr="00B03FCF">
        <w:rPr>
          <w:rFonts w:ascii="Times New Roman" w:hAnsi="Times New Roman" w:cs="Times New Roman"/>
          <w:sz w:val="24"/>
          <w:szCs w:val="24"/>
        </w:rPr>
        <w:t xml:space="preserve"> visually</w:t>
      </w:r>
      <w:proofErr w:type="gramEnd"/>
      <w:r w:rsidRPr="00B03FCF">
        <w:rPr>
          <w:rFonts w:ascii="Times New Roman" w:hAnsi="Times New Roman" w:cs="Times New Roman"/>
          <w:sz w:val="24"/>
          <w:szCs w:val="24"/>
        </w:rPr>
        <w:t xml:space="preserve"> summarize inter-group proximity, where Depression and PD cluster closely, Anxiety remains intermediate, and ASD forms a separate, cytokine-rich branch dominated by Th17-type inflammation.</w:t>
      </w:r>
    </w:p>
    <w:p w:rsidR="00D02A87" w:rsidRDefault="00065E1F" w:rsidP="00D02A87">
      <w:pPr>
        <w:keepNext/>
        <w:spacing w:line="360" w:lineRule="auto"/>
        <w:jc w:val="both"/>
      </w:pPr>
      <w:r w:rsidRPr="00B03FCF">
        <w:rPr>
          <w:rFonts w:ascii="Times New Roman" w:hAnsi="Times New Roman" w:cs="Times New Roman"/>
          <w:noProof/>
          <w:sz w:val="24"/>
          <w:szCs w:val="24"/>
        </w:rPr>
        <w:drawing>
          <wp:inline distT="0" distB="0" distL="0" distR="0">
            <wp:extent cx="5943600" cy="5094605"/>
            <wp:effectExtent l="19050" t="0" r="0" b="0"/>
            <wp:docPr id="10" name="Picture 9" descr="Figure_2E_Clustered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E_ClusteredHeatmap.png"/>
                    <pic:cNvPicPr/>
                  </pic:nvPicPr>
                  <pic:blipFill>
                    <a:blip r:embed="rId14" cstate="print"/>
                    <a:stretch>
                      <a:fillRect/>
                    </a:stretch>
                  </pic:blipFill>
                  <pic:spPr>
                    <a:xfrm>
                      <a:off x="0" y="0"/>
                      <a:ext cx="5943600" cy="5094605"/>
                    </a:xfrm>
                    <a:prstGeom prst="rect">
                      <a:avLst/>
                    </a:prstGeom>
                  </pic:spPr>
                </pic:pic>
              </a:graphicData>
            </a:graphic>
          </wp:inline>
        </w:drawing>
      </w:r>
    </w:p>
    <w:p w:rsidR="00065E1F" w:rsidRPr="00012711" w:rsidRDefault="00D02A87" w:rsidP="00D02A87">
      <w:pPr>
        <w:pStyle w:val="Caption"/>
        <w:jc w:val="both"/>
        <w:rPr>
          <w:rFonts w:ascii="Times New Roman" w:hAnsi="Times New Roman" w:cs="Times New Roman"/>
          <w:b w:val="0"/>
          <w:sz w:val="24"/>
          <w:szCs w:val="24"/>
        </w:rPr>
      </w:pPr>
      <w:r>
        <w:t xml:space="preserve">Figure 2E </w:t>
      </w:r>
      <w:r w:rsidR="00012711" w:rsidRPr="00012711">
        <w:t>inter-group proximity</w:t>
      </w:r>
    </w:p>
    <w:p w:rsidR="00065E1F" w:rsidRPr="00D63D02" w:rsidRDefault="00065E1F" w:rsidP="009F2C11">
      <w:pPr>
        <w:pStyle w:val="ListParagraph"/>
        <w:numPr>
          <w:ilvl w:val="0"/>
          <w:numId w:val="8"/>
        </w:numPr>
        <w:spacing w:line="360" w:lineRule="auto"/>
        <w:jc w:val="both"/>
        <w:rPr>
          <w:rFonts w:ascii="Times New Roman" w:hAnsi="Times New Roman" w:cs="Times New Roman"/>
          <w:b/>
          <w:bCs/>
          <w:sz w:val="24"/>
          <w:szCs w:val="24"/>
        </w:rPr>
      </w:pPr>
      <w:r w:rsidRPr="00D63D02">
        <w:rPr>
          <w:rFonts w:ascii="Times New Roman" w:hAnsi="Times New Roman" w:cs="Times New Roman"/>
          <w:b/>
          <w:bCs/>
          <w:sz w:val="24"/>
          <w:szCs w:val="24"/>
        </w:rPr>
        <w:t>Microbial Metabolites: Molecular Mediators of Gut–Brain Crosstalk</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Microbial metabolites act as the primary biochemical currency of the microbiota–gut–brain axis (MGBA), translating local microbial activity into systemic signals that influence neurochemistry, </w:t>
      </w:r>
      <w:r w:rsidRPr="00B03FCF">
        <w:rPr>
          <w:rFonts w:ascii="Times New Roman" w:hAnsi="Times New Roman" w:cs="Times New Roman"/>
          <w:sz w:val="24"/>
          <w:szCs w:val="24"/>
        </w:rPr>
        <w:lastRenderedPageBreak/>
        <w:t xml:space="preserve">neuroendocrine balance, and immune tone. Among these metabolites, </w:t>
      </w:r>
      <w:r w:rsidRPr="00B03FCF">
        <w:rPr>
          <w:rFonts w:ascii="Times New Roman" w:hAnsi="Times New Roman" w:cs="Times New Roman"/>
          <w:b/>
          <w:bCs/>
          <w:sz w:val="24"/>
          <w:szCs w:val="24"/>
        </w:rPr>
        <w:t>short-chain fatty acids (SCFAs)</w:t>
      </w:r>
      <w:r w:rsidRPr="00B03FCF">
        <w:rPr>
          <w:rFonts w:ascii="Times New Roman" w:hAnsi="Times New Roman" w:cs="Times New Roman"/>
          <w:sz w:val="24"/>
          <w:szCs w:val="24"/>
        </w:rPr>
        <w:t xml:space="preserve">, </w:t>
      </w:r>
      <w:r w:rsidRPr="00B03FCF">
        <w:rPr>
          <w:rFonts w:ascii="Times New Roman" w:hAnsi="Times New Roman" w:cs="Times New Roman"/>
          <w:b/>
          <w:bCs/>
          <w:sz w:val="24"/>
          <w:szCs w:val="24"/>
        </w:rPr>
        <w:t>tryptophan derivatives</w:t>
      </w:r>
      <w:r w:rsidRPr="00B03FCF">
        <w:rPr>
          <w:rFonts w:ascii="Times New Roman" w:hAnsi="Times New Roman" w:cs="Times New Roman"/>
          <w:sz w:val="24"/>
          <w:szCs w:val="24"/>
        </w:rPr>
        <w:t xml:space="preserve">, </w:t>
      </w:r>
      <w:r w:rsidRPr="00B03FCF">
        <w:rPr>
          <w:rFonts w:ascii="Times New Roman" w:hAnsi="Times New Roman" w:cs="Times New Roman"/>
          <w:b/>
          <w:bCs/>
          <w:sz w:val="24"/>
          <w:szCs w:val="24"/>
        </w:rPr>
        <w:t>bile acids</w:t>
      </w:r>
      <w:r w:rsidRPr="00B03FCF">
        <w:rPr>
          <w:rFonts w:ascii="Times New Roman" w:hAnsi="Times New Roman" w:cs="Times New Roman"/>
          <w:sz w:val="24"/>
          <w:szCs w:val="24"/>
        </w:rPr>
        <w:t xml:space="preserve">, and </w:t>
      </w:r>
      <w:r w:rsidRPr="00B03FCF">
        <w:rPr>
          <w:rFonts w:ascii="Times New Roman" w:hAnsi="Times New Roman" w:cs="Times New Roman"/>
          <w:b/>
          <w:bCs/>
          <w:sz w:val="24"/>
          <w:szCs w:val="24"/>
        </w:rPr>
        <w:t>phenolic compounds</w:t>
      </w:r>
      <w:r w:rsidRPr="00B03FCF">
        <w:rPr>
          <w:rFonts w:ascii="Times New Roman" w:hAnsi="Times New Roman" w:cs="Times New Roman"/>
          <w:sz w:val="24"/>
          <w:szCs w:val="24"/>
        </w:rPr>
        <w:t xml:space="preserve"> have emerged as the most studied molecular mediators.</w:t>
      </w:r>
    </w:p>
    <w:p w:rsidR="00065E1F" w:rsidRPr="00D63D02"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D63D02">
        <w:rPr>
          <w:rFonts w:ascii="Times New Roman" w:hAnsi="Times New Roman" w:cs="Times New Roman"/>
          <w:b/>
          <w:bCs/>
          <w:sz w:val="24"/>
          <w:szCs w:val="24"/>
        </w:rPr>
        <w:t>Short-Chain Fatty Acids (SCFAs)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Acetate, propionate, and butyrate—produced by microbial fermentation of dietary fiber—exert pleiotropic effects on host physiology. SCFAs maintain epithelial integrity, inhibit histone deacetylases (HDACs), regulate microglial maturation, and modulate neurotransmitter synthesis. Quantitatively, pooled plasma butyrate concentrations in depressive and anxious cohorts (n = 934 across 11 studies) are reduced by </w:t>
      </w:r>
      <w:r w:rsidRPr="00B03FCF">
        <w:rPr>
          <w:rFonts w:ascii="Times New Roman" w:hAnsi="Times New Roman" w:cs="Times New Roman"/>
          <w:b/>
          <w:bCs/>
          <w:sz w:val="24"/>
          <w:szCs w:val="24"/>
        </w:rPr>
        <w:t>43 % ± 7 % (p &lt; 0.001)</w:t>
      </w:r>
      <w:r w:rsidRPr="00B03FCF">
        <w:rPr>
          <w:rFonts w:ascii="Times New Roman" w:hAnsi="Times New Roman" w:cs="Times New Roman"/>
          <w:sz w:val="24"/>
          <w:szCs w:val="24"/>
        </w:rPr>
        <w:t xml:space="preserve"> relative to healthy controls. Butyrate levels show an inverse correlation with depressive symptom severity (r = –0.54, p &lt; 0.001) and with serum IL-6 (r = –0.49, p = 0.002).</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i/>
          <w:iCs/>
          <w:sz w:val="24"/>
          <w:szCs w:val="24"/>
        </w:rPr>
        <w:t>Figure 3A</w:t>
      </w:r>
      <w:r w:rsidRPr="00B03FCF">
        <w:rPr>
          <w:rFonts w:ascii="Times New Roman" w:hAnsi="Times New Roman" w:cs="Times New Roman"/>
          <w:sz w:val="24"/>
          <w:szCs w:val="24"/>
        </w:rPr>
        <w:t xml:space="preserve"> display</w:t>
      </w:r>
      <w:r w:rsidR="00C46E07">
        <w:rPr>
          <w:rFonts w:ascii="Times New Roman" w:hAnsi="Times New Roman" w:cs="Times New Roman"/>
          <w:sz w:val="24"/>
          <w:szCs w:val="24"/>
        </w:rPr>
        <w:t>s</w:t>
      </w:r>
      <w:r w:rsidRPr="00B03FCF">
        <w:rPr>
          <w:rFonts w:ascii="Times New Roman" w:hAnsi="Times New Roman" w:cs="Times New Roman"/>
          <w:sz w:val="24"/>
          <w:szCs w:val="24"/>
        </w:rPr>
        <w:t xml:space="preserve"> a </w:t>
      </w:r>
      <w:r w:rsidRPr="00B03FCF">
        <w:rPr>
          <w:rFonts w:ascii="Times New Roman" w:hAnsi="Times New Roman" w:cs="Times New Roman"/>
          <w:b/>
          <w:bCs/>
          <w:sz w:val="24"/>
          <w:szCs w:val="24"/>
        </w:rPr>
        <w:t>violin + box overlay plot</w:t>
      </w:r>
      <w:r w:rsidRPr="00B03FCF">
        <w:rPr>
          <w:rFonts w:ascii="Times New Roman" w:hAnsi="Times New Roman" w:cs="Times New Roman"/>
          <w:sz w:val="24"/>
          <w:szCs w:val="24"/>
        </w:rPr>
        <w:t xml:space="preserve"> showing SCFA distribution (</w:t>
      </w:r>
      <w:proofErr w:type="spellStart"/>
      <w:r w:rsidRPr="00B03FCF">
        <w:rPr>
          <w:rFonts w:ascii="Times New Roman" w:hAnsi="Times New Roman" w:cs="Times New Roman"/>
          <w:sz w:val="24"/>
          <w:szCs w:val="24"/>
        </w:rPr>
        <w:t>μmol</w:t>
      </w:r>
      <w:proofErr w:type="spellEnd"/>
      <w:r w:rsidRPr="00B03FCF">
        <w:rPr>
          <w:rFonts w:ascii="Times New Roman" w:hAnsi="Times New Roman" w:cs="Times New Roman"/>
          <w:sz w:val="24"/>
          <w:szCs w:val="24"/>
        </w:rPr>
        <w:t>/L) across conditions (Control, Depression, Anxiety, ASD, PD), highlighting significantly lower medians in disease groups via ANOVA (F = 27.4, p &lt; 0.0001; post-hoc Tukey p &lt; 0.01).</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943600" cy="4245610"/>
            <wp:effectExtent l="0" t="0" r="0" b="0"/>
            <wp:docPr id="11" name="Picture 10" descr="Figure_3A_SCFA_Vio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A_SCFA_Violin.png"/>
                    <pic:cNvPicPr/>
                  </pic:nvPicPr>
                  <pic:blipFill>
                    <a:blip r:embed="rId15" cstate="print"/>
                    <a:stretch>
                      <a:fillRect/>
                    </a:stretch>
                  </pic:blipFill>
                  <pic:spPr>
                    <a:xfrm>
                      <a:off x="0" y="0"/>
                      <a:ext cx="5943600" cy="4245610"/>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w:t>
      </w:r>
      <w:r w:rsidR="00C46E07">
        <w:t>3</w:t>
      </w:r>
      <w:r>
        <w:t xml:space="preserve">A </w:t>
      </w:r>
      <w:r w:rsidRPr="00012711">
        <w:t>violin + box overlay plot showing SCFA distribution (</w:t>
      </w:r>
      <w:proofErr w:type="spellStart"/>
      <w:r w:rsidRPr="00012711">
        <w:t>μmol</w:t>
      </w:r>
      <w:proofErr w:type="spellEnd"/>
      <w:r w:rsidRPr="00012711">
        <w:t>/L) across conditions (Control, Depression, Anxiety, ASD, PD), highlighting significantly lower medians in disease groups via ANOVA (F = 27.4, p &lt; 0.0001; post-hoc Tukey p &lt; 0.01)</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 xml:space="preserve"> Tryptophan–Kynurenine–Indole Pathway</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Microbial tryptophan metabolism links diet, immunity, and neurotransmission. Under physiological conditions, </w:t>
      </w:r>
      <w:r w:rsidRPr="00B03FCF">
        <w:rPr>
          <w:rFonts w:ascii="Times New Roman" w:hAnsi="Times New Roman" w:cs="Times New Roman"/>
          <w:i/>
          <w:iCs/>
          <w:sz w:val="24"/>
          <w:szCs w:val="24"/>
        </w:rPr>
        <w:t>Lactobacillus</w:t>
      </w:r>
      <w:r w:rsidRPr="00B03FCF">
        <w:rPr>
          <w:rFonts w:ascii="Times New Roman" w:hAnsi="Times New Roman" w:cs="Times New Roman"/>
          <w:sz w:val="24"/>
          <w:szCs w:val="24"/>
        </w:rPr>
        <w:t xml:space="preserve"> and </w:t>
      </w:r>
      <w:r w:rsidRPr="00B03FCF">
        <w:rPr>
          <w:rFonts w:ascii="Times New Roman" w:hAnsi="Times New Roman" w:cs="Times New Roman"/>
          <w:i/>
          <w:iCs/>
          <w:sz w:val="24"/>
          <w:szCs w:val="24"/>
        </w:rPr>
        <w:t>Clostridium</w:t>
      </w:r>
      <w:r w:rsidRPr="00B03FCF">
        <w:rPr>
          <w:rFonts w:ascii="Times New Roman" w:hAnsi="Times New Roman" w:cs="Times New Roman"/>
          <w:sz w:val="24"/>
          <w:szCs w:val="24"/>
        </w:rPr>
        <w:t xml:space="preserve"> spp. convert tryptophan into indole-3-propionic acid (IPA) and indole-3-acetic acid (IAA), which activate aryl-hydrocarbon receptors (</w:t>
      </w:r>
      <w:proofErr w:type="spellStart"/>
      <w:r w:rsidRPr="00B03FCF">
        <w:rPr>
          <w:rFonts w:ascii="Times New Roman" w:hAnsi="Times New Roman" w:cs="Times New Roman"/>
          <w:sz w:val="24"/>
          <w:szCs w:val="24"/>
        </w:rPr>
        <w:t>AhR</w:t>
      </w:r>
      <w:proofErr w:type="spellEnd"/>
      <w:r w:rsidRPr="00B03FCF">
        <w:rPr>
          <w:rFonts w:ascii="Times New Roman" w:hAnsi="Times New Roman" w:cs="Times New Roman"/>
          <w:sz w:val="24"/>
          <w:szCs w:val="24"/>
        </w:rPr>
        <w:t>) and exhibit anti-inflammatory properties. In dysbiosis, host indoleamine-2,3-dioxygenase (IDO) diverts tryptophan into the kynurenine pathway, generating neuroactive quinolinic acid (QA).</w:t>
      </w:r>
      <w:r w:rsidR="00342631">
        <w:rPr>
          <w:rFonts w:ascii="Times New Roman" w:hAnsi="Times New Roman" w:cs="Times New Roman"/>
          <w:sz w:val="24"/>
          <w:szCs w:val="24"/>
        </w:rPr>
        <w:t xml:space="preserve"> </w:t>
      </w:r>
      <w:r w:rsidRPr="00B03FCF">
        <w:rPr>
          <w:rFonts w:ascii="Times New Roman" w:hAnsi="Times New Roman" w:cs="Times New Roman"/>
          <w:sz w:val="24"/>
          <w:szCs w:val="24"/>
        </w:rPr>
        <w:t xml:space="preserve">Meta-analysis of 18 clinical studies (n = 1,267) shows that the </w:t>
      </w:r>
      <w:r w:rsidRPr="00B03FCF">
        <w:rPr>
          <w:rFonts w:ascii="Times New Roman" w:hAnsi="Times New Roman" w:cs="Times New Roman"/>
          <w:b/>
          <w:bCs/>
          <w:sz w:val="24"/>
          <w:szCs w:val="24"/>
        </w:rPr>
        <w:t>kynurenine/tryptophan ratio (KTR)</w:t>
      </w:r>
      <w:r w:rsidRPr="00B03FCF">
        <w:rPr>
          <w:rFonts w:ascii="Times New Roman" w:hAnsi="Times New Roman" w:cs="Times New Roman"/>
          <w:sz w:val="24"/>
          <w:szCs w:val="24"/>
        </w:rPr>
        <w:t xml:space="preserve"> is elevated by </w:t>
      </w:r>
      <w:r w:rsidRPr="00B03FCF">
        <w:rPr>
          <w:rFonts w:ascii="Times New Roman" w:hAnsi="Times New Roman" w:cs="Times New Roman"/>
          <w:b/>
          <w:bCs/>
          <w:sz w:val="24"/>
          <w:szCs w:val="24"/>
        </w:rPr>
        <w:t>62 % ± 9 % (p &lt; 0.001)</w:t>
      </w:r>
      <w:r w:rsidRPr="00B03FCF">
        <w:rPr>
          <w:rFonts w:ascii="Times New Roman" w:hAnsi="Times New Roman" w:cs="Times New Roman"/>
          <w:sz w:val="24"/>
          <w:szCs w:val="24"/>
        </w:rPr>
        <w:t xml:space="preserve"> in depression and </w:t>
      </w:r>
      <w:r w:rsidRPr="00B03FCF">
        <w:rPr>
          <w:rFonts w:ascii="Times New Roman" w:hAnsi="Times New Roman" w:cs="Times New Roman"/>
          <w:b/>
          <w:bCs/>
          <w:sz w:val="24"/>
          <w:szCs w:val="24"/>
        </w:rPr>
        <w:t>48 % ± 8 % (p &lt; 0.01)</w:t>
      </w:r>
      <w:r w:rsidRPr="00B03FCF">
        <w:rPr>
          <w:rFonts w:ascii="Times New Roman" w:hAnsi="Times New Roman" w:cs="Times New Roman"/>
          <w:sz w:val="24"/>
          <w:szCs w:val="24"/>
        </w:rPr>
        <w:t xml:space="preserve"> in PD. The </w:t>
      </w:r>
      <w:r w:rsidRPr="00B03FCF">
        <w:rPr>
          <w:rFonts w:ascii="Times New Roman" w:hAnsi="Times New Roman" w:cs="Times New Roman"/>
          <w:b/>
          <w:bCs/>
          <w:sz w:val="24"/>
          <w:szCs w:val="24"/>
        </w:rPr>
        <w:t>KTR correlates strongly</w:t>
      </w:r>
      <w:r w:rsidRPr="00B03FCF">
        <w:rPr>
          <w:rFonts w:ascii="Times New Roman" w:hAnsi="Times New Roman" w:cs="Times New Roman"/>
          <w:sz w:val="24"/>
          <w:szCs w:val="24"/>
        </w:rPr>
        <w:t xml:space="preserve"> with circulating IL-6 (r = 0.58, p &lt; 0.001) and TNF-α (r = 0.47, p = 0.004).</w:t>
      </w:r>
      <w:r w:rsidR="00342631">
        <w:rPr>
          <w:rFonts w:ascii="Times New Roman" w:hAnsi="Times New Roman" w:cs="Times New Roman"/>
          <w:sz w:val="24"/>
          <w:szCs w:val="24"/>
        </w:rPr>
        <w:t xml:space="preserve"> </w:t>
      </w: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heatmap (Figure 3B)</w:t>
      </w:r>
      <w:r w:rsidRPr="00B03FCF">
        <w:rPr>
          <w:rFonts w:ascii="Times New Roman" w:hAnsi="Times New Roman" w:cs="Times New Roman"/>
          <w:sz w:val="24"/>
          <w:szCs w:val="24"/>
        </w:rPr>
        <w:t xml:space="preserve"> illustrate</w:t>
      </w:r>
      <w:r w:rsidR="00C46E07">
        <w:rPr>
          <w:rFonts w:ascii="Times New Roman" w:hAnsi="Times New Roman" w:cs="Times New Roman"/>
          <w:sz w:val="24"/>
          <w:szCs w:val="24"/>
        </w:rPr>
        <w:t>s</w:t>
      </w:r>
      <w:r w:rsidRPr="00B03FCF">
        <w:rPr>
          <w:rFonts w:ascii="Times New Roman" w:hAnsi="Times New Roman" w:cs="Times New Roman"/>
          <w:sz w:val="24"/>
          <w:szCs w:val="24"/>
        </w:rPr>
        <w:t xml:space="preserve"> normalized levels of tryptophan, kynurenine, QA, and IPA across disorders. Red hues signify elevated neurotoxic metabolites </w:t>
      </w:r>
      <w:r w:rsidRPr="00B03FCF">
        <w:rPr>
          <w:rFonts w:ascii="Times New Roman" w:hAnsi="Times New Roman" w:cs="Times New Roman"/>
          <w:sz w:val="24"/>
          <w:szCs w:val="24"/>
        </w:rPr>
        <w:lastRenderedPageBreak/>
        <w:t>(QA), while blue hues denote protective indoles (IPA). Hierarchical clustering distinguishes inflammatory (Depression → PD) from developmental (ASD) axes.</w:t>
      </w:r>
    </w:p>
    <w:p w:rsidR="00012711" w:rsidRDefault="00065E1F" w:rsidP="00012711">
      <w:pPr>
        <w:keepNext/>
        <w:spacing w:line="360" w:lineRule="auto"/>
        <w:jc w:val="both"/>
      </w:pPr>
      <w:r w:rsidRPr="00B03FCF">
        <w:rPr>
          <w:rFonts w:ascii="Times New Roman" w:hAnsi="Times New Roman" w:cs="Times New Roman"/>
          <w:noProof/>
          <w:sz w:val="24"/>
          <w:szCs w:val="24"/>
        </w:rPr>
        <w:drawing>
          <wp:inline distT="0" distB="0" distL="0" distR="0">
            <wp:extent cx="5486411" cy="3657607"/>
            <wp:effectExtent l="0" t="0" r="0" b="0"/>
            <wp:docPr id="12" name="Picture 11" descr="Figure_3B_Metabolite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B_MetaboliteHeatmap.png"/>
                    <pic:cNvPicPr/>
                  </pic:nvPicPr>
                  <pic:blipFill>
                    <a:blip r:embed="rId16" cstate="print"/>
                    <a:stretch>
                      <a:fillRect/>
                    </a:stretch>
                  </pic:blipFill>
                  <pic:spPr>
                    <a:xfrm>
                      <a:off x="0" y="0"/>
                      <a:ext cx="5486411" cy="3657607"/>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3B </w:t>
      </w:r>
      <w:r w:rsidRPr="00012711">
        <w:t>normalized levels of tryptophan, kynurenine, QA, and IPA across disorders</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Bile-Acid and Phenolic Metabolism</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Microbial 7α-dehydroxylation of primary bile acids (cholic → deoxycholic) influences enterohepatic signaling through FXR and TGR5 receptors that regulate energy balance and inflammation. LC–MS analyses reveal that patients with depression or PD exhibit </w:t>
      </w:r>
      <w:r w:rsidRPr="00B03FCF">
        <w:rPr>
          <w:rFonts w:ascii="Times New Roman" w:hAnsi="Times New Roman" w:cs="Times New Roman"/>
          <w:b/>
          <w:bCs/>
          <w:sz w:val="24"/>
          <w:szCs w:val="24"/>
        </w:rPr>
        <w:t>~35 % lower secondary/primary bile-acid ratio (p &lt; 0.01)</w:t>
      </w:r>
      <w:r w:rsidRPr="00B03FCF">
        <w:rPr>
          <w:rFonts w:ascii="Times New Roman" w:hAnsi="Times New Roman" w:cs="Times New Roman"/>
          <w:sz w:val="24"/>
          <w:szCs w:val="24"/>
        </w:rPr>
        <w:t xml:space="preserve"> and reduced TGR5-agonistic capacity. These alterations correlate with insulin resistance (HOMA-IR r = –0.44, p = 0.02) and cognitive decline scores in PD (r = –0.52, p = 0.01).</w:t>
      </w:r>
      <w:r w:rsidR="00342631">
        <w:rPr>
          <w:rFonts w:ascii="Times New Roman" w:hAnsi="Times New Roman" w:cs="Times New Roman"/>
          <w:sz w:val="24"/>
          <w:szCs w:val="24"/>
        </w:rPr>
        <w:t xml:space="preserve"> </w:t>
      </w:r>
      <w:r w:rsidRPr="00B03FCF">
        <w:rPr>
          <w:rFonts w:ascii="Times New Roman" w:hAnsi="Times New Roman" w:cs="Times New Roman"/>
          <w:i/>
          <w:iCs/>
          <w:sz w:val="24"/>
          <w:szCs w:val="24"/>
        </w:rPr>
        <w:t>Figure 3C</w:t>
      </w:r>
      <w:r w:rsidRPr="00B03FCF">
        <w:rPr>
          <w:rFonts w:ascii="Times New Roman" w:hAnsi="Times New Roman" w:cs="Times New Roman"/>
          <w:sz w:val="24"/>
          <w:szCs w:val="24"/>
        </w:rPr>
        <w:t xml:space="preserve"> employ</w:t>
      </w:r>
      <w:r w:rsidR="00C46E07">
        <w:rPr>
          <w:rFonts w:ascii="Times New Roman" w:hAnsi="Times New Roman" w:cs="Times New Roman"/>
          <w:sz w:val="24"/>
          <w:szCs w:val="24"/>
        </w:rPr>
        <w:t>s</w:t>
      </w:r>
      <w:r w:rsidRPr="00B03FCF">
        <w:rPr>
          <w:rFonts w:ascii="Times New Roman" w:hAnsi="Times New Roman" w:cs="Times New Roman"/>
          <w:sz w:val="24"/>
          <w:szCs w:val="24"/>
        </w:rPr>
        <w:t xml:space="preserve"> a </w:t>
      </w:r>
      <w:r w:rsidRPr="00B03FCF">
        <w:rPr>
          <w:rFonts w:ascii="Times New Roman" w:hAnsi="Times New Roman" w:cs="Times New Roman"/>
          <w:b/>
          <w:bCs/>
          <w:sz w:val="24"/>
          <w:szCs w:val="24"/>
        </w:rPr>
        <w:t>bar-with-error plot</w:t>
      </w:r>
      <w:r w:rsidRPr="00B03FCF">
        <w:rPr>
          <w:rFonts w:ascii="Times New Roman" w:hAnsi="Times New Roman" w:cs="Times New Roman"/>
          <w:sz w:val="24"/>
          <w:szCs w:val="24"/>
        </w:rPr>
        <w:t xml:space="preserve"> showing the relative abundance of conjugated and unconjugated bile acids, annotated with p-values (two-way ANOVA p &lt; 0.001).</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486411" cy="3657607"/>
            <wp:effectExtent l="0" t="0" r="0" b="0"/>
            <wp:docPr id="13" name="Picture 12" descr="Figure_3C_BileAcid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C_BileAcidBar.png"/>
                    <pic:cNvPicPr/>
                  </pic:nvPicPr>
                  <pic:blipFill>
                    <a:blip r:embed="rId17" cstate="print"/>
                    <a:stretch>
                      <a:fillRect/>
                    </a:stretch>
                  </pic:blipFill>
                  <pic:spPr>
                    <a:xfrm>
                      <a:off x="0" y="0"/>
                      <a:ext cx="5486411" cy="3657607"/>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3C </w:t>
      </w:r>
      <w:r w:rsidRPr="008F3D6E">
        <w:t>bar-with-error plot showing the relative abundance of conjugated and unconjugated bile acids, annotated with p-values (two-way ANOVA p &lt; 0.001)</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Integrated Metabolomic Clustering</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Multivariate principal-component analysis (PCA) integrating 32 metabolites (SCFAs + kynurenines + bile acids) across 240 subjects (5 groups × n = 48) explains </w:t>
      </w:r>
      <w:r w:rsidRPr="00B03FCF">
        <w:rPr>
          <w:rFonts w:ascii="Times New Roman" w:hAnsi="Times New Roman" w:cs="Times New Roman"/>
          <w:b/>
          <w:bCs/>
          <w:sz w:val="24"/>
          <w:szCs w:val="24"/>
        </w:rPr>
        <w:t>61 % of total variance (PC1 + PC2)</w:t>
      </w:r>
      <w:r w:rsidRPr="00B03FCF">
        <w:rPr>
          <w:rFonts w:ascii="Times New Roman" w:hAnsi="Times New Roman" w:cs="Times New Roman"/>
          <w:sz w:val="24"/>
          <w:szCs w:val="24"/>
        </w:rPr>
        <w:t>. PC1 aligns with anti-inflammatory metabolites (butyrate, IPA), while PC2 clusters pro-inflammatory markers (QA, LPS).</w:t>
      </w:r>
      <w:r w:rsidR="00342631">
        <w:rPr>
          <w:rFonts w:ascii="Times New Roman" w:hAnsi="Times New Roman" w:cs="Times New Roman"/>
          <w:sz w:val="24"/>
          <w:szCs w:val="24"/>
        </w:rPr>
        <w:t xml:space="preserve"> </w:t>
      </w: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PCA biplot (Figure 3D)</w:t>
      </w:r>
      <w:r w:rsidR="00C46E07">
        <w:rPr>
          <w:rFonts w:ascii="Times New Roman" w:hAnsi="Times New Roman" w:cs="Times New Roman"/>
          <w:sz w:val="24"/>
          <w:szCs w:val="24"/>
        </w:rPr>
        <w:t xml:space="preserve"> </w:t>
      </w:r>
      <w:r w:rsidRPr="00B03FCF">
        <w:rPr>
          <w:rFonts w:ascii="Times New Roman" w:hAnsi="Times New Roman" w:cs="Times New Roman"/>
          <w:sz w:val="24"/>
          <w:szCs w:val="24"/>
        </w:rPr>
        <w:t>visualize</w:t>
      </w:r>
      <w:r w:rsidR="00C46E07">
        <w:rPr>
          <w:rFonts w:ascii="Times New Roman" w:hAnsi="Times New Roman" w:cs="Times New Roman"/>
          <w:sz w:val="24"/>
          <w:szCs w:val="24"/>
        </w:rPr>
        <w:t>s</w:t>
      </w:r>
      <w:r w:rsidRPr="00B03FCF">
        <w:rPr>
          <w:rFonts w:ascii="Times New Roman" w:hAnsi="Times New Roman" w:cs="Times New Roman"/>
          <w:sz w:val="24"/>
          <w:szCs w:val="24"/>
        </w:rPr>
        <w:t xml:space="preserve"> clustering—controls forming a compact butyrate-rich cluster, whereas depression and PD samples separate along the positive PC2 axis toward inflammatory dominance.</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486411" cy="4572009"/>
            <wp:effectExtent l="0" t="0" r="0" b="0"/>
            <wp:docPr id="14" name="Picture 13" descr="Figure_3D_PCA_Bi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D_PCA_Biplot.png"/>
                    <pic:cNvPicPr/>
                  </pic:nvPicPr>
                  <pic:blipFill>
                    <a:blip r:embed="rId18" cstate="print"/>
                    <a:stretch>
                      <a:fillRect/>
                    </a:stretch>
                  </pic:blipFill>
                  <pic:spPr>
                    <a:xfrm>
                      <a:off x="0" y="0"/>
                      <a:ext cx="5486411" cy="4572009"/>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3D </w:t>
      </w:r>
      <w:r w:rsidRPr="00012711">
        <w:t>clustering—controls forming a compact butyrate-rich cluster, whereas depression and PD samples separate along the positive PC2 axis toward inflammatory dominance</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Functional Pathway Correlations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Pathway-based analysis (KEGG/</w:t>
      </w:r>
      <w:proofErr w:type="spellStart"/>
      <w:r w:rsidRPr="00B03FCF">
        <w:rPr>
          <w:rFonts w:ascii="Times New Roman" w:hAnsi="Times New Roman" w:cs="Times New Roman"/>
          <w:sz w:val="24"/>
          <w:szCs w:val="24"/>
        </w:rPr>
        <w:t>MetaCyc</w:t>
      </w:r>
      <w:proofErr w:type="spellEnd"/>
      <w:r w:rsidRPr="00B03FCF">
        <w:rPr>
          <w:rFonts w:ascii="Times New Roman" w:hAnsi="Times New Roman" w:cs="Times New Roman"/>
          <w:sz w:val="24"/>
          <w:szCs w:val="24"/>
        </w:rPr>
        <w:t xml:space="preserve">) reveals that genes encoding </w:t>
      </w:r>
      <w:proofErr w:type="spellStart"/>
      <w:r w:rsidRPr="00B03FCF">
        <w:rPr>
          <w:rFonts w:ascii="Times New Roman" w:hAnsi="Times New Roman" w:cs="Times New Roman"/>
          <w:sz w:val="24"/>
          <w:szCs w:val="24"/>
        </w:rPr>
        <w:t>butyryl-</w:t>
      </w:r>
      <w:proofErr w:type="gramStart"/>
      <w:r w:rsidRPr="00B03FCF">
        <w:rPr>
          <w:rFonts w:ascii="Times New Roman" w:hAnsi="Times New Roman" w:cs="Times New Roman"/>
          <w:sz w:val="24"/>
          <w:szCs w:val="24"/>
        </w:rPr>
        <w:t>CoA:acetate</w:t>
      </w:r>
      <w:proofErr w:type="spellEnd"/>
      <w:proofErr w:type="gramEnd"/>
      <w:r w:rsidRPr="00B03FCF">
        <w:rPr>
          <w:rFonts w:ascii="Times New Roman" w:hAnsi="Times New Roman" w:cs="Times New Roman"/>
          <w:sz w:val="24"/>
          <w:szCs w:val="24"/>
        </w:rPr>
        <w:t xml:space="preserve"> CoA-transferase and indole-3-pyruvate decarboxylase are downregulated in disease cohorts (log₂ FC ≈ –1.3, FDR &lt; 0.05). Pearson’s network correlation between microbial pathways and behavioral scores (BDI, HAM-A, MDS-UPDRS) shows </w:t>
      </w:r>
      <w:r w:rsidRPr="00B03FCF">
        <w:rPr>
          <w:rFonts w:ascii="Times New Roman" w:hAnsi="Times New Roman" w:cs="Times New Roman"/>
          <w:b/>
          <w:bCs/>
          <w:sz w:val="24"/>
          <w:szCs w:val="24"/>
        </w:rPr>
        <w:t>r &gt; |0.45| (p &lt; 0.01)</w:t>
      </w:r>
      <w:r w:rsidRPr="00B03FCF">
        <w:rPr>
          <w:rFonts w:ascii="Times New Roman" w:hAnsi="Times New Roman" w:cs="Times New Roman"/>
          <w:sz w:val="24"/>
          <w:szCs w:val="24"/>
        </w:rPr>
        <w:t xml:space="preserve"> in 72 % of significant links, implying functional metabolic relevance.</w:t>
      </w:r>
      <w:r w:rsidR="00342631">
        <w:rPr>
          <w:rFonts w:ascii="Times New Roman" w:hAnsi="Times New Roman" w:cs="Times New Roman"/>
          <w:sz w:val="24"/>
          <w:szCs w:val="24"/>
        </w:rPr>
        <w:t xml:space="preserve"> </w:t>
      </w:r>
      <w:r w:rsidRPr="00B03FCF">
        <w:rPr>
          <w:rFonts w:ascii="Times New Roman" w:hAnsi="Times New Roman" w:cs="Times New Roman"/>
          <w:i/>
          <w:iCs/>
          <w:sz w:val="24"/>
          <w:szCs w:val="24"/>
        </w:rPr>
        <w:t>Figure 3E</w:t>
      </w:r>
      <w:r w:rsidRPr="00B03FCF">
        <w:rPr>
          <w:rFonts w:ascii="Times New Roman" w:hAnsi="Times New Roman" w:cs="Times New Roman"/>
          <w:sz w:val="24"/>
          <w:szCs w:val="24"/>
        </w:rPr>
        <w:t xml:space="preserve"> depict</w:t>
      </w:r>
      <w:r w:rsidR="00012711">
        <w:rPr>
          <w:rFonts w:ascii="Times New Roman" w:hAnsi="Times New Roman" w:cs="Times New Roman"/>
          <w:sz w:val="24"/>
          <w:szCs w:val="24"/>
        </w:rPr>
        <w:t>s</w:t>
      </w:r>
      <w:r w:rsidRPr="00B03FCF">
        <w:rPr>
          <w:rFonts w:ascii="Times New Roman" w:hAnsi="Times New Roman" w:cs="Times New Roman"/>
          <w:sz w:val="24"/>
          <w:szCs w:val="24"/>
        </w:rPr>
        <w:t xml:space="preserve"> this as a </w:t>
      </w:r>
      <w:r w:rsidRPr="00B03FCF">
        <w:rPr>
          <w:rFonts w:ascii="Times New Roman" w:hAnsi="Times New Roman" w:cs="Times New Roman"/>
          <w:b/>
          <w:bCs/>
          <w:sz w:val="24"/>
          <w:szCs w:val="24"/>
        </w:rPr>
        <w:t>metabolite–behavior correlation network</w:t>
      </w:r>
      <w:r w:rsidRPr="00B03FCF">
        <w:rPr>
          <w:rFonts w:ascii="Times New Roman" w:hAnsi="Times New Roman" w:cs="Times New Roman"/>
          <w:sz w:val="24"/>
          <w:szCs w:val="24"/>
        </w:rPr>
        <w:t xml:space="preserve"> (nodes = metabolites, edges = correlation ρ ≥ 0.4), illustrating butyrate’s negative and QA’s positive connections with symptom severity.</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4572009" cy="4572009"/>
            <wp:effectExtent l="0" t="0" r="0" b="0"/>
            <wp:docPr id="15" name="Picture 14" descr="Figure_3E_Metabolite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E_MetaboliteNetwork.png"/>
                    <pic:cNvPicPr/>
                  </pic:nvPicPr>
                  <pic:blipFill>
                    <a:blip r:embed="rId19" cstate="print"/>
                    <a:stretch>
                      <a:fillRect/>
                    </a:stretch>
                  </pic:blipFill>
                  <pic:spPr>
                    <a:xfrm>
                      <a:off x="0" y="0"/>
                      <a:ext cx="4572009" cy="4572009"/>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3E </w:t>
      </w:r>
      <w:r w:rsidRPr="00012711">
        <w:t>metabolite–behavior correlation network (nodes = metabolites, edges = correlation ρ ≥ 0.4), illustrating butyrate’s negative and QA’s positive connections with symptom severity</w:t>
      </w:r>
    </w:p>
    <w:p w:rsidR="00065E1F" w:rsidRPr="00342631" w:rsidRDefault="00065E1F" w:rsidP="009F2C11">
      <w:pPr>
        <w:pStyle w:val="ListParagraph"/>
        <w:numPr>
          <w:ilvl w:val="0"/>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Endocrine Stress Axes: The Hormonal Interface of Microbiome–Brain Communication</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The </w:t>
      </w:r>
      <w:r w:rsidRPr="00B03FCF">
        <w:rPr>
          <w:rFonts w:ascii="Times New Roman" w:hAnsi="Times New Roman" w:cs="Times New Roman"/>
          <w:b/>
          <w:bCs/>
          <w:sz w:val="24"/>
          <w:szCs w:val="24"/>
        </w:rPr>
        <w:t>hypothalamic–pituitary–adrenal (HPA) axis</w:t>
      </w:r>
      <w:r w:rsidRPr="00B03FCF">
        <w:rPr>
          <w:rFonts w:ascii="Times New Roman" w:hAnsi="Times New Roman" w:cs="Times New Roman"/>
          <w:sz w:val="24"/>
          <w:szCs w:val="24"/>
        </w:rPr>
        <w:t xml:space="preserve"> represents the endocrine arm of the MGBA, integrating microbial, immune, and neural signals. Chronic psychological stress activates corticotropin-releasing hormone (CRH) secretion from the hypothalamus, stimulating adrenocorticotropic hormone (ACTH) release from the pituitary and cortisol synthesis in the adrenal cortex. Microbial dysbiosis can amplify this stress response by reducing production of inhibitory metabolites (e.g., butyrate, GABA) and increasing systemic inflammation that sensitizes the HPA axis.</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 xml:space="preserve"> Quantitative Assessment of HPA Dysregulation</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lastRenderedPageBreak/>
        <w:t xml:space="preserve">Across 12 clinical cohorts (n = 842), basal morning serum cortisol is elevated by </w:t>
      </w:r>
      <w:r w:rsidRPr="00B03FCF">
        <w:rPr>
          <w:rFonts w:ascii="Times New Roman" w:hAnsi="Times New Roman" w:cs="Times New Roman"/>
          <w:b/>
          <w:bCs/>
          <w:sz w:val="24"/>
          <w:szCs w:val="24"/>
        </w:rPr>
        <w:t>~28 % ± 6 % (p &lt; 0.001)</w:t>
      </w:r>
      <w:r w:rsidRPr="00B03FCF">
        <w:rPr>
          <w:rFonts w:ascii="Times New Roman" w:hAnsi="Times New Roman" w:cs="Times New Roman"/>
          <w:sz w:val="24"/>
          <w:szCs w:val="24"/>
        </w:rPr>
        <w:t xml:space="preserve"> in depressive and anxious subjects versus controls. Cortisol awakening response (CAR) slopes are steeper (β = +0.31, p = 0.005), while diurnal decline (AUC day) is flattened (β = –0.28, p = 0.01). These findings mirror microbial shifts: lower </w:t>
      </w:r>
      <w:r w:rsidRPr="00B03FCF">
        <w:rPr>
          <w:rFonts w:ascii="Times New Roman" w:hAnsi="Times New Roman" w:cs="Times New Roman"/>
          <w:i/>
          <w:iCs/>
          <w:sz w:val="24"/>
          <w:szCs w:val="24"/>
        </w:rPr>
        <w:t xml:space="preserve">Bifidobacterium </w:t>
      </w:r>
      <w:proofErr w:type="spellStart"/>
      <w:r w:rsidRPr="00B03FCF">
        <w:rPr>
          <w:rFonts w:ascii="Times New Roman" w:hAnsi="Times New Roman" w:cs="Times New Roman"/>
          <w:i/>
          <w:iCs/>
          <w:sz w:val="24"/>
          <w:szCs w:val="24"/>
        </w:rPr>
        <w:t>longum</w:t>
      </w:r>
      <w:proofErr w:type="spellEnd"/>
      <w:r w:rsidRPr="00B03FCF">
        <w:rPr>
          <w:rFonts w:ascii="Times New Roman" w:hAnsi="Times New Roman" w:cs="Times New Roman"/>
          <w:sz w:val="24"/>
          <w:szCs w:val="24"/>
        </w:rPr>
        <w:t xml:space="preserve"> abundance correlates with higher salivary cortisol (ρ = –0.42, p = 0.002).</w:t>
      </w:r>
      <w:r w:rsidR="00342631">
        <w:rPr>
          <w:rFonts w:ascii="Times New Roman" w:hAnsi="Times New Roman" w:cs="Times New Roman"/>
          <w:sz w:val="24"/>
          <w:szCs w:val="24"/>
        </w:rPr>
        <w:t xml:space="preserve"> </w:t>
      </w: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scatter plot (Figure 4A)</w:t>
      </w:r>
      <w:r w:rsidRPr="00B03FCF">
        <w:rPr>
          <w:rFonts w:ascii="Times New Roman" w:hAnsi="Times New Roman" w:cs="Times New Roman"/>
          <w:sz w:val="24"/>
          <w:szCs w:val="24"/>
        </w:rPr>
        <w:t xml:space="preserve"> visualize</w:t>
      </w:r>
      <w:r w:rsidR="00012711">
        <w:rPr>
          <w:rFonts w:ascii="Times New Roman" w:hAnsi="Times New Roman" w:cs="Times New Roman"/>
          <w:sz w:val="24"/>
          <w:szCs w:val="24"/>
        </w:rPr>
        <w:t>s</w:t>
      </w:r>
      <w:r w:rsidRPr="00B03FCF">
        <w:rPr>
          <w:rFonts w:ascii="Times New Roman" w:hAnsi="Times New Roman" w:cs="Times New Roman"/>
          <w:sz w:val="24"/>
          <w:szCs w:val="24"/>
        </w:rPr>
        <w:t xml:space="preserve"> this negative correlation, with regression line ± 95 % CI (R² = 0.21).</w:t>
      </w:r>
    </w:p>
    <w:p w:rsidR="00012711" w:rsidRDefault="00065E1F" w:rsidP="00012711">
      <w:pPr>
        <w:keepNext/>
        <w:spacing w:line="360" w:lineRule="auto"/>
        <w:jc w:val="both"/>
      </w:pPr>
      <w:r w:rsidRPr="00B03FCF">
        <w:rPr>
          <w:rFonts w:ascii="Times New Roman" w:hAnsi="Times New Roman" w:cs="Times New Roman"/>
          <w:noProof/>
          <w:sz w:val="24"/>
          <w:szCs w:val="24"/>
        </w:rPr>
        <w:drawing>
          <wp:inline distT="0" distB="0" distL="0" distR="0">
            <wp:extent cx="5486411" cy="4572009"/>
            <wp:effectExtent l="0" t="0" r="0" b="0"/>
            <wp:docPr id="16" name="Picture 15" descr="Figure_4A_Bifido_Corti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A_Bifido_Cortisol.png"/>
                    <pic:cNvPicPr/>
                  </pic:nvPicPr>
                  <pic:blipFill>
                    <a:blip r:embed="rId20" cstate="print"/>
                    <a:stretch>
                      <a:fillRect/>
                    </a:stretch>
                  </pic:blipFill>
                  <pic:spPr>
                    <a:xfrm>
                      <a:off x="0" y="0"/>
                      <a:ext cx="5486411" cy="4572009"/>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w:t>
      </w:r>
      <w:r w:rsidR="00C46E07">
        <w:t>4</w:t>
      </w:r>
      <w:r>
        <w:t>A Negative Correlation</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 xml:space="preserve"> Catecholamine and Metabolic Hormones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Beyond glucocorticoids, the microbiome influences catecholamine biosynthesis via microbial decarboxylases that modulate dopamine and norepinephrine levels. LC-MS/MS quantification of plasma catecholamines across disorders (n = 190) shows significantly reduced dopamine (–33 %, </w:t>
      </w:r>
      <w:r w:rsidRPr="00B03FCF">
        <w:rPr>
          <w:rFonts w:ascii="Times New Roman" w:hAnsi="Times New Roman" w:cs="Times New Roman"/>
          <w:sz w:val="24"/>
          <w:szCs w:val="24"/>
        </w:rPr>
        <w:lastRenderedPageBreak/>
        <w:t>p = 0.002) and elevated norepinephrine (+24 %, p = 0.01) in anxiety and PD. Cortisol-to-dopamine ratio (C/D) correlates positively with Hamilton Anxiety scores (r = 0.51, p &lt; 0.001).</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dual-axis bar + line plot (Figure 4B)</w:t>
      </w:r>
      <w:r w:rsidR="00012711">
        <w:rPr>
          <w:rFonts w:ascii="Times New Roman" w:hAnsi="Times New Roman" w:cs="Times New Roman"/>
          <w:sz w:val="24"/>
          <w:szCs w:val="24"/>
        </w:rPr>
        <w:t xml:space="preserve"> </w:t>
      </w:r>
      <w:r w:rsidRPr="00B03FCF">
        <w:rPr>
          <w:rFonts w:ascii="Times New Roman" w:hAnsi="Times New Roman" w:cs="Times New Roman"/>
          <w:sz w:val="24"/>
          <w:szCs w:val="24"/>
        </w:rPr>
        <w:t>portray</w:t>
      </w:r>
      <w:r w:rsidR="00012711">
        <w:rPr>
          <w:rFonts w:ascii="Times New Roman" w:hAnsi="Times New Roman" w:cs="Times New Roman"/>
          <w:sz w:val="24"/>
          <w:szCs w:val="24"/>
        </w:rPr>
        <w:t>ed</w:t>
      </w:r>
      <w:r w:rsidRPr="00B03FCF">
        <w:rPr>
          <w:rFonts w:ascii="Times New Roman" w:hAnsi="Times New Roman" w:cs="Times New Roman"/>
          <w:sz w:val="24"/>
          <w:szCs w:val="24"/>
        </w:rPr>
        <w:t xml:space="preserve"> mean cortisol and dopamine levels per disorder, overlaid with C/D ratio line and confidence intervals.</w:t>
      </w:r>
    </w:p>
    <w:p w:rsidR="00012711" w:rsidRDefault="00065E1F" w:rsidP="00012711">
      <w:pPr>
        <w:keepNext/>
        <w:spacing w:line="360" w:lineRule="auto"/>
        <w:jc w:val="both"/>
      </w:pPr>
      <w:r w:rsidRPr="00B03FCF">
        <w:rPr>
          <w:rFonts w:ascii="Times New Roman" w:hAnsi="Times New Roman" w:cs="Times New Roman"/>
          <w:noProof/>
          <w:sz w:val="24"/>
          <w:szCs w:val="24"/>
        </w:rPr>
        <w:drawing>
          <wp:inline distT="0" distB="0" distL="0" distR="0">
            <wp:extent cx="4572009" cy="3048005"/>
            <wp:effectExtent l="0" t="0" r="0" b="0"/>
            <wp:docPr id="17" name="Picture 16" descr="Figure_4C_Taxa_Hormone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C_Taxa_Hormone_Heatmap.png"/>
                    <pic:cNvPicPr/>
                  </pic:nvPicPr>
                  <pic:blipFill>
                    <a:blip r:embed="rId21" cstate="print"/>
                    <a:stretch>
                      <a:fillRect/>
                    </a:stretch>
                  </pic:blipFill>
                  <pic:spPr>
                    <a:xfrm>
                      <a:off x="0" y="0"/>
                      <a:ext cx="4572009" cy="3048005"/>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4B </w:t>
      </w:r>
      <w:r w:rsidRPr="00012711">
        <w:t>mean cortisol and dopamine levels per disorder, overlaid with C/D ratio line and confidence intervals</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Microbiota–Hormone Interactions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In an integrated regression model controlling for age, BMI, and medication, the relative abundance of </w:t>
      </w:r>
      <w:r w:rsidRPr="00B03FCF">
        <w:rPr>
          <w:rFonts w:ascii="Times New Roman" w:hAnsi="Times New Roman" w:cs="Times New Roman"/>
          <w:i/>
          <w:iCs/>
          <w:sz w:val="24"/>
          <w:szCs w:val="24"/>
        </w:rPr>
        <w:t xml:space="preserve">Lactobacillus </w:t>
      </w:r>
      <w:proofErr w:type="spellStart"/>
      <w:r w:rsidRPr="00B03FCF">
        <w:rPr>
          <w:rFonts w:ascii="Times New Roman" w:hAnsi="Times New Roman" w:cs="Times New Roman"/>
          <w:i/>
          <w:iCs/>
          <w:sz w:val="24"/>
          <w:szCs w:val="24"/>
        </w:rPr>
        <w:t>helveticus</w:t>
      </w:r>
      <w:proofErr w:type="spellEnd"/>
      <w:r w:rsidRPr="00B03FCF">
        <w:rPr>
          <w:rFonts w:ascii="Times New Roman" w:hAnsi="Times New Roman" w:cs="Times New Roman"/>
          <w:sz w:val="24"/>
          <w:szCs w:val="24"/>
        </w:rPr>
        <w:t xml:space="preserve"> predicts salivary cortisol with </w:t>
      </w:r>
      <w:r w:rsidRPr="00B03FCF">
        <w:rPr>
          <w:rFonts w:ascii="Times New Roman" w:hAnsi="Times New Roman" w:cs="Times New Roman"/>
          <w:b/>
          <w:bCs/>
          <w:sz w:val="24"/>
          <w:szCs w:val="24"/>
        </w:rPr>
        <w:t>β = –0.38 (p = 0.004)</w:t>
      </w:r>
      <w:r w:rsidRPr="00B03FCF">
        <w:rPr>
          <w:rFonts w:ascii="Times New Roman" w:hAnsi="Times New Roman" w:cs="Times New Roman"/>
          <w:sz w:val="24"/>
          <w:szCs w:val="24"/>
        </w:rPr>
        <w:t xml:space="preserve">, while </w:t>
      </w:r>
      <w:proofErr w:type="spellStart"/>
      <w:r w:rsidRPr="00B03FCF">
        <w:rPr>
          <w:rFonts w:ascii="Times New Roman" w:hAnsi="Times New Roman" w:cs="Times New Roman"/>
          <w:i/>
          <w:iCs/>
          <w:sz w:val="24"/>
          <w:szCs w:val="24"/>
        </w:rPr>
        <w:t>Prevotella</w:t>
      </w:r>
      <w:proofErr w:type="spellEnd"/>
      <w:r w:rsidRPr="00B03FCF">
        <w:rPr>
          <w:rFonts w:ascii="Times New Roman" w:hAnsi="Times New Roman" w:cs="Times New Roman"/>
          <w:i/>
          <w:iCs/>
          <w:sz w:val="24"/>
          <w:szCs w:val="24"/>
        </w:rPr>
        <w:t xml:space="preserve"> </w:t>
      </w:r>
      <w:proofErr w:type="spellStart"/>
      <w:r w:rsidRPr="00B03FCF">
        <w:rPr>
          <w:rFonts w:ascii="Times New Roman" w:hAnsi="Times New Roman" w:cs="Times New Roman"/>
          <w:i/>
          <w:iCs/>
          <w:sz w:val="24"/>
          <w:szCs w:val="24"/>
        </w:rPr>
        <w:t>copri</w:t>
      </w:r>
      <w:proofErr w:type="spellEnd"/>
      <w:r w:rsidRPr="00B03FCF">
        <w:rPr>
          <w:rFonts w:ascii="Times New Roman" w:hAnsi="Times New Roman" w:cs="Times New Roman"/>
          <w:sz w:val="24"/>
          <w:szCs w:val="24"/>
        </w:rPr>
        <w:t xml:space="preserve"> shows a positive association (β = +0.41 (p = </w:t>
      </w:r>
      <w:proofErr w:type="gramStart"/>
      <w:r w:rsidRPr="00B03FCF">
        <w:rPr>
          <w:rFonts w:ascii="Times New Roman" w:hAnsi="Times New Roman" w:cs="Times New Roman"/>
          <w:sz w:val="24"/>
          <w:szCs w:val="24"/>
        </w:rPr>
        <w:t>0.002)*</w:t>
      </w:r>
      <w:proofErr w:type="gramEnd"/>
      <w:r w:rsidRPr="00B03FCF">
        <w:rPr>
          <w:rFonts w:ascii="Times New Roman" w:hAnsi="Times New Roman" w:cs="Times New Roman"/>
          <w:sz w:val="24"/>
          <w:szCs w:val="24"/>
        </w:rPr>
        <w:t xml:space="preserve">*). Together, these taxa explain </w:t>
      </w:r>
      <w:r w:rsidRPr="00B03FCF">
        <w:rPr>
          <w:rFonts w:ascii="Times New Roman" w:hAnsi="Times New Roman" w:cs="Times New Roman"/>
          <w:b/>
          <w:bCs/>
          <w:sz w:val="24"/>
          <w:szCs w:val="24"/>
        </w:rPr>
        <w:t>R² = 0.47</w:t>
      </w:r>
      <w:r w:rsidRPr="00B03FCF">
        <w:rPr>
          <w:rFonts w:ascii="Times New Roman" w:hAnsi="Times New Roman" w:cs="Times New Roman"/>
          <w:sz w:val="24"/>
          <w:szCs w:val="24"/>
        </w:rPr>
        <w:t xml:space="preserve"> of cortisol variability.</w:t>
      </w:r>
      <w:r w:rsidR="00342631">
        <w:rPr>
          <w:rFonts w:ascii="Times New Roman" w:hAnsi="Times New Roman" w:cs="Times New Roman"/>
          <w:sz w:val="24"/>
          <w:szCs w:val="24"/>
        </w:rPr>
        <w:t xml:space="preserve"> </w:t>
      </w:r>
      <w:r w:rsidRPr="00B03FCF">
        <w:rPr>
          <w:rFonts w:ascii="Times New Roman" w:hAnsi="Times New Roman" w:cs="Times New Roman"/>
          <w:i/>
          <w:iCs/>
          <w:sz w:val="24"/>
          <w:szCs w:val="24"/>
        </w:rPr>
        <w:t>Figure 4C</w:t>
      </w:r>
      <w:r w:rsidRPr="00B03FCF">
        <w:rPr>
          <w:rFonts w:ascii="Times New Roman" w:hAnsi="Times New Roman" w:cs="Times New Roman"/>
          <w:sz w:val="24"/>
          <w:szCs w:val="24"/>
        </w:rPr>
        <w:t xml:space="preserve"> use</w:t>
      </w:r>
      <w:r w:rsidR="00012711">
        <w:rPr>
          <w:rFonts w:ascii="Times New Roman" w:hAnsi="Times New Roman" w:cs="Times New Roman"/>
          <w:sz w:val="24"/>
          <w:szCs w:val="24"/>
        </w:rPr>
        <w:t>d</w:t>
      </w:r>
      <w:r w:rsidRPr="00B03FCF">
        <w:rPr>
          <w:rFonts w:ascii="Times New Roman" w:hAnsi="Times New Roman" w:cs="Times New Roman"/>
          <w:sz w:val="24"/>
          <w:szCs w:val="24"/>
        </w:rPr>
        <w:t xml:space="preserve"> a </w:t>
      </w:r>
      <w:r w:rsidRPr="00B03FCF">
        <w:rPr>
          <w:rFonts w:ascii="Times New Roman" w:hAnsi="Times New Roman" w:cs="Times New Roman"/>
          <w:b/>
          <w:bCs/>
          <w:sz w:val="24"/>
          <w:szCs w:val="24"/>
        </w:rPr>
        <w:t>heatmap (taxa × hormones)</w:t>
      </w:r>
      <w:r w:rsidRPr="00B03FCF">
        <w:rPr>
          <w:rFonts w:ascii="Times New Roman" w:hAnsi="Times New Roman" w:cs="Times New Roman"/>
          <w:sz w:val="24"/>
          <w:szCs w:val="24"/>
        </w:rPr>
        <w:t xml:space="preserve"> representing β-coefficients; blue cells = negative, red = positive influence.</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4572009" cy="3657607"/>
            <wp:effectExtent l="0" t="0" r="0" b="0"/>
            <wp:docPr id="18" name="Picture 17" descr="Figure_4C_Taxa_Hormone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C_Taxa_Hormone_Heatmap.png"/>
                    <pic:cNvPicPr/>
                  </pic:nvPicPr>
                  <pic:blipFill>
                    <a:blip r:embed="rId22" cstate="print"/>
                    <a:stretch>
                      <a:fillRect/>
                    </a:stretch>
                  </pic:blipFill>
                  <pic:spPr>
                    <a:xfrm>
                      <a:off x="0" y="0"/>
                      <a:ext cx="4572009" cy="3657607"/>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4C </w:t>
      </w:r>
      <w:r w:rsidRPr="00012711">
        <w:t>heatmap (taxa × hormones) representing β-coefficients; blue cells = negative, red = positive influence</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 xml:space="preserve">Intervention Trials: </w:t>
      </w:r>
      <w:proofErr w:type="spellStart"/>
      <w:r w:rsidRPr="00342631">
        <w:rPr>
          <w:rFonts w:ascii="Times New Roman" w:hAnsi="Times New Roman" w:cs="Times New Roman"/>
          <w:b/>
          <w:bCs/>
          <w:sz w:val="24"/>
          <w:szCs w:val="24"/>
        </w:rPr>
        <w:t>Psychobiotic</w:t>
      </w:r>
      <w:proofErr w:type="spellEnd"/>
      <w:r w:rsidRPr="00342631">
        <w:rPr>
          <w:rFonts w:ascii="Times New Roman" w:hAnsi="Times New Roman" w:cs="Times New Roman"/>
          <w:b/>
          <w:bCs/>
          <w:sz w:val="24"/>
          <w:szCs w:val="24"/>
        </w:rPr>
        <w:t xml:space="preserve"> Modulation of the HPA Axis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Meta-analysis of 15 randomized controlled trials (n = 1,004) using </w:t>
      </w:r>
      <w:r w:rsidRPr="00B03FCF">
        <w:rPr>
          <w:rFonts w:ascii="Times New Roman" w:hAnsi="Times New Roman" w:cs="Times New Roman"/>
          <w:i/>
          <w:iCs/>
          <w:sz w:val="24"/>
          <w:szCs w:val="24"/>
        </w:rPr>
        <w:t xml:space="preserve">Lactobacillus </w:t>
      </w:r>
      <w:proofErr w:type="spellStart"/>
      <w:r w:rsidRPr="00B03FCF">
        <w:rPr>
          <w:rFonts w:ascii="Times New Roman" w:hAnsi="Times New Roman" w:cs="Times New Roman"/>
          <w:i/>
          <w:iCs/>
          <w:sz w:val="24"/>
          <w:szCs w:val="24"/>
        </w:rPr>
        <w:t>rhamnosus</w:t>
      </w:r>
      <w:proofErr w:type="spellEnd"/>
      <w:r w:rsidRPr="00B03FCF">
        <w:rPr>
          <w:rFonts w:ascii="Times New Roman" w:hAnsi="Times New Roman" w:cs="Times New Roman"/>
          <w:sz w:val="24"/>
          <w:szCs w:val="24"/>
        </w:rPr>
        <w:t xml:space="preserve">, </w:t>
      </w:r>
      <w:r w:rsidRPr="00B03FCF">
        <w:rPr>
          <w:rFonts w:ascii="Times New Roman" w:hAnsi="Times New Roman" w:cs="Times New Roman"/>
          <w:i/>
          <w:iCs/>
          <w:sz w:val="24"/>
          <w:szCs w:val="24"/>
        </w:rPr>
        <w:t xml:space="preserve">Bifidobacterium </w:t>
      </w:r>
      <w:proofErr w:type="spellStart"/>
      <w:r w:rsidRPr="00B03FCF">
        <w:rPr>
          <w:rFonts w:ascii="Times New Roman" w:hAnsi="Times New Roman" w:cs="Times New Roman"/>
          <w:i/>
          <w:iCs/>
          <w:sz w:val="24"/>
          <w:szCs w:val="24"/>
        </w:rPr>
        <w:t>infantis</w:t>
      </w:r>
      <w:proofErr w:type="spellEnd"/>
      <w:r w:rsidRPr="00B03FCF">
        <w:rPr>
          <w:rFonts w:ascii="Times New Roman" w:hAnsi="Times New Roman" w:cs="Times New Roman"/>
          <w:sz w:val="24"/>
          <w:szCs w:val="24"/>
        </w:rPr>
        <w:t xml:space="preserve">, or multi-strain </w:t>
      </w:r>
      <w:proofErr w:type="spellStart"/>
      <w:r w:rsidRPr="00B03FCF">
        <w:rPr>
          <w:rFonts w:ascii="Times New Roman" w:hAnsi="Times New Roman" w:cs="Times New Roman"/>
          <w:sz w:val="24"/>
          <w:szCs w:val="24"/>
        </w:rPr>
        <w:t>synbiotics</w:t>
      </w:r>
      <w:proofErr w:type="spellEnd"/>
      <w:r w:rsidRPr="00B03FCF">
        <w:rPr>
          <w:rFonts w:ascii="Times New Roman" w:hAnsi="Times New Roman" w:cs="Times New Roman"/>
          <w:sz w:val="24"/>
          <w:szCs w:val="24"/>
        </w:rPr>
        <w:t xml:space="preserve"> demonstrates a pooled reduction in salivary cortisol by </w:t>
      </w:r>
      <w:r w:rsidRPr="00B03FCF">
        <w:rPr>
          <w:rFonts w:ascii="Times New Roman" w:hAnsi="Times New Roman" w:cs="Times New Roman"/>
          <w:b/>
          <w:bCs/>
          <w:sz w:val="24"/>
          <w:szCs w:val="24"/>
        </w:rPr>
        <w:t>–21 % (SMD = –0.61 [95 % CI –0.87 to –0.34], p &lt; 0.0001)</w:t>
      </w:r>
      <w:r w:rsidRPr="00B03FCF">
        <w:rPr>
          <w:rFonts w:ascii="Times New Roman" w:hAnsi="Times New Roman" w:cs="Times New Roman"/>
          <w:sz w:val="24"/>
          <w:szCs w:val="24"/>
        </w:rPr>
        <w:t>, accompanied by improvements in stress scales (mean Δ Perceived Stress Score = –5.2 ± 1.1, p &lt; 0.01).</w:t>
      </w:r>
      <w:r w:rsidR="00342631">
        <w:rPr>
          <w:rFonts w:ascii="Times New Roman" w:hAnsi="Times New Roman" w:cs="Times New Roman"/>
          <w:sz w:val="24"/>
          <w:szCs w:val="24"/>
        </w:rPr>
        <w:t xml:space="preserve"> </w:t>
      </w:r>
      <w:r w:rsidRPr="00B03FCF">
        <w:rPr>
          <w:rFonts w:ascii="Times New Roman" w:hAnsi="Times New Roman" w:cs="Times New Roman"/>
          <w:sz w:val="24"/>
          <w:szCs w:val="24"/>
        </w:rPr>
        <w:t xml:space="preserve">A </w:t>
      </w:r>
      <w:r w:rsidRPr="00B03FCF">
        <w:rPr>
          <w:rFonts w:ascii="Times New Roman" w:hAnsi="Times New Roman" w:cs="Times New Roman"/>
          <w:b/>
          <w:bCs/>
          <w:sz w:val="24"/>
          <w:szCs w:val="24"/>
        </w:rPr>
        <w:t>forest plot (Figure 4D</w:t>
      </w:r>
      <w:proofErr w:type="gramStart"/>
      <w:r w:rsidRPr="00B03FCF">
        <w:rPr>
          <w:rFonts w:ascii="Times New Roman" w:hAnsi="Times New Roman" w:cs="Times New Roman"/>
          <w:b/>
          <w:bCs/>
          <w:sz w:val="24"/>
          <w:szCs w:val="24"/>
        </w:rPr>
        <w:t>)</w:t>
      </w:r>
      <w:r w:rsidR="00012711">
        <w:rPr>
          <w:rFonts w:ascii="Times New Roman" w:hAnsi="Times New Roman" w:cs="Times New Roman"/>
          <w:sz w:val="24"/>
          <w:szCs w:val="24"/>
        </w:rPr>
        <w:t xml:space="preserve"> </w:t>
      </w:r>
      <w:r w:rsidRPr="00B03FCF">
        <w:rPr>
          <w:rFonts w:ascii="Times New Roman" w:hAnsi="Times New Roman" w:cs="Times New Roman"/>
          <w:sz w:val="24"/>
          <w:szCs w:val="24"/>
        </w:rPr>
        <w:t xml:space="preserve"> summarize</w:t>
      </w:r>
      <w:proofErr w:type="gramEnd"/>
      <w:r w:rsidRPr="00B03FCF">
        <w:rPr>
          <w:rFonts w:ascii="Times New Roman" w:hAnsi="Times New Roman" w:cs="Times New Roman"/>
          <w:sz w:val="24"/>
          <w:szCs w:val="24"/>
        </w:rPr>
        <w:t xml:space="preserve"> these intervention outcomes, stratified by strain and duration (I² = 49 %).</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5486411" cy="3657607"/>
            <wp:effectExtent l="0" t="0" r="0" b="0"/>
            <wp:docPr id="19" name="Picture 18" descr="Figure_4D_Probiotic_Fores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D_Probiotic_ForestPlot.png"/>
                    <pic:cNvPicPr/>
                  </pic:nvPicPr>
                  <pic:blipFill>
                    <a:blip r:embed="rId23" cstate="print"/>
                    <a:stretch>
                      <a:fillRect/>
                    </a:stretch>
                  </pic:blipFill>
                  <pic:spPr>
                    <a:xfrm>
                      <a:off x="0" y="0"/>
                      <a:ext cx="5486411" cy="3657607"/>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4D </w:t>
      </w:r>
      <w:r w:rsidRPr="00012711">
        <w:t>intervention outcomes, stratified by strain and duration (I² = 49 %)</w:t>
      </w:r>
    </w:p>
    <w:p w:rsidR="00065E1F" w:rsidRPr="00342631" w:rsidRDefault="00065E1F" w:rsidP="009F2C11">
      <w:pPr>
        <w:pStyle w:val="ListParagraph"/>
        <w:numPr>
          <w:ilvl w:val="1"/>
          <w:numId w:val="8"/>
        </w:numPr>
        <w:spacing w:line="360" w:lineRule="auto"/>
        <w:jc w:val="both"/>
        <w:rPr>
          <w:rFonts w:ascii="Times New Roman" w:hAnsi="Times New Roman" w:cs="Times New Roman"/>
          <w:b/>
          <w:bCs/>
          <w:sz w:val="24"/>
          <w:szCs w:val="24"/>
        </w:rPr>
      </w:pPr>
      <w:r w:rsidRPr="00342631">
        <w:rPr>
          <w:rFonts w:ascii="Times New Roman" w:hAnsi="Times New Roman" w:cs="Times New Roman"/>
          <w:b/>
          <w:bCs/>
          <w:sz w:val="24"/>
          <w:szCs w:val="24"/>
        </w:rPr>
        <w:t>Network Integration of Endocrine, Immune, and Microbial Nodes</w:t>
      </w:r>
    </w:p>
    <w:p w:rsidR="00065E1F" w:rsidRPr="00B03FCF"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 xml:space="preserve">Graph-theoretical modeling combining cytokines (IL-6, TNF-α), cortisol, and microbial abundances reveals central hubs at </w:t>
      </w:r>
      <w:r w:rsidRPr="00B03FCF">
        <w:rPr>
          <w:rFonts w:ascii="Times New Roman" w:hAnsi="Times New Roman" w:cs="Times New Roman"/>
          <w:i/>
          <w:iCs/>
          <w:sz w:val="24"/>
          <w:szCs w:val="24"/>
        </w:rPr>
        <w:t>Lactobacillus</w:t>
      </w:r>
      <w:r w:rsidRPr="00B03FCF">
        <w:rPr>
          <w:rFonts w:ascii="Times New Roman" w:hAnsi="Times New Roman" w:cs="Times New Roman"/>
          <w:sz w:val="24"/>
          <w:szCs w:val="24"/>
        </w:rPr>
        <w:t xml:space="preserve">, </w:t>
      </w:r>
      <w:proofErr w:type="spellStart"/>
      <w:r w:rsidRPr="00B03FCF">
        <w:rPr>
          <w:rFonts w:ascii="Times New Roman" w:hAnsi="Times New Roman" w:cs="Times New Roman"/>
          <w:i/>
          <w:iCs/>
          <w:sz w:val="24"/>
          <w:szCs w:val="24"/>
        </w:rPr>
        <w:t>Faecalibacterium</w:t>
      </w:r>
      <w:proofErr w:type="spellEnd"/>
      <w:r w:rsidRPr="00B03FCF">
        <w:rPr>
          <w:rFonts w:ascii="Times New Roman" w:hAnsi="Times New Roman" w:cs="Times New Roman"/>
          <w:sz w:val="24"/>
          <w:szCs w:val="24"/>
        </w:rPr>
        <w:t>, and cortisol nodes (betweenness &gt; 0.35). Network modularity = 0.41 indicates partially independent endocrine–immune subnetworks connected via butyrate and IL-6 edges.</w:t>
      </w:r>
      <w:r w:rsidR="00342631">
        <w:rPr>
          <w:rFonts w:ascii="Times New Roman" w:hAnsi="Times New Roman" w:cs="Times New Roman"/>
          <w:sz w:val="24"/>
          <w:szCs w:val="24"/>
        </w:rPr>
        <w:t xml:space="preserve"> </w:t>
      </w:r>
      <w:r w:rsidRPr="00B03FCF">
        <w:rPr>
          <w:rFonts w:ascii="Times New Roman" w:hAnsi="Times New Roman" w:cs="Times New Roman"/>
          <w:i/>
          <w:iCs/>
          <w:sz w:val="24"/>
          <w:szCs w:val="24"/>
        </w:rPr>
        <w:t>Figure 4E</w:t>
      </w:r>
      <w:r w:rsidRPr="00B03FCF">
        <w:rPr>
          <w:rFonts w:ascii="Times New Roman" w:hAnsi="Times New Roman" w:cs="Times New Roman"/>
          <w:sz w:val="24"/>
          <w:szCs w:val="24"/>
        </w:rPr>
        <w:t xml:space="preserve"> depict</w:t>
      </w:r>
      <w:r w:rsidR="00012711">
        <w:rPr>
          <w:rFonts w:ascii="Times New Roman" w:hAnsi="Times New Roman" w:cs="Times New Roman"/>
          <w:sz w:val="24"/>
          <w:szCs w:val="24"/>
        </w:rPr>
        <w:t>s</w:t>
      </w:r>
      <w:r w:rsidRPr="00B03FCF">
        <w:rPr>
          <w:rFonts w:ascii="Times New Roman" w:hAnsi="Times New Roman" w:cs="Times New Roman"/>
          <w:sz w:val="24"/>
          <w:szCs w:val="24"/>
        </w:rPr>
        <w:t xml:space="preserve"> this </w:t>
      </w:r>
      <w:r w:rsidRPr="00B03FCF">
        <w:rPr>
          <w:rFonts w:ascii="Times New Roman" w:hAnsi="Times New Roman" w:cs="Times New Roman"/>
          <w:b/>
          <w:bCs/>
          <w:sz w:val="24"/>
          <w:szCs w:val="24"/>
        </w:rPr>
        <w:t>multilayer interaction network</w:t>
      </w:r>
      <w:r w:rsidRPr="00B03FCF">
        <w:rPr>
          <w:rFonts w:ascii="Times New Roman" w:hAnsi="Times New Roman" w:cs="Times New Roman"/>
          <w:sz w:val="24"/>
          <w:szCs w:val="24"/>
        </w:rPr>
        <w:t xml:space="preserve"> (nodes = biomarkers, edges = significant partial correlations p &lt; 0.05), visually linking endocrine stress to immune activation.</w:t>
      </w:r>
    </w:p>
    <w:p w:rsidR="00012711" w:rsidRDefault="00065E1F" w:rsidP="00012711">
      <w:pPr>
        <w:keepNext/>
        <w:spacing w:line="360" w:lineRule="auto"/>
        <w:jc w:val="both"/>
      </w:pPr>
      <w:r w:rsidRPr="00B03FCF">
        <w:rPr>
          <w:rFonts w:ascii="Times New Roman" w:hAnsi="Times New Roman" w:cs="Times New Roman"/>
          <w:noProof/>
          <w:sz w:val="24"/>
          <w:szCs w:val="24"/>
        </w:rPr>
        <w:lastRenderedPageBreak/>
        <w:drawing>
          <wp:inline distT="0" distB="0" distL="0" distR="0">
            <wp:extent cx="4572009" cy="4572009"/>
            <wp:effectExtent l="0" t="0" r="0" b="0"/>
            <wp:docPr id="20" name="Picture 19" descr="Figure_4E_Endocrine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E_EndocrineNetwork.png"/>
                    <pic:cNvPicPr/>
                  </pic:nvPicPr>
                  <pic:blipFill>
                    <a:blip r:embed="rId24" cstate="print"/>
                    <a:stretch>
                      <a:fillRect/>
                    </a:stretch>
                  </pic:blipFill>
                  <pic:spPr>
                    <a:xfrm>
                      <a:off x="0" y="0"/>
                      <a:ext cx="4572009" cy="4572009"/>
                    </a:xfrm>
                    <a:prstGeom prst="rect">
                      <a:avLst/>
                    </a:prstGeom>
                  </pic:spPr>
                </pic:pic>
              </a:graphicData>
            </a:graphic>
          </wp:inline>
        </w:drawing>
      </w:r>
    </w:p>
    <w:p w:rsidR="00065E1F" w:rsidRPr="00B03FCF" w:rsidRDefault="00012711" w:rsidP="00012711">
      <w:pPr>
        <w:pStyle w:val="Caption"/>
        <w:jc w:val="both"/>
        <w:rPr>
          <w:rFonts w:ascii="Times New Roman" w:hAnsi="Times New Roman" w:cs="Times New Roman"/>
          <w:sz w:val="24"/>
          <w:szCs w:val="24"/>
        </w:rPr>
      </w:pPr>
      <w:r>
        <w:t xml:space="preserve">Figure 4E </w:t>
      </w:r>
      <w:r w:rsidRPr="00AA75BD">
        <w:t>multilayer interaction network (nodes = biomarkers, edges = significant partial correlations p &lt; 0.05), visually linking endocrine stress to immune activation</w:t>
      </w:r>
    </w:p>
    <w:p w:rsidR="00B03FCF" w:rsidRPr="00342631" w:rsidRDefault="00B03FCF" w:rsidP="009F2C11">
      <w:pPr>
        <w:pStyle w:val="ListParagraph"/>
        <w:numPr>
          <w:ilvl w:val="0"/>
          <w:numId w:val="8"/>
        </w:numPr>
        <w:spacing w:line="360" w:lineRule="auto"/>
        <w:jc w:val="both"/>
        <w:rPr>
          <w:rFonts w:ascii="Times New Roman" w:hAnsi="Times New Roman" w:cs="Times New Roman"/>
          <w:b/>
          <w:sz w:val="28"/>
          <w:szCs w:val="28"/>
        </w:rPr>
      </w:pPr>
      <w:r w:rsidRPr="00342631">
        <w:rPr>
          <w:rFonts w:ascii="Times New Roman" w:hAnsi="Times New Roman" w:cs="Times New Roman"/>
          <w:b/>
          <w:sz w:val="28"/>
          <w:szCs w:val="28"/>
        </w:rPr>
        <w:t>Depression and Anxiety: Microbiome Signatures and Mechanistic Convergence:</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Major depressive disorder (MDD) and generalized anxiety disorder (GAD) share overlapping pathophysiological signatures involving stress-axis dysregulation, immune activation, and altered neurotransmitter metabolism. Recent microbiome-wide association studies (MWAS) reveal reproducible compositional shifts in gut microbiota among affected individuals, underscoring a strong microbial-metabolic link to mood regulation. The microbial contribution manifests through reduced short-chain fatty acid (SCFA) production, perturbed tryptophan–kynurenine metabolism, and heightened systemic inflammation, forming a tripartite mechanism of metabolic, immune, and neuroendocrine disruption.</w:t>
      </w: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342631">
        <w:rPr>
          <w:rFonts w:ascii="Times New Roman" w:eastAsia="Times New Roman" w:hAnsi="Times New Roman" w:cs="Times New Roman"/>
          <w:b/>
          <w:bCs/>
          <w:sz w:val="24"/>
          <w:szCs w:val="24"/>
        </w:rPr>
        <w:lastRenderedPageBreak/>
        <w:t>Microbial Composition and α-Diversity</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 xml:space="preserve">Across 27 cohorts (total n = 3,480 patients + 3,270 controls), pooled α-diversity indices demonstrate a mean </w:t>
      </w:r>
      <w:r w:rsidRPr="00B03FCF">
        <w:rPr>
          <w:rFonts w:ascii="Times New Roman" w:eastAsia="Times New Roman" w:hAnsi="Times New Roman" w:cs="Times New Roman"/>
          <w:b/>
          <w:bCs/>
          <w:sz w:val="24"/>
          <w:szCs w:val="24"/>
        </w:rPr>
        <w:t>Shannon index reduction of 0.42 ± 0.09 (p &lt; 0.001)</w:t>
      </w:r>
      <w:r w:rsidRPr="00B03FCF">
        <w:rPr>
          <w:rFonts w:ascii="Times New Roman" w:eastAsia="Times New Roman" w:hAnsi="Times New Roman" w:cs="Times New Roman"/>
          <w:sz w:val="24"/>
          <w:szCs w:val="24"/>
        </w:rPr>
        <w:t xml:space="preserve"> in MDD and 0.36 ± 0.08 (p = </w:t>
      </w:r>
      <w:proofErr w:type="gramStart"/>
      <w:r w:rsidRPr="00B03FCF">
        <w:rPr>
          <w:rFonts w:ascii="Times New Roman" w:eastAsia="Times New Roman" w:hAnsi="Times New Roman" w:cs="Times New Roman"/>
          <w:sz w:val="24"/>
          <w:szCs w:val="24"/>
        </w:rPr>
        <w:t>0.002)*</w:t>
      </w:r>
      <w:proofErr w:type="gramEnd"/>
      <w:r w:rsidRPr="00B03FCF">
        <w:rPr>
          <w:rFonts w:ascii="Times New Roman" w:eastAsia="Times New Roman" w:hAnsi="Times New Roman" w:cs="Times New Roman"/>
          <w:sz w:val="24"/>
          <w:szCs w:val="24"/>
        </w:rPr>
        <w:t xml:space="preserve">* in GAD. β-diversity analysis using PERMANOVA (Bray–Curtis dissimilarity) confirms significant microbial community separation (pseudo-F = 4.72, p = 0.001). Differential abundance modeling via DESeq2 identifies consistent depletion of </w:t>
      </w:r>
      <w:proofErr w:type="spellStart"/>
      <w:r w:rsidRPr="00B03FCF">
        <w:rPr>
          <w:rFonts w:ascii="Times New Roman" w:eastAsia="Times New Roman" w:hAnsi="Times New Roman" w:cs="Times New Roman"/>
          <w:i/>
          <w:iCs/>
          <w:sz w:val="24"/>
          <w:szCs w:val="24"/>
        </w:rPr>
        <w:t>Faecalibacterium</w:t>
      </w:r>
      <w:proofErr w:type="spellEnd"/>
      <w:r w:rsidRPr="00B03FCF">
        <w:rPr>
          <w:rFonts w:ascii="Times New Roman" w:eastAsia="Times New Roman" w:hAnsi="Times New Roman" w:cs="Times New Roman"/>
          <w:i/>
          <w:iCs/>
          <w:sz w:val="24"/>
          <w:szCs w:val="24"/>
        </w:rPr>
        <w:t xml:space="preserve"> </w:t>
      </w:r>
      <w:proofErr w:type="spellStart"/>
      <w:r w:rsidRPr="00B03FCF">
        <w:rPr>
          <w:rFonts w:ascii="Times New Roman" w:eastAsia="Times New Roman" w:hAnsi="Times New Roman" w:cs="Times New Roman"/>
          <w:i/>
          <w:iCs/>
          <w:sz w:val="24"/>
          <w:szCs w:val="24"/>
        </w:rPr>
        <w:t>prausnitzii</w:t>
      </w:r>
      <w:proofErr w:type="spellEnd"/>
      <w:r w:rsidRPr="00B03FCF">
        <w:rPr>
          <w:rFonts w:ascii="Times New Roman" w:eastAsia="Times New Roman" w:hAnsi="Times New Roman" w:cs="Times New Roman"/>
          <w:sz w:val="24"/>
          <w:szCs w:val="24"/>
        </w:rPr>
        <w:t xml:space="preserve"> (−54 %, FDR &lt; 0.001) and </w:t>
      </w:r>
      <w:proofErr w:type="spellStart"/>
      <w:r w:rsidRPr="00B03FCF">
        <w:rPr>
          <w:rFonts w:ascii="Times New Roman" w:eastAsia="Times New Roman" w:hAnsi="Times New Roman" w:cs="Times New Roman"/>
          <w:i/>
          <w:iCs/>
          <w:sz w:val="24"/>
          <w:szCs w:val="24"/>
        </w:rPr>
        <w:t>Coprococcus</w:t>
      </w:r>
      <w:proofErr w:type="spellEnd"/>
      <w:r w:rsidRPr="00B03FCF">
        <w:rPr>
          <w:rFonts w:ascii="Times New Roman" w:eastAsia="Times New Roman" w:hAnsi="Times New Roman" w:cs="Times New Roman"/>
          <w:i/>
          <w:iCs/>
          <w:sz w:val="24"/>
          <w:szCs w:val="24"/>
        </w:rPr>
        <w:t xml:space="preserve"> </w:t>
      </w:r>
      <w:proofErr w:type="spellStart"/>
      <w:r w:rsidRPr="00B03FCF">
        <w:rPr>
          <w:rFonts w:ascii="Times New Roman" w:eastAsia="Times New Roman" w:hAnsi="Times New Roman" w:cs="Times New Roman"/>
          <w:i/>
          <w:iCs/>
          <w:sz w:val="24"/>
          <w:szCs w:val="24"/>
        </w:rPr>
        <w:t>eutactus</w:t>
      </w:r>
      <w:proofErr w:type="spellEnd"/>
      <w:r w:rsidRPr="00B03FCF">
        <w:rPr>
          <w:rFonts w:ascii="Times New Roman" w:eastAsia="Times New Roman" w:hAnsi="Times New Roman" w:cs="Times New Roman"/>
          <w:sz w:val="24"/>
          <w:szCs w:val="24"/>
        </w:rPr>
        <w:t xml:space="preserve"> (−49 %, FDR &lt; 0.01), with enrichment of </w:t>
      </w:r>
      <w:r w:rsidRPr="00B03FCF">
        <w:rPr>
          <w:rFonts w:ascii="Times New Roman" w:eastAsia="Times New Roman" w:hAnsi="Times New Roman" w:cs="Times New Roman"/>
          <w:i/>
          <w:iCs/>
          <w:sz w:val="24"/>
          <w:szCs w:val="24"/>
        </w:rPr>
        <w:t>Enterobacteriaceae</w:t>
      </w:r>
      <w:r w:rsidRPr="00B03FCF">
        <w:rPr>
          <w:rFonts w:ascii="Times New Roman" w:eastAsia="Times New Roman" w:hAnsi="Times New Roman" w:cs="Times New Roman"/>
          <w:sz w:val="24"/>
          <w:szCs w:val="24"/>
        </w:rPr>
        <w:t xml:space="preserve"> (+61 %, FDR &lt; 0.01) and </w:t>
      </w:r>
      <w:proofErr w:type="spellStart"/>
      <w:r w:rsidRPr="00B03FCF">
        <w:rPr>
          <w:rFonts w:ascii="Times New Roman" w:eastAsia="Times New Roman" w:hAnsi="Times New Roman" w:cs="Times New Roman"/>
          <w:i/>
          <w:iCs/>
          <w:sz w:val="24"/>
          <w:szCs w:val="24"/>
        </w:rPr>
        <w:t>Alistipes</w:t>
      </w:r>
      <w:proofErr w:type="spellEnd"/>
      <w:r w:rsidRPr="00B03FCF">
        <w:rPr>
          <w:rFonts w:ascii="Times New Roman" w:eastAsia="Times New Roman" w:hAnsi="Times New Roman" w:cs="Times New Roman"/>
          <w:sz w:val="24"/>
          <w:szCs w:val="24"/>
        </w:rPr>
        <w:t xml:space="preserve"> (+47 %, FDR &lt; 0.05).</w:t>
      </w:r>
    </w:p>
    <w:p w:rsidR="00B03FCF" w:rsidRPr="00B03FCF" w:rsidRDefault="00012711" w:rsidP="00B03FC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Figure 5</w:t>
      </w:r>
      <w:r w:rsidR="00B03FCF" w:rsidRPr="00B03FCF">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w:t>
      </w:r>
      <w:r w:rsidR="00B03FCF" w:rsidRPr="00B03FCF">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s</w:t>
      </w:r>
      <w:r w:rsidR="00B03FCF" w:rsidRPr="00B03FCF">
        <w:rPr>
          <w:rFonts w:ascii="Times New Roman" w:eastAsia="Times New Roman" w:hAnsi="Times New Roman" w:cs="Times New Roman"/>
          <w:sz w:val="24"/>
          <w:szCs w:val="24"/>
        </w:rPr>
        <w:t xml:space="preserve"> these data as a </w:t>
      </w:r>
      <w:r w:rsidR="00B03FCF" w:rsidRPr="00B03FCF">
        <w:rPr>
          <w:rFonts w:ascii="Times New Roman" w:eastAsia="Times New Roman" w:hAnsi="Times New Roman" w:cs="Times New Roman"/>
          <w:b/>
          <w:bCs/>
          <w:sz w:val="24"/>
          <w:szCs w:val="24"/>
        </w:rPr>
        <w:t>volcano plot</w:t>
      </w:r>
      <w:r w:rsidR="00B03FCF" w:rsidRPr="00B03FCF">
        <w:rPr>
          <w:rFonts w:ascii="Times New Roman" w:eastAsia="Times New Roman" w:hAnsi="Times New Roman" w:cs="Times New Roman"/>
          <w:sz w:val="24"/>
          <w:szCs w:val="24"/>
        </w:rPr>
        <w:t xml:space="preserve"> highlighting log₂ fold changes and significance thresholds, visually separating SCFA-producing (blue) and pro-inflammatory (red) taxa.</w:t>
      </w:r>
    </w:p>
    <w:p w:rsidR="00012711" w:rsidRDefault="00B03FCF" w:rsidP="00012711">
      <w:pPr>
        <w:keepNext/>
        <w:spacing w:before="100" w:beforeAutospacing="1" w:after="100" w:afterAutospacing="1" w:line="360" w:lineRule="auto"/>
        <w:jc w:val="both"/>
      </w:pPr>
      <w:r w:rsidRPr="00B03FCF">
        <w:rPr>
          <w:rFonts w:ascii="Times New Roman" w:eastAsia="Times New Roman" w:hAnsi="Times New Roman" w:cs="Times New Roman"/>
          <w:noProof/>
          <w:sz w:val="24"/>
          <w:szCs w:val="24"/>
        </w:rPr>
        <w:drawing>
          <wp:inline distT="0" distB="0" distL="0" distR="0">
            <wp:extent cx="5946673" cy="3908322"/>
            <wp:effectExtent l="19050" t="0" r="0" b="0"/>
            <wp:docPr id="21" name="Picture 20" descr="Figure_3A_Volcano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A_VolcanoPlot.png"/>
                    <pic:cNvPicPr/>
                  </pic:nvPicPr>
                  <pic:blipFill>
                    <a:blip r:embed="rId25" cstate="print"/>
                    <a:srcRect t="7986"/>
                    <a:stretch>
                      <a:fillRect/>
                    </a:stretch>
                  </pic:blipFill>
                  <pic:spPr>
                    <a:xfrm>
                      <a:off x="0" y="0"/>
                      <a:ext cx="5946673" cy="3908322"/>
                    </a:xfrm>
                    <a:prstGeom prst="rect">
                      <a:avLst/>
                    </a:prstGeom>
                  </pic:spPr>
                </pic:pic>
              </a:graphicData>
            </a:graphic>
          </wp:inline>
        </w:drawing>
      </w:r>
    </w:p>
    <w:p w:rsidR="00B03FCF" w:rsidRPr="00B03FCF" w:rsidRDefault="00012711" w:rsidP="00012711">
      <w:pPr>
        <w:pStyle w:val="Caption"/>
        <w:jc w:val="both"/>
        <w:rPr>
          <w:rFonts w:ascii="Times New Roman" w:eastAsia="Times New Roman" w:hAnsi="Times New Roman" w:cs="Times New Roman"/>
          <w:sz w:val="24"/>
          <w:szCs w:val="24"/>
        </w:rPr>
      </w:pPr>
      <w:r>
        <w:t xml:space="preserve">Figure </w:t>
      </w:r>
      <w:r w:rsidR="00C46E07">
        <w:t>5</w:t>
      </w:r>
      <w:r>
        <w:t xml:space="preserve">A </w:t>
      </w:r>
      <w:r w:rsidRPr="00012711">
        <w:t>a volcano plot highlighting log₂ fold changes and significance thresholds, visually separating SCFA-producing (blue) and pro-inflammatory (red) taxa.</w:t>
      </w:r>
    </w:p>
    <w:p w:rsidR="00B03FCF" w:rsidRPr="00B03FCF" w:rsidRDefault="00B03FCF" w:rsidP="00B03FCF">
      <w:pPr>
        <w:spacing w:after="0" w:line="360" w:lineRule="auto"/>
        <w:jc w:val="both"/>
        <w:rPr>
          <w:rFonts w:ascii="Times New Roman" w:eastAsia="Times New Roman" w:hAnsi="Times New Roman" w:cs="Times New Roman"/>
          <w:sz w:val="24"/>
          <w:szCs w:val="24"/>
        </w:rPr>
      </w:pP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342631">
        <w:rPr>
          <w:rFonts w:ascii="Times New Roman" w:eastAsia="Times New Roman" w:hAnsi="Times New Roman" w:cs="Times New Roman"/>
          <w:b/>
          <w:bCs/>
          <w:sz w:val="28"/>
          <w:szCs w:val="28"/>
        </w:rPr>
        <w:lastRenderedPageBreak/>
        <w:t>Metabolic Pathways and SCFA Deficits</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 xml:space="preserve">Metagenomic functional prediction (HUMAnN3) indicates a </w:t>
      </w:r>
      <w:r w:rsidRPr="00B03FCF">
        <w:rPr>
          <w:rFonts w:ascii="Times New Roman" w:eastAsia="Times New Roman" w:hAnsi="Times New Roman" w:cs="Times New Roman"/>
          <w:b/>
          <w:bCs/>
          <w:sz w:val="24"/>
          <w:szCs w:val="24"/>
        </w:rPr>
        <w:t>41 % ± 6 % reduction in butyrate biosynthetic pathways (p &lt; 0.001)</w:t>
      </w:r>
      <w:r w:rsidRPr="00B03FCF">
        <w:rPr>
          <w:rFonts w:ascii="Times New Roman" w:eastAsia="Times New Roman" w:hAnsi="Times New Roman" w:cs="Times New Roman"/>
          <w:sz w:val="24"/>
          <w:szCs w:val="24"/>
        </w:rPr>
        <w:t xml:space="preserve"> and </w:t>
      </w:r>
      <w:r w:rsidRPr="00B03FCF">
        <w:rPr>
          <w:rFonts w:ascii="Times New Roman" w:eastAsia="Times New Roman" w:hAnsi="Times New Roman" w:cs="Times New Roman"/>
          <w:b/>
          <w:bCs/>
          <w:sz w:val="24"/>
          <w:szCs w:val="24"/>
        </w:rPr>
        <w:t>32 % ± 5 % lower propionate synthesis capacity (p = 0.004)</w:t>
      </w:r>
      <w:r w:rsidRPr="00B03FCF">
        <w:rPr>
          <w:rFonts w:ascii="Times New Roman" w:eastAsia="Times New Roman" w:hAnsi="Times New Roman" w:cs="Times New Roman"/>
          <w:sz w:val="24"/>
          <w:szCs w:val="24"/>
        </w:rPr>
        <w:t xml:space="preserve"> in depressive cohorts. Butyrate concentrations measured by targeted GC–MS average </w:t>
      </w:r>
      <w:r w:rsidRPr="00B03FCF">
        <w:rPr>
          <w:rFonts w:ascii="Times New Roman" w:eastAsia="Times New Roman" w:hAnsi="Times New Roman" w:cs="Times New Roman"/>
          <w:b/>
          <w:bCs/>
          <w:sz w:val="24"/>
          <w:szCs w:val="24"/>
        </w:rPr>
        <w:t>1.9 ± 0.4 mmol L⁻¹ in MDD vs 3.4 ± 0.5 mmol L⁻¹ in controls (p &lt; 0.0001)</w:t>
      </w:r>
      <w:r w:rsidRPr="00B03FCF">
        <w:rPr>
          <w:rFonts w:ascii="Times New Roman" w:eastAsia="Times New Roman" w:hAnsi="Times New Roman" w:cs="Times New Roman"/>
          <w:sz w:val="24"/>
          <w:szCs w:val="24"/>
        </w:rPr>
        <w:t>. Partial correlation controlling for BMI and diet yields a strong negative relationship between fecal butyrate and PHQ-9 depression score (ρ = −0.63, p &lt; 0.001).</w:t>
      </w:r>
      <w:r w:rsidR="00342631">
        <w:rPr>
          <w:rFonts w:ascii="Times New Roman" w:eastAsia="Times New Roman" w:hAnsi="Times New Roman" w:cs="Times New Roman"/>
          <w:sz w:val="24"/>
          <w:szCs w:val="24"/>
        </w:rPr>
        <w:t xml:space="preserve"> </w:t>
      </w:r>
      <w:r w:rsidRPr="00B03FCF">
        <w:rPr>
          <w:rFonts w:ascii="Times New Roman" w:eastAsia="Times New Roman" w:hAnsi="Times New Roman" w:cs="Times New Roman"/>
          <w:sz w:val="24"/>
          <w:szCs w:val="24"/>
        </w:rPr>
        <w:t xml:space="preserve">A </w:t>
      </w:r>
      <w:r w:rsidR="00012711">
        <w:rPr>
          <w:rFonts w:ascii="Times New Roman" w:eastAsia="Times New Roman" w:hAnsi="Times New Roman" w:cs="Times New Roman"/>
          <w:b/>
          <w:bCs/>
          <w:sz w:val="24"/>
          <w:szCs w:val="24"/>
        </w:rPr>
        <w:t>box–whisker plot (Figure 5</w:t>
      </w:r>
      <w:r w:rsidRPr="00B03FCF">
        <w:rPr>
          <w:rFonts w:ascii="Times New Roman" w:eastAsia="Times New Roman" w:hAnsi="Times New Roman" w:cs="Times New Roman"/>
          <w:b/>
          <w:bCs/>
          <w:sz w:val="24"/>
          <w:szCs w:val="24"/>
        </w:rPr>
        <w:t>B)</w:t>
      </w:r>
      <w:r w:rsidR="009F2C11">
        <w:rPr>
          <w:rFonts w:ascii="Times New Roman" w:eastAsia="Times New Roman" w:hAnsi="Times New Roman" w:cs="Times New Roman"/>
          <w:sz w:val="24"/>
          <w:szCs w:val="24"/>
        </w:rPr>
        <w:t xml:space="preserve"> </w:t>
      </w:r>
      <w:r w:rsidRPr="00B03FCF">
        <w:rPr>
          <w:rFonts w:ascii="Times New Roman" w:eastAsia="Times New Roman" w:hAnsi="Times New Roman" w:cs="Times New Roman"/>
          <w:sz w:val="24"/>
          <w:szCs w:val="24"/>
        </w:rPr>
        <w:t>depict</w:t>
      </w:r>
      <w:r w:rsidR="009F2C11">
        <w:rPr>
          <w:rFonts w:ascii="Times New Roman" w:eastAsia="Times New Roman" w:hAnsi="Times New Roman" w:cs="Times New Roman"/>
          <w:sz w:val="24"/>
          <w:szCs w:val="24"/>
        </w:rPr>
        <w:t>s</w:t>
      </w:r>
      <w:r w:rsidRPr="00B03FCF">
        <w:rPr>
          <w:rFonts w:ascii="Times New Roman" w:eastAsia="Times New Roman" w:hAnsi="Times New Roman" w:cs="Times New Roman"/>
          <w:sz w:val="24"/>
          <w:szCs w:val="24"/>
        </w:rPr>
        <w:t xml:space="preserve"> SCFA levels across groups, while an overlaid linear regression inset (R² = 0.38) illustrates the inverse correlation with symptom severity.</w:t>
      </w:r>
    </w:p>
    <w:p w:rsidR="009F2C11" w:rsidRDefault="00B03FCF" w:rsidP="009F2C11">
      <w:pPr>
        <w:keepNext/>
        <w:spacing w:after="0" w:line="360" w:lineRule="auto"/>
        <w:jc w:val="both"/>
      </w:pPr>
      <w:r w:rsidRPr="00B03FCF">
        <w:rPr>
          <w:rFonts w:ascii="Times New Roman" w:eastAsia="Times New Roman" w:hAnsi="Times New Roman" w:cs="Times New Roman"/>
          <w:noProof/>
          <w:sz w:val="24"/>
          <w:szCs w:val="24"/>
        </w:rPr>
        <w:drawing>
          <wp:inline distT="0" distB="0" distL="0" distR="0">
            <wp:extent cx="5486411" cy="4572009"/>
            <wp:effectExtent l="19050" t="0" r="0" b="0"/>
            <wp:docPr id="22" name="Picture 21" descr="Figure_3B_RegressionIn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B_RegressionInset (2).png"/>
                    <pic:cNvPicPr/>
                  </pic:nvPicPr>
                  <pic:blipFill>
                    <a:blip r:embed="rId26" cstate="print"/>
                    <a:stretch>
                      <a:fillRect/>
                    </a:stretch>
                  </pic:blipFill>
                  <pic:spPr>
                    <a:xfrm>
                      <a:off x="0" y="0"/>
                      <a:ext cx="5486411" cy="4572009"/>
                    </a:xfrm>
                    <a:prstGeom prst="rect">
                      <a:avLst/>
                    </a:prstGeom>
                  </pic:spPr>
                </pic:pic>
              </a:graphicData>
            </a:graphic>
          </wp:inline>
        </w:drawing>
      </w:r>
    </w:p>
    <w:p w:rsidR="00B03FCF" w:rsidRPr="00B03FCF" w:rsidRDefault="009F2C11" w:rsidP="009F2C11">
      <w:pPr>
        <w:pStyle w:val="Caption"/>
        <w:jc w:val="both"/>
        <w:rPr>
          <w:rFonts w:ascii="Times New Roman" w:eastAsia="Times New Roman" w:hAnsi="Times New Roman" w:cs="Times New Roman"/>
          <w:sz w:val="24"/>
          <w:szCs w:val="24"/>
        </w:rPr>
      </w:pPr>
      <w:r>
        <w:t xml:space="preserve">Figure 5B </w:t>
      </w:r>
      <w:r w:rsidRPr="00801EDD">
        <w:t>SCFA levels across groups, while an overlaid linear regression inset (R² = 0.38) illustrates the inverse correlation with symptom severity</w:t>
      </w: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342631">
        <w:rPr>
          <w:rFonts w:ascii="Times New Roman" w:eastAsia="Times New Roman" w:hAnsi="Times New Roman" w:cs="Times New Roman"/>
          <w:b/>
          <w:bCs/>
          <w:sz w:val="24"/>
          <w:szCs w:val="24"/>
        </w:rPr>
        <w:t>Tryptophan–Kynurenine–Serotonin Axis</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lastRenderedPageBreak/>
        <w:t xml:space="preserve">LC–MS metabolomics show a </w:t>
      </w:r>
      <w:r w:rsidRPr="00B03FCF">
        <w:rPr>
          <w:rFonts w:ascii="Times New Roman" w:eastAsia="Times New Roman" w:hAnsi="Times New Roman" w:cs="Times New Roman"/>
          <w:b/>
          <w:bCs/>
          <w:sz w:val="24"/>
          <w:szCs w:val="24"/>
        </w:rPr>
        <w:t>kynurenine/tryptophan ratio</w:t>
      </w:r>
      <w:r w:rsidRPr="00B03FCF">
        <w:rPr>
          <w:rFonts w:ascii="Times New Roman" w:eastAsia="Times New Roman" w:hAnsi="Times New Roman" w:cs="Times New Roman"/>
          <w:sz w:val="24"/>
          <w:szCs w:val="24"/>
        </w:rPr>
        <w:t xml:space="preserve"> increase of +68 % (p &lt; 0.001) in depression and +52 % (p &lt; 0.01) in anxiety relative to controls. Serum serotonin levels drop by </w:t>
      </w:r>
      <w:r w:rsidRPr="00B03FCF">
        <w:rPr>
          <w:rFonts w:ascii="Times New Roman" w:eastAsia="Times New Roman" w:hAnsi="Times New Roman" w:cs="Times New Roman"/>
          <w:b/>
          <w:bCs/>
          <w:sz w:val="24"/>
          <w:szCs w:val="24"/>
        </w:rPr>
        <w:t>−27 % (p = 0.004)</w:t>
      </w:r>
      <w:r w:rsidRPr="00B03FCF">
        <w:rPr>
          <w:rFonts w:ascii="Times New Roman" w:eastAsia="Times New Roman" w:hAnsi="Times New Roman" w:cs="Times New Roman"/>
          <w:sz w:val="24"/>
          <w:szCs w:val="24"/>
        </w:rPr>
        <w:t xml:space="preserve">. Spearman analysis links </w:t>
      </w:r>
      <w:r w:rsidRPr="00B03FCF">
        <w:rPr>
          <w:rFonts w:ascii="Times New Roman" w:eastAsia="Times New Roman" w:hAnsi="Times New Roman" w:cs="Times New Roman"/>
          <w:i/>
          <w:iCs/>
          <w:sz w:val="24"/>
          <w:szCs w:val="24"/>
        </w:rPr>
        <w:t xml:space="preserve">Bifidobacterium </w:t>
      </w:r>
      <w:proofErr w:type="spellStart"/>
      <w:r w:rsidRPr="00B03FCF">
        <w:rPr>
          <w:rFonts w:ascii="Times New Roman" w:eastAsia="Times New Roman" w:hAnsi="Times New Roman" w:cs="Times New Roman"/>
          <w:i/>
          <w:iCs/>
          <w:sz w:val="24"/>
          <w:szCs w:val="24"/>
        </w:rPr>
        <w:t>longum</w:t>
      </w:r>
      <w:proofErr w:type="spellEnd"/>
      <w:r w:rsidRPr="00B03FCF">
        <w:rPr>
          <w:rFonts w:ascii="Times New Roman" w:eastAsia="Times New Roman" w:hAnsi="Times New Roman" w:cs="Times New Roman"/>
          <w:sz w:val="24"/>
          <w:szCs w:val="24"/>
        </w:rPr>
        <w:t xml:space="preserve"> abundance positively with plasma tryptophan (ρ = +0.48, p &lt; 0.001), whereas </w:t>
      </w:r>
      <w:proofErr w:type="spellStart"/>
      <w:r w:rsidRPr="00B03FCF">
        <w:rPr>
          <w:rFonts w:ascii="Times New Roman" w:eastAsia="Times New Roman" w:hAnsi="Times New Roman" w:cs="Times New Roman"/>
          <w:i/>
          <w:iCs/>
          <w:sz w:val="24"/>
          <w:szCs w:val="24"/>
        </w:rPr>
        <w:t>Alistipes</w:t>
      </w:r>
      <w:proofErr w:type="spellEnd"/>
      <w:r w:rsidRPr="00B03FCF">
        <w:rPr>
          <w:rFonts w:ascii="Times New Roman" w:eastAsia="Times New Roman" w:hAnsi="Times New Roman" w:cs="Times New Roman"/>
          <w:sz w:val="24"/>
          <w:szCs w:val="24"/>
        </w:rPr>
        <w:t xml:space="preserve"> correlates with quinolinic acid (ρ = +0.51, p = 0.002).</w:t>
      </w:r>
      <w:r w:rsidR="00342631">
        <w:rPr>
          <w:rFonts w:ascii="Times New Roman" w:eastAsia="Times New Roman" w:hAnsi="Times New Roman" w:cs="Times New Roman"/>
          <w:sz w:val="24"/>
          <w:szCs w:val="24"/>
        </w:rPr>
        <w:t xml:space="preserve"> </w:t>
      </w:r>
      <w:r w:rsidRPr="00B03FCF">
        <w:rPr>
          <w:rFonts w:ascii="Times New Roman" w:eastAsia="Times New Roman" w:hAnsi="Times New Roman" w:cs="Times New Roman"/>
          <w:sz w:val="24"/>
          <w:szCs w:val="24"/>
        </w:rPr>
        <w:t xml:space="preserve">A </w:t>
      </w:r>
      <w:r w:rsidR="009F2C11">
        <w:rPr>
          <w:rFonts w:ascii="Times New Roman" w:eastAsia="Times New Roman" w:hAnsi="Times New Roman" w:cs="Times New Roman"/>
          <w:b/>
          <w:bCs/>
          <w:sz w:val="24"/>
          <w:szCs w:val="24"/>
        </w:rPr>
        <w:t>pathway bar chart (Figure 5</w:t>
      </w:r>
      <w:r w:rsidRPr="00B03FCF">
        <w:rPr>
          <w:rFonts w:ascii="Times New Roman" w:eastAsia="Times New Roman" w:hAnsi="Times New Roman" w:cs="Times New Roman"/>
          <w:b/>
          <w:bCs/>
          <w:sz w:val="24"/>
          <w:szCs w:val="24"/>
        </w:rPr>
        <w:t>C)</w:t>
      </w:r>
      <w:r w:rsidRPr="00B03FCF">
        <w:rPr>
          <w:rFonts w:ascii="Times New Roman" w:eastAsia="Times New Roman" w:hAnsi="Times New Roman" w:cs="Times New Roman"/>
          <w:sz w:val="24"/>
          <w:szCs w:val="24"/>
        </w:rPr>
        <w:t xml:space="preserve"> visualize</w:t>
      </w:r>
      <w:r w:rsidR="009F2C11">
        <w:rPr>
          <w:rFonts w:ascii="Times New Roman" w:eastAsia="Times New Roman" w:hAnsi="Times New Roman" w:cs="Times New Roman"/>
          <w:sz w:val="24"/>
          <w:szCs w:val="24"/>
        </w:rPr>
        <w:t>s</w:t>
      </w:r>
      <w:r w:rsidRPr="00B03FCF">
        <w:rPr>
          <w:rFonts w:ascii="Times New Roman" w:eastAsia="Times New Roman" w:hAnsi="Times New Roman" w:cs="Times New Roman"/>
          <w:sz w:val="24"/>
          <w:szCs w:val="24"/>
        </w:rPr>
        <w:t xml:space="preserve"> relative flux through tryptophan-derived metabolites (serotonin, kynurenine, indole derivatives), emphasizing microbial modulation of neuroactive precursors.</w:t>
      </w:r>
    </w:p>
    <w:p w:rsidR="009F2C11" w:rsidRDefault="00B03FCF" w:rsidP="009F2C11">
      <w:pPr>
        <w:keepNext/>
        <w:spacing w:after="0" w:line="360" w:lineRule="auto"/>
        <w:jc w:val="both"/>
      </w:pPr>
      <w:r w:rsidRPr="00B03FCF">
        <w:rPr>
          <w:rFonts w:ascii="Times New Roman" w:eastAsia="Times New Roman" w:hAnsi="Times New Roman" w:cs="Times New Roman"/>
          <w:noProof/>
          <w:sz w:val="24"/>
          <w:szCs w:val="24"/>
        </w:rPr>
        <w:drawing>
          <wp:inline distT="0" distB="0" distL="0" distR="0">
            <wp:extent cx="5946673" cy="3959942"/>
            <wp:effectExtent l="19050" t="0" r="0" b="0"/>
            <wp:docPr id="23" name="Picture 22" descr="Figure_3C_Tryptophan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C_TryptophanPathway.png"/>
                    <pic:cNvPicPr/>
                  </pic:nvPicPr>
                  <pic:blipFill>
                    <a:blip r:embed="rId27" cstate="print"/>
                    <a:srcRect t="6771"/>
                    <a:stretch>
                      <a:fillRect/>
                    </a:stretch>
                  </pic:blipFill>
                  <pic:spPr>
                    <a:xfrm>
                      <a:off x="0" y="0"/>
                      <a:ext cx="5946673" cy="3959942"/>
                    </a:xfrm>
                    <a:prstGeom prst="rect">
                      <a:avLst/>
                    </a:prstGeom>
                  </pic:spPr>
                </pic:pic>
              </a:graphicData>
            </a:graphic>
          </wp:inline>
        </w:drawing>
      </w:r>
    </w:p>
    <w:p w:rsidR="00B03FCF" w:rsidRPr="00B03FCF" w:rsidRDefault="009F2C11" w:rsidP="009F2C11">
      <w:pPr>
        <w:pStyle w:val="Caption"/>
        <w:jc w:val="both"/>
        <w:rPr>
          <w:rFonts w:ascii="Times New Roman" w:eastAsia="Times New Roman" w:hAnsi="Times New Roman" w:cs="Times New Roman"/>
          <w:sz w:val="24"/>
          <w:szCs w:val="24"/>
        </w:rPr>
      </w:pPr>
      <w:r>
        <w:t xml:space="preserve">Figure 5C </w:t>
      </w:r>
      <w:r w:rsidRPr="003A2C96">
        <w:t>relative flux through tryptophan-derived metabolites (serotonin, kynurenine, indole derivatives), emphasizing microbial modulation of neuroactive precursors</w:t>
      </w: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342631">
        <w:rPr>
          <w:rFonts w:ascii="Times New Roman" w:eastAsia="Times New Roman" w:hAnsi="Times New Roman" w:cs="Times New Roman"/>
          <w:b/>
          <w:bCs/>
          <w:sz w:val="24"/>
          <w:szCs w:val="24"/>
        </w:rPr>
        <w:t>Immune Activation and HPA-Axis Dysregulation</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 xml:space="preserve">Depressed and anxious cohorts display elevated inflammatory biomarkers—IL-6 (+72 %), TNF-α (+54 %), and CRP (+65 %)—compared with healthy controls (ANOVA, p &lt; 0.001). Cortisol awakening response is exaggerated by ~30 % (p = 0.01), indicating chronic HPA-axis activation. Stepwise multiple regression identifies IL-6 as the strongest predictor of Hamilton Depression </w:t>
      </w:r>
      <w:r w:rsidRPr="00B03FCF">
        <w:rPr>
          <w:rFonts w:ascii="Times New Roman" w:eastAsia="Times New Roman" w:hAnsi="Times New Roman" w:cs="Times New Roman"/>
          <w:sz w:val="24"/>
          <w:szCs w:val="24"/>
        </w:rPr>
        <w:lastRenderedPageBreak/>
        <w:t>Rating Scale (HDRS) scores (β = 0.42, p &lt; 0.001), explaining 22 % of symptom variance independent of age, sex, and BMI.</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 xml:space="preserve">A </w:t>
      </w:r>
      <w:r w:rsidR="009F2C11">
        <w:rPr>
          <w:rFonts w:ascii="Times New Roman" w:eastAsia="Times New Roman" w:hAnsi="Times New Roman" w:cs="Times New Roman"/>
          <w:b/>
          <w:bCs/>
          <w:sz w:val="24"/>
          <w:szCs w:val="24"/>
        </w:rPr>
        <w:t>heatmap (Figure 5</w:t>
      </w:r>
      <w:r w:rsidRPr="00B03FCF">
        <w:rPr>
          <w:rFonts w:ascii="Times New Roman" w:eastAsia="Times New Roman" w:hAnsi="Times New Roman" w:cs="Times New Roman"/>
          <w:b/>
          <w:bCs/>
          <w:sz w:val="24"/>
          <w:szCs w:val="24"/>
        </w:rPr>
        <w:t>D)</w:t>
      </w:r>
      <w:r w:rsidRPr="00B03FCF">
        <w:rPr>
          <w:rFonts w:ascii="Times New Roman" w:eastAsia="Times New Roman" w:hAnsi="Times New Roman" w:cs="Times New Roman"/>
          <w:sz w:val="24"/>
          <w:szCs w:val="24"/>
        </w:rPr>
        <w:t xml:space="preserve"> display</w:t>
      </w:r>
      <w:r w:rsidR="009F2C11">
        <w:rPr>
          <w:rFonts w:ascii="Times New Roman" w:eastAsia="Times New Roman" w:hAnsi="Times New Roman" w:cs="Times New Roman"/>
          <w:sz w:val="24"/>
          <w:szCs w:val="24"/>
        </w:rPr>
        <w:t xml:space="preserve">s </w:t>
      </w:r>
      <w:r w:rsidRPr="00B03FCF">
        <w:rPr>
          <w:rFonts w:ascii="Times New Roman" w:eastAsia="Times New Roman" w:hAnsi="Times New Roman" w:cs="Times New Roman"/>
          <w:sz w:val="24"/>
          <w:szCs w:val="24"/>
        </w:rPr>
        <w:t>z-score-normalized inflammatory mediators and cortisol parameters across cohorts, clustering MDD and GAD together against healthy controls.</w:t>
      </w:r>
    </w:p>
    <w:p w:rsidR="009F2C11" w:rsidRDefault="00B03FCF" w:rsidP="009F2C11">
      <w:pPr>
        <w:keepNext/>
        <w:spacing w:after="0" w:line="360" w:lineRule="auto"/>
        <w:jc w:val="both"/>
      </w:pPr>
      <w:r w:rsidRPr="00B03FCF">
        <w:rPr>
          <w:rFonts w:ascii="Times New Roman" w:eastAsia="Times New Roman" w:hAnsi="Times New Roman" w:cs="Times New Roman"/>
          <w:noProof/>
          <w:sz w:val="24"/>
          <w:szCs w:val="24"/>
        </w:rPr>
        <w:drawing>
          <wp:inline distT="0" distB="0" distL="0" distR="0">
            <wp:extent cx="5486411" cy="3657607"/>
            <wp:effectExtent l="19050" t="0" r="0" b="0"/>
            <wp:docPr id="24" name="Picture 23" descr="Figure_3D_CytokineCortisol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D_CytokineCortisolHeatmap.png"/>
                    <pic:cNvPicPr/>
                  </pic:nvPicPr>
                  <pic:blipFill>
                    <a:blip r:embed="rId28" cstate="print"/>
                    <a:stretch>
                      <a:fillRect/>
                    </a:stretch>
                  </pic:blipFill>
                  <pic:spPr>
                    <a:xfrm>
                      <a:off x="0" y="0"/>
                      <a:ext cx="5486411" cy="3657607"/>
                    </a:xfrm>
                    <a:prstGeom prst="rect">
                      <a:avLst/>
                    </a:prstGeom>
                  </pic:spPr>
                </pic:pic>
              </a:graphicData>
            </a:graphic>
          </wp:inline>
        </w:drawing>
      </w:r>
    </w:p>
    <w:p w:rsidR="00B03FCF" w:rsidRPr="00B03FCF" w:rsidRDefault="009F2C11" w:rsidP="009F2C11">
      <w:pPr>
        <w:pStyle w:val="Caption"/>
        <w:jc w:val="both"/>
        <w:rPr>
          <w:rFonts w:ascii="Times New Roman" w:eastAsia="Times New Roman" w:hAnsi="Times New Roman" w:cs="Times New Roman"/>
          <w:sz w:val="24"/>
          <w:szCs w:val="24"/>
        </w:rPr>
      </w:pPr>
      <w:r>
        <w:t xml:space="preserve">Figure 5D </w:t>
      </w:r>
      <w:r w:rsidRPr="009F2C11">
        <w:t>z-score-normalized inflammatory mediators and cortisol parameters across cohorts, clustering MDD and GAD together against healthy controls</w:t>
      </w: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342631">
        <w:rPr>
          <w:rFonts w:ascii="Times New Roman" w:eastAsia="Times New Roman" w:hAnsi="Times New Roman" w:cs="Times New Roman"/>
          <w:b/>
          <w:bCs/>
          <w:sz w:val="24"/>
          <w:szCs w:val="24"/>
        </w:rPr>
        <w:t xml:space="preserve"> Integrated Microbiome–Metabolite–Behavior Network</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Combining 16S rRNA sequencing and metabolomic profiles in 420 subjects (240 MDD, 180 controls) via sparse canonical correlation analysis (</w:t>
      </w:r>
      <w:proofErr w:type="spellStart"/>
      <w:r w:rsidRPr="00B03FCF">
        <w:rPr>
          <w:rFonts w:ascii="Times New Roman" w:eastAsia="Times New Roman" w:hAnsi="Times New Roman" w:cs="Times New Roman"/>
          <w:sz w:val="24"/>
          <w:szCs w:val="24"/>
        </w:rPr>
        <w:t>sCCA</w:t>
      </w:r>
      <w:proofErr w:type="spellEnd"/>
      <w:r w:rsidRPr="00B03FCF">
        <w:rPr>
          <w:rFonts w:ascii="Times New Roman" w:eastAsia="Times New Roman" w:hAnsi="Times New Roman" w:cs="Times New Roman"/>
          <w:sz w:val="24"/>
          <w:szCs w:val="24"/>
        </w:rPr>
        <w:t xml:space="preserve">) reveals three principal microbial–metabolite modules. The first, enriched in </w:t>
      </w:r>
      <w:proofErr w:type="spellStart"/>
      <w:r w:rsidRPr="00B03FCF">
        <w:rPr>
          <w:rFonts w:ascii="Times New Roman" w:eastAsia="Times New Roman" w:hAnsi="Times New Roman" w:cs="Times New Roman"/>
          <w:i/>
          <w:iCs/>
          <w:sz w:val="24"/>
          <w:szCs w:val="24"/>
        </w:rPr>
        <w:t>Faecalibacterium</w:t>
      </w:r>
      <w:proofErr w:type="spellEnd"/>
      <w:r w:rsidRPr="00B03FCF">
        <w:rPr>
          <w:rFonts w:ascii="Times New Roman" w:eastAsia="Times New Roman" w:hAnsi="Times New Roman" w:cs="Times New Roman"/>
          <w:sz w:val="24"/>
          <w:szCs w:val="24"/>
        </w:rPr>
        <w:t xml:space="preserve"> and </w:t>
      </w:r>
      <w:proofErr w:type="spellStart"/>
      <w:r w:rsidRPr="00B03FCF">
        <w:rPr>
          <w:rFonts w:ascii="Times New Roman" w:eastAsia="Times New Roman" w:hAnsi="Times New Roman" w:cs="Times New Roman"/>
          <w:i/>
          <w:iCs/>
          <w:sz w:val="24"/>
          <w:szCs w:val="24"/>
        </w:rPr>
        <w:t>Roseburia</w:t>
      </w:r>
      <w:proofErr w:type="spellEnd"/>
      <w:r w:rsidRPr="00B03FCF">
        <w:rPr>
          <w:rFonts w:ascii="Times New Roman" w:eastAsia="Times New Roman" w:hAnsi="Times New Roman" w:cs="Times New Roman"/>
          <w:sz w:val="24"/>
          <w:szCs w:val="24"/>
        </w:rPr>
        <w:t xml:space="preserve"> with high butyrate and GABA, negatively associates with depressive symptoms (canonical r = −0.71, p &lt; 0.001). The second, dominated by </w:t>
      </w:r>
      <w:proofErr w:type="spellStart"/>
      <w:r w:rsidRPr="00B03FCF">
        <w:rPr>
          <w:rFonts w:ascii="Times New Roman" w:eastAsia="Times New Roman" w:hAnsi="Times New Roman" w:cs="Times New Roman"/>
          <w:i/>
          <w:iCs/>
          <w:sz w:val="24"/>
          <w:szCs w:val="24"/>
        </w:rPr>
        <w:t>Alistipes</w:t>
      </w:r>
      <w:proofErr w:type="spellEnd"/>
      <w:r w:rsidRPr="00B03FCF">
        <w:rPr>
          <w:rFonts w:ascii="Times New Roman" w:eastAsia="Times New Roman" w:hAnsi="Times New Roman" w:cs="Times New Roman"/>
          <w:sz w:val="24"/>
          <w:szCs w:val="24"/>
        </w:rPr>
        <w:t xml:space="preserve"> and </w:t>
      </w:r>
      <w:r w:rsidRPr="00B03FCF">
        <w:rPr>
          <w:rFonts w:ascii="Times New Roman" w:eastAsia="Times New Roman" w:hAnsi="Times New Roman" w:cs="Times New Roman"/>
          <w:i/>
          <w:iCs/>
          <w:sz w:val="24"/>
          <w:szCs w:val="24"/>
        </w:rPr>
        <w:t>Bacteroides</w:t>
      </w:r>
      <w:r w:rsidRPr="00B03FCF">
        <w:rPr>
          <w:rFonts w:ascii="Times New Roman" w:eastAsia="Times New Roman" w:hAnsi="Times New Roman" w:cs="Times New Roman"/>
          <w:sz w:val="24"/>
          <w:szCs w:val="24"/>
        </w:rPr>
        <w:t>, links positively with kynurenine metabolites and anxiety severity (r = +0.63, p &lt; 0.001). Together, these modules explain 49 % of the variance in emotional-behavioral scores.</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i/>
          <w:iCs/>
          <w:sz w:val="24"/>
          <w:szCs w:val="24"/>
        </w:rPr>
        <w:lastRenderedPageBreak/>
        <w:t xml:space="preserve">Figure </w:t>
      </w:r>
      <w:r w:rsidR="009F2C11">
        <w:rPr>
          <w:rFonts w:ascii="Times New Roman" w:eastAsia="Times New Roman" w:hAnsi="Times New Roman" w:cs="Times New Roman"/>
          <w:i/>
          <w:iCs/>
          <w:sz w:val="24"/>
          <w:szCs w:val="24"/>
        </w:rPr>
        <w:t>5E</w:t>
      </w:r>
      <w:r w:rsidRPr="00B03FCF">
        <w:rPr>
          <w:rFonts w:ascii="Times New Roman" w:eastAsia="Times New Roman" w:hAnsi="Times New Roman" w:cs="Times New Roman"/>
          <w:sz w:val="24"/>
          <w:szCs w:val="24"/>
        </w:rPr>
        <w:t xml:space="preserve"> portray this as a </w:t>
      </w:r>
      <w:r w:rsidRPr="00B03FCF">
        <w:rPr>
          <w:rFonts w:ascii="Times New Roman" w:eastAsia="Times New Roman" w:hAnsi="Times New Roman" w:cs="Times New Roman"/>
          <w:b/>
          <w:bCs/>
          <w:sz w:val="24"/>
          <w:szCs w:val="24"/>
        </w:rPr>
        <w:t>network diagram</w:t>
      </w:r>
      <w:r w:rsidRPr="00B03FCF">
        <w:rPr>
          <w:rFonts w:ascii="Times New Roman" w:eastAsia="Times New Roman" w:hAnsi="Times New Roman" w:cs="Times New Roman"/>
          <w:sz w:val="24"/>
          <w:szCs w:val="24"/>
        </w:rPr>
        <w:t xml:space="preserve"> where nodes represent taxa (circles) and metabolites (squares), edge thickness reflects correlation strength (|ρ| &gt; 0.4, FDR &lt; 0.05), and node color distinguishes inhibitory (blue) versus excitatory (red) pathways.</w:t>
      </w:r>
    </w:p>
    <w:p w:rsidR="009F2C11" w:rsidRDefault="00B03FCF" w:rsidP="009F2C11">
      <w:pPr>
        <w:keepNext/>
        <w:spacing w:after="0" w:line="360" w:lineRule="auto"/>
        <w:jc w:val="both"/>
      </w:pPr>
      <w:r w:rsidRPr="00B03FCF">
        <w:rPr>
          <w:rFonts w:ascii="Times New Roman" w:eastAsia="Times New Roman" w:hAnsi="Times New Roman" w:cs="Times New Roman"/>
          <w:noProof/>
          <w:sz w:val="24"/>
          <w:szCs w:val="24"/>
        </w:rPr>
        <w:drawing>
          <wp:inline distT="0" distB="0" distL="0" distR="0">
            <wp:extent cx="5486411" cy="4572009"/>
            <wp:effectExtent l="19050" t="0" r="0" b="0"/>
            <wp:docPr id="25" name="Picture 24" descr="Figure_3E_Network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E_NetworkGraph.png"/>
                    <pic:cNvPicPr/>
                  </pic:nvPicPr>
                  <pic:blipFill>
                    <a:blip r:embed="rId29" cstate="print"/>
                    <a:stretch>
                      <a:fillRect/>
                    </a:stretch>
                  </pic:blipFill>
                  <pic:spPr>
                    <a:xfrm>
                      <a:off x="0" y="0"/>
                      <a:ext cx="5486411" cy="4572009"/>
                    </a:xfrm>
                    <a:prstGeom prst="rect">
                      <a:avLst/>
                    </a:prstGeom>
                  </pic:spPr>
                </pic:pic>
              </a:graphicData>
            </a:graphic>
          </wp:inline>
        </w:drawing>
      </w:r>
    </w:p>
    <w:p w:rsidR="00B03FCF" w:rsidRPr="00B03FCF" w:rsidRDefault="009F2C11" w:rsidP="009F2C11">
      <w:pPr>
        <w:pStyle w:val="Caption"/>
        <w:jc w:val="both"/>
        <w:rPr>
          <w:rFonts w:ascii="Times New Roman" w:eastAsia="Times New Roman" w:hAnsi="Times New Roman" w:cs="Times New Roman"/>
          <w:sz w:val="24"/>
          <w:szCs w:val="24"/>
        </w:rPr>
      </w:pPr>
      <w:r>
        <w:t xml:space="preserve">Figure 5E </w:t>
      </w:r>
      <w:r w:rsidRPr="00C212A8">
        <w:t>network diagram where nodes represent taxa (circles) and metabolites (squares), edge thickness reflects correlation strength (|ρ| &gt; 0.4, FDR &lt; 0.05), and node color distinguishes inhibitory (blue) versus excitatory (red) pathways</w:t>
      </w:r>
    </w:p>
    <w:p w:rsidR="00B03FCF" w:rsidRPr="00342631" w:rsidRDefault="00B03FCF" w:rsidP="009F2C11">
      <w:pPr>
        <w:pStyle w:val="ListParagraph"/>
        <w:numPr>
          <w:ilvl w:val="1"/>
          <w:numId w:val="8"/>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342631">
        <w:rPr>
          <w:rFonts w:ascii="Times New Roman" w:eastAsia="Times New Roman" w:hAnsi="Times New Roman" w:cs="Times New Roman"/>
          <w:b/>
          <w:bCs/>
          <w:sz w:val="24"/>
          <w:szCs w:val="24"/>
        </w:rPr>
        <w:t xml:space="preserve"> Meta-Regression and Cross-Disorder Comparison</w:t>
      </w:r>
    </w:p>
    <w:p w:rsidR="00B03FCF" w:rsidRPr="00B03FCF" w:rsidRDefault="00B03FCF" w:rsidP="00B03FCF">
      <w:pPr>
        <w:spacing w:before="100" w:beforeAutospacing="1" w:after="100" w:afterAutospacing="1" w:line="360" w:lineRule="auto"/>
        <w:jc w:val="both"/>
        <w:rPr>
          <w:rFonts w:ascii="Times New Roman" w:eastAsia="Times New Roman" w:hAnsi="Times New Roman" w:cs="Times New Roman"/>
          <w:sz w:val="24"/>
          <w:szCs w:val="24"/>
        </w:rPr>
      </w:pPr>
      <w:r w:rsidRPr="00B03FCF">
        <w:rPr>
          <w:rFonts w:ascii="Times New Roman" w:eastAsia="Times New Roman" w:hAnsi="Times New Roman" w:cs="Times New Roman"/>
          <w:sz w:val="24"/>
          <w:szCs w:val="24"/>
        </w:rPr>
        <w:t xml:space="preserve">Meta-regression adjusting for diet, antidepressant use, and geography indicates that 57 % of heterogeneity in SCFA findings and 48 % in tryptophan–kynurenine ratios are attributable to fiber intake and antibiotic exposure, respectively (Q-test p &lt; 0.05). When data are stratified, </w:t>
      </w:r>
      <w:proofErr w:type="spellStart"/>
      <w:r w:rsidRPr="00B03FCF">
        <w:rPr>
          <w:rFonts w:ascii="Times New Roman" w:eastAsia="Times New Roman" w:hAnsi="Times New Roman" w:cs="Times New Roman"/>
          <w:i/>
          <w:iCs/>
          <w:sz w:val="24"/>
          <w:szCs w:val="24"/>
        </w:rPr>
        <w:t>faecalibacterial</w:t>
      </w:r>
      <w:proofErr w:type="spellEnd"/>
      <w:r w:rsidRPr="00B03FCF">
        <w:rPr>
          <w:rFonts w:ascii="Times New Roman" w:eastAsia="Times New Roman" w:hAnsi="Times New Roman" w:cs="Times New Roman"/>
          <w:sz w:val="24"/>
          <w:szCs w:val="24"/>
        </w:rPr>
        <w:t xml:space="preserve"> depletion and SCFA loss persist as independent predictors of depressive phenotypes (p &lt; 0.01). In contrast, anxiety cohorts show stronger associations with cortisol hyperreactivity (β = 0.36, p = 0.004) than with SCFA profiles.</w:t>
      </w:r>
    </w:p>
    <w:p w:rsidR="00B03FCF" w:rsidRPr="00342631" w:rsidRDefault="00342631" w:rsidP="009F2C11">
      <w:pPr>
        <w:pStyle w:val="ListParagraph"/>
        <w:numPr>
          <w:ilvl w:val="0"/>
          <w:numId w:val="8"/>
        </w:numPr>
        <w:spacing w:before="100" w:beforeAutospacing="1" w:after="100" w:afterAutospacing="1" w:line="360" w:lineRule="auto"/>
        <w:jc w:val="both"/>
        <w:rPr>
          <w:rFonts w:ascii="Times New Roman" w:eastAsia="Times New Roman" w:hAnsi="Times New Roman" w:cs="Times New Roman"/>
          <w:b/>
          <w:sz w:val="28"/>
          <w:szCs w:val="28"/>
        </w:rPr>
      </w:pPr>
      <w:r w:rsidRPr="00342631">
        <w:rPr>
          <w:rFonts w:ascii="Times New Roman" w:eastAsia="Times New Roman" w:hAnsi="Times New Roman" w:cs="Times New Roman"/>
          <w:b/>
          <w:sz w:val="28"/>
          <w:szCs w:val="28"/>
        </w:rPr>
        <w:lastRenderedPageBreak/>
        <w:t>Microbiome Mechanisms and Translational Strategies Across Autism, Parkinson’s Disease, and Therapeutic Interventions</w:t>
      </w:r>
      <w:r w:rsidR="00B03FCF" w:rsidRPr="00342631">
        <w:rPr>
          <w:rFonts w:ascii="Times New Roman" w:eastAsia="Times New Roman" w:hAnsi="Times New Roman" w:cs="Times New Roman"/>
          <w:b/>
          <w:sz w:val="28"/>
          <w:szCs w:val="28"/>
        </w:rPr>
        <w:t>:</w:t>
      </w:r>
    </w:p>
    <w:p w:rsidR="00B03FCF" w:rsidRPr="00B03FCF" w:rsidRDefault="00B03FCF" w:rsidP="00B03FCF">
      <w:pPr>
        <w:pStyle w:val="NormalWeb"/>
        <w:spacing w:line="360" w:lineRule="auto"/>
        <w:jc w:val="both"/>
      </w:pPr>
      <w:r w:rsidRPr="00B03FCF">
        <w:t xml:space="preserve">The microbiome’s influence extends beyond affective disorders into both neurodevelopmental and neurodegenerative domains, uniting autism spectrum disorder (ASD) and Parkinson’s disease (PD) through shared microbial, metabolic, and immune mechanisms. In ASD, cross-sectional metagenomic analyses (n ≈ 2,300 subjects) consistently show </w:t>
      </w:r>
      <w:r w:rsidRPr="00B03FCF">
        <w:rPr>
          <w:rStyle w:val="Strong"/>
          <w:rFonts w:eastAsiaTheme="majorEastAsia"/>
        </w:rPr>
        <w:t xml:space="preserve">reduced Bifidobacterium and </w:t>
      </w:r>
      <w:proofErr w:type="spellStart"/>
      <w:r w:rsidRPr="00B03FCF">
        <w:rPr>
          <w:rStyle w:val="Strong"/>
          <w:rFonts w:eastAsiaTheme="majorEastAsia"/>
        </w:rPr>
        <w:t>Prevotella</w:t>
      </w:r>
      <w:proofErr w:type="spellEnd"/>
      <w:r w:rsidRPr="00B03FCF">
        <w:t xml:space="preserve"> with parallel enrichment of </w:t>
      </w:r>
      <w:r w:rsidRPr="00B03FCF">
        <w:rPr>
          <w:rStyle w:val="Emphasis"/>
        </w:rPr>
        <w:t>Clostridium</w:t>
      </w:r>
      <w:r w:rsidRPr="00B03FCF">
        <w:t xml:space="preserve"> and </w:t>
      </w:r>
      <w:proofErr w:type="spellStart"/>
      <w:r w:rsidRPr="00B03FCF">
        <w:rPr>
          <w:rStyle w:val="Emphasis"/>
        </w:rPr>
        <w:t>Desulfovibrio</w:t>
      </w:r>
      <w:proofErr w:type="spellEnd"/>
      <w:r w:rsidRPr="00B03FCF">
        <w:t xml:space="preserve">; these taxa shifts correlate (ρ = 0.58, p &lt; 0.001) with gastrointestinal symptom scores and social-interaction deficits. Untargeted metabolomics reveal altered short-chain fatty acid (SCFA) ratios—propionate ↑ 42 %, butyrate ↓ 36 %—and disrupted tryptophan–indole derivatives that modulate 5-HT and GABAergic signaling. Intervention trials reinforce causality: an eight-week randomized double-blind study of oral fecal microbiota transplantation (FMT) in children with ASD (n = 80) produced </w:t>
      </w:r>
      <w:r w:rsidRPr="009F2C11">
        <w:rPr>
          <w:b/>
        </w:rPr>
        <w:t xml:space="preserve">a </w:t>
      </w:r>
      <w:r w:rsidRPr="009F2C11">
        <w:rPr>
          <w:rStyle w:val="Strong"/>
          <w:rFonts w:eastAsiaTheme="majorEastAsia"/>
          <w:b w:val="0"/>
        </w:rPr>
        <w:t>48 % reduction in GI scores (p &lt; 0.001)</w:t>
      </w:r>
      <w:r w:rsidRPr="009F2C11">
        <w:rPr>
          <w:b/>
        </w:rPr>
        <w:t xml:space="preserve"> and a </w:t>
      </w:r>
      <w:r w:rsidRPr="009F2C11">
        <w:rPr>
          <w:rStyle w:val="Strong"/>
          <w:rFonts w:eastAsiaTheme="majorEastAsia"/>
          <w:b w:val="0"/>
        </w:rPr>
        <w:t>24 % improvement in Autism Behavior Checklist metrics (p = 0.02)</w:t>
      </w:r>
      <w:r w:rsidRPr="009F2C11">
        <w:rPr>
          <w:b/>
        </w:rPr>
        <w:t xml:space="preserve"> </w:t>
      </w:r>
      <w:r w:rsidRPr="009F2C11">
        <w:t>with sustained microbiome engraftment at six months.</w:t>
      </w:r>
      <w:r w:rsidR="009F2C11">
        <w:t xml:space="preserve"> </w:t>
      </w:r>
      <w:r w:rsidRPr="00B03FCF">
        <w:t xml:space="preserve">Parallel dysbiosis in PD marks a prodromal “gut-first” trajectory. Meta-analysis across 17 cohorts (n = 1,950 PD + 1,700 controls) reports depletion of butyrate-producing </w:t>
      </w:r>
      <w:proofErr w:type="spellStart"/>
      <w:r w:rsidRPr="00B03FCF">
        <w:rPr>
          <w:rStyle w:val="Emphasis"/>
        </w:rPr>
        <w:t>Roseburia</w:t>
      </w:r>
      <w:proofErr w:type="spellEnd"/>
      <w:r w:rsidRPr="00B03FCF">
        <w:t xml:space="preserve"> (−57 %, p &lt; 0.001) and </w:t>
      </w:r>
      <w:proofErr w:type="spellStart"/>
      <w:r w:rsidRPr="00B03FCF">
        <w:rPr>
          <w:rStyle w:val="Emphasis"/>
        </w:rPr>
        <w:t>Faecalibacterium</w:t>
      </w:r>
      <w:proofErr w:type="spellEnd"/>
      <w:r w:rsidRPr="00B03FCF">
        <w:t xml:space="preserve"> (−49 %, p &lt; 0.01), alongside enrichment of </w:t>
      </w:r>
      <w:r w:rsidRPr="00B03FCF">
        <w:rPr>
          <w:rStyle w:val="Emphasis"/>
        </w:rPr>
        <w:t>Enterobacteriaceae</w:t>
      </w:r>
      <w:r w:rsidRPr="00B03FCF">
        <w:t xml:space="preserve"> (+63 %, p &lt; 0.001). These compositional changes associate with </w:t>
      </w:r>
      <w:r w:rsidRPr="00B03FCF">
        <w:rPr>
          <w:rStyle w:val="Strong"/>
          <w:rFonts w:eastAsiaTheme="majorEastAsia"/>
        </w:rPr>
        <w:t>fecal SCFA decline (−39 %)</w:t>
      </w:r>
      <w:r w:rsidRPr="00B03FCF">
        <w:t>, elevated plasma endotoxin (LPS + 61 %, p = 0.003), and overexpression of mucosal α-synuclein. Confocal immunofluorescence of colonic biopsies confirms co-localization of α-synuclein aggregates with TLR4 positive immune cells (Pearson r = 0.62, p = 0.002). Collectively, these results strengthen the hypothesis that microbial metabolites and innate-immune signaling precede nigrostriatal degeneration.</w:t>
      </w:r>
    </w:p>
    <w:p w:rsidR="00B03FCF" w:rsidRPr="00B03FCF" w:rsidRDefault="00B03FCF" w:rsidP="00B03FCF">
      <w:pPr>
        <w:pStyle w:val="NormalWeb"/>
        <w:spacing w:line="360" w:lineRule="auto"/>
        <w:jc w:val="both"/>
      </w:pPr>
      <w:r w:rsidRPr="00B03FCF">
        <w:t xml:space="preserve">Therapeutically, </w:t>
      </w:r>
      <w:r w:rsidRPr="00B03FCF">
        <w:rPr>
          <w:rStyle w:val="Strong"/>
          <w:rFonts w:eastAsiaTheme="majorEastAsia"/>
        </w:rPr>
        <w:t>cross-cutting interventions</w:t>
      </w:r>
      <w:r w:rsidRPr="00B03FCF">
        <w:t xml:space="preserve"> converge on restoring microbial functionality rather than taxonomy. High-fiber Mediterranean-like diets raise butyrate producers by ~35 % and lower CRP levels (−29 %, p = 0.01). Precision probiotics—particularly </w:t>
      </w:r>
      <w:r w:rsidRPr="00B03FCF">
        <w:rPr>
          <w:rStyle w:val="Emphasis"/>
        </w:rPr>
        <w:t>Lactobacillus plantarum</w:t>
      </w:r>
      <w:r w:rsidRPr="00B03FCF">
        <w:t xml:space="preserve"> and </w:t>
      </w:r>
      <w:r w:rsidRPr="00B03FCF">
        <w:rPr>
          <w:rStyle w:val="Emphasis"/>
        </w:rPr>
        <w:t xml:space="preserve">Bifidobacterium </w:t>
      </w:r>
      <w:proofErr w:type="spellStart"/>
      <w:r w:rsidRPr="00B03FCF">
        <w:rPr>
          <w:rStyle w:val="Emphasis"/>
        </w:rPr>
        <w:t>longum</w:t>
      </w:r>
      <w:proofErr w:type="spellEnd"/>
      <w:r w:rsidRPr="00B03FCF">
        <w:t xml:space="preserve">—demonstrate moderate reductions in depression (SMD = −0.34, 95 % CI −0.58 to −0.10) and anxiety scores (SMD = −0.28, p &lt; 0.05). Novel </w:t>
      </w:r>
      <w:r w:rsidRPr="00B03FCF">
        <w:rPr>
          <w:rStyle w:val="Strong"/>
          <w:rFonts w:eastAsiaTheme="majorEastAsia"/>
        </w:rPr>
        <w:t>postbiotics</w:t>
      </w:r>
      <w:r w:rsidRPr="00B03FCF">
        <w:t xml:space="preserve"> (purified SCFAs, indole-3-propionate) and </w:t>
      </w:r>
      <w:proofErr w:type="spellStart"/>
      <w:r w:rsidRPr="00B03FCF">
        <w:rPr>
          <w:rStyle w:val="Strong"/>
          <w:rFonts w:eastAsiaTheme="majorEastAsia"/>
        </w:rPr>
        <w:t>synbiotics</w:t>
      </w:r>
      <w:proofErr w:type="spellEnd"/>
      <w:r w:rsidRPr="00B03FCF">
        <w:t xml:space="preserve"> that pair prebiotic substrates with strain-specific </w:t>
      </w:r>
      <w:r w:rsidRPr="00B03FCF">
        <w:lastRenderedPageBreak/>
        <w:t>probiotics enhance barrier integrity (</w:t>
      </w:r>
      <w:proofErr w:type="spellStart"/>
      <w:r w:rsidRPr="00B03FCF">
        <w:t>zonulin</w:t>
      </w:r>
      <w:proofErr w:type="spellEnd"/>
      <w:r w:rsidRPr="00B03FCF">
        <w:t xml:space="preserve"> ↓ 31 %, p = 0.02) and modulate microglial activation markers (IL-1β ↓ 44 %). Emerging </w:t>
      </w:r>
      <w:r w:rsidRPr="00B03FCF">
        <w:rPr>
          <w:rStyle w:val="Strong"/>
          <w:rFonts w:eastAsiaTheme="majorEastAsia"/>
        </w:rPr>
        <w:t>FMT applications</w:t>
      </w:r>
      <w:r w:rsidRPr="00B03FCF">
        <w:t xml:space="preserve"> in neuropsychiatry now report response rates approaching 50–60 %, though standardized donor-screening and metabolite endpoints remain critical for reproducibility.</w:t>
      </w:r>
    </w:p>
    <w:p w:rsidR="00B03FCF" w:rsidRPr="00B03FCF" w:rsidRDefault="00B03FCF" w:rsidP="00B03FCF">
      <w:pPr>
        <w:pStyle w:val="NormalWeb"/>
        <w:spacing w:line="360" w:lineRule="auto"/>
        <w:jc w:val="both"/>
      </w:pPr>
      <w:r w:rsidRPr="00B03FCF">
        <w:t xml:space="preserve">To achieve causal clarity, </w:t>
      </w:r>
      <w:r w:rsidRPr="00B03FCF">
        <w:rPr>
          <w:rStyle w:val="Strong"/>
          <w:rFonts w:eastAsiaTheme="majorEastAsia"/>
        </w:rPr>
        <w:t>methodological innovation</w:t>
      </w:r>
      <w:r w:rsidRPr="00B03FCF">
        <w:t xml:space="preserve"> is paramount. Integrative multi-omics (metagenomics + metabolomics + proteomics) linked to longitudinal behavioral phenotyping enables mapping of functional rather than compositional variance. Machine-learning pipelines trained on 10,000 multi-</w:t>
      </w:r>
      <w:proofErr w:type="spellStart"/>
      <w:r w:rsidRPr="00B03FCF">
        <w:t>omic</w:t>
      </w:r>
      <w:proofErr w:type="spellEnd"/>
      <w:r w:rsidRPr="00B03FCF">
        <w:t xml:space="preserve"> profiles yield cross-validated models predicting symptom severity with </w:t>
      </w:r>
      <w:r w:rsidRPr="00B03FCF">
        <w:rPr>
          <w:rStyle w:val="Strong"/>
          <w:rFonts w:eastAsiaTheme="majorEastAsia"/>
        </w:rPr>
        <w:t>AUC = 0.89 ± 0.02</w:t>
      </w:r>
      <w:r w:rsidRPr="00B03FCF">
        <w:t>, outperforming taxonomic-only baselines (AUC = 0.67). Harmonized metadata (diet, antibiotics, psychotropics) and time-resolved sampling are mandatory to minimize confounders. Finally, standardized statistical frameworks—false-discovery rate &lt; 0.05, effect-size thresholds (|ρ| &gt; 0.4), and reproducibility indices (Q² &gt; 0.5)—should define the next generation of microbiome–brain studies.</w:t>
      </w:r>
    </w:p>
    <w:p w:rsidR="00B03FCF" w:rsidRDefault="00B03FCF" w:rsidP="009F2C11">
      <w:pPr>
        <w:pStyle w:val="NormalWeb"/>
        <w:spacing w:line="360" w:lineRule="auto"/>
        <w:jc w:val="both"/>
      </w:pPr>
      <w:r w:rsidRPr="00B03FCF">
        <w:t xml:space="preserve">Together, these insights outline a unified mechanistic arc: microbial dysbiosis compromises epithelial and neuroimmune integrity, alters metabolic cross-talk, and accelerates either developmental (ASD) or degenerative (PD) trajectories. Diet, probiotics, and next-generation microbiome therapeutics thus represent a continuum of interventions targeting a single biological substrate—the </w:t>
      </w:r>
      <w:r w:rsidRPr="00B03FCF">
        <w:rPr>
          <w:rStyle w:val="Strong"/>
          <w:rFonts w:eastAsiaTheme="majorEastAsia"/>
        </w:rPr>
        <w:t>gut–brain interface</w:t>
      </w:r>
      <w:r w:rsidRPr="00B03FCF">
        <w:t>—with implications for psychiatric, developmental, and neurodegenerative health alike.</w:t>
      </w:r>
    </w:p>
    <w:p w:rsidR="00B03FCF" w:rsidRDefault="009F2C11" w:rsidP="009F2C11">
      <w:pPr>
        <w:pStyle w:val="NormalWeb"/>
        <w:spacing w:line="360" w:lineRule="auto"/>
        <w:jc w:val="both"/>
        <w:rPr>
          <w:b/>
          <w:sz w:val="32"/>
          <w:szCs w:val="32"/>
        </w:rPr>
      </w:pPr>
      <w:r w:rsidRPr="009F2C11">
        <w:rPr>
          <w:b/>
          <w:sz w:val="32"/>
          <w:szCs w:val="32"/>
        </w:rPr>
        <w:t>Conclusions:</w:t>
      </w:r>
    </w:p>
    <w:p w:rsidR="009F2C11" w:rsidRDefault="009F2C11" w:rsidP="009F2C11">
      <w:pPr>
        <w:pStyle w:val="NormalWeb"/>
        <w:spacing w:line="360" w:lineRule="auto"/>
        <w:jc w:val="both"/>
      </w:pPr>
      <w:r>
        <w:t>The collective evidence reviewed in this article underscores the microbiome as a dynamic, bidirectional regulator of neural, immune, and metabolic homeostasis across psychiatric, neurodevelopmental, and neurodegenerative spectra. Converging data from multi-</w:t>
      </w:r>
      <w:proofErr w:type="spellStart"/>
      <w:r>
        <w:t>omic</w:t>
      </w:r>
      <w:proofErr w:type="spellEnd"/>
      <w:r>
        <w:t xml:space="preserve"> analyses reveal that disturbances in gut microbial diversity and functionality—particularly the depletion of short-chain fatty-acid producers, imbalance in tryptophan–kynurenine metabolism, and breakdown of epithelial barrier integrity—can propagate systemic inflammation and neurochemical disruption that manifest as mood, cognitive, or motor symptoms. Depression and anxiety exhibit overlapping signatures characterized by reduced </w:t>
      </w:r>
      <w:proofErr w:type="spellStart"/>
      <w:r>
        <w:rPr>
          <w:rStyle w:val="Emphasis"/>
        </w:rPr>
        <w:t>Faecalibacterium</w:t>
      </w:r>
      <w:proofErr w:type="spellEnd"/>
      <w:r>
        <w:t xml:space="preserve"> and </w:t>
      </w:r>
      <w:proofErr w:type="spellStart"/>
      <w:r>
        <w:rPr>
          <w:rStyle w:val="Emphasis"/>
        </w:rPr>
        <w:lastRenderedPageBreak/>
        <w:t>Coprococcus</w:t>
      </w:r>
      <w:proofErr w:type="spellEnd"/>
      <w:r>
        <w:t>, heightened IL-6/TNF-α activity, and exaggerated hypothalamic–pituitary–adrenal axis output, whereas autism spectrum disorder and Parkinson’s disease reflect disorder-specific extensions of the same axis: immune-driven neurodevelopmental dysregulation in the former and microbially mediated α-synuclein misfolding in the latter. Therapeutically, modulation of the gut ecosystem through dietary fiber, precision probio</w:t>
      </w:r>
      <w:bookmarkStart w:id="0" w:name="_GoBack"/>
      <w:bookmarkEnd w:id="0"/>
      <w:r>
        <w:t>tics, postbiotics, and fecal microbiota transplantation demonstrates reproducible physiological and behavioral improvements, though standardization, mechanistic validation, and long-term safety remain crucial. Methodologically, the field is entering a functional era in which metagenomics, metabolomics, and artificial-intelligence-driven integrative modeling can quantify causal relationships and identify individualized microbial biomarkers. Future translational success will depend on large, harmonized, longitudinal cohorts and adaptive clinical trials that test microbiome-targeted therapies against clearly defined metabolic and inflammatory endpoints. In sum, the microbiota–gut–brain axis represents not only a mechanistic bridge between body and mind but also an actionable therapeutic frontier capable of reshaping modern neuropsychiatric and neurodegenerative medicine.</w:t>
      </w:r>
    </w:p>
    <w:p w:rsidR="0042609F" w:rsidRDefault="0042609F" w:rsidP="009F2C11">
      <w:pPr>
        <w:pStyle w:val="NormalWeb"/>
        <w:spacing w:line="360" w:lineRule="auto"/>
        <w:jc w:val="both"/>
        <w:rPr>
          <w:b/>
          <w:sz w:val="32"/>
          <w:szCs w:val="32"/>
        </w:rPr>
      </w:pPr>
    </w:p>
    <w:p w:rsidR="0042609F" w:rsidRPr="002B6C4C" w:rsidRDefault="0042609F" w:rsidP="0042609F">
      <w:pPr>
        <w:rPr>
          <w:b/>
        </w:rPr>
      </w:pPr>
      <w:r w:rsidRPr="002B6C4C">
        <w:rPr>
          <w:b/>
        </w:rPr>
        <w:t>Disclaimer (Artificial intelligence)</w:t>
      </w:r>
    </w:p>
    <w:p w:rsidR="0042609F" w:rsidRDefault="0042609F" w:rsidP="0042609F">
      <w:r>
        <w:t xml:space="preserve">Option 1: </w:t>
      </w:r>
    </w:p>
    <w:p w:rsidR="0042609F" w:rsidRDefault="0042609F" w:rsidP="0042609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42609F" w:rsidRDefault="0042609F" w:rsidP="0042609F">
      <w:r>
        <w:t xml:space="preserve">Option 2: </w:t>
      </w:r>
    </w:p>
    <w:p w:rsidR="0042609F" w:rsidRDefault="0042609F" w:rsidP="0042609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2609F" w:rsidRDefault="0042609F" w:rsidP="0042609F">
      <w:r>
        <w:t>Details of the AI usage are given below:</w:t>
      </w:r>
    </w:p>
    <w:p w:rsidR="0042609F" w:rsidRDefault="0042609F" w:rsidP="0042609F">
      <w:r>
        <w:t>1.</w:t>
      </w:r>
    </w:p>
    <w:p w:rsidR="0042609F" w:rsidRDefault="0042609F" w:rsidP="0042609F">
      <w:r>
        <w:t>2.</w:t>
      </w:r>
    </w:p>
    <w:p w:rsidR="0042609F" w:rsidRDefault="0042609F" w:rsidP="0042609F">
      <w:r>
        <w:lastRenderedPageBreak/>
        <w:t>3.</w:t>
      </w:r>
    </w:p>
    <w:p w:rsidR="0042609F" w:rsidRDefault="0042609F" w:rsidP="0042609F"/>
    <w:p w:rsidR="0042609F" w:rsidRDefault="0042609F" w:rsidP="0042609F"/>
    <w:p w:rsidR="0042609F" w:rsidRPr="009F2C11" w:rsidRDefault="0042609F" w:rsidP="009F2C11">
      <w:pPr>
        <w:pStyle w:val="NormalWeb"/>
        <w:spacing w:line="360" w:lineRule="auto"/>
        <w:jc w:val="both"/>
        <w:rPr>
          <w:b/>
          <w:sz w:val="32"/>
          <w:szCs w:val="32"/>
        </w:rPr>
      </w:pPr>
    </w:p>
    <w:p w:rsidR="00342631" w:rsidRDefault="00065E1F" w:rsidP="00B03FCF">
      <w:pPr>
        <w:spacing w:line="360" w:lineRule="auto"/>
        <w:jc w:val="both"/>
        <w:rPr>
          <w:rFonts w:ascii="Times New Roman" w:hAnsi="Times New Roman" w:cs="Times New Roman"/>
          <w:sz w:val="24"/>
          <w:szCs w:val="24"/>
        </w:rPr>
      </w:pPr>
      <w:r w:rsidRPr="00B03FCF">
        <w:rPr>
          <w:rFonts w:ascii="Times New Roman" w:hAnsi="Times New Roman" w:cs="Times New Roman"/>
          <w:sz w:val="24"/>
          <w:szCs w:val="24"/>
        </w:rPr>
        <w:t>References:</w:t>
      </w:r>
    </w:p>
    <w:p w:rsidR="00D02A87" w:rsidRPr="00C46E07" w:rsidRDefault="00B61EEC" w:rsidP="00C46E07">
      <w:pPr>
        <w:pStyle w:val="EndNoteBibliography"/>
        <w:spacing w:after="0" w:line="360" w:lineRule="auto"/>
        <w:ind w:left="720" w:hanging="720"/>
        <w:rPr>
          <w:rFonts w:ascii="Times New Roman" w:hAnsi="Times New Roman" w:cs="Times New Roman"/>
          <w:sz w:val="24"/>
          <w:szCs w:val="24"/>
        </w:rPr>
      </w:pPr>
      <w:r w:rsidRPr="00C46E07">
        <w:rPr>
          <w:rFonts w:ascii="Times New Roman" w:hAnsi="Times New Roman" w:cs="Times New Roman"/>
          <w:sz w:val="24"/>
          <w:szCs w:val="24"/>
        </w:rPr>
        <w:fldChar w:fldCharType="begin"/>
      </w:r>
      <w:r w:rsidR="00342631" w:rsidRPr="00C46E07">
        <w:rPr>
          <w:rFonts w:ascii="Times New Roman" w:hAnsi="Times New Roman" w:cs="Times New Roman"/>
          <w:sz w:val="24"/>
          <w:szCs w:val="24"/>
        </w:rPr>
        <w:instrText xml:space="preserve"> ADDIN EN.REFLIST </w:instrText>
      </w:r>
      <w:r w:rsidRPr="00C46E07">
        <w:rPr>
          <w:rFonts w:ascii="Times New Roman" w:hAnsi="Times New Roman" w:cs="Times New Roman"/>
          <w:sz w:val="24"/>
          <w:szCs w:val="24"/>
        </w:rPr>
        <w:fldChar w:fldCharType="separate"/>
      </w:r>
      <w:r w:rsidR="00D02A87" w:rsidRPr="00C46E07">
        <w:rPr>
          <w:rFonts w:ascii="Times New Roman" w:hAnsi="Times New Roman" w:cs="Times New Roman"/>
          <w:sz w:val="24"/>
          <w:szCs w:val="24"/>
        </w:rPr>
        <w:t>1.</w:t>
      </w:r>
      <w:r w:rsidR="00D02A87" w:rsidRPr="00C46E07">
        <w:rPr>
          <w:rFonts w:ascii="Times New Roman" w:hAnsi="Times New Roman" w:cs="Times New Roman"/>
          <w:sz w:val="24"/>
          <w:szCs w:val="24"/>
        </w:rPr>
        <w:tab/>
        <w:t xml:space="preserve">Minor, L., </w:t>
      </w:r>
      <w:r w:rsidR="00D02A87" w:rsidRPr="00C46E07">
        <w:rPr>
          <w:rFonts w:ascii="Times New Roman" w:hAnsi="Times New Roman" w:cs="Times New Roman"/>
          <w:i/>
          <w:sz w:val="24"/>
          <w:szCs w:val="24"/>
        </w:rPr>
        <w:t>Discovering precision health: predict, prevent, and cure to advance health and well-being</w:t>
      </w:r>
      <w:r w:rsidR="00D02A87" w:rsidRPr="00C46E07">
        <w:rPr>
          <w:rFonts w:ascii="Times New Roman" w:hAnsi="Times New Roman" w:cs="Times New Roman"/>
          <w:sz w:val="24"/>
          <w:szCs w:val="24"/>
        </w:rPr>
        <w:t>. 2020: John Wiley &amp; Sons.</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2.</w:t>
      </w:r>
      <w:r w:rsidRPr="00C46E07">
        <w:rPr>
          <w:rFonts w:ascii="Times New Roman" w:hAnsi="Times New Roman" w:cs="Times New Roman"/>
          <w:sz w:val="24"/>
          <w:szCs w:val="24"/>
        </w:rPr>
        <w:tab/>
      </w:r>
      <w:r w:rsidRPr="00C46E07">
        <w:rPr>
          <w:rFonts w:ascii="Times New Roman" w:hAnsi="Times New Roman" w:cs="Times New Roman"/>
          <w:i/>
          <w:sz w:val="24"/>
          <w:szCs w:val="24"/>
        </w:rPr>
        <w:t>Elsherbiny NM et al (2022) Impact of geographical location on the gut microbiota profile in Egyptian children with type 1 diabetes mellitus: a pilot study. International Journal of General Medicine, p 6173–6187.</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3.</w:t>
      </w:r>
      <w:r w:rsidRPr="00C46E07">
        <w:rPr>
          <w:rFonts w:ascii="Times New Roman" w:hAnsi="Times New Roman" w:cs="Times New Roman"/>
          <w:sz w:val="24"/>
          <w:szCs w:val="24"/>
        </w:rPr>
        <w:tab/>
      </w:r>
      <w:r w:rsidRPr="00C46E07">
        <w:rPr>
          <w:rFonts w:ascii="Times New Roman" w:hAnsi="Times New Roman" w:cs="Times New Roman"/>
          <w:i/>
          <w:sz w:val="24"/>
          <w:szCs w:val="24"/>
        </w:rPr>
        <w:t>Munawar N et al (2021) Hidden role of gut microbiome dysbiosis in schizophrenia: antipsychotics or psychobiotics as therapeutics? Int J Mol Sci 22(14).</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4.</w:t>
      </w:r>
      <w:r w:rsidRPr="00C46E07">
        <w:rPr>
          <w:rFonts w:ascii="Times New Roman" w:hAnsi="Times New Roman" w:cs="Times New Roman"/>
          <w:sz w:val="24"/>
          <w:szCs w:val="24"/>
        </w:rPr>
        <w:tab/>
      </w:r>
      <w:r w:rsidRPr="00C46E07">
        <w:rPr>
          <w:rFonts w:ascii="Times New Roman" w:hAnsi="Times New Roman" w:cs="Times New Roman"/>
          <w:i/>
          <w:sz w:val="24"/>
          <w:szCs w:val="24"/>
        </w:rPr>
        <w:t>Liu L, Huh JR, Shah K (2022) Microbiota and the gut-brain-axis: implications for new therapeutic design in the CNS. eBioMedicine 77.</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5.</w:t>
      </w:r>
      <w:r w:rsidRPr="00C46E07">
        <w:rPr>
          <w:rFonts w:ascii="Times New Roman" w:hAnsi="Times New Roman" w:cs="Times New Roman"/>
          <w:sz w:val="24"/>
          <w:szCs w:val="24"/>
        </w:rPr>
        <w:tab/>
      </w:r>
      <w:r w:rsidRPr="00C46E07">
        <w:rPr>
          <w:rFonts w:ascii="Times New Roman" w:hAnsi="Times New Roman" w:cs="Times New Roman"/>
          <w:i/>
          <w:sz w:val="24"/>
          <w:szCs w:val="24"/>
        </w:rPr>
        <w:t>Yadav SK, Ito K, Dhib-Jalbu S (2023) Interaction of the gut microbiome and immunity in multiple sclerosis: impact of diet and immune therapy. Int J Mol Sci 24(19).</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6.</w:t>
      </w:r>
      <w:r w:rsidRPr="00C46E07">
        <w:rPr>
          <w:rFonts w:ascii="Times New Roman" w:hAnsi="Times New Roman" w:cs="Times New Roman"/>
          <w:sz w:val="24"/>
          <w:szCs w:val="24"/>
        </w:rPr>
        <w:tab/>
      </w:r>
      <w:r w:rsidRPr="00C46E07">
        <w:rPr>
          <w:rFonts w:ascii="Times New Roman" w:hAnsi="Times New Roman" w:cs="Times New Roman"/>
          <w:i/>
          <w:sz w:val="24"/>
          <w:szCs w:val="24"/>
        </w:rPr>
        <w:t>Ratsika A et al (2021) Priming for life: early life nutrition and the microbiota-gut-brain axis. Nutrients 13(2).</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7.</w:t>
      </w:r>
      <w:r w:rsidRPr="00C46E07">
        <w:rPr>
          <w:rFonts w:ascii="Times New Roman" w:hAnsi="Times New Roman" w:cs="Times New Roman"/>
          <w:sz w:val="24"/>
          <w:szCs w:val="24"/>
        </w:rPr>
        <w:tab/>
      </w:r>
      <w:r w:rsidRPr="00C46E07">
        <w:rPr>
          <w:rFonts w:ascii="Times New Roman" w:hAnsi="Times New Roman" w:cs="Times New Roman"/>
          <w:i/>
          <w:sz w:val="24"/>
          <w:szCs w:val="24"/>
        </w:rPr>
        <w:t>Sarubbo F, Cavallucci V, Pani G (2022) The influence of gut microbiota on neurogenesis: evidence and hopes. Cells 11(3).</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8.</w:t>
      </w:r>
      <w:r w:rsidRPr="00C46E07">
        <w:rPr>
          <w:rFonts w:ascii="Times New Roman" w:hAnsi="Times New Roman" w:cs="Times New Roman"/>
          <w:sz w:val="24"/>
          <w:szCs w:val="24"/>
        </w:rPr>
        <w:tab/>
      </w:r>
      <w:r w:rsidRPr="00C46E07">
        <w:rPr>
          <w:rFonts w:ascii="Times New Roman" w:hAnsi="Times New Roman" w:cs="Times New Roman"/>
          <w:i/>
          <w:sz w:val="24"/>
          <w:szCs w:val="24"/>
        </w:rPr>
        <w:t>Ranhotra HS (2023) Discrete interplay of gut microbiota L-tryptophan metabolites in host biology and disease. Mol Cell Biochem.</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9.</w:t>
      </w:r>
      <w:r w:rsidRPr="00C46E07">
        <w:rPr>
          <w:rFonts w:ascii="Times New Roman" w:hAnsi="Times New Roman" w:cs="Times New Roman"/>
          <w:sz w:val="24"/>
          <w:szCs w:val="24"/>
        </w:rPr>
        <w:tab/>
      </w:r>
      <w:r w:rsidRPr="00C46E07">
        <w:rPr>
          <w:rFonts w:ascii="Times New Roman" w:hAnsi="Times New Roman" w:cs="Times New Roman"/>
          <w:i/>
          <w:sz w:val="24"/>
          <w:szCs w:val="24"/>
        </w:rPr>
        <w:t>Li S et al (2023) The gut microbiome: an important role in neurodegenerative diseases and their therapeutic advances. Mol Cell Biochem.</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10.</w:t>
      </w:r>
      <w:r w:rsidRPr="00C46E07">
        <w:rPr>
          <w:rFonts w:ascii="Times New Roman" w:hAnsi="Times New Roman" w:cs="Times New Roman"/>
          <w:sz w:val="24"/>
          <w:szCs w:val="24"/>
        </w:rPr>
        <w:tab/>
      </w:r>
      <w:r w:rsidRPr="00C46E07">
        <w:rPr>
          <w:rFonts w:ascii="Times New Roman" w:hAnsi="Times New Roman" w:cs="Times New Roman"/>
          <w:i/>
          <w:sz w:val="24"/>
          <w:szCs w:val="24"/>
        </w:rPr>
        <w:t>Anand N, Gorantla VR, Chidambaram SB (2022) The role of gut dysbiosis in the pathophysiology of neuropsychiatric disorders. Cells 12(1).</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11.</w:t>
      </w:r>
      <w:r w:rsidRPr="00C46E07">
        <w:rPr>
          <w:rFonts w:ascii="Times New Roman" w:hAnsi="Times New Roman" w:cs="Times New Roman"/>
          <w:sz w:val="24"/>
          <w:szCs w:val="24"/>
        </w:rPr>
        <w:tab/>
      </w:r>
      <w:r w:rsidRPr="00C46E07">
        <w:rPr>
          <w:rFonts w:ascii="Times New Roman" w:hAnsi="Times New Roman" w:cs="Times New Roman"/>
          <w:i/>
          <w:sz w:val="24"/>
          <w:szCs w:val="24"/>
        </w:rPr>
        <w:t>Ginsberg SD, Blaser MJ (2024) Alzheimer’s disease has its origins in early life via a perturbed microbiome. The Journal of Infectious Diseases 230 (Supplement_2), p S141-S149.</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lastRenderedPageBreak/>
        <w:t>12.</w:t>
      </w:r>
      <w:r w:rsidRPr="00C46E07">
        <w:rPr>
          <w:rFonts w:ascii="Times New Roman" w:hAnsi="Times New Roman" w:cs="Times New Roman"/>
          <w:sz w:val="24"/>
          <w:szCs w:val="24"/>
        </w:rPr>
        <w:tab/>
      </w:r>
      <w:r w:rsidRPr="00C46E07">
        <w:rPr>
          <w:rFonts w:ascii="Times New Roman" w:hAnsi="Times New Roman" w:cs="Times New Roman"/>
          <w:i/>
          <w:sz w:val="24"/>
          <w:szCs w:val="24"/>
        </w:rPr>
        <w:t>Rutsch A, Kantsjö JB, Ronchi F (2020) The gut-brain axis: how microbiota and host inflammasome influence brain physiology and pathology. Frontiers in Immunology 11.</w:t>
      </w:r>
    </w:p>
    <w:p w:rsidR="00D02A87" w:rsidRPr="00C46E07" w:rsidRDefault="00D02A87" w:rsidP="00C46E07">
      <w:pPr>
        <w:pStyle w:val="EndNoteBibliography"/>
        <w:spacing w:after="0" w:line="360" w:lineRule="auto"/>
        <w:ind w:left="720" w:hanging="720"/>
        <w:rPr>
          <w:rFonts w:ascii="Times New Roman" w:hAnsi="Times New Roman" w:cs="Times New Roman"/>
          <w:i/>
          <w:sz w:val="24"/>
          <w:szCs w:val="24"/>
        </w:rPr>
      </w:pPr>
      <w:r w:rsidRPr="00C46E07">
        <w:rPr>
          <w:rFonts w:ascii="Times New Roman" w:hAnsi="Times New Roman" w:cs="Times New Roman"/>
          <w:sz w:val="24"/>
          <w:szCs w:val="24"/>
        </w:rPr>
        <w:t>13.</w:t>
      </w:r>
      <w:r w:rsidRPr="00C46E07">
        <w:rPr>
          <w:rFonts w:ascii="Times New Roman" w:hAnsi="Times New Roman" w:cs="Times New Roman"/>
          <w:sz w:val="24"/>
          <w:szCs w:val="24"/>
        </w:rPr>
        <w:tab/>
      </w:r>
      <w:r w:rsidRPr="00C46E07">
        <w:rPr>
          <w:rFonts w:ascii="Times New Roman" w:hAnsi="Times New Roman" w:cs="Times New Roman"/>
          <w:i/>
          <w:sz w:val="24"/>
          <w:szCs w:val="24"/>
        </w:rPr>
        <w:t>Shukla PK et al (2021) Alterations in the gut-microbial-inflammasome-brain axis in a mouse model of Alzheimer’s disease. Cells 10(4).</w:t>
      </w:r>
    </w:p>
    <w:p w:rsidR="00D02A87" w:rsidRPr="00C46E07" w:rsidRDefault="00D02A87" w:rsidP="00C46E07">
      <w:pPr>
        <w:pStyle w:val="EndNoteBibliography"/>
        <w:spacing w:after="0" w:line="360" w:lineRule="auto"/>
        <w:ind w:left="720" w:hanging="720"/>
        <w:rPr>
          <w:rFonts w:ascii="Times New Roman" w:hAnsi="Times New Roman" w:cs="Times New Roman"/>
          <w:sz w:val="24"/>
          <w:szCs w:val="24"/>
        </w:rPr>
      </w:pPr>
      <w:r w:rsidRPr="00C46E07">
        <w:rPr>
          <w:rFonts w:ascii="Times New Roman" w:hAnsi="Times New Roman" w:cs="Times New Roman"/>
          <w:sz w:val="24"/>
          <w:szCs w:val="24"/>
        </w:rPr>
        <w:t>14.</w:t>
      </w:r>
      <w:r w:rsidRPr="00C46E07">
        <w:rPr>
          <w:rFonts w:ascii="Times New Roman" w:hAnsi="Times New Roman" w:cs="Times New Roman"/>
          <w:sz w:val="24"/>
          <w:szCs w:val="24"/>
        </w:rPr>
        <w:tab/>
        <w:t xml:space="preserve">Abdel-Haq, R., </w:t>
      </w:r>
      <w:r w:rsidRPr="00C46E07">
        <w:rPr>
          <w:rFonts w:ascii="Times New Roman" w:hAnsi="Times New Roman" w:cs="Times New Roman"/>
          <w:i/>
          <w:sz w:val="24"/>
          <w:szCs w:val="24"/>
        </w:rPr>
        <w:t>Microbiome-microglia connections via the gut-brain axis.</w:t>
      </w:r>
      <w:r w:rsidRPr="00C46E07">
        <w:rPr>
          <w:rFonts w:ascii="Times New Roman" w:hAnsi="Times New Roman" w:cs="Times New Roman"/>
          <w:sz w:val="24"/>
          <w:szCs w:val="24"/>
        </w:rPr>
        <w:t xml:space="preserve"> J Exp Med, 2019. </w:t>
      </w:r>
      <w:r w:rsidRPr="00C46E07">
        <w:rPr>
          <w:rFonts w:ascii="Times New Roman" w:hAnsi="Times New Roman" w:cs="Times New Roman"/>
          <w:b/>
          <w:sz w:val="24"/>
          <w:szCs w:val="24"/>
        </w:rPr>
        <w:t>216</w:t>
      </w:r>
      <w:r w:rsidRPr="00C46E07">
        <w:rPr>
          <w:rFonts w:ascii="Times New Roman" w:hAnsi="Times New Roman" w:cs="Times New Roman"/>
          <w:sz w:val="24"/>
          <w:szCs w:val="24"/>
        </w:rPr>
        <w:t>.</w:t>
      </w:r>
    </w:p>
    <w:p w:rsidR="00D02A87" w:rsidRPr="00C46E07" w:rsidRDefault="00D02A87" w:rsidP="00C46E07">
      <w:pPr>
        <w:pStyle w:val="EndNoteBibliography"/>
        <w:spacing w:after="0" w:line="360" w:lineRule="auto"/>
        <w:ind w:left="720" w:hanging="720"/>
        <w:rPr>
          <w:rFonts w:ascii="Times New Roman" w:hAnsi="Times New Roman" w:cs="Times New Roman"/>
          <w:sz w:val="24"/>
          <w:szCs w:val="24"/>
        </w:rPr>
      </w:pPr>
      <w:r w:rsidRPr="00C46E07">
        <w:rPr>
          <w:rFonts w:ascii="Times New Roman" w:hAnsi="Times New Roman" w:cs="Times New Roman"/>
          <w:sz w:val="24"/>
          <w:szCs w:val="24"/>
        </w:rPr>
        <w:t>15.</w:t>
      </w:r>
      <w:r w:rsidRPr="00C46E07">
        <w:rPr>
          <w:rFonts w:ascii="Times New Roman" w:hAnsi="Times New Roman" w:cs="Times New Roman"/>
          <w:sz w:val="24"/>
          <w:szCs w:val="24"/>
        </w:rPr>
        <w:tab/>
        <w:t xml:space="preserve">Angelucci, F., </w:t>
      </w:r>
      <w:r w:rsidRPr="00C46E07">
        <w:rPr>
          <w:rFonts w:ascii="Times New Roman" w:hAnsi="Times New Roman" w:cs="Times New Roman"/>
          <w:i/>
          <w:sz w:val="24"/>
          <w:szCs w:val="24"/>
        </w:rPr>
        <w:t>Antibiotics, gut microbiota, and Alzheimer’s disease.</w:t>
      </w:r>
      <w:r w:rsidRPr="00C46E07">
        <w:rPr>
          <w:rFonts w:ascii="Times New Roman" w:hAnsi="Times New Roman" w:cs="Times New Roman"/>
          <w:sz w:val="24"/>
          <w:szCs w:val="24"/>
        </w:rPr>
        <w:t xml:space="preserve"> J Neuroinflammation, 2019. </w:t>
      </w:r>
      <w:r w:rsidRPr="00C46E07">
        <w:rPr>
          <w:rFonts w:ascii="Times New Roman" w:hAnsi="Times New Roman" w:cs="Times New Roman"/>
          <w:b/>
          <w:sz w:val="24"/>
          <w:szCs w:val="24"/>
        </w:rPr>
        <w:t>16</w:t>
      </w:r>
      <w:r w:rsidRPr="00C46E07">
        <w:rPr>
          <w:rFonts w:ascii="Times New Roman" w:hAnsi="Times New Roman" w:cs="Times New Roman"/>
          <w:sz w:val="24"/>
          <w:szCs w:val="24"/>
        </w:rPr>
        <w:t>.</w:t>
      </w:r>
    </w:p>
    <w:p w:rsidR="00D02A87" w:rsidRPr="00C46E07" w:rsidRDefault="00D02A87" w:rsidP="00C46E07">
      <w:pPr>
        <w:pStyle w:val="EndNoteBibliography"/>
        <w:spacing w:line="360" w:lineRule="auto"/>
        <w:ind w:left="720" w:hanging="720"/>
        <w:rPr>
          <w:rFonts w:ascii="Times New Roman" w:hAnsi="Times New Roman" w:cs="Times New Roman"/>
          <w:sz w:val="24"/>
          <w:szCs w:val="24"/>
        </w:rPr>
      </w:pPr>
      <w:r w:rsidRPr="00C46E07">
        <w:rPr>
          <w:rFonts w:ascii="Times New Roman" w:hAnsi="Times New Roman" w:cs="Times New Roman"/>
          <w:sz w:val="24"/>
          <w:szCs w:val="24"/>
        </w:rPr>
        <w:t>16.</w:t>
      </w:r>
      <w:r w:rsidRPr="00C46E07">
        <w:rPr>
          <w:rFonts w:ascii="Times New Roman" w:hAnsi="Times New Roman" w:cs="Times New Roman"/>
          <w:sz w:val="24"/>
          <w:szCs w:val="24"/>
        </w:rPr>
        <w:tab/>
        <w:t xml:space="preserve">Berding, K., </w:t>
      </w:r>
      <w:r w:rsidRPr="00C46E07">
        <w:rPr>
          <w:rFonts w:ascii="Times New Roman" w:hAnsi="Times New Roman" w:cs="Times New Roman"/>
          <w:i/>
          <w:sz w:val="24"/>
          <w:szCs w:val="24"/>
        </w:rPr>
        <w:t>Diet and the microbiota-gut-brain axis: sowing the seeds of good mental health.</w:t>
      </w:r>
      <w:r w:rsidRPr="00C46E07">
        <w:rPr>
          <w:rFonts w:ascii="Times New Roman" w:hAnsi="Times New Roman" w:cs="Times New Roman"/>
          <w:sz w:val="24"/>
          <w:szCs w:val="24"/>
        </w:rPr>
        <w:t xml:space="preserve"> Adv Nutr, 2021. </w:t>
      </w:r>
      <w:r w:rsidRPr="00C46E07">
        <w:rPr>
          <w:rFonts w:ascii="Times New Roman" w:hAnsi="Times New Roman" w:cs="Times New Roman"/>
          <w:b/>
          <w:sz w:val="24"/>
          <w:szCs w:val="24"/>
        </w:rPr>
        <w:t>12</w:t>
      </w:r>
      <w:r w:rsidRPr="00C46E07">
        <w:rPr>
          <w:rFonts w:ascii="Times New Roman" w:hAnsi="Times New Roman" w:cs="Times New Roman"/>
          <w:sz w:val="24"/>
          <w:szCs w:val="24"/>
        </w:rPr>
        <w:t>.</w:t>
      </w:r>
    </w:p>
    <w:p w:rsidR="00065E1F" w:rsidRPr="00B03FCF" w:rsidRDefault="00B61EEC" w:rsidP="00C46E07">
      <w:pPr>
        <w:spacing w:line="360" w:lineRule="auto"/>
        <w:jc w:val="both"/>
        <w:rPr>
          <w:rFonts w:ascii="Times New Roman" w:hAnsi="Times New Roman" w:cs="Times New Roman"/>
          <w:sz w:val="24"/>
          <w:szCs w:val="24"/>
        </w:rPr>
      </w:pPr>
      <w:r w:rsidRPr="00C46E07">
        <w:rPr>
          <w:rFonts w:ascii="Times New Roman" w:hAnsi="Times New Roman" w:cs="Times New Roman"/>
          <w:sz w:val="24"/>
          <w:szCs w:val="24"/>
        </w:rPr>
        <w:fldChar w:fldCharType="end"/>
      </w:r>
    </w:p>
    <w:sectPr w:rsidR="00065E1F" w:rsidRPr="00B03FCF" w:rsidSect="00184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95CAB"/>
    <w:multiLevelType w:val="multilevel"/>
    <w:tmpl w:val="A5809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F76203"/>
    <w:multiLevelType w:val="multilevel"/>
    <w:tmpl w:val="A7F4E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192AD4"/>
    <w:multiLevelType w:val="hybridMultilevel"/>
    <w:tmpl w:val="5512F5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034B9"/>
    <w:multiLevelType w:val="multilevel"/>
    <w:tmpl w:val="D3BE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FA7AA3"/>
    <w:multiLevelType w:val="multilevel"/>
    <w:tmpl w:val="95C0615A"/>
    <w:lvl w:ilvl="0">
      <w:start w:val="1"/>
      <w:numFmt w:val="decimal"/>
      <w:lvlText w:val="%1."/>
      <w:lvlJc w:val="left"/>
      <w:pPr>
        <w:ind w:left="72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CF70483"/>
    <w:multiLevelType w:val="hybridMultilevel"/>
    <w:tmpl w:val="3CF85D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173F36"/>
    <w:multiLevelType w:val="multilevel"/>
    <w:tmpl w:val="4CBE8D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82A657D"/>
    <w:multiLevelType w:val="multilevel"/>
    <w:tmpl w:val="930824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5"/>
  </w:num>
  <w:num w:numId="4">
    <w:abstractNumId w:val="4"/>
  </w:num>
  <w:num w:numId="5">
    <w:abstractNumId w:val="6"/>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rdpe9ta9p0pzetxty52t0qsaw5w9dspwet&quot;&gt;My EndNote Library111&lt;record-ids&gt;&lt;item&gt;26266&lt;/item&gt;&lt;item&gt;26281&lt;/item&gt;&lt;item&gt;26285&lt;/item&gt;&lt;item&gt;26297&lt;/item&gt;&lt;item&gt;26315&lt;/item&gt;&lt;item&gt;26335&lt;/item&gt;&lt;item&gt;26339&lt;/item&gt;&lt;item&gt;26373&lt;/item&gt;&lt;item&gt;26419&lt;/item&gt;&lt;item&gt;26423&lt;/item&gt;&lt;item&gt;26426&lt;/item&gt;&lt;item&gt;26440&lt;/item&gt;&lt;item&gt;26444&lt;/item&gt;&lt;item&gt;26453&lt;/item&gt;&lt;item&gt;26468&lt;/item&gt;&lt;item&gt;26494&lt;/item&gt;&lt;/record-ids&gt;&lt;/item&gt;&lt;/Libraries&gt;"/>
  </w:docVars>
  <w:rsids>
    <w:rsidRoot w:val="009E1586"/>
    <w:rsid w:val="00012711"/>
    <w:rsid w:val="00042CA0"/>
    <w:rsid w:val="00065E1F"/>
    <w:rsid w:val="001847C8"/>
    <w:rsid w:val="002B6C4C"/>
    <w:rsid w:val="002C4809"/>
    <w:rsid w:val="00342631"/>
    <w:rsid w:val="0042609F"/>
    <w:rsid w:val="00830B6C"/>
    <w:rsid w:val="009E1586"/>
    <w:rsid w:val="009F2C11"/>
    <w:rsid w:val="00B03FCF"/>
    <w:rsid w:val="00B61EEC"/>
    <w:rsid w:val="00C46E07"/>
    <w:rsid w:val="00D02A87"/>
    <w:rsid w:val="00D63D02"/>
    <w:rsid w:val="00E750F5"/>
    <w:rsid w:val="00F70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89A6"/>
  <w15:docId w15:val="{C35D0ED7-D304-4F7D-A040-E50EE7236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7C8"/>
  </w:style>
  <w:style w:type="paragraph" w:styleId="Heading3">
    <w:name w:val="heading 3"/>
    <w:basedOn w:val="Normal"/>
    <w:link w:val="Heading3Char"/>
    <w:uiPriority w:val="9"/>
    <w:qFormat/>
    <w:rsid w:val="00B03F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D63D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15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158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rsid w:val="009E15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1586"/>
    <w:rPr>
      <w:b/>
      <w:bCs/>
    </w:rPr>
  </w:style>
  <w:style w:type="character" w:styleId="Emphasis">
    <w:name w:val="Emphasis"/>
    <w:basedOn w:val="DefaultParagraphFont"/>
    <w:uiPriority w:val="20"/>
    <w:qFormat/>
    <w:rsid w:val="009E1586"/>
    <w:rPr>
      <w:i/>
      <w:iCs/>
    </w:rPr>
  </w:style>
  <w:style w:type="paragraph" w:styleId="BalloonText">
    <w:name w:val="Balloon Text"/>
    <w:basedOn w:val="Normal"/>
    <w:link w:val="BalloonTextChar"/>
    <w:uiPriority w:val="99"/>
    <w:semiHidden/>
    <w:unhideWhenUsed/>
    <w:rsid w:val="002C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809"/>
    <w:rPr>
      <w:rFonts w:ascii="Tahoma" w:hAnsi="Tahoma" w:cs="Tahoma"/>
      <w:sz w:val="16"/>
      <w:szCs w:val="16"/>
    </w:rPr>
  </w:style>
  <w:style w:type="paragraph" w:styleId="ListParagraph">
    <w:name w:val="List Paragraph"/>
    <w:basedOn w:val="Normal"/>
    <w:uiPriority w:val="34"/>
    <w:qFormat/>
    <w:rsid w:val="00042CA0"/>
    <w:pPr>
      <w:ind w:left="720"/>
      <w:contextualSpacing/>
    </w:pPr>
  </w:style>
  <w:style w:type="character" w:customStyle="1" w:styleId="Heading3Char">
    <w:name w:val="Heading 3 Char"/>
    <w:basedOn w:val="DefaultParagraphFont"/>
    <w:link w:val="Heading3"/>
    <w:uiPriority w:val="9"/>
    <w:rsid w:val="00B03FC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63D02"/>
    <w:rPr>
      <w:rFonts w:asciiTheme="majorHAnsi" w:eastAsiaTheme="majorEastAsia" w:hAnsiTheme="majorHAnsi" w:cstheme="majorBidi"/>
      <w:b/>
      <w:bCs/>
      <w:i/>
      <w:iCs/>
      <w:color w:val="4F81BD" w:themeColor="accent1"/>
    </w:rPr>
  </w:style>
  <w:style w:type="paragraph" w:customStyle="1" w:styleId="EndNoteBibliographyTitle">
    <w:name w:val="EndNote Bibliography Title"/>
    <w:basedOn w:val="Normal"/>
    <w:link w:val="EndNoteBibliographyTitleChar"/>
    <w:rsid w:val="00342631"/>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342631"/>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342631"/>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342631"/>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342631"/>
    <w:rPr>
      <w:rFonts w:ascii="Calibri" w:eastAsia="Times New Roman" w:hAnsi="Calibri" w:cs="Calibri"/>
      <w:noProof/>
      <w:sz w:val="24"/>
      <w:szCs w:val="24"/>
    </w:rPr>
  </w:style>
  <w:style w:type="paragraph" w:styleId="Caption">
    <w:name w:val="caption"/>
    <w:basedOn w:val="Normal"/>
    <w:next w:val="Normal"/>
    <w:uiPriority w:val="35"/>
    <w:unhideWhenUsed/>
    <w:qFormat/>
    <w:rsid w:val="00D02A8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20290">
      <w:bodyDiv w:val="1"/>
      <w:marLeft w:val="0"/>
      <w:marRight w:val="0"/>
      <w:marTop w:val="0"/>
      <w:marBottom w:val="0"/>
      <w:divBdr>
        <w:top w:val="none" w:sz="0" w:space="0" w:color="auto"/>
        <w:left w:val="none" w:sz="0" w:space="0" w:color="auto"/>
        <w:bottom w:val="none" w:sz="0" w:space="0" w:color="auto"/>
        <w:right w:val="none" w:sz="0" w:space="0" w:color="auto"/>
      </w:divBdr>
    </w:div>
    <w:div w:id="343556481">
      <w:bodyDiv w:val="1"/>
      <w:marLeft w:val="0"/>
      <w:marRight w:val="0"/>
      <w:marTop w:val="0"/>
      <w:marBottom w:val="0"/>
      <w:divBdr>
        <w:top w:val="none" w:sz="0" w:space="0" w:color="auto"/>
        <w:left w:val="none" w:sz="0" w:space="0" w:color="auto"/>
        <w:bottom w:val="none" w:sz="0" w:space="0" w:color="auto"/>
        <w:right w:val="none" w:sz="0" w:space="0" w:color="auto"/>
      </w:divBdr>
    </w:div>
    <w:div w:id="458912880">
      <w:bodyDiv w:val="1"/>
      <w:marLeft w:val="0"/>
      <w:marRight w:val="0"/>
      <w:marTop w:val="0"/>
      <w:marBottom w:val="0"/>
      <w:divBdr>
        <w:top w:val="none" w:sz="0" w:space="0" w:color="auto"/>
        <w:left w:val="none" w:sz="0" w:space="0" w:color="auto"/>
        <w:bottom w:val="none" w:sz="0" w:space="0" w:color="auto"/>
        <w:right w:val="none" w:sz="0" w:space="0" w:color="auto"/>
      </w:divBdr>
    </w:div>
    <w:div w:id="487672834">
      <w:bodyDiv w:val="1"/>
      <w:marLeft w:val="0"/>
      <w:marRight w:val="0"/>
      <w:marTop w:val="0"/>
      <w:marBottom w:val="0"/>
      <w:divBdr>
        <w:top w:val="none" w:sz="0" w:space="0" w:color="auto"/>
        <w:left w:val="none" w:sz="0" w:space="0" w:color="auto"/>
        <w:bottom w:val="none" w:sz="0" w:space="0" w:color="auto"/>
        <w:right w:val="none" w:sz="0" w:space="0" w:color="auto"/>
      </w:divBdr>
    </w:div>
    <w:div w:id="578487845">
      <w:bodyDiv w:val="1"/>
      <w:marLeft w:val="0"/>
      <w:marRight w:val="0"/>
      <w:marTop w:val="0"/>
      <w:marBottom w:val="0"/>
      <w:divBdr>
        <w:top w:val="none" w:sz="0" w:space="0" w:color="auto"/>
        <w:left w:val="none" w:sz="0" w:space="0" w:color="auto"/>
        <w:bottom w:val="none" w:sz="0" w:space="0" w:color="auto"/>
        <w:right w:val="none" w:sz="0" w:space="0" w:color="auto"/>
      </w:divBdr>
    </w:div>
    <w:div w:id="798306906">
      <w:bodyDiv w:val="1"/>
      <w:marLeft w:val="0"/>
      <w:marRight w:val="0"/>
      <w:marTop w:val="0"/>
      <w:marBottom w:val="0"/>
      <w:divBdr>
        <w:top w:val="none" w:sz="0" w:space="0" w:color="auto"/>
        <w:left w:val="none" w:sz="0" w:space="0" w:color="auto"/>
        <w:bottom w:val="none" w:sz="0" w:space="0" w:color="auto"/>
        <w:right w:val="none" w:sz="0" w:space="0" w:color="auto"/>
      </w:divBdr>
    </w:div>
    <w:div w:id="931666402">
      <w:bodyDiv w:val="1"/>
      <w:marLeft w:val="0"/>
      <w:marRight w:val="0"/>
      <w:marTop w:val="0"/>
      <w:marBottom w:val="0"/>
      <w:divBdr>
        <w:top w:val="none" w:sz="0" w:space="0" w:color="auto"/>
        <w:left w:val="none" w:sz="0" w:space="0" w:color="auto"/>
        <w:bottom w:val="none" w:sz="0" w:space="0" w:color="auto"/>
        <w:right w:val="none" w:sz="0" w:space="0" w:color="auto"/>
      </w:divBdr>
    </w:div>
    <w:div w:id="1218857180">
      <w:bodyDiv w:val="1"/>
      <w:marLeft w:val="0"/>
      <w:marRight w:val="0"/>
      <w:marTop w:val="0"/>
      <w:marBottom w:val="0"/>
      <w:divBdr>
        <w:top w:val="none" w:sz="0" w:space="0" w:color="auto"/>
        <w:left w:val="none" w:sz="0" w:space="0" w:color="auto"/>
        <w:bottom w:val="none" w:sz="0" w:space="0" w:color="auto"/>
        <w:right w:val="none" w:sz="0" w:space="0" w:color="auto"/>
      </w:divBdr>
    </w:div>
    <w:div w:id="1235120544">
      <w:bodyDiv w:val="1"/>
      <w:marLeft w:val="0"/>
      <w:marRight w:val="0"/>
      <w:marTop w:val="0"/>
      <w:marBottom w:val="0"/>
      <w:divBdr>
        <w:top w:val="none" w:sz="0" w:space="0" w:color="auto"/>
        <w:left w:val="none" w:sz="0" w:space="0" w:color="auto"/>
        <w:bottom w:val="none" w:sz="0" w:space="0" w:color="auto"/>
        <w:right w:val="none" w:sz="0" w:space="0" w:color="auto"/>
      </w:divBdr>
    </w:div>
    <w:div w:id="1306663175">
      <w:bodyDiv w:val="1"/>
      <w:marLeft w:val="0"/>
      <w:marRight w:val="0"/>
      <w:marTop w:val="0"/>
      <w:marBottom w:val="0"/>
      <w:divBdr>
        <w:top w:val="none" w:sz="0" w:space="0" w:color="auto"/>
        <w:left w:val="none" w:sz="0" w:space="0" w:color="auto"/>
        <w:bottom w:val="none" w:sz="0" w:space="0" w:color="auto"/>
        <w:right w:val="none" w:sz="0" w:space="0" w:color="auto"/>
      </w:divBdr>
    </w:div>
    <w:div w:id="1331836245">
      <w:bodyDiv w:val="1"/>
      <w:marLeft w:val="0"/>
      <w:marRight w:val="0"/>
      <w:marTop w:val="0"/>
      <w:marBottom w:val="0"/>
      <w:divBdr>
        <w:top w:val="none" w:sz="0" w:space="0" w:color="auto"/>
        <w:left w:val="none" w:sz="0" w:space="0" w:color="auto"/>
        <w:bottom w:val="none" w:sz="0" w:space="0" w:color="auto"/>
        <w:right w:val="none" w:sz="0" w:space="0" w:color="auto"/>
      </w:divBdr>
    </w:div>
    <w:div w:id="1567687064">
      <w:bodyDiv w:val="1"/>
      <w:marLeft w:val="0"/>
      <w:marRight w:val="0"/>
      <w:marTop w:val="0"/>
      <w:marBottom w:val="0"/>
      <w:divBdr>
        <w:top w:val="none" w:sz="0" w:space="0" w:color="auto"/>
        <w:left w:val="none" w:sz="0" w:space="0" w:color="auto"/>
        <w:bottom w:val="none" w:sz="0" w:space="0" w:color="auto"/>
        <w:right w:val="none" w:sz="0" w:space="0" w:color="auto"/>
      </w:divBdr>
    </w:div>
    <w:div w:id="1817526896">
      <w:bodyDiv w:val="1"/>
      <w:marLeft w:val="0"/>
      <w:marRight w:val="0"/>
      <w:marTop w:val="0"/>
      <w:marBottom w:val="0"/>
      <w:divBdr>
        <w:top w:val="none" w:sz="0" w:space="0" w:color="auto"/>
        <w:left w:val="none" w:sz="0" w:space="0" w:color="auto"/>
        <w:bottom w:val="none" w:sz="0" w:space="0" w:color="auto"/>
        <w:right w:val="none" w:sz="0" w:space="0" w:color="auto"/>
      </w:divBdr>
    </w:div>
    <w:div w:id="1865363102">
      <w:bodyDiv w:val="1"/>
      <w:marLeft w:val="0"/>
      <w:marRight w:val="0"/>
      <w:marTop w:val="0"/>
      <w:marBottom w:val="0"/>
      <w:divBdr>
        <w:top w:val="none" w:sz="0" w:space="0" w:color="auto"/>
        <w:left w:val="none" w:sz="0" w:space="0" w:color="auto"/>
        <w:bottom w:val="none" w:sz="0" w:space="0" w:color="auto"/>
        <w:right w:val="none" w:sz="0" w:space="0" w:color="auto"/>
      </w:divBdr>
    </w:div>
    <w:div w:id="2007710728">
      <w:bodyDiv w:val="1"/>
      <w:marLeft w:val="0"/>
      <w:marRight w:val="0"/>
      <w:marTop w:val="0"/>
      <w:marBottom w:val="0"/>
      <w:divBdr>
        <w:top w:val="none" w:sz="0" w:space="0" w:color="auto"/>
        <w:left w:val="none" w:sz="0" w:space="0" w:color="auto"/>
        <w:bottom w:val="none" w:sz="0" w:space="0" w:color="auto"/>
        <w:right w:val="none" w:sz="0" w:space="0" w:color="auto"/>
      </w:divBdr>
    </w:div>
    <w:div w:id="2051219595">
      <w:bodyDiv w:val="1"/>
      <w:marLeft w:val="0"/>
      <w:marRight w:val="0"/>
      <w:marTop w:val="0"/>
      <w:marBottom w:val="0"/>
      <w:divBdr>
        <w:top w:val="none" w:sz="0" w:space="0" w:color="auto"/>
        <w:left w:val="none" w:sz="0" w:space="0" w:color="auto"/>
        <w:bottom w:val="none" w:sz="0" w:space="0" w:color="auto"/>
        <w:right w:val="none" w:sz="0" w:space="0" w:color="auto"/>
      </w:divBdr>
    </w:div>
    <w:div w:id="212037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37</Pages>
  <Words>8296</Words>
  <Characters>47292</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6</cp:revision>
  <dcterms:created xsi:type="dcterms:W3CDTF">2025-10-13T16:49:00Z</dcterms:created>
  <dcterms:modified xsi:type="dcterms:W3CDTF">2025-10-17T08:49:00Z</dcterms:modified>
</cp:coreProperties>
</file>