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E040A" w14:textId="2B328535" w:rsidR="00E50FE0" w:rsidRDefault="00D231AB" w:rsidP="00E50FE0">
      <w:pPr>
        <w:jc w:val="center"/>
        <w:rPr>
          <w:rFonts w:ascii="Times New Roman" w:eastAsia="Times New Roman" w:hAnsi="Times New Roman" w:cs="Times New Roman"/>
          <w:b/>
          <w:color w:val="000000"/>
          <w:sz w:val="24"/>
          <w:szCs w:val="24"/>
        </w:rPr>
      </w:pPr>
      <w:r w:rsidRPr="00D231AB">
        <w:rPr>
          <w:rFonts w:ascii="Times New Roman" w:eastAsia="Times New Roman" w:hAnsi="Times New Roman" w:cs="Times New Roman"/>
          <w:b/>
          <w:color w:val="000000"/>
          <w:sz w:val="24"/>
          <w:szCs w:val="24"/>
        </w:rPr>
        <w:t>Machine Learning for Early Disease Outbreak Detection in the United States: An Integrative Systematic Review of Multisource Data Integration</w:t>
      </w:r>
    </w:p>
    <w:p w14:paraId="75EFD035" w14:textId="77777777" w:rsidR="00885349" w:rsidRDefault="00885349" w:rsidP="00885349">
      <w:pPr>
        <w:jc w:val="right"/>
        <w:rPr>
          <w:rFonts w:ascii="Times New Roman" w:eastAsia="Times New Roman" w:hAnsi="Times New Roman" w:cs="Times New Roman"/>
        </w:rPr>
      </w:pPr>
    </w:p>
    <w:p w14:paraId="46D3C268"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Abstract</w:t>
      </w:r>
    </w:p>
    <w:p w14:paraId="382F5DC5" w14:textId="56B512B0" w:rsidR="008E0D91"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Early detection of outbreaks is predicated on rapid response, yet this process is hindered by delayed and fragmented surveillance. The objective of this study is to evaluate the landscape, performance, and implementation readiness of machine-learning (ML) models for early outbreak detection in U.S. public health systems. An integrative systematic review was conducted in accordance with the PRISMA 2020 guidelines, encompassing a comprehensive search of major bibliographic and grey literature sources from 2015 to the present. </w:t>
      </w:r>
      <w:r w:rsidR="00F06B99">
        <w:rPr>
          <w:rFonts w:ascii="Times New Roman" w:eastAsia="Times New Roman" w:hAnsi="Times New Roman" w:cs="Times New Roman"/>
        </w:rPr>
        <w:t xml:space="preserve">A total of 18 studies satisfied </w:t>
      </w:r>
      <w:r>
        <w:rPr>
          <w:rFonts w:ascii="Times New Roman" w:eastAsia="Times New Roman" w:hAnsi="Times New Roman" w:cs="Times New Roman"/>
        </w:rPr>
        <w:t>the inclusion criteria</w:t>
      </w:r>
      <w:r w:rsidR="00F06B99">
        <w:rPr>
          <w:rFonts w:ascii="Times New Roman" w:eastAsia="Times New Roman" w:hAnsi="Times New Roman" w:cs="Times New Roman"/>
        </w:rPr>
        <w:t>,</w:t>
      </w:r>
      <w:r>
        <w:rPr>
          <w:rFonts w:ascii="Times New Roman" w:eastAsia="Times New Roman" w:hAnsi="Times New Roman" w:cs="Times New Roman"/>
        </w:rPr>
        <w:t xml:space="preserve"> </w:t>
      </w:r>
      <w:r w:rsidR="00F06B99">
        <w:rPr>
          <w:rFonts w:ascii="Times New Roman" w:eastAsia="Times New Roman" w:hAnsi="Times New Roman" w:cs="Times New Roman"/>
        </w:rPr>
        <w:t>incorporating</w:t>
      </w:r>
      <w:r>
        <w:rPr>
          <w:rFonts w:ascii="Times New Roman" w:eastAsia="Times New Roman" w:hAnsi="Times New Roman" w:cs="Times New Roman"/>
        </w:rPr>
        <w:t xml:space="preserve"> machine learning (ML) algorithms to detect potential syndromes, employ nowcasting with detection relevance, or identify variant emergence. </w:t>
      </w:r>
      <w:r w:rsidR="00052B85" w:rsidRPr="00052B85">
        <w:rPr>
          <w:rFonts w:ascii="Times New Roman" w:eastAsia="Times New Roman" w:hAnsi="Times New Roman" w:cs="Times New Roman"/>
          <w:color w:val="002060"/>
        </w:rPr>
        <w:t>Studies reported detection metric families, including sensitivity/recall, specificity, positive predictive value (PPV)/false-alarm rate, and timeliness (lead-time in days), alongside accuracy proxies for nowcasting. Data sources spanned EHR, ED free-text, web search/social media, mobility, IoT thermometry &amp; wearables, wastewater, and genomic sequences. Current evidence supports high potential for earlier situational awareness. Public health use hinges on standardized prospective validation, clear governance for alert thresholds, and sustained model-monitoring (</w:t>
      </w:r>
      <w:proofErr w:type="spellStart"/>
      <w:r w:rsidR="00052B85" w:rsidRPr="00052B85">
        <w:rPr>
          <w:rFonts w:ascii="Times New Roman" w:eastAsia="Times New Roman" w:hAnsi="Times New Roman" w:cs="Times New Roman"/>
          <w:color w:val="002060"/>
        </w:rPr>
        <w:t>MLOps</w:t>
      </w:r>
      <w:proofErr w:type="spellEnd"/>
      <w:r w:rsidR="00052B85" w:rsidRPr="00052B85">
        <w:rPr>
          <w:rFonts w:ascii="Times New Roman" w:eastAsia="Times New Roman" w:hAnsi="Times New Roman" w:cs="Times New Roman"/>
          <w:color w:val="002060"/>
        </w:rPr>
        <w:t>). We also outline stakeholder-specific actions to guide procurement and deployment.</w:t>
      </w:r>
    </w:p>
    <w:p w14:paraId="005442E6" w14:textId="77777777" w:rsidR="00BA4AF1" w:rsidRDefault="00EB64D7">
      <w:pPr>
        <w:numPr>
          <w:ilvl w:val="0"/>
          <w:numId w:val="1"/>
        </w:numPr>
        <w:pBdr>
          <w:top w:val="nil"/>
          <w:left w:val="nil"/>
          <w:bottom w:val="nil"/>
          <w:right w:val="nil"/>
          <w:between w:val="nil"/>
        </w:pBdr>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Introduction</w:t>
      </w:r>
    </w:p>
    <w:p w14:paraId="3B9721BC"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1.1 Problem and Context</w:t>
      </w:r>
    </w:p>
    <w:p w14:paraId="2FF5FB45" w14:textId="341E458F" w:rsidR="00BA4AF1"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The ability to swiftly identify threats posed by infectious diseases is of paramount importance in the efforts to disrupt transmission chains and mitigate the associated morbidity (Hellewell et al., 2020). </w:t>
      </w:r>
      <w:r w:rsidR="0059341B">
        <w:rPr>
          <w:rFonts w:ascii="Times New Roman" w:eastAsia="Times New Roman" w:hAnsi="Times New Roman" w:cs="Times New Roman"/>
        </w:rPr>
        <w:t>Modelling</w:t>
      </w:r>
      <w:r>
        <w:rPr>
          <w:rFonts w:ascii="Times New Roman" w:eastAsia="Times New Roman" w:hAnsi="Times New Roman" w:cs="Times New Roman"/>
        </w:rPr>
        <w:t xml:space="preserve"> demonstrates that delays of even a few days can cause outbreaks to become unmanageable, </w:t>
      </w:r>
      <w:proofErr w:type="spellStart"/>
      <w:r w:rsidR="0059341B">
        <w:rPr>
          <w:rFonts w:ascii="Times New Roman" w:eastAsia="Times New Roman" w:hAnsi="Times New Roman" w:cs="Times New Roman"/>
        </w:rPr>
        <w:t>emphasising</w:t>
      </w:r>
      <w:proofErr w:type="spellEnd"/>
      <w:r>
        <w:rPr>
          <w:rFonts w:ascii="Times New Roman" w:eastAsia="Times New Roman" w:hAnsi="Times New Roman" w:cs="Times New Roman"/>
        </w:rPr>
        <w:t xml:space="preserve"> the importance of rapid signal acquisition and prompt public health responses (Kucharski et al., 2020). Screening measures implemented at points of entry have been shown to possess limited sensitivity, failing to detect a significant proportion of infectious </w:t>
      </w:r>
      <w:proofErr w:type="spellStart"/>
      <w:r w:rsidR="0059341B">
        <w:rPr>
          <w:rFonts w:ascii="Times New Roman" w:eastAsia="Times New Roman" w:hAnsi="Times New Roman" w:cs="Times New Roman"/>
        </w:rPr>
        <w:t>travellers</w:t>
      </w:r>
      <w:proofErr w:type="spellEnd"/>
      <w:r>
        <w:rPr>
          <w:rFonts w:ascii="Times New Roman" w:eastAsia="Times New Roman" w:hAnsi="Times New Roman" w:cs="Times New Roman"/>
        </w:rPr>
        <w:t>. This underscores the necessity for enhanced surveillance mechanisms capable of identifying silent transmission before the establishment of clinical confirmation (</w:t>
      </w:r>
      <w:proofErr w:type="spellStart"/>
      <w:r>
        <w:rPr>
          <w:rFonts w:ascii="Times New Roman" w:eastAsia="Times New Roman" w:hAnsi="Times New Roman" w:cs="Times New Roman"/>
        </w:rPr>
        <w:t>Gostic</w:t>
      </w:r>
      <w:proofErr w:type="spellEnd"/>
      <w:r>
        <w:rPr>
          <w:rFonts w:ascii="Times New Roman" w:eastAsia="Times New Roman" w:hAnsi="Times New Roman" w:cs="Times New Roman"/>
        </w:rPr>
        <w:t xml:space="preserve"> et al., 2020). Forecasting consortia have demonstrated that even meticulously calibrated models exhibit degradation when confronted with sparse or delayed incoming data. This observation has led to the development of pipelines that </w:t>
      </w:r>
      <w:proofErr w:type="spellStart"/>
      <w:r w:rsidR="0059341B">
        <w:rPr>
          <w:rFonts w:ascii="Times New Roman" w:eastAsia="Times New Roman" w:hAnsi="Times New Roman" w:cs="Times New Roman"/>
        </w:rPr>
        <w:t>prioritise</w:t>
      </w:r>
      <w:proofErr w:type="spellEnd"/>
      <w:r>
        <w:rPr>
          <w:rFonts w:ascii="Times New Roman" w:eastAsia="Times New Roman" w:hAnsi="Times New Roman" w:cs="Times New Roman"/>
        </w:rPr>
        <w:t xml:space="preserve"> the timeliness, comparability, and reproducibility of inputs (Reich et al., 2019).</w:t>
      </w:r>
    </w:p>
    <w:p w14:paraId="0AB5635B"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Concurrently, surveillance is undergoing a digital transformation, with the emergence of novel data streams supplementing conventional reporting methods (</w:t>
      </w:r>
      <w:proofErr w:type="spellStart"/>
      <w:r>
        <w:rPr>
          <w:rFonts w:ascii="Times New Roman" w:eastAsia="Times New Roman" w:hAnsi="Times New Roman" w:cs="Times New Roman"/>
        </w:rPr>
        <w:t>Salathé</w:t>
      </w:r>
      <w:proofErr w:type="spellEnd"/>
      <w:r>
        <w:rPr>
          <w:rFonts w:ascii="Times New Roman" w:eastAsia="Times New Roman" w:hAnsi="Times New Roman" w:cs="Times New Roman"/>
        </w:rPr>
        <w:t xml:space="preserve">, 2018). A review of the extant literature on social media and internet-based surveillance documents the opportunities and pitfalls inherent to such practices, including sampling biases, governance constraints, and noise management (Aiello et al., 2020). Real-time cloud EHR feeds demonstrate the potential for clinical encounters to support state-level influenza estimation, contingent upon the resolution of latency and standardization issues (Santillana et al., 2016). Wastewater-based surveillance offers an alternative, community-wide perspective on the circulation and emergence of pathogens, thereby complementing case reports and clinical genomics (Parkins et al., 2024). </w:t>
      </w:r>
      <w:r>
        <w:rPr>
          <w:rFonts w:ascii="Times New Roman" w:eastAsia="Times New Roman" w:hAnsi="Times New Roman" w:cs="Times New Roman"/>
        </w:rPr>
        <w:lastRenderedPageBreak/>
        <w:t>The integration of wearable devices into daily life introduces a level of physiological data that, when aggregated, can offer early indications of influenza-like illnesses. However, this approach is not without its limitations, particularly with respect to representativeness considerations (Radin et al., 2020).</w:t>
      </w:r>
    </w:p>
    <w:p w14:paraId="6BB15300" w14:textId="3600802E" w:rsidR="00BA4AF1"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In this evolving landscape, machine learning offers integrative methods that fuse heterogeneous signals, extract weak patterns, and produce actionable early warnings (Kogan et al., 2021). Multimodal systems that integrate mobility, search </w:t>
      </w:r>
      <w:proofErr w:type="spellStart"/>
      <w:r w:rsidR="004F6EFA">
        <w:rPr>
          <w:rFonts w:ascii="Times New Roman" w:eastAsia="Times New Roman" w:hAnsi="Times New Roman" w:cs="Times New Roman"/>
        </w:rPr>
        <w:t>behaviour</w:t>
      </w:r>
      <w:proofErr w:type="spellEnd"/>
      <w:r>
        <w:rPr>
          <w:rFonts w:ascii="Times New Roman" w:eastAsia="Times New Roman" w:hAnsi="Times New Roman" w:cs="Times New Roman"/>
        </w:rPr>
        <w:t xml:space="preserve">, clinician queries, and social media have yielded jurisdiction-level lead times for epidemic surges, underscoring the complementarity across data sources (Kogan et al., 2021). The </w:t>
      </w:r>
      <w:proofErr w:type="spellStart"/>
      <w:r w:rsidR="004F6EFA">
        <w:rPr>
          <w:rFonts w:ascii="Times New Roman" w:eastAsia="Times New Roman" w:hAnsi="Times New Roman" w:cs="Times New Roman"/>
        </w:rPr>
        <w:t>utilisation</w:t>
      </w:r>
      <w:proofErr w:type="spellEnd"/>
      <w:r>
        <w:rPr>
          <w:rFonts w:ascii="Times New Roman" w:eastAsia="Times New Roman" w:hAnsi="Times New Roman" w:cs="Times New Roman"/>
        </w:rPr>
        <w:t xml:space="preserve"> of shared, </w:t>
      </w:r>
      <w:proofErr w:type="spellStart"/>
      <w:r w:rsidR="004F6EFA">
        <w:rPr>
          <w:rFonts w:ascii="Times New Roman" w:eastAsia="Times New Roman" w:hAnsi="Times New Roman" w:cs="Times New Roman"/>
        </w:rPr>
        <w:t>standardised</w:t>
      </w:r>
      <w:proofErr w:type="spellEnd"/>
      <w:r>
        <w:rPr>
          <w:rFonts w:ascii="Times New Roman" w:eastAsia="Times New Roman" w:hAnsi="Times New Roman" w:cs="Times New Roman"/>
        </w:rPr>
        <w:t xml:space="preserve"> datasets and evaluation platforms fosters transparent benchmarking, thereby mitigating analytic variability across teams and seasons. This, in turn, enhances external validity (Cramer et al., 2022). In the context of genomic surveillance, real-time phylogenetic placement has been demonstrated to expedite lineage assignment on a large scale, thereby transforming sequencing outputs into timely intelligence that is crucial for effective incident management and containment (</w:t>
      </w:r>
      <w:proofErr w:type="spellStart"/>
      <w:r>
        <w:rPr>
          <w:rFonts w:ascii="Times New Roman" w:eastAsia="Times New Roman" w:hAnsi="Times New Roman" w:cs="Times New Roman"/>
        </w:rPr>
        <w:t>Turakhia</w:t>
      </w:r>
      <w:proofErr w:type="spellEnd"/>
      <w:r>
        <w:rPr>
          <w:rFonts w:ascii="Times New Roman" w:eastAsia="Times New Roman" w:hAnsi="Times New Roman" w:cs="Times New Roman"/>
        </w:rPr>
        <w:t xml:space="preserve"> et al., 2021). Consequently, these advances have prompted the review's emphasis on the model–data design space, performance and timeliness, and implementation readiness within the U.S. public health system. In this context, operational constraints and equity considerations influence the definition of reliable, trusted early detection (Reich et al., 2019).</w:t>
      </w:r>
    </w:p>
    <w:p w14:paraId="17033A19" w14:textId="22AB308B" w:rsidR="004F6EFA" w:rsidRPr="004F6EFA" w:rsidRDefault="004F6EFA">
      <w:pPr>
        <w:jc w:val="both"/>
        <w:rPr>
          <w:rFonts w:ascii="Times New Roman" w:eastAsia="Times New Roman" w:hAnsi="Times New Roman" w:cs="Times New Roman"/>
          <w:color w:val="002060"/>
        </w:rPr>
      </w:pPr>
      <w:r w:rsidRPr="004F6EFA">
        <w:rPr>
          <w:rFonts w:ascii="Times New Roman" w:eastAsia="Times New Roman" w:hAnsi="Times New Roman" w:cs="Times New Roman"/>
          <w:color w:val="002060"/>
        </w:rPr>
        <w:t>A recent example of this development is the use of a stacked bidirectional LSTM (FIGI-Net) to generate county-level forecasts of the novel strain of coronaviruses up to two weeks in advance in the United States. This model has demonstrated its efficacy by outperforming established baselines and showcasing the advanced state of deep learning algorithms in the field of epidemic forecasting (Song et al., 2025).</w:t>
      </w:r>
    </w:p>
    <w:p w14:paraId="0CCA2901"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1.2 Definitions &amp; scope boundaries</w:t>
      </w:r>
    </w:p>
    <w:p w14:paraId="4293C489"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The term "early outbreak detection" is defined as the identification of aberrant transmission events occurring in close temporal proximity to their onset, to provide immediate control measures. This concept is distinct from the practice of "nowcasting," which involves the estimation of the current state in the context of reporting delays, and from the practice of "forecasting," which involves the prediction of future trajectories (Wu, 2021). As Lutz (2019) explains, forecasting frameworks are instrumental in the formalization of targets, including peak timing, peak magnitude, and short-horizon incidence, thereby providing a framework for effective decision-making. </w:t>
      </w:r>
    </w:p>
    <w:p w14:paraId="39E785F3"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Probabilistic forecasting places significant emphasis on calibrated predictive distributions and proper scoring rules, thereby providing a clear framework for communicating uncertainty to responders (Johansson 2019). For operational evaluation, surveillance literature consistently defines sensitivity as the proportion of true outbreaks that are identified, specificity as the proportion of non-outbreak periods that are correctly ignored, and positive predictive value as the proportion of true alerts. Timeliness captures the lead or delay between the signal and the onset (</w:t>
      </w:r>
      <w:proofErr w:type="spellStart"/>
      <w:r>
        <w:rPr>
          <w:rFonts w:ascii="Times New Roman" w:eastAsia="Times New Roman" w:hAnsi="Times New Roman" w:cs="Times New Roman"/>
        </w:rPr>
        <w:t>Morbey</w:t>
      </w:r>
      <w:proofErr w:type="spellEnd"/>
      <w:r>
        <w:rPr>
          <w:rFonts w:ascii="Times New Roman" w:eastAsia="Times New Roman" w:hAnsi="Times New Roman" w:cs="Times New Roman"/>
        </w:rPr>
        <w:t xml:space="preserve"> 2021). </w:t>
      </w:r>
    </w:p>
    <w:p w14:paraId="020A8E60"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A review of syndromic systems reveals the prioritization of these metrics when comparing detection algorithms and alerting thresholds in routine practice (Yeng 2020). Emergency department syndromic programs exemplify boundaries, prioritizing rapid signals yet often sacrificing specificity in exchange for expediency due to data latency (Hughes, 2020).</w:t>
      </w:r>
    </w:p>
    <w:p w14:paraId="6569E31A" w14:textId="77777777" w:rsidR="00916084" w:rsidRDefault="00916084">
      <w:pPr>
        <w:jc w:val="both"/>
        <w:rPr>
          <w:rFonts w:ascii="Times New Roman" w:eastAsia="Times New Roman" w:hAnsi="Times New Roman" w:cs="Times New Roman"/>
          <w:b/>
        </w:rPr>
      </w:pPr>
    </w:p>
    <w:p w14:paraId="52DB8D45" w14:textId="71AF1948"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lastRenderedPageBreak/>
        <w:t>1.3 Scope of Review</w:t>
      </w:r>
    </w:p>
    <w:p w14:paraId="4BC779F1"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This review examines the machine-learning approaches employed for the purpose of early disease outbreak detection within the United States public health system. The proposed framework will encompass a range of models, including supervised, unsupervised, and hybrid approaches, across diverse surveillance settings. It will also facilitate the integration of disparate data streams, such as electronic health records (EHRs), laboratory data, mobility patterns, social media content, genomic information, wastewater analysis, and Internet of Things (IoT) sensor data. A comparative synthesis of studies reporting sensitivity, specificity, timeliness, and false-alarm rates will be conducted. A critical appraisal of real-world deployment evidence will be conducted, with particular attention to governance, interoperability, bias, privacy, workforce, and cost. This appraisal will also take into account equity and jurisdictional heterogeneity. The review underscores the necessity for actionable implications for the modernization of surveillance, procurement, and regulation. It identifies gaps that necessitate advances in methodology, data, and policy to enhance reliability and trust.</w:t>
      </w:r>
    </w:p>
    <w:p w14:paraId="3E9DDF47"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1.4</w:t>
      </w:r>
      <w:r>
        <w:rPr>
          <w:rFonts w:ascii="Times New Roman" w:eastAsia="Times New Roman" w:hAnsi="Times New Roman" w:cs="Times New Roman"/>
        </w:rPr>
        <w:t xml:space="preserve"> </w:t>
      </w:r>
      <w:r>
        <w:rPr>
          <w:rFonts w:ascii="Times New Roman" w:eastAsia="Times New Roman" w:hAnsi="Times New Roman" w:cs="Times New Roman"/>
          <w:b/>
        </w:rPr>
        <w:t>Aim and Specific Objectives</w:t>
      </w:r>
    </w:p>
    <w:p w14:paraId="498B80A2"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rPr>
        <w:t>This research aims to evaluate the landscape, performance, and implementation readiness of machine-learning models for early outbreak detection in the U.S. public health system, and to derive practice- and policy-relevant guidance for responsible integration.</w:t>
      </w:r>
    </w:p>
    <w:p w14:paraId="07D29887"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Specific Objectives</w:t>
      </w:r>
    </w:p>
    <w:p w14:paraId="35322612" w14:textId="77777777" w:rsidR="00BA4AF1" w:rsidRDefault="00EB64D7">
      <w:pPr>
        <w:numPr>
          <w:ilvl w:val="0"/>
          <w:numId w:val="2"/>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Systematically identify and classify ML models (learning paradigm, architecture, task) and their outbreak contexts, and characterize integrated data sources and fusion strategies used in U.S. surveillance.</w:t>
      </w:r>
    </w:p>
    <w:p w14:paraId="5FEB4EC3" w14:textId="26D8BC4F" w:rsidR="00BA4AF1" w:rsidRDefault="00EB64D7">
      <w:pPr>
        <w:numPr>
          <w:ilvl w:val="0"/>
          <w:numId w:val="2"/>
        </w:numPr>
        <w:jc w:val="both"/>
        <w:rPr>
          <w:rFonts w:ascii="Times New Roman" w:eastAsia="Times New Roman" w:hAnsi="Times New Roman" w:cs="Times New Roman"/>
        </w:rPr>
      </w:pPr>
      <w:r>
        <w:rPr>
          <w:rFonts w:ascii="Times New Roman" w:eastAsia="Times New Roman" w:hAnsi="Times New Roman" w:cs="Times New Roman"/>
        </w:rPr>
        <w:t xml:space="preserve">Extract and compare reported performance (sensitivity, specificity, timeliness, false-alarm/PPV) using </w:t>
      </w:r>
      <w:proofErr w:type="spellStart"/>
      <w:r w:rsidR="007A7540">
        <w:rPr>
          <w:rFonts w:ascii="Times New Roman" w:eastAsia="Times New Roman" w:hAnsi="Times New Roman" w:cs="Times New Roman"/>
        </w:rPr>
        <w:t>standardised</w:t>
      </w:r>
      <w:proofErr w:type="spellEnd"/>
      <w:r>
        <w:rPr>
          <w:rFonts w:ascii="Times New Roman" w:eastAsia="Times New Roman" w:hAnsi="Times New Roman" w:cs="Times New Roman"/>
        </w:rPr>
        <w:t xml:space="preserve"> definitions; where feasible, </w:t>
      </w:r>
      <w:proofErr w:type="spellStart"/>
      <w:r w:rsidR="007A7540">
        <w:rPr>
          <w:rFonts w:ascii="Times New Roman" w:eastAsia="Times New Roman" w:hAnsi="Times New Roman" w:cs="Times New Roman"/>
        </w:rPr>
        <w:t>synthesise</w:t>
      </w:r>
      <w:proofErr w:type="spellEnd"/>
      <w:r>
        <w:rPr>
          <w:rFonts w:ascii="Times New Roman" w:eastAsia="Times New Roman" w:hAnsi="Times New Roman" w:cs="Times New Roman"/>
        </w:rPr>
        <w:t xml:space="preserve"> results to examine differences across model families and data combinations.</w:t>
      </w:r>
    </w:p>
    <w:p w14:paraId="613980F4" w14:textId="77777777" w:rsidR="00BA4AF1" w:rsidRDefault="00EB64D7">
      <w:pPr>
        <w:numPr>
          <w:ilvl w:val="0"/>
          <w:numId w:val="2"/>
        </w:numPr>
        <w:jc w:val="both"/>
        <w:rPr>
          <w:rFonts w:ascii="Times New Roman" w:eastAsia="Times New Roman" w:hAnsi="Times New Roman" w:cs="Times New Roman"/>
        </w:rPr>
      </w:pPr>
      <w:r>
        <w:rPr>
          <w:rFonts w:ascii="Times New Roman" w:eastAsia="Times New Roman" w:hAnsi="Times New Roman" w:cs="Times New Roman"/>
        </w:rPr>
        <w:t>Critically appraise real-world deployment evidence—data quality, bias/fairness, interpretability, interoperability/standards, privacy/security, workforce capacity, and costs—and formulate policy recommendations and a targeted research agenda.</w:t>
      </w:r>
    </w:p>
    <w:p w14:paraId="761502FA"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2.0 Methodology</w:t>
      </w:r>
    </w:p>
    <w:p w14:paraId="1F203811"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2.1 Review design</w:t>
      </w:r>
    </w:p>
    <w:p w14:paraId="5567D2D6" w14:textId="7F76E00E" w:rsidR="00FA5DD0"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An integrative systematic review was conducted and reported according to PRISMA 2020. The review </w:t>
      </w:r>
      <w:proofErr w:type="spellStart"/>
      <w:r w:rsidR="007B7DCD">
        <w:rPr>
          <w:rFonts w:ascii="Times New Roman" w:eastAsia="Times New Roman" w:hAnsi="Times New Roman" w:cs="Times New Roman"/>
        </w:rPr>
        <w:t>synthesises</w:t>
      </w:r>
      <w:proofErr w:type="spellEnd"/>
      <w:r>
        <w:rPr>
          <w:rFonts w:ascii="Times New Roman" w:eastAsia="Times New Roman" w:hAnsi="Times New Roman" w:cs="Times New Roman"/>
        </w:rPr>
        <w:t xml:space="preserve"> quantitative, qualitative, and mixed-methods evidence on machine-learning (ML) models for early disease outbreak detection in the U.S. public health system. The term "early detection" is defined as algorithms that generate pre-diagnostic or contemporaneous alerts of abnormal transmission or event onset. This is distinct from purely forward forecasting without a detection objective. We employed narrative synthesis for all eligible studies</w:t>
      </w:r>
      <w:r w:rsidR="007A7540">
        <w:rPr>
          <w:rFonts w:ascii="Times New Roman" w:eastAsia="Times New Roman" w:hAnsi="Times New Roman" w:cs="Times New Roman"/>
        </w:rPr>
        <w:t>,</w:t>
      </w:r>
      <w:r>
        <w:rPr>
          <w:rFonts w:ascii="Times New Roman" w:eastAsia="Times New Roman" w:hAnsi="Times New Roman" w:cs="Times New Roman"/>
        </w:rPr>
        <w:t xml:space="preserve"> </w:t>
      </w:r>
      <w:proofErr w:type="gramStart"/>
      <w:r w:rsidR="007A7540" w:rsidRPr="007A7540">
        <w:rPr>
          <w:rFonts w:ascii="Times New Roman" w:eastAsia="Times New Roman" w:hAnsi="Times New Roman" w:cs="Times New Roman"/>
        </w:rPr>
        <w:t>as  quantitative</w:t>
      </w:r>
      <w:proofErr w:type="gramEnd"/>
      <w:r w:rsidR="007A7540" w:rsidRPr="007A7540">
        <w:rPr>
          <w:rFonts w:ascii="Times New Roman" w:eastAsia="Times New Roman" w:hAnsi="Times New Roman" w:cs="Times New Roman"/>
        </w:rPr>
        <w:t xml:space="preserve"> meta-analysis was</w:t>
      </w:r>
      <w:r w:rsidR="00FA5DD0">
        <w:rPr>
          <w:rFonts w:ascii="Times New Roman" w:eastAsia="Times New Roman" w:hAnsi="Times New Roman" w:cs="Times New Roman"/>
        </w:rPr>
        <w:t xml:space="preserve"> not performed</w:t>
      </w:r>
      <w:r w:rsidR="007A7540" w:rsidRPr="007A7540">
        <w:rPr>
          <w:rFonts w:ascii="Times New Roman" w:eastAsia="Times New Roman" w:hAnsi="Times New Roman" w:cs="Times New Roman"/>
        </w:rPr>
        <w:t xml:space="preserve"> </w:t>
      </w:r>
      <w:r w:rsidR="00FA5DD0" w:rsidRPr="00FA5DD0">
        <w:rPr>
          <w:rFonts w:ascii="Times New Roman" w:eastAsia="Times New Roman" w:hAnsi="Times New Roman" w:cs="Times New Roman"/>
        </w:rPr>
        <w:t xml:space="preserve">due to substantial differences among the studies in terms of target outcomes, ground-truth definitions, temporal aggregation </w:t>
      </w:r>
      <w:r w:rsidR="00FA5DD0" w:rsidRPr="00FA5DD0">
        <w:rPr>
          <w:rFonts w:ascii="Times New Roman" w:eastAsia="Times New Roman" w:hAnsi="Times New Roman" w:cs="Times New Roman"/>
        </w:rPr>
        <w:lastRenderedPageBreak/>
        <w:t>(e.g., daily vs. weekly intervals), and reported detection/performance metrics</w:t>
      </w:r>
      <w:r w:rsidR="00FA5DD0">
        <w:rPr>
          <w:rFonts w:ascii="Times New Roman" w:eastAsia="Times New Roman" w:hAnsi="Times New Roman" w:cs="Times New Roman"/>
        </w:rPr>
        <w:t xml:space="preserve">, </w:t>
      </w:r>
      <w:r w:rsidR="00FA5DD0" w:rsidRPr="00FA5DD0">
        <w:rPr>
          <w:rFonts w:ascii="Times New Roman" w:eastAsia="Times New Roman" w:hAnsi="Times New Roman" w:cs="Times New Roman"/>
        </w:rPr>
        <w:t>which precluded valid statistical pooling</w:t>
      </w:r>
      <w:r w:rsidR="00FA5DD0">
        <w:rPr>
          <w:rFonts w:ascii="Times New Roman" w:eastAsia="Times New Roman" w:hAnsi="Times New Roman" w:cs="Times New Roman"/>
        </w:rPr>
        <w:t>.</w:t>
      </w:r>
    </w:p>
    <w:p w14:paraId="39A43A2E" w14:textId="268BADF0"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2.2 Eligibility criteria (Population/Context, Concept, Comparator/Outcomes)</w:t>
      </w:r>
    </w:p>
    <w:p w14:paraId="6C58BDAA"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i/>
        </w:rPr>
        <w:t>Population/Context:</w:t>
      </w:r>
      <w:r>
        <w:rPr>
          <w:rFonts w:ascii="Times New Roman" w:eastAsia="Times New Roman" w:hAnsi="Times New Roman" w:cs="Times New Roman"/>
        </w:rPr>
        <w:t xml:space="preserve"> Studies using U.S. public-health data or settings (local, state, federal; health systems partnering with public health).</w:t>
      </w:r>
    </w:p>
    <w:p w14:paraId="2371237D"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i/>
        </w:rPr>
        <w:t>Concept:</w:t>
      </w:r>
      <w:r>
        <w:rPr>
          <w:rFonts w:ascii="Times New Roman" w:eastAsia="Times New Roman" w:hAnsi="Times New Roman" w:cs="Times New Roman"/>
        </w:rPr>
        <w:t xml:space="preserve"> ML models (supervised, unsupervised, semi/self-supervised, hybrid) designed for early outbreak/event detection, including </w:t>
      </w:r>
      <w:proofErr w:type="spellStart"/>
      <w:r>
        <w:rPr>
          <w:rFonts w:ascii="Times New Roman" w:eastAsia="Times New Roman" w:hAnsi="Times New Roman" w:cs="Times New Roman"/>
        </w:rPr>
        <w:t>presyndromic</w:t>
      </w:r>
      <w:proofErr w:type="spellEnd"/>
      <w:r>
        <w:rPr>
          <w:rFonts w:ascii="Times New Roman" w:eastAsia="Times New Roman" w:hAnsi="Times New Roman" w:cs="Times New Roman"/>
        </w:rPr>
        <w:t xml:space="preserve"> detection, signal anomaly scoring, space-time clustering, genomic/wastewater-based emergence detection, and multimodal early-warning systems.</w:t>
      </w:r>
    </w:p>
    <w:p w14:paraId="466B2849" w14:textId="41CD7453" w:rsidR="00BA4AF1" w:rsidRPr="004F6EFA" w:rsidRDefault="00EB64D7">
      <w:pPr>
        <w:jc w:val="both"/>
        <w:rPr>
          <w:rFonts w:ascii="Times New Roman" w:eastAsia="Times New Roman" w:hAnsi="Times New Roman" w:cs="Times New Roman"/>
          <w:iCs/>
        </w:rPr>
      </w:pPr>
      <w:r>
        <w:rPr>
          <w:rFonts w:ascii="Times New Roman" w:eastAsia="Times New Roman" w:hAnsi="Times New Roman" w:cs="Times New Roman"/>
          <w:i/>
        </w:rPr>
        <w:t>Comparators/Outcomes</w:t>
      </w:r>
      <w:r w:rsidR="004F6EFA">
        <w:rPr>
          <w:rFonts w:ascii="Times New Roman" w:eastAsia="Times New Roman" w:hAnsi="Times New Roman" w:cs="Times New Roman"/>
          <w:iCs/>
        </w:rPr>
        <w:t xml:space="preserve">: </w:t>
      </w:r>
      <w:r w:rsidR="004F6EFA" w:rsidRPr="004F6EFA">
        <w:rPr>
          <w:rFonts w:ascii="Times New Roman" w:eastAsia="Times New Roman" w:hAnsi="Times New Roman" w:cs="Times New Roman"/>
          <w:iCs/>
        </w:rPr>
        <w:t>Eligible studies reported ≥1 evaluation metric relevant to detection: sensitivity/recall, specificity, positive predictive value (PPV)/false-alarm rate, timeliness/lead-time (days), plus accuracy proxies (e.g., error/correlation) when linked to an explicit detection or nowcasting objective. Acceptable comparators included traditional statistical rules (e.g., CUSUM/EARS), historical baselines, or public-health gold standards (</w:t>
      </w:r>
      <w:proofErr w:type="spellStart"/>
      <w:r w:rsidR="004F6EFA" w:rsidRPr="004F6EFA">
        <w:rPr>
          <w:rFonts w:ascii="Times New Roman" w:eastAsia="Times New Roman" w:hAnsi="Times New Roman" w:cs="Times New Roman"/>
          <w:iCs/>
        </w:rPr>
        <w:t>ILINet</w:t>
      </w:r>
      <w:proofErr w:type="spellEnd"/>
      <w:r w:rsidR="004F6EFA" w:rsidRPr="004F6EFA">
        <w:rPr>
          <w:rFonts w:ascii="Times New Roman" w:eastAsia="Times New Roman" w:hAnsi="Times New Roman" w:cs="Times New Roman"/>
          <w:iCs/>
        </w:rPr>
        <w:t>, reportable conditions, clinical genomes).</w:t>
      </w:r>
    </w:p>
    <w:p w14:paraId="17F54300"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i/>
        </w:rPr>
        <w:t>Study designs:</w:t>
      </w:r>
      <w:r>
        <w:rPr>
          <w:rFonts w:ascii="Times New Roman" w:eastAsia="Times New Roman" w:hAnsi="Times New Roman" w:cs="Times New Roman"/>
        </w:rPr>
        <w:t xml:space="preserve"> Retrospective or prospective evaluations; internal or external validation studies; quasi-experimental/operational pilots; observational deployments; qualitative/implementation studies illuminating mechanisms, workflow integration, or governance; and economic evaluations if tied to a deployed detector.</w:t>
      </w:r>
    </w:p>
    <w:p w14:paraId="37181F9B"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i/>
        </w:rPr>
        <w:t>Exclusions:</w:t>
      </w:r>
      <w:r>
        <w:rPr>
          <w:rFonts w:ascii="Times New Roman" w:eastAsia="Times New Roman" w:hAnsi="Times New Roman" w:cs="Times New Roman"/>
        </w:rPr>
        <w:t xml:space="preserve"> Purely theoretical or simulation-only work; rule-based systems without machine </w:t>
      </w:r>
      <w:proofErr w:type="gramStart"/>
      <w:r>
        <w:rPr>
          <w:rFonts w:ascii="Times New Roman" w:eastAsia="Times New Roman" w:hAnsi="Times New Roman" w:cs="Times New Roman"/>
        </w:rPr>
        <w:t>learning,  non</w:t>
      </w:r>
      <w:proofErr w:type="gramEnd"/>
      <w:r>
        <w:rPr>
          <w:rFonts w:ascii="Times New Roman" w:eastAsia="Times New Roman" w:hAnsi="Times New Roman" w:cs="Times New Roman"/>
        </w:rPr>
        <w:t>-U.S. data lacking explicit U.S. transferability; forecast-only models unlinked to outbreak onset or detection; animal/plant health unless integrated with human surveillance; editorials/commentaries; conference abstracts without sufficient data.</w:t>
      </w:r>
    </w:p>
    <w:p w14:paraId="33815786"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2.3 Information sources and search strategy</w:t>
      </w:r>
    </w:p>
    <w:p w14:paraId="04077DD5"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A comprehensive search was conducted in major bibliographic databases, including MEDLINE (via PubMed), Embase, Web of Science Core Collection, Scopus, IEEE Xplore, and ACM Digital Library. In addition to peer-reviewed literature, grey-literature sources were consulted. These included the Morbidity and Mortality Weekly Report (MMWR) by the CDC, state health department reports, HHS/ASPR technical notes, pre-prints from the archive of pre-print servers (e.g. </w:t>
      </w:r>
      <w:proofErr w:type="spellStart"/>
      <w:r>
        <w:rPr>
          <w:rFonts w:ascii="Times New Roman" w:eastAsia="Times New Roman" w:hAnsi="Times New Roman" w:cs="Times New Roman"/>
        </w:rPr>
        <w:t>medRxiv</w:t>
      </w:r>
      <w:proofErr w:type="spellEnd"/>
      <w:r>
        <w:rPr>
          <w:rFonts w:ascii="Times New Roman" w:eastAsia="Times New Roman" w:hAnsi="Times New Roman" w:cs="Times New Roman"/>
        </w:rPr>
        <w:t xml:space="preserve">), and dissertations where U.S. operational evaluations were reported. No study-design filter was applied. A search was executed using controlled vocabulary and free-text search terms that included machine learning, deep learning, anomaly detection, early warning, outbreak, surveillance, syndromic, </w:t>
      </w:r>
      <w:proofErr w:type="spellStart"/>
      <w:r>
        <w:rPr>
          <w:rFonts w:ascii="Times New Roman" w:eastAsia="Times New Roman" w:hAnsi="Times New Roman" w:cs="Times New Roman"/>
        </w:rPr>
        <w:t>presyndromic</w:t>
      </w:r>
      <w:proofErr w:type="spellEnd"/>
      <w:r>
        <w:rPr>
          <w:rFonts w:ascii="Times New Roman" w:eastAsia="Times New Roman" w:hAnsi="Times New Roman" w:cs="Times New Roman"/>
        </w:rPr>
        <w:t>, wastewater, genomic, United States, U.S. states, CDC, and data-stream terms such as EHR, lab, mobility, social media, ED text, IoT, wastewater, genomics. The time window under consideration extends from January 2015 to the present, encompassing contemporary digital, genomic, and wastewater surveillance methodologies. Where feasible, English language limits were imposed, but screening of titles/abstracts of non-English items was undertaken for U.S. data.</w:t>
      </w:r>
    </w:p>
    <w:p w14:paraId="12C14AAF" w14:textId="77777777" w:rsidR="00052B85" w:rsidRDefault="00052B85">
      <w:pPr>
        <w:jc w:val="both"/>
        <w:rPr>
          <w:rFonts w:ascii="Times New Roman" w:eastAsia="Times New Roman" w:hAnsi="Times New Roman" w:cs="Times New Roman"/>
          <w:b/>
        </w:rPr>
      </w:pPr>
    </w:p>
    <w:p w14:paraId="634A3CF2" w14:textId="77777777" w:rsidR="00052B85" w:rsidRDefault="00052B85">
      <w:pPr>
        <w:jc w:val="both"/>
        <w:rPr>
          <w:rFonts w:ascii="Times New Roman" w:eastAsia="Times New Roman" w:hAnsi="Times New Roman" w:cs="Times New Roman"/>
          <w:b/>
        </w:rPr>
      </w:pPr>
    </w:p>
    <w:p w14:paraId="2E73192A" w14:textId="1C5AD280"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lastRenderedPageBreak/>
        <w:t>2.4 Study selection and data extraction</w:t>
      </w:r>
    </w:p>
    <w:p w14:paraId="1099305C" w14:textId="3A5033DF" w:rsidR="00BA4AF1" w:rsidRDefault="00EB64D7">
      <w:pPr>
        <w:jc w:val="both"/>
        <w:rPr>
          <w:rFonts w:ascii="Times New Roman" w:eastAsia="Times New Roman" w:hAnsi="Times New Roman" w:cs="Times New Roman"/>
        </w:rPr>
      </w:pPr>
      <w:r>
        <w:rPr>
          <w:rFonts w:ascii="Times New Roman" w:eastAsia="Times New Roman" w:hAnsi="Times New Roman" w:cs="Times New Roman"/>
        </w:rPr>
        <w:t>The records will undergo a process of de-duplication and screening in two stages by two independent reviewers (titles/abstracts, then full texts). Disagreements among the reviewers will be resolved through discussion or the involvement of a third reviewer. To ensure the consistent application of the aforementioned criteria, a pilot calibration exercise will be conducted. The data will be extracted using a standardized form that captures the following: study characteristics and jurisdictional setting; population or surveillance context; data streams (electronic health records [EHR], laboratory, mobility, web search/social media, emergency-department text, Internet of Things [IoT] thermometry/wearables, wastewater, genomics); model taxonomy and fusion strategy; task framing (</w:t>
      </w:r>
      <w:proofErr w:type="spellStart"/>
      <w:r>
        <w:rPr>
          <w:rFonts w:ascii="Times New Roman" w:eastAsia="Times New Roman" w:hAnsi="Times New Roman" w:cs="Times New Roman"/>
        </w:rPr>
        <w:t>presyndromic</w:t>
      </w:r>
      <w:proofErr w:type="spellEnd"/>
      <w:r>
        <w:rPr>
          <w:rFonts w:ascii="Times New Roman" w:eastAsia="Times New Roman" w:hAnsi="Times New Roman" w:cs="Times New Roman"/>
        </w:rPr>
        <w:t>/event detection, anomaly scoring, space–time clustering, lineage/variant assignment); training and validation design; detection metrics and thresholds (sensitivity, specificity, positive predictive value/false-alarm rate, timeliness/lead-time, error/correlation); comparators and gold standards; compute/latency and workflow integration; deployment maturity; governance/privacy notes; resourcing/costs; and reproducibility (code/data). The authors will be contacted when critical data are missing or further clarification is required.</w:t>
      </w:r>
      <w:r w:rsidR="00052B85">
        <w:rPr>
          <w:rFonts w:ascii="Times New Roman" w:eastAsia="Times New Roman" w:hAnsi="Times New Roman" w:cs="Times New Roman"/>
        </w:rPr>
        <w:t xml:space="preserve"> </w:t>
      </w:r>
      <w:r w:rsidR="00052B85" w:rsidRPr="00052B85">
        <w:rPr>
          <w:rFonts w:ascii="Times New Roman" w:eastAsia="Times New Roman" w:hAnsi="Times New Roman" w:cs="Times New Roman"/>
          <w:color w:val="002060"/>
        </w:rPr>
        <w:t xml:space="preserve">In the event that data remained unavailable, fields were coded as "not reported" (NR). No statistical imputation was performed. Sensitivity considerations are addressed through a narrative approach to mitigate potential bias arising from differential reporting. </w:t>
      </w:r>
    </w:p>
    <w:p w14:paraId="5FE0F391"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3.0 Result</w:t>
      </w:r>
    </w:p>
    <w:p w14:paraId="53ECD9B7"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3.1 Study selection (PRISMA)</w:t>
      </w:r>
    </w:p>
    <w:p w14:paraId="40692BBB"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Following PRISMA 2020, 432 records were identified across databases. After removal of duplicates, 210 records were screened by two independent reviewers. 134 were excluded. Seventy-six full texts were assessed for eligibility. 48 were excluded with documented reasons. 18 studies met all criteria and were included in the synthesis. The PRISMA flow diagram (fig. 1) summarizes record identification, screening decisions, and reasons for exclusion.</w:t>
      </w:r>
    </w:p>
    <w:p w14:paraId="1DBF6E24" w14:textId="77777777" w:rsidR="00BA4AF1" w:rsidRDefault="00EB64D7">
      <w:pPr>
        <w:jc w:val="center"/>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14:anchorId="65253FCE" wp14:editId="610DA3EA">
            <wp:extent cx="4516137" cy="3301146"/>
            <wp:effectExtent l="0" t="0" r="0" b="0"/>
            <wp:docPr id="847795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516137" cy="3301146"/>
                    </a:xfrm>
                    <a:prstGeom prst="rect">
                      <a:avLst/>
                    </a:prstGeom>
                    <a:ln/>
                  </pic:spPr>
                </pic:pic>
              </a:graphicData>
            </a:graphic>
          </wp:inline>
        </w:drawing>
      </w:r>
    </w:p>
    <w:p w14:paraId="53F12050" w14:textId="77777777" w:rsidR="00BA4AF1" w:rsidRDefault="00EB64D7">
      <w:pPr>
        <w:jc w:val="center"/>
        <w:rPr>
          <w:rFonts w:ascii="Times New Roman" w:eastAsia="Times New Roman" w:hAnsi="Times New Roman" w:cs="Times New Roman"/>
          <w:b/>
        </w:rPr>
      </w:pPr>
      <w:r>
        <w:rPr>
          <w:rFonts w:ascii="Times New Roman" w:eastAsia="Times New Roman" w:hAnsi="Times New Roman" w:cs="Times New Roman"/>
          <w:b/>
        </w:rPr>
        <w:t>Figure 1: Prisma Flow Diagram</w:t>
      </w:r>
    </w:p>
    <w:p w14:paraId="6471709B"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3.2 Summary of Study Characteristics</w:t>
      </w:r>
    </w:p>
    <w:p w14:paraId="6EF9D873"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The included evidence comprised 18 U.S.-based primary studies (Table 1) published between 2015 and 2025 that examined machine learning for early outbreak detection. The system targeted three distinct task families: influenza-like illness nowcasting/monitoring, jurisdictional surge early-warning, and lineage/variant detection. The data streams encompassed a wide array of sources, including cloud-based electronic health records (EHR) and laboratory feeds, web search and social media data, mobility traces, consumer thermometers and wearable devices, emergency-department chief complaints, text from emergency-department chief complaints, genomic data, and wastewater sequencing data. The model approaches encompassed regularized regression and ensembles, sequence models, anomaly detection, bioinformatics pipelines, and real-time phylogenetic placement. These approaches covered supervised, unsupervised, and hybrid paradigms. The geographic units encompassed a wide range of spatial scales, extending from facilities and campuses to counties and states. The temporal resolution was grouped into daily outputs for digital/IoT/ED streams and weekly outputs for genomics/wastewater. The majority of the evaluations were retrospective in nature, while external or prospective validations were less frequently implemented. Standards differed.</w:t>
      </w:r>
    </w:p>
    <w:p w14:paraId="01F1B46F"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3.3 Thematic Analysis</w:t>
      </w:r>
    </w:p>
    <w:p w14:paraId="30A3B528"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Theme 1: Model–Data Design Space</w:t>
      </w:r>
    </w:p>
    <w:p w14:paraId="4E5E9C0E" w14:textId="4FCD9161" w:rsidR="009216C8" w:rsidRPr="009216C8"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The U.S. surveillance ML encompasses ILI nowcasting, surge early-warning, and lineage or variant detection (Lu 2019). Search-based regression has been demonstrated to enhance the accuracy of ILI nowcasts for operational awareness (Yang, 2015). Sequence architectures have been demonstrated to enhance the precision of influenza forecasting across temporal scales (Aiken 2021). EHR ensembles </w:t>
      </w:r>
      <w:r>
        <w:rPr>
          <w:rFonts w:ascii="Times New Roman" w:eastAsia="Times New Roman" w:hAnsi="Times New Roman" w:cs="Times New Roman"/>
        </w:rPr>
        <w:lastRenderedPageBreak/>
        <w:t xml:space="preserve">employing feature-level fusion provide near real-time state and regional estimates (Santillana 2016). Networked thermometers have been shown to generate anomaly-based ILI signals and short-range forecasts (Miller 2018). Wearable physiology has been demonstrated to augment real-time tracking at </w:t>
      </w:r>
      <w:r w:rsidR="009216C8">
        <w:rPr>
          <w:rFonts w:ascii="Times New Roman" w:eastAsia="Times New Roman" w:hAnsi="Times New Roman" w:cs="Times New Roman"/>
        </w:rPr>
        <w:t xml:space="preserve">a </w:t>
      </w:r>
      <w:r>
        <w:rPr>
          <w:rFonts w:ascii="Times New Roman" w:eastAsia="Times New Roman" w:hAnsi="Times New Roman" w:cs="Times New Roman"/>
        </w:rPr>
        <w:t xml:space="preserve">population scale (Radin, 2020). The integration of mobility data with search queries, clinician inquiries, and social media content has been demonstrated to generate jurisdictional alerts (Kogan, 2021). Prospective county-level systems have been developed to </w:t>
      </w:r>
      <w:proofErr w:type="spellStart"/>
      <w:r w:rsidR="009216C8">
        <w:rPr>
          <w:rFonts w:ascii="Times New Roman" w:eastAsia="Times New Roman" w:hAnsi="Times New Roman" w:cs="Times New Roman"/>
        </w:rPr>
        <w:t>operationalise</w:t>
      </w:r>
      <w:proofErr w:type="spellEnd"/>
      <w:r>
        <w:rPr>
          <w:rFonts w:ascii="Times New Roman" w:eastAsia="Times New Roman" w:hAnsi="Times New Roman" w:cs="Times New Roman"/>
        </w:rPr>
        <w:t xml:space="preserve"> multimodal warnings for local decisions (</w:t>
      </w:r>
      <w:proofErr w:type="spellStart"/>
      <w:r>
        <w:rPr>
          <w:rFonts w:ascii="Times New Roman" w:eastAsia="Times New Roman" w:hAnsi="Times New Roman" w:cs="Times New Roman"/>
        </w:rPr>
        <w:t>Stolerman</w:t>
      </w:r>
      <w:proofErr w:type="spellEnd"/>
      <w:r>
        <w:rPr>
          <w:rFonts w:ascii="Times New Roman" w:eastAsia="Times New Roman" w:hAnsi="Times New Roman" w:cs="Times New Roman"/>
        </w:rPr>
        <w:t xml:space="preserve"> 2023). </w:t>
      </w:r>
      <w:proofErr w:type="spellStart"/>
      <w:r>
        <w:rPr>
          <w:rFonts w:ascii="Times New Roman" w:eastAsia="Times New Roman" w:hAnsi="Times New Roman" w:cs="Times New Roman"/>
        </w:rPr>
        <w:t>Presyndromic</w:t>
      </w:r>
      <w:proofErr w:type="spellEnd"/>
      <w:r>
        <w:rPr>
          <w:rFonts w:ascii="Times New Roman" w:eastAsia="Times New Roman" w:hAnsi="Times New Roman" w:cs="Times New Roman"/>
        </w:rPr>
        <w:t xml:space="preserve"> pipelines mine </w:t>
      </w:r>
      <w:r w:rsidR="009216C8">
        <w:rPr>
          <w:rFonts w:ascii="Times New Roman" w:eastAsia="Times New Roman" w:hAnsi="Times New Roman" w:cs="Times New Roman"/>
        </w:rPr>
        <w:t>emergency department</w:t>
      </w:r>
      <w:r>
        <w:rPr>
          <w:rFonts w:ascii="Times New Roman" w:eastAsia="Times New Roman" w:hAnsi="Times New Roman" w:cs="Times New Roman"/>
        </w:rPr>
        <w:t xml:space="preserve"> free text with unsupervised discovery and machine learning triage (Nobles 2022). Real-time phylogenetic placement facilitates expeditious lineage assignment within laboratory workflows (</w:t>
      </w:r>
      <w:proofErr w:type="spellStart"/>
      <w:r>
        <w:rPr>
          <w:rFonts w:ascii="Times New Roman" w:eastAsia="Times New Roman" w:hAnsi="Times New Roman" w:cs="Times New Roman"/>
        </w:rPr>
        <w:t>Turakhia</w:t>
      </w:r>
      <w:proofErr w:type="spellEnd"/>
      <w:r>
        <w:rPr>
          <w:rFonts w:ascii="Times New Roman" w:eastAsia="Times New Roman" w:hAnsi="Times New Roman" w:cs="Times New Roman"/>
        </w:rPr>
        <w:t xml:space="preserve"> 2021). Wastewater sequencing has been demonstrated to facilitate the detection of cryptic transmission and emerging variants at the </w:t>
      </w:r>
      <w:proofErr w:type="spellStart"/>
      <w:r>
        <w:rPr>
          <w:rFonts w:ascii="Times New Roman" w:eastAsia="Times New Roman" w:hAnsi="Times New Roman" w:cs="Times New Roman"/>
        </w:rPr>
        <w:t>sewershed</w:t>
      </w:r>
      <w:proofErr w:type="spellEnd"/>
      <w:r>
        <w:rPr>
          <w:rFonts w:ascii="Times New Roman" w:eastAsia="Times New Roman" w:hAnsi="Times New Roman" w:cs="Times New Roman"/>
        </w:rPr>
        <w:t xml:space="preserve"> scale (Karthikeyan 2022). </w:t>
      </w:r>
      <w:proofErr w:type="spellStart"/>
      <w:r>
        <w:rPr>
          <w:rFonts w:ascii="Times New Roman" w:eastAsia="Times New Roman" w:hAnsi="Times New Roman" w:cs="Times New Roman"/>
        </w:rPr>
        <w:t>Metatranscriptomic</w:t>
      </w:r>
      <w:proofErr w:type="spellEnd"/>
      <w:r>
        <w:rPr>
          <w:rFonts w:ascii="Times New Roman" w:eastAsia="Times New Roman" w:hAnsi="Times New Roman" w:cs="Times New Roman"/>
        </w:rPr>
        <w:t xml:space="preserve"> sewage analyses have been shown to corroborate variant patterns against clinical genomes in metropolitan systems (Crits-Christoph 2021). Targeted manhole sampling has been identified as a method that advances the timeliness of monitoring in high-mobility corridors (Vo 2023). The implementation of variant pipelines has been demonstrated to enhance the precision and timeliness of wastewater detection (</w:t>
      </w:r>
      <w:proofErr w:type="spellStart"/>
      <w:r>
        <w:rPr>
          <w:rFonts w:ascii="Times New Roman" w:eastAsia="Times New Roman" w:hAnsi="Times New Roman" w:cs="Times New Roman"/>
        </w:rPr>
        <w:t>Sapoval</w:t>
      </w:r>
      <w:proofErr w:type="spellEnd"/>
      <w:r>
        <w:rPr>
          <w:rFonts w:ascii="Times New Roman" w:eastAsia="Times New Roman" w:hAnsi="Times New Roman" w:cs="Times New Roman"/>
        </w:rPr>
        <w:t>, 2023). Digital, IoT, and ED streams are typically generated daily, whereas genomic and wastewater outputs are generated weekly (Lu, 2018). The fusion of these choices has been shown to balance latency, coverage, and robustness across stream noise and cadence in practice (Lu 2019).</w:t>
      </w:r>
      <w:r w:rsidR="009216C8">
        <w:rPr>
          <w:rFonts w:ascii="Times New Roman" w:eastAsia="Times New Roman" w:hAnsi="Times New Roman" w:cs="Times New Roman"/>
        </w:rPr>
        <w:t xml:space="preserve"> </w:t>
      </w:r>
      <w:r w:rsidR="009216C8" w:rsidRPr="009216C8">
        <w:rPr>
          <w:rFonts w:ascii="Times New Roman" w:eastAsia="Times New Roman" w:hAnsi="Times New Roman" w:cs="Times New Roman"/>
          <w:color w:val="002060"/>
        </w:rPr>
        <w:t xml:space="preserve">Models face a clear trade-off between speed and coverage. Single-source, high-frequency digital signals (e.g., search queries, ED notes) deliver earlier hints, but are noisier and more sensitive to </w:t>
      </w:r>
      <w:proofErr w:type="spellStart"/>
      <w:r w:rsidR="009216C8">
        <w:rPr>
          <w:rFonts w:ascii="Times New Roman" w:eastAsia="Times New Roman" w:hAnsi="Times New Roman" w:cs="Times New Roman"/>
          <w:color w:val="002060"/>
        </w:rPr>
        <w:t>behaviour</w:t>
      </w:r>
      <w:proofErr w:type="spellEnd"/>
      <w:r w:rsidR="009216C8" w:rsidRPr="009216C8">
        <w:rPr>
          <w:rFonts w:ascii="Times New Roman" w:eastAsia="Times New Roman" w:hAnsi="Times New Roman" w:cs="Times New Roman"/>
          <w:color w:val="002060"/>
        </w:rPr>
        <w:t xml:space="preserve"> change. Fused multimodal systems (e.g., syndromic + laboratory + wastewater/genomics) improve stability, but are more complex, require governance agreements, and are slower. Daily digital streams tend to flag faster, while weekly wastewater/genomics broaden pathogen coverage and specificity. Optimal design should match goals, data-sharing capacity, and constraints.</w:t>
      </w:r>
    </w:p>
    <w:p w14:paraId="5273399D"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Theme 2: Detection Performance and Timeliness</w:t>
      </w:r>
    </w:p>
    <w:p w14:paraId="1B9F0A34" w14:textId="3B84D822" w:rsidR="009216C8" w:rsidRPr="009216C8" w:rsidRDefault="00EB64D7">
      <w:pPr>
        <w:jc w:val="both"/>
        <w:rPr>
          <w:rFonts w:ascii="Times New Roman" w:eastAsia="Times New Roman" w:hAnsi="Times New Roman" w:cs="Times New Roman"/>
        </w:rPr>
      </w:pPr>
      <w:r>
        <w:rPr>
          <w:rFonts w:ascii="Times New Roman" w:eastAsia="Times New Roman" w:hAnsi="Times New Roman" w:cs="Times New Roman"/>
        </w:rPr>
        <w:t>The practice of influenza nowcasting typically involves the reporting of either errors or correlations against the Infectious Disease Data Repository (</w:t>
      </w:r>
      <w:proofErr w:type="spellStart"/>
      <w:r>
        <w:rPr>
          <w:rFonts w:ascii="Times New Roman" w:eastAsia="Times New Roman" w:hAnsi="Times New Roman" w:cs="Times New Roman"/>
        </w:rPr>
        <w:t>ILINet</w:t>
      </w:r>
      <w:proofErr w:type="spellEnd"/>
      <w:r>
        <w:rPr>
          <w:rFonts w:ascii="Times New Roman" w:eastAsia="Times New Roman" w:hAnsi="Times New Roman" w:cs="Times New Roman"/>
        </w:rPr>
        <w:t>), a system that has been shown to exhibit meaningful decreases when compared to historical standards (Yang 2015). As demonstrated in the study by Lu (2019), dynamic ensembles have been shown to reduce error at the state scale across multiple seasons. Sequence architectures have been demonstrated to enhance longer-horizon accuracy in comparison to conventional baselines (Aiken 2021). Networked thermometers have been demonstrated to enhance short-range forecasts and track ILI anomalies in real time (Miller 2018). Wearable physiology has been demonstrated to enhance real-time estimation at the population scale (Radin, 2020). Multimodal early-warning ensembles have been shown to yield a lead time of two to three weeks at the state scale (Kogan, 2021). Prospective county-level systems have been demonstrated to offer anticipatory alerts with evaluated operational performance (</w:t>
      </w:r>
      <w:proofErr w:type="spellStart"/>
      <w:r>
        <w:rPr>
          <w:rFonts w:ascii="Times New Roman" w:eastAsia="Times New Roman" w:hAnsi="Times New Roman" w:cs="Times New Roman"/>
        </w:rPr>
        <w:t>Stolerman</w:t>
      </w:r>
      <w:proofErr w:type="spellEnd"/>
      <w:r>
        <w:rPr>
          <w:rFonts w:ascii="Times New Roman" w:eastAsia="Times New Roman" w:hAnsi="Times New Roman" w:cs="Times New Roman"/>
        </w:rPr>
        <w:t xml:space="preserve"> 2023). </w:t>
      </w:r>
      <w:proofErr w:type="spellStart"/>
      <w:r>
        <w:rPr>
          <w:rFonts w:ascii="Times New Roman" w:eastAsia="Times New Roman" w:hAnsi="Times New Roman" w:cs="Times New Roman"/>
        </w:rPr>
        <w:t>Presyndromic</w:t>
      </w:r>
      <w:proofErr w:type="spellEnd"/>
      <w:r>
        <w:rPr>
          <w:rFonts w:ascii="Times New Roman" w:eastAsia="Times New Roman" w:hAnsi="Times New Roman" w:cs="Times New Roman"/>
        </w:rPr>
        <w:t xml:space="preserve"> pipelines have been demonstrated to enhance timeliness while concomitantly reducing the number of irrelevant alerts, thereby </w:t>
      </w:r>
      <w:proofErr w:type="spellStart"/>
      <w:r w:rsidR="009216C8">
        <w:rPr>
          <w:rFonts w:ascii="Times New Roman" w:eastAsia="Times New Roman" w:hAnsi="Times New Roman" w:cs="Times New Roman"/>
        </w:rPr>
        <w:t>optimising</w:t>
      </w:r>
      <w:proofErr w:type="spellEnd"/>
      <w:r>
        <w:rPr>
          <w:rFonts w:ascii="Times New Roman" w:eastAsia="Times New Roman" w:hAnsi="Times New Roman" w:cs="Times New Roman"/>
        </w:rPr>
        <w:t xml:space="preserve"> practical PPV (Nobles 2022). Phylogenetic placement is a rapid and precise method of determining lineage, which is essential for the timely execution of genomic responses (</w:t>
      </w:r>
      <w:proofErr w:type="spellStart"/>
      <w:r>
        <w:rPr>
          <w:rFonts w:ascii="Times New Roman" w:eastAsia="Times New Roman" w:hAnsi="Times New Roman" w:cs="Times New Roman"/>
        </w:rPr>
        <w:t>Turakhia</w:t>
      </w:r>
      <w:proofErr w:type="spellEnd"/>
      <w:r>
        <w:rPr>
          <w:rFonts w:ascii="Times New Roman" w:eastAsia="Times New Roman" w:hAnsi="Times New Roman" w:cs="Times New Roman"/>
        </w:rPr>
        <w:t xml:space="preserve"> 2021). Wastewater sequencing has been shown to detect cryptic transmission and variant emergence before clinical confirmation (Karthikeyan 2022). Targeted manhole sampling has been shown to advance detection by approximately one week in high-mobility areas (Vo 2023). However, the efficacy of pooling across studies is constrained by the heterogeneity of ground truths, the varying definitions of onset, and aggregation intervals (Lu, 2018). The majority of evaluations are retrospective, thereby underscoring the necessity for routine prospective validation (Santillana 2016). </w:t>
      </w:r>
      <w:r>
        <w:rPr>
          <w:rFonts w:ascii="Times New Roman" w:eastAsia="Times New Roman" w:hAnsi="Times New Roman" w:cs="Times New Roman"/>
        </w:rPr>
        <w:lastRenderedPageBreak/>
        <w:t>When considered as a whole, the integration of these components enhances the reliability of signals, while single-source digital streams demonstrate temporal advantages (Kogan 2021). Genomics and wastewater analysis have been demonstrated to be effective tools for the early detection of variant emergence (Karthikeyan 2022).</w:t>
      </w:r>
      <w:r w:rsidR="009216C8">
        <w:rPr>
          <w:rFonts w:ascii="Times New Roman" w:eastAsia="Times New Roman" w:hAnsi="Times New Roman" w:cs="Times New Roman"/>
        </w:rPr>
        <w:t xml:space="preserve"> </w:t>
      </w:r>
      <w:r w:rsidR="009216C8" w:rsidRPr="009216C8">
        <w:rPr>
          <w:rFonts w:ascii="Times New Roman" w:eastAsia="Times New Roman" w:hAnsi="Times New Roman" w:cs="Times New Roman"/>
          <w:color w:val="002060"/>
        </w:rPr>
        <w:t xml:space="preserve">While the reported lead-time gains are encouraging, they are also accompanied by concerns regarding false-alarm control and generalizability. The extant evidence base is </w:t>
      </w:r>
      <w:proofErr w:type="spellStart"/>
      <w:r w:rsidR="009216C8">
        <w:rPr>
          <w:rFonts w:ascii="Times New Roman" w:eastAsia="Times New Roman" w:hAnsi="Times New Roman" w:cs="Times New Roman"/>
          <w:color w:val="002060"/>
        </w:rPr>
        <w:t>characterised</w:t>
      </w:r>
      <w:proofErr w:type="spellEnd"/>
      <w:r w:rsidR="009216C8" w:rsidRPr="009216C8">
        <w:rPr>
          <w:rFonts w:ascii="Times New Roman" w:eastAsia="Times New Roman" w:hAnsi="Times New Roman" w:cs="Times New Roman"/>
          <w:color w:val="002060"/>
        </w:rPr>
        <w:t xml:space="preserve"> by a preponderance of retrospective evaluations, a heterogeneity of ground truths, and the </w:t>
      </w:r>
      <w:proofErr w:type="spellStart"/>
      <w:r w:rsidR="009216C8">
        <w:rPr>
          <w:rFonts w:ascii="Times New Roman" w:eastAsia="Times New Roman" w:hAnsi="Times New Roman" w:cs="Times New Roman"/>
          <w:color w:val="002060"/>
        </w:rPr>
        <w:t>utilisation</w:t>
      </w:r>
      <w:proofErr w:type="spellEnd"/>
      <w:r w:rsidR="009216C8" w:rsidRPr="009216C8">
        <w:rPr>
          <w:rFonts w:ascii="Times New Roman" w:eastAsia="Times New Roman" w:hAnsi="Times New Roman" w:cs="Times New Roman"/>
          <w:color w:val="002060"/>
        </w:rPr>
        <w:t xml:space="preserve"> of </w:t>
      </w:r>
      <w:r w:rsidR="009216C8">
        <w:rPr>
          <w:rFonts w:ascii="Times New Roman" w:eastAsia="Times New Roman" w:hAnsi="Times New Roman" w:cs="Times New Roman"/>
          <w:color w:val="002060"/>
        </w:rPr>
        <w:t>non-</w:t>
      </w:r>
      <w:proofErr w:type="spellStart"/>
      <w:r w:rsidR="009216C8">
        <w:rPr>
          <w:rFonts w:ascii="Times New Roman" w:eastAsia="Times New Roman" w:hAnsi="Times New Roman" w:cs="Times New Roman"/>
          <w:color w:val="002060"/>
        </w:rPr>
        <w:t>standardised</w:t>
      </w:r>
      <w:proofErr w:type="spellEnd"/>
      <w:r w:rsidR="009216C8" w:rsidRPr="009216C8">
        <w:rPr>
          <w:rFonts w:ascii="Times New Roman" w:eastAsia="Times New Roman" w:hAnsi="Times New Roman" w:cs="Times New Roman"/>
          <w:color w:val="002060"/>
        </w:rPr>
        <w:t xml:space="preserve"> metrics, factors that collectively impede the comparability and external validity of the findings. Practical deployment necessitates prospective, multi-jurisdiction testing with common detection metrics (sensitivity, PPV, timeliness windows), transparent baselines, and calibrated thresholds. In the absence of this mechanism, the benefits of timeliness can become counterbalanced, resulting in alert fatigue or context-specific overfitting.</w:t>
      </w:r>
    </w:p>
    <w:p w14:paraId="63777DD7"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Theme 3: Implementation Readiness and Governance</w:t>
      </w:r>
    </w:p>
    <w:p w14:paraId="7A2379F8" w14:textId="3C3E8EB6" w:rsidR="00BA4AF1" w:rsidRDefault="00EB64D7">
      <w:pPr>
        <w:jc w:val="both"/>
        <w:rPr>
          <w:rFonts w:ascii="Times New Roman" w:eastAsia="Times New Roman" w:hAnsi="Times New Roman" w:cs="Times New Roman"/>
        </w:rPr>
      </w:pPr>
      <w:r>
        <w:rPr>
          <w:rFonts w:ascii="Times New Roman" w:eastAsia="Times New Roman" w:hAnsi="Times New Roman" w:cs="Times New Roman"/>
        </w:rPr>
        <w:t>Real-time phylogenetic placement is embedded in laboratory workflows, accelerating lineage assignment for actionability (</w:t>
      </w:r>
      <w:proofErr w:type="spellStart"/>
      <w:r>
        <w:rPr>
          <w:rFonts w:ascii="Times New Roman" w:eastAsia="Times New Roman" w:hAnsi="Times New Roman" w:cs="Times New Roman"/>
        </w:rPr>
        <w:t>Turakhia</w:t>
      </w:r>
      <w:proofErr w:type="spellEnd"/>
      <w:r>
        <w:rPr>
          <w:rFonts w:ascii="Times New Roman" w:eastAsia="Times New Roman" w:hAnsi="Times New Roman" w:cs="Times New Roman"/>
        </w:rPr>
        <w:t xml:space="preserve"> 2021). Campus and city wastewater programs have been shown to demonstrate sustained sampling with actionable lead time for variant emergence (Karthikeyan 2022). The efficacy of targeted manhole sampling in enhancing detection within high-mobility corridors has been demonstrated (Vo, 2023). </w:t>
      </w:r>
      <w:proofErr w:type="spellStart"/>
      <w:r>
        <w:rPr>
          <w:rFonts w:ascii="Times New Roman" w:eastAsia="Times New Roman" w:hAnsi="Times New Roman" w:cs="Times New Roman"/>
        </w:rPr>
        <w:t>Presyndromic</w:t>
      </w:r>
      <w:proofErr w:type="spellEnd"/>
      <w:r>
        <w:rPr>
          <w:rFonts w:ascii="Times New Roman" w:eastAsia="Times New Roman" w:hAnsi="Times New Roman" w:cs="Times New Roman"/>
        </w:rPr>
        <w:t xml:space="preserve"> emergency-department text mining is an operational component of health-department triage, to prioritize investigative procedures (Nobles 2022). Networked thermometers are capable of providing consumer-scale fever signals that can be integrated with short-range forecasting systems (Miller 2018). Multimodal early-warning ensembles provide policy-relevant anticipation windows at state scale (Kogan 2021). Prospective county-level evaluations illustrate pathways for routine operational monitoring and alert adjudication (</w:t>
      </w:r>
      <w:proofErr w:type="spellStart"/>
      <w:r>
        <w:rPr>
          <w:rFonts w:ascii="Times New Roman" w:eastAsia="Times New Roman" w:hAnsi="Times New Roman" w:cs="Times New Roman"/>
        </w:rPr>
        <w:t>Stolerman</w:t>
      </w:r>
      <w:proofErr w:type="spellEnd"/>
      <w:r>
        <w:rPr>
          <w:rFonts w:ascii="Times New Roman" w:eastAsia="Times New Roman" w:hAnsi="Times New Roman" w:cs="Times New Roman"/>
        </w:rPr>
        <w:t xml:space="preserve"> 2023). Metric definitions necessitate clarity regarding sensitivity, positive predictive value (PPV), and timeliness in relation to established syndromic benchmarks (Lu 2018). Santillana (2016) asserts that near-real-time EHR pipelines underscore data-quality dependencies, interface agreements, and latency contracts. Retrospective designs persist in their prevalence, underscoring the necessity for external and prospective validation before procurement (Yang 2015). Genomic and wastewater programs have been shown to strike a balance between costs and weekly cadences, ensuring practical timeliness (Karthikeyan 2022). According to Mackey (2020), the management of noise and alert volumes in daily digital streams necessitates the implementation of robust filtering and thresholding mechanisms. In the context of procurement, the establishment of transparent baselines, substantiated lead times, and systematic monitoring plans is imperative (</w:t>
      </w:r>
      <w:proofErr w:type="spellStart"/>
      <w:r>
        <w:rPr>
          <w:rFonts w:ascii="Times New Roman" w:eastAsia="Times New Roman" w:hAnsi="Times New Roman" w:cs="Times New Roman"/>
        </w:rPr>
        <w:t>Stolerman</w:t>
      </w:r>
      <w:proofErr w:type="spellEnd"/>
      <w:r>
        <w:rPr>
          <w:rFonts w:ascii="Times New Roman" w:eastAsia="Times New Roman" w:hAnsi="Times New Roman" w:cs="Times New Roman"/>
        </w:rPr>
        <w:t xml:space="preserve"> 2023). These conditions facilitate the integration of machine-learning surveillance into public health operations on a large scale (Lu 2019).</w:t>
      </w:r>
      <w:r w:rsidR="009216C8">
        <w:rPr>
          <w:rFonts w:ascii="Times New Roman" w:eastAsia="Times New Roman" w:hAnsi="Times New Roman" w:cs="Times New Roman"/>
        </w:rPr>
        <w:t xml:space="preserve"> </w:t>
      </w:r>
      <w:r w:rsidR="009216C8" w:rsidRPr="009216C8">
        <w:rPr>
          <w:rFonts w:ascii="Times New Roman" w:eastAsia="Times New Roman" w:hAnsi="Times New Roman" w:cs="Times New Roman"/>
          <w:color w:val="002060"/>
        </w:rPr>
        <w:t>Actionability increases when detectors are embedded in governed workflows, but this raises complexity, costs, and workforce demands. There's a trade-off between privacy/bias risks and the equity benefits of earlier situational awareness. Both require auditability, drift monitoring (</w:t>
      </w:r>
      <w:proofErr w:type="spellStart"/>
      <w:r w:rsidR="009216C8" w:rsidRPr="009216C8">
        <w:rPr>
          <w:rFonts w:ascii="Times New Roman" w:eastAsia="Times New Roman" w:hAnsi="Times New Roman" w:cs="Times New Roman"/>
          <w:color w:val="002060"/>
        </w:rPr>
        <w:t>MLOps</w:t>
      </w:r>
      <w:proofErr w:type="spellEnd"/>
      <w:r w:rsidR="009216C8" w:rsidRPr="009216C8">
        <w:rPr>
          <w:rFonts w:ascii="Times New Roman" w:eastAsia="Times New Roman" w:hAnsi="Times New Roman" w:cs="Times New Roman"/>
          <w:color w:val="002060"/>
        </w:rPr>
        <w:t>), and documented escalation playbooks. Procurement should require reference comparators, SLAs for latency and uptime, audit logs, and equity checks. Sustained value depends on operational readiness, not algorithmic performance alone.</w:t>
      </w:r>
    </w:p>
    <w:p w14:paraId="3E0B0945" w14:textId="77777777" w:rsidR="00BA4AF1" w:rsidRDefault="00BA4AF1">
      <w:pPr>
        <w:jc w:val="both"/>
        <w:rPr>
          <w:rFonts w:ascii="Times New Roman" w:eastAsia="Times New Roman" w:hAnsi="Times New Roman" w:cs="Times New Roman"/>
        </w:rPr>
      </w:pPr>
    </w:p>
    <w:p w14:paraId="486F5E61" w14:textId="77777777" w:rsidR="00BA4AF1" w:rsidRDefault="00BA4AF1">
      <w:pPr>
        <w:jc w:val="both"/>
        <w:rPr>
          <w:rFonts w:ascii="Times New Roman" w:eastAsia="Times New Roman" w:hAnsi="Times New Roman" w:cs="Times New Roman"/>
        </w:rPr>
      </w:pPr>
    </w:p>
    <w:p w14:paraId="57156989" w14:textId="77777777" w:rsidR="00BA4AF1" w:rsidRDefault="00BA4AF1">
      <w:pPr>
        <w:jc w:val="both"/>
        <w:rPr>
          <w:rFonts w:ascii="Times New Roman" w:eastAsia="Times New Roman" w:hAnsi="Times New Roman" w:cs="Times New Roman"/>
        </w:rPr>
        <w:sectPr w:rsidR="00BA4AF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pPr>
    </w:p>
    <w:p w14:paraId="6B7E9F1C" w14:textId="77777777" w:rsidR="00BA4AF1" w:rsidRDefault="00EB64D7">
      <w:pPr>
        <w:jc w:val="center"/>
        <w:rPr>
          <w:rFonts w:ascii="Times New Roman" w:eastAsia="Times New Roman" w:hAnsi="Times New Roman" w:cs="Times New Roman"/>
        </w:rPr>
      </w:pPr>
      <w:r>
        <w:rPr>
          <w:rFonts w:ascii="Times New Roman" w:eastAsia="Times New Roman" w:hAnsi="Times New Roman" w:cs="Times New Roman"/>
          <w:b/>
        </w:rPr>
        <w:lastRenderedPageBreak/>
        <w:t>Table 1: Summary table for case studies</w:t>
      </w:r>
    </w:p>
    <w:tbl>
      <w:tblPr>
        <w:tblStyle w:val="a"/>
        <w:tblW w:w="14743"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818"/>
        <w:gridCol w:w="1195"/>
        <w:gridCol w:w="1394"/>
        <w:gridCol w:w="1130"/>
        <w:gridCol w:w="1275"/>
        <w:gridCol w:w="851"/>
        <w:gridCol w:w="873"/>
        <w:gridCol w:w="1111"/>
        <w:gridCol w:w="142"/>
        <w:gridCol w:w="1134"/>
        <w:gridCol w:w="992"/>
        <w:gridCol w:w="1134"/>
        <w:gridCol w:w="1560"/>
      </w:tblGrid>
      <w:tr w:rsidR="00BA4AF1" w14:paraId="03D656F3" w14:textId="77777777">
        <w:tc>
          <w:tcPr>
            <w:tcW w:w="1134" w:type="dxa"/>
          </w:tcPr>
          <w:p w14:paraId="73AAD60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b/>
              </w:rPr>
              <w:t xml:space="preserve">author (Year) </w:t>
            </w:r>
          </w:p>
        </w:tc>
        <w:tc>
          <w:tcPr>
            <w:tcW w:w="818" w:type="dxa"/>
          </w:tcPr>
          <w:p w14:paraId="7BE2ABA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b/>
              </w:rPr>
              <w:t>Pathogen/Outcome</w:t>
            </w:r>
          </w:p>
        </w:tc>
        <w:tc>
          <w:tcPr>
            <w:tcW w:w="1195" w:type="dxa"/>
          </w:tcPr>
          <w:p w14:paraId="41E10EE6"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b/>
              </w:rPr>
              <w:t>Primary data source(s)</w:t>
            </w:r>
          </w:p>
        </w:tc>
        <w:tc>
          <w:tcPr>
            <w:tcW w:w="1394" w:type="dxa"/>
          </w:tcPr>
          <w:p w14:paraId="72055B8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b/>
              </w:rPr>
              <w:t>Model family/approach</w:t>
            </w:r>
          </w:p>
        </w:tc>
        <w:tc>
          <w:tcPr>
            <w:tcW w:w="1130" w:type="dxa"/>
          </w:tcPr>
          <w:p w14:paraId="529633CC"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b/>
              </w:rPr>
              <w:t>Task framing</w:t>
            </w:r>
          </w:p>
        </w:tc>
        <w:tc>
          <w:tcPr>
            <w:tcW w:w="1275" w:type="dxa"/>
          </w:tcPr>
          <w:p w14:paraId="674DF17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b/>
              </w:rPr>
              <w:t>Evaluation metrics reported</w:t>
            </w:r>
          </w:p>
        </w:tc>
        <w:tc>
          <w:tcPr>
            <w:tcW w:w="851" w:type="dxa"/>
          </w:tcPr>
          <w:p w14:paraId="3434A889"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b/>
              </w:rPr>
              <w:t>Lead time/timeliness</w:t>
            </w:r>
          </w:p>
        </w:tc>
        <w:tc>
          <w:tcPr>
            <w:tcW w:w="873" w:type="dxa"/>
          </w:tcPr>
          <w:p w14:paraId="63326EDA"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b/>
              </w:rPr>
              <w:t>Ground truth/comparator</w:t>
            </w:r>
          </w:p>
        </w:tc>
        <w:tc>
          <w:tcPr>
            <w:tcW w:w="1111" w:type="dxa"/>
          </w:tcPr>
          <w:p w14:paraId="20D38E4B"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b/>
              </w:rPr>
              <w:t>Validation design</w:t>
            </w:r>
          </w:p>
        </w:tc>
        <w:tc>
          <w:tcPr>
            <w:tcW w:w="1276" w:type="dxa"/>
            <w:gridSpan w:val="2"/>
          </w:tcPr>
          <w:p w14:paraId="6F0698B4"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b/>
              </w:rPr>
              <w:t>Deployment/maturity</w:t>
            </w:r>
          </w:p>
        </w:tc>
        <w:tc>
          <w:tcPr>
            <w:tcW w:w="992" w:type="dxa"/>
          </w:tcPr>
          <w:p w14:paraId="6B1D19D7"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b/>
              </w:rPr>
              <w:t>Data fusion strategy</w:t>
            </w:r>
          </w:p>
        </w:tc>
        <w:tc>
          <w:tcPr>
            <w:tcW w:w="1134" w:type="dxa"/>
          </w:tcPr>
          <w:p w14:paraId="56752F09"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b/>
              </w:rPr>
              <w:t>Performance metric family focus</w:t>
            </w:r>
          </w:p>
        </w:tc>
        <w:tc>
          <w:tcPr>
            <w:tcW w:w="1560" w:type="dxa"/>
          </w:tcPr>
          <w:p w14:paraId="689A55B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b/>
              </w:rPr>
              <w:t>key finding</w:t>
            </w:r>
          </w:p>
        </w:tc>
      </w:tr>
      <w:tr w:rsidR="00BA4AF1" w14:paraId="081CDF10" w14:textId="77777777">
        <w:tc>
          <w:tcPr>
            <w:tcW w:w="1134" w:type="dxa"/>
          </w:tcPr>
          <w:p w14:paraId="50D24E1E"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Aiken (2021) – Science Advances</w:t>
            </w:r>
          </w:p>
        </w:tc>
        <w:tc>
          <w:tcPr>
            <w:tcW w:w="818" w:type="dxa"/>
          </w:tcPr>
          <w:p w14:paraId="2F0BA45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Influenza (ILI)</w:t>
            </w:r>
          </w:p>
        </w:tc>
        <w:tc>
          <w:tcPr>
            <w:tcW w:w="1195" w:type="dxa"/>
          </w:tcPr>
          <w:p w14:paraId="6CABCC4E"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Google search activity</w:t>
            </w:r>
          </w:p>
        </w:tc>
        <w:tc>
          <w:tcPr>
            <w:tcW w:w="1394" w:type="dxa"/>
          </w:tcPr>
          <w:p w14:paraId="15C9C97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GRU neural networks</w:t>
            </w:r>
          </w:p>
        </w:tc>
        <w:tc>
          <w:tcPr>
            <w:tcW w:w="1130" w:type="dxa"/>
          </w:tcPr>
          <w:p w14:paraId="7942C14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Forecasting/nowcasting</w:t>
            </w:r>
          </w:p>
        </w:tc>
        <w:tc>
          <w:tcPr>
            <w:tcW w:w="1275" w:type="dxa"/>
          </w:tcPr>
          <w:p w14:paraId="10FCD174"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Prediction error vs baselines</w:t>
            </w:r>
          </w:p>
        </w:tc>
        <w:tc>
          <w:tcPr>
            <w:tcW w:w="851" w:type="dxa"/>
          </w:tcPr>
          <w:p w14:paraId="4DFC05EA"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Improved longer-horizon forecasts</w:t>
            </w:r>
          </w:p>
        </w:tc>
        <w:tc>
          <w:tcPr>
            <w:tcW w:w="873" w:type="dxa"/>
          </w:tcPr>
          <w:p w14:paraId="587BB36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CDC </w:t>
            </w:r>
            <w:proofErr w:type="spellStart"/>
            <w:r>
              <w:rPr>
                <w:rFonts w:ascii="Times New Roman" w:eastAsia="Times New Roman" w:hAnsi="Times New Roman" w:cs="Times New Roman"/>
              </w:rPr>
              <w:t>ILINet</w:t>
            </w:r>
            <w:proofErr w:type="spellEnd"/>
          </w:p>
        </w:tc>
        <w:tc>
          <w:tcPr>
            <w:tcW w:w="1111" w:type="dxa"/>
          </w:tcPr>
          <w:p w14:paraId="1C9D741F"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Retrospective multi-resolution</w:t>
            </w:r>
          </w:p>
        </w:tc>
        <w:tc>
          <w:tcPr>
            <w:tcW w:w="1276" w:type="dxa"/>
            <w:gridSpan w:val="2"/>
          </w:tcPr>
          <w:p w14:paraId="5F7C819B"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Research</w:t>
            </w:r>
          </w:p>
        </w:tc>
        <w:tc>
          <w:tcPr>
            <w:tcW w:w="992" w:type="dxa"/>
          </w:tcPr>
          <w:p w14:paraId="468507E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Single-source</w:t>
            </w:r>
          </w:p>
        </w:tc>
        <w:tc>
          <w:tcPr>
            <w:tcW w:w="1134" w:type="dxa"/>
          </w:tcPr>
          <w:p w14:paraId="788DE929"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Error/Correlation</w:t>
            </w:r>
          </w:p>
        </w:tc>
        <w:tc>
          <w:tcPr>
            <w:tcW w:w="1560" w:type="dxa"/>
          </w:tcPr>
          <w:p w14:paraId="7736B07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GRU models improved influenza predictions at longer horizons.</w:t>
            </w:r>
          </w:p>
        </w:tc>
      </w:tr>
      <w:tr w:rsidR="00BA4AF1" w14:paraId="3E32732E" w14:textId="77777777">
        <w:tc>
          <w:tcPr>
            <w:tcW w:w="1134" w:type="dxa"/>
          </w:tcPr>
          <w:p w14:paraId="56A618D7"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Clemente (2019) – JMIR PHS</w:t>
            </w:r>
          </w:p>
        </w:tc>
        <w:tc>
          <w:tcPr>
            <w:tcW w:w="818" w:type="dxa"/>
          </w:tcPr>
          <w:p w14:paraId="3D13DA8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Influenza (ILI)</w:t>
            </w:r>
          </w:p>
        </w:tc>
        <w:tc>
          <w:tcPr>
            <w:tcW w:w="1195" w:type="dxa"/>
          </w:tcPr>
          <w:p w14:paraId="3DB25E0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Internet search activity</w:t>
            </w:r>
          </w:p>
        </w:tc>
        <w:tc>
          <w:tcPr>
            <w:tcW w:w="1394" w:type="dxa"/>
          </w:tcPr>
          <w:p w14:paraId="7ECD2FB7"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ARGO-style ML</w:t>
            </w:r>
          </w:p>
        </w:tc>
        <w:tc>
          <w:tcPr>
            <w:tcW w:w="1130" w:type="dxa"/>
          </w:tcPr>
          <w:p w14:paraId="20AC7A24"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Real-time surveillance</w:t>
            </w:r>
          </w:p>
        </w:tc>
        <w:tc>
          <w:tcPr>
            <w:tcW w:w="1275" w:type="dxa"/>
          </w:tcPr>
          <w:p w14:paraId="13D677E5"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Accuracy vs national benchmarks</w:t>
            </w:r>
          </w:p>
        </w:tc>
        <w:tc>
          <w:tcPr>
            <w:tcW w:w="851" w:type="dxa"/>
          </w:tcPr>
          <w:p w14:paraId="25C2443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Near real-time</w:t>
            </w:r>
          </w:p>
        </w:tc>
        <w:tc>
          <w:tcPr>
            <w:tcW w:w="873" w:type="dxa"/>
          </w:tcPr>
          <w:p w14:paraId="28C0ACE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Official surveillance</w:t>
            </w:r>
          </w:p>
        </w:tc>
        <w:tc>
          <w:tcPr>
            <w:tcW w:w="1111" w:type="dxa"/>
          </w:tcPr>
          <w:p w14:paraId="02B6047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Retrospective</w:t>
            </w:r>
          </w:p>
        </w:tc>
        <w:tc>
          <w:tcPr>
            <w:tcW w:w="1276" w:type="dxa"/>
            <w:gridSpan w:val="2"/>
          </w:tcPr>
          <w:p w14:paraId="1BD62E50"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Research</w:t>
            </w:r>
          </w:p>
        </w:tc>
        <w:tc>
          <w:tcPr>
            <w:tcW w:w="992" w:type="dxa"/>
          </w:tcPr>
          <w:p w14:paraId="02BB67D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Single-source</w:t>
            </w:r>
          </w:p>
        </w:tc>
        <w:tc>
          <w:tcPr>
            <w:tcW w:w="1134" w:type="dxa"/>
          </w:tcPr>
          <w:p w14:paraId="6A8A829B"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Error/Correlation</w:t>
            </w:r>
          </w:p>
        </w:tc>
        <w:tc>
          <w:tcPr>
            <w:tcW w:w="1560" w:type="dxa"/>
          </w:tcPr>
          <w:p w14:paraId="5EC171AA"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Demonstrated generalizable Internet-data ML surveillance approaches.</w:t>
            </w:r>
          </w:p>
        </w:tc>
      </w:tr>
      <w:tr w:rsidR="00BA4AF1" w14:paraId="5AF88CFA" w14:textId="77777777">
        <w:tc>
          <w:tcPr>
            <w:tcW w:w="1134" w:type="dxa"/>
          </w:tcPr>
          <w:p w14:paraId="30797F2F"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Crits-Christoph (2021) – mBio</w:t>
            </w:r>
          </w:p>
        </w:tc>
        <w:tc>
          <w:tcPr>
            <w:tcW w:w="818" w:type="dxa"/>
          </w:tcPr>
          <w:p w14:paraId="4010EEE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SARS-CoV-2 variants</w:t>
            </w:r>
          </w:p>
        </w:tc>
        <w:tc>
          <w:tcPr>
            <w:tcW w:w="1195" w:type="dxa"/>
          </w:tcPr>
          <w:p w14:paraId="64A958DF"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Wastewater </w:t>
            </w:r>
            <w:proofErr w:type="spellStart"/>
            <w:r>
              <w:rPr>
                <w:rFonts w:ascii="Times New Roman" w:eastAsia="Times New Roman" w:hAnsi="Times New Roman" w:cs="Times New Roman"/>
              </w:rPr>
              <w:t>metatranscriptomics</w:t>
            </w:r>
            <w:proofErr w:type="spellEnd"/>
          </w:p>
        </w:tc>
        <w:tc>
          <w:tcPr>
            <w:tcW w:w="1394" w:type="dxa"/>
          </w:tcPr>
          <w:p w14:paraId="4FC35E1E"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Bioinformatics pipelines</w:t>
            </w:r>
          </w:p>
        </w:tc>
        <w:tc>
          <w:tcPr>
            <w:tcW w:w="1130" w:type="dxa"/>
          </w:tcPr>
          <w:p w14:paraId="14FE8F7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Variant detection</w:t>
            </w:r>
          </w:p>
        </w:tc>
        <w:tc>
          <w:tcPr>
            <w:tcW w:w="1275" w:type="dxa"/>
          </w:tcPr>
          <w:p w14:paraId="04D1ED7F"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Agreement with clinical genomes</w:t>
            </w:r>
          </w:p>
        </w:tc>
        <w:tc>
          <w:tcPr>
            <w:tcW w:w="851" w:type="dxa"/>
          </w:tcPr>
          <w:p w14:paraId="0490D5E4"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Earlier/parallel detection</w:t>
            </w:r>
          </w:p>
        </w:tc>
        <w:tc>
          <w:tcPr>
            <w:tcW w:w="873" w:type="dxa"/>
          </w:tcPr>
          <w:p w14:paraId="436A3A8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Clinical genomic sequences</w:t>
            </w:r>
          </w:p>
        </w:tc>
        <w:tc>
          <w:tcPr>
            <w:tcW w:w="1111" w:type="dxa"/>
          </w:tcPr>
          <w:p w14:paraId="5D536D4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Longitudinal sampling</w:t>
            </w:r>
          </w:p>
        </w:tc>
        <w:tc>
          <w:tcPr>
            <w:tcW w:w="1276" w:type="dxa"/>
            <w:gridSpan w:val="2"/>
          </w:tcPr>
          <w:p w14:paraId="64945E1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Research with utilities</w:t>
            </w:r>
          </w:p>
        </w:tc>
        <w:tc>
          <w:tcPr>
            <w:tcW w:w="992" w:type="dxa"/>
          </w:tcPr>
          <w:p w14:paraId="2AEB5B26"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Single-source</w:t>
            </w:r>
          </w:p>
        </w:tc>
        <w:tc>
          <w:tcPr>
            <w:tcW w:w="1134" w:type="dxa"/>
          </w:tcPr>
          <w:p w14:paraId="221487C4"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Classification/Agreement</w:t>
            </w:r>
          </w:p>
        </w:tc>
        <w:tc>
          <w:tcPr>
            <w:tcW w:w="1560" w:type="dxa"/>
          </w:tcPr>
          <w:p w14:paraId="08A91E35"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Sewage sequencing identified prevalent variants consistent with clinical data.</w:t>
            </w:r>
          </w:p>
        </w:tc>
      </w:tr>
      <w:tr w:rsidR="00BA4AF1" w14:paraId="21A08059" w14:textId="77777777">
        <w:tc>
          <w:tcPr>
            <w:tcW w:w="1134" w:type="dxa"/>
          </w:tcPr>
          <w:p w14:paraId="0C4535BB"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Karthikeyan (2022) – Nature</w:t>
            </w:r>
          </w:p>
        </w:tc>
        <w:tc>
          <w:tcPr>
            <w:tcW w:w="818" w:type="dxa"/>
          </w:tcPr>
          <w:p w14:paraId="562AF16B"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SARS-CoV-2 variants</w:t>
            </w:r>
          </w:p>
        </w:tc>
        <w:tc>
          <w:tcPr>
            <w:tcW w:w="1195" w:type="dxa"/>
          </w:tcPr>
          <w:p w14:paraId="487C6F56"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Wastewater sequencing</w:t>
            </w:r>
          </w:p>
        </w:tc>
        <w:tc>
          <w:tcPr>
            <w:tcW w:w="1394" w:type="dxa"/>
          </w:tcPr>
          <w:p w14:paraId="68C80B6F"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Bioinformatics/statistical</w:t>
            </w:r>
          </w:p>
        </w:tc>
        <w:tc>
          <w:tcPr>
            <w:tcW w:w="1130" w:type="dxa"/>
          </w:tcPr>
          <w:p w14:paraId="5D6B8F5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Early variant detection</w:t>
            </w:r>
          </w:p>
        </w:tc>
        <w:tc>
          <w:tcPr>
            <w:tcW w:w="1275" w:type="dxa"/>
          </w:tcPr>
          <w:p w14:paraId="02660925"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Detection timing vs clinical</w:t>
            </w:r>
          </w:p>
        </w:tc>
        <w:tc>
          <w:tcPr>
            <w:tcW w:w="851" w:type="dxa"/>
          </w:tcPr>
          <w:p w14:paraId="1F79877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Up to ~14 days earlier</w:t>
            </w:r>
          </w:p>
        </w:tc>
        <w:tc>
          <w:tcPr>
            <w:tcW w:w="873" w:type="dxa"/>
          </w:tcPr>
          <w:p w14:paraId="144DB9F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Clinical genomic surveillance</w:t>
            </w:r>
          </w:p>
        </w:tc>
        <w:tc>
          <w:tcPr>
            <w:tcW w:w="1111" w:type="dxa"/>
          </w:tcPr>
          <w:p w14:paraId="04E4274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Prospective program</w:t>
            </w:r>
          </w:p>
        </w:tc>
        <w:tc>
          <w:tcPr>
            <w:tcW w:w="1276" w:type="dxa"/>
            <w:gridSpan w:val="2"/>
          </w:tcPr>
          <w:p w14:paraId="3FC29904"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Operational (campus/city)</w:t>
            </w:r>
          </w:p>
        </w:tc>
        <w:tc>
          <w:tcPr>
            <w:tcW w:w="992" w:type="dxa"/>
          </w:tcPr>
          <w:p w14:paraId="27751555"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Single-source</w:t>
            </w:r>
          </w:p>
        </w:tc>
        <w:tc>
          <w:tcPr>
            <w:tcW w:w="1134" w:type="dxa"/>
          </w:tcPr>
          <w:p w14:paraId="51C0206A"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Detection/Lead-time</w:t>
            </w:r>
          </w:p>
        </w:tc>
        <w:tc>
          <w:tcPr>
            <w:tcW w:w="1560" w:type="dxa"/>
          </w:tcPr>
          <w:p w14:paraId="52A867BC"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Wastewater sequencing revealed cryptic transmission earlier than clinical sequencing.</w:t>
            </w:r>
          </w:p>
        </w:tc>
      </w:tr>
      <w:tr w:rsidR="00BA4AF1" w14:paraId="50CEB03B" w14:textId="77777777">
        <w:tc>
          <w:tcPr>
            <w:tcW w:w="1134" w:type="dxa"/>
          </w:tcPr>
          <w:p w14:paraId="2568A32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lastRenderedPageBreak/>
              <w:t>Kogan (2021) – Science Advances</w:t>
            </w:r>
          </w:p>
        </w:tc>
        <w:tc>
          <w:tcPr>
            <w:tcW w:w="818" w:type="dxa"/>
          </w:tcPr>
          <w:p w14:paraId="3A473029"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COVID-19 surges</w:t>
            </w:r>
          </w:p>
        </w:tc>
        <w:tc>
          <w:tcPr>
            <w:tcW w:w="1195" w:type="dxa"/>
          </w:tcPr>
          <w:p w14:paraId="580F627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Mobility, searches, clinician queries, Twitter</w:t>
            </w:r>
          </w:p>
        </w:tc>
        <w:tc>
          <w:tcPr>
            <w:tcW w:w="1394" w:type="dxa"/>
          </w:tcPr>
          <w:p w14:paraId="6140892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Early-warning ensemble</w:t>
            </w:r>
          </w:p>
        </w:tc>
        <w:tc>
          <w:tcPr>
            <w:tcW w:w="1130" w:type="dxa"/>
          </w:tcPr>
          <w:p w14:paraId="03DB746B"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Prospective early warning</w:t>
            </w:r>
          </w:p>
        </w:tc>
        <w:tc>
          <w:tcPr>
            <w:tcW w:w="1275" w:type="dxa"/>
          </w:tcPr>
          <w:p w14:paraId="150DE405"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Lead-time; predictive accuracy</w:t>
            </w:r>
          </w:p>
        </w:tc>
        <w:tc>
          <w:tcPr>
            <w:tcW w:w="851" w:type="dxa"/>
          </w:tcPr>
          <w:p w14:paraId="50F161AB" w14:textId="77777777" w:rsidR="00BA4AF1" w:rsidRDefault="00000000">
            <w:pPr>
              <w:spacing w:after="30"/>
              <w:jc w:val="both"/>
              <w:rPr>
                <w:rFonts w:ascii="Times New Roman" w:eastAsia="Times New Roman" w:hAnsi="Times New Roman" w:cs="Times New Roman"/>
              </w:rPr>
            </w:pPr>
            <w:sdt>
              <w:sdtPr>
                <w:tag w:val="goog_rdk_1"/>
                <w:id w:val="-1919043843"/>
              </w:sdtPr>
              <w:sdtContent>
                <w:r w:rsidR="00EB64D7">
                  <w:rPr>
                    <w:rFonts w:ascii="Gungsuh" w:eastAsia="Gungsuh" w:hAnsi="Gungsuh" w:cs="Gungsuh"/>
                  </w:rPr>
                  <w:t>≈2–3 weeks early indication</w:t>
                </w:r>
              </w:sdtContent>
            </w:sdt>
          </w:p>
        </w:tc>
        <w:tc>
          <w:tcPr>
            <w:tcW w:w="873" w:type="dxa"/>
          </w:tcPr>
          <w:p w14:paraId="573CAC65"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Cases &amp; deaths</w:t>
            </w:r>
          </w:p>
        </w:tc>
        <w:tc>
          <w:tcPr>
            <w:tcW w:w="1253" w:type="dxa"/>
            <w:gridSpan w:val="2"/>
          </w:tcPr>
          <w:p w14:paraId="4DAE7F46"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Retrospective/near real time</w:t>
            </w:r>
          </w:p>
        </w:tc>
        <w:tc>
          <w:tcPr>
            <w:tcW w:w="1134" w:type="dxa"/>
          </w:tcPr>
          <w:p w14:paraId="3A557F70"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Research</w:t>
            </w:r>
          </w:p>
        </w:tc>
        <w:tc>
          <w:tcPr>
            <w:tcW w:w="992" w:type="dxa"/>
          </w:tcPr>
          <w:p w14:paraId="7D06D1D0"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Late fusion (ensemble)</w:t>
            </w:r>
          </w:p>
        </w:tc>
        <w:tc>
          <w:tcPr>
            <w:tcW w:w="1134" w:type="dxa"/>
          </w:tcPr>
          <w:p w14:paraId="09AC088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Detection/Lead-time</w:t>
            </w:r>
          </w:p>
        </w:tc>
        <w:tc>
          <w:tcPr>
            <w:tcW w:w="1560" w:type="dxa"/>
          </w:tcPr>
          <w:p w14:paraId="27CF2517"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Fused digital traces yielded multi-week early indicators of state-level COVID-19 activity.</w:t>
            </w:r>
          </w:p>
        </w:tc>
      </w:tr>
      <w:tr w:rsidR="00BA4AF1" w14:paraId="7C1C4418" w14:textId="77777777">
        <w:tc>
          <w:tcPr>
            <w:tcW w:w="1134" w:type="dxa"/>
          </w:tcPr>
          <w:p w14:paraId="244BAF36"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Lu (2018) – JMIR PHS</w:t>
            </w:r>
          </w:p>
        </w:tc>
        <w:tc>
          <w:tcPr>
            <w:tcW w:w="818" w:type="dxa"/>
          </w:tcPr>
          <w:p w14:paraId="068D740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Influenza (ILI)</w:t>
            </w:r>
          </w:p>
        </w:tc>
        <w:tc>
          <w:tcPr>
            <w:tcW w:w="1195" w:type="dxa"/>
          </w:tcPr>
          <w:p w14:paraId="7BA9CA7F"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Search, Twitter, others (digital traces)</w:t>
            </w:r>
          </w:p>
        </w:tc>
        <w:tc>
          <w:tcPr>
            <w:tcW w:w="1394" w:type="dxa"/>
          </w:tcPr>
          <w:p w14:paraId="3BCA57AF"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Ensemble ML</w:t>
            </w:r>
          </w:p>
        </w:tc>
        <w:tc>
          <w:tcPr>
            <w:tcW w:w="1130" w:type="dxa"/>
          </w:tcPr>
          <w:p w14:paraId="5C929DA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Monitoring &amp; short-term forecasting</w:t>
            </w:r>
          </w:p>
        </w:tc>
        <w:tc>
          <w:tcPr>
            <w:tcW w:w="1275" w:type="dxa"/>
          </w:tcPr>
          <w:p w14:paraId="7FB60725"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Correlation/MAE vs </w:t>
            </w:r>
            <w:proofErr w:type="spellStart"/>
            <w:r>
              <w:rPr>
                <w:rFonts w:ascii="Times New Roman" w:eastAsia="Times New Roman" w:hAnsi="Times New Roman" w:cs="Times New Roman"/>
              </w:rPr>
              <w:t>ILINet</w:t>
            </w:r>
            <w:proofErr w:type="spellEnd"/>
          </w:p>
        </w:tc>
        <w:tc>
          <w:tcPr>
            <w:tcW w:w="851" w:type="dxa"/>
          </w:tcPr>
          <w:p w14:paraId="053D1899"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Near real-time nowcasts</w:t>
            </w:r>
          </w:p>
        </w:tc>
        <w:tc>
          <w:tcPr>
            <w:tcW w:w="873" w:type="dxa"/>
          </w:tcPr>
          <w:p w14:paraId="13E54654"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CDC </w:t>
            </w:r>
            <w:proofErr w:type="spellStart"/>
            <w:r>
              <w:rPr>
                <w:rFonts w:ascii="Times New Roman" w:eastAsia="Times New Roman" w:hAnsi="Times New Roman" w:cs="Times New Roman"/>
              </w:rPr>
              <w:t>ILINet</w:t>
            </w:r>
            <w:proofErr w:type="spellEnd"/>
            <w:r>
              <w:rPr>
                <w:rFonts w:ascii="Times New Roman" w:eastAsia="Times New Roman" w:hAnsi="Times New Roman" w:cs="Times New Roman"/>
              </w:rPr>
              <w:t xml:space="preserve"> (metro)</w:t>
            </w:r>
          </w:p>
        </w:tc>
        <w:tc>
          <w:tcPr>
            <w:tcW w:w="1111" w:type="dxa"/>
          </w:tcPr>
          <w:p w14:paraId="5DC7C67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Retrospective case study</w:t>
            </w:r>
          </w:p>
        </w:tc>
        <w:tc>
          <w:tcPr>
            <w:tcW w:w="1276" w:type="dxa"/>
            <w:gridSpan w:val="2"/>
          </w:tcPr>
          <w:p w14:paraId="541523FC"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Research</w:t>
            </w:r>
          </w:p>
        </w:tc>
        <w:tc>
          <w:tcPr>
            <w:tcW w:w="992" w:type="dxa"/>
          </w:tcPr>
          <w:p w14:paraId="4A125E34"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Late fusion (model-level ensemble)</w:t>
            </w:r>
          </w:p>
        </w:tc>
        <w:tc>
          <w:tcPr>
            <w:tcW w:w="1134" w:type="dxa"/>
          </w:tcPr>
          <w:p w14:paraId="3DB4BAB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Error/Correlation</w:t>
            </w:r>
          </w:p>
        </w:tc>
        <w:tc>
          <w:tcPr>
            <w:tcW w:w="1560" w:type="dxa"/>
          </w:tcPr>
          <w:p w14:paraId="596B154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Multimodal fusion improved metropolitan situational awareness for influenza.</w:t>
            </w:r>
          </w:p>
        </w:tc>
      </w:tr>
      <w:tr w:rsidR="00BA4AF1" w14:paraId="7C7261C3" w14:textId="77777777">
        <w:tc>
          <w:tcPr>
            <w:tcW w:w="1134" w:type="dxa"/>
          </w:tcPr>
          <w:p w14:paraId="636D3DDC"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Lu (2019) – Nat Commun</w:t>
            </w:r>
          </w:p>
        </w:tc>
        <w:tc>
          <w:tcPr>
            <w:tcW w:w="818" w:type="dxa"/>
          </w:tcPr>
          <w:p w14:paraId="70EB058C"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Influenza (ILI)</w:t>
            </w:r>
          </w:p>
        </w:tc>
        <w:tc>
          <w:tcPr>
            <w:tcW w:w="1195" w:type="dxa"/>
          </w:tcPr>
          <w:p w14:paraId="0340C9E5"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Internet search + network effects</w:t>
            </w:r>
          </w:p>
        </w:tc>
        <w:tc>
          <w:tcPr>
            <w:tcW w:w="1394" w:type="dxa"/>
          </w:tcPr>
          <w:p w14:paraId="678DF76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Dynamic ensemble</w:t>
            </w:r>
          </w:p>
        </w:tc>
        <w:tc>
          <w:tcPr>
            <w:tcW w:w="1130" w:type="dxa"/>
          </w:tcPr>
          <w:p w14:paraId="4C58565A"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State-level nowcasting</w:t>
            </w:r>
          </w:p>
        </w:tc>
        <w:tc>
          <w:tcPr>
            <w:tcW w:w="1275" w:type="dxa"/>
          </w:tcPr>
          <w:p w14:paraId="73F58CD0"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Error reduction vs benchmarks</w:t>
            </w:r>
          </w:p>
        </w:tc>
        <w:tc>
          <w:tcPr>
            <w:tcW w:w="851" w:type="dxa"/>
          </w:tcPr>
          <w:p w14:paraId="2E280AC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Near real-time nowcasts</w:t>
            </w:r>
          </w:p>
        </w:tc>
        <w:tc>
          <w:tcPr>
            <w:tcW w:w="873" w:type="dxa"/>
          </w:tcPr>
          <w:p w14:paraId="5131B6C7"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CDC </w:t>
            </w:r>
            <w:proofErr w:type="spellStart"/>
            <w:r>
              <w:rPr>
                <w:rFonts w:ascii="Times New Roman" w:eastAsia="Times New Roman" w:hAnsi="Times New Roman" w:cs="Times New Roman"/>
              </w:rPr>
              <w:t>ILINet</w:t>
            </w:r>
            <w:proofErr w:type="spellEnd"/>
          </w:p>
        </w:tc>
        <w:tc>
          <w:tcPr>
            <w:tcW w:w="1111" w:type="dxa"/>
          </w:tcPr>
          <w:p w14:paraId="7B3DC54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Out-of-sample; multi-season</w:t>
            </w:r>
          </w:p>
        </w:tc>
        <w:tc>
          <w:tcPr>
            <w:tcW w:w="1276" w:type="dxa"/>
            <w:gridSpan w:val="2"/>
          </w:tcPr>
          <w:p w14:paraId="0BC5746F"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Research (scalable)</w:t>
            </w:r>
          </w:p>
        </w:tc>
        <w:tc>
          <w:tcPr>
            <w:tcW w:w="992" w:type="dxa"/>
          </w:tcPr>
          <w:p w14:paraId="311078C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Late fusion (ensemble)</w:t>
            </w:r>
          </w:p>
        </w:tc>
        <w:tc>
          <w:tcPr>
            <w:tcW w:w="1134" w:type="dxa"/>
          </w:tcPr>
          <w:p w14:paraId="5FF540F4"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Error/Correlation</w:t>
            </w:r>
          </w:p>
        </w:tc>
        <w:tc>
          <w:tcPr>
            <w:tcW w:w="1560" w:type="dxa"/>
          </w:tcPr>
          <w:p w14:paraId="5EC9BD5C"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The dynamic ensemble produced robust state-level influenza estimates across seasons.</w:t>
            </w:r>
          </w:p>
        </w:tc>
      </w:tr>
      <w:tr w:rsidR="00BA4AF1" w14:paraId="143C4694" w14:textId="77777777">
        <w:tc>
          <w:tcPr>
            <w:tcW w:w="1134" w:type="dxa"/>
          </w:tcPr>
          <w:p w14:paraId="4B1D72E5"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Mackey (2020) – JMIR PHS</w:t>
            </w:r>
          </w:p>
        </w:tc>
        <w:tc>
          <w:tcPr>
            <w:tcW w:w="818" w:type="dxa"/>
          </w:tcPr>
          <w:p w14:paraId="43CD9B2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COVID-19 activity</w:t>
            </w:r>
          </w:p>
        </w:tc>
        <w:tc>
          <w:tcPr>
            <w:tcW w:w="1195" w:type="dxa"/>
          </w:tcPr>
          <w:p w14:paraId="41C6DAF9"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Twitter (NLP)</w:t>
            </w:r>
          </w:p>
        </w:tc>
        <w:tc>
          <w:tcPr>
            <w:tcW w:w="1394" w:type="dxa"/>
          </w:tcPr>
          <w:p w14:paraId="04CB633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Topic models + classifiers</w:t>
            </w:r>
          </w:p>
        </w:tc>
        <w:tc>
          <w:tcPr>
            <w:tcW w:w="1130" w:type="dxa"/>
          </w:tcPr>
          <w:p w14:paraId="09A9156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Early warning from self-reports</w:t>
            </w:r>
          </w:p>
        </w:tc>
        <w:tc>
          <w:tcPr>
            <w:tcW w:w="1275" w:type="dxa"/>
          </w:tcPr>
          <w:p w14:paraId="36A62E7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Classifier F1/precision-recall; temporal correlations</w:t>
            </w:r>
          </w:p>
        </w:tc>
        <w:tc>
          <w:tcPr>
            <w:tcW w:w="851" w:type="dxa"/>
          </w:tcPr>
          <w:p w14:paraId="20523BBE"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Early signal ahead of cases (qualitative)</w:t>
            </w:r>
          </w:p>
        </w:tc>
        <w:tc>
          <w:tcPr>
            <w:tcW w:w="873" w:type="dxa"/>
          </w:tcPr>
          <w:p w14:paraId="0DCAA2B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Cases/testing trends</w:t>
            </w:r>
          </w:p>
        </w:tc>
        <w:tc>
          <w:tcPr>
            <w:tcW w:w="1111" w:type="dxa"/>
          </w:tcPr>
          <w:p w14:paraId="31D042C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Retrospective</w:t>
            </w:r>
          </w:p>
        </w:tc>
        <w:tc>
          <w:tcPr>
            <w:tcW w:w="1276" w:type="dxa"/>
            <w:gridSpan w:val="2"/>
          </w:tcPr>
          <w:p w14:paraId="1D9DD9E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Research</w:t>
            </w:r>
          </w:p>
        </w:tc>
        <w:tc>
          <w:tcPr>
            <w:tcW w:w="992" w:type="dxa"/>
          </w:tcPr>
          <w:p w14:paraId="4BBC589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Single-source</w:t>
            </w:r>
          </w:p>
        </w:tc>
        <w:tc>
          <w:tcPr>
            <w:tcW w:w="1134" w:type="dxa"/>
          </w:tcPr>
          <w:p w14:paraId="139E85A0"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Classification + Correlation</w:t>
            </w:r>
          </w:p>
        </w:tc>
        <w:tc>
          <w:tcPr>
            <w:tcW w:w="1560" w:type="dxa"/>
          </w:tcPr>
          <w:p w14:paraId="43790186"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Social-media symptom narratives provided early indication of COVID-19 trends.</w:t>
            </w:r>
          </w:p>
        </w:tc>
      </w:tr>
      <w:tr w:rsidR="00BA4AF1" w14:paraId="3B091CC6" w14:textId="77777777">
        <w:tc>
          <w:tcPr>
            <w:tcW w:w="1134" w:type="dxa"/>
          </w:tcPr>
          <w:p w14:paraId="676C4786"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Miller (2018) – Clin Infect Dis</w:t>
            </w:r>
          </w:p>
        </w:tc>
        <w:tc>
          <w:tcPr>
            <w:tcW w:w="818" w:type="dxa"/>
          </w:tcPr>
          <w:p w14:paraId="4000BC84"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Influenza-like illness</w:t>
            </w:r>
          </w:p>
        </w:tc>
        <w:tc>
          <w:tcPr>
            <w:tcW w:w="1195" w:type="dxa"/>
          </w:tcPr>
          <w:p w14:paraId="774CEFD0"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Smartphone thermometers (IoT)</w:t>
            </w:r>
          </w:p>
        </w:tc>
        <w:tc>
          <w:tcPr>
            <w:tcW w:w="1394" w:type="dxa"/>
          </w:tcPr>
          <w:p w14:paraId="5D98F2E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Time-series regression / anomaly detection</w:t>
            </w:r>
          </w:p>
        </w:tc>
        <w:tc>
          <w:tcPr>
            <w:tcW w:w="1130" w:type="dxa"/>
          </w:tcPr>
          <w:p w14:paraId="4FAC4B6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Nowcasting &amp; 1–</w:t>
            </w:r>
            <w:proofErr w:type="gramStart"/>
            <w:r>
              <w:rPr>
                <w:rFonts w:ascii="Times New Roman" w:eastAsia="Times New Roman" w:hAnsi="Times New Roman" w:cs="Times New Roman"/>
              </w:rPr>
              <w:t>3 week</w:t>
            </w:r>
            <w:proofErr w:type="gramEnd"/>
            <w:r>
              <w:rPr>
                <w:rFonts w:ascii="Times New Roman" w:eastAsia="Times New Roman" w:hAnsi="Times New Roman" w:cs="Times New Roman"/>
              </w:rPr>
              <w:t xml:space="preserve"> forecasting</w:t>
            </w:r>
          </w:p>
        </w:tc>
        <w:tc>
          <w:tcPr>
            <w:tcW w:w="1275" w:type="dxa"/>
          </w:tcPr>
          <w:p w14:paraId="1FD4CDEA"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Forecast correlation/MAE vs </w:t>
            </w:r>
            <w:proofErr w:type="spellStart"/>
            <w:r>
              <w:rPr>
                <w:rFonts w:ascii="Times New Roman" w:eastAsia="Times New Roman" w:hAnsi="Times New Roman" w:cs="Times New Roman"/>
              </w:rPr>
              <w:t>ILINet</w:t>
            </w:r>
            <w:proofErr w:type="spellEnd"/>
          </w:p>
        </w:tc>
        <w:tc>
          <w:tcPr>
            <w:tcW w:w="851" w:type="dxa"/>
          </w:tcPr>
          <w:p w14:paraId="41EC3F4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Up to ~3-week improvement</w:t>
            </w:r>
          </w:p>
        </w:tc>
        <w:tc>
          <w:tcPr>
            <w:tcW w:w="873" w:type="dxa"/>
          </w:tcPr>
          <w:p w14:paraId="1F448C9E"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CDC </w:t>
            </w:r>
            <w:proofErr w:type="spellStart"/>
            <w:r>
              <w:rPr>
                <w:rFonts w:ascii="Times New Roman" w:eastAsia="Times New Roman" w:hAnsi="Times New Roman" w:cs="Times New Roman"/>
              </w:rPr>
              <w:t>ILINet</w:t>
            </w:r>
            <w:proofErr w:type="spellEnd"/>
            <w:r>
              <w:rPr>
                <w:rFonts w:ascii="Times New Roman" w:eastAsia="Times New Roman" w:hAnsi="Times New Roman" w:cs="Times New Roman"/>
              </w:rPr>
              <w:t xml:space="preserve">; autoregressive </w:t>
            </w:r>
            <w:r>
              <w:rPr>
                <w:rFonts w:ascii="Times New Roman" w:eastAsia="Times New Roman" w:hAnsi="Times New Roman" w:cs="Times New Roman"/>
              </w:rPr>
              <w:lastRenderedPageBreak/>
              <w:t>baselines</w:t>
            </w:r>
          </w:p>
        </w:tc>
        <w:tc>
          <w:tcPr>
            <w:tcW w:w="1111" w:type="dxa"/>
          </w:tcPr>
          <w:p w14:paraId="23D34C9C"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lastRenderedPageBreak/>
              <w:t>Retrospective out-of-sample</w:t>
            </w:r>
          </w:p>
        </w:tc>
        <w:tc>
          <w:tcPr>
            <w:tcW w:w="1276" w:type="dxa"/>
            <w:gridSpan w:val="2"/>
          </w:tcPr>
          <w:p w14:paraId="7C2ED3E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Operational consumer network; research analyses</w:t>
            </w:r>
          </w:p>
        </w:tc>
        <w:tc>
          <w:tcPr>
            <w:tcW w:w="992" w:type="dxa"/>
          </w:tcPr>
          <w:p w14:paraId="2B8395CA"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Single-source</w:t>
            </w:r>
          </w:p>
        </w:tc>
        <w:tc>
          <w:tcPr>
            <w:tcW w:w="1134" w:type="dxa"/>
          </w:tcPr>
          <w:p w14:paraId="721636A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Error/Correlation</w:t>
            </w:r>
          </w:p>
        </w:tc>
        <w:tc>
          <w:tcPr>
            <w:tcW w:w="1560" w:type="dxa"/>
          </w:tcPr>
          <w:p w14:paraId="593AACEE"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Fever signals enhanced ILI tracking and short-horizon forecasts in near real-time.</w:t>
            </w:r>
          </w:p>
        </w:tc>
      </w:tr>
      <w:tr w:rsidR="00BA4AF1" w14:paraId="11528039" w14:textId="77777777">
        <w:tc>
          <w:tcPr>
            <w:tcW w:w="1134" w:type="dxa"/>
          </w:tcPr>
          <w:p w14:paraId="67A1AA80"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Nobles (2022) – Science Advances</w:t>
            </w:r>
          </w:p>
        </w:tc>
        <w:tc>
          <w:tcPr>
            <w:tcW w:w="818" w:type="dxa"/>
          </w:tcPr>
          <w:p w14:paraId="4016D0C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Emerging threats (</w:t>
            </w:r>
            <w:proofErr w:type="spellStart"/>
            <w:r>
              <w:rPr>
                <w:rFonts w:ascii="Times New Roman" w:eastAsia="Times New Roman" w:hAnsi="Times New Roman" w:cs="Times New Roman"/>
              </w:rPr>
              <w:t>presyndromic</w:t>
            </w:r>
            <w:proofErr w:type="spellEnd"/>
            <w:r>
              <w:rPr>
                <w:rFonts w:ascii="Times New Roman" w:eastAsia="Times New Roman" w:hAnsi="Times New Roman" w:cs="Times New Roman"/>
              </w:rPr>
              <w:t>)</w:t>
            </w:r>
          </w:p>
        </w:tc>
        <w:tc>
          <w:tcPr>
            <w:tcW w:w="1195" w:type="dxa"/>
          </w:tcPr>
          <w:p w14:paraId="4654722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ED chief-complaint free-text</w:t>
            </w:r>
          </w:p>
        </w:tc>
        <w:tc>
          <w:tcPr>
            <w:tcW w:w="1394" w:type="dxa"/>
          </w:tcPr>
          <w:p w14:paraId="30AC38C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Unsupervised pattern discovery + ML triage</w:t>
            </w:r>
          </w:p>
        </w:tc>
        <w:tc>
          <w:tcPr>
            <w:tcW w:w="1130" w:type="dxa"/>
          </w:tcPr>
          <w:p w14:paraId="5A0B18BC" w14:textId="77777777" w:rsidR="00BA4AF1" w:rsidRDefault="00EB64D7">
            <w:pPr>
              <w:spacing w:after="30"/>
              <w:jc w:val="both"/>
              <w:rPr>
                <w:rFonts w:ascii="Times New Roman" w:eastAsia="Times New Roman" w:hAnsi="Times New Roman" w:cs="Times New Roman"/>
              </w:rPr>
            </w:pPr>
            <w:proofErr w:type="spellStart"/>
            <w:r>
              <w:rPr>
                <w:rFonts w:ascii="Times New Roman" w:eastAsia="Times New Roman" w:hAnsi="Times New Roman" w:cs="Times New Roman"/>
              </w:rPr>
              <w:t>Presyndromic</w:t>
            </w:r>
            <w:proofErr w:type="spellEnd"/>
            <w:r>
              <w:rPr>
                <w:rFonts w:ascii="Times New Roman" w:eastAsia="Times New Roman" w:hAnsi="Times New Roman" w:cs="Times New Roman"/>
              </w:rPr>
              <w:t xml:space="preserve"> detection</w:t>
            </w:r>
          </w:p>
        </w:tc>
        <w:tc>
          <w:tcPr>
            <w:tcW w:w="1275" w:type="dxa"/>
          </w:tcPr>
          <w:p w14:paraId="76C0DA75"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Timeliness; false alarms/PPV</w:t>
            </w:r>
          </w:p>
        </w:tc>
        <w:tc>
          <w:tcPr>
            <w:tcW w:w="851" w:type="dxa"/>
          </w:tcPr>
          <w:p w14:paraId="5F89A580"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Improved detection with fewer false positives</w:t>
            </w:r>
          </w:p>
        </w:tc>
        <w:tc>
          <w:tcPr>
            <w:tcW w:w="873" w:type="dxa"/>
          </w:tcPr>
          <w:p w14:paraId="3E9F0806"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Public health investigations/existing alerts</w:t>
            </w:r>
          </w:p>
        </w:tc>
        <w:tc>
          <w:tcPr>
            <w:tcW w:w="1111" w:type="dxa"/>
          </w:tcPr>
          <w:p w14:paraId="7603B6E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Retrospective + embedded testing</w:t>
            </w:r>
          </w:p>
        </w:tc>
        <w:tc>
          <w:tcPr>
            <w:tcW w:w="1276" w:type="dxa"/>
            <w:gridSpan w:val="2"/>
          </w:tcPr>
          <w:p w14:paraId="078D9FC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Embedded in NYC DOHMH workflow</w:t>
            </w:r>
          </w:p>
        </w:tc>
        <w:tc>
          <w:tcPr>
            <w:tcW w:w="992" w:type="dxa"/>
          </w:tcPr>
          <w:p w14:paraId="5F367A1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Single-source</w:t>
            </w:r>
          </w:p>
        </w:tc>
        <w:tc>
          <w:tcPr>
            <w:tcW w:w="1134" w:type="dxa"/>
          </w:tcPr>
          <w:p w14:paraId="47F7A3EB"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Detection/False-alarm control</w:t>
            </w:r>
          </w:p>
        </w:tc>
        <w:tc>
          <w:tcPr>
            <w:tcW w:w="1560" w:type="dxa"/>
          </w:tcPr>
          <w:p w14:paraId="0258521B"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ED free-text ML improved localized detection while reducing irrelevant alerts.</w:t>
            </w:r>
          </w:p>
        </w:tc>
      </w:tr>
      <w:tr w:rsidR="00BA4AF1" w14:paraId="28FFB173" w14:textId="77777777">
        <w:tc>
          <w:tcPr>
            <w:tcW w:w="1134" w:type="dxa"/>
          </w:tcPr>
          <w:p w14:paraId="250DB6D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Radin (2020) – Lancet Digit Health</w:t>
            </w:r>
          </w:p>
        </w:tc>
        <w:tc>
          <w:tcPr>
            <w:tcW w:w="818" w:type="dxa"/>
          </w:tcPr>
          <w:p w14:paraId="1A2C466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Influenza-like illness</w:t>
            </w:r>
          </w:p>
        </w:tc>
        <w:tc>
          <w:tcPr>
            <w:tcW w:w="1195" w:type="dxa"/>
          </w:tcPr>
          <w:p w14:paraId="2F9681CA"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Wearables (Fitbit)</w:t>
            </w:r>
          </w:p>
        </w:tc>
        <w:tc>
          <w:tcPr>
            <w:tcW w:w="1394" w:type="dxa"/>
          </w:tcPr>
          <w:p w14:paraId="3BFDF315"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Anomaly detection / regression</w:t>
            </w:r>
          </w:p>
        </w:tc>
        <w:tc>
          <w:tcPr>
            <w:tcW w:w="1130" w:type="dxa"/>
          </w:tcPr>
          <w:p w14:paraId="18633829"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Surveillance augmentation</w:t>
            </w:r>
          </w:p>
        </w:tc>
        <w:tc>
          <w:tcPr>
            <w:tcW w:w="1275" w:type="dxa"/>
          </w:tcPr>
          <w:p w14:paraId="316E33F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Correlation/MAE vs </w:t>
            </w:r>
            <w:proofErr w:type="spellStart"/>
            <w:r>
              <w:rPr>
                <w:rFonts w:ascii="Times New Roman" w:eastAsia="Times New Roman" w:hAnsi="Times New Roman" w:cs="Times New Roman"/>
              </w:rPr>
              <w:t>ILINet</w:t>
            </w:r>
            <w:proofErr w:type="spellEnd"/>
          </w:p>
        </w:tc>
        <w:tc>
          <w:tcPr>
            <w:tcW w:w="851" w:type="dxa"/>
          </w:tcPr>
          <w:p w14:paraId="6BCC77F9"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Improved real-time estimates</w:t>
            </w:r>
          </w:p>
        </w:tc>
        <w:tc>
          <w:tcPr>
            <w:tcW w:w="873" w:type="dxa"/>
          </w:tcPr>
          <w:p w14:paraId="1E23853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CDC </w:t>
            </w:r>
            <w:proofErr w:type="spellStart"/>
            <w:r>
              <w:rPr>
                <w:rFonts w:ascii="Times New Roman" w:eastAsia="Times New Roman" w:hAnsi="Times New Roman" w:cs="Times New Roman"/>
              </w:rPr>
              <w:t>ILINet</w:t>
            </w:r>
            <w:proofErr w:type="spellEnd"/>
          </w:p>
        </w:tc>
        <w:tc>
          <w:tcPr>
            <w:tcW w:w="1111" w:type="dxa"/>
          </w:tcPr>
          <w:p w14:paraId="53BA6F4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Retrospective, population-based</w:t>
            </w:r>
          </w:p>
        </w:tc>
        <w:tc>
          <w:tcPr>
            <w:tcW w:w="1276" w:type="dxa"/>
            <w:gridSpan w:val="2"/>
          </w:tcPr>
          <w:p w14:paraId="324B46D7"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Research</w:t>
            </w:r>
          </w:p>
        </w:tc>
        <w:tc>
          <w:tcPr>
            <w:tcW w:w="992" w:type="dxa"/>
          </w:tcPr>
          <w:p w14:paraId="0CE9765B"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Single-source</w:t>
            </w:r>
          </w:p>
        </w:tc>
        <w:tc>
          <w:tcPr>
            <w:tcW w:w="1134" w:type="dxa"/>
          </w:tcPr>
          <w:p w14:paraId="736E492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Error/Correlation</w:t>
            </w:r>
          </w:p>
        </w:tc>
        <w:tc>
          <w:tcPr>
            <w:tcW w:w="1560" w:type="dxa"/>
          </w:tcPr>
          <w:p w14:paraId="68F8B9E0"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Wearable physiology improved state-level ILI surveillance performance.</w:t>
            </w:r>
          </w:p>
        </w:tc>
      </w:tr>
      <w:tr w:rsidR="00BA4AF1" w14:paraId="4F6AED2C" w14:textId="77777777">
        <w:tc>
          <w:tcPr>
            <w:tcW w:w="1134" w:type="dxa"/>
          </w:tcPr>
          <w:p w14:paraId="744751E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Santillana (2016) – Sci Rep</w:t>
            </w:r>
          </w:p>
        </w:tc>
        <w:tc>
          <w:tcPr>
            <w:tcW w:w="818" w:type="dxa"/>
          </w:tcPr>
          <w:p w14:paraId="6F1E15E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Influenza (ILI)</w:t>
            </w:r>
          </w:p>
        </w:tc>
        <w:tc>
          <w:tcPr>
            <w:tcW w:w="1195" w:type="dxa"/>
          </w:tcPr>
          <w:p w14:paraId="703B636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Cloud EHR + historical surveillance</w:t>
            </w:r>
          </w:p>
        </w:tc>
        <w:tc>
          <w:tcPr>
            <w:tcW w:w="1394" w:type="dxa"/>
          </w:tcPr>
          <w:p w14:paraId="31609B6A"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ML regression ensemble</w:t>
            </w:r>
          </w:p>
        </w:tc>
        <w:tc>
          <w:tcPr>
            <w:tcW w:w="1130" w:type="dxa"/>
          </w:tcPr>
          <w:p w14:paraId="6237123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Near real-time estimation</w:t>
            </w:r>
          </w:p>
        </w:tc>
        <w:tc>
          <w:tcPr>
            <w:tcW w:w="1275" w:type="dxa"/>
          </w:tcPr>
          <w:p w14:paraId="75C39B1A"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Correlation/MAE vs </w:t>
            </w:r>
            <w:proofErr w:type="spellStart"/>
            <w:r>
              <w:rPr>
                <w:rFonts w:ascii="Times New Roman" w:eastAsia="Times New Roman" w:hAnsi="Times New Roman" w:cs="Times New Roman"/>
              </w:rPr>
              <w:t>ILINet</w:t>
            </w:r>
            <w:proofErr w:type="spellEnd"/>
          </w:p>
        </w:tc>
        <w:tc>
          <w:tcPr>
            <w:tcW w:w="851" w:type="dxa"/>
          </w:tcPr>
          <w:p w14:paraId="6C2238B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Near real-time nowcasts</w:t>
            </w:r>
          </w:p>
        </w:tc>
        <w:tc>
          <w:tcPr>
            <w:tcW w:w="873" w:type="dxa"/>
          </w:tcPr>
          <w:p w14:paraId="77E5CF1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CDC </w:t>
            </w:r>
            <w:proofErr w:type="spellStart"/>
            <w:r>
              <w:rPr>
                <w:rFonts w:ascii="Times New Roman" w:eastAsia="Times New Roman" w:hAnsi="Times New Roman" w:cs="Times New Roman"/>
              </w:rPr>
              <w:t>ILINet</w:t>
            </w:r>
            <w:proofErr w:type="spellEnd"/>
          </w:p>
        </w:tc>
        <w:tc>
          <w:tcPr>
            <w:tcW w:w="1111" w:type="dxa"/>
          </w:tcPr>
          <w:p w14:paraId="4645A740"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Retrospective out-of-sample</w:t>
            </w:r>
          </w:p>
        </w:tc>
        <w:tc>
          <w:tcPr>
            <w:tcW w:w="1276" w:type="dxa"/>
            <w:gridSpan w:val="2"/>
          </w:tcPr>
          <w:p w14:paraId="792E27A0"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Research using vendor EHR feeds</w:t>
            </w:r>
          </w:p>
        </w:tc>
        <w:tc>
          <w:tcPr>
            <w:tcW w:w="992" w:type="dxa"/>
          </w:tcPr>
          <w:p w14:paraId="7AB31C1C"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Early fusion (feature-level)</w:t>
            </w:r>
          </w:p>
        </w:tc>
        <w:tc>
          <w:tcPr>
            <w:tcW w:w="1134" w:type="dxa"/>
          </w:tcPr>
          <w:p w14:paraId="444A491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Error/Correlation</w:t>
            </w:r>
          </w:p>
        </w:tc>
        <w:tc>
          <w:tcPr>
            <w:tcW w:w="1560" w:type="dxa"/>
          </w:tcPr>
          <w:p w14:paraId="70E2FF59"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EHR-based ML yielded timely state/regional influenza estimates surpassing historical baselines.</w:t>
            </w:r>
          </w:p>
        </w:tc>
      </w:tr>
      <w:tr w:rsidR="00BA4AF1" w14:paraId="152C1FA8" w14:textId="77777777">
        <w:tc>
          <w:tcPr>
            <w:tcW w:w="1134" w:type="dxa"/>
          </w:tcPr>
          <w:p w14:paraId="541983EE" w14:textId="77777777" w:rsidR="00BA4AF1" w:rsidRDefault="00EB64D7">
            <w:pPr>
              <w:spacing w:after="30"/>
              <w:jc w:val="both"/>
              <w:rPr>
                <w:rFonts w:ascii="Times New Roman" w:eastAsia="Times New Roman" w:hAnsi="Times New Roman" w:cs="Times New Roman"/>
              </w:rPr>
            </w:pPr>
            <w:proofErr w:type="spellStart"/>
            <w:r>
              <w:rPr>
                <w:rFonts w:ascii="Times New Roman" w:eastAsia="Times New Roman" w:hAnsi="Times New Roman" w:cs="Times New Roman"/>
              </w:rPr>
              <w:t>Sapoval</w:t>
            </w:r>
            <w:proofErr w:type="spellEnd"/>
            <w:r>
              <w:rPr>
                <w:rFonts w:ascii="Times New Roman" w:eastAsia="Times New Roman" w:hAnsi="Times New Roman" w:cs="Times New Roman"/>
              </w:rPr>
              <w:t xml:space="preserve"> (2023) – Nat Commun</w:t>
            </w:r>
          </w:p>
        </w:tc>
        <w:tc>
          <w:tcPr>
            <w:tcW w:w="818" w:type="dxa"/>
          </w:tcPr>
          <w:p w14:paraId="71E71E3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SARS-CoV-2 </w:t>
            </w:r>
            <w:proofErr w:type="spellStart"/>
            <w:r>
              <w:rPr>
                <w:rFonts w:ascii="Times New Roman" w:eastAsia="Times New Roman" w:hAnsi="Times New Roman" w:cs="Times New Roman"/>
              </w:rPr>
              <w:t>VoC</w:t>
            </w:r>
            <w:proofErr w:type="spellEnd"/>
            <w:r>
              <w:rPr>
                <w:rFonts w:ascii="Times New Roman" w:eastAsia="Times New Roman" w:hAnsi="Times New Roman" w:cs="Times New Roman"/>
              </w:rPr>
              <w:t xml:space="preserve"> detection</w:t>
            </w:r>
          </w:p>
        </w:tc>
        <w:tc>
          <w:tcPr>
            <w:tcW w:w="1195" w:type="dxa"/>
          </w:tcPr>
          <w:p w14:paraId="4A7F459A"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Wastewater sequencing</w:t>
            </w:r>
          </w:p>
        </w:tc>
        <w:tc>
          <w:tcPr>
            <w:tcW w:w="1394" w:type="dxa"/>
          </w:tcPr>
          <w:p w14:paraId="0F9DF725" w14:textId="77777777" w:rsidR="00BA4AF1" w:rsidRDefault="00EB64D7">
            <w:pPr>
              <w:spacing w:after="30"/>
              <w:jc w:val="both"/>
              <w:rPr>
                <w:rFonts w:ascii="Times New Roman" w:eastAsia="Times New Roman" w:hAnsi="Times New Roman" w:cs="Times New Roman"/>
              </w:rPr>
            </w:pPr>
            <w:proofErr w:type="spellStart"/>
            <w:r>
              <w:rPr>
                <w:rFonts w:ascii="Times New Roman" w:eastAsia="Times New Roman" w:hAnsi="Times New Roman" w:cs="Times New Roman"/>
              </w:rPr>
              <w:t>QuaID</w:t>
            </w:r>
            <w:proofErr w:type="spellEnd"/>
            <w:r>
              <w:rPr>
                <w:rFonts w:ascii="Times New Roman" w:eastAsia="Times New Roman" w:hAnsi="Times New Roman" w:cs="Times New Roman"/>
              </w:rPr>
              <w:t xml:space="preserve"> pipeline (ML features)</w:t>
            </w:r>
          </w:p>
        </w:tc>
        <w:tc>
          <w:tcPr>
            <w:tcW w:w="1130" w:type="dxa"/>
          </w:tcPr>
          <w:p w14:paraId="3A1F03E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Early </w:t>
            </w:r>
            <w:proofErr w:type="spellStart"/>
            <w:r>
              <w:rPr>
                <w:rFonts w:ascii="Times New Roman" w:eastAsia="Times New Roman" w:hAnsi="Times New Roman" w:cs="Times New Roman"/>
              </w:rPr>
              <w:t>VoC</w:t>
            </w:r>
            <w:proofErr w:type="spellEnd"/>
            <w:r>
              <w:rPr>
                <w:rFonts w:ascii="Times New Roman" w:eastAsia="Times New Roman" w:hAnsi="Times New Roman" w:cs="Times New Roman"/>
              </w:rPr>
              <w:t xml:space="preserve"> detection</w:t>
            </w:r>
          </w:p>
        </w:tc>
        <w:tc>
          <w:tcPr>
            <w:tcW w:w="1275" w:type="dxa"/>
          </w:tcPr>
          <w:p w14:paraId="52E4CCD7"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Precision/recall (sim + real)</w:t>
            </w:r>
          </w:p>
        </w:tc>
        <w:tc>
          <w:tcPr>
            <w:tcW w:w="851" w:type="dxa"/>
          </w:tcPr>
          <w:p w14:paraId="2E9348D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Up to ~3 weeks earlier</w:t>
            </w:r>
          </w:p>
        </w:tc>
        <w:tc>
          <w:tcPr>
            <w:tcW w:w="873" w:type="dxa"/>
          </w:tcPr>
          <w:p w14:paraId="635E602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Clinical sequences; simulations</w:t>
            </w:r>
          </w:p>
        </w:tc>
        <w:tc>
          <w:tcPr>
            <w:tcW w:w="1111" w:type="dxa"/>
          </w:tcPr>
          <w:p w14:paraId="369BC8A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Benchmarking + real-world</w:t>
            </w:r>
          </w:p>
        </w:tc>
        <w:tc>
          <w:tcPr>
            <w:tcW w:w="1276" w:type="dxa"/>
            <w:gridSpan w:val="2"/>
          </w:tcPr>
          <w:p w14:paraId="116CAA1F"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Research-to-operations</w:t>
            </w:r>
          </w:p>
        </w:tc>
        <w:tc>
          <w:tcPr>
            <w:tcW w:w="992" w:type="dxa"/>
          </w:tcPr>
          <w:p w14:paraId="10C734BE"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Single-source</w:t>
            </w:r>
          </w:p>
        </w:tc>
        <w:tc>
          <w:tcPr>
            <w:tcW w:w="1134" w:type="dxa"/>
          </w:tcPr>
          <w:p w14:paraId="453F0975"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Classification + Lead-time</w:t>
            </w:r>
          </w:p>
        </w:tc>
        <w:tc>
          <w:tcPr>
            <w:tcW w:w="1560" w:type="dxa"/>
          </w:tcPr>
          <w:p w14:paraId="1E5A9C55" w14:textId="77777777" w:rsidR="00BA4AF1" w:rsidRDefault="00EB64D7">
            <w:pPr>
              <w:spacing w:after="30"/>
              <w:jc w:val="both"/>
              <w:rPr>
                <w:rFonts w:ascii="Times New Roman" w:eastAsia="Times New Roman" w:hAnsi="Times New Roman" w:cs="Times New Roman"/>
              </w:rPr>
            </w:pPr>
            <w:proofErr w:type="spellStart"/>
            <w:r>
              <w:rPr>
                <w:rFonts w:ascii="Times New Roman" w:eastAsia="Times New Roman" w:hAnsi="Times New Roman" w:cs="Times New Roman"/>
              </w:rPr>
              <w:t>QuaID</w:t>
            </w:r>
            <w:proofErr w:type="spellEnd"/>
            <w:r>
              <w:rPr>
                <w:rFonts w:ascii="Times New Roman" w:eastAsia="Times New Roman" w:hAnsi="Times New Roman" w:cs="Times New Roman"/>
              </w:rPr>
              <w:t xml:space="preserve"> improved wastewater </w:t>
            </w:r>
            <w:proofErr w:type="spellStart"/>
            <w:r>
              <w:rPr>
                <w:rFonts w:ascii="Times New Roman" w:eastAsia="Times New Roman" w:hAnsi="Times New Roman" w:cs="Times New Roman"/>
              </w:rPr>
              <w:t>VoC</w:t>
            </w:r>
            <w:proofErr w:type="spellEnd"/>
            <w:r>
              <w:rPr>
                <w:rFonts w:ascii="Times New Roman" w:eastAsia="Times New Roman" w:hAnsi="Times New Roman" w:cs="Times New Roman"/>
              </w:rPr>
              <w:t xml:space="preserve"> detection accuracy and timeliness.</w:t>
            </w:r>
          </w:p>
        </w:tc>
      </w:tr>
      <w:tr w:rsidR="00BA4AF1" w14:paraId="3AAC02E0" w14:textId="77777777">
        <w:tc>
          <w:tcPr>
            <w:tcW w:w="1134" w:type="dxa"/>
          </w:tcPr>
          <w:p w14:paraId="58C71B0A" w14:textId="77777777" w:rsidR="00BA4AF1" w:rsidRDefault="00EB64D7">
            <w:pPr>
              <w:spacing w:after="30"/>
              <w:jc w:val="both"/>
              <w:rPr>
                <w:rFonts w:ascii="Times New Roman" w:eastAsia="Times New Roman" w:hAnsi="Times New Roman" w:cs="Times New Roman"/>
              </w:rPr>
            </w:pPr>
            <w:proofErr w:type="spellStart"/>
            <w:r>
              <w:rPr>
                <w:rFonts w:ascii="Times New Roman" w:eastAsia="Times New Roman" w:hAnsi="Times New Roman" w:cs="Times New Roman"/>
              </w:rPr>
              <w:t>Stolerman</w:t>
            </w:r>
            <w:proofErr w:type="spellEnd"/>
            <w:r>
              <w:rPr>
                <w:rFonts w:ascii="Times New Roman" w:eastAsia="Times New Roman" w:hAnsi="Times New Roman" w:cs="Times New Roman"/>
              </w:rPr>
              <w:t xml:space="preserve"> (2023) – Science Advances</w:t>
            </w:r>
          </w:p>
        </w:tc>
        <w:tc>
          <w:tcPr>
            <w:tcW w:w="818" w:type="dxa"/>
          </w:tcPr>
          <w:p w14:paraId="6965328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COVID-19 surges</w:t>
            </w:r>
          </w:p>
        </w:tc>
        <w:tc>
          <w:tcPr>
            <w:tcW w:w="1195" w:type="dxa"/>
          </w:tcPr>
          <w:p w14:paraId="6A4FAA4C"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Digital traces (search, Twitter, </w:t>
            </w:r>
            <w:r>
              <w:rPr>
                <w:rFonts w:ascii="Times New Roman" w:eastAsia="Times New Roman" w:hAnsi="Times New Roman" w:cs="Times New Roman"/>
              </w:rPr>
              <w:lastRenderedPageBreak/>
              <w:t>clinician, neighbors)</w:t>
            </w:r>
          </w:p>
        </w:tc>
        <w:tc>
          <w:tcPr>
            <w:tcW w:w="1394" w:type="dxa"/>
          </w:tcPr>
          <w:p w14:paraId="0D45163B"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lastRenderedPageBreak/>
              <w:t>Prospective ML early-warning</w:t>
            </w:r>
          </w:p>
        </w:tc>
        <w:tc>
          <w:tcPr>
            <w:tcW w:w="1130" w:type="dxa"/>
          </w:tcPr>
          <w:p w14:paraId="2E72892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County-level early warning</w:t>
            </w:r>
          </w:p>
        </w:tc>
        <w:tc>
          <w:tcPr>
            <w:tcW w:w="1275" w:type="dxa"/>
          </w:tcPr>
          <w:p w14:paraId="7B03C3E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Prospective accuracy; alerting </w:t>
            </w:r>
            <w:r>
              <w:rPr>
                <w:rFonts w:ascii="Times New Roman" w:eastAsia="Times New Roman" w:hAnsi="Times New Roman" w:cs="Times New Roman"/>
              </w:rPr>
              <w:lastRenderedPageBreak/>
              <w:t>performance</w:t>
            </w:r>
          </w:p>
        </w:tc>
        <w:tc>
          <w:tcPr>
            <w:tcW w:w="851" w:type="dxa"/>
          </w:tcPr>
          <w:p w14:paraId="5A804E7C"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lastRenderedPageBreak/>
              <w:t>Early indication</w:t>
            </w:r>
          </w:p>
        </w:tc>
        <w:tc>
          <w:tcPr>
            <w:tcW w:w="873" w:type="dxa"/>
          </w:tcPr>
          <w:p w14:paraId="074FE0C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Reported cases/deaths</w:t>
            </w:r>
          </w:p>
        </w:tc>
        <w:tc>
          <w:tcPr>
            <w:tcW w:w="1111" w:type="dxa"/>
          </w:tcPr>
          <w:p w14:paraId="1E6E5A0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Prospective real-time</w:t>
            </w:r>
          </w:p>
        </w:tc>
        <w:tc>
          <w:tcPr>
            <w:tcW w:w="1276" w:type="dxa"/>
            <w:gridSpan w:val="2"/>
          </w:tcPr>
          <w:p w14:paraId="0A80996F"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Research with operational intent</w:t>
            </w:r>
          </w:p>
        </w:tc>
        <w:tc>
          <w:tcPr>
            <w:tcW w:w="992" w:type="dxa"/>
          </w:tcPr>
          <w:p w14:paraId="028AF77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Late fusion (ensemble)</w:t>
            </w:r>
          </w:p>
        </w:tc>
        <w:tc>
          <w:tcPr>
            <w:tcW w:w="1134" w:type="dxa"/>
          </w:tcPr>
          <w:p w14:paraId="2844564A"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Detection/Lead-time</w:t>
            </w:r>
          </w:p>
        </w:tc>
        <w:tc>
          <w:tcPr>
            <w:tcW w:w="1560" w:type="dxa"/>
          </w:tcPr>
          <w:p w14:paraId="60AF285B"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Prospective EWS showed anticipatory signals for </w:t>
            </w:r>
            <w:r>
              <w:rPr>
                <w:rFonts w:ascii="Times New Roman" w:eastAsia="Times New Roman" w:hAnsi="Times New Roman" w:cs="Times New Roman"/>
              </w:rPr>
              <w:lastRenderedPageBreak/>
              <w:t>county-level surges.</w:t>
            </w:r>
          </w:p>
        </w:tc>
      </w:tr>
      <w:tr w:rsidR="00BA4AF1" w14:paraId="0C116DAE" w14:textId="77777777">
        <w:tc>
          <w:tcPr>
            <w:tcW w:w="1134" w:type="dxa"/>
          </w:tcPr>
          <w:p w14:paraId="73F720B7" w14:textId="77777777" w:rsidR="00BA4AF1" w:rsidRDefault="00EB64D7">
            <w:pPr>
              <w:spacing w:after="30"/>
              <w:jc w:val="both"/>
              <w:rPr>
                <w:rFonts w:ascii="Times New Roman" w:eastAsia="Times New Roman" w:hAnsi="Times New Roman" w:cs="Times New Roman"/>
              </w:rPr>
            </w:pPr>
            <w:proofErr w:type="spellStart"/>
            <w:r>
              <w:rPr>
                <w:rFonts w:ascii="Times New Roman" w:eastAsia="Times New Roman" w:hAnsi="Times New Roman" w:cs="Times New Roman"/>
              </w:rPr>
              <w:t>Turakhia</w:t>
            </w:r>
            <w:proofErr w:type="spellEnd"/>
            <w:r>
              <w:rPr>
                <w:rFonts w:ascii="Times New Roman" w:eastAsia="Times New Roman" w:hAnsi="Times New Roman" w:cs="Times New Roman"/>
              </w:rPr>
              <w:t xml:space="preserve"> (2021) – Nat Genet (</w:t>
            </w:r>
            <w:proofErr w:type="spellStart"/>
            <w:r>
              <w:rPr>
                <w:rFonts w:ascii="Times New Roman" w:eastAsia="Times New Roman" w:hAnsi="Times New Roman" w:cs="Times New Roman"/>
              </w:rPr>
              <w:t>UShER</w:t>
            </w:r>
            <w:proofErr w:type="spellEnd"/>
            <w:r>
              <w:rPr>
                <w:rFonts w:ascii="Times New Roman" w:eastAsia="Times New Roman" w:hAnsi="Times New Roman" w:cs="Times New Roman"/>
              </w:rPr>
              <w:t>)</w:t>
            </w:r>
          </w:p>
        </w:tc>
        <w:tc>
          <w:tcPr>
            <w:tcW w:w="818" w:type="dxa"/>
          </w:tcPr>
          <w:p w14:paraId="6AAF0869"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SARS-CoV-2 lineages</w:t>
            </w:r>
          </w:p>
        </w:tc>
        <w:tc>
          <w:tcPr>
            <w:tcW w:w="1195" w:type="dxa"/>
          </w:tcPr>
          <w:p w14:paraId="57E28EC4"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Viral genomes (clinical &amp; wastewater)</w:t>
            </w:r>
          </w:p>
        </w:tc>
        <w:tc>
          <w:tcPr>
            <w:tcW w:w="1394" w:type="dxa"/>
          </w:tcPr>
          <w:p w14:paraId="298BE140"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Phylogenetic placement</w:t>
            </w:r>
          </w:p>
        </w:tc>
        <w:tc>
          <w:tcPr>
            <w:tcW w:w="1130" w:type="dxa"/>
          </w:tcPr>
          <w:p w14:paraId="764D2B3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Real-time genomic surveillance</w:t>
            </w:r>
          </w:p>
        </w:tc>
        <w:tc>
          <w:tcPr>
            <w:tcW w:w="1275" w:type="dxa"/>
          </w:tcPr>
          <w:p w14:paraId="0980BEF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Placement accuracy/speed</w:t>
            </w:r>
          </w:p>
        </w:tc>
        <w:tc>
          <w:tcPr>
            <w:tcW w:w="851" w:type="dxa"/>
          </w:tcPr>
          <w:p w14:paraId="2B2A0017"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Rapid lineage assignment</w:t>
            </w:r>
          </w:p>
        </w:tc>
        <w:tc>
          <w:tcPr>
            <w:tcW w:w="873" w:type="dxa"/>
          </w:tcPr>
          <w:p w14:paraId="05523259"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Reference trees/consensus</w:t>
            </w:r>
          </w:p>
        </w:tc>
        <w:tc>
          <w:tcPr>
            <w:tcW w:w="1111" w:type="dxa"/>
          </w:tcPr>
          <w:p w14:paraId="3D623874"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Benchmarking</w:t>
            </w:r>
          </w:p>
        </w:tc>
        <w:tc>
          <w:tcPr>
            <w:tcW w:w="1276" w:type="dxa"/>
            <w:gridSpan w:val="2"/>
          </w:tcPr>
          <w:p w14:paraId="7C1C95D9"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Operational in labs</w:t>
            </w:r>
          </w:p>
        </w:tc>
        <w:tc>
          <w:tcPr>
            <w:tcW w:w="992" w:type="dxa"/>
          </w:tcPr>
          <w:p w14:paraId="6FADB29F"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Single-source (genomic)</w:t>
            </w:r>
          </w:p>
        </w:tc>
        <w:tc>
          <w:tcPr>
            <w:tcW w:w="1134" w:type="dxa"/>
          </w:tcPr>
          <w:p w14:paraId="75AA6349"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Classification/Accuracy</w:t>
            </w:r>
          </w:p>
        </w:tc>
        <w:tc>
          <w:tcPr>
            <w:tcW w:w="1560" w:type="dxa"/>
          </w:tcPr>
          <w:p w14:paraId="24AFEC85" w14:textId="77777777" w:rsidR="00BA4AF1" w:rsidRDefault="00EB64D7">
            <w:pPr>
              <w:spacing w:after="30"/>
              <w:jc w:val="both"/>
              <w:rPr>
                <w:rFonts w:ascii="Times New Roman" w:eastAsia="Times New Roman" w:hAnsi="Times New Roman" w:cs="Times New Roman"/>
              </w:rPr>
            </w:pPr>
            <w:proofErr w:type="spellStart"/>
            <w:r>
              <w:rPr>
                <w:rFonts w:ascii="Times New Roman" w:eastAsia="Times New Roman" w:hAnsi="Times New Roman" w:cs="Times New Roman"/>
              </w:rPr>
              <w:t>UShER</w:t>
            </w:r>
            <w:proofErr w:type="spellEnd"/>
            <w:r>
              <w:rPr>
                <w:rFonts w:ascii="Times New Roman" w:eastAsia="Times New Roman" w:hAnsi="Times New Roman" w:cs="Times New Roman"/>
              </w:rPr>
              <w:t xml:space="preserve"> accelerated variant detection within surveillance workflows.</w:t>
            </w:r>
          </w:p>
        </w:tc>
      </w:tr>
      <w:tr w:rsidR="00BA4AF1" w14:paraId="7A8EABCF" w14:textId="77777777">
        <w:tc>
          <w:tcPr>
            <w:tcW w:w="1134" w:type="dxa"/>
          </w:tcPr>
          <w:p w14:paraId="13A96B0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Vo (2023) – JAMA </w:t>
            </w:r>
            <w:proofErr w:type="spellStart"/>
            <w:r>
              <w:rPr>
                <w:rFonts w:ascii="Times New Roman" w:eastAsia="Times New Roman" w:hAnsi="Times New Roman" w:cs="Times New Roman"/>
              </w:rPr>
              <w:t>Netw</w:t>
            </w:r>
            <w:proofErr w:type="spellEnd"/>
            <w:r>
              <w:rPr>
                <w:rFonts w:ascii="Times New Roman" w:eastAsia="Times New Roman" w:hAnsi="Times New Roman" w:cs="Times New Roman"/>
              </w:rPr>
              <w:t xml:space="preserve"> Open</w:t>
            </w:r>
          </w:p>
        </w:tc>
        <w:tc>
          <w:tcPr>
            <w:tcW w:w="818" w:type="dxa"/>
          </w:tcPr>
          <w:p w14:paraId="657AC114"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SARS-CoV-2 Omicron BA.1</w:t>
            </w:r>
          </w:p>
        </w:tc>
        <w:tc>
          <w:tcPr>
            <w:tcW w:w="1195" w:type="dxa"/>
          </w:tcPr>
          <w:p w14:paraId="314E138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Wastewater RT-qPCR + WGS</w:t>
            </w:r>
          </w:p>
        </w:tc>
        <w:tc>
          <w:tcPr>
            <w:tcW w:w="1394" w:type="dxa"/>
          </w:tcPr>
          <w:p w14:paraId="1B50E8A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Stat trend + genomic calling</w:t>
            </w:r>
          </w:p>
        </w:tc>
        <w:tc>
          <w:tcPr>
            <w:tcW w:w="1130" w:type="dxa"/>
          </w:tcPr>
          <w:p w14:paraId="09FA461B"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Earliest detection in high-mobility area</w:t>
            </w:r>
          </w:p>
        </w:tc>
        <w:tc>
          <w:tcPr>
            <w:tcW w:w="1275" w:type="dxa"/>
          </w:tcPr>
          <w:p w14:paraId="616041D0"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Timing vs WWTP &amp; clinical</w:t>
            </w:r>
          </w:p>
        </w:tc>
        <w:tc>
          <w:tcPr>
            <w:tcW w:w="851" w:type="dxa"/>
          </w:tcPr>
          <w:p w14:paraId="44C9B7C2" w14:textId="77777777" w:rsidR="00BA4AF1" w:rsidRDefault="00000000">
            <w:pPr>
              <w:spacing w:after="30"/>
              <w:jc w:val="both"/>
              <w:rPr>
                <w:rFonts w:ascii="Times New Roman" w:eastAsia="Times New Roman" w:hAnsi="Times New Roman" w:cs="Times New Roman"/>
              </w:rPr>
            </w:pPr>
            <w:sdt>
              <w:sdtPr>
                <w:tag w:val="goog_rdk_2"/>
                <w:id w:val="1591221641"/>
              </w:sdtPr>
              <w:sdtContent>
                <w:r w:rsidR="00EB64D7">
                  <w:rPr>
                    <w:rFonts w:ascii="Gungsuh" w:eastAsia="Gungsuh" w:hAnsi="Gungsuh" w:cs="Gungsuh"/>
                  </w:rPr>
                  <w:t>≈1 week earlier than clinical</w:t>
                </w:r>
              </w:sdtContent>
            </w:sdt>
          </w:p>
        </w:tc>
        <w:tc>
          <w:tcPr>
            <w:tcW w:w="873" w:type="dxa"/>
          </w:tcPr>
          <w:p w14:paraId="099B563C"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Clinical testing timelines</w:t>
            </w:r>
          </w:p>
        </w:tc>
        <w:tc>
          <w:tcPr>
            <w:tcW w:w="1111" w:type="dxa"/>
          </w:tcPr>
          <w:p w14:paraId="2747FD96"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Time-series observational</w:t>
            </w:r>
          </w:p>
        </w:tc>
        <w:tc>
          <w:tcPr>
            <w:tcW w:w="1276" w:type="dxa"/>
            <w:gridSpan w:val="2"/>
          </w:tcPr>
          <w:p w14:paraId="0FD82967"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Operational WBE collaboration</w:t>
            </w:r>
          </w:p>
        </w:tc>
        <w:tc>
          <w:tcPr>
            <w:tcW w:w="992" w:type="dxa"/>
          </w:tcPr>
          <w:p w14:paraId="72B919F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Early fusion (feature-level)</w:t>
            </w:r>
          </w:p>
        </w:tc>
        <w:tc>
          <w:tcPr>
            <w:tcW w:w="1134" w:type="dxa"/>
          </w:tcPr>
          <w:p w14:paraId="42256EB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Detection/Lead-time</w:t>
            </w:r>
          </w:p>
        </w:tc>
        <w:tc>
          <w:tcPr>
            <w:tcW w:w="1560" w:type="dxa"/>
          </w:tcPr>
          <w:p w14:paraId="31148067"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Targeted manhole sampling detected Omicron earlier than plant-level and clinical reporting.</w:t>
            </w:r>
          </w:p>
        </w:tc>
      </w:tr>
      <w:tr w:rsidR="00BA4AF1" w14:paraId="69E6A9A9" w14:textId="77777777">
        <w:tc>
          <w:tcPr>
            <w:tcW w:w="1134" w:type="dxa"/>
          </w:tcPr>
          <w:p w14:paraId="4E620D79"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Yang (2015) – PNAS</w:t>
            </w:r>
          </w:p>
        </w:tc>
        <w:tc>
          <w:tcPr>
            <w:tcW w:w="818" w:type="dxa"/>
          </w:tcPr>
          <w:p w14:paraId="22ABBCBE"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Influenza (ILI)</w:t>
            </w:r>
          </w:p>
        </w:tc>
        <w:tc>
          <w:tcPr>
            <w:tcW w:w="1195" w:type="dxa"/>
          </w:tcPr>
          <w:p w14:paraId="31747A1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Google search queries</w:t>
            </w:r>
          </w:p>
        </w:tc>
        <w:tc>
          <w:tcPr>
            <w:tcW w:w="1394" w:type="dxa"/>
          </w:tcPr>
          <w:p w14:paraId="5C7BF574"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Regularized regression (ARGO)</w:t>
            </w:r>
          </w:p>
        </w:tc>
        <w:tc>
          <w:tcPr>
            <w:tcW w:w="1130" w:type="dxa"/>
          </w:tcPr>
          <w:p w14:paraId="1A845915"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Nowcasting / early detection proxy</w:t>
            </w:r>
          </w:p>
        </w:tc>
        <w:tc>
          <w:tcPr>
            <w:tcW w:w="1275" w:type="dxa"/>
          </w:tcPr>
          <w:p w14:paraId="625A2A5B"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RMSE/correlation vs CDC </w:t>
            </w:r>
            <w:proofErr w:type="spellStart"/>
            <w:r>
              <w:rPr>
                <w:rFonts w:ascii="Times New Roman" w:eastAsia="Times New Roman" w:hAnsi="Times New Roman" w:cs="Times New Roman"/>
              </w:rPr>
              <w:t>ILINet</w:t>
            </w:r>
            <w:proofErr w:type="spellEnd"/>
            <w:r>
              <w:rPr>
                <w:rFonts w:ascii="Times New Roman" w:eastAsia="Times New Roman" w:hAnsi="Times New Roman" w:cs="Times New Roman"/>
              </w:rPr>
              <w:t>; real-time estimates</w:t>
            </w:r>
          </w:p>
        </w:tc>
        <w:tc>
          <w:tcPr>
            <w:tcW w:w="851" w:type="dxa"/>
          </w:tcPr>
          <w:p w14:paraId="3817D9F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Real-time (same-week); no explicit lead</w:t>
            </w:r>
          </w:p>
        </w:tc>
        <w:tc>
          <w:tcPr>
            <w:tcW w:w="873" w:type="dxa"/>
          </w:tcPr>
          <w:p w14:paraId="0611008B"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CDC </w:t>
            </w:r>
            <w:proofErr w:type="spellStart"/>
            <w:r>
              <w:rPr>
                <w:rFonts w:ascii="Times New Roman" w:eastAsia="Times New Roman" w:hAnsi="Times New Roman" w:cs="Times New Roman"/>
              </w:rPr>
              <w:t>ILINet</w:t>
            </w:r>
            <w:proofErr w:type="spellEnd"/>
            <w:r>
              <w:rPr>
                <w:rFonts w:ascii="Times New Roman" w:eastAsia="Times New Roman" w:hAnsi="Times New Roman" w:cs="Times New Roman"/>
              </w:rPr>
              <w:t>; historical baselines</w:t>
            </w:r>
          </w:p>
        </w:tc>
        <w:tc>
          <w:tcPr>
            <w:tcW w:w="1111" w:type="dxa"/>
          </w:tcPr>
          <w:p w14:paraId="554E8FF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Out-of-sample retrospective; rolling updates</w:t>
            </w:r>
          </w:p>
        </w:tc>
        <w:tc>
          <w:tcPr>
            <w:tcW w:w="1276" w:type="dxa"/>
            <w:gridSpan w:val="2"/>
          </w:tcPr>
          <w:p w14:paraId="41F6BF4B"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Research: widely cited method</w:t>
            </w:r>
          </w:p>
        </w:tc>
        <w:tc>
          <w:tcPr>
            <w:tcW w:w="992" w:type="dxa"/>
          </w:tcPr>
          <w:p w14:paraId="321566AE"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Single-source</w:t>
            </w:r>
          </w:p>
        </w:tc>
        <w:tc>
          <w:tcPr>
            <w:tcW w:w="1134" w:type="dxa"/>
          </w:tcPr>
          <w:p w14:paraId="7A10F12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Error/Correlation</w:t>
            </w:r>
          </w:p>
        </w:tc>
        <w:tc>
          <w:tcPr>
            <w:tcW w:w="1560" w:type="dxa"/>
          </w:tcPr>
          <w:p w14:paraId="77008476"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Search-driven ARGO improved accuracy over prior digital surveillance baselines for influenza nowcasting.</w:t>
            </w:r>
          </w:p>
        </w:tc>
      </w:tr>
      <w:tr w:rsidR="00BA4AF1" w14:paraId="690E6816" w14:textId="77777777">
        <w:tc>
          <w:tcPr>
            <w:tcW w:w="1134" w:type="dxa"/>
          </w:tcPr>
          <w:p w14:paraId="5107AFE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Zhang (2022) – Expert Syst Appl</w:t>
            </w:r>
          </w:p>
        </w:tc>
        <w:tc>
          <w:tcPr>
            <w:tcW w:w="818" w:type="dxa"/>
          </w:tcPr>
          <w:p w14:paraId="2EF4264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COVID-19 activity</w:t>
            </w:r>
          </w:p>
        </w:tc>
        <w:tc>
          <w:tcPr>
            <w:tcW w:w="1195" w:type="dxa"/>
          </w:tcPr>
          <w:p w14:paraId="676C76AF"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Twitter (BERT NLP)</w:t>
            </w:r>
          </w:p>
        </w:tc>
        <w:tc>
          <w:tcPr>
            <w:tcW w:w="1394" w:type="dxa"/>
          </w:tcPr>
          <w:p w14:paraId="4712071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BERT + ML nowcasting</w:t>
            </w:r>
          </w:p>
        </w:tc>
        <w:tc>
          <w:tcPr>
            <w:tcW w:w="1130" w:type="dxa"/>
          </w:tcPr>
          <w:p w14:paraId="19A5FBCF"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Early warning/augmentation</w:t>
            </w:r>
          </w:p>
        </w:tc>
        <w:tc>
          <w:tcPr>
            <w:tcW w:w="1275" w:type="dxa"/>
          </w:tcPr>
          <w:p w14:paraId="0FB9E58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F1/precision-recall; correlation vs cases</w:t>
            </w:r>
          </w:p>
        </w:tc>
        <w:tc>
          <w:tcPr>
            <w:tcW w:w="851" w:type="dxa"/>
          </w:tcPr>
          <w:p w14:paraId="69A64D45"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Early indication</w:t>
            </w:r>
          </w:p>
        </w:tc>
        <w:tc>
          <w:tcPr>
            <w:tcW w:w="873" w:type="dxa"/>
          </w:tcPr>
          <w:p w14:paraId="2BEF2DE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Confirmed cases</w:t>
            </w:r>
          </w:p>
        </w:tc>
        <w:tc>
          <w:tcPr>
            <w:tcW w:w="1111" w:type="dxa"/>
          </w:tcPr>
          <w:p w14:paraId="11BFD41A"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Retrospective</w:t>
            </w:r>
          </w:p>
        </w:tc>
        <w:tc>
          <w:tcPr>
            <w:tcW w:w="1276" w:type="dxa"/>
            <w:gridSpan w:val="2"/>
          </w:tcPr>
          <w:p w14:paraId="0738A83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Research</w:t>
            </w:r>
          </w:p>
        </w:tc>
        <w:tc>
          <w:tcPr>
            <w:tcW w:w="992" w:type="dxa"/>
          </w:tcPr>
          <w:p w14:paraId="239AE7E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Single-source</w:t>
            </w:r>
          </w:p>
        </w:tc>
        <w:tc>
          <w:tcPr>
            <w:tcW w:w="1134" w:type="dxa"/>
          </w:tcPr>
          <w:p w14:paraId="08BE73AA"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Classification + Correlation</w:t>
            </w:r>
          </w:p>
        </w:tc>
        <w:tc>
          <w:tcPr>
            <w:tcW w:w="1560" w:type="dxa"/>
          </w:tcPr>
          <w:p w14:paraId="0D67FAD5"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Twitter-derived signals complemented official COVID-19 surveillance.</w:t>
            </w:r>
          </w:p>
        </w:tc>
      </w:tr>
    </w:tbl>
    <w:p w14:paraId="68BC025C" w14:textId="77777777" w:rsidR="00BA4AF1" w:rsidRDefault="00BA4AF1">
      <w:pPr>
        <w:jc w:val="both"/>
        <w:rPr>
          <w:rFonts w:ascii="Times New Roman" w:eastAsia="Times New Roman" w:hAnsi="Times New Roman" w:cs="Times New Roman"/>
        </w:rPr>
      </w:pPr>
    </w:p>
    <w:p w14:paraId="0FB3729E" w14:textId="77777777" w:rsidR="00BA4AF1" w:rsidRDefault="00BA4AF1">
      <w:pPr>
        <w:jc w:val="both"/>
        <w:rPr>
          <w:rFonts w:ascii="Times New Roman" w:eastAsia="Times New Roman" w:hAnsi="Times New Roman" w:cs="Times New Roman"/>
        </w:rPr>
        <w:sectPr w:rsidR="00BA4AF1">
          <w:pgSz w:w="15840" w:h="12240" w:orient="landscape"/>
          <w:pgMar w:top="1440" w:right="1800" w:bottom="1440" w:left="1800" w:header="720" w:footer="720" w:gutter="0"/>
          <w:cols w:space="720"/>
        </w:sectPr>
      </w:pPr>
    </w:p>
    <w:p w14:paraId="7240E027"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lastRenderedPageBreak/>
        <w:t>4.0 Result</w:t>
      </w:r>
    </w:p>
    <w:p w14:paraId="3DE42052"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 xml:space="preserve">4.1 Summary of key findings </w:t>
      </w:r>
    </w:p>
    <w:p w14:paraId="73B8AFD8"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The findings indicate distinct strengths across model–data configurations for early detection in U.S. settings. The incorporation of single-source digital traces and IoT signals has been demonstrated to enhance the accuracy of influenza nowcasting and short-range forecasts. Multimodal late-fusion ensembles have been demonstrated to be effective in integrating mobility, searches, clinician queries, and social media. These ensembles have been shown to deliver multi-week jurisdictional leads for surges. The application of genomic phylogenetics and wastewater sequencing has enabled the identification of emerging variants one to three weeks before clinical confirmation in several deployments. The utilization of </w:t>
      </w:r>
      <w:proofErr w:type="spellStart"/>
      <w:r>
        <w:rPr>
          <w:rFonts w:ascii="Times New Roman" w:eastAsia="Times New Roman" w:hAnsi="Times New Roman" w:cs="Times New Roman"/>
        </w:rPr>
        <w:t>presyndromic</w:t>
      </w:r>
      <w:proofErr w:type="spellEnd"/>
      <w:r>
        <w:rPr>
          <w:rFonts w:ascii="Times New Roman" w:eastAsia="Times New Roman" w:hAnsi="Times New Roman" w:cs="Times New Roman"/>
        </w:rPr>
        <w:t xml:space="preserve"> emergency-department pipelines has been demonstrated to enhance timeliness while concomitantly diminishing the occurrence of irrelevant alerts. This development has been shown to result in an improvement in practical positive predictive value. EHR ensembles produced near-real-time regional estimates that were aligned with official reporting. A cross-study synthesis revealed substantial heterogeneity in metrics, reference standards, aggregation intervals, and validation designs, which limits the possibility of pooling. Operational maturity was concentrated in laboratory genomics, wastewater programs, and embedded ED workflows, while prospective external evaluations remained uncommon.</w:t>
      </w:r>
    </w:p>
    <w:p w14:paraId="0F3EEB4E"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4.2 Comparison with existing literature</w:t>
      </w:r>
    </w:p>
    <w:p w14:paraId="7BD5D04C" w14:textId="0BD9281A" w:rsidR="00BA4AF1"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The present findings align with those of </w:t>
      </w:r>
      <w:proofErr w:type="spellStart"/>
      <w:r>
        <w:rPr>
          <w:rFonts w:ascii="Times New Roman" w:eastAsia="Times New Roman" w:hAnsi="Times New Roman" w:cs="Times New Roman"/>
        </w:rPr>
        <w:t>multimodel</w:t>
      </w:r>
      <w:proofErr w:type="spellEnd"/>
      <w:r>
        <w:rPr>
          <w:rFonts w:ascii="Times New Roman" w:eastAsia="Times New Roman" w:hAnsi="Times New Roman" w:cs="Times New Roman"/>
        </w:rPr>
        <w:t xml:space="preserve"> influenza assessments demonstrating ensemble superiority (Reich et al., 2019). The emphasis on transparent, comparable evaluation is consistent with the Forecast Hub's standardized datasets and scoring, which exposed heterogeneity in targets and metrics (Cramer et al., 2022). Prospective coordination in the Scenario Modeling Hub underscores the importance of structured comparison for insights, thereby echoing our call for prospective validation (Howerton et al., 2023). </w:t>
      </w:r>
      <w:r w:rsidR="004D5C15" w:rsidRPr="004D5C15">
        <w:rPr>
          <w:rFonts w:ascii="Times New Roman" w:eastAsia="Times New Roman" w:hAnsi="Times New Roman" w:cs="Times New Roman"/>
          <w:color w:val="002060"/>
        </w:rPr>
        <w:t>These observations are consistent with recent deep-learning research demonstrating fine-grained, short-horizon epidemic forecasting at the county scale in the United States (e.g., stacked bidirectional LSTM achieving competitive short-term accuracy), thereby reinforcing the feasibility of near-term situational awareness when evaluated against transparent baselines (Song et al., 2025).</w:t>
      </w:r>
      <w:r w:rsidRPr="004D5C15">
        <w:rPr>
          <w:rFonts w:ascii="Times New Roman" w:eastAsia="Times New Roman" w:hAnsi="Times New Roman" w:cs="Times New Roman"/>
          <w:color w:val="000000" w:themeColor="text1"/>
        </w:rPr>
        <w:t>The</w:t>
      </w:r>
      <w:r w:rsidRPr="004D5C15">
        <w:rPr>
          <w:rFonts w:ascii="Times New Roman" w:eastAsia="Times New Roman" w:hAnsi="Times New Roman" w:cs="Times New Roman"/>
          <w:color w:val="002060"/>
        </w:rPr>
        <w:t xml:space="preserve"> </w:t>
      </w:r>
      <w:r>
        <w:rPr>
          <w:rFonts w:ascii="Times New Roman" w:eastAsia="Times New Roman" w:hAnsi="Times New Roman" w:cs="Times New Roman"/>
        </w:rPr>
        <w:t>application of severe-outcome forecasting techniques has also demonstrated the efficacy of calibrated models. However, it is important to note the persistent uncertainty that arises from data shifts, a finding that aligns with our observations concerning heterogeneity and the limitations of data aggregation (Mathis et al., 2024). A review of the literature on influenza modeling reveals a growing trend in the use of machine-learning and hybrid strategies, particularly when signals are both timely and noisy. This finding aligns with the results observed in our own research across digital, clinical, and genomic data streams (Ali et al., 2021).</w:t>
      </w:r>
    </w:p>
    <w:p w14:paraId="54A4DFF4"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In the context of digital epidemiology, extant research has underscored the potential and limitations of internet and social data, including the presence of noise and governance constraints (Aiello et al., 2020; Charles-Smith et al., 2015; </w:t>
      </w:r>
      <w:proofErr w:type="spellStart"/>
      <w:r>
        <w:rPr>
          <w:rFonts w:ascii="Times New Roman" w:eastAsia="Times New Roman" w:hAnsi="Times New Roman" w:cs="Times New Roman"/>
        </w:rPr>
        <w:t>Salathé</w:t>
      </w:r>
      <w:proofErr w:type="spellEnd"/>
      <w:r>
        <w:rPr>
          <w:rFonts w:ascii="Times New Roman" w:eastAsia="Times New Roman" w:hAnsi="Times New Roman" w:cs="Times New Roman"/>
        </w:rPr>
        <w:t xml:space="preserve"> et al., 2018). The findings of this study indicate that the integration of mobility, search queries, clinical inquiries, and social media data through multimodal fusion leads to a substantial surge in lead generation. This observation is consistent with the existing body of literature suggesting that mobility and interaction proxies enhance situational awareness (</w:t>
      </w:r>
      <w:proofErr w:type="spellStart"/>
      <w:r>
        <w:rPr>
          <w:rFonts w:ascii="Times New Roman" w:eastAsia="Times New Roman" w:hAnsi="Times New Roman" w:cs="Times New Roman"/>
        </w:rPr>
        <w:t>Kostandova</w:t>
      </w:r>
      <w:proofErr w:type="spellEnd"/>
      <w:r>
        <w:rPr>
          <w:rFonts w:ascii="Times New Roman" w:eastAsia="Times New Roman" w:hAnsi="Times New Roman" w:cs="Times New Roman"/>
        </w:rPr>
        <w:t xml:space="preserve"> et al., 2024) </w:t>
      </w:r>
      <w:r>
        <w:rPr>
          <w:rFonts w:ascii="Times New Roman" w:eastAsia="Times New Roman" w:hAnsi="Times New Roman" w:cs="Times New Roman"/>
        </w:rPr>
        <w:lastRenderedPageBreak/>
        <w:t xml:space="preserve">and with spatial influenza transmission modeling that incorporates movement (Pei et al., 2018). The utilization of consumer wearables and connected thermometers has been demonstrated to enhance the accuracy of short-range forecasts and facilitate the detection of anomalies. These observations align with our findings regarding the latency advantages of single-source physiology streams, despite the presence of concerns (Dunn et al., 2022). </w:t>
      </w:r>
    </w:p>
    <w:p w14:paraId="543086A8"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Concerning the integration of clinical and infrastructural components, the challenges identified for EHR-based surveillance, including data quality, interoperability, and latency, align with the observation that the availability of near real-time estimates is contingent upon vendor pipelines and interface agreements (Aliabadi et al., 2020). The utilization of </w:t>
      </w:r>
      <w:proofErr w:type="spellStart"/>
      <w:r>
        <w:rPr>
          <w:rFonts w:ascii="Times New Roman" w:eastAsia="Times New Roman" w:hAnsi="Times New Roman" w:cs="Times New Roman"/>
        </w:rPr>
        <w:t>presyndromic</w:t>
      </w:r>
      <w:proofErr w:type="spellEnd"/>
      <w:r>
        <w:rPr>
          <w:rFonts w:ascii="Times New Roman" w:eastAsia="Times New Roman" w:hAnsi="Times New Roman" w:cs="Times New Roman"/>
        </w:rPr>
        <w:t xml:space="preserve"> emergency-department NLP for triage purposes has been demonstrated to be effective, yet it necessitates meticulous validation to ensure its efficacy. This assertion is supported by the findings of Wang et al. (2024), which demonstrated an enhancement in timeliness with a concomitant reduction in irrelevant alerts. The application of wastewater-based epidemiology has been demonstrated to facilitate the early detection of variants and enhance public health actionability. This approach aligns with the findings from genomic and wastewater studies, underscoring the importance of standardization and regular sampling (Parkins et al., 2024; Chen et al., 2024). A synthesis of the extant comparative literature suggests three conclusions. First, fusion improves robustness. Second, single-source digital streams convey speed. Third, genomics and wastewater excel at variant emergence. However, all of these conclusions require rigorous prospective, external evaluation frameworks to ensure generalizability under shifting data regimes (Cramer et al., 2022).</w:t>
      </w:r>
    </w:p>
    <w:p w14:paraId="64AAADE6"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4.3 Limitations of Review</w:t>
      </w:r>
    </w:p>
    <w:p w14:paraId="02DE4CB7" w14:textId="3FF5ADDB" w:rsidR="00BA4AF1" w:rsidRDefault="00EB64D7">
      <w:pPr>
        <w:jc w:val="both"/>
        <w:rPr>
          <w:rFonts w:ascii="Times New Roman" w:eastAsia="Times New Roman" w:hAnsi="Times New Roman" w:cs="Times New Roman"/>
        </w:rPr>
      </w:pPr>
      <w:r>
        <w:rPr>
          <w:rFonts w:ascii="Times New Roman" w:eastAsia="Times New Roman" w:hAnsi="Times New Roman" w:cs="Times New Roman"/>
        </w:rPr>
        <w:t>This review is subject to several limitations. Firstly, the study's exclusive focus on the United States and its utilization of English as the primary language may restrict its generalizability. Secondly, the presence of heterogeneous ground truths, outbreak-onset definitions, temporal aggregation, and metric choices imposed constraints on pooling, thereby hindering the execution of meta-analysis. Thirdly, the majority of the included studies were retrospective, with limited external or prospective validation, which can lead to a heightened risk of optimism bias. Fourthly, publication, survivorship, and data-access biases persist, as proprietary pipelines rarely share code, costs, or negative results. The rapid evolution of methods and deployments indicates that new evidence may emerge after the completion of our searches and syntheses.</w:t>
      </w:r>
      <w:r w:rsidR="00052B85">
        <w:rPr>
          <w:rFonts w:ascii="Times New Roman" w:eastAsia="Times New Roman" w:hAnsi="Times New Roman" w:cs="Times New Roman"/>
        </w:rPr>
        <w:t xml:space="preserve"> </w:t>
      </w:r>
      <w:r w:rsidR="00052B85" w:rsidRPr="004D5C15">
        <w:rPr>
          <w:rFonts w:ascii="Times New Roman" w:eastAsia="Times New Roman" w:hAnsi="Times New Roman" w:cs="Times New Roman"/>
          <w:color w:val="002060"/>
        </w:rPr>
        <w:t xml:space="preserve">Moreover, few deployments reported end-to-end latency, uptime, alert adjudication protocols, workforce needs, or cost profiles, limiting conclusions about real-time operational readiness across jurisdictions. </w:t>
      </w:r>
      <w:r w:rsidR="00842E18" w:rsidRPr="00842E18">
        <w:rPr>
          <w:rFonts w:ascii="Times New Roman" w:eastAsia="Times New Roman" w:hAnsi="Times New Roman" w:cs="Times New Roman"/>
        </w:rPr>
        <w:t>A significant constraint pertains to the incapacity to execute meta-analyses, a consequence of the heterogeneity encountered in outcomes, ground truths, temporal aggregation, and metrics. This predicament necessitates the undertaking of a narrative synthesis.</w:t>
      </w:r>
    </w:p>
    <w:p w14:paraId="2531BB22"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5.0 Conclusion and recommendations for future research</w:t>
      </w:r>
    </w:p>
    <w:p w14:paraId="7FE4D919"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 xml:space="preserve">5.1 Conclusion </w:t>
      </w:r>
    </w:p>
    <w:p w14:paraId="09698B72"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Machine-learning approaches for the early detection of disease outbreaks in the United States have demonstrated their efficacy across three distinct task families: influenza-like illness nowcasting, surge early warning, and variant detection. The utilization of single-source digital traces and IoT signals has been </w:t>
      </w:r>
      <w:r>
        <w:rPr>
          <w:rFonts w:ascii="Times New Roman" w:eastAsia="Times New Roman" w:hAnsi="Times New Roman" w:cs="Times New Roman"/>
        </w:rPr>
        <w:lastRenderedPageBreak/>
        <w:t xml:space="preserve">demonstrated to enhance near-term situational awareness. Furthermore, the integration of multimodal late-fusion ensembles has yielded multimodal jurisdictional lead, with the application of genomic phylogenetics in conjunction with wastewater sequencing facilitating the identification of variants prior to clinical confirmation. </w:t>
      </w:r>
    </w:p>
    <w:p w14:paraId="31175587" w14:textId="58163849" w:rsidR="00BA4AF1"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The implementation of </w:t>
      </w:r>
      <w:proofErr w:type="spellStart"/>
      <w:r>
        <w:rPr>
          <w:rFonts w:ascii="Times New Roman" w:eastAsia="Times New Roman" w:hAnsi="Times New Roman" w:cs="Times New Roman"/>
        </w:rPr>
        <w:t>presyndromic</w:t>
      </w:r>
      <w:proofErr w:type="spellEnd"/>
      <w:r>
        <w:rPr>
          <w:rFonts w:ascii="Times New Roman" w:eastAsia="Times New Roman" w:hAnsi="Times New Roman" w:cs="Times New Roman"/>
        </w:rPr>
        <w:t xml:space="preserve"> emergency-department pipelines led to an enhancement in timeliness, accompanied by a reduction in irrelevant alerts. Furthermore, the integration of EHR ensembles resulted in the generation of near-real-time regional estimates that were in alignment with official reporting. A synthesis of the available evidence revealed significant heterogeneity in the metrics, gold standards, and temporal aggregation employed, which limited the potential for quantitative pooling of results. The majority of the evaluations were retrospective in nature. The operational maturity of the institution was predominantly centered in the domains of laboratory genomics, wastewater programs, and integrated electronic medical record (EMR) workflows. Overall, the field endorses responsible integration when detectors are evaluated against prespecified targets, incorporated into human-in-the-loop workflows, and governed by clear privacy, equity, and model-monitoring provisions. This review presents a structured evidence map and policy-relevant guidance for surveillance </w:t>
      </w:r>
      <w:proofErr w:type="spellStart"/>
      <w:r w:rsidR="005F329D">
        <w:rPr>
          <w:rFonts w:ascii="Times New Roman" w:eastAsia="Times New Roman" w:hAnsi="Times New Roman" w:cs="Times New Roman"/>
        </w:rPr>
        <w:t>modernisation</w:t>
      </w:r>
      <w:proofErr w:type="spellEnd"/>
      <w:r>
        <w:rPr>
          <w:rFonts w:ascii="Times New Roman" w:eastAsia="Times New Roman" w:hAnsi="Times New Roman" w:cs="Times New Roman"/>
        </w:rPr>
        <w:t xml:space="preserve"> in U.S. public health.</w:t>
      </w:r>
    </w:p>
    <w:p w14:paraId="6738EFF6"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5.2 Recommendations for future research</w:t>
      </w:r>
    </w:p>
    <w:p w14:paraId="19CD0CCF" w14:textId="77777777" w:rsidR="00C153B9" w:rsidRDefault="00C153B9" w:rsidP="0059279E">
      <w:pPr>
        <w:jc w:val="both"/>
        <w:rPr>
          <w:rFonts w:ascii="Times New Roman" w:eastAsia="Times New Roman" w:hAnsi="Times New Roman" w:cs="Times New Roman"/>
        </w:rPr>
      </w:pPr>
      <w:r w:rsidRPr="00C153B9">
        <w:rPr>
          <w:rFonts w:ascii="Times New Roman" w:eastAsia="Times New Roman" w:hAnsi="Times New Roman" w:cs="Times New Roman"/>
        </w:rPr>
        <w:t>To ensure the practicality of the review, recommendations are structured by stakeholder and translated into implementable steps that support reliable, equitable, and sustainable use.</w:t>
      </w:r>
    </w:p>
    <w:p w14:paraId="02A720E4" w14:textId="665058B6" w:rsidR="005F329D" w:rsidRPr="005F329D" w:rsidRDefault="005F329D" w:rsidP="0059279E">
      <w:pPr>
        <w:jc w:val="both"/>
        <w:rPr>
          <w:rFonts w:ascii="Times New Roman" w:eastAsia="Times New Roman" w:hAnsi="Times New Roman" w:cs="Times New Roman"/>
          <w:b/>
          <w:bCs/>
          <w:color w:val="002060"/>
        </w:rPr>
      </w:pPr>
      <w:r w:rsidRPr="005F329D">
        <w:rPr>
          <w:rFonts w:ascii="Times New Roman" w:eastAsia="Times New Roman" w:hAnsi="Times New Roman" w:cs="Times New Roman"/>
          <w:b/>
          <w:bCs/>
          <w:color w:val="002060"/>
        </w:rPr>
        <w:t>5.2.1 Researchers</w:t>
      </w:r>
    </w:p>
    <w:p w14:paraId="4860398B" w14:textId="77777777" w:rsidR="005F329D" w:rsidRPr="005F329D" w:rsidRDefault="00C153B9" w:rsidP="00C153B9">
      <w:pPr>
        <w:pStyle w:val="ListParagraph"/>
        <w:numPr>
          <w:ilvl w:val="0"/>
          <w:numId w:val="3"/>
        </w:numPr>
        <w:jc w:val="both"/>
        <w:rPr>
          <w:rFonts w:ascii="Times New Roman" w:eastAsia="Times New Roman" w:hAnsi="Times New Roman" w:cs="Times New Roman"/>
          <w:color w:val="002060"/>
        </w:rPr>
      </w:pPr>
      <w:r w:rsidRPr="005F329D">
        <w:rPr>
          <w:rFonts w:ascii="Times New Roman" w:eastAsia="Times New Roman" w:hAnsi="Times New Roman" w:cs="Times New Roman"/>
          <w:color w:val="002060"/>
        </w:rPr>
        <w:t>Run prospective, multi-jurisdiction evaluations aligned to public-health workflows (not only retrospective tests).</w:t>
      </w:r>
    </w:p>
    <w:p w14:paraId="79771FB3" w14:textId="77777777" w:rsidR="005F329D" w:rsidRPr="005F329D" w:rsidRDefault="00C153B9" w:rsidP="00C153B9">
      <w:pPr>
        <w:pStyle w:val="ListParagraph"/>
        <w:numPr>
          <w:ilvl w:val="0"/>
          <w:numId w:val="3"/>
        </w:numPr>
        <w:jc w:val="both"/>
        <w:rPr>
          <w:rFonts w:ascii="Times New Roman" w:eastAsia="Times New Roman" w:hAnsi="Times New Roman" w:cs="Times New Roman"/>
          <w:color w:val="002060"/>
        </w:rPr>
      </w:pPr>
      <w:r w:rsidRPr="005F329D">
        <w:rPr>
          <w:rFonts w:ascii="Times New Roman" w:eastAsia="Times New Roman" w:hAnsi="Times New Roman" w:cs="Times New Roman"/>
          <w:color w:val="002060"/>
        </w:rPr>
        <w:t xml:space="preserve">Use </w:t>
      </w:r>
      <w:proofErr w:type="spellStart"/>
      <w:r w:rsidRPr="005F329D">
        <w:rPr>
          <w:rFonts w:ascii="Times New Roman" w:eastAsia="Times New Roman" w:hAnsi="Times New Roman" w:cs="Times New Roman"/>
          <w:color w:val="002060"/>
        </w:rPr>
        <w:t>standardised</w:t>
      </w:r>
      <w:proofErr w:type="spellEnd"/>
      <w:r w:rsidRPr="005F329D">
        <w:rPr>
          <w:rFonts w:ascii="Times New Roman" w:eastAsia="Times New Roman" w:hAnsi="Times New Roman" w:cs="Times New Roman"/>
          <w:color w:val="002060"/>
        </w:rPr>
        <w:t xml:space="preserve"> detection metrics (e.g., sensitivity, PPV, timeliness windows) and transparent baselines/comparators.</w:t>
      </w:r>
    </w:p>
    <w:p w14:paraId="6B6101C3" w14:textId="77777777" w:rsidR="005F329D" w:rsidRPr="005F329D" w:rsidRDefault="00C153B9" w:rsidP="00C153B9">
      <w:pPr>
        <w:pStyle w:val="ListParagraph"/>
        <w:numPr>
          <w:ilvl w:val="0"/>
          <w:numId w:val="3"/>
        </w:numPr>
        <w:jc w:val="both"/>
        <w:rPr>
          <w:rFonts w:ascii="Times New Roman" w:eastAsia="Times New Roman" w:hAnsi="Times New Roman" w:cs="Times New Roman"/>
          <w:color w:val="002060"/>
        </w:rPr>
      </w:pPr>
      <w:r w:rsidRPr="005F329D">
        <w:rPr>
          <w:rFonts w:ascii="Times New Roman" w:eastAsia="Times New Roman" w:hAnsi="Times New Roman" w:cs="Times New Roman"/>
          <w:color w:val="002060"/>
        </w:rPr>
        <w:t>Pre-register protocols where feasible; report per PRISMA/CONSORT-AI/STARD-like checklists for surveillance studies.</w:t>
      </w:r>
    </w:p>
    <w:p w14:paraId="0643143C" w14:textId="77777777" w:rsidR="005F329D" w:rsidRPr="005F329D" w:rsidRDefault="00C153B9" w:rsidP="00C153B9">
      <w:pPr>
        <w:pStyle w:val="ListParagraph"/>
        <w:numPr>
          <w:ilvl w:val="0"/>
          <w:numId w:val="3"/>
        </w:numPr>
        <w:jc w:val="both"/>
        <w:rPr>
          <w:rFonts w:ascii="Times New Roman" w:eastAsia="Times New Roman" w:hAnsi="Times New Roman" w:cs="Times New Roman"/>
          <w:color w:val="002060"/>
        </w:rPr>
      </w:pPr>
      <w:r w:rsidRPr="005F329D">
        <w:rPr>
          <w:rFonts w:ascii="Times New Roman" w:eastAsia="Times New Roman" w:hAnsi="Times New Roman" w:cs="Times New Roman"/>
          <w:color w:val="002060"/>
        </w:rPr>
        <w:t>Release reproducible code and, where possible, open data or synthetic equivalents with data dictionaries.</w:t>
      </w:r>
    </w:p>
    <w:p w14:paraId="533CEED8" w14:textId="77777777" w:rsidR="005F329D" w:rsidRPr="005F329D" w:rsidRDefault="00C153B9" w:rsidP="00C153B9">
      <w:pPr>
        <w:pStyle w:val="ListParagraph"/>
        <w:numPr>
          <w:ilvl w:val="0"/>
          <w:numId w:val="3"/>
        </w:numPr>
        <w:jc w:val="both"/>
        <w:rPr>
          <w:rFonts w:ascii="Times New Roman" w:eastAsia="Times New Roman" w:hAnsi="Times New Roman" w:cs="Times New Roman"/>
          <w:color w:val="002060"/>
        </w:rPr>
      </w:pPr>
      <w:r w:rsidRPr="005F329D">
        <w:rPr>
          <w:rFonts w:ascii="Times New Roman" w:eastAsia="Times New Roman" w:hAnsi="Times New Roman" w:cs="Times New Roman"/>
          <w:color w:val="002060"/>
        </w:rPr>
        <w:t>Include fairness/equity analyses, drift sensitivity, and error decomposition by context and population.</w:t>
      </w:r>
    </w:p>
    <w:p w14:paraId="12CDB902" w14:textId="5E0A7BD1" w:rsidR="00C153B9" w:rsidRDefault="00C153B9" w:rsidP="00C153B9">
      <w:pPr>
        <w:pStyle w:val="ListParagraph"/>
        <w:numPr>
          <w:ilvl w:val="0"/>
          <w:numId w:val="3"/>
        </w:numPr>
        <w:jc w:val="both"/>
        <w:rPr>
          <w:rFonts w:ascii="Times New Roman" w:eastAsia="Times New Roman" w:hAnsi="Times New Roman" w:cs="Times New Roman"/>
          <w:color w:val="002060"/>
        </w:rPr>
      </w:pPr>
      <w:r w:rsidRPr="005F329D">
        <w:rPr>
          <w:rFonts w:ascii="Times New Roman" w:eastAsia="Times New Roman" w:hAnsi="Times New Roman" w:cs="Times New Roman"/>
          <w:color w:val="002060"/>
        </w:rPr>
        <w:t xml:space="preserve">Document </w:t>
      </w:r>
      <w:proofErr w:type="spellStart"/>
      <w:r w:rsidRPr="005F329D">
        <w:rPr>
          <w:rFonts w:ascii="Times New Roman" w:eastAsia="Times New Roman" w:hAnsi="Times New Roman" w:cs="Times New Roman"/>
          <w:color w:val="002060"/>
        </w:rPr>
        <w:t>MLOps</w:t>
      </w:r>
      <w:proofErr w:type="spellEnd"/>
      <w:r w:rsidRPr="005F329D">
        <w:rPr>
          <w:rFonts w:ascii="Times New Roman" w:eastAsia="Times New Roman" w:hAnsi="Times New Roman" w:cs="Times New Roman"/>
          <w:color w:val="002060"/>
        </w:rPr>
        <w:t xml:space="preserve"> plans (monitoring, retraining cadence, rollback criteria) and external validity testing.</w:t>
      </w:r>
    </w:p>
    <w:p w14:paraId="1EA908AB" w14:textId="2B4E7ABE" w:rsidR="005F329D" w:rsidRDefault="005F329D" w:rsidP="005F329D">
      <w:pPr>
        <w:jc w:val="both"/>
        <w:rPr>
          <w:rFonts w:ascii="Times New Roman" w:eastAsia="Times New Roman" w:hAnsi="Times New Roman" w:cs="Times New Roman"/>
          <w:color w:val="002060"/>
        </w:rPr>
      </w:pPr>
      <w:r w:rsidRPr="005F329D">
        <w:rPr>
          <w:rFonts w:ascii="Times New Roman" w:eastAsia="Times New Roman" w:hAnsi="Times New Roman" w:cs="Times New Roman"/>
          <w:color w:val="002060"/>
        </w:rPr>
        <w:t>5.2.2 Public-health agencies</w:t>
      </w:r>
    </w:p>
    <w:p w14:paraId="712DF878" w14:textId="77777777" w:rsidR="005F329D" w:rsidRDefault="005F329D" w:rsidP="005F329D">
      <w:pPr>
        <w:pStyle w:val="ListParagraph"/>
        <w:numPr>
          <w:ilvl w:val="0"/>
          <w:numId w:val="4"/>
        </w:numPr>
        <w:jc w:val="both"/>
        <w:rPr>
          <w:rFonts w:ascii="Times New Roman" w:eastAsia="Times New Roman" w:hAnsi="Times New Roman" w:cs="Times New Roman"/>
          <w:color w:val="002060"/>
        </w:rPr>
      </w:pPr>
      <w:r w:rsidRPr="005F329D">
        <w:rPr>
          <w:rFonts w:ascii="Times New Roman" w:eastAsia="Times New Roman" w:hAnsi="Times New Roman" w:cs="Times New Roman"/>
          <w:color w:val="002060"/>
        </w:rPr>
        <w:t>Define governed alert thresholds, roles/responsibilities, and escalation SOPs (who reviews, acts, and logs).</w:t>
      </w:r>
    </w:p>
    <w:p w14:paraId="7A878758" w14:textId="77777777" w:rsidR="005F329D" w:rsidRDefault="005F329D" w:rsidP="005F329D">
      <w:pPr>
        <w:pStyle w:val="ListParagraph"/>
        <w:numPr>
          <w:ilvl w:val="0"/>
          <w:numId w:val="4"/>
        </w:numPr>
        <w:jc w:val="both"/>
        <w:rPr>
          <w:rFonts w:ascii="Times New Roman" w:eastAsia="Times New Roman" w:hAnsi="Times New Roman" w:cs="Times New Roman"/>
          <w:color w:val="002060"/>
        </w:rPr>
      </w:pPr>
      <w:r w:rsidRPr="005F329D">
        <w:rPr>
          <w:rFonts w:ascii="Times New Roman" w:eastAsia="Times New Roman" w:hAnsi="Times New Roman" w:cs="Times New Roman"/>
          <w:color w:val="002060"/>
        </w:rPr>
        <w:t>Integrate detectors into existing EOC/IDSR workflows, dashboards, and incident action templates.</w:t>
      </w:r>
    </w:p>
    <w:p w14:paraId="014B8827" w14:textId="77777777" w:rsidR="005F329D" w:rsidRDefault="005F329D" w:rsidP="005F329D">
      <w:pPr>
        <w:pStyle w:val="ListParagraph"/>
        <w:numPr>
          <w:ilvl w:val="0"/>
          <w:numId w:val="4"/>
        </w:numPr>
        <w:jc w:val="both"/>
        <w:rPr>
          <w:rFonts w:ascii="Times New Roman" w:eastAsia="Times New Roman" w:hAnsi="Times New Roman" w:cs="Times New Roman"/>
          <w:color w:val="002060"/>
        </w:rPr>
      </w:pPr>
      <w:r w:rsidRPr="005F329D">
        <w:rPr>
          <w:rFonts w:ascii="Times New Roman" w:eastAsia="Times New Roman" w:hAnsi="Times New Roman" w:cs="Times New Roman"/>
          <w:color w:val="002060"/>
        </w:rPr>
        <w:t>Establish data-sharing agreements/MOUs and privacy protections (</w:t>
      </w:r>
      <w:proofErr w:type="spellStart"/>
      <w:r w:rsidRPr="005F329D">
        <w:rPr>
          <w:rFonts w:ascii="Times New Roman" w:eastAsia="Times New Roman" w:hAnsi="Times New Roman" w:cs="Times New Roman"/>
          <w:color w:val="002060"/>
        </w:rPr>
        <w:t>minimisation</w:t>
      </w:r>
      <w:proofErr w:type="spellEnd"/>
      <w:r w:rsidRPr="005F329D">
        <w:rPr>
          <w:rFonts w:ascii="Times New Roman" w:eastAsia="Times New Roman" w:hAnsi="Times New Roman" w:cs="Times New Roman"/>
          <w:color w:val="002060"/>
        </w:rPr>
        <w:t>, access control, audit).</w:t>
      </w:r>
    </w:p>
    <w:p w14:paraId="6FB471BA" w14:textId="77777777" w:rsidR="005F329D" w:rsidRDefault="005F329D" w:rsidP="005F329D">
      <w:pPr>
        <w:pStyle w:val="ListParagraph"/>
        <w:numPr>
          <w:ilvl w:val="0"/>
          <w:numId w:val="4"/>
        </w:numPr>
        <w:jc w:val="both"/>
        <w:rPr>
          <w:rFonts w:ascii="Times New Roman" w:eastAsia="Times New Roman" w:hAnsi="Times New Roman" w:cs="Times New Roman"/>
          <w:color w:val="002060"/>
        </w:rPr>
      </w:pPr>
      <w:r w:rsidRPr="005F329D">
        <w:rPr>
          <w:rFonts w:ascii="Times New Roman" w:eastAsia="Times New Roman" w:hAnsi="Times New Roman" w:cs="Times New Roman"/>
          <w:color w:val="002060"/>
        </w:rPr>
        <w:lastRenderedPageBreak/>
        <w:t>Provide training for analysts and decision-makers; rehearse table-top exercises to reduce alert fatigue.</w:t>
      </w:r>
    </w:p>
    <w:p w14:paraId="771BB1B1" w14:textId="77777777" w:rsidR="005F329D" w:rsidRDefault="005F329D" w:rsidP="005F329D">
      <w:pPr>
        <w:pStyle w:val="ListParagraph"/>
        <w:numPr>
          <w:ilvl w:val="0"/>
          <w:numId w:val="4"/>
        </w:numPr>
        <w:jc w:val="both"/>
        <w:rPr>
          <w:rFonts w:ascii="Times New Roman" w:eastAsia="Times New Roman" w:hAnsi="Times New Roman" w:cs="Times New Roman"/>
          <w:color w:val="002060"/>
        </w:rPr>
      </w:pPr>
      <w:r w:rsidRPr="005F329D">
        <w:rPr>
          <w:rFonts w:ascii="Times New Roman" w:eastAsia="Times New Roman" w:hAnsi="Times New Roman" w:cs="Times New Roman"/>
          <w:color w:val="002060"/>
        </w:rPr>
        <w:t>Track operational KPIs (review-to-action time, PPV of alerts, avoided delays) and publish after-action reviews.</w:t>
      </w:r>
    </w:p>
    <w:p w14:paraId="60D74489" w14:textId="47D2A549" w:rsidR="005F329D" w:rsidRDefault="005F329D" w:rsidP="005F329D">
      <w:pPr>
        <w:pStyle w:val="ListParagraph"/>
        <w:numPr>
          <w:ilvl w:val="0"/>
          <w:numId w:val="4"/>
        </w:numPr>
        <w:jc w:val="both"/>
        <w:rPr>
          <w:rFonts w:ascii="Times New Roman" w:eastAsia="Times New Roman" w:hAnsi="Times New Roman" w:cs="Times New Roman"/>
          <w:color w:val="002060"/>
        </w:rPr>
      </w:pPr>
      <w:r w:rsidRPr="005F329D">
        <w:rPr>
          <w:rFonts w:ascii="Times New Roman" w:eastAsia="Times New Roman" w:hAnsi="Times New Roman" w:cs="Times New Roman"/>
          <w:color w:val="002060"/>
        </w:rPr>
        <w:t>Conduct equity impact checks and create mitigation steps where coverage is uneven.</w:t>
      </w:r>
    </w:p>
    <w:p w14:paraId="3DDB16E4" w14:textId="3F984442" w:rsidR="005F329D" w:rsidRDefault="005F329D" w:rsidP="005F329D">
      <w:pPr>
        <w:jc w:val="both"/>
        <w:rPr>
          <w:rFonts w:ascii="Times New Roman" w:eastAsia="Times New Roman" w:hAnsi="Times New Roman" w:cs="Times New Roman"/>
          <w:color w:val="002060"/>
        </w:rPr>
      </w:pPr>
      <w:r w:rsidRPr="005F329D">
        <w:rPr>
          <w:rFonts w:ascii="Times New Roman" w:eastAsia="Times New Roman" w:hAnsi="Times New Roman" w:cs="Times New Roman"/>
          <w:color w:val="002060"/>
        </w:rPr>
        <w:t>5.2.</w:t>
      </w:r>
      <w:r>
        <w:rPr>
          <w:rFonts w:ascii="Times New Roman" w:eastAsia="Times New Roman" w:hAnsi="Times New Roman" w:cs="Times New Roman"/>
          <w:color w:val="002060"/>
        </w:rPr>
        <w:t>3</w:t>
      </w:r>
      <w:r w:rsidRPr="005F329D">
        <w:rPr>
          <w:rFonts w:ascii="Times New Roman" w:eastAsia="Times New Roman" w:hAnsi="Times New Roman" w:cs="Times New Roman"/>
          <w:color w:val="002060"/>
        </w:rPr>
        <w:t xml:space="preserve"> Funders / Procurement</w:t>
      </w:r>
    </w:p>
    <w:p w14:paraId="3F2222E3" w14:textId="77777777" w:rsidR="005F329D" w:rsidRDefault="005F329D" w:rsidP="005F329D">
      <w:pPr>
        <w:pStyle w:val="ListParagraph"/>
        <w:numPr>
          <w:ilvl w:val="0"/>
          <w:numId w:val="5"/>
        </w:numPr>
        <w:jc w:val="both"/>
        <w:rPr>
          <w:rFonts w:ascii="Times New Roman" w:eastAsia="Times New Roman" w:hAnsi="Times New Roman" w:cs="Times New Roman"/>
          <w:color w:val="002060"/>
        </w:rPr>
      </w:pPr>
      <w:r w:rsidRPr="005F329D">
        <w:rPr>
          <w:rFonts w:ascii="Times New Roman" w:eastAsia="Times New Roman" w:hAnsi="Times New Roman" w:cs="Times New Roman"/>
          <w:color w:val="002060"/>
        </w:rPr>
        <w:t>Require comparative evaluations across model families and data streams, not single-model claims.</w:t>
      </w:r>
    </w:p>
    <w:p w14:paraId="3FBFA5CC" w14:textId="77777777" w:rsidR="005F329D" w:rsidRDefault="005F329D" w:rsidP="005F329D">
      <w:pPr>
        <w:pStyle w:val="ListParagraph"/>
        <w:numPr>
          <w:ilvl w:val="0"/>
          <w:numId w:val="5"/>
        </w:numPr>
        <w:jc w:val="both"/>
        <w:rPr>
          <w:rFonts w:ascii="Times New Roman" w:eastAsia="Times New Roman" w:hAnsi="Times New Roman" w:cs="Times New Roman"/>
          <w:color w:val="002060"/>
        </w:rPr>
      </w:pPr>
      <w:r w:rsidRPr="005F329D">
        <w:rPr>
          <w:rFonts w:ascii="Times New Roman" w:eastAsia="Times New Roman" w:hAnsi="Times New Roman" w:cs="Times New Roman"/>
          <w:color w:val="002060"/>
        </w:rPr>
        <w:t xml:space="preserve">Fund open benchmarks and testbeds (data, scenarios, metrics) to </w:t>
      </w:r>
      <w:proofErr w:type="spellStart"/>
      <w:r w:rsidRPr="005F329D">
        <w:rPr>
          <w:rFonts w:ascii="Times New Roman" w:eastAsia="Times New Roman" w:hAnsi="Times New Roman" w:cs="Times New Roman"/>
          <w:color w:val="002060"/>
        </w:rPr>
        <w:t>standardise</w:t>
      </w:r>
      <w:proofErr w:type="spellEnd"/>
      <w:r w:rsidRPr="005F329D">
        <w:rPr>
          <w:rFonts w:ascii="Times New Roman" w:eastAsia="Times New Roman" w:hAnsi="Times New Roman" w:cs="Times New Roman"/>
          <w:color w:val="002060"/>
        </w:rPr>
        <w:t xml:space="preserve"> comparisons.</w:t>
      </w:r>
    </w:p>
    <w:p w14:paraId="04290F91" w14:textId="77777777" w:rsidR="005F329D" w:rsidRDefault="005F329D" w:rsidP="005F329D">
      <w:pPr>
        <w:pStyle w:val="ListParagraph"/>
        <w:numPr>
          <w:ilvl w:val="0"/>
          <w:numId w:val="5"/>
        </w:numPr>
        <w:jc w:val="both"/>
        <w:rPr>
          <w:rFonts w:ascii="Times New Roman" w:eastAsia="Times New Roman" w:hAnsi="Times New Roman" w:cs="Times New Roman"/>
          <w:color w:val="002060"/>
        </w:rPr>
      </w:pPr>
      <w:r w:rsidRPr="005F329D">
        <w:rPr>
          <w:rFonts w:ascii="Times New Roman" w:eastAsia="Times New Roman" w:hAnsi="Times New Roman" w:cs="Times New Roman"/>
          <w:color w:val="002060"/>
        </w:rPr>
        <w:t>Budget for lifecycle costs (monitoring, retraining, workforce, governance), not just acquisition.</w:t>
      </w:r>
    </w:p>
    <w:p w14:paraId="70F731FE" w14:textId="77777777" w:rsidR="005F329D" w:rsidRDefault="005F329D" w:rsidP="005F329D">
      <w:pPr>
        <w:pStyle w:val="ListParagraph"/>
        <w:numPr>
          <w:ilvl w:val="0"/>
          <w:numId w:val="5"/>
        </w:numPr>
        <w:jc w:val="both"/>
        <w:rPr>
          <w:rFonts w:ascii="Times New Roman" w:eastAsia="Times New Roman" w:hAnsi="Times New Roman" w:cs="Times New Roman"/>
          <w:color w:val="002060"/>
        </w:rPr>
      </w:pPr>
      <w:r w:rsidRPr="005F329D">
        <w:rPr>
          <w:rFonts w:ascii="Times New Roman" w:eastAsia="Times New Roman" w:hAnsi="Times New Roman" w:cs="Times New Roman"/>
          <w:color w:val="002060"/>
        </w:rPr>
        <w:t>Tie awards to capacity building (public-health analytics training) and knowledge transfer.</w:t>
      </w:r>
    </w:p>
    <w:p w14:paraId="6815C6E5" w14:textId="77EA421C" w:rsidR="005F329D" w:rsidRPr="005F329D" w:rsidRDefault="005F329D" w:rsidP="005F329D">
      <w:pPr>
        <w:pStyle w:val="ListParagraph"/>
        <w:numPr>
          <w:ilvl w:val="0"/>
          <w:numId w:val="5"/>
        </w:numPr>
        <w:jc w:val="both"/>
        <w:rPr>
          <w:rFonts w:ascii="Times New Roman" w:eastAsia="Times New Roman" w:hAnsi="Times New Roman" w:cs="Times New Roman"/>
          <w:color w:val="002060"/>
        </w:rPr>
      </w:pPr>
      <w:r w:rsidRPr="005F329D">
        <w:rPr>
          <w:rFonts w:ascii="Times New Roman" w:eastAsia="Times New Roman" w:hAnsi="Times New Roman" w:cs="Times New Roman"/>
          <w:color w:val="002060"/>
        </w:rPr>
        <w:t>Include equity, privacy, and accountability criteria in calls and contracts; mandate independent audits.</w:t>
      </w:r>
    </w:p>
    <w:p w14:paraId="306452C4" w14:textId="2A79B2CC" w:rsidR="0059279E" w:rsidRPr="0059279E" w:rsidRDefault="0059279E" w:rsidP="0059279E">
      <w:pPr>
        <w:jc w:val="both"/>
        <w:rPr>
          <w:rFonts w:ascii="Times New Roman" w:eastAsia="Times New Roman" w:hAnsi="Times New Roman" w:cs="Times New Roman"/>
        </w:rPr>
      </w:pPr>
      <w:r w:rsidRPr="0059279E">
        <w:rPr>
          <w:rFonts w:ascii="Times New Roman" w:eastAsia="Times New Roman" w:hAnsi="Times New Roman" w:cs="Times New Roman"/>
        </w:rPr>
        <w:t>COMPETING INTERESTS DISCLAIMER:</w:t>
      </w:r>
    </w:p>
    <w:p w14:paraId="2BE1A343" w14:textId="13C8085D" w:rsidR="0059279E" w:rsidRDefault="0059279E" w:rsidP="0059279E">
      <w:pPr>
        <w:jc w:val="both"/>
        <w:rPr>
          <w:rFonts w:ascii="Times New Roman" w:eastAsia="Times New Roman" w:hAnsi="Times New Roman" w:cs="Times New Roman"/>
        </w:rPr>
      </w:pPr>
      <w:r w:rsidRPr="0059279E">
        <w:rPr>
          <w:rFonts w:ascii="Times New Roman" w:eastAsia="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2691F21C" w14:textId="77777777" w:rsidR="009811ED" w:rsidRDefault="009811ED" w:rsidP="009811ED">
      <w:pPr>
        <w:rPr>
          <w:rFonts w:cs="Times New Roman"/>
          <w:kern w:val="2"/>
          <w:lang w:val="en-US"/>
        </w:rPr>
      </w:pPr>
      <w:bookmarkStart w:id="0" w:name="_Hlk192511329"/>
      <w:bookmarkStart w:id="1" w:name="_Hlk187485061"/>
      <w:bookmarkStart w:id="2" w:name="_Hlk194655630"/>
      <w:bookmarkStart w:id="3" w:name="_Hlk209008097"/>
    </w:p>
    <w:p w14:paraId="4801E30E" w14:textId="77777777" w:rsidR="009811ED" w:rsidRDefault="009811ED" w:rsidP="009811ED">
      <w:pPr>
        <w:rPr>
          <w:rFonts w:cs="Times New Roman"/>
          <w:kern w:val="2"/>
          <w:highlight w:val="yellow"/>
          <w:lang w:val="en-US"/>
        </w:rPr>
      </w:pPr>
      <w:bookmarkStart w:id="4" w:name="_Hlk204003461"/>
      <w:bookmarkStart w:id="5" w:name="_Hlk209007716"/>
      <w:bookmarkEnd w:id="0"/>
      <w:bookmarkEnd w:id="1"/>
      <w:bookmarkEnd w:id="2"/>
      <w:r>
        <w:rPr>
          <w:rFonts w:cs="Times New Roman"/>
          <w:kern w:val="2"/>
          <w:highlight w:val="yellow"/>
          <w:lang w:val="en-US"/>
        </w:rPr>
        <w:t>Disclaimer (Artificial intelligence)</w:t>
      </w:r>
    </w:p>
    <w:p w14:paraId="0B70637C" w14:textId="77777777" w:rsidR="009811ED" w:rsidRDefault="009811ED" w:rsidP="009811ED">
      <w:pPr>
        <w:rPr>
          <w:rFonts w:cs="Times New Roman"/>
          <w:kern w:val="2"/>
          <w:highlight w:val="yellow"/>
          <w:lang w:val="en-US"/>
        </w:rPr>
      </w:pPr>
      <w:r>
        <w:rPr>
          <w:rFonts w:cs="Times New Roman"/>
          <w:kern w:val="2"/>
          <w:highlight w:val="yellow"/>
          <w:lang w:val="en-US"/>
        </w:rPr>
        <w:t>Option 1:</w:t>
      </w:r>
    </w:p>
    <w:p w14:paraId="71A545E4" w14:textId="77777777" w:rsidR="009811ED" w:rsidRDefault="009811ED" w:rsidP="009811ED">
      <w:pPr>
        <w:rPr>
          <w:rFonts w:cs="Times New Roman"/>
          <w:kern w:val="2"/>
          <w:highlight w:val="yellow"/>
          <w:lang w:val="en-US"/>
        </w:rPr>
      </w:pPr>
      <w:r>
        <w:rPr>
          <w:rFonts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C771E5B" w14:textId="77777777" w:rsidR="009811ED" w:rsidRDefault="009811ED" w:rsidP="009811ED">
      <w:pPr>
        <w:rPr>
          <w:rFonts w:cs="Times New Roman"/>
          <w:kern w:val="2"/>
          <w:highlight w:val="yellow"/>
          <w:lang w:val="en-US"/>
        </w:rPr>
      </w:pPr>
      <w:r>
        <w:rPr>
          <w:rFonts w:cs="Times New Roman"/>
          <w:kern w:val="2"/>
          <w:highlight w:val="yellow"/>
          <w:lang w:val="en-US"/>
        </w:rPr>
        <w:t xml:space="preserve">Option 2: </w:t>
      </w:r>
    </w:p>
    <w:p w14:paraId="30D483DE" w14:textId="77777777" w:rsidR="009811ED" w:rsidRDefault="009811ED" w:rsidP="009811ED">
      <w:pPr>
        <w:rPr>
          <w:rFonts w:cs="Times New Roman"/>
          <w:kern w:val="2"/>
          <w:highlight w:val="yellow"/>
          <w:lang w:val="en-US"/>
        </w:rPr>
      </w:pPr>
      <w:r>
        <w:rPr>
          <w:rFonts w:cs="Times New Roman"/>
          <w:kern w:val="2"/>
          <w:highlight w:val="yellow"/>
          <w:lang w:val="en-US"/>
        </w:rPr>
        <w:t xml:space="preserve">Author(s) hereby declare that </w:t>
      </w:r>
      <w:proofErr w:type="spellStart"/>
      <w:r>
        <w:rPr>
          <w:rFonts w:cs="Times New Roman"/>
          <w:kern w:val="2"/>
          <w:highlight w:val="yellow"/>
          <w:lang w:val="en-US"/>
        </w:rPr>
        <w:t>generativ</w:t>
      </w:r>
      <w:proofErr w:type="spellEnd"/>
      <w:r>
        <w:rPr>
          <w:rFonts w:cs="Times New Roman"/>
          <w:kern w:val="2"/>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3D3AA65" w14:textId="77777777" w:rsidR="009811ED" w:rsidRDefault="009811ED" w:rsidP="009811ED">
      <w:pPr>
        <w:rPr>
          <w:rFonts w:cs="Times New Roman"/>
          <w:kern w:val="2"/>
          <w:highlight w:val="yellow"/>
          <w:lang w:val="en-US"/>
        </w:rPr>
      </w:pPr>
      <w:r>
        <w:rPr>
          <w:rFonts w:cs="Times New Roman"/>
          <w:kern w:val="2"/>
          <w:highlight w:val="yellow"/>
          <w:lang w:val="en-US"/>
        </w:rPr>
        <w:t>Details of the AI usage are given below:</w:t>
      </w:r>
    </w:p>
    <w:p w14:paraId="4A3CE139" w14:textId="77777777" w:rsidR="009811ED" w:rsidRDefault="009811ED" w:rsidP="009811ED">
      <w:pPr>
        <w:rPr>
          <w:rFonts w:cs="Times New Roman"/>
          <w:kern w:val="2"/>
          <w:highlight w:val="yellow"/>
          <w:lang w:val="en-US"/>
        </w:rPr>
      </w:pPr>
      <w:r>
        <w:rPr>
          <w:rFonts w:cs="Times New Roman"/>
          <w:kern w:val="2"/>
          <w:highlight w:val="yellow"/>
          <w:lang w:val="en-US"/>
        </w:rPr>
        <w:t>1.</w:t>
      </w:r>
    </w:p>
    <w:p w14:paraId="1C991D34" w14:textId="77777777" w:rsidR="009811ED" w:rsidRDefault="009811ED" w:rsidP="009811ED">
      <w:pPr>
        <w:rPr>
          <w:rFonts w:cs="Times New Roman"/>
          <w:kern w:val="2"/>
          <w:highlight w:val="yellow"/>
          <w:lang w:val="en-US"/>
        </w:rPr>
      </w:pPr>
      <w:r>
        <w:rPr>
          <w:rFonts w:cs="Times New Roman"/>
          <w:kern w:val="2"/>
          <w:highlight w:val="yellow"/>
          <w:lang w:val="en-US"/>
        </w:rPr>
        <w:t>2.</w:t>
      </w:r>
    </w:p>
    <w:p w14:paraId="39021108" w14:textId="77777777" w:rsidR="009811ED" w:rsidRDefault="009811ED" w:rsidP="009811ED">
      <w:pPr>
        <w:rPr>
          <w:rFonts w:cs="Times New Roman"/>
          <w:kern w:val="2"/>
          <w:highlight w:val="yellow"/>
          <w:lang w:val="en-US"/>
        </w:rPr>
      </w:pPr>
      <w:r>
        <w:rPr>
          <w:rFonts w:cs="Times New Roman"/>
          <w:kern w:val="2"/>
          <w:highlight w:val="yellow"/>
          <w:lang w:val="en-US"/>
        </w:rPr>
        <w:t>3.</w:t>
      </w:r>
      <w:bookmarkEnd w:id="4"/>
    </w:p>
    <w:bookmarkEnd w:id="3"/>
    <w:bookmarkEnd w:id="5"/>
    <w:p w14:paraId="7E3856D4" w14:textId="77777777" w:rsidR="0059279E" w:rsidRDefault="0059279E">
      <w:pPr>
        <w:jc w:val="both"/>
        <w:rPr>
          <w:rFonts w:ascii="Times New Roman" w:eastAsia="Times New Roman" w:hAnsi="Times New Roman" w:cs="Times New Roman"/>
        </w:rPr>
      </w:pPr>
    </w:p>
    <w:p w14:paraId="7D1AC87F" w14:textId="77777777" w:rsidR="0059279E" w:rsidRDefault="0059279E">
      <w:pPr>
        <w:jc w:val="both"/>
        <w:rPr>
          <w:rFonts w:ascii="Times New Roman" w:eastAsia="Times New Roman" w:hAnsi="Times New Roman" w:cs="Times New Roman"/>
        </w:rPr>
      </w:pPr>
    </w:p>
    <w:p w14:paraId="44F8C7F5" w14:textId="77777777" w:rsidR="00BA4AF1" w:rsidRDefault="00EB64D7">
      <w:pPr>
        <w:rPr>
          <w:b/>
          <w:color w:val="000000"/>
        </w:rPr>
      </w:pPr>
      <w:r>
        <w:rPr>
          <w:b/>
          <w:color w:val="000000"/>
        </w:rPr>
        <w:t>References</w:t>
      </w:r>
    </w:p>
    <w:p w14:paraId="171BD900" w14:textId="77777777" w:rsidR="00BA4AF1" w:rsidRDefault="00EB64D7">
      <w:pPr>
        <w:rPr>
          <w:color w:val="000000"/>
        </w:rPr>
      </w:pPr>
      <w:r>
        <w:rPr>
          <w:color w:val="000000"/>
        </w:rPr>
        <w:t xml:space="preserve">Aiello, A. E., Renson, A., &amp; </w:t>
      </w:r>
      <w:proofErr w:type="spellStart"/>
      <w:r>
        <w:rPr>
          <w:color w:val="000000"/>
        </w:rPr>
        <w:t>Zivich</w:t>
      </w:r>
      <w:proofErr w:type="spellEnd"/>
      <w:r>
        <w:rPr>
          <w:color w:val="000000"/>
        </w:rPr>
        <w:t>, P. N. (2020). Social media–and internet-based disease surveillance for public health. </w:t>
      </w:r>
      <w:r>
        <w:rPr>
          <w:i/>
          <w:color w:val="000000"/>
        </w:rPr>
        <w:t>Annual review of public health</w:t>
      </w:r>
      <w:r>
        <w:rPr>
          <w:color w:val="000000"/>
        </w:rPr>
        <w:t>, </w:t>
      </w:r>
      <w:r>
        <w:rPr>
          <w:i/>
          <w:color w:val="000000"/>
        </w:rPr>
        <w:t>41</w:t>
      </w:r>
      <w:r>
        <w:rPr>
          <w:color w:val="000000"/>
        </w:rPr>
        <w:t>, 101-118.</w:t>
      </w:r>
    </w:p>
    <w:p w14:paraId="2260840F" w14:textId="77777777" w:rsidR="00BA4AF1" w:rsidRDefault="00EB64D7">
      <w:pPr>
        <w:rPr>
          <w:color w:val="000000"/>
        </w:rPr>
      </w:pPr>
      <w:r>
        <w:rPr>
          <w:color w:val="000000"/>
        </w:rPr>
        <w:t xml:space="preserve">Aiken, E. L., Nguyen, A. T., </w:t>
      </w:r>
      <w:proofErr w:type="spellStart"/>
      <w:r>
        <w:rPr>
          <w:color w:val="000000"/>
        </w:rPr>
        <w:t>Viboud</w:t>
      </w:r>
      <w:proofErr w:type="spellEnd"/>
      <w:r>
        <w:rPr>
          <w:color w:val="000000"/>
        </w:rPr>
        <w:t>, C., &amp; Santillana, M. (2021). Toward the use of neural networks for influenza prediction at multiple spatial resolutions. </w:t>
      </w:r>
      <w:r>
        <w:rPr>
          <w:i/>
          <w:color w:val="000000"/>
        </w:rPr>
        <w:t>Science Advances</w:t>
      </w:r>
      <w:r>
        <w:rPr>
          <w:color w:val="000000"/>
        </w:rPr>
        <w:t>, </w:t>
      </w:r>
      <w:r>
        <w:rPr>
          <w:i/>
          <w:color w:val="000000"/>
        </w:rPr>
        <w:t>7</w:t>
      </w:r>
      <w:r>
        <w:rPr>
          <w:color w:val="000000"/>
        </w:rPr>
        <w:t>(25), eabb1237.</w:t>
      </w:r>
    </w:p>
    <w:p w14:paraId="6BB6E99F" w14:textId="77777777" w:rsidR="00BA4AF1" w:rsidRDefault="00EB64D7">
      <w:pPr>
        <w:rPr>
          <w:color w:val="000000"/>
        </w:rPr>
      </w:pPr>
      <w:r>
        <w:rPr>
          <w:color w:val="000000"/>
        </w:rPr>
        <w:t>Ali, S. T., &amp; Cowling, B. J. (2021). Influenza virus: tracking, predicting, and forecasting. </w:t>
      </w:r>
      <w:r>
        <w:rPr>
          <w:i/>
          <w:color w:val="000000"/>
        </w:rPr>
        <w:t>Annual review of public health</w:t>
      </w:r>
      <w:r>
        <w:rPr>
          <w:color w:val="000000"/>
        </w:rPr>
        <w:t>, </w:t>
      </w:r>
      <w:r>
        <w:rPr>
          <w:i/>
          <w:color w:val="000000"/>
        </w:rPr>
        <w:t>42</w:t>
      </w:r>
      <w:r>
        <w:rPr>
          <w:color w:val="000000"/>
        </w:rPr>
        <w:t>(1), 43-57.</w:t>
      </w:r>
    </w:p>
    <w:p w14:paraId="632D5F1D" w14:textId="77777777" w:rsidR="00BA4AF1" w:rsidRDefault="00EB64D7">
      <w:pPr>
        <w:rPr>
          <w:color w:val="000000"/>
        </w:rPr>
      </w:pPr>
      <w:r>
        <w:rPr>
          <w:color w:val="000000"/>
        </w:rPr>
        <w:t xml:space="preserve">Aliabadi, A., </w:t>
      </w:r>
      <w:proofErr w:type="spellStart"/>
      <w:r>
        <w:rPr>
          <w:color w:val="000000"/>
        </w:rPr>
        <w:t>Sheikhtaheri</w:t>
      </w:r>
      <w:proofErr w:type="spellEnd"/>
      <w:r>
        <w:rPr>
          <w:color w:val="000000"/>
        </w:rPr>
        <w:t>, A., &amp; Ansari, H. (2020). Electronic health record–based disease surveillance systems: a systematic literature review on challenges and solutions. </w:t>
      </w:r>
      <w:r>
        <w:rPr>
          <w:i/>
          <w:color w:val="000000"/>
        </w:rPr>
        <w:t>Journal of the American Medical Informatics Association</w:t>
      </w:r>
      <w:r>
        <w:rPr>
          <w:color w:val="000000"/>
        </w:rPr>
        <w:t>, </w:t>
      </w:r>
      <w:r>
        <w:rPr>
          <w:i/>
          <w:color w:val="000000"/>
        </w:rPr>
        <w:t>27</w:t>
      </w:r>
      <w:r>
        <w:rPr>
          <w:color w:val="000000"/>
        </w:rPr>
        <w:t>(12), 1977-1986.</w:t>
      </w:r>
    </w:p>
    <w:p w14:paraId="5EA6BA2B" w14:textId="77777777" w:rsidR="00BA4AF1" w:rsidRDefault="00EB64D7">
      <w:pPr>
        <w:rPr>
          <w:color w:val="000000"/>
        </w:rPr>
      </w:pPr>
      <w:r>
        <w:rPr>
          <w:color w:val="000000"/>
        </w:rPr>
        <w:t>Charles-Smith, L. E., Reynolds, T. L., Cameron, M. A., Conway, M., Lau, E. H., Olsen, J. M., ... &amp; Corley, C. D. (2015). Using social media for actionable disease surveillance and outbreak management: a systematic literature review. </w:t>
      </w:r>
      <w:proofErr w:type="spellStart"/>
      <w:r>
        <w:rPr>
          <w:i/>
          <w:color w:val="000000"/>
        </w:rPr>
        <w:t>PloS</w:t>
      </w:r>
      <w:proofErr w:type="spellEnd"/>
      <w:r>
        <w:rPr>
          <w:i/>
          <w:color w:val="000000"/>
        </w:rPr>
        <w:t xml:space="preserve"> one</w:t>
      </w:r>
      <w:r>
        <w:rPr>
          <w:color w:val="000000"/>
        </w:rPr>
        <w:t>, </w:t>
      </w:r>
      <w:r>
        <w:rPr>
          <w:i/>
          <w:color w:val="000000"/>
        </w:rPr>
        <w:t>10</w:t>
      </w:r>
      <w:r>
        <w:rPr>
          <w:color w:val="000000"/>
        </w:rPr>
        <w:t>(10), e0139701.</w:t>
      </w:r>
    </w:p>
    <w:p w14:paraId="3D40ED45" w14:textId="77777777" w:rsidR="00BA4AF1" w:rsidRDefault="00EB64D7">
      <w:pPr>
        <w:rPr>
          <w:color w:val="000000"/>
        </w:rPr>
      </w:pPr>
      <w:r>
        <w:rPr>
          <w:color w:val="000000"/>
        </w:rPr>
        <w:t xml:space="preserve">Chen, C., Wang, Y., Kaur, G., Adiga, A., Espinoza, B., </w:t>
      </w:r>
      <w:proofErr w:type="spellStart"/>
      <w:r>
        <w:rPr>
          <w:color w:val="000000"/>
        </w:rPr>
        <w:t>Venkatramanan</w:t>
      </w:r>
      <w:proofErr w:type="spellEnd"/>
      <w:r>
        <w:rPr>
          <w:color w:val="000000"/>
        </w:rPr>
        <w:t>, S., ... &amp; Marathe, M. (2024). Wastewater-based epidemiology for COVID-19 surveillance and beyond: A survey. </w:t>
      </w:r>
      <w:r>
        <w:rPr>
          <w:i/>
          <w:color w:val="000000"/>
        </w:rPr>
        <w:t>Epidemics</w:t>
      </w:r>
      <w:r>
        <w:rPr>
          <w:color w:val="000000"/>
        </w:rPr>
        <w:t>, </w:t>
      </w:r>
      <w:r>
        <w:rPr>
          <w:i/>
          <w:color w:val="000000"/>
        </w:rPr>
        <w:t>49</w:t>
      </w:r>
      <w:r>
        <w:rPr>
          <w:color w:val="000000"/>
        </w:rPr>
        <w:t>, 100793.</w:t>
      </w:r>
    </w:p>
    <w:p w14:paraId="7EDB4E3F" w14:textId="77777777" w:rsidR="00BA4AF1" w:rsidRDefault="00EB64D7">
      <w:pPr>
        <w:rPr>
          <w:color w:val="000000"/>
        </w:rPr>
      </w:pPr>
      <w:r>
        <w:rPr>
          <w:color w:val="000000"/>
        </w:rPr>
        <w:t>Clemente, L., Lu, F., &amp; Santillana, M. (2019). Improved real-time influenza surveillance: using internet search data in eight Latin American countries. </w:t>
      </w:r>
      <w:r>
        <w:rPr>
          <w:i/>
          <w:color w:val="000000"/>
        </w:rPr>
        <w:t>JMIR public health and surveillance</w:t>
      </w:r>
      <w:r>
        <w:rPr>
          <w:color w:val="000000"/>
        </w:rPr>
        <w:t>, </w:t>
      </w:r>
      <w:r>
        <w:rPr>
          <w:i/>
          <w:color w:val="000000"/>
        </w:rPr>
        <w:t>5</w:t>
      </w:r>
      <w:r>
        <w:rPr>
          <w:color w:val="000000"/>
        </w:rPr>
        <w:t>(2), e12214.</w:t>
      </w:r>
    </w:p>
    <w:p w14:paraId="3E55D374" w14:textId="77777777" w:rsidR="00BA4AF1" w:rsidRDefault="00EB64D7">
      <w:pPr>
        <w:rPr>
          <w:color w:val="000000"/>
        </w:rPr>
      </w:pPr>
      <w:r>
        <w:rPr>
          <w:color w:val="000000"/>
        </w:rPr>
        <w:t>Cramer, E. Y., Huang, Y., Wang, Y., Ray, E. L., Cornell, M., Bracher, J., ... &amp; Reich, N. G. (2022). The United States COVID-19 forecast hub dataset. </w:t>
      </w:r>
      <w:r>
        <w:rPr>
          <w:i/>
          <w:color w:val="000000"/>
        </w:rPr>
        <w:t>Scientific data</w:t>
      </w:r>
      <w:r>
        <w:rPr>
          <w:color w:val="000000"/>
        </w:rPr>
        <w:t>, </w:t>
      </w:r>
      <w:r>
        <w:rPr>
          <w:i/>
          <w:color w:val="000000"/>
        </w:rPr>
        <w:t>9</w:t>
      </w:r>
      <w:r>
        <w:rPr>
          <w:color w:val="000000"/>
        </w:rPr>
        <w:t>(1), 462.</w:t>
      </w:r>
    </w:p>
    <w:p w14:paraId="7D9DD9AF" w14:textId="77777777" w:rsidR="00BA4AF1" w:rsidRDefault="00EB64D7">
      <w:pPr>
        <w:rPr>
          <w:color w:val="000000"/>
        </w:rPr>
      </w:pPr>
      <w:r>
        <w:rPr>
          <w:color w:val="000000"/>
        </w:rPr>
        <w:t>Crits-Christoph, A., Kantor, R. S., Olm, M. R., Whitney, O. N., Al-</w:t>
      </w:r>
      <w:proofErr w:type="spellStart"/>
      <w:r>
        <w:rPr>
          <w:color w:val="000000"/>
        </w:rPr>
        <w:t>Shayeb</w:t>
      </w:r>
      <w:proofErr w:type="spellEnd"/>
      <w:r>
        <w:rPr>
          <w:color w:val="000000"/>
        </w:rPr>
        <w:t>, B., Lou, Y. C., ... &amp; Nelson, K. L. (2021). Genome sequencing of sewage detects regionally prevalent SARS-CoV-2 variants. </w:t>
      </w:r>
      <w:proofErr w:type="spellStart"/>
      <w:r>
        <w:rPr>
          <w:i/>
          <w:color w:val="000000"/>
        </w:rPr>
        <w:t>MBio</w:t>
      </w:r>
      <w:proofErr w:type="spellEnd"/>
      <w:r>
        <w:rPr>
          <w:color w:val="000000"/>
        </w:rPr>
        <w:t>, </w:t>
      </w:r>
      <w:r>
        <w:rPr>
          <w:i/>
          <w:color w:val="000000"/>
        </w:rPr>
        <w:t>12</w:t>
      </w:r>
      <w:r>
        <w:rPr>
          <w:color w:val="000000"/>
        </w:rPr>
        <w:t>(1), 10-1128.</w:t>
      </w:r>
    </w:p>
    <w:p w14:paraId="2BB518E5" w14:textId="77777777" w:rsidR="00BA4AF1" w:rsidRDefault="00EB64D7">
      <w:pPr>
        <w:rPr>
          <w:color w:val="000000"/>
        </w:rPr>
      </w:pPr>
      <w:r>
        <w:rPr>
          <w:color w:val="000000"/>
        </w:rPr>
        <w:t xml:space="preserve">Goergen, C. J., </w:t>
      </w:r>
      <w:proofErr w:type="spellStart"/>
      <w:r>
        <w:rPr>
          <w:color w:val="000000"/>
        </w:rPr>
        <w:t>Tweardy</w:t>
      </w:r>
      <w:proofErr w:type="spellEnd"/>
      <w:r>
        <w:rPr>
          <w:color w:val="000000"/>
        </w:rPr>
        <w:t xml:space="preserve">, M. J., </w:t>
      </w:r>
      <w:proofErr w:type="spellStart"/>
      <w:r>
        <w:rPr>
          <w:color w:val="000000"/>
        </w:rPr>
        <w:t>Steinhubl</w:t>
      </w:r>
      <w:proofErr w:type="spellEnd"/>
      <w:r>
        <w:rPr>
          <w:color w:val="000000"/>
        </w:rPr>
        <w:t>, S. R., Wegerich, S. W., Singh, K., Mieloszyk, R. J., &amp; Dunn, J. (2022). Detection and monitoring of viral infections via wearable devices and biometric data. </w:t>
      </w:r>
      <w:r>
        <w:rPr>
          <w:i/>
          <w:color w:val="000000"/>
        </w:rPr>
        <w:t>Annual review of biomedical engineering</w:t>
      </w:r>
      <w:r>
        <w:rPr>
          <w:color w:val="000000"/>
        </w:rPr>
        <w:t>, </w:t>
      </w:r>
      <w:r>
        <w:rPr>
          <w:i/>
          <w:color w:val="000000"/>
        </w:rPr>
        <w:t>24</w:t>
      </w:r>
      <w:r>
        <w:rPr>
          <w:color w:val="000000"/>
        </w:rPr>
        <w:t>(1), 1-27.</w:t>
      </w:r>
    </w:p>
    <w:p w14:paraId="5D88C8A7" w14:textId="77777777" w:rsidR="00BA4AF1" w:rsidRDefault="00EB64D7">
      <w:pPr>
        <w:rPr>
          <w:color w:val="000000"/>
        </w:rPr>
      </w:pPr>
      <w:proofErr w:type="spellStart"/>
      <w:r>
        <w:rPr>
          <w:color w:val="000000"/>
        </w:rPr>
        <w:t>Gostic</w:t>
      </w:r>
      <w:proofErr w:type="spellEnd"/>
      <w:r>
        <w:rPr>
          <w:color w:val="000000"/>
        </w:rPr>
        <w:t xml:space="preserve">, K., Gomez, A. C., </w:t>
      </w:r>
      <w:proofErr w:type="spellStart"/>
      <w:r>
        <w:rPr>
          <w:color w:val="000000"/>
        </w:rPr>
        <w:t>Mummah</w:t>
      </w:r>
      <w:proofErr w:type="spellEnd"/>
      <w:r>
        <w:rPr>
          <w:color w:val="000000"/>
        </w:rPr>
        <w:t>, R. O., Kucharski, A. J., &amp; Lloyd-Smith, J. O. (2020). Estimated effectiveness of symptom and risk screening to prevent the spread of COVID-19. </w:t>
      </w:r>
      <w:r>
        <w:rPr>
          <w:i/>
          <w:color w:val="000000"/>
        </w:rPr>
        <w:t>Elife</w:t>
      </w:r>
      <w:r>
        <w:rPr>
          <w:color w:val="000000"/>
        </w:rPr>
        <w:t>, </w:t>
      </w:r>
      <w:r>
        <w:rPr>
          <w:i/>
          <w:color w:val="000000"/>
        </w:rPr>
        <w:t>9</w:t>
      </w:r>
      <w:r>
        <w:rPr>
          <w:color w:val="000000"/>
        </w:rPr>
        <w:t>, e55570.</w:t>
      </w:r>
    </w:p>
    <w:p w14:paraId="6386A919" w14:textId="77777777" w:rsidR="00BA4AF1" w:rsidRDefault="00EB64D7">
      <w:pPr>
        <w:rPr>
          <w:color w:val="000000"/>
        </w:rPr>
      </w:pPr>
      <w:r>
        <w:rPr>
          <w:color w:val="000000"/>
        </w:rPr>
        <w:lastRenderedPageBreak/>
        <w:t>Hellewell, J., Abbott, S., Gimma, A., Bosse, N. I., Jarvis, C. I., Russell, T. W., ... &amp; Eggo, R. M. (2020). Feasibility of controlling COVID-19 outbreaks by isolation of cases and contacts. </w:t>
      </w:r>
      <w:r>
        <w:rPr>
          <w:i/>
          <w:color w:val="000000"/>
        </w:rPr>
        <w:t>The Lancet Global Health</w:t>
      </w:r>
      <w:r>
        <w:rPr>
          <w:color w:val="000000"/>
        </w:rPr>
        <w:t>, </w:t>
      </w:r>
      <w:r>
        <w:rPr>
          <w:i/>
          <w:color w:val="000000"/>
        </w:rPr>
        <w:t>8</w:t>
      </w:r>
      <w:r>
        <w:rPr>
          <w:color w:val="000000"/>
        </w:rPr>
        <w:t>(4), e488-e496.</w:t>
      </w:r>
    </w:p>
    <w:p w14:paraId="40121CA4" w14:textId="77777777" w:rsidR="00BA4AF1" w:rsidRDefault="00EB64D7">
      <w:pPr>
        <w:rPr>
          <w:color w:val="000000"/>
        </w:rPr>
      </w:pPr>
      <w:r>
        <w:rPr>
          <w:color w:val="000000"/>
        </w:rPr>
        <w:t xml:space="preserve">Howerton, E., </w:t>
      </w:r>
      <w:proofErr w:type="spellStart"/>
      <w:r>
        <w:rPr>
          <w:color w:val="000000"/>
        </w:rPr>
        <w:t>Contamin</w:t>
      </w:r>
      <w:proofErr w:type="spellEnd"/>
      <w:r>
        <w:rPr>
          <w:color w:val="000000"/>
        </w:rPr>
        <w:t>, L., Mullany, L. C., Qin, M., Reich, N. G., Bents, S., ... &amp; Lessler, J. (2023). Evaluation of the US COVID-19 Scenario Modeling Hub for informing pandemic response under uncertainty. </w:t>
      </w:r>
      <w:r>
        <w:rPr>
          <w:i/>
          <w:color w:val="000000"/>
        </w:rPr>
        <w:t>Nature communications</w:t>
      </w:r>
      <w:r>
        <w:rPr>
          <w:color w:val="000000"/>
        </w:rPr>
        <w:t>, </w:t>
      </w:r>
      <w:r>
        <w:rPr>
          <w:i/>
          <w:color w:val="000000"/>
        </w:rPr>
        <w:t>14</w:t>
      </w:r>
      <w:r>
        <w:rPr>
          <w:color w:val="000000"/>
        </w:rPr>
        <w:t>(1), 7260.</w:t>
      </w:r>
    </w:p>
    <w:p w14:paraId="11E1A363" w14:textId="77777777" w:rsidR="00BA4AF1" w:rsidRDefault="00EB64D7">
      <w:pPr>
        <w:rPr>
          <w:color w:val="000000"/>
        </w:rPr>
      </w:pPr>
      <w:r>
        <w:rPr>
          <w:color w:val="000000"/>
        </w:rPr>
        <w:t xml:space="preserve">Hughes, H. E., </w:t>
      </w:r>
      <w:proofErr w:type="spellStart"/>
      <w:r>
        <w:rPr>
          <w:color w:val="000000"/>
        </w:rPr>
        <w:t>Edeghere</w:t>
      </w:r>
      <w:proofErr w:type="spellEnd"/>
      <w:r>
        <w:rPr>
          <w:color w:val="000000"/>
        </w:rPr>
        <w:t>, O., O’Brien, S. J., Vivancos, R., &amp; Elliot, A. J. (2020). Emergency department syndromic surveillance systems: a systematic review. </w:t>
      </w:r>
      <w:r>
        <w:rPr>
          <w:i/>
          <w:color w:val="000000"/>
        </w:rPr>
        <w:t>BMC Public Health</w:t>
      </w:r>
      <w:r>
        <w:rPr>
          <w:color w:val="000000"/>
        </w:rPr>
        <w:t>, </w:t>
      </w:r>
      <w:r>
        <w:rPr>
          <w:i/>
          <w:color w:val="000000"/>
        </w:rPr>
        <w:t>20</w:t>
      </w:r>
      <w:r>
        <w:rPr>
          <w:color w:val="000000"/>
        </w:rPr>
        <w:t>(1), 1891.</w:t>
      </w:r>
    </w:p>
    <w:p w14:paraId="1845BE58" w14:textId="77777777" w:rsidR="00BA4AF1" w:rsidRDefault="00EB64D7">
      <w:pPr>
        <w:rPr>
          <w:color w:val="000000"/>
        </w:rPr>
      </w:pPr>
      <w:r>
        <w:rPr>
          <w:color w:val="000000"/>
        </w:rPr>
        <w:t xml:space="preserve">Johansson, M. A., </w:t>
      </w:r>
      <w:proofErr w:type="spellStart"/>
      <w:r>
        <w:rPr>
          <w:color w:val="000000"/>
        </w:rPr>
        <w:t>Apfeldorf</w:t>
      </w:r>
      <w:proofErr w:type="spellEnd"/>
      <w:r>
        <w:rPr>
          <w:color w:val="000000"/>
        </w:rPr>
        <w:t>, K. M., Dobson, S., Devita, J., Buczak, A. L., Baugher, B., ... &amp; Chretien, J. P. (2019). An open challenge to advance probabilistic forecasting for dengue epidemics. </w:t>
      </w:r>
      <w:r>
        <w:rPr>
          <w:i/>
          <w:color w:val="000000"/>
        </w:rPr>
        <w:t>Proceedings of the National Academy of Sciences</w:t>
      </w:r>
      <w:r>
        <w:rPr>
          <w:color w:val="000000"/>
        </w:rPr>
        <w:t>, </w:t>
      </w:r>
      <w:r>
        <w:rPr>
          <w:i/>
          <w:color w:val="000000"/>
        </w:rPr>
        <w:t>116</w:t>
      </w:r>
      <w:r>
        <w:rPr>
          <w:color w:val="000000"/>
        </w:rPr>
        <w:t>(48), 24268-24274.</w:t>
      </w:r>
    </w:p>
    <w:p w14:paraId="46A40458" w14:textId="77777777" w:rsidR="00BA4AF1" w:rsidRDefault="00EB64D7">
      <w:pPr>
        <w:rPr>
          <w:color w:val="000000"/>
        </w:rPr>
      </w:pPr>
      <w:r>
        <w:rPr>
          <w:color w:val="000000"/>
        </w:rPr>
        <w:t>Karthikeyan, S., Levy, J. I., De Hoff, P., Humphrey, G., Birmingham, A., Jepsen, K., ... &amp; Knight, R. (2022). Wastewater sequencing reveals early cryptic SARS-CoV-2 variant transmission. </w:t>
      </w:r>
      <w:r>
        <w:rPr>
          <w:i/>
          <w:color w:val="000000"/>
        </w:rPr>
        <w:t>Nature</w:t>
      </w:r>
      <w:r>
        <w:rPr>
          <w:color w:val="000000"/>
        </w:rPr>
        <w:t>, </w:t>
      </w:r>
      <w:r>
        <w:rPr>
          <w:i/>
          <w:color w:val="000000"/>
        </w:rPr>
        <w:t>609</w:t>
      </w:r>
      <w:r>
        <w:rPr>
          <w:color w:val="000000"/>
        </w:rPr>
        <w:t>(7925), 101-108.</w:t>
      </w:r>
    </w:p>
    <w:p w14:paraId="1D477DA9" w14:textId="77777777" w:rsidR="00BA4AF1" w:rsidRDefault="00EB64D7">
      <w:pPr>
        <w:rPr>
          <w:color w:val="000000"/>
        </w:rPr>
      </w:pPr>
      <w:r>
        <w:rPr>
          <w:color w:val="000000"/>
        </w:rPr>
        <w:t>Kogan, N. E., Clemente, L., Liautaud, P., Kaashoek, J., Link, N. B., Nguyen, A. T., ... &amp; Santillana, M. (2021). An early warning approach to monitor COVID-19 activity with multiple digital traces in near real time. </w:t>
      </w:r>
      <w:r>
        <w:rPr>
          <w:i/>
          <w:color w:val="000000"/>
        </w:rPr>
        <w:t>Science advances</w:t>
      </w:r>
      <w:r>
        <w:rPr>
          <w:color w:val="000000"/>
        </w:rPr>
        <w:t>, </w:t>
      </w:r>
      <w:r>
        <w:rPr>
          <w:i/>
          <w:color w:val="000000"/>
        </w:rPr>
        <w:t>7</w:t>
      </w:r>
      <w:r>
        <w:rPr>
          <w:color w:val="000000"/>
        </w:rPr>
        <w:t>(10), eabd6989.</w:t>
      </w:r>
    </w:p>
    <w:p w14:paraId="5AAC8021" w14:textId="77777777" w:rsidR="00BA4AF1" w:rsidRDefault="00EB64D7">
      <w:pPr>
        <w:rPr>
          <w:color w:val="000000"/>
        </w:rPr>
      </w:pPr>
      <w:proofErr w:type="spellStart"/>
      <w:r>
        <w:rPr>
          <w:color w:val="000000"/>
        </w:rPr>
        <w:t>Kostandova</w:t>
      </w:r>
      <w:proofErr w:type="spellEnd"/>
      <w:r>
        <w:rPr>
          <w:color w:val="000000"/>
        </w:rPr>
        <w:t xml:space="preserve">, N., </w:t>
      </w:r>
      <w:proofErr w:type="spellStart"/>
      <w:r>
        <w:rPr>
          <w:color w:val="000000"/>
        </w:rPr>
        <w:t>Schluth</w:t>
      </w:r>
      <w:proofErr w:type="spellEnd"/>
      <w:r>
        <w:rPr>
          <w:color w:val="000000"/>
        </w:rPr>
        <w:t xml:space="preserve">, C., </w:t>
      </w:r>
      <w:proofErr w:type="spellStart"/>
      <w:r>
        <w:rPr>
          <w:color w:val="000000"/>
        </w:rPr>
        <w:t>Arambepola</w:t>
      </w:r>
      <w:proofErr w:type="spellEnd"/>
      <w:r>
        <w:rPr>
          <w:color w:val="000000"/>
        </w:rPr>
        <w:t>, R., Atuhaire, F., Bérubé, S., Chin, T., ... &amp; Wesolowski, A. (2024). A systematic review of using population-level human mobility data to understand SARS-CoV-2 transmission. </w:t>
      </w:r>
      <w:r>
        <w:rPr>
          <w:i/>
          <w:color w:val="000000"/>
        </w:rPr>
        <w:t>Nature communications</w:t>
      </w:r>
      <w:r>
        <w:rPr>
          <w:color w:val="000000"/>
        </w:rPr>
        <w:t>, </w:t>
      </w:r>
      <w:r>
        <w:rPr>
          <w:i/>
          <w:color w:val="000000"/>
        </w:rPr>
        <w:t>15</w:t>
      </w:r>
      <w:r>
        <w:rPr>
          <w:color w:val="000000"/>
        </w:rPr>
        <w:t>(1), 10504.</w:t>
      </w:r>
    </w:p>
    <w:p w14:paraId="26BC539F" w14:textId="77777777" w:rsidR="00BA4AF1" w:rsidRDefault="00EB64D7">
      <w:pPr>
        <w:rPr>
          <w:color w:val="000000"/>
        </w:rPr>
      </w:pPr>
      <w:r>
        <w:rPr>
          <w:color w:val="000000"/>
        </w:rPr>
        <w:t>Kucharski, A. J., Klepac, P., Conlan, A. J., Kissler, S. M., Tang, M. L., Fry, H., ... &amp; Simons, D. (2020). Effectiveness of isolation, testing, contact tracing, and physical distancing on reducing transmission of SARS-CoV-2 in different settings: a mathematical modelling study. </w:t>
      </w:r>
      <w:r>
        <w:rPr>
          <w:i/>
          <w:color w:val="000000"/>
        </w:rPr>
        <w:t>The Lancet infectious diseases</w:t>
      </w:r>
      <w:r>
        <w:rPr>
          <w:color w:val="000000"/>
        </w:rPr>
        <w:t>, </w:t>
      </w:r>
      <w:r>
        <w:rPr>
          <w:i/>
          <w:color w:val="000000"/>
        </w:rPr>
        <w:t>20</w:t>
      </w:r>
      <w:r>
        <w:rPr>
          <w:color w:val="000000"/>
        </w:rPr>
        <w:t>(10), 1151-1160.</w:t>
      </w:r>
    </w:p>
    <w:p w14:paraId="21E0C83D" w14:textId="77777777" w:rsidR="00BA4AF1" w:rsidRDefault="00EB64D7">
      <w:pPr>
        <w:rPr>
          <w:color w:val="000000"/>
        </w:rPr>
      </w:pPr>
      <w:r>
        <w:rPr>
          <w:color w:val="000000"/>
        </w:rPr>
        <w:t>Lu, F. S., Hattab, M. W., Clemente, C. L., Biggerstaff, M., &amp; Santillana, M. (2019). Improved state-level influenza nowcasting in the United States leveraging Internet-based data and network approaches. </w:t>
      </w:r>
      <w:r>
        <w:rPr>
          <w:i/>
          <w:color w:val="000000"/>
        </w:rPr>
        <w:t>Nature communications</w:t>
      </w:r>
      <w:r>
        <w:rPr>
          <w:color w:val="000000"/>
        </w:rPr>
        <w:t>, </w:t>
      </w:r>
      <w:r>
        <w:rPr>
          <w:i/>
          <w:color w:val="000000"/>
        </w:rPr>
        <w:t>10</w:t>
      </w:r>
      <w:r>
        <w:rPr>
          <w:color w:val="000000"/>
        </w:rPr>
        <w:t>(1), 147.</w:t>
      </w:r>
    </w:p>
    <w:p w14:paraId="476E9EF5" w14:textId="77777777" w:rsidR="00BA4AF1" w:rsidRDefault="00EB64D7">
      <w:pPr>
        <w:rPr>
          <w:color w:val="000000"/>
        </w:rPr>
      </w:pPr>
      <w:r>
        <w:rPr>
          <w:color w:val="000000"/>
        </w:rPr>
        <w:t>Lu, F. S., Hou, S., Baltrusaitis, K., Shah, M., Leskovec, J., Hawkins, J., ... &amp; Santillana, M. (2018). Accurate influenza monitoring and forecasting using novel internet data streams: a case study in the Boston Metropolis. </w:t>
      </w:r>
      <w:r>
        <w:rPr>
          <w:i/>
          <w:color w:val="000000"/>
        </w:rPr>
        <w:t>JMIR public health and surveillance</w:t>
      </w:r>
      <w:r>
        <w:rPr>
          <w:color w:val="000000"/>
        </w:rPr>
        <w:t>, </w:t>
      </w:r>
      <w:r>
        <w:rPr>
          <w:i/>
          <w:color w:val="000000"/>
        </w:rPr>
        <w:t>4</w:t>
      </w:r>
      <w:r>
        <w:rPr>
          <w:color w:val="000000"/>
        </w:rPr>
        <w:t>(1), e8950.</w:t>
      </w:r>
    </w:p>
    <w:p w14:paraId="79D4EBD3" w14:textId="77777777" w:rsidR="00BA4AF1" w:rsidRDefault="00EB64D7">
      <w:pPr>
        <w:rPr>
          <w:color w:val="000000"/>
        </w:rPr>
      </w:pPr>
      <w:r>
        <w:rPr>
          <w:color w:val="000000"/>
        </w:rPr>
        <w:t xml:space="preserve">Lutz, C. S., Huynh, M. P., Schroeder, M., </w:t>
      </w:r>
      <w:proofErr w:type="spellStart"/>
      <w:r>
        <w:rPr>
          <w:color w:val="000000"/>
        </w:rPr>
        <w:t>Anyatonwu</w:t>
      </w:r>
      <w:proofErr w:type="spellEnd"/>
      <w:r>
        <w:rPr>
          <w:color w:val="000000"/>
        </w:rPr>
        <w:t>, S., Dahlgren, F. S., Danyluk, G., ... &amp; Biggerstaff, M. (2019). Applying infectious disease forecasting to public health: a path forward using influenza forecasting examples. </w:t>
      </w:r>
      <w:r>
        <w:rPr>
          <w:i/>
          <w:color w:val="000000"/>
        </w:rPr>
        <w:t>BMC Public Health</w:t>
      </w:r>
      <w:r>
        <w:rPr>
          <w:color w:val="000000"/>
        </w:rPr>
        <w:t>, </w:t>
      </w:r>
      <w:r>
        <w:rPr>
          <w:i/>
          <w:color w:val="000000"/>
        </w:rPr>
        <w:t>19</w:t>
      </w:r>
      <w:r>
        <w:rPr>
          <w:color w:val="000000"/>
        </w:rPr>
        <w:t>(1), 1659.</w:t>
      </w:r>
    </w:p>
    <w:p w14:paraId="78680126" w14:textId="77777777" w:rsidR="00BA4AF1" w:rsidRDefault="00EB64D7">
      <w:pPr>
        <w:rPr>
          <w:color w:val="000000"/>
        </w:rPr>
      </w:pPr>
      <w:r>
        <w:rPr>
          <w:color w:val="000000"/>
        </w:rPr>
        <w:lastRenderedPageBreak/>
        <w:t xml:space="preserve">Mackey, T., Purushothaman, V., Li, J., Shah, N., Nali, M., Bardier, C., ... &amp; Cuomo, R. (2020). Machine learning to detect self-reporting of symptoms, testing access, and recovery associated with COVID-19 on Twitter: retrospective big data </w:t>
      </w:r>
      <w:proofErr w:type="spellStart"/>
      <w:r>
        <w:rPr>
          <w:color w:val="000000"/>
        </w:rPr>
        <w:t>infoveillance</w:t>
      </w:r>
      <w:proofErr w:type="spellEnd"/>
      <w:r>
        <w:rPr>
          <w:color w:val="000000"/>
        </w:rPr>
        <w:t xml:space="preserve"> study. </w:t>
      </w:r>
      <w:r>
        <w:rPr>
          <w:i/>
          <w:color w:val="000000"/>
        </w:rPr>
        <w:t>JMIR public health and surveillance</w:t>
      </w:r>
      <w:r>
        <w:rPr>
          <w:color w:val="000000"/>
        </w:rPr>
        <w:t>, </w:t>
      </w:r>
      <w:r>
        <w:rPr>
          <w:i/>
          <w:color w:val="000000"/>
        </w:rPr>
        <w:t>6</w:t>
      </w:r>
      <w:r>
        <w:rPr>
          <w:color w:val="000000"/>
        </w:rPr>
        <w:t>(2), e19509.</w:t>
      </w:r>
    </w:p>
    <w:p w14:paraId="4901069D" w14:textId="77777777" w:rsidR="00BA4AF1" w:rsidRDefault="00EB64D7">
      <w:pPr>
        <w:rPr>
          <w:color w:val="000000"/>
        </w:rPr>
      </w:pPr>
      <w:r>
        <w:rPr>
          <w:color w:val="000000"/>
        </w:rPr>
        <w:t xml:space="preserve">Mathis, S. M., Webber, A. E., León, T. M., Murray, E. L., Sun, M., White, L. A., ... &amp; </w:t>
      </w:r>
      <w:proofErr w:type="spellStart"/>
      <w:r>
        <w:rPr>
          <w:color w:val="000000"/>
        </w:rPr>
        <w:t>Borchering</w:t>
      </w:r>
      <w:proofErr w:type="spellEnd"/>
      <w:r>
        <w:rPr>
          <w:color w:val="000000"/>
        </w:rPr>
        <w:t xml:space="preserve">, R. K. (2024). Evaluation of </w:t>
      </w:r>
      <w:proofErr w:type="spellStart"/>
      <w:r>
        <w:rPr>
          <w:color w:val="000000"/>
        </w:rPr>
        <w:t>FluSight</w:t>
      </w:r>
      <w:proofErr w:type="spellEnd"/>
      <w:r>
        <w:rPr>
          <w:color w:val="000000"/>
        </w:rPr>
        <w:t xml:space="preserve"> influenza forecasting in the 2021–22 and 2022–23 seasons with a new target laboratory-confirmed influenza </w:t>
      </w:r>
      <w:proofErr w:type="gramStart"/>
      <w:r>
        <w:rPr>
          <w:color w:val="000000"/>
        </w:rPr>
        <w:t>hospitalizations</w:t>
      </w:r>
      <w:proofErr w:type="gramEnd"/>
      <w:r>
        <w:rPr>
          <w:color w:val="000000"/>
        </w:rPr>
        <w:t>. </w:t>
      </w:r>
      <w:r>
        <w:rPr>
          <w:i/>
          <w:color w:val="000000"/>
        </w:rPr>
        <w:t>Nature communications</w:t>
      </w:r>
      <w:r>
        <w:rPr>
          <w:color w:val="000000"/>
        </w:rPr>
        <w:t>, </w:t>
      </w:r>
      <w:r>
        <w:rPr>
          <w:i/>
          <w:color w:val="000000"/>
        </w:rPr>
        <w:t>15</w:t>
      </w:r>
      <w:r>
        <w:rPr>
          <w:color w:val="000000"/>
        </w:rPr>
        <w:t>(1), 6289.</w:t>
      </w:r>
    </w:p>
    <w:p w14:paraId="47679FF5" w14:textId="77777777" w:rsidR="00BA4AF1" w:rsidRDefault="00EB64D7">
      <w:pPr>
        <w:rPr>
          <w:color w:val="000000"/>
        </w:rPr>
      </w:pPr>
      <w:r>
        <w:rPr>
          <w:color w:val="000000"/>
        </w:rPr>
        <w:t xml:space="preserve">Miller, A., Singh, I., Pilewski, S., Petrovic, V., &amp; </w:t>
      </w:r>
      <w:proofErr w:type="spellStart"/>
      <w:r>
        <w:rPr>
          <w:color w:val="000000"/>
        </w:rPr>
        <w:t>Polgreen</w:t>
      </w:r>
      <w:proofErr w:type="spellEnd"/>
      <w:r>
        <w:rPr>
          <w:color w:val="000000"/>
        </w:rPr>
        <w:t>, P. M. (2018, November). 691. Real-Time Local Influenza Forecasting Using Smartphone-Connected Thermometer Readings. In </w:t>
      </w:r>
      <w:r>
        <w:rPr>
          <w:i/>
          <w:color w:val="000000"/>
        </w:rPr>
        <w:t>Open Forum Infectious Diseases</w:t>
      </w:r>
      <w:r>
        <w:rPr>
          <w:color w:val="000000"/>
        </w:rPr>
        <w:t> (Vol. 5, No. suppl_1, pp. S249-S249). US: Oxford University Press.</w:t>
      </w:r>
    </w:p>
    <w:p w14:paraId="6D705B8F" w14:textId="77777777" w:rsidR="00BA4AF1" w:rsidRDefault="00EB64D7">
      <w:pPr>
        <w:rPr>
          <w:color w:val="000000"/>
        </w:rPr>
      </w:pPr>
      <w:proofErr w:type="spellStart"/>
      <w:r>
        <w:rPr>
          <w:color w:val="000000"/>
        </w:rPr>
        <w:t>Morbey</w:t>
      </w:r>
      <w:proofErr w:type="spellEnd"/>
      <w:r>
        <w:rPr>
          <w:color w:val="000000"/>
        </w:rPr>
        <w:t xml:space="preserve">, R., Smith, G., Oliver, I., </w:t>
      </w:r>
      <w:proofErr w:type="spellStart"/>
      <w:r>
        <w:rPr>
          <w:color w:val="000000"/>
        </w:rPr>
        <w:t>Edeghere</w:t>
      </w:r>
      <w:proofErr w:type="spellEnd"/>
      <w:r>
        <w:rPr>
          <w:color w:val="000000"/>
        </w:rPr>
        <w:t>, O., Lake, I., Pebody, R., ... &amp; Elliot, A. J. (2021). Evaluating multi-purpose syndromic surveillance systems–a complex problem. </w:t>
      </w:r>
      <w:r>
        <w:rPr>
          <w:i/>
          <w:color w:val="000000"/>
        </w:rPr>
        <w:t>Online Journal of Public Health Informatics</w:t>
      </w:r>
      <w:r>
        <w:rPr>
          <w:color w:val="000000"/>
        </w:rPr>
        <w:t>, </w:t>
      </w:r>
      <w:r>
        <w:rPr>
          <w:i/>
          <w:color w:val="000000"/>
        </w:rPr>
        <w:t>13</w:t>
      </w:r>
      <w:r>
        <w:rPr>
          <w:color w:val="000000"/>
        </w:rPr>
        <w:t>(3), E15.</w:t>
      </w:r>
    </w:p>
    <w:p w14:paraId="0A7569D3" w14:textId="77777777" w:rsidR="00BA4AF1" w:rsidRDefault="00EB64D7">
      <w:pPr>
        <w:rPr>
          <w:color w:val="000000"/>
        </w:rPr>
      </w:pPr>
      <w:r>
        <w:rPr>
          <w:color w:val="000000"/>
        </w:rPr>
        <w:t xml:space="preserve">Nobles, M., Lall, R., Mathes, R. W., &amp; Neill, D. B. (2022). </w:t>
      </w:r>
      <w:proofErr w:type="spellStart"/>
      <w:r>
        <w:rPr>
          <w:color w:val="000000"/>
        </w:rPr>
        <w:t>Presyndromic</w:t>
      </w:r>
      <w:proofErr w:type="spellEnd"/>
      <w:r>
        <w:rPr>
          <w:color w:val="000000"/>
        </w:rPr>
        <w:t xml:space="preserve"> surveillance for improved detection of emerging public health threats. </w:t>
      </w:r>
      <w:r>
        <w:rPr>
          <w:i/>
          <w:color w:val="000000"/>
        </w:rPr>
        <w:t>Science Advances</w:t>
      </w:r>
      <w:r>
        <w:rPr>
          <w:color w:val="000000"/>
        </w:rPr>
        <w:t>, </w:t>
      </w:r>
      <w:r>
        <w:rPr>
          <w:i/>
          <w:color w:val="000000"/>
        </w:rPr>
        <w:t>8</w:t>
      </w:r>
      <w:r>
        <w:rPr>
          <w:color w:val="000000"/>
        </w:rPr>
        <w:t>(44), eabm4920.</w:t>
      </w:r>
    </w:p>
    <w:p w14:paraId="55697448" w14:textId="77777777" w:rsidR="00BA4AF1" w:rsidRDefault="00EB64D7">
      <w:pPr>
        <w:rPr>
          <w:color w:val="000000"/>
        </w:rPr>
      </w:pPr>
      <w:r>
        <w:rPr>
          <w:color w:val="000000"/>
        </w:rPr>
        <w:t>Parkins, M. D., Lee, B. E., Acosta, N., Bautista, M., Hubert, C. R., Hrudey, S. E., ... &amp; Pang, X. L. (2024). Wastewater-based surveillance as a tool for public health action: SARS-CoV-2 and beyond. </w:t>
      </w:r>
      <w:r>
        <w:rPr>
          <w:i/>
          <w:color w:val="000000"/>
        </w:rPr>
        <w:t>Clinical microbiology reviews</w:t>
      </w:r>
      <w:r>
        <w:rPr>
          <w:color w:val="000000"/>
        </w:rPr>
        <w:t>, </w:t>
      </w:r>
      <w:r>
        <w:rPr>
          <w:i/>
          <w:color w:val="000000"/>
        </w:rPr>
        <w:t>37</w:t>
      </w:r>
      <w:r>
        <w:rPr>
          <w:color w:val="000000"/>
        </w:rPr>
        <w:t>(1), e00103-22.</w:t>
      </w:r>
    </w:p>
    <w:p w14:paraId="499EC393" w14:textId="77777777" w:rsidR="00BA4AF1" w:rsidRDefault="00EB64D7">
      <w:pPr>
        <w:rPr>
          <w:color w:val="000000"/>
        </w:rPr>
      </w:pPr>
      <w:r>
        <w:rPr>
          <w:color w:val="000000"/>
        </w:rPr>
        <w:t>Pei, S., Kandula, S., Yang, W., &amp; Shaman, J. (2018). Forecasting the spatial transmission of influenza in the United States. </w:t>
      </w:r>
      <w:r>
        <w:rPr>
          <w:i/>
          <w:color w:val="000000"/>
        </w:rPr>
        <w:t>Proceedings of the National Academy of Sciences</w:t>
      </w:r>
      <w:r>
        <w:rPr>
          <w:color w:val="000000"/>
        </w:rPr>
        <w:t>, </w:t>
      </w:r>
      <w:r>
        <w:rPr>
          <w:i/>
          <w:color w:val="000000"/>
        </w:rPr>
        <w:t>115</w:t>
      </w:r>
      <w:r>
        <w:rPr>
          <w:color w:val="000000"/>
        </w:rPr>
        <w:t>(11), 2752-2757.</w:t>
      </w:r>
    </w:p>
    <w:p w14:paraId="6AC1BAF0" w14:textId="77777777" w:rsidR="00BA4AF1" w:rsidRDefault="00EB64D7">
      <w:pPr>
        <w:rPr>
          <w:color w:val="000000"/>
        </w:rPr>
      </w:pPr>
      <w:r>
        <w:rPr>
          <w:color w:val="000000"/>
        </w:rPr>
        <w:t xml:space="preserve">Radin, J. M., Wineinger, N. E., Topol, E. J., &amp; </w:t>
      </w:r>
      <w:proofErr w:type="spellStart"/>
      <w:r>
        <w:rPr>
          <w:color w:val="000000"/>
        </w:rPr>
        <w:t>Steinhubl</w:t>
      </w:r>
      <w:proofErr w:type="spellEnd"/>
      <w:r>
        <w:rPr>
          <w:color w:val="000000"/>
        </w:rPr>
        <w:t>, S. R. (2020). Harnessing wearable device data to improve state-level real-time surveillance of influenza-like illness in the USA: a population-based study. </w:t>
      </w:r>
      <w:r>
        <w:rPr>
          <w:i/>
          <w:color w:val="000000"/>
        </w:rPr>
        <w:t>The Lancet Digital Health</w:t>
      </w:r>
      <w:r>
        <w:rPr>
          <w:color w:val="000000"/>
        </w:rPr>
        <w:t>, </w:t>
      </w:r>
      <w:r>
        <w:rPr>
          <w:i/>
          <w:color w:val="000000"/>
        </w:rPr>
        <w:t>2</w:t>
      </w:r>
      <w:r>
        <w:rPr>
          <w:color w:val="000000"/>
        </w:rPr>
        <w:t>(2), e85-e93.</w:t>
      </w:r>
    </w:p>
    <w:p w14:paraId="252D6F8B" w14:textId="77777777" w:rsidR="00BA4AF1" w:rsidRDefault="00EB64D7">
      <w:pPr>
        <w:rPr>
          <w:color w:val="000000"/>
        </w:rPr>
      </w:pPr>
      <w:r>
        <w:rPr>
          <w:color w:val="000000"/>
        </w:rPr>
        <w:t xml:space="preserve">Reich, N. G., Brooks, L. C., Fox, S. J., Kandula, S., McGowan, C. J., Moore, E., ... &amp; Shaman, J. (2019). A collaborative multiyear, </w:t>
      </w:r>
      <w:proofErr w:type="spellStart"/>
      <w:r>
        <w:rPr>
          <w:color w:val="000000"/>
        </w:rPr>
        <w:t>multimodel</w:t>
      </w:r>
      <w:proofErr w:type="spellEnd"/>
      <w:r>
        <w:rPr>
          <w:color w:val="000000"/>
        </w:rPr>
        <w:t xml:space="preserve"> assessment of seasonal influenza forecasting in the United States. </w:t>
      </w:r>
      <w:r>
        <w:rPr>
          <w:i/>
          <w:color w:val="000000"/>
        </w:rPr>
        <w:t>Proceedings of the National Academy of Sciences</w:t>
      </w:r>
      <w:r>
        <w:rPr>
          <w:color w:val="000000"/>
        </w:rPr>
        <w:t>, </w:t>
      </w:r>
      <w:r>
        <w:rPr>
          <w:i/>
          <w:color w:val="000000"/>
        </w:rPr>
        <w:t>116</w:t>
      </w:r>
      <w:r>
        <w:rPr>
          <w:color w:val="000000"/>
        </w:rPr>
        <w:t>(8), 3146-3154.</w:t>
      </w:r>
    </w:p>
    <w:p w14:paraId="5B1CDF9E" w14:textId="77777777" w:rsidR="00BA4AF1" w:rsidRDefault="00EB64D7">
      <w:pPr>
        <w:rPr>
          <w:color w:val="000000"/>
        </w:rPr>
      </w:pPr>
      <w:proofErr w:type="spellStart"/>
      <w:r>
        <w:rPr>
          <w:color w:val="000000"/>
        </w:rPr>
        <w:t>Salathé</w:t>
      </w:r>
      <w:proofErr w:type="spellEnd"/>
      <w:r>
        <w:rPr>
          <w:color w:val="000000"/>
        </w:rPr>
        <w:t xml:space="preserve">, M. (2018). Digital epidemiology: what is it, and where is it </w:t>
      </w:r>
      <w:proofErr w:type="gramStart"/>
      <w:r>
        <w:rPr>
          <w:color w:val="000000"/>
        </w:rPr>
        <w:t>going?.</w:t>
      </w:r>
      <w:proofErr w:type="gramEnd"/>
      <w:r>
        <w:rPr>
          <w:color w:val="000000"/>
        </w:rPr>
        <w:t> </w:t>
      </w:r>
      <w:r>
        <w:rPr>
          <w:i/>
          <w:color w:val="000000"/>
        </w:rPr>
        <w:t>Life sciences, society and policy</w:t>
      </w:r>
      <w:r>
        <w:rPr>
          <w:color w:val="000000"/>
        </w:rPr>
        <w:t>, </w:t>
      </w:r>
      <w:r>
        <w:rPr>
          <w:i/>
          <w:color w:val="000000"/>
        </w:rPr>
        <w:t>14</w:t>
      </w:r>
      <w:r>
        <w:rPr>
          <w:color w:val="000000"/>
        </w:rPr>
        <w:t>(1), 1.</w:t>
      </w:r>
    </w:p>
    <w:p w14:paraId="7DBB8C1B" w14:textId="77777777" w:rsidR="00BA4AF1" w:rsidRDefault="00EB64D7">
      <w:pPr>
        <w:rPr>
          <w:color w:val="000000"/>
        </w:rPr>
      </w:pPr>
      <w:r>
        <w:rPr>
          <w:color w:val="000000"/>
        </w:rPr>
        <w:t>Santillana, M., Nguyen, A. T., Louie, T., Zink, A., Gray, J., Sung, I., &amp; Brownstein, J. S. (2016). Cloud-based electronic health records for real-time, region-specific influenza surveillance. </w:t>
      </w:r>
      <w:r>
        <w:rPr>
          <w:i/>
          <w:color w:val="000000"/>
        </w:rPr>
        <w:t>Scientific reports</w:t>
      </w:r>
      <w:r>
        <w:rPr>
          <w:color w:val="000000"/>
        </w:rPr>
        <w:t>, </w:t>
      </w:r>
      <w:r>
        <w:rPr>
          <w:i/>
          <w:color w:val="000000"/>
        </w:rPr>
        <w:t>6</w:t>
      </w:r>
      <w:r>
        <w:rPr>
          <w:color w:val="000000"/>
        </w:rPr>
        <w:t>(1), 25732.</w:t>
      </w:r>
    </w:p>
    <w:p w14:paraId="1EFAF49A" w14:textId="77777777" w:rsidR="00BA4AF1" w:rsidRDefault="00EB64D7">
      <w:pPr>
        <w:rPr>
          <w:color w:val="000000"/>
        </w:rPr>
      </w:pPr>
      <w:proofErr w:type="spellStart"/>
      <w:r>
        <w:rPr>
          <w:color w:val="000000"/>
        </w:rPr>
        <w:lastRenderedPageBreak/>
        <w:t>Sapoval</w:t>
      </w:r>
      <w:proofErr w:type="spellEnd"/>
      <w:r>
        <w:rPr>
          <w:color w:val="000000"/>
        </w:rPr>
        <w:t xml:space="preserve">, N., Liu, Y., Lou, E. G., Hopkins, L., Ensor, K. B., Schneider, R., ... &amp; </w:t>
      </w:r>
      <w:proofErr w:type="spellStart"/>
      <w:r>
        <w:rPr>
          <w:color w:val="000000"/>
        </w:rPr>
        <w:t>Treangen</w:t>
      </w:r>
      <w:proofErr w:type="spellEnd"/>
      <w:r>
        <w:rPr>
          <w:color w:val="000000"/>
        </w:rPr>
        <w:t>, T. J. (2023). Enabling accurate and early detection of recently emerged SARS-CoV-2 variants of concern in wastewater. </w:t>
      </w:r>
      <w:r>
        <w:rPr>
          <w:i/>
          <w:color w:val="000000"/>
        </w:rPr>
        <w:t>Nature Communications</w:t>
      </w:r>
      <w:r>
        <w:rPr>
          <w:color w:val="000000"/>
        </w:rPr>
        <w:t>, </w:t>
      </w:r>
      <w:r>
        <w:rPr>
          <w:i/>
          <w:color w:val="000000"/>
        </w:rPr>
        <w:t>14</w:t>
      </w:r>
      <w:r>
        <w:rPr>
          <w:color w:val="000000"/>
        </w:rPr>
        <w:t>(1), 2834.</w:t>
      </w:r>
    </w:p>
    <w:p w14:paraId="2A7AC518" w14:textId="77777777" w:rsidR="004F6EFA" w:rsidRDefault="004F6EFA">
      <w:pPr>
        <w:rPr>
          <w:color w:val="000000"/>
        </w:rPr>
      </w:pPr>
      <w:r w:rsidRPr="004F6EFA">
        <w:rPr>
          <w:color w:val="000000"/>
        </w:rPr>
        <w:t>Song, T. H., Clemente, L., Pan, X., Jang, J., Santillana, M., &amp; Lee, K. (2025). Fine-grained forecasting of COVID-19 trends at the county level in the United States. NPJ Digital Medicine, 8(1), 204.</w:t>
      </w:r>
    </w:p>
    <w:p w14:paraId="1C86771D" w14:textId="71AD9003" w:rsidR="00BA4AF1" w:rsidRDefault="00EB64D7">
      <w:pPr>
        <w:rPr>
          <w:color w:val="000000"/>
        </w:rPr>
      </w:pPr>
      <w:proofErr w:type="spellStart"/>
      <w:r>
        <w:rPr>
          <w:color w:val="000000"/>
        </w:rPr>
        <w:t>Stolerman</w:t>
      </w:r>
      <w:proofErr w:type="spellEnd"/>
      <w:r>
        <w:rPr>
          <w:color w:val="000000"/>
        </w:rPr>
        <w:t>, L. M., Clemente, L., Poirier, C., Parag, K. V., Majumder, A., Masyn, S., ... &amp; Santillana, M. (2023). Using digital traces to build prospective and real-time county-level early warning systems to anticipate COVID-19 outbreaks in the United States. </w:t>
      </w:r>
      <w:r>
        <w:rPr>
          <w:i/>
          <w:color w:val="000000"/>
        </w:rPr>
        <w:t>Science Advances</w:t>
      </w:r>
      <w:r>
        <w:rPr>
          <w:color w:val="000000"/>
        </w:rPr>
        <w:t>, </w:t>
      </w:r>
      <w:r>
        <w:rPr>
          <w:i/>
          <w:color w:val="000000"/>
        </w:rPr>
        <w:t>9</w:t>
      </w:r>
      <w:r>
        <w:rPr>
          <w:color w:val="000000"/>
        </w:rPr>
        <w:t>(3), eabq0199.</w:t>
      </w:r>
    </w:p>
    <w:p w14:paraId="6D944BBB" w14:textId="77777777" w:rsidR="00BA4AF1" w:rsidRDefault="00EB64D7">
      <w:pPr>
        <w:rPr>
          <w:color w:val="000000"/>
        </w:rPr>
      </w:pPr>
      <w:proofErr w:type="spellStart"/>
      <w:r>
        <w:rPr>
          <w:color w:val="000000"/>
        </w:rPr>
        <w:t>Turakhia</w:t>
      </w:r>
      <w:proofErr w:type="spellEnd"/>
      <w:r>
        <w:rPr>
          <w:color w:val="000000"/>
        </w:rPr>
        <w:t xml:space="preserve">, Y., </w:t>
      </w:r>
      <w:proofErr w:type="spellStart"/>
      <w:r>
        <w:rPr>
          <w:color w:val="000000"/>
        </w:rPr>
        <w:t>Thornlow</w:t>
      </w:r>
      <w:proofErr w:type="spellEnd"/>
      <w:r>
        <w:rPr>
          <w:color w:val="000000"/>
        </w:rPr>
        <w:t xml:space="preserve">, B., Hinrichs, A. S., De Maio, N., </w:t>
      </w:r>
      <w:proofErr w:type="spellStart"/>
      <w:r>
        <w:rPr>
          <w:color w:val="000000"/>
        </w:rPr>
        <w:t>Gozashti</w:t>
      </w:r>
      <w:proofErr w:type="spellEnd"/>
      <w:r>
        <w:rPr>
          <w:color w:val="000000"/>
        </w:rPr>
        <w:t>, L., Lanfear, R., ... &amp; Corbett-</w:t>
      </w:r>
      <w:proofErr w:type="spellStart"/>
      <w:r>
        <w:rPr>
          <w:color w:val="000000"/>
        </w:rPr>
        <w:t>Detig</w:t>
      </w:r>
      <w:proofErr w:type="spellEnd"/>
      <w:r>
        <w:rPr>
          <w:color w:val="000000"/>
        </w:rPr>
        <w:t xml:space="preserve">, R. (2021). Ultrafast Sample placement on Existing </w:t>
      </w:r>
      <w:proofErr w:type="spellStart"/>
      <w:r>
        <w:rPr>
          <w:color w:val="000000"/>
        </w:rPr>
        <w:t>tRees</w:t>
      </w:r>
      <w:proofErr w:type="spellEnd"/>
      <w:r>
        <w:rPr>
          <w:color w:val="000000"/>
        </w:rPr>
        <w:t xml:space="preserve"> (</w:t>
      </w:r>
      <w:proofErr w:type="spellStart"/>
      <w:r>
        <w:rPr>
          <w:color w:val="000000"/>
        </w:rPr>
        <w:t>UShER</w:t>
      </w:r>
      <w:proofErr w:type="spellEnd"/>
      <w:r>
        <w:rPr>
          <w:color w:val="000000"/>
        </w:rPr>
        <w:t>) enables real-time phylogenetics for the SARS-CoV-2 pandemic. </w:t>
      </w:r>
      <w:r>
        <w:rPr>
          <w:i/>
          <w:color w:val="000000"/>
        </w:rPr>
        <w:t>Nature genetics</w:t>
      </w:r>
      <w:r>
        <w:rPr>
          <w:color w:val="000000"/>
        </w:rPr>
        <w:t>, </w:t>
      </w:r>
      <w:r>
        <w:rPr>
          <w:i/>
          <w:color w:val="000000"/>
        </w:rPr>
        <w:t>53</w:t>
      </w:r>
      <w:r>
        <w:rPr>
          <w:color w:val="000000"/>
        </w:rPr>
        <w:t>(6), 809-816.</w:t>
      </w:r>
    </w:p>
    <w:p w14:paraId="6D2A279D" w14:textId="77777777" w:rsidR="00BA4AF1" w:rsidRDefault="00EB64D7">
      <w:pPr>
        <w:rPr>
          <w:color w:val="000000"/>
        </w:rPr>
      </w:pPr>
      <w:r>
        <w:rPr>
          <w:color w:val="000000"/>
        </w:rPr>
        <w:t>Vo, V., Tillett, R. L., Papp, K., Chang, C. L., Harrington, A., Moshi, M., ... &amp; Gerrity, D. (2023). Detection of the Omicron BA. 1 variant of SARS-CoV-2 in wastewater from a Las Vegas tourist area. </w:t>
      </w:r>
      <w:r>
        <w:rPr>
          <w:i/>
          <w:color w:val="000000"/>
        </w:rPr>
        <w:t>JAMA Network Open</w:t>
      </w:r>
      <w:r>
        <w:rPr>
          <w:color w:val="000000"/>
        </w:rPr>
        <w:t>, </w:t>
      </w:r>
      <w:r>
        <w:rPr>
          <w:i/>
          <w:color w:val="000000"/>
        </w:rPr>
        <w:t>6</w:t>
      </w:r>
      <w:r>
        <w:rPr>
          <w:color w:val="000000"/>
        </w:rPr>
        <w:t>(2), e230550-e230550.</w:t>
      </w:r>
    </w:p>
    <w:p w14:paraId="053E946C" w14:textId="77777777" w:rsidR="00BA4AF1" w:rsidRDefault="00EB64D7">
      <w:pPr>
        <w:rPr>
          <w:color w:val="000000"/>
        </w:rPr>
      </w:pPr>
      <w:r>
        <w:rPr>
          <w:color w:val="000000"/>
        </w:rPr>
        <w:t xml:space="preserve">Wang, H., Alanis, N., Haygood, L., Swoboda, T. K., Hoot, N., Phillips, D., ... &amp; </w:t>
      </w:r>
      <w:proofErr w:type="spellStart"/>
      <w:r>
        <w:rPr>
          <w:color w:val="000000"/>
        </w:rPr>
        <w:t>Sambamoorthi</w:t>
      </w:r>
      <w:proofErr w:type="spellEnd"/>
      <w:r>
        <w:rPr>
          <w:color w:val="000000"/>
        </w:rPr>
        <w:t>, U. (2024). Using natural language processing in emergency medicine health service research: a systematic review and meta‐analysis. </w:t>
      </w:r>
      <w:r>
        <w:rPr>
          <w:i/>
          <w:color w:val="000000"/>
        </w:rPr>
        <w:t>Academic Emergency Medicine</w:t>
      </w:r>
      <w:r>
        <w:rPr>
          <w:color w:val="000000"/>
        </w:rPr>
        <w:t>, </w:t>
      </w:r>
      <w:r>
        <w:rPr>
          <w:i/>
          <w:color w:val="000000"/>
        </w:rPr>
        <w:t>31</w:t>
      </w:r>
      <w:r>
        <w:rPr>
          <w:color w:val="000000"/>
        </w:rPr>
        <w:t>(7), 696-706.</w:t>
      </w:r>
    </w:p>
    <w:p w14:paraId="4CD09361" w14:textId="77777777" w:rsidR="00BA4AF1" w:rsidRDefault="00EB64D7">
      <w:pPr>
        <w:rPr>
          <w:color w:val="000000"/>
        </w:rPr>
      </w:pPr>
      <w:r>
        <w:rPr>
          <w:color w:val="000000"/>
        </w:rPr>
        <w:t>Wu, J. T., Leung, K., Lam, T. T., Ni, M. Y., Wong, C. K., Peiris, J. M., &amp; Leung, G. M. (2021). Nowcasting epidemics of novel pathogens: lessons from COVID-19. </w:t>
      </w:r>
      <w:r>
        <w:rPr>
          <w:i/>
          <w:color w:val="000000"/>
        </w:rPr>
        <w:t>Nature medicine</w:t>
      </w:r>
      <w:r>
        <w:rPr>
          <w:color w:val="000000"/>
        </w:rPr>
        <w:t>, </w:t>
      </w:r>
      <w:r>
        <w:rPr>
          <w:i/>
          <w:color w:val="000000"/>
        </w:rPr>
        <w:t>27</w:t>
      </w:r>
      <w:r>
        <w:rPr>
          <w:color w:val="000000"/>
        </w:rPr>
        <w:t>(3), 388-395.</w:t>
      </w:r>
    </w:p>
    <w:p w14:paraId="78B2C727" w14:textId="77777777" w:rsidR="00BA4AF1" w:rsidRDefault="00EB64D7">
      <w:pPr>
        <w:rPr>
          <w:color w:val="000000"/>
        </w:rPr>
      </w:pPr>
      <w:r>
        <w:rPr>
          <w:color w:val="000000"/>
        </w:rPr>
        <w:t>Yang, S., Santillana, M., &amp; Kou, S. C. (2015). Accurate estimation of influenza epidemics using Google search data via ARGO. </w:t>
      </w:r>
      <w:r>
        <w:rPr>
          <w:i/>
          <w:color w:val="000000"/>
        </w:rPr>
        <w:t>Proceedings of the National Academy of Sciences</w:t>
      </w:r>
      <w:r>
        <w:rPr>
          <w:color w:val="000000"/>
        </w:rPr>
        <w:t>, </w:t>
      </w:r>
      <w:r>
        <w:rPr>
          <w:i/>
          <w:color w:val="000000"/>
        </w:rPr>
        <w:t>112</w:t>
      </w:r>
      <w:r>
        <w:rPr>
          <w:color w:val="000000"/>
        </w:rPr>
        <w:t>(47), 14473-14478.</w:t>
      </w:r>
    </w:p>
    <w:p w14:paraId="7D8F17FA" w14:textId="77777777" w:rsidR="00BA4AF1" w:rsidRDefault="00EB64D7">
      <w:pPr>
        <w:rPr>
          <w:color w:val="000000"/>
        </w:rPr>
      </w:pPr>
      <w:r>
        <w:rPr>
          <w:color w:val="000000"/>
        </w:rPr>
        <w:t xml:space="preserve">Yeng, P. K., </w:t>
      </w:r>
      <w:proofErr w:type="spellStart"/>
      <w:r>
        <w:rPr>
          <w:color w:val="000000"/>
        </w:rPr>
        <w:t>Woldaregay</w:t>
      </w:r>
      <w:proofErr w:type="spellEnd"/>
      <w:r>
        <w:rPr>
          <w:color w:val="000000"/>
        </w:rPr>
        <w:t>, A. Z., Solvoll, T., &amp; Hartvigsen, G. (2020). Cluster detection mechanisms for syndromic surveillance systems: systematic review and framework development. </w:t>
      </w:r>
      <w:r>
        <w:rPr>
          <w:i/>
          <w:color w:val="000000"/>
        </w:rPr>
        <w:t>JMIR Public Health and Surveillance</w:t>
      </w:r>
      <w:r>
        <w:rPr>
          <w:color w:val="000000"/>
        </w:rPr>
        <w:t>, </w:t>
      </w:r>
      <w:r>
        <w:rPr>
          <w:i/>
          <w:color w:val="000000"/>
        </w:rPr>
        <w:t>6</w:t>
      </w:r>
      <w:r>
        <w:rPr>
          <w:color w:val="000000"/>
        </w:rPr>
        <w:t>(2), e11512.</w:t>
      </w:r>
    </w:p>
    <w:p w14:paraId="7597D8EA" w14:textId="77777777" w:rsidR="00BA4AF1" w:rsidRDefault="00EB64D7">
      <w:pPr>
        <w:rPr>
          <w:color w:val="000000"/>
        </w:rPr>
      </w:pPr>
      <w:r>
        <w:rPr>
          <w:color w:val="000000"/>
        </w:rPr>
        <w:t>Zhang, Y., Chen, K., Weng, Y., Chen, Z., Zhang, J., &amp; Hubbard, R. (2022). An intelligent early warning system of analyzing Twitter data using machine learning on COVID-19 surveillance in the US. </w:t>
      </w:r>
      <w:r>
        <w:rPr>
          <w:i/>
          <w:color w:val="000000"/>
        </w:rPr>
        <w:t>Expert systems with applications</w:t>
      </w:r>
      <w:r>
        <w:rPr>
          <w:color w:val="000000"/>
        </w:rPr>
        <w:t>, </w:t>
      </w:r>
      <w:r>
        <w:rPr>
          <w:i/>
          <w:color w:val="000000"/>
        </w:rPr>
        <w:t>198</w:t>
      </w:r>
      <w:r>
        <w:rPr>
          <w:color w:val="000000"/>
        </w:rPr>
        <w:t>, 116882.</w:t>
      </w:r>
    </w:p>
    <w:p w14:paraId="5D697607" w14:textId="77777777" w:rsidR="00BA4AF1" w:rsidRDefault="00BA4AF1">
      <w:pPr>
        <w:rPr>
          <w:color w:val="000000"/>
        </w:rPr>
      </w:pPr>
    </w:p>
    <w:p w14:paraId="0DE6FF87" w14:textId="77777777" w:rsidR="00BA4AF1" w:rsidRDefault="00BA4AF1">
      <w:pPr>
        <w:jc w:val="both"/>
        <w:rPr>
          <w:rFonts w:ascii="Times New Roman" w:eastAsia="Times New Roman" w:hAnsi="Times New Roman" w:cs="Times New Roman"/>
        </w:rPr>
      </w:pPr>
    </w:p>
    <w:p w14:paraId="71E59350" w14:textId="77777777" w:rsidR="00BA4AF1" w:rsidRDefault="00BA4AF1">
      <w:pPr>
        <w:jc w:val="both"/>
        <w:rPr>
          <w:rFonts w:ascii="Times New Roman" w:eastAsia="Times New Roman" w:hAnsi="Times New Roman" w:cs="Times New Roman"/>
        </w:rPr>
      </w:pPr>
    </w:p>
    <w:p w14:paraId="0F5169E3" w14:textId="77777777" w:rsidR="00BA4AF1" w:rsidRDefault="00BA4AF1">
      <w:pPr>
        <w:jc w:val="both"/>
        <w:rPr>
          <w:rFonts w:ascii="Times New Roman" w:eastAsia="Times New Roman" w:hAnsi="Times New Roman" w:cs="Times New Roman"/>
        </w:rPr>
      </w:pPr>
    </w:p>
    <w:sectPr w:rsidR="00BA4AF1">
      <w:pgSz w:w="12240" w:h="15840"/>
      <w:pgMar w:top="1797" w:right="1440" w:bottom="179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89218" w14:textId="77777777" w:rsidR="0064348D" w:rsidRDefault="0064348D" w:rsidP="00F0103C">
      <w:pPr>
        <w:spacing w:after="0" w:line="240" w:lineRule="auto"/>
      </w:pPr>
      <w:r>
        <w:separator/>
      </w:r>
    </w:p>
  </w:endnote>
  <w:endnote w:type="continuationSeparator" w:id="0">
    <w:p w14:paraId="462F1270" w14:textId="77777777" w:rsidR="0064348D" w:rsidRDefault="0064348D" w:rsidP="00F01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ngsuh">
    <w:altName w:val="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5B7D" w14:textId="77777777" w:rsidR="00F0103C" w:rsidRDefault="00F01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20B76" w14:textId="77777777" w:rsidR="00F0103C" w:rsidRDefault="00F010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2C7F" w14:textId="77777777" w:rsidR="00F0103C" w:rsidRDefault="00F01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DE799" w14:textId="77777777" w:rsidR="0064348D" w:rsidRDefault="0064348D" w:rsidP="00F0103C">
      <w:pPr>
        <w:spacing w:after="0" w:line="240" w:lineRule="auto"/>
      </w:pPr>
      <w:r>
        <w:separator/>
      </w:r>
    </w:p>
  </w:footnote>
  <w:footnote w:type="continuationSeparator" w:id="0">
    <w:p w14:paraId="3EC46FE1" w14:textId="77777777" w:rsidR="0064348D" w:rsidRDefault="0064348D" w:rsidP="00F01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339A" w14:textId="2B0F41B6" w:rsidR="00F0103C" w:rsidRDefault="00000000">
    <w:pPr>
      <w:pStyle w:val="Header"/>
    </w:pPr>
    <w:r>
      <w:rPr>
        <w:noProof/>
      </w:rPr>
      <w:pict w14:anchorId="32380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2647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5B336" w14:textId="6B021055" w:rsidR="00F0103C" w:rsidRDefault="00000000">
    <w:pPr>
      <w:pStyle w:val="Header"/>
    </w:pPr>
    <w:r>
      <w:rPr>
        <w:noProof/>
      </w:rPr>
      <w:pict w14:anchorId="145DB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26479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BC3A" w14:textId="1933B3FD" w:rsidR="00F0103C" w:rsidRDefault="00000000">
    <w:pPr>
      <w:pStyle w:val="Header"/>
    </w:pPr>
    <w:r>
      <w:rPr>
        <w:noProof/>
      </w:rPr>
      <w:pict w14:anchorId="76403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2647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B78FA"/>
    <w:multiLevelType w:val="multilevel"/>
    <w:tmpl w:val="B920A01C"/>
    <w:lvl w:ilvl="0">
      <w:start w:val="1"/>
      <w:numFmt w:val="lowerRoman"/>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7E918AF"/>
    <w:multiLevelType w:val="multilevel"/>
    <w:tmpl w:val="565EE286"/>
    <w:lvl w:ilvl="0">
      <w:start w:val="1"/>
      <w:numFmt w:val="decimal"/>
      <w:pStyle w:val="ListBullet"/>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 w15:restartNumberingAfterBreak="0">
    <w:nsid w:val="5DBD74AA"/>
    <w:multiLevelType w:val="hybridMultilevel"/>
    <w:tmpl w:val="E3107E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0C4C3C"/>
    <w:multiLevelType w:val="hybridMultilevel"/>
    <w:tmpl w:val="D3D88E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391CB9"/>
    <w:multiLevelType w:val="hybridMultilevel"/>
    <w:tmpl w:val="142C51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6370214">
    <w:abstractNumId w:val="1"/>
  </w:num>
  <w:num w:numId="2" w16cid:durableId="211817577">
    <w:abstractNumId w:val="0"/>
  </w:num>
  <w:num w:numId="3" w16cid:durableId="2132430074">
    <w:abstractNumId w:val="2"/>
  </w:num>
  <w:num w:numId="4" w16cid:durableId="1437286463">
    <w:abstractNumId w:val="4"/>
  </w:num>
  <w:num w:numId="5" w16cid:durableId="677730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F1"/>
    <w:rsid w:val="00052B85"/>
    <w:rsid w:val="00093C00"/>
    <w:rsid w:val="00131293"/>
    <w:rsid w:val="001A7E52"/>
    <w:rsid w:val="0024526E"/>
    <w:rsid w:val="00387870"/>
    <w:rsid w:val="004D5C15"/>
    <w:rsid w:val="004F6EFA"/>
    <w:rsid w:val="0059279E"/>
    <w:rsid w:val="0059341B"/>
    <w:rsid w:val="005F322A"/>
    <w:rsid w:val="005F329D"/>
    <w:rsid w:val="0064348D"/>
    <w:rsid w:val="00783216"/>
    <w:rsid w:val="007A7540"/>
    <w:rsid w:val="007B7DCD"/>
    <w:rsid w:val="00842E18"/>
    <w:rsid w:val="00885349"/>
    <w:rsid w:val="008D1759"/>
    <w:rsid w:val="008E0D91"/>
    <w:rsid w:val="009033F0"/>
    <w:rsid w:val="00916084"/>
    <w:rsid w:val="009216C8"/>
    <w:rsid w:val="009811ED"/>
    <w:rsid w:val="00A401CA"/>
    <w:rsid w:val="00A46738"/>
    <w:rsid w:val="00BA4AF1"/>
    <w:rsid w:val="00C12754"/>
    <w:rsid w:val="00C153B9"/>
    <w:rsid w:val="00C946BE"/>
    <w:rsid w:val="00D231AB"/>
    <w:rsid w:val="00DB555A"/>
    <w:rsid w:val="00E12DE9"/>
    <w:rsid w:val="00E50FE0"/>
    <w:rsid w:val="00E74912"/>
    <w:rsid w:val="00EA6174"/>
    <w:rsid w:val="00EB64D7"/>
    <w:rsid w:val="00F0103C"/>
    <w:rsid w:val="00F0603A"/>
    <w:rsid w:val="00F06B99"/>
    <w:rsid w:val="00F14230"/>
    <w:rsid w:val="00FA5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F8CAD"/>
  <w15:docId w15:val="{355210AF-C21F-4530-AFAF-E0913615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4D7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4D79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79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79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79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79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7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9F6"/>
    <w:rPr>
      <w:rFonts w:eastAsiaTheme="majorEastAsia" w:cstheme="majorBidi"/>
      <w:color w:val="272727" w:themeColor="text1" w:themeTint="D8"/>
    </w:rPr>
  </w:style>
  <w:style w:type="character" w:customStyle="1" w:styleId="TitleChar">
    <w:name w:val="Title Char"/>
    <w:basedOn w:val="DefaultParagraphFont"/>
    <w:link w:val="Title"/>
    <w:uiPriority w:val="10"/>
    <w:rsid w:val="004D79F6"/>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4D7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9F6"/>
    <w:pPr>
      <w:spacing w:before="160"/>
      <w:jc w:val="center"/>
    </w:pPr>
    <w:rPr>
      <w:i/>
      <w:iCs/>
      <w:color w:val="404040" w:themeColor="text1" w:themeTint="BF"/>
    </w:rPr>
  </w:style>
  <w:style w:type="character" w:customStyle="1" w:styleId="QuoteChar">
    <w:name w:val="Quote Char"/>
    <w:basedOn w:val="DefaultParagraphFont"/>
    <w:link w:val="Quote"/>
    <w:uiPriority w:val="29"/>
    <w:rsid w:val="004D79F6"/>
    <w:rPr>
      <w:i/>
      <w:iCs/>
      <w:color w:val="404040" w:themeColor="text1" w:themeTint="BF"/>
    </w:rPr>
  </w:style>
  <w:style w:type="paragraph" w:styleId="ListParagraph">
    <w:name w:val="List Paragraph"/>
    <w:basedOn w:val="Normal"/>
    <w:uiPriority w:val="34"/>
    <w:qFormat/>
    <w:rsid w:val="004D79F6"/>
    <w:pPr>
      <w:ind w:left="720"/>
      <w:contextualSpacing/>
    </w:pPr>
  </w:style>
  <w:style w:type="character" w:styleId="IntenseEmphasis">
    <w:name w:val="Intense Emphasis"/>
    <w:basedOn w:val="DefaultParagraphFont"/>
    <w:uiPriority w:val="21"/>
    <w:qFormat/>
    <w:rsid w:val="004D79F6"/>
    <w:rPr>
      <w:i/>
      <w:iCs/>
      <w:color w:val="2F5496" w:themeColor="accent1" w:themeShade="BF"/>
    </w:rPr>
  </w:style>
  <w:style w:type="paragraph" w:styleId="IntenseQuote">
    <w:name w:val="Intense Quote"/>
    <w:basedOn w:val="Normal"/>
    <w:next w:val="Normal"/>
    <w:link w:val="IntenseQuoteChar"/>
    <w:uiPriority w:val="30"/>
    <w:qFormat/>
    <w:rsid w:val="004D79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79F6"/>
    <w:rPr>
      <w:i/>
      <w:iCs/>
      <w:color w:val="2F5496" w:themeColor="accent1" w:themeShade="BF"/>
    </w:rPr>
  </w:style>
  <w:style w:type="character" w:styleId="IntenseReference">
    <w:name w:val="Intense Reference"/>
    <w:basedOn w:val="DefaultParagraphFont"/>
    <w:uiPriority w:val="32"/>
    <w:qFormat/>
    <w:rsid w:val="004D79F6"/>
    <w:rPr>
      <w:b/>
      <w:bCs/>
      <w:smallCaps/>
      <w:color w:val="2F5496" w:themeColor="accent1" w:themeShade="BF"/>
      <w:spacing w:val="5"/>
    </w:rPr>
  </w:style>
  <w:style w:type="paragraph" w:styleId="ListBullet">
    <w:name w:val="List Bullet"/>
    <w:basedOn w:val="Normal"/>
    <w:uiPriority w:val="99"/>
    <w:unhideWhenUsed/>
    <w:rsid w:val="004D79F6"/>
    <w:pPr>
      <w:numPr>
        <w:numId w:val="1"/>
      </w:numPr>
      <w:ind w:left="0" w:firstLine="0"/>
      <w:contextualSpacing/>
    </w:pPr>
  </w:style>
  <w:style w:type="character" w:styleId="Hyperlink">
    <w:name w:val="Hyperlink"/>
    <w:basedOn w:val="DefaultParagraphFont"/>
    <w:uiPriority w:val="99"/>
    <w:unhideWhenUsed/>
    <w:rsid w:val="004D79F6"/>
    <w:rPr>
      <w:color w:val="0563C1" w:themeColor="hyperlink"/>
      <w:u w:val="single"/>
    </w:rPr>
  </w:style>
  <w:style w:type="table" w:styleId="TableGrid">
    <w:name w:val="Table Grid"/>
    <w:basedOn w:val="TableNormal"/>
    <w:uiPriority w:val="59"/>
    <w:rsid w:val="00725D3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387870"/>
    <w:rPr>
      <w:color w:val="605E5C"/>
      <w:shd w:val="clear" w:color="auto" w:fill="E1DFDD"/>
    </w:rPr>
  </w:style>
  <w:style w:type="paragraph" w:styleId="Header">
    <w:name w:val="header"/>
    <w:basedOn w:val="Normal"/>
    <w:link w:val="HeaderChar"/>
    <w:uiPriority w:val="99"/>
    <w:unhideWhenUsed/>
    <w:rsid w:val="00F01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03C"/>
  </w:style>
  <w:style w:type="paragraph" w:styleId="Footer">
    <w:name w:val="footer"/>
    <w:basedOn w:val="Normal"/>
    <w:link w:val="FooterChar"/>
    <w:uiPriority w:val="99"/>
    <w:unhideWhenUsed/>
    <w:rsid w:val="00F01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LL+ebeSoAR2Y+fd2/XmtNlbY5Q==">CgMxLjAaJQoBMBIgCh4IB0IaCg9UaW1lcyBOZXcgUm9tYW4SB0d1bmdzdWgaJQoBMRIgCh4IB0IaCg9UaW1lcyBOZXcgUm9tYW4SB0d1bmdzdWgaJQoBMhIgCh4IB0IaCg9UaW1lcyBOZXcgUm9tYW4SB0d1bmdzdWg4AHIhMU16TEswVkFvQk1KcUt0QUtGcFhiZW4tUEY4dEp0SXFC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20</Pages>
  <Words>7083</Words>
  <Characters>47106</Characters>
  <Application>Microsoft Office Word</Application>
  <DocSecurity>0</DocSecurity>
  <Lines>1519</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kelechi Eze</dc:creator>
  <cp:lastModifiedBy>kelechi Eze</cp:lastModifiedBy>
  <cp:revision>19</cp:revision>
  <dcterms:created xsi:type="dcterms:W3CDTF">2025-10-01T23:40:00Z</dcterms:created>
  <dcterms:modified xsi:type="dcterms:W3CDTF">2025-10-20T12:34:00Z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9c46db81-681f-4c29-9879-824efb368929</vt:lpwstr>
  </property>
</Properties>
</file>