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CA0FE" w14:textId="77777777" w:rsidR="00695DEC" w:rsidRPr="00BF0648" w:rsidRDefault="00695DEC" w:rsidP="00695DEC">
      <w:pPr>
        <w:pStyle w:val="Author"/>
        <w:spacing w:line="360" w:lineRule="auto"/>
        <w:rPr>
          <w:rFonts w:ascii="Arial" w:hAnsi="Arial" w:cs="Arial"/>
          <w:i/>
          <w:sz w:val="22"/>
          <w:szCs w:val="22"/>
          <w:u w:val="single"/>
        </w:rPr>
      </w:pPr>
      <w:r w:rsidRPr="00BF0648">
        <w:rPr>
          <w:rFonts w:ascii="Arial" w:hAnsi="Arial" w:cs="Arial"/>
          <w:i/>
          <w:sz w:val="22"/>
          <w:szCs w:val="22"/>
          <w:u w:val="single"/>
        </w:rPr>
        <w:t xml:space="preserve">Original Research Article </w:t>
      </w:r>
    </w:p>
    <w:p w14:paraId="39405742" w14:textId="77777777" w:rsidR="00695DEC" w:rsidRPr="00BF0648" w:rsidRDefault="00695DEC" w:rsidP="00924571">
      <w:pPr>
        <w:pStyle w:val="Author"/>
        <w:spacing w:line="360" w:lineRule="auto"/>
        <w:jc w:val="both"/>
        <w:rPr>
          <w:rFonts w:ascii="Arial" w:hAnsi="Arial" w:cs="Arial"/>
          <w:sz w:val="22"/>
          <w:szCs w:val="22"/>
        </w:rPr>
      </w:pPr>
    </w:p>
    <w:p w14:paraId="49E11435" w14:textId="071DC2B4" w:rsidR="00B66432" w:rsidRPr="00BF0648" w:rsidRDefault="00700BA5" w:rsidP="00924571">
      <w:pPr>
        <w:pStyle w:val="Author"/>
        <w:spacing w:line="360" w:lineRule="auto"/>
        <w:jc w:val="both"/>
        <w:rPr>
          <w:rFonts w:ascii="Arial" w:hAnsi="Arial" w:cs="Arial"/>
          <w:sz w:val="22"/>
          <w:szCs w:val="22"/>
        </w:rPr>
      </w:pPr>
      <w:r w:rsidRPr="00BF0648">
        <w:rPr>
          <w:rFonts w:ascii="Arial" w:hAnsi="Arial" w:cs="Arial"/>
          <w:b w:val="0"/>
          <w:sz w:val="22"/>
          <w:szCs w:val="22"/>
          <w:highlight w:val="yellow"/>
        </w:rPr>
        <w:t xml:space="preserve">Socio-Demographic Determinants of eCHIS Utilization for Maternal Health </w:t>
      </w:r>
      <w:r w:rsidR="000A5114">
        <w:rPr>
          <w:rFonts w:ascii="Arial" w:hAnsi="Arial" w:cs="Arial"/>
          <w:b w:val="0"/>
          <w:sz w:val="22"/>
          <w:szCs w:val="22"/>
          <w:highlight w:val="yellow"/>
        </w:rPr>
        <w:t xml:space="preserve">Services </w:t>
      </w:r>
      <w:r w:rsidRPr="00BF0648">
        <w:rPr>
          <w:rFonts w:ascii="Arial" w:hAnsi="Arial" w:cs="Arial"/>
          <w:b w:val="0"/>
          <w:sz w:val="22"/>
          <w:szCs w:val="22"/>
          <w:highlight w:val="yellow"/>
        </w:rPr>
        <w:t>among Lactating Mothers in Muhoroni, Kisumu County, Kenya</w:t>
      </w:r>
      <w:r w:rsidRPr="00BF0648">
        <w:rPr>
          <w:rFonts w:ascii="Arial" w:hAnsi="Arial" w:cs="Arial"/>
          <w:sz w:val="22"/>
          <w:szCs w:val="22"/>
          <w:highlight w:val="yellow"/>
        </w:rPr>
        <w:t>.</w:t>
      </w:r>
    </w:p>
    <w:p w14:paraId="009875E7" w14:textId="2CBB2C84" w:rsidR="00A10DF8" w:rsidRPr="00BF0648" w:rsidRDefault="00A10DF8" w:rsidP="00924571">
      <w:pPr>
        <w:pStyle w:val="NoSpacing"/>
        <w:spacing w:line="360" w:lineRule="auto"/>
        <w:jc w:val="both"/>
        <w:rPr>
          <w:rFonts w:ascii="Arial" w:hAnsi="Arial" w:cs="Arial"/>
          <w:b/>
        </w:rPr>
      </w:pPr>
    </w:p>
    <w:p w14:paraId="50230982" w14:textId="2D7CFA73" w:rsidR="003F403A" w:rsidRPr="00BF0648" w:rsidRDefault="00BB0D36" w:rsidP="00924571">
      <w:pPr>
        <w:pStyle w:val="NoSpacing"/>
        <w:spacing w:line="276" w:lineRule="auto"/>
        <w:jc w:val="both"/>
        <w:rPr>
          <w:rFonts w:ascii="Arial" w:hAnsi="Arial" w:cs="Arial"/>
          <w:b/>
        </w:rPr>
      </w:pPr>
      <w:r w:rsidRPr="00BF0648">
        <w:rPr>
          <w:rFonts w:ascii="Arial" w:hAnsi="Arial" w:cs="Arial"/>
          <w:b/>
        </w:rPr>
        <w:t>ABSTRACT</w:t>
      </w:r>
    </w:p>
    <w:p w14:paraId="6B309BDD" w14:textId="33A24DCA" w:rsidR="0032558D" w:rsidRPr="00BF0648" w:rsidRDefault="0032558D" w:rsidP="00924571">
      <w:pPr>
        <w:pStyle w:val="NoSpacing"/>
        <w:spacing w:line="276" w:lineRule="auto"/>
        <w:jc w:val="both"/>
        <w:rPr>
          <w:rFonts w:ascii="Arial" w:hAnsi="Arial" w:cs="Arial"/>
          <w:b/>
        </w:rPr>
      </w:pPr>
      <w:r w:rsidRPr="00BF0648">
        <w:rPr>
          <w:rStyle w:val="Strong"/>
          <w:rFonts w:ascii="Arial" w:hAnsi="Arial" w:cs="Arial"/>
        </w:rPr>
        <w:t>Background:</w:t>
      </w:r>
      <w:r w:rsidRPr="00BF0648">
        <w:rPr>
          <w:rFonts w:ascii="Arial" w:hAnsi="Arial" w:cs="Arial"/>
        </w:rPr>
        <w:t xml:space="preserve"> Maternal mortality remains disproportionately high in sub-Saharan Africa. Kenya continues to face significant challenges in antenatal and postnatal care uptake. To address this, the Ministry of Health piloted the electronic Community Health Information System (eCHIS) in Muhoroni Sub-County. </w:t>
      </w:r>
      <w:r w:rsidR="00700BA5" w:rsidRPr="00BF0648">
        <w:rPr>
          <w:rFonts w:ascii="Arial" w:hAnsi="Arial" w:cs="Arial"/>
          <w:highlight w:val="yellow"/>
        </w:rPr>
        <w:t>eCHIS supports community health service delivery through data col</w:t>
      </w:r>
      <w:r w:rsidR="00174AD9">
        <w:rPr>
          <w:rFonts w:ascii="Arial" w:hAnsi="Arial" w:cs="Arial"/>
          <w:highlight w:val="yellow"/>
        </w:rPr>
        <w:t>lection, referral tracking and health educatio</w:t>
      </w:r>
      <w:r w:rsidR="00174AD9">
        <w:rPr>
          <w:rFonts w:ascii="Arial" w:hAnsi="Arial" w:cs="Arial"/>
        </w:rPr>
        <w:t>n</w:t>
      </w:r>
      <w:r w:rsidR="00700BA5" w:rsidRPr="00BF0648">
        <w:rPr>
          <w:rFonts w:ascii="Arial" w:hAnsi="Arial" w:cs="Arial"/>
        </w:rPr>
        <w:t xml:space="preserve">. </w:t>
      </w:r>
      <w:r w:rsidR="00174AD9">
        <w:rPr>
          <w:rFonts w:ascii="Arial" w:hAnsi="Arial" w:cs="Arial"/>
        </w:rPr>
        <w:t>However, limited</w:t>
      </w:r>
      <w:r w:rsidRPr="00BF0648">
        <w:rPr>
          <w:rFonts w:ascii="Arial" w:hAnsi="Arial" w:cs="Arial"/>
        </w:rPr>
        <w:t xml:space="preserve"> evidence exists on how socio-demographic factors influence eCHIS utilization and maternal health service uptake.</w:t>
      </w:r>
    </w:p>
    <w:p w14:paraId="2E7B1234" w14:textId="01AD5EDF" w:rsidR="008607C4" w:rsidRPr="00BF0648" w:rsidRDefault="003F403A" w:rsidP="00924571">
      <w:pPr>
        <w:spacing w:before="100" w:beforeAutospacing="1" w:after="100" w:afterAutospacing="1" w:line="276" w:lineRule="auto"/>
        <w:jc w:val="both"/>
        <w:rPr>
          <w:rFonts w:ascii="Arial" w:eastAsia="Times New Roman" w:hAnsi="Arial" w:cs="Arial"/>
        </w:rPr>
      </w:pPr>
      <w:r w:rsidRPr="00BF0648">
        <w:rPr>
          <w:rFonts w:ascii="Arial" w:eastAsia="Times New Roman" w:hAnsi="Arial" w:cs="Arial"/>
          <w:b/>
          <w:bCs/>
        </w:rPr>
        <w:t>Aim:</w:t>
      </w:r>
      <w:r w:rsidR="0032558D" w:rsidRPr="00BF0648">
        <w:rPr>
          <w:rFonts w:ascii="Arial" w:eastAsia="Times New Roman" w:hAnsi="Arial" w:cs="Arial"/>
        </w:rPr>
        <w:t xml:space="preserve"> T</w:t>
      </w:r>
      <w:r w:rsidR="00C01F7E" w:rsidRPr="00BF0648">
        <w:rPr>
          <w:rFonts w:ascii="Arial" w:eastAsia="Times New Roman" w:hAnsi="Arial" w:cs="Arial"/>
        </w:rPr>
        <w:t>o determine</w:t>
      </w:r>
      <w:r w:rsidRPr="00BF0648">
        <w:rPr>
          <w:rFonts w:ascii="Arial" w:eastAsia="Times New Roman" w:hAnsi="Arial" w:cs="Arial"/>
        </w:rPr>
        <w:t xml:space="preserve"> the socio-demographic factors associated with eCH</w:t>
      </w:r>
      <w:r w:rsidR="008607C4" w:rsidRPr="00BF0648">
        <w:rPr>
          <w:rFonts w:ascii="Arial" w:eastAsia="Times New Roman" w:hAnsi="Arial" w:cs="Arial"/>
        </w:rPr>
        <w:t>IS utilization in enhancing up</w:t>
      </w:r>
      <w:r w:rsidR="00DE0DB4">
        <w:rPr>
          <w:rFonts w:ascii="Arial" w:eastAsia="Times New Roman" w:hAnsi="Arial" w:cs="Arial"/>
        </w:rPr>
        <w:t>take of antenatal</w:t>
      </w:r>
      <w:r w:rsidR="00445A6F">
        <w:rPr>
          <w:rFonts w:ascii="Arial" w:eastAsia="Times New Roman" w:hAnsi="Arial" w:cs="Arial"/>
        </w:rPr>
        <w:t xml:space="preserve"> (ANC)</w:t>
      </w:r>
      <w:r w:rsidR="00DE0DB4">
        <w:rPr>
          <w:rFonts w:ascii="Arial" w:eastAsia="Times New Roman" w:hAnsi="Arial" w:cs="Arial"/>
        </w:rPr>
        <w:t>, skilled delivery and postn</w:t>
      </w:r>
      <w:r w:rsidR="00445A6F">
        <w:rPr>
          <w:rFonts w:ascii="Arial" w:eastAsia="Times New Roman" w:hAnsi="Arial" w:cs="Arial"/>
        </w:rPr>
        <w:t xml:space="preserve">atal care (PNC) </w:t>
      </w:r>
      <w:r w:rsidR="00DE0DB4">
        <w:rPr>
          <w:rFonts w:ascii="Arial" w:eastAsia="Times New Roman" w:hAnsi="Arial" w:cs="Arial"/>
        </w:rPr>
        <w:t>services.</w:t>
      </w:r>
    </w:p>
    <w:p w14:paraId="0F3FF25E" w14:textId="48091753" w:rsidR="002D0313" w:rsidRPr="00BF0648" w:rsidRDefault="003F403A" w:rsidP="00924571">
      <w:pPr>
        <w:spacing w:before="100" w:beforeAutospacing="1" w:after="100" w:afterAutospacing="1" w:line="276" w:lineRule="auto"/>
        <w:jc w:val="both"/>
        <w:rPr>
          <w:rFonts w:ascii="Arial" w:eastAsia="Times New Roman" w:hAnsi="Arial" w:cs="Arial"/>
        </w:rPr>
      </w:pPr>
      <w:r w:rsidRPr="00BF0648">
        <w:rPr>
          <w:rFonts w:ascii="Arial" w:eastAsia="Times New Roman" w:hAnsi="Arial" w:cs="Arial"/>
          <w:b/>
          <w:bCs/>
        </w:rPr>
        <w:t>Methods:</w:t>
      </w:r>
      <w:r w:rsidR="00C01F7E" w:rsidRPr="00BF0648">
        <w:rPr>
          <w:rFonts w:ascii="Arial" w:eastAsia="Times New Roman" w:hAnsi="Arial" w:cs="Arial"/>
        </w:rPr>
        <w:t xml:space="preserve"> </w:t>
      </w:r>
      <w:r w:rsidR="008607C4" w:rsidRPr="000A5114">
        <w:rPr>
          <w:rFonts w:ascii="Arial" w:hAnsi="Arial" w:cs="Arial"/>
        </w:rPr>
        <w:t xml:space="preserve">This study employed a </w:t>
      </w:r>
      <w:r w:rsidR="008607C4" w:rsidRPr="000A5114">
        <w:rPr>
          <w:rStyle w:val="Strong"/>
          <w:rFonts w:ascii="Arial" w:hAnsi="Arial" w:cs="Arial"/>
          <w:b w:val="0"/>
        </w:rPr>
        <w:t>cross-sectional descriptive design</w:t>
      </w:r>
      <w:r w:rsidR="008607C4" w:rsidRPr="000A5114">
        <w:rPr>
          <w:rStyle w:val="Strong"/>
          <w:rFonts w:ascii="Arial" w:hAnsi="Arial" w:cs="Arial"/>
        </w:rPr>
        <w:t>.</w:t>
      </w:r>
      <w:r w:rsidR="008607C4" w:rsidRPr="00BF0648">
        <w:rPr>
          <w:rStyle w:val="Strong"/>
          <w:rFonts w:ascii="Arial" w:hAnsi="Arial" w:cs="Arial"/>
        </w:rPr>
        <w:t xml:space="preserve"> </w:t>
      </w:r>
      <w:r w:rsidR="000C785C" w:rsidRPr="00BF0648">
        <w:rPr>
          <w:rFonts w:ascii="Arial" w:eastAsia="Times New Roman" w:hAnsi="Arial" w:cs="Arial"/>
        </w:rPr>
        <w:t xml:space="preserve">A </w:t>
      </w:r>
      <w:r w:rsidR="000C785C" w:rsidRPr="00BF0648">
        <w:rPr>
          <w:rFonts w:ascii="Arial" w:hAnsi="Arial" w:cs="Arial"/>
        </w:rPr>
        <w:t xml:space="preserve">total of 398 lactating mothers with children under six months, whose pregnancies were registered in eCHIS and followed through to postnatal care, were included. Both purposive and simple </w:t>
      </w:r>
      <w:r w:rsidR="00BF0648">
        <w:rPr>
          <w:rFonts w:ascii="Arial" w:hAnsi="Arial" w:cs="Arial"/>
        </w:rPr>
        <w:t xml:space="preserve">random sampling techniques were </w:t>
      </w:r>
      <w:r w:rsidR="000C785C" w:rsidRPr="00BF0648">
        <w:rPr>
          <w:rFonts w:ascii="Arial" w:hAnsi="Arial" w:cs="Arial"/>
        </w:rPr>
        <w:t xml:space="preserve">applied, with participants first identified from the eCHIS registry and then randomly selected to form the final sample. Quantitative data were collected using structured electronic questionnaires and analyzed with SPSS v25. Regression analysis and structural equation modeling </w:t>
      </w:r>
      <w:r w:rsidR="00912E44" w:rsidRPr="00BF0648">
        <w:rPr>
          <w:rFonts w:ascii="Arial" w:hAnsi="Arial" w:cs="Arial"/>
        </w:rPr>
        <w:t>(</w:t>
      </w:r>
      <w:r w:rsidR="000C785C" w:rsidRPr="00BF0648">
        <w:rPr>
          <w:rFonts w:ascii="Arial" w:hAnsi="Arial" w:cs="Arial"/>
        </w:rPr>
        <w:t>SEM) were employed to assess associations between socio-demographic fact</w:t>
      </w:r>
      <w:r w:rsidR="00DE0DB4">
        <w:rPr>
          <w:rFonts w:ascii="Arial" w:hAnsi="Arial" w:cs="Arial"/>
        </w:rPr>
        <w:t xml:space="preserve">ors and </w:t>
      </w:r>
      <w:r w:rsidR="000C785C" w:rsidRPr="00BF0648">
        <w:rPr>
          <w:rFonts w:ascii="Arial" w:hAnsi="Arial" w:cs="Arial"/>
        </w:rPr>
        <w:t>uptake</w:t>
      </w:r>
      <w:r w:rsidR="00DE0DB4">
        <w:rPr>
          <w:rFonts w:ascii="Arial" w:hAnsi="Arial" w:cs="Arial"/>
        </w:rPr>
        <w:t xml:space="preserve"> </w:t>
      </w:r>
      <w:r w:rsidR="00445A6F">
        <w:rPr>
          <w:rFonts w:ascii="Arial" w:eastAsia="Times New Roman" w:hAnsi="Arial" w:cs="Arial"/>
        </w:rPr>
        <w:t>of ANC</w:t>
      </w:r>
      <w:r w:rsidR="00DE0DB4">
        <w:rPr>
          <w:rFonts w:ascii="Arial" w:eastAsia="Times New Roman" w:hAnsi="Arial" w:cs="Arial"/>
        </w:rPr>
        <w:t>, ski</w:t>
      </w:r>
      <w:r w:rsidR="00445A6F">
        <w:rPr>
          <w:rFonts w:ascii="Arial" w:eastAsia="Times New Roman" w:hAnsi="Arial" w:cs="Arial"/>
        </w:rPr>
        <w:t>lled delivery and PNC</w:t>
      </w:r>
      <w:r w:rsidR="00DE0DB4">
        <w:rPr>
          <w:rFonts w:ascii="Arial" w:eastAsia="Times New Roman" w:hAnsi="Arial" w:cs="Arial"/>
        </w:rPr>
        <w:t xml:space="preserve"> services.</w:t>
      </w:r>
    </w:p>
    <w:p w14:paraId="2341B8B9" w14:textId="33E8113B" w:rsidR="003F403A" w:rsidRPr="00BF0648" w:rsidRDefault="003F403A" w:rsidP="00924571">
      <w:pPr>
        <w:spacing w:before="100" w:beforeAutospacing="1" w:after="100" w:afterAutospacing="1" w:line="276" w:lineRule="auto"/>
        <w:jc w:val="both"/>
        <w:rPr>
          <w:rFonts w:ascii="Arial" w:eastAsia="Times New Roman" w:hAnsi="Arial" w:cs="Arial"/>
        </w:rPr>
      </w:pPr>
      <w:r w:rsidRPr="00BF0648">
        <w:rPr>
          <w:rFonts w:ascii="Arial" w:eastAsia="Times New Roman" w:hAnsi="Arial" w:cs="Arial"/>
          <w:b/>
          <w:bCs/>
        </w:rPr>
        <w:t>Results:</w:t>
      </w:r>
      <w:r w:rsidR="0032558D" w:rsidRPr="00BF0648">
        <w:rPr>
          <w:rFonts w:ascii="Arial" w:eastAsia="Times New Roman" w:hAnsi="Arial" w:cs="Arial"/>
        </w:rPr>
        <w:t xml:space="preserve"> Education and </w:t>
      </w:r>
      <w:r w:rsidRPr="00BF0648">
        <w:rPr>
          <w:rFonts w:ascii="Arial" w:eastAsia="Times New Roman" w:hAnsi="Arial" w:cs="Arial"/>
        </w:rPr>
        <w:t>age significantly influenced service uptake. Higher education was associated with increased antenatal, skilled delivery, and postnatal care utilization (</w:t>
      </w:r>
      <w:r w:rsidR="006005EE" w:rsidRPr="006005EE">
        <w:rPr>
          <w:rFonts w:ascii="Arial" w:eastAsia="Times New Roman" w:hAnsi="Arial" w:cs="Arial"/>
          <w:i/>
        </w:rPr>
        <w:t>P</w:t>
      </w:r>
      <w:r w:rsidR="006005EE">
        <w:rPr>
          <w:rFonts w:ascii="Arial" w:eastAsia="Times New Roman" w:hAnsi="Arial" w:cs="Arial"/>
        </w:rPr>
        <w:t>=0.010). Age was significant (</w:t>
      </w:r>
      <w:r w:rsidR="006005EE" w:rsidRPr="006005EE">
        <w:rPr>
          <w:rFonts w:ascii="Arial" w:eastAsia="Times New Roman" w:hAnsi="Arial" w:cs="Arial"/>
          <w:i/>
        </w:rPr>
        <w:t>P</w:t>
      </w:r>
      <w:r w:rsidRPr="00BF0648">
        <w:rPr>
          <w:rFonts w:ascii="Arial" w:eastAsia="Times New Roman" w:hAnsi="Arial" w:cs="Arial"/>
        </w:rPr>
        <w:t xml:space="preserve">=0.003); adolescent (15–19) and older mothers (35–49) recorded reduced uptake compared to women aged 20–34. Marital status was </w:t>
      </w:r>
      <w:r w:rsidR="006005EE">
        <w:rPr>
          <w:rFonts w:ascii="Arial" w:eastAsia="Times New Roman" w:hAnsi="Arial" w:cs="Arial"/>
        </w:rPr>
        <w:t>not statistically significant (</w:t>
      </w:r>
      <w:r w:rsidR="006005EE" w:rsidRPr="006005EE">
        <w:rPr>
          <w:rFonts w:ascii="Arial" w:eastAsia="Times New Roman" w:hAnsi="Arial" w:cs="Arial"/>
          <w:i/>
        </w:rPr>
        <w:t>P</w:t>
      </w:r>
      <w:r w:rsidRPr="00BF0648">
        <w:rPr>
          <w:rFonts w:ascii="Arial" w:eastAsia="Times New Roman" w:hAnsi="Arial" w:cs="Arial"/>
        </w:rPr>
        <w:t>=0.110). SEM showed socio-demographic factors predicted eCHIS</w:t>
      </w:r>
      <w:bookmarkStart w:id="0" w:name="_GoBack"/>
      <w:bookmarkEnd w:id="0"/>
      <w:r w:rsidRPr="00BF0648">
        <w:rPr>
          <w:rFonts w:ascii="Arial" w:eastAsia="Times New Roman" w:hAnsi="Arial" w:cs="Arial"/>
        </w:rPr>
        <w:t xml:space="preserve"> utilization (β=0.273, p&lt;0.01), which mediated their effect on maternal health service uptake. R² values indicated moderate explanatory power (41.2% variance explained for eCHIS utilization; 42.8% for service uptake).</w:t>
      </w:r>
    </w:p>
    <w:p w14:paraId="18893BF3" w14:textId="268DFD25" w:rsidR="00BF0648" w:rsidRPr="00DE0DB4" w:rsidRDefault="003F403A" w:rsidP="00924571">
      <w:pPr>
        <w:spacing w:before="100" w:beforeAutospacing="1" w:after="100" w:afterAutospacing="1" w:line="276" w:lineRule="auto"/>
        <w:jc w:val="both"/>
        <w:rPr>
          <w:rFonts w:ascii="Arial" w:eastAsia="Times New Roman" w:hAnsi="Arial" w:cs="Arial"/>
        </w:rPr>
      </w:pPr>
      <w:r w:rsidRPr="00BF0648">
        <w:rPr>
          <w:rFonts w:ascii="Arial" w:eastAsia="Times New Roman" w:hAnsi="Arial" w:cs="Arial"/>
          <w:b/>
          <w:bCs/>
        </w:rPr>
        <w:t>Conclusion:</w:t>
      </w:r>
      <w:r w:rsidRPr="00BF0648">
        <w:rPr>
          <w:rFonts w:ascii="Arial" w:eastAsia="Times New Roman" w:hAnsi="Arial" w:cs="Arial"/>
        </w:rPr>
        <w:t xml:space="preserve"> </w:t>
      </w:r>
      <w:r w:rsidR="00BF0648" w:rsidRPr="00BF0648">
        <w:rPr>
          <w:rFonts w:ascii="Arial" w:hAnsi="Arial" w:cs="Arial"/>
        </w:rPr>
        <w:t>Socio-demographic factors, particularly education and age, i</w:t>
      </w:r>
      <w:r w:rsidR="00445A6F">
        <w:rPr>
          <w:rFonts w:ascii="Arial" w:hAnsi="Arial" w:cs="Arial"/>
        </w:rPr>
        <w:t>nfluence ANC, Skilled delivery and PNC service</w:t>
      </w:r>
      <w:r w:rsidR="00BF0648" w:rsidRPr="00BF0648">
        <w:rPr>
          <w:rFonts w:ascii="Arial" w:hAnsi="Arial" w:cs="Arial"/>
        </w:rPr>
        <w:t xml:space="preserve"> uptake through eCHIS. Tailoring digital health interventions to these profiles, strengthening maternal health literacy, and implementing age-sensitive outreach are essential to maximize eCHIS impact and improve maternal outcomes in resource-limited settings. </w:t>
      </w:r>
      <w:r w:rsidR="00DE0DB4">
        <w:rPr>
          <w:rFonts w:ascii="Arial" w:hAnsi="Arial" w:cs="Arial"/>
          <w:highlight w:val="yellow"/>
        </w:rPr>
        <w:t xml:space="preserve">These findings </w:t>
      </w:r>
      <w:r w:rsidR="00BF0648" w:rsidRPr="00DE0DB4">
        <w:rPr>
          <w:rFonts w:ascii="Arial" w:hAnsi="Arial" w:cs="Arial"/>
          <w:highlight w:val="yellow"/>
        </w:rPr>
        <w:t>inform the development of evidence-based digital health policies that promote equitable maternal health service delivery.</w:t>
      </w:r>
    </w:p>
    <w:p w14:paraId="751BD610" w14:textId="2B2D1191" w:rsidR="003F403A" w:rsidRPr="00BF0648" w:rsidRDefault="003F403A" w:rsidP="00924571">
      <w:pPr>
        <w:spacing w:before="100" w:beforeAutospacing="1" w:after="100" w:afterAutospacing="1" w:line="276" w:lineRule="auto"/>
        <w:jc w:val="both"/>
        <w:rPr>
          <w:rFonts w:ascii="Arial" w:eastAsia="Times New Roman" w:hAnsi="Arial" w:cs="Arial"/>
        </w:rPr>
      </w:pPr>
      <w:r w:rsidRPr="00BF0648">
        <w:rPr>
          <w:rFonts w:ascii="Arial" w:eastAsia="Times New Roman" w:hAnsi="Arial" w:cs="Arial"/>
          <w:b/>
          <w:bCs/>
        </w:rPr>
        <w:t>Keywords:</w:t>
      </w:r>
      <w:r w:rsidRPr="00BF0648">
        <w:rPr>
          <w:rFonts w:ascii="Arial" w:eastAsia="Times New Roman" w:hAnsi="Arial" w:cs="Arial"/>
        </w:rPr>
        <w:t xml:space="preserve"> eCHIS, socio-demographic factors, m</w:t>
      </w:r>
      <w:r w:rsidR="00912E44" w:rsidRPr="00BF0648">
        <w:rPr>
          <w:rFonts w:ascii="Arial" w:eastAsia="Times New Roman" w:hAnsi="Arial" w:cs="Arial"/>
        </w:rPr>
        <w:t xml:space="preserve">aternal health, </w:t>
      </w:r>
      <w:r w:rsidRPr="00BF0648">
        <w:rPr>
          <w:rFonts w:ascii="Arial" w:eastAsia="Times New Roman" w:hAnsi="Arial" w:cs="Arial"/>
        </w:rPr>
        <w:t>Kenya</w:t>
      </w:r>
    </w:p>
    <w:p w14:paraId="47F00B83" w14:textId="77777777" w:rsidR="003F403A" w:rsidRPr="00BF0648" w:rsidRDefault="003F403A" w:rsidP="00924571">
      <w:pPr>
        <w:spacing w:after="0" w:line="360" w:lineRule="auto"/>
        <w:jc w:val="both"/>
        <w:rPr>
          <w:rFonts w:ascii="Arial" w:eastAsia="Times New Roman" w:hAnsi="Arial" w:cs="Arial"/>
        </w:rPr>
      </w:pPr>
    </w:p>
    <w:p w14:paraId="5EF6896A" w14:textId="77777777" w:rsidR="00BB0D36" w:rsidRPr="00BF0648" w:rsidRDefault="00BB0D36" w:rsidP="00924571">
      <w:pPr>
        <w:spacing w:after="0" w:line="360" w:lineRule="auto"/>
        <w:jc w:val="both"/>
        <w:rPr>
          <w:rFonts w:ascii="Arial" w:eastAsia="Times New Roman" w:hAnsi="Arial" w:cs="Arial"/>
        </w:rPr>
      </w:pPr>
    </w:p>
    <w:p w14:paraId="0C077147" w14:textId="55050C33" w:rsidR="00BB0D36" w:rsidRPr="00BF0648" w:rsidRDefault="00BB0D36" w:rsidP="00924571">
      <w:pPr>
        <w:spacing w:after="0" w:line="360" w:lineRule="auto"/>
        <w:jc w:val="both"/>
        <w:rPr>
          <w:rFonts w:ascii="Arial" w:eastAsia="Times New Roman" w:hAnsi="Arial" w:cs="Arial"/>
        </w:rPr>
      </w:pPr>
    </w:p>
    <w:p w14:paraId="3DB1D2F3" w14:textId="77777777" w:rsidR="00924571" w:rsidRPr="00BF0648" w:rsidRDefault="00924571" w:rsidP="00924571">
      <w:pPr>
        <w:spacing w:after="0" w:line="360" w:lineRule="auto"/>
        <w:jc w:val="both"/>
        <w:rPr>
          <w:rFonts w:ascii="Arial" w:eastAsia="Times New Roman" w:hAnsi="Arial" w:cs="Arial"/>
        </w:rPr>
      </w:pPr>
    </w:p>
    <w:p w14:paraId="2A653392" w14:textId="77777777" w:rsidR="00924571" w:rsidRPr="00BF0648" w:rsidRDefault="00924571" w:rsidP="00924571">
      <w:pPr>
        <w:spacing w:after="0" w:line="360" w:lineRule="auto"/>
        <w:jc w:val="both"/>
        <w:rPr>
          <w:rFonts w:ascii="Arial" w:eastAsia="Times New Roman" w:hAnsi="Arial" w:cs="Arial"/>
        </w:rPr>
      </w:pPr>
    </w:p>
    <w:p w14:paraId="149179DA" w14:textId="574EA619" w:rsidR="003F403A" w:rsidRPr="00BF0648" w:rsidRDefault="003F403A" w:rsidP="00924571">
      <w:pPr>
        <w:pStyle w:val="NoSpacing"/>
        <w:numPr>
          <w:ilvl w:val="0"/>
          <w:numId w:val="9"/>
        </w:numPr>
        <w:jc w:val="both"/>
        <w:rPr>
          <w:rFonts w:ascii="Arial" w:hAnsi="Arial" w:cs="Arial"/>
          <w:b/>
        </w:rPr>
      </w:pPr>
      <w:r w:rsidRPr="00BF0648">
        <w:rPr>
          <w:rFonts w:ascii="Arial" w:hAnsi="Arial" w:cs="Arial"/>
          <w:b/>
        </w:rPr>
        <w:t>Introduction</w:t>
      </w:r>
    </w:p>
    <w:p w14:paraId="2BFC577E" w14:textId="2A51E2CE" w:rsidR="003F403A" w:rsidRPr="00BF0648" w:rsidRDefault="003F403A" w:rsidP="00924571">
      <w:pPr>
        <w:spacing w:before="100" w:beforeAutospacing="1" w:after="100" w:afterAutospacing="1" w:line="360" w:lineRule="auto"/>
        <w:jc w:val="both"/>
        <w:rPr>
          <w:rFonts w:ascii="Arial" w:eastAsia="Times New Roman" w:hAnsi="Arial" w:cs="Arial"/>
        </w:rPr>
      </w:pPr>
      <w:r w:rsidRPr="00BF0648">
        <w:rPr>
          <w:rFonts w:ascii="Arial" w:eastAsia="Times New Roman" w:hAnsi="Arial" w:cs="Arial"/>
        </w:rPr>
        <w:t>Maternal mortality remains a persistent global challenge, with 99% of maternal deaths occurring in low- and middle-income countries</w:t>
      </w:r>
      <w:r w:rsidR="00924571" w:rsidRPr="00BF0648">
        <w:rPr>
          <w:rFonts w:ascii="Arial" w:hAnsi="Arial" w:cs="Arial"/>
          <w:vertAlign w:val="superscript"/>
        </w:rPr>
        <w:t>1</w:t>
      </w:r>
      <w:r w:rsidR="00924571" w:rsidRPr="00BF0648">
        <w:rPr>
          <w:rFonts w:ascii="Arial" w:eastAsia="Times New Roman" w:hAnsi="Arial" w:cs="Arial"/>
        </w:rPr>
        <w:t xml:space="preserve">. </w:t>
      </w:r>
      <w:r w:rsidRPr="00BF0648">
        <w:rPr>
          <w:rFonts w:ascii="Arial" w:eastAsia="Times New Roman" w:hAnsi="Arial" w:cs="Arial"/>
        </w:rPr>
        <w:t>Kenya’s maternal mortality ratio stands at 355 per 100,000 live births, with Kisumu County recording</w:t>
      </w:r>
      <w:r w:rsidR="00924571" w:rsidRPr="00BF0648">
        <w:rPr>
          <w:rFonts w:ascii="Arial" w:eastAsia="Times New Roman" w:hAnsi="Arial" w:cs="Arial"/>
        </w:rPr>
        <w:t xml:space="preserve"> higher rates (497 per 100,000)</w:t>
      </w:r>
      <w:r w:rsidR="00924571" w:rsidRPr="00BF0648">
        <w:rPr>
          <w:rFonts w:ascii="Arial" w:hAnsi="Arial" w:cs="Arial"/>
          <w:vertAlign w:val="superscript"/>
        </w:rPr>
        <w:t xml:space="preserve"> 2</w:t>
      </w:r>
      <w:r w:rsidRPr="00BF0648">
        <w:rPr>
          <w:rFonts w:ascii="Arial" w:eastAsia="Times New Roman" w:hAnsi="Arial" w:cs="Arial"/>
        </w:rPr>
        <w:t xml:space="preserve"> </w:t>
      </w:r>
      <w:r w:rsidR="00924571" w:rsidRPr="00BF0648">
        <w:rPr>
          <w:rFonts w:ascii="Arial" w:eastAsia="Times New Roman" w:hAnsi="Arial" w:cs="Arial"/>
        </w:rPr>
        <w:t>.</w:t>
      </w:r>
      <w:r w:rsidRPr="00BF0648">
        <w:rPr>
          <w:rFonts w:ascii="Arial" w:eastAsia="Times New Roman" w:hAnsi="Arial" w:cs="Arial"/>
        </w:rPr>
        <w:t>In Muhoroni Sub-County, only 52.7% of women attend at least four antenatal care (ANC) visi</w:t>
      </w:r>
      <w:r w:rsidR="00924571" w:rsidRPr="00BF0648">
        <w:rPr>
          <w:rFonts w:ascii="Arial" w:eastAsia="Times New Roman" w:hAnsi="Arial" w:cs="Arial"/>
        </w:rPr>
        <w:t>ts, well below national targets</w:t>
      </w:r>
      <w:r w:rsidR="00924571" w:rsidRPr="00BF0648">
        <w:rPr>
          <w:rFonts w:ascii="Arial" w:hAnsi="Arial" w:cs="Arial"/>
          <w:vertAlign w:val="superscript"/>
        </w:rPr>
        <w:t>2.</w:t>
      </w:r>
    </w:p>
    <w:p w14:paraId="6A135358" w14:textId="437FE864" w:rsidR="003F403A" w:rsidRPr="00BF0648" w:rsidRDefault="003F403A" w:rsidP="00924571">
      <w:pPr>
        <w:spacing w:before="100" w:beforeAutospacing="1" w:after="100" w:afterAutospacing="1" w:line="360" w:lineRule="auto"/>
        <w:jc w:val="both"/>
        <w:rPr>
          <w:rFonts w:ascii="Arial" w:eastAsia="Times New Roman" w:hAnsi="Arial" w:cs="Arial"/>
        </w:rPr>
      </w:pPr>
      <w:r w:rsidRPr="00BF0648">
        <w:rPr>
          <w:rFonts w:ascii="Arial" w:eastAsia="Times New Roman" w:hAnsi="Arial" w:cs="Arial"/>
        </w:rPr>
        <w:t>The Kenyan Ministry of Health piloted the electronic Community Health Information System (eCHIS) to digitize service delivery at the community level. While eCHIS promises to improve uptake of maternal services, socio-demographic determinants such as age, education, and marital status may influence utilization. This study assessed how socio-demographic factors affect maternal health service uptake throug</w:t>
      </w:r>
      <w:r w:rsidR="00924571" w:rsidRPr="00BF0648">
        <w:rPr>
          <w:rFonts w:ascii="Arial" w:eastAsia="Times New Roman" w:hAnsi="Arial" w:cs="Arial"/>
        </w:rPr>
        <w:t>h eCHIS in Muhoroni Sub-County.</w:t>
      </w:r>
    </w:p>
    <w:p w14:paraId="0543CA28" w14:textId="24F37C1D" w:rsidR="00E5432C" w:rsidRPr="00BF0648" w:rsidRDefault="00610902" w:rsidP="00924571">
      <w:pPr>
        <w:pStyle w:val="NoSpacing"/>
        <w:spacing w:after="240" w:line="360" w:lineRule="auto"/>
        <w:jc w:val="both"/>
        <w:rPr>
          <w:rFonts w:ascii="Arial" w:hAnsi="Arial" w:cs="Arial"/>
          <w:b/>
        </w:rPr>
      </w:pPr>
      <w:r w:rsidRPr="00BF0648">
        <w:rPr>
          <w:rFonts w:ascii="Arial" w:hAnsi="Arial" w:cs="Arial"/>
          <w:b/>
        </w:rPr>
        <w:t xml:space="preserve">2. </w:t>
      </w:r>
      <w:r w:rsidR="00E5432C" w:rsidRPr="00BF0648">
        <w:rPr>
          <w:rFonts w:ascii="Arial" w:hAnsi="Arial" w:cs="Arial"/>
          <w:b/>
        </w:rPr>
        <w:t>Methodology</w:t>
      </w:r>
    </w:p>
    <w:p w14:paraId="48A98BAD" w14:textId="79CE14A2" w:rsidR="00E5432C" w:rsidRPr="00BF0648" w:rsidRDefault="00610902" w:rsidP="00924571">
      <w:pPr>
        <w:spacing w:after="240" w:line="360" w:lineRule="auto"/>
        <w:jc w:val="both"/>
        <w:rPr>
          <w:rFonts w:ascii="Arial" w:eastAsia="Times New Roman" w:hAnsi="Arial" w:cs="Arial"/>
          <w:b/>
          <w:color w:val="252525"/>
        </w:rPr>
      </w:pPr>
      <w:r w:rsidRPr="00BF0648">
        <w:rPr>
          <w:rFonts w:ascii="Arial" w:eastAsia="Times New Roman" w:hAnsi="Arial" w:cs="Arial"/>
          <w:b/>
          <w:color w:val="252525"/>
        </w:rPr>
        <w:t xml:space="preserve">2.1 </w:t>
      </w:r>
      <w:r w:rsidR="00E5432C" w:rsidRPr="00BF0648">
        <w:rPr>
          <w:rFonts w:ascii="Arial" w:eastAsia="Times New Roman" w:hAnsi="Arial" w:cs="Arial"/>
          <w:b/>
          <w:color w:val="252525"/>
        </w:rPr>
        <w:t>Study design</w:t>
      </w:r>
    </w:p>
    <w:p w14:paraId="4C89B9F0" w14:textId="470C947E" w:rsidR="003F403A" w:rsidRPr="00BF0648" w:rsidRDefault="00E5432C" w:rsidP="00924571">
      <w:pPr>
        <w:spacing w:after="0" w:line="360" w:lineRule="auto"/>
        <w:jc w:val="both"/>
        <w:rPr>
          <w:rFonts w:ascii="Arial" w:eastAsia="Times New Roman" w:hAnsi="Arial" w:cs="Arial"/>
          <w:b/>
          <w:color w:val="252525"/>
        </w:rPr>
      </w:pPr>
      <w:r w:rsidRPr="00BF0648">
        <w:rPr>
          <w:rFonts w:ascii="Arial" w:eastAsia="Times New Roman" w:hAnsi="Arial" w:cs="Arial"/>
          <w:color w:val="252525"/>
        </w:rPr>
        <w:t xml:space="preserve">The study employed a cross-sectional design, incorporating quantitative data collection (structured questionnaires) techniques. The design was deemed suitable as it enhanced the dependability, precision, and data acquisition procedure for the variables gathered in the community setting. The intervening variable of the study was electronic community health system, independent variables being sociodemographic factors and health system factors, while the dependent variable was the adoption of services for maternal health like antenatal care, skilled deliveries, and postnatal care. </w:t>
      </w:r>
    </w:p>
    <w:p w14:paraId="5AAF0F78" w14:textId="70DF9C00" w:rsidR="003F403A" w:rsidRPr="00BF0648" w:rsidRDefault="00610902" w:rsidP="00924571">
      <w:pPr>
        <w:spacing w:before="100" w:beforeAutospacing="1" w:after="100" w:afterAutospacing="1" w:line="360" w:lineRule="auto"/>
        <w:jc w:val="both"/>
        <w:rPr>
          <w:rFonts w:ascii="Arial" w:eastAsia="Times New Roman" w:hAnsi="Arial" w:cs="Arial"/>
          <w:b/>
          <w:bCs/>
        </w:rPr>
      </w:pPr>
      <w:r w:rsidRPr="00BF0648">
        <w:rPr>
          <w:rFonts w:ascii="Arial" w:eastAsia="Times New Roman" w:hAnsi="Arial" w:cs="Arial"/>
          <w:b/>
          <w:bCs/>
        </w:rPr>
        <w:t>2.2 Study Area</w:t>
      </w:r>
    </w:p>
    <w:p w14:paraId="61DB9319" w14:textId="014C63F2" w:rsidR="00E5432C" w:rsidRPr="00BF0648" w:rsidRDefault="00E5432C" w:rsidP="00924571">
      <w:pPr>
        <w:spacing w:line="360" w:lineRule="auto"/>
        <w:jc w:val="both"/>
        <w:rPr>
          <w:rFonts w:ascii="Arial" w:eastAsia="Times New Roman" w:hAnsi="Arial" w:cs="Arial"/>
          <w:color w:val="252525"/>
        </w:rPr>
      </w:pPr>
      <w:r w:rsidRPr="00BF0648">
        <w:rPr>
          <w:rFonts w:ascii="Arial" w:eastAsia="Times New Roman" w:hAnsi="Arial" w:cs="Arial"/>
          <w:color w:val="252525"/>
        </w:rPr>
        <w:t>The study area was Muhoroni Sub-County in Kisumu County, purposefully selected</w:t>
      </w:r>
      <w:r w:rsidR="006005EE">
        <w:rPr>
          <w:rFonts w:ascii="Arial" w:eastAsia="Times New Roman" w:hAnsi="Arial" w:cs="Arial"/>
          <w:color w:val="252525"/>
        </w:rPr>
        <w:t>,</w:t>
      </w:r>
      <w:r w:rsidRPr="00BF0648">
        <w:rPr>
          <w:rFonts w:ascii="Arial" w:eastAsia="Times New Roman" w:hAnsi="Arial" w:cs="Arial"/>
          <w:color w:val="252525"/>
        </w:rPr>
        <w:t xml:space="preserve"> as it was the first region to pilot an electronic community health information system and had low ANC coverage as compared to other sub-counties. </w:t>
      </w:r>
    </w:p>
    <w:p w14:paraId="570B4767" w14:textId="77777777" w:rsidR="00E5432C" w:rsidRPr="00BF0648" w:rsidRDefault="00E5432C" w:rsidP="00924571">
      <w:pPr>
        <w:spacing w:before="100" w:beforeAutospacing="1" w:after="100" w:afterAutospacing="1" w:line="360" w:lineRule="auto"/>
        <w:jc w:val="both"/>
        <w:rPr>
          <w:rFonts w:ascii="Arial" w:eastAsia="Times New Roman" w:hAnsi="Arial" w:cs="Arial"/>
          <w:b/>
          <w:bCs/>
        </w:rPr>
      </w:pPr>
    </w:p>
    <w:p w14:paraId="4BCF35C5" w14:textId="77777777" w:rsidR="00E5432C" w:rsidRPr="00BF0648" w:rsidRDefault="00E5432C" w:rsidP="00924571">
      <w:pPr>
        <w:spacing w:before="100" w:beforeAutospacing="1" w:after="100" w:afterAutospacing="1" w:line="360" w:lineRule="auto"/>
        <w:jc w:val="both"/>
        <w:rPr>
          <w:rFonts w:ascii="Arial" w:eastAsia="Times New Roman" w:hAnsi="Arial" w:cs="Arial"/>
          <w:b/>
          <w:bCs/>
        </w:rPr>
      </w:pPr>
    </w:p>
    <w:p w14:paraId="4D1396F9" w14:textId="77777777" w:rsidR="00E5432C" w:rsidRPr="00BF0648" w:rsidRDefault="00E5432C" w:rsidP="00924571">
      <w:pPr>
        <w:spacing w:before="100" w:beforeAutospacing="1" w:after="100" w:afterAutospacing="1" w:line="360" w:lineRule="auto"/>
        <w:jc w:val="both"/>
        <w:rPr>
          <w:rFonts w:ascii="Arial" w:eastAsia="Times New Roman" w:hAnsi="Arial" w:cs="Arial"/>
          <w:b/>
          <w:bCs/>
        </w:rPr>
      </w:pPr>
    </w:p>
    <w:p w14:paraId="08F152ED" w14:textId="32683DF8" w:rsidR="003F403A" w:rsidRPr="00BF0648" w:rsidRDefault="00610902" w:rsidP="00924571">
      <w:pPr>
        <w:spacing w:before="100" w:beforeAutospacing="1" w:after="100" w:afterAutospacing="1" w:line="360" w:lineRule="auto"/>
        <w:jc w:val="both"/>
        <w:rPr>
          <w:rFonts w:ascii="Arial" w:eastAsia="Times New Roman" w:hAnsi="Arial" w:cs="Arial"/>
          <w:b/>
          <w:bCs/>
        </w:rPr>
      </w:pPr>
      <w:r w:rsidRPr="00BF0648">
        <w:rPr>
          <w:rFonts w:ascii="Arial" w:eastAsia="Times New Roman" w:hAnsi="Arial" w:cs="Arial"/>
          <w:b/>
          <w:bCs/>
        </w:rPr>
        <w:t xml:space="preserve">2.3 </w:t>
      </w:r>
      <w:r w:rsidR="00E5432C" w:rsidRPr="00BF0648">
        <w:rPr>
          <w:rFonts w:ascii="Arial" w:eastAsia="Times New Roman" w:hAnsi="Arial" w:cs="Arial"/>
          <w:b/>
          <w:bCs/>
        </w:rPr>
        <w:t>Study Population</w:t>
      </w:r>
    </w:p>
    <w:p w14:paraId="294DDBE5" w14:textId="23B880A0" w:rsidR="00E5432C" w:rsidRPr="00BF0648" w:rsidRDefault="00E5432C" w:rsidP="00924571">
      <w:pPr>
        <w:spacing w:line="360" w:lineRule="auto"/>
        <w:jc w:val="both"/>
        <w:rPr>
          <w:rFonts w:ascii="Arial" w:hAnsi="Arial" w:cs="Arial"/>
        </w:rPr>
      </w:pPr>
      <w:r w:rsidRPr="00BF0648">
        <w:rPr>
          <w:rFonts w:ascii="Arial" w:hAnsi="Arial" w:cs="Arial"/>
        </w:rPr>
        <w:t xml:space="preserve">The study population comprised </w:t>
      </w:r>
      <w:r w:rsidR="00610902" w:rsidRPr="00BF0648">
        <w:rPr>
          <w:rFonts w:ascii="Arial" w:hAnsi="Arial" w:cs="Arial"/>
        </w:rPr>
        <w:t xml:space="preserve">of </w:t>
      </w:r>
      <w:r w:rsidRPr="00BF0648">
        <w:rPr>
          <w:rFonts w:ascii="Arial" w:hAnsi="Arial" w:cs="Arial"/>
        </w:rPr>
        <w:t>lactating mothers with children under six months residing in Muhoroni Sub-County, Kisumu County, whose pregnancies were registered by Community Health Promoters (CHPs) during the implementation of the electronic Community Health Information System (eCHIS) between July to December 2023. This population was chosen to assess how the utilization of eCHIS influenced the adoption of maternal health services such as antenatal care, skilled delivery, and postnatal care within the sub-county.</w:t>
      </w:r>
    </w:p>
    <w:p w14:paraId="2D0709E4" w14:textId="45667D41" w:rsidR="003F403A" w:rsidRPr="00BF0648" w:rsidRDefault="00D337F3" w:rsidP="00924571">
      <w:pPr>
        <w:spacing w:before="100" w:beforeAutospacing="1" w:after="100" w:afterAutospacing="1" w:line="360" w:lineRule="auto"/>
        <w:jc w:val="both"/>
        <w:rPr>
          <w:rFonts w:ascii="Arial" w:eastAsia="Times New Roman" w:hAnsi="Arial" w:cs="Arial"/>
          <w:b/>
          <w:bCs/>
        </w:rPr>
      </w:pPr>
      <w:r w:rsidRPr="00BF0648">
        <w:rPr>
          <w:rFonts w:ascii="Arial" w:eastAsia="Times New Roman" w:hAnsi="Arial" w:cs="Arial"/>
          <w:b/>
          <w:bCs/>
        </w:rPr>
        <w:t xml:space="preserve">2.4 </w:t>
      </w:r>
      <w:r w:rsidR="00610902" w:rsidRPr="00BF0648">
        <w:rPr>
          <w:rFonts w:ascii="Arial" w:eastAsia="Times New Roman" w:hAnsi="Arial" w:cs="Arial"/>
          <w:b/>
          <w:bCs/>
        </w:rPr>
        <w:t>Sample size determination</w:t>
      </w:r>
    </w:p>
    <w:p w14:paraId="656B4327" w14:textId="0BC2B36C" w:rsidR="00610902" w:rsidRPr="00BF0648" w:rsidRDefault="00610902" w:rsidP="00924571">
      <w:pPr>
        <w:pStyle w:val="Default"/>
        <w:spacing w:line="360" w:lineRule="auto"/>
        <w:jc w:val="both"/>
        <w:rPr>
          <w:sz w:val="22"/>
          <w:szCs w:val="22"/>
        </w:rPr>
      </w:pPr>
      <w:r w:rsidRPr="00BF0648">
        <w:rPr>
          <w:sz w:val="22"/>
          <w:szCs w:val="22"/>
        </w:rPr>
        <w:t xml:space="preserve">The number of sample respondents was calculated using Yamane’s formula for the known population with a population of 75,000, a confidence interval at 95 percent and setting the margin of error at 5 percent. This resulted in a sample size of 398. </w:t>
      </w:r>
    </w:p>
    <w:p w14:paraId="6D4F6221" w14:textId="19748D04" w:rsidR="00610902" w:rsidRPr="00BF0648" w:rsidRDefault="00610902" w:rsidP="00924571">
      <w:pPr>
        <w:pStyle w:val="Default"/>
        <w:spacing w:line="360" w:lineRule="auto"/>
        <w:jc w:val="both"/>
        <w:rPr>
          <w:sz w:val="22"/>
          <w:szCs w:val="22"/>
        </w:rPr>
      </w:pPr>
    </w:p>
    <w:p w14:paraId="53045B2A" w14:textId="65D881DA" w:rsidR="00610902" w:rsidRPr="00BF0648" w:rsidRDefault="00610902" w:rsidP="00924571">
      <w:pPr>
        <w:spacing w:line="360" w:lineRule="auto"/>
        <w:jc w:val="both"/>
        <w:rPr>
          <w:rFonts w:ascii="Arial" w:eastAsia="Times New Roman" w:hAnsi="Arial" w:cs="Arial"/>
          <w:color w:val="000000"/>
        </w:rPr>
      </w:pPr>
      <w:r w:rsidRPr="00BF0648">
        <w:rPr>
          <w:rFonts w:ascii="Arial" w:eastAsia="Times New Roman" w:hAnsi="Arial" w:cs="Arial"/>
          <w:color w:val="000000"/>
        </w:rPr>
        <w:t>n = [(N)] / [(1 + N (e</w:t>
      </w:r>
      <w:r w:rsidR="00924571" w:rsidRPr="00BF0648">
        <w:rPr>
          <w:rFonts w:ascii="Arial" w:eastAsia="Times New Roman" w:hAnsi="Arial" w:cs="Arial"/>
          <w:color w:val="000000"/>
        </w:rPr>
        <w:t>)</w:t>
      </w:r>
      <w:r w:rsidR="00924571" w:rsidRPr="00BF0648">
        <w:rPr>
          <w:rFonts w:ascii="Arial" w:eastAsia="Times New Roman" w:hAnsi="Arial" w:cs="Arial"/>
          <w:color w:val="000000"/>
          <w:vertAlign w:val="superscript"/>
        </w:rPr>
        <w:t xml:space="preserve"> 2</w:t>
      </w:r>
      <w:r w:rsidRPr="00BF0648">
        <w:rPr>
          <w:rFonts w:ascii="Arial" w:eastAsia="Times New Roman" w:hAnsi="Arial" w:cs="Arial"/>
          <w:color w:val="000000"/>
        </w:rPr>
        <w:t xml:space="preserve">)]  </w:t>
      </w:r>
    </w:p>
    <w:p w14:paraId="1E4A756E" w14:textId="566A8893" w:rsidR="00610902" w:rsidRPr="00BF0648" w:rsidRDefault="00610902" w:rsidP="00924571">
      <w:pPr>
        <w:spacing w:line="360" w:lineRule="auto"/>
        <w:jc w:val="both"/>
        <w:rPr>
          <w:rFonts w:ascii="Arial" w:eastAsia="Times New Roman" w:hAnsi="Arial" w:cs="Arial"/>
          <w:color w:val="000000"/>
        </w:rPr>
      </w:pPr>
      <w:r w:rsidRPr="00BF0648">
        <w:rPr>
          <w:rFonts w:ascii="Arial" w:eastAsia="Times New Roman" w:hAnsi="Arial" w:cs="Arial"/>
          <w:color w:val="000000"/>
        </w:rPr>
        <w:t>n = [(75000)] / [(1 + 75000 (0.05)</w:t>
      </w:r>
      <w:r w:rsidRPr="00BF0648">
        <w:rPr>
          <w:rFonts w:ascii="Arial" w:eastAsia="Times New Roman" w:hAnsi="Arial" w:cs="Arial"/>
          <w:color w:val="000000"/>
          <w:vertAlign w:val="superscript"/>
        </w:rPr>
        <w:t>2</w:t>
      </w:r>
      <w:r w:rsidRPr="00BF0648">
        <w:rPr>
          <w:rFonts w:ascii="Arial" w:eastAsia="Times New Roman" w:hAnsi="Arial" w:cs="Arial"/>
          <w:color w:val="000000"/>
        </w:rPr>
        <w:t xml:space="preserve">)]  </w:t>
      </w:r>
    </w:p>
    <w:p w14:paraId="2752A434" w14:textId="34FD30A7" w:rsidR="00610902" w:rsidRPr="00BF0648" w:rsidRDefault="00D337F3" w:rsidP="00924571">
      <w:pPr>
        <w:spacing w:line="360" w:lineRule="auto"/>
        <w:jc w:val="both"/>
        <w:rPr>
          <w:rFonts w:ascii="Arial" w:eastAsia="Times New Roman" w:hAnsi="Arial" w:cs="Arial"/>
          <w:color w:val="000000"/>
        </w:rPr>
      </w:pPr>
      <w:r w:rsidRPr="00BF0648">
        <w:rPr>
          <w:rFonts w:ascii="Arial" w:eastAsia="Times New Roman" w:hAnsi="Arial" w:cs="Arial"/>
          <w:color w:val="000000"/>
        </w:rPr>
        <w:t xml:space="preserve">n = 398 </w:t>
      </w:r>
    </w:p>
    <w:p w14:paraId="2EBD195F" w14:textId="19F1CCA7" w:rsidR="00610902" w:rsidRPr="00BF0648" w:rsidRDefault="00610902" w:rsidP="00924571">
      <w:pPr>
        <w:spacing w:before="100" w:beforeAutospacing="1" w:after="100" w:afterAutospacing="1" w:line="360" w:lineRule="auto"/>
        <w:jc w:val="both"/>
        <w:rPr>
          <w:rFonts w:ascii="Arial" w:eastAsia="Times New Roman" w:hAnsi="Arial" w:cs="Arial"/>
        </w:rPr>
      </w:pPr>
      <w:r w:rsidRPr="00BF0648">
        <w:rPr>
          <w:rFonts w:ascii="Arial" w:hAnsi="Arial" w:cs="Arial"/>
          <w:b/>
          <w:bCs/>
        </w:rPr>
        <w:t>2.5 Sampling</w:t>
      </w:r>
      <w:r w:rsidR="00D337F3" w:rsidRPr="00BF0648">
        <w:rPr>
          <w:rFonts w:ascii="Arial" w:hAnsi="Arial" w:cs="Arial"/>
          <w:b/>
          <w:bCs/>
        </w:rPr>
        <w:t xml:space="preserve"> Technique</w:t>
      </w:r>
    </w:p>
    <w:p w14:paraId="51718F14" w14:textId="07DBF785" w:rsidR="00E5432C" w:rsidRPr="00BF0648" w:rsidRDefault="00E5432C" w:rsidP="00924571">
      <w:pPr>
        <w:spacing w:line="360" w:lineRule="auto"/>
        <w:jc w:val="both"/>
        <w:rPr>
          <w:rFonts w:ascii="Arial" w:eastAsia="Times New Roman" w:hAnsi="Arial" w:cs="Arial"/>
          <w:color w:val="000000"/>
        </w:rPr>
      </w:pPr>
      <w:r w:rsidRPr="00BF0648">
        <w:rPr>
          <w:rFonts w:ascii="Arial" w:hAnsi="Arial" w:cs="Arial"/>
        </w:rPr>
        <w:t>In this study, both probability and non-probability sampling techniques were applied to ensure adequate representation of the target population. Initially, a non-probability purposive sampling technique was used to develop the sampling frame by identifying lactating mothers with children under six months whose pregnancies had been registered by Community Health Promoters (</w:t>
      </w:r>
      <w:r w:rsidR="00D337F3" w:rsidRPr="00BF0648">
        <w:rPr>
          <w:rFonts w:ascii="Arial" w:hAnsi="Arial" w:cs="Arial"/>
        </w:rPr>
        <w:t>CHPs) using eCHIS</w:t>
      </w:r>
      <w:r w:rsidRPr="00BF0648">
        <w:rPr>
          <w:rFonts w:ascii="Arial" w:hAnsi="Arial" w:cs="Arial"/>
        </w:rPr>
        <w:t xml:space="preserve"> between July and December 2023. This focused approach ensured that only eligible participants relevant to the study objectives were included. Once this sampling frame was established, a probability-based simple random sampling technique was employed to select the final sample of 398 participants using Excel’s RAND () function.</w:t>
      </w:r>
      <w:r w:rsidRPr="00BF0648">
        <w:rPr>
          <w:rFonts w:ascii="Arial" w:hAnsi="Arial" w:cs="Arial"/>
          <w:color w:val="FF0000"/>
        </w:rPr>
        <w:t xml:space="preserve"> </w:t>
      </w:r>
      <w:r w:rsidRPr="00BF0648">
        <w:rPr>
          <w:rFonts w:ascii="Arial" w:eastAsia="Times New Roman" w:hAnsi="Arial" w:cs="Arial"/>
          <w:color w:val="252525"/>
        </w:rPr>
        <w:t>This is due to its simplicity of implementation and the fact that it eliminated any possibility of bias or confounding variables that could result from population stratification</w:t>
      </w:r>
      <w:r w:rsidRPr="00BF0648">
        <w:rPr>
          <w:rFonts w:ascii="Arial" w:hAnsi="Arial" w:cs="Arial"/>
        </w:rPr>
        <w:t xml:space="preserve">. </w:t>
      </w:r>
      <w:r w:rsidR="00D337F3" w:rsidRPr="00BF0648">
        <w:rPr>
          <w:rFonts w:ascii="Arial" w:eastAsia="Times New Roman" w:hAnsi="Arial" w:cs="Arial"/>
          <w:color w:val="000000"/>
        </w:rPr>
        <w:t xml:space="preserve"> </w:t>
      </w:r>
      <w:r w:rsidRPr="00BF0648">
        <w:rPr>
          <w:rFonts w:ascii="Arial" w:hAnsi="Arial" w:cs="Arial"/>
        </w:rPr>
        <w:t xml:space="preserve">Using Excel’s </w:t>
      </w:r>
      <w:r w:rsidRPr="00BF0648">
        <w:rPr>
          <w:rStyle w:val="HTMLCode"/>
          <w:rFonts w:ascii="Arial" w:eastAsia="Calibri" w:hAnsi="Arial" w:cs="Arial"/>
          <w:sz w:val="22"/>
          <w:szCs w:val="22"/>
        </w:rPr>
        <w:t>RAND ()</w:t>
      </w:r>
      <w:r w:rsidRPr="00BF0648">
        <w:rPr>
          <w:rFonts w:ascii="Arial" w:hAnsi="Arial" w:cs="Arial"/>
        </w:rPr>
        <w:t xml:space="preserve"> function, random numbers were </w:t>
      </w:r>
      <w:r w:rsidRPr="00BF0648">
        <w:rPr>
          <w:rFonts w:ascii="Arial" w:hAnsi="Arial" w:cs="Arial"/>
        </w:rPr>
        <w:lastRenderedPageBreak/>
        <w:t xml:space="preserve">assigned to each individual in the sampling frame, duplicates were removed, and the first 398 unique entries from the sorted list were selected. </w:t>
      </w:r>
      <w:r w:rsidRPr="00BF0648">
        <w:rPr>
          <w:rFonts w:ascii="Arial" w:eastAsia="Times New Roman" w:hAnsi="Arial" w:cs="Arial"/>
        </w:rPr>
        <w:t xml:space="preserve">This approach ensured </w:t>
      </w:r>
      <w:r w:rsidRPr="00BF0648">
        <w:rPr>
          <w:rFonts w:ascii="Arial" w:eastAsia="Times New Roman" w:hAnsi="Arial" w:cs="Arial"/>
          <w:bCs/>
        </w:rPr>
        <w:t>randomness and minimized selection bias</w:t>
      </w:r>
      <w:r w:rsidRPr="00BF0648">
        <w:rPr>
          <w:rFonts w:ascii="Arial" w:eastAsia="Times New Roman" w:hAnsi="Arial" w:cs="Arial"/>
        </w:rPr>
        <w:t>, making the sample representative of the larger population.</w:t>
      </w:r>
    </w:p>
    <w:p w14:paraId="335C48F4" w14:textId="37F1AA5F" w:rsidR="00E5432C" w:rsidRPr="00BF0648" w:rsidRDefault="00D337F3" w:rsidP="00924571">
      <w:pPr>
        <w:spacing w:line="360" w:lineRule="auto"/>
        <w:jc w:val="both"/>
        <w:rPr>
          <w:rFonts w:ascii="Arial" w:eastAsia="Times New Roman" w:hAnsi="Arial" w:cs="Arial"/>
          <w:b/>
          <w:bCs/>
          <w:color w:val="000000"/>
        </w:rPr>
      </w:pPr>
      <w:r w:rsidRPr="00BF0648">
        <w:rPr>
          <w:rFonts w:ascii="Arial" w:eastAsia="Times New Roman" w:hAnsi="Arial" w:cs="Arial"/>
          <w:b/>
          <w:bCs/>
          <w:color w:val="000000"/>
        </w:rPr>
        <w:t>2.6 Data Collection Method and Instrument</w:t>
      </w:r>
    </w:p>
    <w:p w14:paraId="766799AB" w14:textId="16E41D8D" w:rsidR="00E5432C" w:rsidRDefault="00E5432C" w:rsidP="00924571">
      <w:pPr>
        <w:spacing w:before="100" w:beforeAutospacing="1" w:after="100" w:afterAutospacing="1" w:line="360" w:lineRule="auto"/>
        <w:jc w:val="both"/>
        <w:rPr>
          <w:rFonts w:ascii="Arial" w:eastAsia="Times New Roman" w:hAnsi="Arial" w:cs="Arial"/>
        </w:rPr>
      </w:pPr>
      <w:r w:rsidRPr="00BF0648">
        <w:rPr>
          <w:rFonts w:ascii="Arial" w:eastAsia="Times New Roman" w:hAnsi="Arial" w:cs="Arial"/>
        </w:rPr>
        <w:t xml:space="preserve">The primary </w:t>
      </w:r>
      <w:r w:rsidRPr="00BF0648">
        <w:rPr>
          <w:rFonts w:ascii="Arial" w:eastAsia="Times New Roman" w:hAnsi="Arial" w:cs="Arial"/>
          <w:bCs/>
        </w:rPr>
        <w:t>instrument of data collection</w:t>
      </w:r>
      <w:r w:rsidRPr="00BF0648">
        <w:rPr>
          <w:rFonts w:ascii="Arial" w:eastAsia="Times New Roman" w:hAnsi="Arial" w:cs="Arial"/>
        </w:rPr>
        <w:t xml:space="preserve"> was a </w:t>
      </w:r>
      <w:r w:rsidRPr="00BF0648">
        <w:rPr>
          <w:rFonts w:ascii="Arial" w:eastAsia="Times New Roman" w:hAnsi="Arial" w:cs="Arial"/>
          <w:bCs/>
        </w:rPr>
        <w:t>structured questionnaire</w:t>
      </w:r>
      <w:r w:rsidRPr="00BF0648">
        <w:rPr>
          <w:rFonts w:ascii="Arial" w:eastAsia="Times New Roman" w:hAnsi="Arial" w:cs="Arial"/>
        </w:rPr>
        <w:t xml:space="preserve"> aligned with the study’s objectives and variables. The questionnaire was developed by the author and administered in </w:t>
      </w:r>
      <w:r w:rsidRPr="00BF0648">
        <w:rPr>
          <w:rFonts w:ascii="Arial" w:eastAsia="Times New Roman" w:hAnsi="Arial" w:cs="Arial"/>
          <w:bCs/>
        </w:rPr>
        <w:t>electronic format</w:t>
      </w:r>
      <w:r w:rsidRPr="00BF0648">
        <w:rPr>
          <w:rFonts w:ascii="Arial" w:eastAsia="Times New Roman" w:hAnsi="Arial" w:cs="Arial"/>
        </w:rPr>
        <w:t xml:space="preserve"> using mobile devices to enhance data accuracy. Eligible </w:t>
      </w:r>
      <w:r w:rsidRPr="00BF0648">
        <w:rPr>
          <w:rFonts w:ascii="Arial" w:eastAsia="Calibri" w:hAnsi="Arial" w:cs="Arial"/>
        </w:rPr>
        <w:t>participants self-administered the tool on mobile devices, with the research assistants available to offer guidance.</w:t>
      </w:r>
      <w:r w:rsidRPr="00BF0648">
        <w:rPr>
          <w:rFonts w:ascii="Arial" w:eastAsia="Times New Roman" w:hAnsi="Arial" w:cs="Arial"/>
        </w:rPr>
        <w:t xml:space="preserve"> These assistants, with the help of </w:t>
      </w:r>
      <w:r w:rsidRPr="00BF0648">
        <w:rPr>
          <w:rFonts w:ascii="Arial" w:eastAsia="Times New Roman" w:hAnsi="Arial" w:cs="Arial"/>
          <w:bCs/>
        </w:rPr>
        <w:t>CHPs</w:t>
      </w:r>
      <w:r w:rsidRPr="00BF0648">
        <w:rPr>
          <w:rFonts w:ascii="Arial" w:eastAsia="Times New Roman" w:hAnsi="Arial" w:cs="Arial"/>
        </w:rPr>
        <w:t>, identified and visited eligible participants—</w:t>
      </w:r>
      <w:r w:rsidRPr="00BF0648">
        <w:rPr>
          <w:rFonts w:ascii="Arial" w:eastAsia="Times New Roman" w:hAnsi="Arial" w:cs="Arial"/>
          <w:bCs/>
        </w:rPr>
        <w:t>lactating mothers with children under six months</w:t>
      </w:r>
      <w:r w:rsidRPr="00BF0648">
        <w:rPr>
          <w:rFonts w:ascii="Arial" w:eastAsia="Times New Roman" w:hAnsi="Arial" w:cs="Arial"/>
        </w:rPr>
        <w:t xml:space="preserve"> living in Muhoroni Sub-County. </w:t>
      </w:r>
    </w:p>
    <w:p w14:paraId="484E5754" w14:textId="7D1ABE2B" w:rsidR="005D0823" w:rsidRPr="005D0823" w:rsidRDefault="005D0823" w:rsidP="00924571">
      <w:pPr>
        <w:spacing w:before="100" w:beforeAutospacing="1" w:after="100" w:afterAutospacing="1" w:line="360" w:lineRule="auto"/>
        <w:jc w:val="both"/>
        <w:rPr>
          <w:rFonts w:ascii="Arial" w:eastAsia="Times New Roman" w:hAnsi="Arial" w:cs="Arial"/>
        </w:rPr>
      </w:pPr>
      <w:r w:rsidRPr="006005EE">
        <w:rPr>
          <w:rFonts w:ascii="Arial" w:hAnsi="Arial" w:cs="Arial"/>
          <w:highlight w:val="yellow"/>
        </w:rPr>
        <w:t>For this study</w:t>
      </w:r>
      <w:r w:rsidRPr="006005EE">
        <w:rPr>
          <w:rFonts w:ascii="Arial" w:hAnsi="Arial" w:cs="Arial"/>
          <w:b/>
          <w:highlight w:val="yellow"/>
        </w:rPr>
        <w:t xml:space="preserve">, </w:t>
      </w:r>
      <w:r w:rsidRPr="006005EE">
        <w:rPr>
          <w:rStyle w:val="Strong"/>
          <w:rFonts w:ascii="Arial" w:hAnsi="Arial" w:cs="Arial"/>
          <w:b w:val="0"/>
          <w:highlight w:val="yellow"/>
        </w:rPr>
        <w:t xml:space="preserve">eCHIS utilization was operationally defined as the use of the system by CHPs for maternal health-related functions, including pregnancy registration, data entry, </w:t>
      </w:r>
      <w:r w:rsidR="006005EE" w:rsidRPr="006005EE">
        <w:rPr>
          <w:rStyle w:val="Strong"/>
          <w:rFonts w:ascii="Arial" w:hAnsi="Arial" w:cs="Arial"/>
          <w:b w:val="0"/>
          <w:highlight w:val="yellow"/>
        </w:rPr>
        <w:t xml:space="preserve">ANC </w:t>
      </w:r>
      <w:r w:rsidRPr="006005EE">
        <w:rPr>
          <w:rStyle w:val="Strong"/>
          <w:rFonts w:ascii="Arial" w:hAnsi="Arial" w:cs="Arial"/>
          <w:b w:val="0"/>
          <w:highlight w:val="yellow"/>
        </w:rPr>
        <w:t>referral tracking, follow-up visits, and he</w:t>
      </w:r>
      <w:r w:rsidR="006005EE" w:rsidRPr="006005EE">
        <w:rPr>
          <w:rStyle w:val="Strong"/>
          <w:rFonts w:ascii="Arial" w:hAnsi="Arial" w:cs="Arial"/>
          <w:b w:val="0"/>
          <w:highlight w:val="yellow"/>
        </w:rPr>
        <w:t xml:space="preserve">alth education. Utilization was </w:t>
      </w:r>
      <w:r w:rsidRPr="006005EE">
        <w:rPr>
          <w:rStyle w:val="Strong"/>
          <w:rFonts w:ascii="Arial" w:hAnsi="Arial" w:cs="Arial"/>
          <w:b w:val="0"/>
          <w:highlight w:val="yellow"/>
        </w:rPr>
        <w:t>measured through the completeness of records and the frequency of engagement during ANC, delivery, and postnatal periods.</w:t>
      </w:r>
      <w:r w:rsidRPr="006005EE">
        <w:rPr>
          <w:rFonts w:ascii="Arial" w:hAnsi="Arial" w:cs="Arial"/>
          <w:b/>
          <w:highlight w:val="yellow"/>
        </w:rPr>
        <w:t xml:space="preserve"> </w:t>
      </w:r>
      <w:r w:rsidRPr="006005EE">
        <w:rPr>
          <w:rFonts w:ascii="Arial" w:hAnsi="Arial" w:cs="Arial"/>
          <w:highlight w:val="yellow"/>
        </w:rPr>
        <w:t>This operationalization allowed assessment of both the functionality of eCHIS and its contribution to maternal health service uptake.</w:t>
      </w:r>
    </w:p>
    <w:p w14:paraId="7F7F3DF0" w14:textId="44F985E7" w:rsidR="00E5432C" w:rsidRPr="00BF0648" w:rsidRDefault="00D337F3" w:rsidP="00924571">
      <w:pPr>
        <w:spacing w:line="360" w:lineRule="auto"/>
        <w:jc w:val="both"/>
        <w:rPr>
          <w:rFonts w:ascii="Arial" w:eastAsia="Times New Roman" w:hAnsi="Arial" w:cs="Arial"/>
          <w:b/>
          <w:bCs/>
        </w:rPr>
      </w:pPr>
      <w:r w:rsidRPr="00BF0648">
        <w:rPr>
          <w:rFonts w:ascii="Arial" w:eastAsia="Times New Roman" w:hAnsi="Arial" w:cs="Arial"/>
          <w:b/>
          <w:bCs/>
        </w:rPr>
        <w:t xml:space="preserve">2.7 </w:t>
      </w:r>
      <w:r w:rsidR="00E5432C" w:rsidRPr="00BF0648">
        <w:rPr>
          <w:rFonts w:ascii="Arial" w:eastAsia="Times New Roman" w:hAnsi="Arial" w:cs="Arial"/>
          <w:b/>
          <w:bCs/>
        </w:rPr>
        <w:t>Validity and Reliability</w:t>
      </w:r>
    </w:p>
    <w:p w14:paraId="0033DA4F" w14:textId="23969058" w:rsidR="00E5432C" w:rsidRPr="00BF0648" w:rsidRDefault="00E5432C" w:rsidP="00924571">
      <w:pPr>
        <w:spacing w:line="360" w:lineRule="auto"/>
        <w:jc w:val="both"/>
        <w:rPr>
          <w:rFonts w:ascii="Arial" w:eastAsia="Times New Roman" w:hAnsi="Arial" w:cs="Arial"/>
          <w:color w:val="252525"/>
        </w:rPr>
      </w:pPr>
      <w:r w:rsidRPr="00BF0648">
        <w:rPr>
          <w:rFonts w:ascii="Arial" w:eastAsia="Calibri" w:hAnsi="Arial" w:cs="Arial"/>
        </w:rPr>
        <w:t>Validity and reliability were ensured through a series of well-structured procedures. To establish validity, a pilot study involving 10% of the target population (n=40) was conducted in Nyando Sub-County—a site with similar characteristics to the study area and where eCHIS was implemented concurrently with Muhoroni Sub-County. This site was not part of the main study. Feedback from this pre-test was used to refine and improve the instrument. Additionally, the questionnaire was reviewed and validated by the</w:t>
      </w:r>
      <w:r w:rsidRPr="00BF0648">
        <w:rPr>
          <w:rFonts w:ascii="Arial" w:eastAsia="Calibri" w:hAnsi="Arial" w:cs="Arial"/>
          <w:b/>
        </w:rPr>
        <w:t xml:space="preserve"> </w:t>
      </w:r>
      <w:r w:rsidRPr="00BF0648">
        <w:rPr>
          <w:rFonts w:ascii="Arial" w:eastAsia="Calibri" w:hAnsi="Arial" w:cs="Arial"/>
          <w:bCs/>
        </w:rPr>
        <w:t>university supervisor</w:t>
      </w:r>
      <w:r w:rsidRPr="00BF0648">
        <w:rPr>
          <w:rFonts w:ascii="Arial" w:eastAsia="Calibri" w:hAnsi="Arial" w:cs="Arial"/>
        </w:rPr>
        <w:t xml:space="preserve"> to ensure it accurately captured the study's objectives and content. For </w:t>
      </w:r>
      <w:r w:rsidRPr="00BF0648">
        <w:rPr>
          <w:rFonts w:ascii="Arial" w:eastAsia="Calibri" w:hAnsi="Arial" w:cs="Arial"/>
          <w:bCs/>
        </w:rPr>
        <w:t>reliability</w:t>
      </w:r>
      <w:r w:rsidRPr="00BF0648">
        <w:rPr>
          <w:rFonts w:ascii="Arial" w:eastAsia="Calibri" w:hAnsi="Arial" w:cs="Arial"/>
        </w:rPr>
        <w:t xml:space="preserve">, the instrument’s internal consistency was tested using Cronbach’s Alpha, yielding a reliability coefficient (α= 0.89), which indicated good/acceptable internal consistency and suitability for the main study. The data collection tool was carefully designed to maintain consistency and </w:t>
      </w:r>
      <w:r w:rsidRPr="00BF0648">
        <w:rPr>
          <w:rFonts w:ascii="Arial" w:eastAsia="Calibri" w:hAnsi="Arial" w:cs="Arial"/>
          <w:bCs/>
        </w:rPr>
        <w:t>research assistants were trained</w:t>
      </w:r>
      <w:r w:rsidRPr="00BF0648">
        <w:rPr>
          <w:rFonts w:ascii="Arial" w:eastAsia="Calibri" w:hAnsi="Arial" w:cs="Arial"/>
        </w:rPr>
        <w:t xml:space="preserve"> on standardized procedures for administering the questionnaire. The lead investigator supervised the entire data collection process to minimize errors and ensure consistent application of the methods across all respondents.</w:t>
      </w:r>
    </w:p>
    <w:p w14:paraId="4CA80349" w14:textId="6B6C797D" w:rsidR="00E5432C" w:rsidRPr="00BF0648" w:rsidRDefault="00D337F3" w:rsidP="00924571">
      <w:pPr>
        <w:spacing w:line="360" w:lineRule="auto"/>
        <w:jc w:val="both"/>
        <w:rPr>
          <w:rFonts w:ascii="Arial" w:eastAsia="Times New Roman" w:hAnsi="Arial" w:cs="Arial"/>
          <w:b/>
          <w:bCs/>
        </w:rPr>
      </w:pPr>
      <w:r w:rsidRPr="00BF0648">
        <w:rPr>
          <w:rFonts w:ascii="Arial" w:eastAsia="Times New Roman" w:hAnsi="Arial" w:cs="Arial"/>
          <w:b/>
          <w:bCs/>
        </w:rPr>
        <w:t xml:space="preserve">2.8 </w:t>
      </w:r>
      <w:r w:rsidR="00E5432C" w:rsidRPr="00BF0648">
        <w:rPr>
          <w:rFonts w:ascii="Arial" w:eastAsia="Times New Roman" w:hAnsi="Arial" w:cs="Arial"/>
          <w:b/>
          <w:bCs/>
        </w:rPr>
        <w:t>Inclusion and Exclusion Criteria</w:t>
      </w:r>
    </w:p>
    <w:p w14:paraId="6492D931" w14:textId="1A07ABB0" w:rsidR="00E5432C" w:rsidRPr="00BF0648" w:rsidRDefault="00E5432C" w:rsidP="00924571">
      <w:pPr>
        <w:spacing w:line="360" w:lineRule="auto"/>
        <w:jc w:val="both"/>
        <w:rPr>
          <w:rFonts w:ascii="Arial" w:eastAsia="Times New Roman" w:hAnsi="Arial" w:cs="Arial"/>
          <w:color w:val="252525"/>
        </w:rPr>
      </w:pPr>
      <w:r w:rsidRPr="00BF0648">
        <w:rPr>
          <w:rFonts w:ascii="Arial" w:eastAsia="Calibri" w:hAnsi="Arial" w:cs="Arial"/>
        </w:rPr>
        <w:lastRenderedPageBreak/>
        <w:t>Inclusion criteria required that participants had lived in the study area during the eCHIS implementation period (2022–2023), a period in which eCHIS pilot took place, had children under six months, and provided informed consent. Exclusion criteria applied to mothers who were mentally or critically ill, did not consent to participate, or whose pregnancies had not been registered through the eCHIS program.</w:t>
      </w:r>
    </w:p>
    <w:p w14:paraId="70A30630" w14:textId="056C459F" w:rsidR="00E5432C" w:rsidRPr="00BF0648" w:rsidRDefault="00D337F3" w:rsidP="00924571">
      <w:pPr>
        <w:spacing w:line="360" w:lineRule="auto"/>
        <w:jc w:val="both"/>
        <w:rPr>
          <w:rFonts w:ascii="Arial" w:eastAsia="Times New Roman" w:hAnsi="Arial" w:cs="Arial"/>
          <w:b/>
          <w:bCs/>
        </w:rPr>
      </w:pPr>
      <w:r w:rsidRPr="00BF0648">
        <w:rPr>
          <w:rFonts w:ascii="Arial" w:eastAsia="Times New Roman" w:hAnsi="Arial" w:cs="Arial"/>
          <w:b/>
          <w:bCs/>
        </w:rPr>
        <w:t xml:space="preserve">2.9 </w:t>
      </w:r>
      <w:r w:rsidR="00E5432C" w:rsidRPr="00BF0648">
        <w:rPr>
          <w:rFonts w:ascii="Arial" w:eastAsia="Times New Roman" w:hAnsi="Arial" w:cs="Arial"/>
          <w:b/>
          <w:bCs/>
        </w:rPr>
        <w:t>Data Analysis</w:t>
      </w:r>
    </w:p>
    <w:p w14:paraId="39315407" w14:textId="77777777" w:rsidR="00E5432C" w:rsidRPr="00BF0648" w:rsidRDefault="00E5432C" w:rsidP="00924571">
      <w:pPr>
        <w:spacing w:line="360" w:lineRule="auto"/>
        <w:jc w:val="both"/>
        <w:rPr>
          <w:rFonts w:ascii="Arial" w:eastAsia="Times New Roman" w:hAnsi="Arial" w:cs="Arial"/>
          <w:color w:val="252525"/>
        </w:rPr>
      </w:pPr>
      <w:r w:rsidRPr="00BF0648">
        <w:rPr>
          <w:rFonts w:ascii="Arial" w:eastAsia="Calibri" w:hAnsi="Arial" w:cs="Arial"/>
        </w:rPr>
        <w:t xml:space="preserve">Data analysis in the study involved both data entry and statistical evaluation using </w:t>
      </w:r>
      <w:r w:rsidRPr="00BF0648">
        <w:rPr>
          <w:rFonts w:ascii="Arial" w:eastAsia="Calibri" w:hAnsi="Arial" w:cs="Arial"/>
          <w:bCs/>
        </w:rPr>
        <w:t>Microsoft Excel</w:t>
      </w:r>
      <w:r w:rsidRPr="00BF0648">
        <w:rPr>
          <w:rFonts w:ascii="Arial" w:eastAsia="Calibri" w:hAnsi="Arial" w:cs="Arial"/>
          <w:b/>
        </w:rPr>
        <w:t xml:space="preserve"> </w:t>
      </w:r>
      <w:r w:rsidRPr="00BF0648">
        <w:rPr>
          <w:rFonts w:ascii="Arial" w:eastAsia="Calibri" w:hAnsi="Arial" w:cs="Arial"/>
        </w:rPr>
        <w:t>and</w:t>
      </w:r>
      <w:r w:rsidRPr="00BF0648">
        <w:rPr>
          <w:rFonts w:ascii="Arial" w:eastAsia="Calibri" w:hAnsi="Arial" w:cs="Arial"/>
          <w:b/>
        </w:rPr>
        <w:t xml:space="preserve"> </w:t>
      </w:r>
      <w:r w:rsidRPr="00BF0648">
        <w:rPr>
          <w:rFonts w:ascii="Arial" w:eastAsia="Calibri" w:hAnsi="Arial" w:cs="Arial"/>
          <w:bCs/>
        </w:rPr>
        <w:t>SPSS version 25</w:t>
      </w:r>
      <w:r w:rsidRPr="00BF0648">
        <w:rPr>
          <w:rFonts w:ascii="Arial" w:eastAsia="Calibri" w:hAnsi="Arial" w:cs="Arial"/>
          <w:b/>
        </w:rPr>
        <w:t>.</w:t>
      </w:r>
      <w:r w:rsidRPr="00BF0648">
        <w:rPr>
          <w:rFonts w:ascii="Arial" w:eastAsia="Calibri" w:hAnsi="Arial" w:cs="Arial"/>
        </w:rPr>
        <w:t xml:space="preserve"> After cleaning and verifying the quantitative data collected through structured questionnaires, descriptive statistics such as frequencies, means, and standard deviations were used to summarize respondent characteristics and key variables. Relationships between independent variables (socio-demographic and health system factors) and the dependent variable (adoption of maternal health services) were tested using </w:t>
      </w:r>
      <w:r w:rsidRPr="00BF0648">
        <w:rPr>
          <w:rFonts w:ascii="Arial" w:eastAsia="Calibri" w:hAnsi="Arial" w:cs="Arial"/>
          <w:bCs/>
        </w:rPr>
        <w:t>linear regression analysis</w:t>
      </w:r>
      <w:r w:rsidRPr="00BF0648">
        <w:rPr>
          <w:rFonts w:ascii="Arial" w:eastAsia="Calibri" w:hAnsi="Arial" w:cs="Arial"/>
        </w:rPr>
        <w:t xml:space="preserve"> to determine the strength and significance of associations. Results were presented in the form of </w:t>
      </w:r>
      <w:r w:rsidRPr="00BF0648">
        <w:rPr>
          <w:rFonts w:ascii="Arial" w:eastAsia="Calibri" w:hAnsi="Arial" w:cs="Arial"/>
          <w:bCs/>
        </w:rPr>
        <w:t>tables, charts, and graphs</w:t>
      </w:r>
      <w:r w:rsidRPr="00BF0648">
        <w:rPr>
          <w:rFonts w:ascii="Arial" w:eastAsia="Calibri" w:hAnsi="Arial" w:cs="Arial"/>
        </w:rPr>
        <w:t xml:space="preserve"> to facilitate interpretation and support conclusions.</w:t>
      </w:r>
    </w:p>
    <w:p w14:paraId="34715C4C" w14:textId="522AD57C" w:rsidR="00E5432C" w:rsidRPr="00BF0648" w:rsidRDefault="00D337F3" w:rsidP="00924571">
      <w:pPr>
        <w:spacing w:line="360" w:lineRule="auto"/>
        <w:jc w:val="both"/>
        <w:rPr>
          <w:rFonts w:ascii="Arial" w:eastAsia="Times New Roman" w:hAnsi="Arial" w:cs="Arial"/>
          <w:b/>
          <w:bCs/>
        </w:rPr>
      </w:pPr>
      <w:r w:rsidRPr="00BF0648">
        <w:rPr>
          <w:rFonts w:ascii="Arial" w:eastAsia="Times New Roman" w:hAnsi="Arial" w:cs="Arial"/>
          <w:b/>
          <w:bCs/>
        </w:rPr>
        <w:t xml:space="preserve">2.10 </w:t>
      </w:r>
      <w:r w:rsidR="00E5432C" w:rsidRPr="00BF0648">
        <w:rPr>
          <w:rFonts w:ascii="Arial" w:eastAsia="Times New Roman" w:hAnsi="Arial" w:cs="Arial"/>
          <w:b/>
          <w:bCs/>
        </w:rPr>
        <w:t>Ethical Consideration</w:t>
      </w:r>
    </w:p>
    <w:p w14:paraId="7BEE9B95" w14:textId="77777777" w:rsidR="00E5432C" w:rsidRPr="00BF0648" w:rsidRDefault="00E5432C" w:rsidP="00924571">
      <w:pPr>
        <w:spacing w:line="360" w:lineRule="auto"/>
        <w:jc w:val="both"/>
        <w:rPr>
          <w:rFonts w:ascii="Arial" w:eastAsia="Calibri" w:hAnsi="Arial" w:cs="Arial"/>
        </w:rPr>
      </w:pPr>
      <w:r w:rsidRPr="00BF0648">
        <w:rPr>
          <w:rFonts w:ascii="Arial" w:eastAsia="Calibri" w:hAnsi="Arial" w:cs="Arial"/>
        </w:rPr>
        <w:t xml:space="preserve">The study received ethical approval from the </w:t>
      </w:r>
      <w:r w:rsidRPr="00BF0648">
        <w:rPr>
          <w:rFonts w:ascii="Arial" w:eastAsia="Calibri" w:hAnsi="Arial" w:cs="Arial"/>
          <w:bCs/>
        </w:rPr>
        <w:t>Mount Kenya University Ethical Review Committee</w:t>
      </w:r>
      <w:r w:rsidRPr="00BF0648">
        <w:rPr>
          <w:rFonts w:ascii="Arial" w:eastAsia="Calibri" w:hAnsi="Arial" w:cs="Arial"/>
          <w:b/>
        </w:rPr>
        <w:t xml:space="preserve"> </w:t>
      </w:r>
      <w:r w:rsidRPr="00BF0648">
        <w:rPr>
          <w:rFonts w:ascii="Arial" w:eastAsia="Calibri" w:hAnsi="Arial" w:cs="Arial"/>
        </w:rPr>
        <w:t>under</w:t>
      </w:r>
      <w:r w:rsidRPr="00BF0648">
        <w:rPr>
          <w:rFonts w:ascii="Arial" w:eastAsia="Calibri" w:hAnsi="Arial" w:cs="Arial"/>
          <w:b/>
        </w:rPr>
        <w:t xml:space="preserve"> </w:t>
      </w:r>
      <w:r w:rsidRPr="00BF0648">
        <w:rPr>
          <w:rFonts w:ascii="Arial" w:eastAsia="Calibri" w:hAnsi="Arial" w:cs="Arial"/>
          <w:bCs/>
        </w:rPr>
        <w:t>protocol number MKU/ERC/2419</w:t>
      </w:r>
      <w:r w:rsidRPr="00BF0648">
        <w:rPr>
          <w:rFonts w:ascii="Arial" w:eastAsia="Calibri" w:hAnsi="Arial" w:cs="Arial"/>
          <w:b/>
        </w:rPr>
        <w:t>.</w:t>
      </w:r>
      <w:r w:rsidRPr="00BF0648">
        <w:rPr>
          <w:rFonts w:ascii="Arial" w:eastAsia="Calibri" w:hAnsi="Arial" w:cs="Arial"/>
        </w:rPr>
        <w:t xml:space="preserve"> To ensure confidentiality, all participants' personal information was anonymized and securely stored</w:t>
      </w:r>
      <w:r w:rsidRPr="00BF0648">
        <w:rPr>
          <w:rFonts w:ascii="Arial" w:eastAsia="Calibri" w:hAnsi="Arial" w:cs="Arial"/>
          <w:i/>
          <w:iCs/>
          <w:color w:val="FF0000"/>
        </w:rPr>
        <w:t>.</w:t>
      </w:r>
      <w:r w:rsidRPr="00BF0648">
        <w:rPr>
          <w:rFonts w:ascii="Arial" w:eastAsia="Calibri" w:hAnsi="Arial" w:cs="Arial"/>
        </w:rPr>
        <w:t xml:space="preserve"> During data collection, respondents were assigned unique identification codes instead of using names or identifiable details. The electronic questionnaires were password-protected, and access to data was limited to the principal investigator and authorized research assistants. Participants were also informed of their rights, including voluntary participation and the freedom to withdraw at any time without penalty, ensuring adherence to ethical standards throughout the research process.</w:t>
      </w:r>
    </w:p>
    <w:p w14:paraId="1B40B065" w14:textId="3017D975" w:rsidR="003F403A" w:rsidRPr="00BF0648" w:rsidRDefault="00D337F3" w:rsidP="00924571">
      <w:pPr>
        <w:pStyle w:val="NoSpacing"/>
        <w:spacing w:after="240" w:line="360" w:lineRule="auto"/>
        <w:jc w:val="both"/>
        <w:rPr>
          <w:rFonts w:ascii="Arial" w:hAnsi="Arial" w:cs="Arial"/>
          <w:b/>
        </w:rPr>
      </w:pPr>
      <w:r w:rsidRPr="00BF0648">
        <w:rPr>
          <w:rFonts w:ascii="Arial" w:hAnsi="Arial" w:cs="Arial"/>
          <w:b/>
        </w:rPr>
        <w:t>3.0 RESULTS</w:t>
      </w:r>
    </w:p>
    <w:p w14:paraId="753D2D30" w14:textId="77777777" w:rsidR="00D337F3" w:rsidRPr="00BF0648" w:rsidRDefault="00D337F3" w:rsidP="00924571">
      <w:pPr>
        <w:spacing w:after="240" w:line="360" w:lineRule="auto"/>
        <w:jc w:val="both"/>
        <w:rPr>
          <w:rFonts w:ascii="Arial" w:hAnsi="Arial" w:cs="Arial"/>
          <w:b/>
        </w:rPr>
      </w:pPr>
      <w:r w:rsidRPr="00BF0648">
        <w:rPr>
          <w:rFonts w:ascii="Arial" w:hAnsi="Arial" w:cs="Arial"/>
          <w:b/>
          <w:iCs/>
          <w:lang w:val="en-GB"/>
        </w:rPr>
        <w:t>3.1 Response Rate</w:t>
      </w:r>
    </w:p>
    <w:p w14:paraId="654BDAE7" w14:textId="3798AEA4" w:rsidR="00D337F3" w:rsidRPr="00BF0648" w:rsidRDefault="00D337F3" w:rsidP="00924571">
      <w:pPr>
        <w:spacing w:after="240" w:line="360" w:lineRule="auto"/>
        <w:jc w:val="both"/>
        <w:rPr>
          <w:rFonts w:ascii="Arial" w:hAnsi="Arial" w:cs="Arial"/>
          <w:b/>
        </w:rPr>
      </w:pPr>
      <w:r w:rsidRPr="00BF0648">
        <w:rPr>
          <w:rFonts w:ascii="Arial" w:hAnsi="Arial" w:cs="Arial"/>
        </w:rPr>
        <w:t xml:space="preserve">Out of a total sample size of 398, there were 392 responses, resulting in a response rate of 98.4%. </w:t>
      </w:r>
    </w:p>
    <w:p w14:paraId="141286B0" w14:textId="36A3A647" w:rsidR="002B26EF" w:rsidRPr="00BF0648" w:rsidRDefault="002B26EF" w:rsidP="00924571">
      <w:pPr>
        <w:spacing w:before="100" w:beforeAutospacing="1" w:after="100" w:afterAutospacing="1" w:line="360" w:lineRule="auto"/>
        <w:jc w:val="both"/>
        <w:rPr>
          <w:rFonts w:ascii="Arial" w:eastAsia="Times New Roman" w:hAnsi="Arial" w:cs="Arial"/>
          <w:b/>
          <w:bCs/>
        </w:rPr>
      </w:pPr>
      <w:r w:rsidRPr="00BF0648">
        <w:rPr>
          <w:rFonts w:ascii="Arial" w:eastAsia="Times New Roman" w:hAnsi="Arial" w:cs="Arial"/>
          <w:b/>
          <w:bCs/>
        </w:rPr>
        <w:t xml:space="preserve">3.2 </w:t>
      </w:r>
      <w:r w:rsidR="003F403A" w:rsidRPr="00BF0648">
        <w:rPr>
          <w:rFonts w:ascii="Arial" w:eastAsia="Times New Roman" w:hAnsi="Arial" w:cs="Arial"/>
          <w:b/>
          <w:bCs/>
        </w:rPr>
        <w:t>Socio-demographic characteristics</w:t>
      </w:r>
      <w:r w:rsidRPr="00BF0648">
        <w:rPr>
          <w:rFonts w:ascii="Arial" w:eastAsia="Times New Roman" w:hAnsi="Arial" w:cs="Arial"/>
          <w:b/>
          <w:bCs/>
        </w:rPr>
        <w:t xml:space="preserve"> of study respondents</w:t>
      </w:r>
    </w:p>
    <w:p w14:paraId="70E2C9DB" w14:textId="0D0C294D" w:rsidR="00924571" w:rsidRPr="000A5114" w:rsidRDefault="00D55C7F" w:rsidP="000A5114">
      <w:pPr>
        <w:spacing w:line="360" w:lineRule="auto"/>
        <w:jc w:val="both"/>
        <w:rPr>
          <w:rFonts w:ascii="Arial" w:eastAsia="Times New Roman" w:hAnsi="Arial" w:cs="Arial"/>
        </w:rPr>
      </w:pPr>
      <w:r w:rsidRPr="00BF0648">
        <w:rPr>
          <w:rFonts w:ascii="Arial" w:eastAsia="Times New Roman" w:hAnsi="Arial" w:cs="Arial"/>
        </w:rPr>
        <w:lastRenderedPageBreak/>
        <w:t>The 392 respondents' age distribution data was varied across different categories. Consequently, the 20-24 age group made up the majority of the study's responders while above 45 were the least (Table 1).</w:t>
      </w:r>
    </w:p>
    <w:p w14:paraId="6C0073BD" w14:textId="4986C8C7" w:rsidR="002B26EF" w:rsidRPr="00BF0648" w:rsidRDefault="002B26EF" w:rsidP="000A5114">
      <w:pPr>
        <w:spacing w:line="360" w:lineRule="auto"/>
        <w:jc w:val="both"/>
        <w:rPr>
          <w:rFonts w:ascii="Arial" w:eastAsia="Calibri" w:hAnsi="Arial" w:cs="Arial"/>
          <w:b/>
          <w:lang w:val="en-GB"/>
        </w:rPr>
      </w:pPr>
      <w:r w:rsidRPr="00BF0648">
        <w:rPr>
          <w:rFonts w:ascii="Arial" w:eastAsia="Calibri" w:hAnsi="Arial" w:cs="Arial"/>
          <w:b/>
        </w:rPr>
        <w:t xml:space="preserve">Table </w:t>
      </w:r>
      <w:r w:rsidR="00D55C7F" w:rsidRPr="00BF0648">
        <w:rPr>
          <w:rFonts w:ascii="Arial" w:eastAsia="Calibri" w:hAnsi="Arial" w:cs="Arial"/>
          <w:b/>
        </w:rPr>
        <w:t>1</w:t>
      </w:r>
      <w:r w:rsidRPr="00BF0648">
        <w:rPr>
          <w:rFonts w:ascii="Arial" w:eastAsia="Calibri" w:hAnsi="Arial" w:cs="Arial"/>
          <w:b/>
        </w:rPr>
        <w:t xml:space="preserve">. </w:t>
      </w:r>
      <w:r w:rsidRPr="00BF0648">
        <w:rPr>
          <w:rFonts w:ascii="Arial" w:eastAsia="Calibri" w:hAnsi="Arial" w:cs="Arial"/>
          <w:b/>
          <w:lang w:val="en-GB"/>
        </w:rPr>
        <w:t>Age Distribution</w:t>
      </w:r>
    </w:p>
    <w:tbl>
      <w:tblPr>
        <w:tblpPr w:leftFromText="180" w:rightFromText="180" w:vertAnchor="text" w:horzAnchor="margin" w:tblpXSpec="center" w:tblpY="329"/>
        <w:tblW w:w="8825" w:type="dxa"/>
        <w:tblLayout w:type="fixed"/>
        <w:tblCellMar>
          <w:left w:w="0" w:type="dxa"/>
          <w:right w:w="0" w:type="dxa"/>
        </w:tblCellMar>
        <w:tblLook w:val="0000" w:firstRow="0" w:lastRow="0" w:firstColumn="0" w:lastColumn="0" w:noHBand="0" w:noVBand="0"/>
      </w:tblPr>
      <w:tblGrid>
        <w:gridCol w:w="3692"/>
        <w:gridCol w:w="2063"/>
        <w:gridCol w:w="3070"/>
      </w:tblGrid>
      <w:tr w:rsidR="002B26EF" w:rsidRPr="00BF0648" w14:paraId="14D768BA" w14:textId="77777777" w:rsidTr="00C16338">
        <w:trPr>
          <w:cantSplit/>
          <w:trHeight w:val="344"/>
        </w:trPr>
        <w:tc>
          <w:tcPr>
            <w:tcW w:w="3692" w:type="dxa"/>
            <w:tcBorders>
              <w:top w:val="single" w:sz="8" w:space="0" w:color="152935"/>
              <w:left w:val="single" w:sz="4" w:space="0" w:color="auto"/>
              <w:bottom w:val="single" w:sz="8" w:space="0" w:color="AEAEAE"/>
              <w:right w:val="single" w:sz="4" w:space="0" w:color="auto"/>
            </w:tcBorders>
          </w:tcPr>
          <w:p w14:paraId="6865179D" w14:textId="77777777" w:rsidR="002B26EF" w:rsidRPr="00BF0648" w:rsidRDefault="002B26EF" w:rsidP="00924571">
            <w:pPr>
              <w:spacing w:line="360" w:lineRule="auto"/>
              <w:jc w:val="both"/>
              <w:rPr>
                <w:rFonts w:ascii="Arial" w:eastAsia="Calibri" w:hAnsi="Arial" w:cs="Arial"/>
                <w:b/>
                <w:bCs/>
                <w:lang w:val="en-GB"/>
              </w:rPr>
            </w:pPr>
            <w:r w:rsidRPr="00BF0648">
              <w:rPr>
                <w:rFonts w:ascii="Arial" w:eastAsia="Calibri" w:hAnsi="Arial" w:cs="Arial"/>
                <w:b/>
                <w:bCs/>
                <w:lang w:val="en-GB"/>
              </w:rPr>
              <w:t>Age</w:t>
            </w:r>
          </w:p>
        </w:tc>
        <w:tc>
          <w:tcPr>
            <w:tcW w:w="2063" w:type="dxa"/>
            <w:tcBorders>
              <w:top w:val="single" w:sz="8" w:space="0" w:color="152935"/>
              <w:left w:val="single" w:sz="4" w:space="0" w:color="auto"/>
              <w:bottom w:val="single" w:sz="8" w:space="0" w:color="AEAEAE"/>
              <w:right w:val="single" w:sz="4" w:space="0" w:color="auto"/>
            </w:tcBorders>
          </w:tcPr>
          <w:p w14:paraId="0947C8EA" w14:textId="77777777" w:rsidR="002B26EF" w:rsidRPr="00BF0648" w:rsidRDefault="002B26EF" w:rsidP="00924571">
            <w:pPr>
              <w:spacing w:line="360" w:lineRule="auto"/>
              <w:jc w:val="both"/>
              <w:rPr>
                <w:rFonts w:ascii="Arial" w:eastAsia="Calibri" w:hAnsi="Arial" w:cs="Arial"/>
                <w:b/>
                <w:bCs/>
                <w:lang w:val="en-GB"/>
              </w:rPr>
            </w:pPr>
            <w:r w:rsidRPr="00BF0648">
              <w:rPr>
                <w:rFonts w:ascii="Arial" w:eastAsia="Calibri" w:hAnsi="Arial" w:cs="Arial"/>
                <w:b/>
                <w:bCs/>
                <w:lang w:val="en-GB"/>
              </w:rPr>
              <w:t>Frequency</w:t>
            </w:r>
          </w:p>
        </w:tc>
        <w:tc>
          <w:tcPr>
            <w:tcW w:w="3070" w:type="dxa"/>
            <w:tcBorders>
              <w:top w:val="single" w:sz="8" w:space="0" w:color="152935"/>
              <w:left w:val="single" w:sz="4" w:space="0" w:color="auto"/>
              <w:bottom w:val="single" w:sz="8" w:space="0" w:color="AEAEAE"/>
              <w:right w:val="single" w:sz="4" w:space="0" w:color="auto"/>
            </w:tcBorders>
          </w:tcPr>
          <w:p w14:paraId="21F37B8C" w14:textId="77777777" w:rsidR="002B26EF" w:rsidRPr="00BF0648" w:rsidRDefault="002B26EF" w:rsidP="00924571">
            <w:pPr>
              <w:spacing w:line="360" w:lineRule="auto"/>
              <w:jc w:val="both"/>
              <w:rPr>
                <w:rFonts w:ascii="Arial" w:eastAsia="Calibri" w:hAnsi="Arial" w:cs="Arial"/>
                <w:b/>
                <w:bCs/>
                <w:lang w:val="en-GB"/>
              </w:rPr>
            </w:pPr>
            <w:r w:rsidRPr="00BF0648">
              <w:rPr>
                <w:rFonts w:ascii="Arial" w:eastAsia="Calibri" w:hAnsi="Arial" w:cs="Arial"/>
                <w:b/>
                <w:bCs/>
                <w:lang w:val="en-GB"/>
              </w:rPr>
              <w:t>Percentage (%)</w:t>
            </w:r>
          </w:p>
        </w:tc>
      </w:tr>
      <w:tr w:rsidR="002B26EF" w:rsidRPr="00BF0648" w14:paraId="1FF4FC00" w14:textId="77777777" w:rsidTr="00C16338">
        <w:trPr>
          <w:cantSplit/>
          <w:trHeight w:val="344"/>
        </w:trPr>
        <w:tc>
          <w:tcPr>
            <w:tcW w:w="3692" w:type="dxa"/>
            <w:tcBorders>
              <w:top w:val="single" w:sz="8" w:space="0" w:color="152935"/>
              <w:left w:val="single" w:sz="4" w:space="0" w:color="auto"/>
              <w:bottom w:val="single" w:sz="8" w:space="0" w:color="AEAEAE"/>
              <w:right w:val="single" w:sz="4" w:space="0" w:color="auto"/>
            </w:tcBorders>
          </w:tcPr>
          <w:p w14:paraId="26D96A42"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15-19</w:t>
            </w:r>
          </w:p>
        </w:tc>
        <w:tc>
          <w:tcPr>
            <w:tcW w:w="2063" w:type="dxa"/>
            <w:tcBorders>
              <w:top w:val="single" w:sz="8" w:space="0" w:color="152935"/>
              <w:left w:val="single" w:sz="4" w:space="0" w:color="auto"/>
              <w:bottom w:val="single" w:sz="8" w:space="0" w:color="AEAEAE"/>
              <w:right w:val="single" w:sz="4" w:space="0" w:color="auto"/>
            </w:tcBorders>
          </w:tcPr>
          <w:p w14:paraId="7DCE32C6"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50</w:t>
            </w:r>
          </w:p>
        </w:tc>
        <w:tc>
          <w:tcPr>
            <w:tcW w:w="3070" w:type="dxa"/>
            <w:tcBorders>
              <w:top w:val="single" w:sz="8" w:space="0" w:color="152935"/>
              <w:left w:val="single" w:sz="4" w:space="0" w:color="auto"/>
              <w:bottom w:val="single" w:sz="8" w:space="0" w:color="AEAEAE"/>
              <w:right w:val="single" w:sz="4" w:space="0" w:color="auto"/>
            </w:tcBorders>
          </w:tcPr>
          <w:p w14:paraId="6A7EDD19"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12.8</w:t>
            </w:r>
          </w:p>
        </w:tc>
      </w:tr>
      <w:tr w:rsidR="002B26EF" w:rsidRPr="00BF0648" w14:paraId="144B78C8"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14743F67"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20-24</w:t>
            </w:r>
          </w:p>
        </w:tc>
        <w:tc>
          <w:tcPr>
            <w:tcW w:w="2063" w:type="dxa"/>
            <w:tcBorders>
              <w:top w:val="single" w:sz="8" w:space="0" w:color="AEAEAE"/>
              <w:left w:val="single" w:sz="4" w:space="0" w:color="auto"/>
              <w:bottom w:val="single" w:sz="8" w:space="0" w:color="AEAEAE"/>
              <w:right w:val="single" w:sz="4" w:space="0" w:color="auto"/>
            </w:tcBorders>
          </w:tcPr>
          <w:p w14:paraId="4AB11D1F"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109</w:t>
            </w:r>
          </w:p>
        </w:tc>
        <w:tc>
          <w:tcPr>
            <w:tcW w:w="3070" w:type="dxa"/>
            <w:tcBorders>
              <w:top w:val="single" w:sz="8" w:space="0" w:color="AEAEAE"/>
              <w:left w:val="single" w:sz="4" w:space="0" w:color="auto"/>
              <w:bottom w:val="single" w:sz="8" w:space="0" w:color="AEAEAE"/>
              <w:right w:val="single" w:sz="4" w:space="0" w:color="auto"/>
            </w:tcBorders>
          </w:tcPr>
          <w:p w14:paraId="07B70BC7"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27.8</w:t>
            </w:r>
          </w:p>
        </w:tc>
      </w:tr>
      <w:tr w:rsidR="002B26EF" w:rsidRPr="00BF0648" w14:paraId="63005B7E"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2E655FEF"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25-29</w:t>
            </w:r>
          </w:p>
        </w:tc>
        <w:tc>
          <w:tcPr>
            <w:tcW w:w="2063" w:type="dxa"/>
            <w:tcBorders>
              <w:top w:val="single" w:sz="8" w:space="0" w:color="AEAEAE"/>
              <w:left w:val="single" w:sz="4" w:space="0" w:color="auto"/>
              <w:bottom w:val="single" w:sz="8" w:space="0" w:color="AEAEAE"/>
              <w:right w:val="single" w:sz="4" w:space="0" w:color="auto"/>
            </w:tcBorders>
          </w:tcPr>
          <w:p w14:paraId="021E0E0C"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102</w:t>
            </w:r>
          </w:p>
        </w:tc>
        <w:tc>
          <w:tcPr>
            <w:tcW w:w="3070" w:type="dxa"/>
            <w:tcBorders>
              <w:top w:val="single" w:sz="8" w:space="0" w:color="AEAEAE"/>
              <w:left w:val="single" w:sz="4" w:space="0" w:color="auto"/>
              <w:bottom w:val="single" w:sz="8" w:space="0" w:color="AEAEAE"/>
              <w:right w:val="single" w:sz="4" w:space="0" w:color="auto"/>
            </w:tcBorders>
          </w:tcPr>
          <w:p w14:paraId="560D9B01"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26.0</w:t>
            </w:r>
          </w:p>
        </w:tc>
      </w:tr>
      <w:tr w:rsidR="002B26EF" w:rsidRPr="00BF0648" w14:paraId="27810AEB"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1FC2D15C"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30-34</w:t>
            </w:r>
          </w:p>
        </w:tc>
        <w:tc>
          <w:tcPr>
            <w:tcW w:w="2063" w:type="dxa"/>
            <w:tcBorders>
              <w:top w:val="single" w:sz="8" w:space="0" w:color="AEAEAE"/>
              <w:left w:val="single" w:sz="4" w:space="0" w:color="auto"/>
              <w:bottom w:val="single" w:sz="8" w:space="0" w:color="AEAEAE"/>
              <w:right w:val="single" w:sz="4" w:space="0" w:color="auto"/>
            </w:tcBorders>
          </w:tcPr>
          <w:p w14:paraId="0FE66F12"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76</w:t>
            </w:r>
          </w:p>
        </w:tc>
        <w:tc>
          <w:tcPr>
            <w:tcW w:w="3070" w:type="dxa"/>
            <w:tcBorders>
              <w:top w:val="single" w:sz="8" w:space="0" w:color="AEAEAE"/>
              <w:left w:val="single" w:sz="4" w:space="0" w:color="auto"/>
              <w:bottom w:val="single" w:sz="8" w:space="0" w:color="AEAEAE"/>
              <w:right w:val="single" w:sz="4" w:space="0" w:color="auto"/>
            </w:tcBorders>
          </w:tcPr>
          <w:p w14:paraId="163FC54E"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19.4</w:t>
            </w:r>
          </w:p>
        </w:tc>
      </w:tr>
      <w:tr w:rsidR="002B26EF" w:rsidRPr="00BF0648" w14:paraId="68740A5D"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1C8C9B16"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35-39</w:t>
            </w:r>
          </w:p>
        </w:tc>
        <w:tc>
          <w:tcPr>
            <w:tcW w:w="2063" w:type="dxa"/>
            <w:tcBorders>
              <w:top w:val="single" w:sz="8" w:space="0" w:color="AEAEAE"/>
              <w:left w:val="single" w:sz="4" w:space="0" w:color="auto"/>
              <w:bottom w:val="single" w:sz="8" w:space="0" w:color="AEAEAE"/>
              <w:right w:val="single" w:sz="4" w:space="0" w:color="auto"/>
            </w:tcBorders>
          </w:tcPr>
          <w:p w14:paraId="592659EE"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36</w:t>
            </w:r>
          </w:p>
        </w:tc>
        <w:tc>
          <w:tcPr>
            <w:tcW w:w="3070" w:type="dxa"/>
            <w:tcBorders>
              <w:top w:val="single" w:sz="8" w:space="0" w:color="AEAEAE"/>
              <w:left w:val="single" w:sz="4" w:space="0" w:color="auto"/>
              <w:bottom w:val="single" w:sz="8" w:space="0" w:color="AEAEAE"/>
              <w:right w:val="single" w:sz="4" w:space="0" w:color="auto"/>
            </w:tcBorders>
          </w:tcPr>
          <w:p w14:paraId="2F54EF7B"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9.2</w:t>
            </w:r>
          </w:p>
        </w:tc>
      </w:tr>
      <w:tr w:rsidR="002B26EF" w:rsidRPr="00BF0648" w14:paraId="74110998"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46BE72F8"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40-44</w:t>
            </w:r>
          </w:p>
        </w:tc>
        <w:tc>
          <w:tcPr>
            <w:tcW w:w="2063" w:type="dxa"/>
            <w:tcBorders>
              <w:top w:val="single" w:sz="8" w:space="0" w:color="AEAEAE"/>
              <w:left w:val="single" w:sz="4" w:space="0" w:color="auto"/>
              <w:bottom w:val="single" w:sz="8" w:space="0" w:color="AEAEAE"/>
              <w:right w:val="single" w:sz="4" w:space="0" w:color="auto"/>
            </w:tcBorders>
          </w:tcPr>
          <w:p w14:paraId="134D5E20"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18</w:t>
            </w:r>
          </w:p>
        </w:tc>
        <w:tc>
          <w:tcPr>
            <w:tcW w:w="3070" w:type="dxa"/>
            <w:tcBorders>
              <w:top w:val="single" w:sz="8" w:space="0" w:color="AEAEAE"/>
              <w:left w:val="single" w:sz="4" w:space="0" w:color="auto"/>
              <w:bottom w:val="single" w:sz="8" w:space="0" w:color="AEAEAE"/>
              <w:right w:val="single" w:sz="4" w:space="0" w:color="auto"/>
            </w:tcBorders>
          </w:tcPr>
          <w:p w14:paraId="1A20B6C9"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4.6</w:t>
            </w:r>
          </w:p>
        </w:tc>
      </w:tr>
      <w:tr w:rsidR="002B26EF" w:rsidRPr="00BF0648" w14:paraId="050BFDE4" w14:textId="77777777" w:rsidTr="00C16338">
        <w:trPr>
          <w:cantSplit/>
          <w:trHeight w:val="148"/>
        </w:trPr>
        <w:tc>
          <w:tcPr>
            <w:tcW w:w="3692" w:type="dxa"/>
            <w:tcBorders>
              <w:top w:val="single" w:sz="8" w:space="0" w:color="AEAEAE"/>
              <w:left w:val="single" w:sz="4" w:space="0" w:color="auto"/>
              <w:bottom w:val="single" w:sz="8" w:space="0" w:color="AEAEAE"/>
              <w:right w:val="single" w:sz="4" w:space="0" w:color="auto"/>
            </w:tcBorders>
          </w:tcPr>
          <w:p w14:paraId="4CA9FE7C"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Above 45</w:t>
            </w:r>
          </w:p>
        </w:tc>
        <w:tc>
          <w:tcPr>
            <w:tcW w:w="2063" w:type="dxa"/>
            <w:tcBorders>
              <w:top w:val="single" w:sz="8" w:space="0" w:color="AEAEAE"/>
              <w:left w:val="single" w:sz="4" w:space="0" w:color="auto"/>
              <w:bottom w:val="single" w:sz="8" w:space="0" w:color="AEAEAE"/>
              <w:right w:val="single" w:sz="4" w:space="0" w:color="auto"/>
            </w:tcBorders>
          </w:tcPr>
          <w:p w14:paraId="3094B509"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1</w:t>
            </w:r>
          </w:p>
        </w:tc>
        <w:tc>
          <w:tcPr>
            <w:tcW w:w="3070" w:type="dxa"/>
            <w:tcBorders>
              <w:top w:val="single" w:sz="8" w:space="0" w:color="AEAEAE"/>
              <w:left w:val="single" w:sz="4" w:space="0" w:color="auto"/>
              <w:bottom w:val="single" w:sz="8" w:space="0" w:color="AEAEAE"/>
              <w:right w:val="single" w:sz="4" w:space="0" w:color="auto"/>
            </w:tcBorders>
          </w:tcPr>
          <w:p w14:paraId="53F1F9E1" w14:textId="77777777" w:rsidR="002B26EF" w:rsidRPr="00BF0648" w:rsidRDefault="002B26EF" w:rsidP="00924571">
            <w:pPr>
              <w:spacing w:line="360" w:lineRule="auto"/>
              <w:jc w:val="both"/>
              <w:rPr>
                <w:rFonts w:ascii="Arial" w:eastAsia="Calibri" w:hAnsi="Arial" w:cs="Arial"/>
                <w:lang w:val="en-GB"/>
              </w:rPr>
            </w:pPr>
            <w:r w:rsidRPr="00BF0648">
              <w:rPr>
                <w:rFonts w:ascii="Arial" w:eastAsia="Calibri" w:hAnsi="Arial" w:cs="Arial"/>
                <w:lang w:val="en-GB"/>
              </w:rPr>
              <w:t>0.3</w:t>
            </w:r>
          </w:p>
        </w:tc>
      </w:tr>
      <w:tr w:rsidR="002B26EF" w:rsidRPr="00BF0648" w14:paraId="1169A2BA" w14:textId="77777777" w:rsidTr="00C16338">
        <w:trPr>
          <w:cantSplit/>
          <w:trHeight w:val="148"/>
        </w:trPr>
        <w:tc>
          <w:tcPr>
            <w:tcW w:w="3692" w:type="dxa"/>
            <w:tcBorders>
              <w:top w:val="single" w:sz="8" w:space="0" w:color="AEAEAE"/>
              <w:left w:val="single" w:sz="4" w:space="0" w:color="auto"/>
              <w:bottom w:val="single" w:sz="8" w:space="0" w:color="152935"/>
              <w:right w:val="single" w:sz="4" w:space="0" w:color="auto"/>
            </w:tcBorders>
          </w:tcPr>
          <w:p w14:paraId="3817BC71" w14:textId="77777777" w:rsidR="002B26EF" w:rsidRPr="00BF0648" w:rsidRDefault="002B26EF" w:rsidP="00924571">
            <w:pPr>
              <w:spacing w:line="360" w:lineRule="auto"/>
              <w:jc w:val="both"/>
              <w:rPr>
                <w:rFonts w:ascii="Arial" w:eastAsia="Calibri" w:hAnsi="Arial" w:cs="Arial"/>
                <w:b/>
                <w:bCs/>
                <w:lang w:val="en-GB"/>
              </w:rPr>
            </w:pPr>
            <w:r w:rsidRPr="00BF0648">
              <w:rPr>
                <w:rFonts w:ascii="Arial" w:eastAsia="Calibri" w:hAnsi="Arial" w:cs="Arial"/>
                <w:b/>
                <w:bCs/>
                <w:lang w:val="en-GB"/>
              </w:rPr>
              <w:t>Total</w:t>
            </w:r>
          </w:p>
        </w:tc>
        <w:tc>
          <w:tcPr>
            <w:tcW w:w="2063" w:type="dxa"/>
            <w:tcBorders>
              <w:top w:val="single" w:sz="8" w:space="0" w:color="AEAEAE"/>
              <w:left w:val="single" w:sz="4" w:space="0" w:color="auto"/>
              <w:bottom w:val="single" w:sz="8" w:space="0" w:color="152935"/>
              <w:right w:val="single" w:sz="4" w:space="0" w:color="auto"/>
            </w:tcBorders>
          </w:tcPr>
          <w:p w14:paraId="01A4FFC4" w14:textId="77777777" w:rsidR="002B26EF" w:rsidRPr="00BF0648" w:rsidRDefault="002B26EF" w:rsidP="00924571">
            <w:pPr>
              <w:spacing w:line="360" w:lineRule="auto"/>
              <w:jc w:val="both"/>
              <w:rPr>
                <w:rFonts w:ascii="Arial" w:eastAsia="Calibri" w:hAnsi="Arial" w:cs="Arial"/>
                <w:b/>
                <w:bCs/>
                <w:lang w:val="en-GB"/>
              </w:rPr>
            </w:pPr>
            <w:r w:rsidRPr="00BF0648">
              <w:rPr>
                <w:rFonts w:ascii="Arial" w:eastAsia="Calibri" w:hAnsi="Arial" w:cs="Arial"/>
                <w:b/>
                <w:bCs/>
                <w:lang w:val="en-GB"/>
              </w:rPr>
              <w:t>392</w:t>
            </w:r>
          </w:p>
        </w:tc>
        <w:tc>
          <w:tcPr>
            <w:tcW w:w="3070" w:type="dxa"/>
            <w:tcBorders>
              <w:top w:val="single" w:sz="8" w:space="0" w:color="AEAEAE"/>
              <w:left w:val="single" w:sz="4" w:space="0" w:color="auto"/>
              <w:bottom w:val="single" w:sz="8" w:space="0" w:color="152935"/>
              <w:right w:val="single" w:sz="4" w:space="0" w:color="auto"/>
            </w:tcBorders>
          </w:tcPr>
          <w:p w14:paraId="31F4A4F9" w14:textId="77777777" w:rsidR="002B26EF" w:rsidRPr="00BF0648" w:rsidRDefault="002B26EF" w:rsidP="00924571">
            <w:pPr>
              <w:spacing w:line="360" w:lineRule="auto"/>
              <w:jc w:val="both"/>
              <w:rPr>
                <w:rFonts w:ascii="Arial" w:eastAsia="Calibri" w:hAnsi="Arial" w:cs="Arial"/>
                <w:b/>
                <w:bCs/>
                <w:lang w:val="en-GB"/>
              </w:rPr>
            </w:pPr>
            <w:r w:rsidRPr="00BF0648">
              <w:rPr>
                <w:rFonts w:ascii="Arial" w:eastAsia="Calibri" w:hAnsi="Arial" w:cs="Arial"/>
                <w:b/>
                <w:bCs/>
                <w:lang w:val="en-GB"/>
              </w:rPr>
              <w:t>100</w:t>
            </w:r>
          </w:p>
        </w:tc>
      </w:tr>
    </w:tbl>
    <w:p w14:paraId="6BDC9AD2" w14:textId="77777777" w:rsidR="00924571" w:rsidRPr="00BF0648" w:rsidRDefault="00924571" w:rsidP="00924571">
      <w:pPr>
        <w:spacing w:before="100" w:beforeAutospacing="1" w:after="100" w:afterAutospacing="1" w:line="360" w:lineRule="auto"/>
        <w:jc w:val="both"/>
        <w:rPr>
          <w:rFonts w:ascii="Arial" w:hAnsi="Arial" w:cs="Arial"/>
        </w:rPr>
      </w:pPr>
    </w:p>
    <w:p w14:paraId="063DC9B3" w14:textId="77777777" w:rsidR="00924571" w:rsidRPr="00BF0648" w:rsidRDefault="00924571" w:rsidP="00924571">
      <w:pPr>
        <w:spacing w:before="100" w:beforeAutospacing="1" w:after="100" w:afterAutospacing="1" w:line="360" w:lineRule="auto"/>
        <w:jc w:val="both"/>
        <w:rPr>
          <w:rFonts w:ascii="Arial" w:hAnsi="Arial" w:cs="Arial"/>
        </w:rPr>
      </w:pPr>
    </w:p>
    <w:p w14:paraId="4F603B0D" w14:textId="0B6F88BC" w:rsidR="002B26EF" w:rsidRPr="00BF0648" w:rsidRDefault="005B0B13" w:rsidP="00924571">
      <w:pPr>
        <w:spacing w:before="100" w:beforeAutospacing="1" w:after="100" w:afterAutospacing="1" w:line="360" w:lineRule="auto"/>
        <w:jc w:val="both"/>
        <w:rPr>
          <w:rFonts w:ascii="Arial" w:eastAsia="Times New Roman" w:hAnsi="Arial" w:cs="Arial"/>
        </w:rPr>
      </w:pPr>
      <w:r w:rsidRPr="00BF0648">
        <w:rPr>
          <w:rFonts w:ascii="Arial" w:hAnsi="Arial" w:cs="Arial"/>
        </w:rPr>
        <w:t>The education levels of the study participants are summarized in frequencies and percentages (Table 2). The largest group comprised respondents with incomplete primary education (27.6%), followed by those with incomplete secondary education (23.0%). In contrast, only 1.0% reported no formal schooling, representing the smallest group. Overall, a notable proportion of participants had not completed primary or secondary education, which may limit their access to health services and information</w:t>
      </w:r>
      <w:r w:rsidR="00924571" w:rsidRPr="00BF0648">
        <w:rPr>
          <w:rFonts w:ascii="Arial" w:hAnsi="Arial" w:cs="Arial"/>
        </w:rPr>
        <w:t>.</w:t>
      </w:r>
    </w:p>
    <w:p w14:paraId="0E308AB9" w14:textId="77777777" w:rsidR="005B0B13" w:rsidRPr="00BF0648" w:rsidRDefault="005B0B13" w:rsidP="00924571">
      <w:pPr>
        <w:spacing w:before="100" w:beforeAutospacing="1" w:after="100" w:afterAutospacing="1" w:line="360" w:lineRule="auto"/>
        <w:jc w:val="both"/>
        <w:rPr>
          <w:rFonts w:ascii="Arial" w:eastAsia="Times New Roman" w:hAnsi="Arial" w:cs="Arial"/>
        </w:rPr>
      </w:pPr>
    </w:p>
    <w:p w14:paraId="68278964" w14:textId="77777777" w:rsidR="005B0B13" w:rsidRPr="00BF0648" w:rsidRDefault="005B0B13" w:rsidP="00924571">
      <w:pPr>
        <w:spacing w:before="100" w:beforeAutospacing="1" w:after="100" w:afterAutospacing="1" w:line="360" w:lineRule="auto"/>
        <w:jc w:val="both"/>
        <w:rPr>
          <w:rFonts w:ascii="Arial" w:eastAsia="Times New Roman" w:hAnsi="Arial" w:cs="Arial"/>
        </w:rPr>
      </w:pPr>
    </w:p>
    <w:p w14:paraId="487EE01D" w14:textId="77777777" w:rsidR="005B0B13" w:rsidRPr="00BF0648" w:rsidRDefault="005B0B13" w:rsidP="00924571">
      <w:pPr>
        <w:spacing w:before="100" w:beforeAutospacing="1" w:after="100" w:afterAutospacing="1" w:line="360" w:lineRule="auto"/>
        <w:jc w:val="both"/>
        <w:rPr>
          <w:rFonts w:ascii="Arial" w:eastAsia="Times New Roman" w:hAnsi="Arial" w:cs="Arial"/>
        </w:rPr>
      </w:pPr>
    </w:p>
    <w:p w14:paraId="368A6A1D" w14:textId="77777777" w:rsidR="005B0B13" w:rsidRPr="00BF0648" w:rsidRDefault="005B0B13" w:rsidP="00924571">
      <w:pPr>
        <w:spacing w:before="100" w:beforeAutospacing="1" w:after="100" w:afterAutospacing="1" w:line="360" w:lineRule="auto"/>
        <w:jc w:val="both"/>
        <w:rPr>
          <w:rFonts w:ascii="Arial" w:eastAsia="Times New Roman" w:hAnsi="Arial" w:cs="Arial"/>
        </w:rPr>
      </w:pPr>
    </w:p>
    <w:p w14:paraId="16CC9784" w14:textId="77777777" w:rsidR="005B0B13" w:rsidRPr="00BF0648" w:rsidRDefault="005B0B13" w:rsidP="00924571">
      <w:pPr>
        <w:spacing w:before="100" w:beforeAutospacing="1" w:after="100" w:afterAutospacing="1" w:line="360" w:lineRule="auto"/>
        <w:jc w:val="both"/>
        <w:rPr>
          <w:rFonts w:ascii="Arial" w:eastAsia="Times New Roman" w:hAnsi="Arial" w:cs="Arial"/>
        </w:rPr>
      </w:pPr>
    </w:p>
    <w:p w14:paraId="0C1F3EA5" w14:textId="7715B4F8" w:rsidR="00D55C7F" w:rsidRPr="00BF0648" w:rsidRDefault="00D55C7F" w:rsidP="00924571">
      <w:pPr>
        <w:spacing w:before="100" w:beforeAutospacing="1" w:after="100" w:afterAutospacing="1" w:line="360" w:lineRule="auto"/>
        <w:jc w:val="both"/>
        <w:rPr>
          <w:rFonts w:ascii="Arial" w:eastAsia="Times New Roman" w:hAnsi="Arial" w:cs="Arial"/>
          <w:b/>
        </w:rPr>
      </w:pPr>
      <w:r w:rsidRPr="00BF0648">
        <w:rPr>
          <w:rFonts w:ascii="Arial" w:eastAsia="Times New Roman" w:hAnsi="Arial" w:cs="Arial"/>
          <w:b/>
        </w:rPr>
        <w:t>Table 2. Education level</w:t>
      </w:r>
    </w:p>
    <w:tbl>
      <w:tblPr>
        <w:tblW w:w="0" w:type="auto"/>
        <w:jc w:val="center"/>
        <w:tblLook w:val="04A0" w:firstRow="1" w:lastRow="0" w:firstColumn="1" w:lastColumn="0" w:noHBand="0" w:noVBand="1"/>
      </w:tblPr>
      <w:tblGrid>
        <w:gridCol w:w="1440"/>
        <w:gridCol w:w="1440"/>
        <w:gridCol w:w="1440"/>
        <w:gridCol w:w="1440"/>
        <w:gridCol w:w="1440"/>
        <w:gridCol w:w="1440"/>
      </w:tblGrid>
      <w:tr w:rsidR="00D55C7F" w:rsidRPr="00BF0648" w14:paraId="493470AE" w14:textId="77777777" w:rsidTr="00C16338">
        <w:trPr>
          <w:jc w:val="center"/>
        </w:trPr>
        <w:tc>
          <w:tcPr>
            <w:tcW w:w="1440" w:type="dxa"/>
            <w:tcBorders>
              <w:bottom w:val="single" w:sz="4" w:space="0" w:color="000000"/>
            </w:tcBorders>
          </w:tcPr>
          <w:p w14:paraId="5A5A3B2B" w14:textId="77777777" w:rsidR="00D55C7F" w:rsidRPr="00BF0648" w:rsidRDefault="00D55C7F" w:rsidP="00924571">
            <w:pPr>
              <w:spacing w:line="360" w:lineRule="auto"/>
              <w:jc w:val="both"/>
              <w:rPr>
                <w:rFonts w:ascii="Arial" w:hAnsi="Arial" w:cs="Arial"/>
                <w:b/>
              </w:rPr>
            </w:pPr>
            <w:r w:rsidRPr="00BF0648">
              <w:rPr>
                <w:rFonts w:ascii="Arial" w:hAnsi="Arial" w:cs="Arial"/>
                <w:b/>
              </w:rPr>
              <w:t>Completion Status \ Education Level</w:t>
            </w:r>
          </w:p>
        </w:tc>
        <w:tc>
          <w:tcPr>
            <w:tcW w:w="1440" w:type="dxa"/>
            <w:tcBorders>
              <w:bottom w:val="single" w:sz="4" w:space="0" w:color="000000"/>
            </w:tcBorders>
          </w:tcPr>
          <w:p w14:paraId="529CB883" w14:textId="77777777" w:rsidR="00D55C7F" w:rsidRPr="00BF0648" w:rsidRDefault="00D55C7F" w:rsidP="00924571">
            <w:pPr>
              <w:spacing w:line="360" w:lineRule="auto"/>
              <w:jc w:val="both"/>
              <w:rPr>
                <w:rFonts w:ascii="Arial" w:hAnsi="Arial" w:cs="Arial"/>
                <w:b/>
              </w:rPr>
            </w:pPr>
            <w:r w:rsidRPr="00BF0648">
              <w:rPr>
                <w:rFonts w:ascii="Arial" w:hAnsi="Arial" w:cs="Arial"/>
                <w:b/>
              </w:rPr>
              <w:t>No Formal School</w:t>
            </w:r>
          </w:p>
        </w:tc>
        <w:tc>
          <w:tcPr>
            <w:tcW w:w="1440" w:type="dxa"/>
            <w:tcBorders>
              <w:bottom w:val="single" w:sz="4" w:space="0" w:color="000000"/>
            </w:tcBorders>
          </w:tcPr>
          <w:p w14:paraId="615F55E6" w14:textId="77777777" w:rsidR="00D55C7F" w:rsidRPr="00BF0648" w:rsidRDefault="00D55C7F" w:rsidP="00924571">
            <w:pPr>
              <w:spacing w:line="360" w:lineRule="auto"/>
              <w:jc w:val="both"/>
              <w:rPr>
                <w:rFonts w:ascii="Arial" w:hAnsi="Arial" w:cs="Arial"/>
                <w:b/>
              </w:rPr>
            </w:pPr>
            <w:r w:rsidRPr="00BF0648">
              <w:rPr>
                <w:rFonts w:ascii="Arial" w:hAnsi="Arial" w:cs="Arial"/>
                <w:b/>
              </w:rPr>
              <w:t>Primary</w:t>
            </w:r>
          </w:p>
        </w:tc>
        <w:tc>
          <w:tcPr>
            <w:tcW w:w="1440" w:type="dxa"/>
            <w:tcBorders>
              <w:bottom w:val="single" w:sz="4" w:space="0" w:color="000000"/>
            </w:tcBorders>
          </w:tcPr>
          <w:p w14:paraId="216F505E" w14:textId="77777777" w:rsidR="00D55C7F" w:rsidRPr="00BF0648" w:rsidRDefault="00D55C7F" w:rsidP="00924571">
            <w:pPr>
              <w:spacing w:line="360" w:lineRule="auto"/>
              <w:jc w:val="both"/>
              <w:rPr>
                <w:rFonts w:ascii="Arial" w:hAnsi="Arial" w:cs="Arial"/>
                <w:b/>
              </w:rPr>
            </w:pPr>
            <w:r w:rsidRPr="00BF0648">
              <w:rPr>
                <w:rFonts w:ascii="Arial" w:hAnsi="Arial" w:cs="Arial"/>
                <w:b/>
              </w:rPr>
              <w:t>Secondary</w:t>
            </w:r>
          </w:p>
        </w:tc>
        <w:tc>
          <w:tcPr>
            <w:tcW w:w="1440" w:type="dxa"/>
            <w:tcBorders>
              <w:bottom w:val="single" w:sz="4" w:space="0" w:color="000000"/>
            </w:tcBorders>
          </w:tcPr>
          <w:p w14:paraId="466AEAA2" w14:textId="77777777" w:rsidR="00D55C7F" w:rsidRPr="00BF0648" w:rsidRDefault="00D55C7F" w:rsidP="00924571">
            <w:pPr>
              <w:spacing w:line="360" w:lineRule="auto"/>
              <w:jc w:val="both"/>
              <w:rPr>
                <w:rFonts w:ascii="Arial" w:hAnsi="Arial" w:cs="Arial"/>
                <w:b/>
              </w:rPr>
            </w:pPr>
            <w:r w:rsidRPr="00BF0648">
              <w:rPr>
                <w:rFonts w:ascii="Arial" w:hAnsi="Arial" w:cs="Arial"/>
                <w:b/>
              </w:rPr>
              <w:t>Tertiary</w:t>
            </w:r>
          </w:p>
        </w:tc>
        <w:tc>
          <w:tcPr>
            <w:tcW w:w="1440" w:type="dxa"/>
            <w:tcBorders>
              <w:bottom w:val="single" w:sz="4" w:space="0" w:color="000000"/>
            </w:tcBorders>
          </w:tcPr>
          <w:p w14:paraId="0EB82371" w14:textId="77777777" w:rsidR="00D55C7F" w:rsidRPr="00BF0648" w:rsidRDefault="00D55C7F" w:rsidP="00924571">
            <w:pPr>
              <w:spacing w:line="360" w:lineRule="auto"/>
              <w:jc w:val="both"/>
              <w:rPr>
                <w:rFonts w:ascii="Arial" w:hAnsi="Arial" w:cs="Arial"/>
                <w:b/>
              </w:rPr>
            </w:pPr>
            <w:r w:rsidRPr="00BF0648">
              <w:rPr>
                <w:rFonts w:ascii="Arial" w:hAnsi="Arial" w:cs="Arial"/>
                <w:b/>
              </w:rPr>
              <w:t>Total</w:t>
            </w:r>
          </w:p>
        </w:tc>
      </w:tr>
      <w:tr w:rsidR="00D55C7F" w:rsidRPr="00BF0648" w14:paraId="0FD5E6BD" w14:textId="77777777" w:rsidTr="00C16338">
        <w:trPr>
          <w:jc w:val="center"/>
        </w:trPr>
        <w:tc>
          <w:tcPr>
            <w:tcW w:w="1440" w:type="dxa"/>
            <w:tcBorders>
              <w:bottom w:val="single" w:sz="4" w:space="0" w:color="000000"/>
            </w:tcBorders>
          </w:tcPr>
          <w:p w14:paraId="7BD399C0" w14:textId="77777777" w:rsidR="00D55C7F" w:rsidRPr="00BF0648" w:rsidRDefault="00D55C7F" w:rsidP="00924571">
            <w:pPr>
              <w:spacing w:line="360" w:lineRule="auto"/>
              <w:jc w:val="both"/>
              <w:rPr>
                <w:rFonts w:ascii="Arial" w:hAnsi="Arial" w:cs="Arial"/>
              </w:rPr>
            </w:pPr>
            <w:r w:rsidRPr="00BF0648">
              <w:rPr>
                <w:rFonts w:ascii="Arial" w:hAnsi="Arial" w:cs="Arial"/>
              </w:rPr>
              <w:t>Complete</w:t>
            </w:r>
          </w:p>
        </w:tc>
        <w:tc>
          <w:tcPr>
            <w:tcW w:w="1440" w:type="dxa"/>
            <w:tcBorders>
              <w:bottom w:val="single" w:sz="4" w:space="0" w:color="000000"/>
            </w:tcBorders>
          </w:tcPr>
          <w:p w14:paraId="7FBE5315" w14:textId="77777777" w:rsidR="00D55C7F" w:rsidRPr="00BF0648" w:rsidRDefault="00D55C7F" w:rsidP="00924571">
            <w:pPr>
              <w:spacing w:line="360" w:lineRule="auto"/>
              <w:jc w:val="both"/>
              <w:rPr>
                <w:rFonts w:ascii="Arial" w:hAnsi="Arial" w:cs="Arial"/>
              </w:rPr>
            </w:pPr>
            <w:r w:rsidRPr="00BF0648">
              <w:rPr>
                <w:rFonts w:ascii="Arial" w:hAnsi="Arial" w:cs="Arial"/>
              </w:rPr>
              <w:t>0 (0.0%)</w:t>
            </w:r>
          </w:p>
        </w:tc>
        <w:tc>
          <w:tcPr>
            <w:tcW w:w="1440" w:type="dxa"/>
            <w:tcBorders>
              <w:bottom w:val="single" w:sz="4" w:space="0" w:color="000000"/>
            </w:tcBorders>
          </w:tcPr>
          <w:p w14:paraId="4386420B" w14:textId="77777777" w:rsidR="00D55C7F" w:rsidRPr="00BF0648" w:rsidRDefault="00D55C7F" w:rsidP="00924571">
            <w:pPr>
              <w:spacing w:line="360" w:lineRule="auto"/>
              <w:jc w:val="both"/>
              <w:rPr>
                <w:rFonts w:ascii="Arial" w:hAnsi="Arial" w:cs="Arial"/>
              </w:rPr>
            </w:pPr>
            <w:r w:rsidRPr="00BF0648">
              <w:rPr>
                <w:rFonts w:ascii="Arial" w:hAnsi="Arial" w:cs="Arial"/>
              </w:rPr>
              <w:t>76 (19.4%)</w:t>
            </w:r>
          </w:p>
        </w:tc>
        <w:tc>
          <w:tcPr>
            <w:tcW w:w="1440" w:type="dxa"/>
            <w:tcBorders>
              <w:bottom w:val="single" w:sz="4" w:space="0" w:color="000000"/>
            </w:tcBorders>
          </w:tcPr>
          <w:p w14:paraId="10A06BC0" w14:textId="77777777" w:rsidR="00D55C7F" w:rsidRPr="00BF0648" w:rsidRDefault="00D55C7F" w:rsidP="00924571">
            <w:pPr>
              <w:spacing w:line="360" w:lineRule="auto"/>
              <w:jc w:val="both"/>
              <w:rPr>
                <w:rFonts w:ascii="Arial" w:hAnsi="Arial" w:cs="Arial"/>
              </w:rPr>
            </w:pPr>
            <w:r w:rsidRPr="00BF0648">
              <w:rPr>
                <w:rFonts w:ascii="Arial" w:hAnsi="Arial" w:cs="Arial"/>
              </w:rPr>
              <w:t>79 (20.2%)</w:t>
            </w:r>
          </w:p>
        </w:tc>
        <w:tc>
          <w:tcPr>
            <w:tcW w:w="1440" w:type="dxa"/>
            <w:tcBorders>
              <w:bottom w:val="single" w:sz="4" w:space="0" w:color="000000"/>
            </w:tcBorders>
          </w:tcPr>
          <w:p w14:paraId="755270B9" w14:textId="77777777" w:rsidR="00D55C7F" w:rsidRPr="00BF0648" w:rsidRDefault="00D55C7F" w:rsidP="00924571">
            <w:pPr>
              <w:spacing w:line="360" w:lineRule="auto"/>
              <w:jc w:val="both"/>
              <w:rPr>
                <w:rFonts w:ascii="Arial" w:hAnsi="Arial" w:cs="Arial"/>
              </w:rPr>
            </w:pPr>
            <w:r w:rsidRPr="00BF0648">
              <w:rPr>
                <w:rFonts w:ascii="Arial" w:hAnsi="Arial" w:cs="Arial"/>
              </w:rPr>
              <w:t>27 (6.9%)</w:t>
            </w:r>
          </w:p>
        </w:tc>
        <w:tc>
          <w:tcPr>
            <w:tcW w:w="1440" w:type="dxa"/>
            <w:tcBorders>
              <w:bottom w:val="single" w:sz="4" w:space="0" w:color="000000"/>
            </w:tcBorders>
          </w:tcPr>
          <w:p w14:paraId="76BB7073" w14:textId="77777777" w:rsidR="00D55C7F" w:rsidRPr="00BF0648" w:rsidRDefault="00D55C7F" w:rsidP="00924571">
            <w:pPr>
              <w:spacing w:line="360" w:lineRule="auto"/>
              <w:jc w:val="both"/>
              <w:rPr>
                <w:rFonts w:ascii="Arial" w:hAnsi="Arial" w:cs="Arial"/>
              </w:rPr>
            </w:pPr>
            <w:r w:rsidRPr="00BF0648">
              <w:rPr>
                <w:rFonts w:ascii="Arial" w:hAnsi="Arial" w:cs="Arial"/>
              </w:rPr>
              <w:t>182 (46.4%)</w:t>
            </w:r>
          </w:p>
        </w:tc>
      </w:tr>
      <w:tr w:rsidR="00D55C7F" w:rsidRPr="00BF0648" w14:paraId="4F9A7588" w14:textId="77777777" w:rsidTr="00C16338">
        <w:trPr>
          <w:jc w:val="center"/>
        </w:trPr>
        <w:tc>
          <w:tcPr>
            <w:tcW w:w="1440" w:type="dxa"/>
            <w:tcBorders>
              <w:bottom w:val="single" w:sz="4" w:space="0" w:color="000000"/>
            </w:tcBorders>
          </w:tcPr>
          <w:p w14:paraId="1C0196FC" w14:textId="77777777" w:rsidR="00D55C7F" w:rsidRPr="00BF0648" w:rsidRDefault="00D55C7F" w:rsidP="00924571">
            <w:pPr>
              <w:spacing w:line="360" w:lineRule="auto"/>
              <w:jc w:val="both"/>
              <w:rPr>
                <w:rFonts w:ascii="Arial" w:hAnsi="Arial" w:cs="Arial"/>
              </w:rPr>
            </w:pPr>
            <w:r w:rsidRPr="00BF0648">
              <w:rPr>
                <w:rFonts w:ascii="Arial" w:hAnsi="Arial" w:cs="Arial"/>
              </w:rPr>
              <w:t>Incomplete</w:t>
            </w:r>
          </w:p>
        </w:tc>
        <w:tc>
          <w:tcPr>
            <w:tcW w:w="1440" w:type="dxa"/>
            <w:tcBorders>
              <w:bottom w:val="single" w:sz="4" w:space="0" w:color="000000"/>
            </w:tcBorders>
          </w:tcPr>
          <w:p w14:paraId="040A0F7A" w14:textId="77777777" w:rsidR="00D55C7F" w:rsidRPr="00BF0648" w:rsidRDefault="00D55C7F" w:rsidP="00924571">
            <w:pPr>
              <w:spacing w:line="360" w:lineRule="auto"/>
              <w:jc w:val="both"/>
              <w:rPr>
                <w:rFonts w:ascii="Arial" w:hAnsi="Arial" w:cs="Arial"/>
              </w:rPr>
            </w:pPr>
            <w:r w:rsidRPr="00BF0648">
              <w:rPr>
                <w:rFonts w:ascii="Arial" w:hAnsi="Arial" w:cs="Arial"/>
              </w:rPr>
              <w:t>4 (1.0%)</w:t>
            </w:r>
          </w:p>
        </w:tc>
        <w:tc>
          <w:tcPr>
            <w:tcW w:w="1440" w:type="dxa"/>
            <w:tcBorders>
              <w:bottom w:val="single" w:sz="4" w:space="0" w:color="000000"/>
            </w:tcBorders>
          </w:tcPr>
          <w:p w14:paraId="11006B34" w14:textId="77777777" w:rsidR="00D55C7F" w:rsidRPr="00BF0648" w:rsidRDefault="00D55C7F" w:rsidP="00924571">
            <w:pPr>
              <w:spacing w:line="360" w:lineRule="auto"/>
              <w:jc w:val="both"/>
              <w:rPr>
                <w:rFonts w:ascii="Arial" w:hAnsi="Arial" w:cs="Arial"/>
              </w:rPr>
            </w:pPr>
            <w:r w:rsidRPr="00BF0648">
              <w:rPr>
                <w:rFonts w:ascii="Arial" w:hAnsi="Arial" w:cs="Arial"/>
              </w:rPr>
              <w:t>108 (27.6%)</w:t>
            </w:r>
          </w:p>
        </w:tc>
        <w:tc>
          <w:tcPr>
            <w:tcW w:w="1440" w:type="dxa"/>
            <w:tcBorders>
              <w:bottom w:val="single" w:sz="4" w:space="0" w:color="000000"/>
            </w:tcBorders>
          </w:tcPr>
          <w:p w14:paraId="581D5FFD" w14:textId="77777777" w:rsidR="00D55C7F" w:rsidRPr="00BF0648" w:rsidRDefault="00D55C7F" w:rsidP="00924571">
            <w:pPr>
              <w:spacing w:line="360" w:lineRule="auto"/>
              <w:jc w:val="both"/>
              <w:rPr>
                <w:rFonts w:ascii="Arial" w:hAnsi="Arial" w:cs="Arial"/>
              </w:rPr>
            </w:pPr>
            <w:r w:rsidRPr="00BF0648">
              <w:rPr>
                <w:rFonts w:ascii="Arial" w:hAnsi="Arial" w:cs="Arial"/>
              </w:rPr>
              <w:t>90 (23.6%)</w:t>
            </w:r>
          </w:p>
        </w:tc>
        <w:tc>
          <w:tcPr>
            <w:tcW w:w="1440" w:type="dxa"/>
            <w:tcBorders>
              <w:bottom w:val="single" w:sz="4" w:space="0" w:color="000000"/>
            </w:tcBorders>
          </w:tcPr>
          <w:p w14:paraId="79F84C4A" w14:textId="77777777" w:rsidR="00D55C7F" w:rsidRPr="00BF0648" w:rsidRDefault="00D55C7F" w:rsidP="00924571">
            <w:pPr>
              <w:spacing w:line="360" w:lineRule="auto"/>
              <w:jc w:val="both"/>
              <w:rPr>
                <w:rFonts w:ascii="Arial" w:hAnsi="Arial" w:cs="Arial"/>
              </w:rPr>
            </w:pPr>
            <w:r w:rsidRPr="00BF0648">
              <w:rPr>
                <w:rFonts w:ascii="Arial" w:hAnsi="Arial" w:cs="Arial"/>
              </w:rPr>
              <w:t>8 (2.0%)</w:t>
            </w:r>
          </w:p>
        </w:tc>
        <w:tc>
          <w:tcPr>
            <w:tcW w:w="1440" w:type="dxa"/>
            <w:tcBorders>
              <w:bottom w:val="single" w:sz="4" w:space="0" w:color="000000"/>
            </w:tcBorders>
          </w:tcPr>
          <w:p w14:paraId="4593BBDA" w14:textId="77777777" w:rsidR="00D55C7F" w:rsidRPr="00BF0648" w:rsidRDefault="00D55C7F" w:rsidP="00924571">
            <w:pPr>
              <w:spacing w:line="360" w:lineRule="auto"/>
              <w:jc w:val="both"/>
              <w:rPr>
                <w:rFonts w:ascii="Arial" w:hAnsi="Arial" w:cs="Arial"/>
              </w:rPr>
            </w:pPr>
            <w:r w:rsidRPr="00BF0648">
              <w:rPr>
                <w:rFonts w:ascii="Arial" w:hAnsi="Arial" w:cs="Arial"/>
              </w:rPr>
              <w:t>210 (53.6%)</w:t>
            </w:r>
          </w:p>
        </w:tc>
      </w:tr>
      <w:tr w:rsidR="00D55C7F" w:rsidRPr="00BF0648" w14:paraId="64C4D2F9" w14:textId="77777777" w:rsidTr="00C16338">
        <w:trPr>
          <w:jc w:val="center"/>
        </w:trPr>
        <w:tc>
          <w:tcPr>
            <w:tcW w:w="1440" w:type="dxa"/>
            <w:tcBorders>
              <w:bottom w:val="single" w:sz="4" w:space="0" w:color="000000"/>
            </w:tcBorders>
          </w:tcPr>
          <w:p w14:paraId="739BCC5A" w14:textId="77777777" w:rsidR="00D55C7F" w:rsidRPr="00BF0648" w:rsidRDefault="00D55C7F" w:rsidP="00924571">
            <w:pPr>
              <w:spacing w:line="360" w:lineRule="auto"/>
              <w:jc w:val="both"/>
              <w:rPr>
                <w:rFonts w:ascii="Arial" w:hAnsi="Arial" w:cs="Arial"/>
              </w:rPr>
            </w:pPr>
            <w:r w:rsidRPr="00BF0648">
              <w:rPr>
                <w:rFonts w:ascii="Arial" w:hAnsi="Arial" w:cs="Arial"/>
              </w:rPr>
              <w:t>Total</w:t>
            </w:r>
          </w:p>
        </w:tc>
        <w:tc>
          <w:tcPr>
            <w:tcW w:w="1440" w:type="dxa"/>
            <w:tcBorders>
              <w:bottom w:val="single" w:sz="4" w:space="0" w:color="000000"/>
            </w:tcBorders>
          </w:tcPr>
          <w:p w14:paraId="3AFB92C1" w14:textId="77777777" w:rsidR="00D55C7F" w:rsidRPr="00BF0648" w:rsidRDefault="00D55C7F" w:rsidP="00924571">
            <w:pPr>
              <w:spacing w:line="360" w:lineRule="auto"/>
              <w:jc w:val="both"/>
              <w:rPr>
                <w:rFonts w:ascii="Arial" w:hAnsi="Arial" w:cs="Arial"/>
              </w:rPr>
            </w:pPr>
            <w:r w:rsidRPr="00BF0648">
              <w:rPr>
                <w:rFonts w:ascii="Arial" w:hAnsi="Arial" w:cs="Arial"/>
              </w:rPr>
              <w:t>4 (1.0%)</w:t>
            </w:r>
          </w:p>
        </w:tc>
        <w:tc>
          <w:tcPr>
            <w:tcW w:w="1440" w:type="dxa"/>
            <w:tcBorders>
              <w:bottom w:val="single" w:sz="4" w:space="0" w:color="000000"/>
            </w:tcBorders>
          </w:tcPr>
          <w:p w14:paraId="6039CBE8" w14:textId="77777777" w:rsidR="00D55C7F" w:rsidRPr="00BF0648" w:rsidRDefault="00D55C7F" w:rsidP="00924571">
            <w:pPr>
              <w:spacing w:line="360" w:lineRule="auto"/>
              <w:jc w:val="both"/>
              <w:rPr>
                <w:rFonts w:ascii="Arial" w:hAnsi="Arial" w:cs="Arial"/>
              </w:rPr>
            </w:pPr>
            <w:r w:rsidRPr="00BF0648">
              <w:rPr>
                <w:rFonts w:ascii="Arial" w:hAnsi="Arial" w:cs="Arial"/>
              </w:rPr>
              <w:t>184 (46.9%)</w:t>
            </w:r>
          </w:p>
        </w:tc>
        <w:tc>
          <w:tcPr>
            <w:tcW w:w="1440" w:type="dxa"/>
            <w:tcBorders>
              <w:bottom w:val="single" w:sz="4" w:space="0" w:color="000000"/>
            </w:tcBorders>
          </w:tcPr>
          <w:p w14:paraId="24505C4C" w14:textId="77777777" w:rsidR="00D55C7F" w:rsidRPr="00BF0648" w:rsidRDefault="00D55C7F" w:rsidP="00924571">
            <w:pPr>
              <w:spacing w:line="360" w:lineRule="auto"/>
              <w:jc w:val="both"/>
              <w:rPr>
                <w:rFonts w:ascii="Arial" w:hAnsi="Arial" w:cs="Arial"/>
              </w:rPr>
            </w:pPr>
            <w:r w:rsidRPr="00BF0648">
              <w:rPr>
                <w:rFonts w:ascii="Arial" w:hAnsi="Arial" w:cs="Arial"/>
              </w:rPr>
              <w:t>169 (43.1%)</w:t>
            </w:r>
          </w:p>
        </w:tc>
        <w:tc>
          <w:tcPr>
            <w:tcW w:w="1440" w:type="dxa"/>
            <w:tcBorders>
              <w:bottom w:val="single" w:sz="4" w:space="0" w:color="000000"/>
            </w:tcBorders>
          </w:tcPr>
          <w:p w14:paraId="39F1A15B" w14:textId="77777777" w:rsidR="00D55C7F" w:rsidRPr="00BF0648" w:rsidRDefault="00D55C7F" w:rsidP="00924571">
            <w:pPr>
              <w:spacing w:line="360" w:lineRule="auto"/>
              <w:jc w:val="both"/>
              <w:rPr>
                <w:rFonts w:ascii="Arial" w:hAnsi="Arial" w:cs="Arial"/>
              </w:rPr>
            </w:pPr>
            <w:r w:rsidRPr="00BF0648">
              <w:rPr>
                <w:rFonts w:ascii="Arial" w:hAnsi="Arial" w:cs="Arial"/>
              </w:rPr>
              <w:t>35 (8.9%)</w:t>
            </w:r>
          </w:p>
        </w:tc>
        <w:tc>
          <w:tcPr>
            <w:tcW w:w="1440" w:type="dxa"/>
            <w:tcBorders>
              <w:bottom w:val="single" w:sz="4" w:space="0" w:color="000000"/>
            </w:tcBorders>
          </w:tcPr>
          <w:p w14:paraId="05C8006C" w14:textId="77777777" w:rsidR="00D55C7F" w:rsidRPr="00BF0648" w:rsidRDefault="00D55C7F" w:rsidP="00924571">
            <w:pPr>
              <w:spacing w:line="360" w:lineRule="auto"/>
              <w:jc w:val="both"/>
              <w:rPr>
                <w:rFonts w:ascii="Arial" w:hAnsi="Arial" w:cs="Arial"/>
              </w:rPr>
            </w:pPr>
            <w:r w:rsidRPr="00BF0648">
              <w:rPr>
                <w:rFonts w:ascii="Arial" w:hAnsi="Arial" w:cs="Arial"/>
              </w:rPr>
              <w:t>392 (100%)</w:t>
            </w:r>
          </w:p>
        </w:tc>
      </w:tr>
    </w:tbl>
    <w:p w14:paraId="6456D65E" w14:textId="5E92D90C" w:rsidR="00924571" w:rsidRPr="00BF0648" w:rsidRDefault="005B0B13" w:rsidP="00924571">
      <w:pPr>
        <w:spacing w:before="100" w:beforeAutospacing="1" w:after="100" w:afterAutospacing="1" w:line="360" w:lineRule="auto"/>
        <w:jc w:val="both"/>
        <w:rPr>
          <w:rFonts w:ascii="Arial" w:eastAsia="Times New Roman" w:hAnsi="Arial" w:cs="Arial"/>
        </w:rPr>
      </w:pPr>
      <w:r w:rsidRPr="00BF0648">
        <w:rPr>
          <w:rFonts w:ascii="Arial" w:hAnsi="Arial" w:cs="Arial"/>
        </w:rPr>
        <w:t>The marital status of the 392 respondents is presented (Table</w:t>
      </w:r>
      <w:r w:rsidR="00A10DF8" w:rsidRPr="00BF0648">
        <w:rPr>
          <w:rFonts w:ascii="Arial" w:hAnsi="Arial" w:cs="Arial"/>
        </w:rPr>
        <w:t xml:space="preserve"> 2</w:t>
      </w:r>
      <w:r w:rsidRPr="00BF0648">
        <w:rPr>
          <w:rFonts w:ascii="Arial" w:hAnsi="Arial" w:cs="Arial"/>
        </w:rPr>
        <w:t>). The majority were married (80.9%), while smaller proportions were single (14.8%), widowed (2.0%), separated (1.0%), divorced (0.8%), or cohabiting (0.5%). This indicates that most participants were in husband-headed marital relationships.</w:t>
      </w:r>
    </w:p>
    <w:p w14:paraId="7ECE27E1" w14:textId="7AA34339" w:rsidR="005B0B13" w:rsidRPr="00BF0648" w:rsidRDefault="005B0B13" w:rsidP="00924571">
      <w:pPr>
        <w:spacing w:before="100" w:beforeAutospacing="1" w:after="100" w:afterAutospacing="1" w:line="360" w:lineRule="auto"/>
        <w:jc w:val="both"/>
        <w:rPr>
          <w:rFonts w:ascii="Arial" w:eastAsia="Times New Roman" w:hAnsi="Arial" w:cs="Arial"/>
          <w:b/>
        </w:rPr>
      </w:pPr>
      <w:r w:rsidRPr="00BF0648">
        <w:rPr>
          <w:rFonts w:ascii="Arial" w:eastAsia="Times New Roman" w:hAnsi="Arial" w:cs="Arial"/>
          <w:b/>
        </w:rPr>
        <w:t>Figure 1. Marital Status</w:t>
      </w:r>
    </w:p>
    <w:p w14:paraId="7532B525" w14:textId="10523E4D" w:rsidR="009C676B" w:rsidRPr="00BF0648" w:rsidRDefault="005B0B13" w:rsidP="00924571">
      <w:pPr>
        <w:spacing w:before="100" w:beforeAutospacing="1" w:after="100" w:afterAutospacing="1" w:line="360" w:lineRule="auto"/>
        <w:jc w:val="both"/>
        <w:rPr>
          <w:rFonts w:ascii="Arial" w:eastAsia="Times New Roman" w:hAnsi="Arial" w:cs="Arial"/>
        </w:rPr>
      </w:pPr>
      <w:r w:rsidRPr="00BF0648">
        <w:rPr>
          <w:rFonts w:ascii="Arial" w:hAnsi="Arial" w:cs="Arial"/>
          <w:noProof/>
        </w:rPr>
        <w:drawing>
          <wp:inline distT="0" distB="0" distL="0" distR="0" wp14:anchorId="202F2667" wp14:editId="66116300">
            <wp:extent cx="537845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8450" cy="3143250"/>
                    </a:xfrm>
                    <a:prstGeom prst="rect">
                      <a:avLst/>
                    </a:prstGeom>
                    <a:noFill/>
                    <a:ln>
                      <a:noFill/>
                    </a:ln>
                  </pic:spPr>
                </pic:pic>
              </a:graphicData>
            </a:graphic>
          </wp:inline>
        </w:drawing>
      </w:r>
    </w:p>
    <w:p w14:paraId="7A625D08" w14:textId="31C7FFF4" w:rsidR="009C676B" w:rsidRPr="00BF0648" w:rsidRDefault="009C676B" w:rsidP="00924571">
      <w:pPr>
        <w:spacing w:before="100" w:beforeAutospacing="1" w:after="100" w:afterAutospacing="1" w:line="360" w:lineRule="auto"/>
        <w:jc w:val="both"/>
        <w:rPr>
          <w:rFonts w:ascii="Arial" w:eastAsia="Times New Roman" w:hAnsi="Arial" w:cs="Arial"/>
          <w:b/>
          <w:bCs/>
        </w:rPr>
      </w:pPr>
      <w:r w:rsidRPr="00BF0648">
        <w:rPr>
          <w:rFonts w:ascii="Arial" w:hAnsi="Arial" w:cs="Arial"/>
        </w:rPr>
        <w:lastRenderedPageBreak/>
        <w:t xml:space="preserve">The analysis of socio-demographic factors revealed that education had the highest mean score (M = 3.73, SD = 1.32) and was significantly associated with maternal health service uptake (p = 0.010). Age distribution ranked second (M = 2.99, SD = 1.35) and also showed a statistically significant association (p = 0.003). Marital status had the lowest mean score (M = 2.79, SD = 0.88) and was </w:t>
      </w:r>
      <w:r w:rsidR="004840C2" w:rsidRPr="00BF0648">
        <w:rPr>
          <w:rFonts w:ascii="Arial" w:hAnsi="Arial" w:cs="Arial"/>
        </w:rPr>
        <w:t>not statistically significant (</w:t>
      </w:r>
      <w:r w:rsidR="004840C2" w:rsidRPr="00BF0648">
        <w:rPr>
          <w:rFonts w:ascii="Arial" w:hAnsi="Arial" w:cs="Arial"/>
          <w:i/>
        </w:rPr>
        <w:t>P</w:t>
      </w:r>
      <w:r w:rsidR="004840C2" w:rsidRPr="00BF0648">
        <w:rPr>
          <w:rFonts w:ascii="Arial" w:hAnsi="Arial" w:cs="Arial"/>
        </w:rPr>
        <w:t xml:space="preserve"> = 0.110</w:t>
      </w:r>
      <w:r w:rsidRPr="00BF0648">
        <w:rPr>
          <w:rFonts w:ascii="Arial" w:hAnsi="Arial" w:cs="Arial"/>
        </w:rPr>
        <w:t xml:space="preserve">). These findings suggest that education and age are stronger predictors of maternal health service utilization compared to marital status (Table </w:t>
      </w:r>
      <w:r w:rsidR="00A10DF8" w:rsidRPr="00BF0648">
        <w:rPr>
          <w:rFonts w:ascii="Arial" w:hAnsi="Arial" w:cs="Arial"/>
        </w:rPr>
        <w:t>3</w:t>
      </w:r>
      <w:r w:rsidRPr="00BF0648">
        <w:rPr>
          <w:rFonts w:ascii="Arial" w:hAnsi="Arial" w:cs="Arial"/>
        </w:rPr>
        <w:t>).</w:t>
      </w:r>
    </w:p>
    <w:p w14:paraId="1F6F404B" w14:textId="7585E4FA" w:rsidR="009C676B" w:rsidRPr="00BF0648" w:rsidRDefault="009C676B" w:rsidP="00924571">
      <w:pPr>
        <w:pStyle w:val="Caption"/>
        <w:spacing w:line="360" w:lineRule="auto"/>
        <w:jc w:val="both"/>
        <w:rPr>
          <w:rFonts w:ascii="Arial" w:hAnsi="Arial" w:cs="Arial"/>
          <w:i w:val="0"/>
          <w:iCs w:val="0"/>
          <w:color w:val="auto"/>
          <w:sz w:val="22"/>
          <w:szCs w:val="22"/>
        </w:rPr>
      </w:pPr>
      <w:bookmarkStart w:id="1" w:name="_Toc170202953"/>
      <w:r w:rsidRPr="00BF0648">
        <w:rPr>
          <w:rFonts w:ascii="Arial" w:hAnsi="Arial" w:cs="Arial"/>
          <w:b/>
          <w:i w:val="0"/>
          <w:iCs w:val="0"/>
          <w:color w:val="auto"/>
          <w:sz w:val="22"/>
          <w:szCs w:val="22"/>
        </w:rPr>
        <w:t>Table 3.</w:t>
      </w:r>
      <w:r w:rsidRPr="00BF0648">
        <w:rPr>
          <w:rFonts w:ascii="Arial" w:hAnsi="Arial" w:cs="Arial"/>
          <w:i w:val="0"/>
          <w:iCs w:val="0"/>
          <w:color w:val="auto"/>
          <w:sz w:val="22"/>
          <w:szCs w:val="22"/>
        </w:rPr>
        <w:t xml:space="preserve"> </w:t>
      </w:r>
      <w:bookmarkEnd w:id="1"/>
      <w:r w:rsidRPr="00BF0648">
        <w:rPr>
          <w:rFonts w:ascii="Arial" w:hAnsi="Arial" w:cs="Arial"/>
          <w:b/>
          <w:bCs/>
          <w:i w:val="0"/>
          <w:color w:val="auto"/>
          <w:sz w:val="22"/>
          <w:szCs w:val="22"/>
        </w:rPr>
        <w:t xml:space="preserve"> </w:t>
      </w:r>
      <w:r w:rsidR="0034078E" w:rsidRPr="00BF0648">
        <w:rPr>
          <w:rFonts w:ascii="Arial" w:eastAsia="Times New Roman" w:hAnsi="Arial" w:cs="Arial"/>
          <w:b/>
          <w:bCs/>
          <w:i w:val="0"/>
          <w:color w:val="000000" w:themeColor="text1"/>
          <w:sz w:val="22"/>
          <w:szCs w:val="22"/>
        </w:rPr>
        <w:t>Association of Socio-Demographic Factors with Maternal Health Service Uptake</w:t>
      </w:r>
      <w:r w:rsidR="0034078E" w:rsidRPr="00BF0648">
        <w:rPr>
          <w:rFonts w:ascii="Arial" w:hAnsi="Arial" w:cs="Arial"/>
          <w:b/>
          <w:bCs/>
          <w:i w:val="0"/>
          <w:color w:val="000000" w:themeColor="text1"/>
          <w:sz w:val="22"/>
          <w:szCs w:val="22"/>
        </w:rPr>
        <w:t xml:space="preserve"> </w:t>
      </w:r>
    </w:p>
    <w:tbl>
      <w:tblPr>
        <w:tblW w:w="0" w:type="auto"/>
        <w:tblBorders>
          <w:top w:val="single" w:sz="4" w:space="0" w:color="7F7F7F"/>
          <w:bottom w:val="single" w:sz="4" w:space="0" w:color="7F7F7F"/>
        </w:tblBorders>
        <w:tblLook w:val="04A0" w:firstRow="1" w:lastRow="0" w:firstColumn="1" w:lastColumn="0" w:noHBand="0" w:noVBand="1"/>
      </w:tblPr>
      <w:tblGrid>
        <w:gridCol w:w="551"/>
        <w:gridCol w:w="3633"/>
        <w:gridCol w:w="1073"/>
        <w:gridCol w:w="1784"/>
        <w:gridCol w:w="1160"/>
        <w:gridCol w:w="1159"/>
      </w:tblGrid>
      <w:tr w:rsidR="009C676B" w:rsidRPr="00BF0648" w14:paraId="6FE4C856" w14:textId="77777777" w:rsidTr="0034078E">
        <w:tc>
          <w:tcPr>
            <w:tcW w:w="551" w:type="dxa"/>
            <w:tcBorders>
              <w:bottom w:val="single" w:sz="4" w:space="0" w:color="7F7F7F"/>
            </w:tcBorders>
          </w:tcPr>
          <w:p w14:paraId="0A02470E" w14:textId="77777777" w:rsidR="009C676B" w:rsidRPr="00BF0648" w:rsidRDefault="009C676B" w:rsidP="00924571">
            <w:pPr>
              <w:spacing w:line="360" w:lineRule="auto"/>
              <w:jc w:val="both"/>
              <w:rPr>
                <w:rFonts w:ascii="Arial" w:hAnsi="Arial" w:cs="Arial"/>
                <w:b/>
                <w:bCs/>
              </w:rPr>
            </w:pPr>
            <w:r w:rsidRPr="00BF0648">
              <w:rPr>
                <w:rFonts w:ascii="Arial" w:hAnsi="Arial" w:cs="Arial"/>
                <w:b/>
                <w:bCs/>
              </w:rPr>
              <w:t>No</w:t>
            </w:r>
          </w:p>
        </w:tc>
        <w:tc>
          <w:tcPr>
            <w:tcW w:w="3633" w:type="dxa"/>
            <w:tcBorders>
              <w:bottom w:val="single" w:sz="4" w:space="0" w:color="7F7F7F"/>
            </w:tcBorders>
          </w:tcPr>
          <w:p w14:paraId="146C9458" w14:textId="77777777" w:rsidR="009C676B" w:rsidRPr="00BF0648" w:rsidRDefault="009C676B" w:rsidP="00924571">
            <w:pPr>
              <w:spacing w:line="360" w:lineRule="auto"/>
              <w:jc w:val="both"/>
              <w:rPr>
                <w:rFonts w:ascii="Arial" w:hAnsi="Arial" w:cs="Arial"/>
                <w:b/>
                <w:bCs/>
              </w:rPr>
            </w:pPr>
            <w:r w:rsidRPr="00BF0648">
              <w:rPr>
                <w:rFonts w:ascii="Arial" w:hAnsi="Arial" w:cs="Arial"/>
                <w:b/>
                <w:bCs/>
              </w:rPr>
              <w:t>Item</w:t>
            </w:r>
          </w:p>
        </w:tc>
        <w:tc>
          <w:tcPr>
            <w:tcW w:w="1073" w:type="dxa"/>
            <w:tcBorders>
              <w:bottom w:val="single" w:sz="4" w:space="0" w:color="7F7F7F"/>
            </w:tcBorders>
          </w:tcPr>
          <w:p w14:paraId="2483A68C" w14:textId="77777777" w:rsidR="009C676B" w:rsidRPr="00BF0648" w:rsidRDefault="009C676B" w:rsidP="00924571">
            <w:pPr>
              <w:spacing w:line="360" w:lineRule="auto"/>
              <w:jc w:val="both"/>
              <w:rPr>
                <w:rFonts w:ascii="Arial" w:hAnsi="Arial" w:cs="Arial"/>
                <w:b/>
                <w:bCs/>
              </w:rPr>
            </w:pPr>
            <w:r w:rsidRPr="00BF0648">
              <w:rPr>
                <w:rFonts w:ascii="Arial" w:hAnsi="Arial" w:cs="Arial"/>
                <w:b/>
                <w:bCs/>
              </w:rPr>
              <w:t>Mean</w:t>
            </w:r>
          </w:p>
        </w:tc>
        <w:tc>
          <w:tcPr>
            <w:tcW w:w="1784" w:type="dxa"/>
            <w:tcBorders>
              <w:bottom w:val="single" w:sz="4" w:space="0" w:color="7F7F7F"/>
            </w:tcBorders>
          </w:tcPr>
          <w:p w14:paraId="699913A3" w14:textId="77777777" w:rsidR="009C676B" w:rsidRPr="00BF0648" w:rsidRDefault="009C676B" w:rsidP="00924571">
            <w:pPr>
              <w:spacing w:line="360" w:lineRule="auto"/>
              <w:jc w:val="both"/>
              <w:rPr>
                <w:rFonts w:ascii="Arial" w:hAnsi="Arial" w:cs="Arial"/>
                <w:b/>
                <w:bCs/>
              </w:rPr>
            </w:pPr>
            <w:r w:rsidRPr="00BF0648">
              <w:rPr>
                <w:rFonts w:ascii="Arial" w:hAnsi="Arial" w:cs="Arial"/>
                <w:b/>
                <w:bCs/>
              </w:rPr>
              <w:t>Std. Deviation</w:t>
            </w:r>
          </w:p>
        </w:tc>
        <w:tc>
          <w:tcPr>
            <w:tcW w:w="1160" w:type="dxa"/>
            <w:tcBorders>
              <w:bottom w:val="single" w:sz="4" w:space="0" w:color="7F7F7F"/>
            </w:tcBorders>
          </w:tcPr>
          <w:p w14:paraId="309338B2" w14:textId="77777777" w:rsidR="009C676B" w:rsidRPr="00BF0648" w:rsidRDefault="009C676B" w:rsidP="00924571">
            <w:pPr>
              <w:spacing w:line="360" w:lineRule="auto"/>
              <w:jc w:val="both"/>
              <w:rPr>
                <w:rFonts w:ascii="Arial" w:hAnsi="Arial" w:cs="Arial"/>
                <w:b/>
                <w:bCs/>
              </w:rPr>
            </w:pPr>
            <w:r w:rsidRPr="00BF0648">
              <w:rPr>
                <w:rFonts w:ascii="Arial" w:hAnsi="Arial" w:cs="Arial"/>
                <w:b/>
                <w:bCs/>
              </w:rPr>
              <w:t>Rank</w:t>
            </w:r>
          </w:p>
        </w:tc>
        <w:tc>
          <w:tcPr>
            <w:tcW w:w="1159" w:type="dxa"/>
            <w:tcBorders>
              <w:bottom w:val="single" w:sz="4" w:space="0" w:color="7F7F7F"/>
            </w:tcBorders>
          </w:tcPr>
          <w:p w14:paraId="1AF2CE65" w14:textId="77777777" w:rsidR="009C676B" w:rsidRPr="00BF0648" w:rsidRDefault="009C676B" w:rsidP="00924571">
            <w:pPr>
              <w:spacing w:line="360" w:lineRule="auto"/>
              <w:jc w:val="both"/>
              <w:rPr>
                <w:rFonts w:ascii="Arial" w:hAnsi="Arial" w:cs="Arial"/>
                <w:b/>
                <w:bCs/>
                <w:i/>
                <w:iCs/>
              </w:rPr>
            </w:pPr>
            <w:r w:rsidRPr="00BF0648">
              <w:rPr>
                <w:rFonts w:ascii="Arial" w:hAnsi="Arial" w:cs="Arial"/>
                <w:b/>
                <w:bCs/>
                <w:i/>
                <w:iCs/>
              </w:rPr>
              <w:t>P-value</w:t>
            </w:r>
          </w:p>
        </w:tc>
      </w:tr>
      <w:tr w:rsidR="009C676B" w:rsidRPr="00BF0648" w14:paraId="4F6C7CB9" w14:textId="77777777" w:rsidTr="0034078E">
        <w:tc>
          <w:tcPr>
            <w:tcW w:w="551" w:type="dxa"/>
            <w:tcBorders>
              <w:top w:val="single" w:sz="4" w:space="0" w:color="7F7F7F"/>
              <w:bottom w:val="single" w:sz="4" w:space="0" w:color="7F7F7F"/>
            </w:tcBorders>
          </w:tcPr>
          <w:p w14:paraId="36E68EAB" w14:textId="77777777" w:rsidR="009C676B" w:rsidRPr="00BF0648" w:rsidRDefault="009C676B" w:rsidP="00924571">
            <w:pPr>
              <w:spacing w:line="360" w:lineRule="auto"/>
              <w:jc w:val="both"/>
              <w:rPr>
                <w:rFonts w:ascii="Arial" w:hAnsi="Arial" w:cs="Arial"/>
                <w:b/>
                <w:bCs/>
              </w:rPr>
            </w:pPr>
            <w:r w:rsidRPr="00BF0648">
              <w:rPr>
                <w:rFonts w:ascii="Arial" w:hAnsi="Arial" w:cs="Arial"/>
                <w:b/>
                <w:bCs/>
              </w:rPr>
              <w:t>1</w:t>
            </w:r>
          </w:p>
        </w:tc>
        <w:tc>
          <w:tcPr>
            <w:tcW w:w="3633" w:type="dxa"/>
            <w:tcBorders>
              <w:top w:val="single" w:sz="4" w:space="0" w:color="7F7F7F"/>
              <w:bottom w:val="single" w:sz="4" w:space="0" w:color="7F7F7F"/>
            </w:tcBorders>
          </w:tcPr>
          <w:p w14:paraId="45FC00AD" w14:textId="77777777" w:rsidR="009C676B" w:rsidRPr="00BF0648" w:rsidRDefault="009C676B" w:rsidP="00924571">
            <w:pPr>
              <w:spacing w:line="360" w:lineRule="auto"/>
              <w:jc w:val="both"/>
              <w:rPr>
                <w:rFonts w:ascii="Arial" w:hAnsi="Arial" w:cs="Arial"/>
              </w:rPr>
            </w:pPr>
            <w:r w:rsidRPr="00BF0648">
              <w:rPr>
                <w:rFonts w:ascii="Arial" w:hAnsi="Arial" w:cs="Arial"/>
              </w:rPr>
              <w:t>Age distribution</w:t>
            </w:r>
          </w:p>
        </w:tc>
        <w:tc>
          <w:tcPr>
            <w:tcW w:w="1073" w:type="dxa"/>
            <w:tcBorders>
              <w:top w:val="single" w:sz="4" w:space="0" w:color="7F7F7F"/>
              <w:bottom w:val="single" w:sz="4" w:space="0" w:color="7F7F7F"/>
            </w:tcBorders>
          </w:tcPr>
          <w:p w14:paraId="6FB2BC6B" w14:textId="77777777" w:rsidR="009C676B" w:rsidRPr="00BF0648" w:rsidRDefault="009C676B" w:rsidP="00924571">
            <w:pPr>
              <w:spacing w:line="360" w:lineRule="auto"/>
              <w:jc w:val="both"/>
              <w:rPr>
                <w:rFonts w:ascii="Arial" w:hAnsi="Arial" w:cs="Arial"/>
              </w:rPr>
            </w:pPr>
            <w:r w:rsidRPr="00BF0648">
              <w:rPr>
                <w:rFonts w:ascii="Arial" w:hAnsi="Arial" w:cs="Arial"/>
              </w:rPr>
              <w:t>2.99</w:t>
            </w:r>
          </w:p>
        </w:tc>
        <w:tc>
          <w:tcPr>
            <w:tcW w:w="1784" w:type="dxa"/>
            <w:tcBorders>
              <w:top w:val="single" w:sz="4" w:space="0" w:color="7F7F7F"/>
              <w:bottom w:val="single" w:sz="4" w:space="0" w:color="7F7F7F"/>
            </w:tcBorders>
          </w:tcPr>
          <w:p w14:paraId="36F35154" w14:textId="77777777" w:rsidR="009C676B" w:rsidRPr="00BF0648" w:rsidRDefault="009C676B" w:rsidP="00924571">
            <w:pPr>
              <w:spacing w:line="360" w:lineRule="auto"/>
              <w:jc w:val="both"/>
              <w:rPr>
                <w:rFonts w:ascii="Arial" w:hAnsi="Arial" w:cs="Arial"/>
              </w:rPr>
            </w:pPr>
            <w:r w:rsidRPr="00BF0648">
              <w:rPr>
                <w:rFonts w:ascii="Arial" w:hAnsi="Arial" w:cs="Arial"/>
              </w:rPr>
              <w:t>1.345</w:t>
            </w:r>
          </w:p>
        </w:tc>
        <w:tc>
          <w:tcPr>
            <w:tcW w:w="1160" w:type="dxa"/>
            <w:tcBorders>
              <w:top w:val="single" w:sz="4" w:space="0" w:color="7F7F7F"/>
              <w:bottom w:val="single" w:sz="4" w:space="0" w:color="7F7F7F"/>
            </w:tcBorders>
          </w:tcPr>
          <w:p w14:paraId="2F83D21E" w14:textId="77777777" w:rsidR="009C676B" w:rsidRPr="00BF0648" w:rsidRDefault="009C676B" w:rsidP="00924571">
            <w:pPr>
              <w:spacing w:line="360" w:lineRule="auto"/>
              <w:jc w:val="both"/>
              <w:rPr>
                <w:rFonts w:ascii="Arial" w:hAnsi="Arial" w:cs="Arial"/>
              </w:rPr>
            </w:pPr>
            <w:r w:rsidRPr="00BF0648">
              <w:rPr>
                <w:rFonts w:ascii="Arial" w:hAnsi="Arial" w:cs="Arial"/>
              </w:rPr>
              <w:t>2</w:t>
            </w:r>
          </w:p>
        </w:tc>
        <w:tc>
          <w:tcPr>
            <w:tcW w:w="1159" w:type="dxa"/>
            <w:tcBorders>
              <w:top w:val="single" w:sz="4" w:space="0" w:color="7F7F7F"/>
              <w:bottom w:val="single" w:sz="4" w:space="0" w:color="7F7F7F"/>
            </w:tcBorders>
          </w:tcPr>
          <w:p w14:paraId="6F209120" w14:textId="4CB6FE66" w:rsidR="009C676B" w:rsidRPr="00BF0648" w:rsidRDefault="004840C2" w:rsidP="00924571">
            <w:pPr>
              <w:spacing w:line="360" w:lineRule="auto"/>
              <w:jc w:val="both"/>
              <w:rPr>
                <w:rFonts w:ascii="Arial" w:hAnsi="Arial" w:cs="Arial"/>
              </w:rPr>
            </w:pPr>
            <w:r w:rsidRPr="00BF0648">
              <w:rPr>
                <w:rFonts w:ascii="Arial" w:hAnsi="Arial" w:cs="Arial"/>
              </w:rPr>
              <w:t>.003</w:t>
            </w:r>
          </w:p>
        </w:tc>
      </w:tr>
      <w:tr w:rsidR="009C676B" w:rsidRPr="00BF0648" w14:paraId="72AFB327" w14:textId="77777777" w:rsidTr="0034078E">
        <w:tc>
          <w:tcPr>
            <w:tcW w:w="551" w:type="dxa"/>
          </w:tcPr>
          <w:p w14:paraId="0FF9A80A" w14:textId="77777777" w:rsidR="009C676B" w:rsidRPr="00BF0648" w:rsidRDefault="009C676B" w:rsidP="00924571">
            <w:pPr>
              <w:spacing w:line="360" w:lineRule="auto"/>
              <w:jc w:val="both"/>
              <w:rPr>
                <w:rFonts w:ascii="Arial" w:hAnsi="Arial" w:cs="Arial"/>
                <w:b/>
                <w:bCs/>
              </w:rPr>
            </w:pPr>
            <w:r w:rsidRPr="00BF0648">
              <w:rPr>
                <w:rFonts w:ascii="Arial" w:hAnsi="Arial" w:cs="Arial"/>
                <w:b/>
                <w:bCs/>
              </w:rPr>
              <w:t>2</w:t>
            </w:r>
          </w:p>
        </w:tc>
        <w:tc>
          <w:tcPr>
            <w:tcW w:w="3633" w:type="dxa"/>
          </w:tcPr>
          <w:p w14:paraId="77B05182" w14:textId="77777777" w:rsidR="009C676B" w:rsidRPr="00BF0648" w:rsidRDefault="009C676B" w:rsidP="00924571">
            <w:pPr>
              <w:spacing w:line="360" w:lineRule="auto"/>
              <w:jc w:val="both"/>
              <w:rPr>
                <w:rFonts w:ascii="Arial" w:hAnsi="Arial" w:cs="Arial"/>
              </w:rPr>
            </w:pPr>
            <w:r w:rsidRPr="00BF0648">
              <w:rPr>
                <w:rFonts w:ascii="Arial" w:hAnsi="Arial" w:cs="Arial"/>
              </w:rPr>
              <w:t>Level of education</w:t>
            </w:r>
          </w:p>
        </w:tc>
        <w:tc>
          <w:tcPr>
            <w:tcW w:w="1073" w:type="dxa"/>
          </w:tcPr>
          <w:p w14:paraId="4233EC2D" w14:textId="77777777" w:rsidR="009C676B" w:rsidRPr="00BF0648" w:rsidRDefault="009C676B" w:rsidP="00924571">
            <w:pPr>
              <w:spacing w:line="360" w:lineRule="auto"/>
              <w:jc w:val="both"/>
              <w:rPr>
                <w:rFonts w:ascii="Arial" w:hAnsi="Arial" w:cs="Arial"/>
              </w:rPr>
            </w:pPr>
            <w:r w:rsidRPr="00BF0648">
              <w:rPr>
                <w:rFonts w:ascii="Arial" w:hAnsi="Arial" w:cs="Arial"/>
              </w:rPr>
              <w:t>3.73</w:t>
            </w:r>
          </w:p>
        </w:tc>
        <w:tc>
          <w:tcPr>
            <w:tcW w:w="1784" w:type="dxa"/>
          </w:tcPr>
          <w:p w14:paraId="5CF84F3D" w14:textId="77777777" w:rsidR="009C676B" w:rsidRPr="00BF0648" w:rsidRDefault="009C676B" w:rsidP="00924571">
            <w:pPr>
              <w:spacing w:line="360" w:lineRule="auto"/>
              <w:jc w:val="both"/>
              <w:rPr>
                <w:rFonts w:ascii="Arial" w:hAnsi="Arial" w:cs="Arial"/>
              </w:rPr>
            </w:pPr>
            <w:r w:rsidRPr="00BF0648">
              <w:rPr>
                <w:rFonts w:ascii="Arial" w:hAnsi="Arial" w:cs="Arial"/>
              </w:rPr>
              <w:t>1.320</w:t>
            </w:r>
          </w:p>
        </w:tc>
        <w:tc>
          <w:tcPr>
            <w:tcW w:w="1160" w:type="dxa"/>
          </w:tcPr>
          <w:p w14:paraId="3D04CFA5" w14:textId="77777777" w:rsidR="009C676B" w:rsidRPr="00BF0648" w:rsidRDefault="009C676B" w:rsidP="00924571">
            <w:pPr>
              <w:spacing w:line="360" w:lineRule="auto"/>
              <w:jc w:val="both"/>
              <w:rPr>
                <w:rFonts w:ascii="Arial" w:hAnsi="Arial" w:cs="Arial"/>
              </w:rPr>
            </w:pPr>
            <w:r w:rsidRPr="00BF0648">
              <w:rPr>
                <w:rFonts w:ascii="Arial" w:hAnsi="Arial" w:cs="Arial"/>
              </w:rPr>
              <w:t>1</w:t>
            </w:r>
          </w:p>
        </w:tc>
        <w:tc>
          <w:tcPr>
            <w:tcW w:w="1159" w:type="dxa"/>
          </w:tcPr>
          <w:p w14:paraId="7C9EC9C6" w14:textId="2AFB94A6" w:rsidR="009C676B" w:rsidRPr="00BF0648" w:rsidRDefault="004840C2" w:rsidP="00924571">
            <w:pPr>
              <w:spacing w:line="360" w:lineRule="auto"/>
              <w:jc w:val="both"/>
              <w:rPr>
                <w:rFonts w:ascii="Arial" w:hAnsi="Arial" w:cs="Arial"/>
              </w:rPr>
            </w:pPr>
            <w:r w:rsidRPr="00BF0648">
              <w:rPr>
                <w:rFonts w:ascii="Arial" w:hAnsi="Arial" w:cs="Arial"/>
              </w:rPr>
              <w:t>.010</w:t>
            </w:r>
          </w:p>
        </w:tc>
      </w:tr>
      <w:tr w:rsidR="009C676B" w:rsidRPr="00BF0648" w14:paraId="263A3356" w14:textId="77777777" w:rsidTr="0034078E">
        <w:tc>
          <w:tcPr>
            <w:tcW w:w="551" w:type="dxa"/>
            <w:tcBorders>
              <w:top w:val="single" w:sz="4" w:space="0" w:color="7F7F7F"/>
              <w:bottom w:val="single" w:sz="4" w:space="0" w:color="7F7F7F"/>
            </w:tcBorders>
          </w:tcPr>
          <w:p w14:paraId="5978D3AE" w14:textId="77777777" w:rsidR="009C676B" w:rsidRPr="00BF0648" w:rsidRDefault="009C676B" w:rsidP="00924571">
            <w:pPr>
              <w:spacing w:line="360" w:lineRule="auto"/>
              <w:jc w:val="both"/>
              <w:rPr>
                <w:rFonts w:ascii="Arial" w:hAnsi="Arial" w:cs="Arial"/>
                <w:b/>
                <w:bCs/>
              </w:rPr>
            </w:pPr>
            <w:r w:rsidRPr="00BF0648">
              <w:rPr>
                <w:rFonts w:ascii="Arial" w:hAnsi="Arial" w:cs="Arial"/>
                <w:b/>
                <w:bCs/>
              </w:rPr>
              <w:t>3</w:t>
            </w:r>
          </w:p>
        </w:tc>
        <w:tc>
          <w:tcPr>
            <w:tcW w:w="3633" w:type="dxa"/>
            <w:tcBorders>
              <w:top w:val="single" w:sz="4" w:space="0" w:color="7F7F7F"/>
              <w:bottom w:val="single" w:sz="4" w:space="0" w:color="7F7F7F"/>
            </w:tcBorders>
          </w:tcPr>
          <w:p w14:paraId="0B5DA570" w14:textId="77777777" w:rsidR="009C676B" w:rsidRPr="00BF0648" w:rsidRDefault="009C676B" w:rsidP="00924571">
            <w:pPr>
              <w:spacing w:line="360" w:lineRule="auto"/>
              <w:jc w:val="both"/>
              <w:rPr>
                <w:rFonts w:ascii="Arial" w:hAnsi="Arial" w:cs="Arial"/>
              </w:rPr>
            </w:pPr>
            <w:r w:rsidRPr="00BF0648">
              <w:rPr>
                <w:rFonts w:ascii="Arial" w:hAnsi="Arial" w:cs="Arial"/>
              </w:rPr>
              <w:t xml:space="preserve">Marital status </w:t>
            </w:r>
          </w:p>
        </w:tc>
        <w:tc>
          <w:tcPr>
            <w:tcW w:w="1073" w:type="dxa"/>
            <w:tcBorders>
              <w:top w:val="single" w:sz="4" w:space="0" w:color="7F7F7F"/>
              <w:bottom w:val="single" w:sz="4" w:space="0" w:color="7F7F7F"/>
            </w:tcBorders>
          </w:tcPr>
          <w:p w14:paraId="22A06A65" w14:textId="77777777" w:rsidR="009C676B" w:rsidRPr="00BF0648" w:rsidRDefault="009C676B" w:rsidP="00924571">
            <w:pPr>
              <w:spacing w:line="360" w:lineRule="auto"/>
              <w:jc w:val="both"/>
              <w:rPr>
                <w:rFonts w:ascii="Arial" w:hAnsi="Arial" w:cs="Arial"/>
              </w:rPr>
            </w:pPr>
            <w:r w:rsidRPr="00BF0648">
              <w:rPr>
                <w:rFonts w:ascii="Arial" w:hAnsi="Arial" w:cs="Arial"/>
              </w:rPr>
              <w:t>2.79</w:t>
            </w:r>
          </w:p>
        </w:tc>
        <w:tc>
          <w:tcPr>
            <w:tcW w:w="1784" w:type="dxa"/>
            <w:tcBorders>
              <w:top w:val="single" w:sz="4" w:space="0" w:color="7F7F7F"/>
              <w:bottom w:val="single" w:sz="4" w:space="0" w:color="7F7F7F"/>
            </w:tcBorders>
          </w:tcPr>
          <w:p w14:paraId="7F1E5AB6" w14:textId="77777777" w:rsidR="009C676B" w:rsidRPr="00BF0648" w:rsidRDefault="009C676B" w:rsidP="00924571">
            <w:pPr>
              <w:spacing w:line="360" w:lineRule="auto"/>
              <w:jc w:val="both"/>
              <w:rPr>
                <w:rFonts w:ascii="Arial" w:hAnsi="Arial" w:cs="Arial"/>
              </w:rPr>
            </w:pPr>
            <w:r w:rsidRPr="00BF0648">
              <w:rPr>
                <w:rFonts w:ascii="Arial" w:hAnsi="Arial" w:cs="Arial"/>
              </w:rPr>
              <w:t>0.882</w:t>
            </w:r>
          </w:p>
        </w:tc>
        <w:tc>
          <w:tcPr>
            <w:tcW w:w="1160" w:type="dxa"/>
            <w:tcBorders>
              <w:top w:val="single" w:sz="4" w:space="0" w:color="7F7F7F"/>
              <w:bottom w:val="single" w:sz="4" w:space="0" w:color="7F7F7F"/>
            </w:tcBorders>
          </w:tcPr>
          <w:p w14:paraId="4A8AF6E5" w14:textId="77777777" w:rsidR="009C676B" w:rsidRPr="00BF0648" w:rsidRDefault="009C676B" w:rsidP="00924571">
            <w:pPr>
              <w:spacing w:line="360" w:lineRule="auto"/>
              <w:jc w:val="both"/>
              <w:rPr>
                <w:rFonts w:ascii="Arial" w:hAnsi="Arial" w:cs="Arial"/>
              </w:rPr>
            </w:pPr>
            <w:r w:rsidRPr="00BF0648">
              <w:rPr>
                <w:rFonts w:ascii="Arial" w:hAnsi="Arial" w:cs="Arial"/>
              </w:rPr>
              <w:t>3</w:t>
            </w:r>
          </w:p>
        </w:tc>
        <w:tc>
          <w:tcPr>
            <w:tcW w:w="1159" w:type="dxa"/>
            <w:tcBorders>
              <w:top w:val="single" w:sz="4" w:space="0" w:color="7F7F7F"/>
              <w:bottom w:val="single" w:sz="4" w:space="0" w:color="7F7F7F"/>
            </w:tcBorders>
          </w:tcPr>
          <w:p w14:paraId="502E95EB" w14:textId="228FE0DF" w:rsidR="009C676B" w:rsidRPr="00BF0648" w:rsidRDefault="004840C2" w:rsidP="00924571">
            <w:pPr>
              <w:spacing w:line="360" w:lineRule="auto"/>
              <w:jc w:val="both"/>
              <w:rPr>
                <w:rFonts w:ascii="Arial" w:hAnsi="Arial" w:cs="Arial"/>
              </w:rPr>
            </w:pPr>
            <w:r w:rsidRPr="00BF0648">
              <w:rPr>
                <w:rFonts w:ascii="Arial" w:hAnsi="Arial" w:cs="Arial"/>
              </w:rPr>
              <w:t>.110</w:t>
            </w:r>
          </w:p>
        </w:tc>
      </w:tr>
    </w:tbl>
    <w:p w14:paraId="5B5BA364" w14:textId="40D42AD0" w:rsidR="00924571" w:rsidRPr="00BF0648" w:rsidRDefault="00924571" w:rsidP="00924571">
      <w:pPr>
        <w:spacing w:after="100" w:afterAutospacing="1" w:line="240" w:lineRule="auto"/>
        <w:jc w:val="both"/>
        <w:rPr>
          <w:rFonts w:ascii="Arial" w:hAnsi="Arial" w:cs="Arial"/>
          <w:i/>
        </w:rPr>
      </w:pPr>
      <w:r w:rsidRPr="00BF0648">
        <w:rPr>
          <w:rFonts w:ascii="Arial" w:hAnsi="Arial" w:cs="Arial"/>
          <w:i/>
        </w:rPr>
        <w:t>*“Mean” shows the average influence score of each socio-demographic factor on maternal health service uptake, with higher values indicating stronger influence.</w:t>
      </w:r>
    </w:p>
    <w:p w14:paraId="77444B7E" w14:textId="5650080F" w:rsidR="007F474E" w:rsidRPr="00BF0648" w:rsidRDefault="00C9748D" w:rsidP="00924571">
      <w:pPr>
        <w:spacing w:before="100" w:beforeAutospacing="1" w:after="100" w:afterAutospacing="1" w:line="360" w:lineRule="auto"/>
        <w:jc w:val="both"/>
        <w:rPr>
          <w:rFonts w:ascii="Arial" w:eastAsia="Times New Roman" w:hAnsi="Arial" w:cs="Arial"/>
        </w:rPr>
      </w:pPr>
      <w:r w:rsidRPr="00BF0648">
        <w:rPr>
          <w:rFonts w:ascii="Arial" w:hAnsi="Arial" w:cs="Arial"/>
        </w:rPr>
        <w:t>The structural equation modeling (SEM) results showed that socio-demographic factors were significant predictors of eCHIS utilization (β = 0.273, p &lt; 0.01), which in turn mediated their effect on maternal health service uptake. The model explained 41.2% of the variance in eCHIS utilization (R² = 0.412) and 42.8% of the variance in maternal service uptake (R² = 0.428), reflecting moderate explanatory power. When smartphone use was introduced as a moderator, the interaction between socio-demographic factors and smartphone access was</w:t>
      </w:r>
      <w:r w:rsidR="004840C2" w:rsidRPr="00BF0648">
        <w:rPr>
          <w:rFonts w:ascii="Arial" w:hAnsi="Arial" w:cs="Arial"/>
        </w:rPr>
        <w:t xml:space="preserve"> significant (β = 0.142, </w:t>
      </w:r>
      <w:r w:rsidR="004840C2" w:rsidRPr="00BF0648">
        <w:rPr>
          <w:rFonts w:ascii="Arial" w:hAnsi="Arial" w:cs="Arial"/>
          <w:i/>
        </w:rPr>
        <w:t>P</w:t>
      </w:r>
      <w:r w:rsidRPr="00BF0648">
        <w:rPr>
          <w:rFonts w:ascii="Arial" w:hAnsi="Arial" w:cs="Arial"/>
        </w:rPr>
        <w:t xml:space="preserve"> = 0.029), amplifying the positive effect of socio-demographic characteristics on eCHIS utilization. This adjustment improved the model’s predictive strength, with the R² increasing to 0.449.</w:t>
      </w:r>
    </w:p>
    <w:p w14:paraId="4A3B0810" w14:textId="6B780AD4" w:rsidR="003F403A" w:rsidRPr="00BF0648" w:rsidRDefault="0034078E" w:rsidP="00924571">
      <w:pPr>
        <w:spacing w:line="360" w:lineRule="auto"/>
        <w:jc w:val="both"/>
        <w:rPr>
          <w:rFonts w:ascii="Arial" w:hAnsi="Arial" w:cs="Arial"/>
          <w:b/>
        </w:rPr>
      </w:pPr>
      <w:r w:rsidRPr="00BF0648">
        <w:rPr>
          <w:rFonts w:ascii="Arial" w:hAnsi="Arial" w:cs="Arial"/>
          <w:b/>
        </w:rPr>
        <w:t>4. DISCUSSION</w:t>
      </w:r>
    </w:p>
    <w:p w14:paraId="374B9071" w14:textId="371A23F6" w:rsidR="00592890" w:rsidRPr="00056A31" w:rsidRDefault="00924571" w:rsidP="00924571">
      <w:pPr>
        <w:spacing w:before="100" w:beforeAutospacing="1" w:after="100" w:afterAutospacing="1" w:line="360" w:lineRule="auto"/>
        <w:jc w:val="both"/>
        <w:rPr>
          <w:rFonts w:ascii="Arial" w:eastAsia="Times New Roman" w:hAnsi="Arial" w:cs="Arial"/>
        </w:rPr>
      </w:pPr>
      <w:r w:rsidRPr="00BF0648">
        <w:rPr>
          <w:rFonts w:ascii="Arial" w:hAnsi="Arial" w:cs="Arial"/>
        </w:rPr>
        <w:t>Education emerged as the strongest predictor of maternal healthcare adoption, with a statisti</w:t>
      </w:r>
      <w:r w:rsidR="004840C2" w:rsidRPr="00BF0648">
        <w:rPr>
          <w:rFonts w:ascii="Arial" w:hAnsi="Arial" w:cs="Arial"/>
        </w:rPr>
        <w:t>cally significant association (</w:t>
      </w:r>
      <w:r w:rsidR="004840C2" w:rsidRPr="00BF0648">
        <w:rPr>
          <w:rFonts w:ascii="Arial" w:hAnsi="Arial" w:cs="Arial"/>
          <w:i/>
        </w:rPr>
        <w:t>P</w:t>
      </w:r>
      <w:r w:rsidRPr="00BF0648">
        <w:rPr>
          <w:rFonts w:ascii="Arial" w:hAnsi="Arial" w:cs="Arial"/>
        </w:rPr>
        <w:t xml:space="preserve"> = 0.010). Women with lower levels of education, particularly those who did not complete primary or secondary school, were less likely to access antenatal care (ANC) and other maternal health services. A recent study in Nigeria similarly found that maternal education was a key determinant of both partial and adequate utilization of maternal health </w:t>
      </w:r>
      <w:r w:rsidRPr="00BF0648">
        <w:rPr>
          <w:rFonts w:ascii="Arial" w:hAnsi="Arial" w:cs="Arial"/>
        </w:rPr>
        <w:lastRenderedPageBreak/>
        <w:t>services</w:t>
      </w:r>
      <w:r w:rsidRPr="00BF0648">
        <w:rPr>
          <w:rFonts w:ascii="Arial" w:hAnsi="Arial" w:cs="Arial"/>
          <w:vertAlign w:val="superscript"/>
        </w:rPr>
        <w:t>3</w:t>
      </w:r>
      <w:r w:rsidR="00592890" w:rsidRPr="00BF0648">
        <w:rPr>
          <w:rFonts w:ascii="Arial" w:hAnsi="Arial" w:cs="Arial"/>
        </w:rPr>
        <w:t xml:space="preserve"> </w:t>
      </w:r>
      <w:r w:rsidRPr="00BF0648">
        <w:rPr>
          <w:rFonts w:ascii="Arial" w:hAnsi="Arial" w:cs="Arial"/>
        </w:rPr>
        <w:t>.</w:t>
      </w:r>
      <w:r w:rsidR="00592890" w:rsidRPr="00BF0648">
        <w:rPr>
          <w:rFonts w:ascii="Arial" w:hAnsi="Arial" w:cs="Arial"/>
        </w:rPr>
        <w:t>Moreover, evidence from Ethiopia highlights that women with no formal education are more likely to delay ANC booking compared</w:t>
      </w:r>
      <w:r w:rsidRPr="00BF0648">
        <w:rPr>
          <w:rFonts w:ascii="Arial" w:hAnsi="Arial" w:cs="Arial"/>
        </w:rPr>
        <w:t xml:space="preserve"> to their educated counterparts</w:t>
      </w:r>
      <w:r w:rsidRPr="00BF0648">
        <w:rPr>
          <w:rFonts w:ascii="Arial" w:hAnsi="Arial" w:cs="Arial"/>
          <w:vertAlign w:val="superscript"/>
        </w:rPr>
        <w:t>4</w:t>
      </w:r>
      <w:r w:rsidR="00592890" w:rsidRPr="00BF0648">
        <w:rPr>
          <w:rFonts w:ascii="Arial" w:hAnsi="Arial" w:cs="Arial"/>
        </w:rPr>
        <w:t>. These findings collectively demonstrate the critical importance of education as a lever for improving maternal health outcomes, thereby underscoring the need for targeted interventions aimed at increasing health literacy and addressing barriers to education in rural and peri-urban communities.</w:t>
      </w:r>
      <w:r w:rsidR="00056A31" w:rsidRPr="00056A31">
        <w:t xml:space="preserve"> </w:t>
      </w:r>
      <w:r w:rsidR="00056A31" w:rsidRPr="003773AE">
        <w:rPr>
          <w:rFonts w:ascii="Arial" w:hAnsi="Arial" w:cs="Arial"/>
          <w:highlight w:val="yellow"/>
        </w:rPr>
        <w:t xml:space="preserve">Complementary evidence </w:t>
      </w:r>
      <w:r w:rsidR="00757A34">
        <w:rPr>
          <w:rFonts w:ascii="Arial" w:hAnsi="Arial" w:cs="Arial"/>
          <w:highlight w:val="yellow"/>
        </w:rPr>
        <w:t>from Rwanda showed</w:t>
      </w:r>
      <w:r w:rsidR="00056A31" w:rsidRPr="003773AE">
        <w:rPr>
          <w:rFonts w:ascii="Arial" w:hAnsi="Arial" w:cs="Arial"/>
          <w:highlight w:val="yellow"/>
        </w:rPr>
        <w:t xml:space="preserve"> </w:t>
      </w:r>
      <w:r w:rsidR="00757A34" w:rsidRPr="003773AE">
        <w:rPr>
          <w:rFonts w:ascii="Arial" w:hAnsi="Arial" w:cs="Arial"/>
          <w:highlight w:val="yellow"/>
        </w:rPr>
        <w:t>that community health worker</w:t>
      </w:r>
      <w:r w:rsidR="00757A34">
        <w:rPr>
          <w:rFonts w:ascii="Arial" w:hAnsi="Arial" w:cs="Arial"/>
          <w:highlight w:val="yellow"/>
        </w:rPr>
        <w:t>s’</w:t>
      </w:r>
      <w:r w:rsidR="00056A31" w:rsidRPr="003773AE">
        <w:rPr>
          <w:rFonts w:ascii="Arial" w:hAnsi="Arial" w:cs="Arial"/>
          <w:highlight w:val="yellow"/>
        </w:rPr>
        <w:t xml:space="preserve"> socio-demographic characteristics</w:t>
      </w:r>
      <w:r w:rsidR="00757A34">
        <w:rPr>
          <w:rFonts w:ascii="Arial" w:hAnsi="Arial" w:cs="Arial"/>
          <w:highlight w:val="yellow"/>
        </w:rPr>
        <w:t>,</w:t>
      </w:r>
      <w:r w:rsidR="003773AE">
        <w:rPr>
          <w:rFonts w:ascii="Arial" w:hAnsi="Arial" w:cs="Arial"/>
          <w:highlight w:val="yellow"/>
        </w:rPr>
        <w:t xml:space="preserve"> particularly education level</w:t>
      </w:r>
      <w:r w:rsidR="00757A34">
        <w:rPr>
          <w:rFonts w:ascii="Arial" w:hAnsi="Arial" w:cs="Arial"/>
          <w:highlight w:val="yellow"/>
        </w:rPr>
        <w:t>,</w:t>
      </w:r>
      <w:r w:rsidR="00056A31" w:rsidRPr="003773AE">
        <w:rPr>
          <w:rFonts w:ascii="Arial" w:hAnsi="Arial" w:cs="Arial"/>
          <w:highlight w:val="yellow"/>
        </w:rPr>
        <w:t xml:space="preserve"> significantly influenced maternal health service uptake</w:t>
      </w:r>
      <w:r w:rsidR="003773AE" w:rsidRPr="003773AE">
        <w:rPr>
          <w:rFonts w:ascii="Arial" w:hAnsi="Arial" w:cs="Arial"/>
          <w:highlight w:val="yellow"/>
          <w:vertAlign w:val="superscript"/>
        </w:rPr>
        <w:t>5</w:t>
      </w:r>
      <w:r w:rsidR="003773AE">
        <w:rPr>
          <w:rFonts w:ascii="Arial" w:hAnsi="Arial" w:cs="Arial"/>
          <w:highlight w:val="yellow"/>
        </w:rPr>
        <w:t>.</w:t>
      </w:r>
      <w:r w:rsidR="00056A31" w:rsidRPr="003773AE">
        <w:rPr>
          <w:rFonts w:ascii="Arial" w:hAnsi="Arial" w:cs="Arial"/>
          <w:highlight w:val="yellow"/>
        </w:rPr>
        <w:t xml:space="preserve"> </w:t>
      </w:r>
      <w:r w:rsidR="003773AE">
        <w:rPr>
          <w:rFonts w:ascii="Arial" w:hAnsi="Arial" w:cs="Arial"/>
          <w:highlight w:val="yellow"/>
        </w:rPr>
        <w:t>This highlights</w:t>
      </w:r>
      <w:r w:rsidR="00056A31" w:rsidRPr="003773AE">
        <w:rPr>
          <w:rFonts w:ascii="Arial" w:hAnsi="Arial" w:cs="Arial"/>
          <w:highlight w:val="yellow"/>
        </w:rPr>
        <w:t xml:space="preserve"> the dual impor</w:t>
      </w:r>
      <w:r w:rsidR="003773AE">
        <w:rPr>
          <w:rFonts w:ascii="Arial" w:hAnsi="Arial" w:cs="Arial"/>
          <w:highlight w:val="yellow"/>
        </w:rPr>
        <w:t xml:space="preserve">tance of both user and provider education </w:t>
      </w:r>
      <w:r w:rsidR="00056A31" w:rsidRPr="003773AE">
        <w:rPr>
          <w:rFonts w:ascii="Arial" w:hAnsi="Arial" w:cs="Arial"/>
          <w:highlight w:val="yellow"/>
        </w:rPr>
        <w:t xml:space="preserve">profiles in shaping </w:t>
      </w:r>
      <w:r w:rsidR="00757A34">
        <w:rPr>
          <w:rFonts w:ascii="Arial" w:hAnsi="Arial" w:cs="Arial"/>
          <w:highlight w:val="yellow"/>
        </w:rPr>
        <w:t xml:space="preserve">effective </w:t>
      </w:r>
      <w:r w:rsidR="00056A31" w:rsidRPr="003773AE">
        <w:rPr>
          <w:rFonts w:ascii="Arial" w:hAnsi="Arial" w:cs="Arial"/>
          <w:highlight w:val="yellow"/>
        </w:rPr>
        <w:t>maternal health interven</w:t>
      </w:r>
      <w:r w:rsidR="003773AE" w:rsidRPr="003773AE">
        <w:rPr>
          <w:rFonts w:ascii="Arial" w:hAnsi="Arial" w:cs="Arial"/>
          <w:highlight w:val="yellow"/>
        </w:rPr>
        <w:t>tions</w:t>
      </w:r>
      <w:r w:rsidR="00056A31" w:rsidRPr="00056A31">
        <w:rPr>
          <w:rFonts w:ascii="Arial" w:hAnsi="Arial" w:cs="Arial"/>
        </w:rPr>
        <w:t>.</w:t>
      </w:r>
    </w:p>
    <w:p w14:paraId="7432275A" w14:textId="399CCB3F" w:rsidR="00924571" w:rsidRPr="00BF0648" w:rsidRDefault="00924571" w:rsidP="00924571">
      <w:pPr>
        <w:spacing w:before="100" w:beforeAutospacing="1" w:after="100" w:afterAutospacing="1" w:line="360" w:lineRule="auto"/>
        <w:jc w:val="both"/>
        <w:rPr>
          <w:rFonts w:ascii="Arial" w:hAnsi="Arial" w:cs="Arial"/>
        </w:rPr>
      </w:pPr>
      <w:r w:rsidRPr="00BF0648">
        <w:rPr>
          <w:rFonts w:ascii="Arial" w:hAnsi="Arial" w:cs="Arial"/>
        </w:rPr>
        <w:t>Age was found to be the second most influential socio-demographic factor affecting maternal health service utilization. The majority of respondents were aged 20–29 years, which aligns with evidence showing that women in this age group are more likely to access antenatal and maternal services due to their reproductive capacity and greater awareness of health needs. Similar findings have been reported in Kenya, where women in their prime reproductive years were significantly more likely to utilize maternal health services</w:t>
      </w:r>
      <w:r w:rsidR="003773AE">
        <w:rPr>
          <w:rFonts w:ascii="Arial" w:hAnsi="Arial" w:cs="Arial"/>
          <w:vertAlign w:val="superscript"/>
        </w:rPr>
        <w:t>6</w:t>
      </w:r>
      <w:r w:rsidRPr="00BF0648">
        <w:rPr>
          <w:rFonts w:ascii="Arial" w:hAnsi="Arial" w:cs="Arial"/>
        </w:rPr>
        <w:t>, as well as in broader analyses emphasizing age-related differences in service uptake across low- and middle-income countries</w:t>
      </w:r>
      <w:r w:rsidR="003773AE">
        <w:rPr>
          <w:rFonts w:ascii="Arial" w:hAnsi="Arial" w:cs="Arial"/>
          <w:vertAlign w:val="superscript"/>
        </w:rPr>
        <w:t>7</w:t>
      </w:r>
      <w:r w:rsidRPr="00BF0648">
        <w:rPr>
          <w:rFonts w:ascii="Arial" w:hAnsi="Arial" w:cs="Arial"/>
        </w:rPr>
        <w:t>.</w:t>
      </w:r>
    </w:p>
    <w:p w14:paraId="6B01B8CE" w14:textId="2A8D2533" w:rsidR="00592890" w:rsidRPr="00BF0648" w:rsidRDefault="00592890" w:rsidP="00924571">
      <w:pPr>
        <w:spacing w:before="100" w:beforeAutospacing="1" w:after="100" w:afterAutospacing="1" w:line="360" w:lineRule="auto"/>
        <w:jc w:val="both"/>
        <w:rPr>
          <w:rFonts w:ascii="Arial" w:hAnsi="Arial" w:cs="Arial"/>
        </w:rPr>
      </w:pPr>
      <w:r w:rsidRPr="00BF0648">
        <w:rPr>
          <w:rFonts w:ascii="Arial" w:hAnsi="Arial" w:cs="Arial"/>
        </w:rPr>
        <w:t>However, both younger mothers (15–19 years) and older mothers (35–49 years) were less likely to seek continuous maternal health services.</w:t>
      </w:r>
      <w:r w:rsidR="00924571" w:rsidRPr="00BF0648">
        <w:rPr>
          <w:rFonts w:ascii="Arial" w:hAnsi="Arial" w:cs="Arial"/>
        </w:rPr>
        <w:t xml:space="preserve"> Recent evidence from Ethiopia highlights significant age-related inequalities in the continuum of maternal and child health service utilization, with younger mothers constrained by limited access, stigma, and low health literacy, and older mothers facing elevated risks due to pre-existing conditions and pregnancy-related complications</w:t>
      </w:r>
      <w:r w:rsidR="003773AE">
        <w:rPr>
          <w:rFonts w:ascii="Arial" w:hAnsi="Arial" w:cs="Arial"/>
          <w:vertAlign w:val="superscript"/>
        </w:rPr>
        <w:t>8</w:t>
      </w:r>
      <w:r w:rsidRPr="00BF0648">
        <w:rPr>
          <w:rFonts w:ascii="Arial" w:hAnsi="Arial" w:cs="Arial"/>
        </w:rPr>
        <w:t>.</w:t>
      </w:r>
      <w:r w:rsidR="00924571" w:rsidRPr="00BF0648">
        <w:rPr>
          <w:rFonts w:ascii="Arial" w:hAnsi="Arial" w:cs="Arial"/>
        </w:rPr>
        <w:t xml:space="preserve"> Similarly, adolescent (&lt; 20 years) and advanced maternal age (&gt; 35 years) pregnancies carry adverse risks and warrant a critical review in low- and middle-income countries</w:t>
      </w:r>
      <w:r w:rsidR="003773AE">
        <w:rPr>
          <w:rFonts w:ascii="Arial" w:hAnsi="Arial" w:cs="Arial"/>
          <w:vertAlign w:val="superscript"/>
        </w:rPr>
        <w:t>9</w:t>
      </w:r>
      <w:r w:rsidRPr="00BF0648">
        <w:rPr>
          <w:rFonts w:ascii="Arial" w:hAnsi="Arial" w:cs="Arial"/>
        </w:rPr>
        <w:t>. These findings underscore the need for age-sensitive interventions that target vulnerable groups—particularly adolescent and older mothers—to promote timely and sustained uptake of maternal health services.</w:t>
      </w:r>
    </w:p>
    <w:p w14:paraId="1EA6691A" w14:textId="54E6E8A4" w:rsidR="00C9748D" w:rsidRPr="00BF0648" w:rsidRDefault="00A23C75" w:rsidP="00924571">
      <w:pPr>
        <w:spacing w:before="100" w:beforeAutospacing="1" w:after="100" w:afterAutospacing="1" w:line="360" w:lineRule="auto"/>
        <w:jc w:val="both"/>
        <w:rPr>
          <w:rFonts w:ascii="Arial" w:eastAsia="Times New Roman" w:hAnsi="Arial" w:cs="Arial"/>
        </w:rPr>
      </w:pPr>
      <w:r w:rsidRPr="00BF0648">
        <w:rPr>
          <w:rFonts w:ascii="Arial" w:hAnsi="Arial" w:cs="Arial"/>
        </w:rPr>
        <w:t>Marital status was found to have the least influence on maternal health serv</w:t>
      </w:r>
      <w:r w:rsidR="00924571" w:rsidRPr="00BF0648">
        <w:rPr>
          <w:rFonts w:ascii="Arial" w:hAnsi="Arial" w:cs="Arial"/>
        </w:rPr>
        <w:t xml:space="preserve">ice utilization in this study, </w:t>
      </w:r>
      <w:r w:rsidRPr="00BF0648">
        <w:rPr>
          <w:rFonts w:ascii="Arial" w:hAnsi="Arial" w:cs="Arial"/>
        </w:rPr>
        <w:t>statistically insignificant. Despite its weaker association, marital status remains an important socio-demographic factor influencing health-seeking behaviors. Married women have often been shown to access antenatal and maternal health services more frequently, particularly when combined with higher educ</w:t>
      </w:r>
      <w:r w:rsidR="00924571" w:rsidRPr="00BF0648">
        <w:rPr>
          <w:rFonts w:ascii="Arial" w:hAnsi="Arial" w:cs="Arial"/>
        </w:rPr>
        <w:t>ation and socioeconomic status</w:t>
      </w:r>
      <w:r w:rsidR="0032706C" w:rsidRPr="00BF0648">
        <w:rPr>
          <w:rFonts w:ascii="Arial" w:hAnsi="Arial" w:cs="Arial"/>
          <w:vertAlign w:val="superscript"/>
        </w:rPr>
        <w:t>3</w:t>
      </w:r>
      <w:r w:rsidRPr="00BF0648">
        <w:rPr>
          <w:rFonts w:ascii="Arial" w:hAnsi="Arial" w:cs="Arial"/>
        </w:rPr>
        <w:t>.</w:t>
      </w:r>
      <w:r w:rsidRPr="00BF0648">
        <w:rPr>
          <w:rFonts w:ascii="Arial" w:hAnsi="Arial" w:cs="Arial"/>
          <w:color w:val="ED7D31" w:themeColor="accent2"/>
        </w:rPr>
        <w:t xml:space="preserve"> </w:t>
      </w:r>
      <w:r w:rsidRPr="00BF0648">
        <w:rPr>
          <w:rFonts w:ascii="Arial" w:hAnsi="Arial" w:cs="Arial"/>
        </w:rPr>
        <w:t>This may be due to the support—financial, social, and emotional—provided within marital unions, which fac</w:t>
      </w:r>
      <w:r w:rsidR="00924571" w:rsidRPr="00BF0648">
        <w:rPr>
          <w:rFonts w:ascii="Arial" w:hAnsi="Arial" w:cs="Arial"/>
        </w:rPr>
        <w:t xml:space="preserve">ilitates </w:t>
      </w:r>
      <w:r w:rsidR="00924571" w:rsidRPr="00BF0648">
        <w:rPr>
          <w:rFonts w:ascii="Arial" w:hAnsi="Arial" w:cs="Arial"/>
        </w:rPr>
        <w:lastRenderedPageBreak/>
        <w:t>healthcare utilization. However, contrasting findings from a recent study in the pastoralist communities of Marsabit County, Kenya, found that marital status was not significantly associated with utilization of antenatal care, health facility delivery, or postnatal care</w:t>
      </w:r>
      <w:r w:rsidR="003773AE">
        <w:rPr>
          <w:rFonts w:ascii="Arial" w:hAnsi="Arial" w:cs="Arial"/>
          <w:vertAlign w:val="superscript"/>
        </w:rPr>
        <w:t>10</w:t>
      </w:r>
      <w:r w:rsidR="00417288" w:rsidRPr="00BF0648">
        <w:rPr>
          <w:rFonts w:ascii="Arial" w:hAnsi="Arial" w:cs="Arial"/>
        </w:rPr>
        <w:t>. These findings highlight the complex role of marital status, suggesting that while it may not have shown statistical significance in this study, it still intersects with other socio-cultural and economic factors that influence maternal health outcomes.</w:t>
      </w:r>
    </w:p>
    <w:p w14:paraId="1C6D6911" w14:textId="7833E42F" w:rsidR="00C9748D" w:rsidRPr="00BF0648" w:rsidRDefault="00924571" w:rsidP="00924571">
      <w:pPr>
        <w:spacing w:after="0" w:line="360" w:lineRule="auto"/>
        <w:jc w:val="both"/>
        <w:rPr>
          <w:rFonts w:ascii="Arial" w:eastAsia="Times New Roman" w:hAnsi="Arial" w:cs="Arial"/>
        </w:rPr>
      </w:pPr>
      <w:r w:rsidRPr="00BF0648">
        <w:rPr>
          <w:rFonts w:ascii="Arial" w:hAnsi="Arial" w:cs="Arial"/>
        </w:rPr>
        <w:t>The structural equation modeling (SEM) results demonstrated that socio-demographic factors are critical determinants of eCHIS utilization, which in turn strongly predicts maternal health service uptake. Specifically, characteristics such as education and age significantly influenced eCHIS use, with smartphone access amplifying this effect. This aligns with recent evidence showing that mobile and digital health tools enhance maternal health engagement, particularly among individuals with higher education and digital literacy</w:t>
      </w:r>
      <w:r w:rsidR="003773AE">
        <w:rPr>
          <w:rFonts w:ascii="Arial" w:hAnsi="Arial" w:cs="Arial"/>
          <w:vertAlign w:val="superscript"/>
        </w:rPr>
        <w:t>11</w:t>
      </w:r>
      <w:r w:rsidRPr="00BF0648">
        <w:rPr>
          <w:rFonts w:ascii="Arial" w:hAnsi="Arial" w:cs="Arial"/>
        </w:rPr>
        <w:t xml:space="preserve">. </w:t>
      </w:r>
      <w:r w:rsidR="00C9748D" w:rsidRPr="00BF0648">
        <w:rPr>
          <w:rFonts w:ascii="Arial" w:hAnsi="Arial" w:cs="Arial"/>
        </w:rPr>
        <w:t>Furthermore, mediation analysis confirmed that eCHIS acts as a key pathway linking individual determinants to improved maternal health service uptake, underscoring its role in translating enabling conditions into behavior change. The moderate explanatory power of the model (R² = 0.428 for maternal health uptake) suggests that while eCHIS utilization explains a substantial proportion of variance, other contextual and unmeasured factors, such as cultural norms and health worker engagement, may also influence uptake. These results reinforce the importance of integrating mobile health innovations within supportive health systems and tailoring interventions to user cha</w:t>
      </w:r>
      <w:r w:rsidRPr="00BF0648">
        <w:rPr>
          <w:rFonts w:ascii="Arial" w:hAnsi="Arial" w:cs="Arial"/>
        </w:rPr>
        <w:t>racteristics to maximize impact</w:t>
      </w:r>
      <w:r w:rsidR="003773AE">
        <w:rPr>
          <w:rFonts w:ascii="Arial" w:hAnsi="Arial" w:cs="Arial"/>
          <w:vertAlign w:val="superscript"/>
        </w:rPr>
        <w:t>12</w:t>
      </w:r>
      <w:r w:rsidRPr="00BF0648">
        <w:rPr>
          <w:rFonts w:ascii="Arial" w:hAnsi="Arial" w:cs="Arial"/>
        </w:rPr>
        <w:t>.</w:t>
      </w:r>
    </w:p>
    <w:p w14:paraId="1071BD68" w14:textId="4412843E" w:rsidR="003F403A" w:rsidRPr="00BF0648" w:rsidRDefault="005D0823" w:rsidP="00924571">
      <w:pPr>
        <w:spacing w:before="100" w:beforeAutospacing="1" w:after="100" w:afterAutospacing="1" w:line="360" w:lineRule="auto"/>
        <w:jc w:val="both"/>
        <w:outlineLvl w:val="1"/>
        <w:rPr>
          <w:rFonts w:ascii="Arial" w:eastAsia="Times New Roman" w:hAnsi="Arial" w:cs="Arial"/>
          <w:b/>
          <w:bCs/>
        </w:rPr>
      </w:pPr>
      <w:r>
        <w:rPr>
          <w:rFonts w:ascii="Arial" w:eastAsia="Times New Roman" w:hAnsi="Arial" w:cs="Arial"/>
          <w:b/>
          <w:bCs/>
        </w:rPr>
        <w:t>5. CONCLUSION</w:t>
      </w:r>
    </w:p>
    <w:p w14:paraId="58DFD4F2" w14:textId="00E27601" w:rsidR="005D0823" w:rsidRPr="006005EE" w:rsidRDefault="008873A4" w:rsidP="00924571">
      <w:pPr>
        <w:pStyle w:val="NormalWeb"/>
        <w:spacing w:line="360" w:lineRule="auto"/>
        <w:jc w:val="both"/>
        <w:rPr>
          <w:rFonts w:ascii="Arial" w:hAnsi="Arial" w:cs="Arial"/>
          <w:sz w:val="22"/>
          <w:szCs w:val="22"/>
        </w:rPr>
      </w:pPr>
      <w:r w:rsidRPr="00BF0648">
        <w:rPr>
          <w:rFonts w:ascii="Arial" w:hAnsi="Arial" w:cs="Arial"/>
          <w:sz w:val="22"/>
          <w:szCs w:val="22"/>
        </w:rPr>
        <w:t>This study demonstrated that socio-demographic factors, particularly education and age, are significant determinants of maternal health service uptake in Muhoroni Sub-County, with their influence mediated through the use of eCHIS. Education emerged as the strongest predictor, highlighting the critical role of maternal health literacy in shaping health-seeking behaviors, while age revealed unique vulnerabilities among adolescent and older mothers. Although marital status was not statistically significant, it remains an important contextual factor in maternal health. SEM results further confirmed that eCHIS utilization acts as a key pathway through which socio-demographic attributes translate into improved uptake of antenatal care, facility-based deliveries, and postnatal visits. Importantly, smartphone access amplified the influence of socio-demographic factors on eCHIS use, reinforcing the role of mobile technology in enhancing engagement wit</w:t>
      </w:r>
      <w:r w:rsidR="00924571" w:rsidRPr="00BF0648">
        <w:rPr>
          <w:rFonts w:ascii="Arial" w:hAnsi="Arial" w:cs="Arial"/>
          <w:sz w:val="22"/>
          <w:szCs w:val="22"/>
        </w:rPr>
        <w:t xml:space="preserve">h digital health interventions.  </w:t>
      </w:r>
      <w:r w:rsidRPr="00BF0648">
        <w:rPr>
          <w:rFonts w:ascii="Arial" w:hAnsi="Arial" w:cs="Arial"/>
          <w:sz w:val="22"/>
          <w:szCs w:val="22"/>
        </w:rPr>
        <w:t xml:space="preserve">Overall, these findings underscore the potential of eCHIS as a scalable innovation for improving maternal health outcomes when combined with </w:t>
      </w:r>
      <w:r w:rsidRPr="00BF0648">
        <w:rPr>
          <w:rFonts w:ascii="Arial" w:hAnsi="Arial" w:cs="Arial"/>
          <w:sz w:val="22"/>
          <w:szCs w:val="22"/>
        </w:rPr>
        <w:lastRenderedPageBreak/>
        <w:t>enabling socio-demographic conditions and technological access. To maximize this potential, interventions should prioritize strengthening maternal health literacy through targeted education programs, develop tailored approaches to address the barriers faced by adolescents and older mothers, and integrate eCHIS within broader heal</w:t>
      </w:r>
      <w:r w:rsidR="00924571" w:rsidRPr="00BF0648">
        <w:rPr>
          <w:rFonts w:ascii="Arial" w:hAnsi="Arial" w:cs="Arial"/>
          <w:sz w:val="22"/>
          <w:szCs w:val="22"/>
        </w:rPr>
        <w:t>th system strengthening efforts</w:t>
      </w:r>
      <w:r w:rsidR="00757A34">
        <w:rPr>
          <w:rFonts w:ascii="Arial" w:hAnsi="Arial" w:cs="Arial"/>
          <w:sz w:val="22"/>
          <w:szCs w:val="22"/>
        </w:rPr>
        <w:t>.</w:t>
      </w:r>
    </w:p>
    <w:p w14:paraId="48A50452" w14:textId="27ED6246" w:rsidR="005D0823" w:rsidRPr="000A5114" w:rsidRDefault="005D0823" w:rsidP="00924571">
      <w:pPr>
        <w:pStyle w:val="NormalWeb"/>
        <w:spacing w:line="360" w:lineRule="auto"/>
        <w:jc w:val="both"/>
        <w:rPr>
          <w:rFonts w:ascii="Arial" w:hAnsi="Arial" w:cs="Arial"/>
          <w:b/>
          <w:sz w:val="22"/>
          <w:szCs w:val="22"/>
        </w:rPr>
      </w:pPr>
      <w:r w:rsidRPr="000A5114">
        <w:rPr>
          <w:rFonts w:ascii="Arial" w:hAnsi="Arial" w:cs="Arial"/>
          <w:b/>
          <w:sz w:val="22"/>
          <w:szCs w:val="22"/>
        </w:rPr>
        <w:t>6.</w:t>
      </w:r>
      <w:r w:rsidRPr="000A5114">
        <w:rPr>
          <w:rFonts w:ascii="Arial" w:hAnsi="Arial" w:cs="Arial"/>
          <w:sz w:val="22"/>
          <w:szCs w:val="22"/>
        </w:rPr>
        <w:t xml:space="preserve"> </w:t>
      </w:r>
      <w:r w:rsidRPr="000A5114">
        <w:rPr>
          <w:rFonts w:ascii="Arial" w:hAnsi="Arial" w:cs="Arial"/>
          <w:b/>
          <w:sz w:val="22"/>
          <w:szCs w:val="22"/>
        </w:rPr>
        <w:t>LIMITATIONS OF THE STUDY</w:t>
      </w:r>
    </w:p>
    <w:p w14:paraId="674C712F" w14:textId="1D078B19" w:rsidR="00197EE1" w:rsidRPr="005D0823" w:rsidRDefault="005D0823" w:rsidP="005D0823">
      <w:pPr>
        <w:pStyle w:val="NormalWeb"/>
        <w:spacing w:line="360" w:lineRule="auto"/>
        <w:jc w:val="both"/>
        <w:rPr>
          <w:rFonts w:ascii="Arial" w:hAnsi="Arial" w:cs="Arial"/>
          <w:sz w:val="22"/>
          <w:szCs w:val="22"/>
        </w:rPr>
      </w:pPr>
      <w:r w:rsidRPr="005D0823">
        <w:rPr>
          <w:rFonts w:ascii="Arial" w:hAnsi="Arial" w:cs="Arial"/>
          <w:highlight w:val="yellow"/>
        </w:rPr>
        <w:t>This study was conducted exclusively in Muhoroni Sub-County, Kisumu County, where the eCHIS was piloted. As such, the findings may not be fully generalizable to other regions that have different socio-cultural contexts, health-seeking behaviors, or health system structures. Furthermore, the study primarily examined socio-demographic characteristics such as age, education, and marital status. Other potentially important determinants including household income, cultural practices, geographical access were not assessed. The omission of these factors may have limited the explanatory power of the model, utilization of maternal health services is often shaped by a wider range of social, economic, and systemic influences.</w:t>
      </w:r>
    </w:p>
    <w:p w14:paraId="40EEF4E8" w14:textId="2B07DA3F" w:rsidR="00924571" w:rsidRPr="00BF0648" w:rsidRDefault="00924571" w:rsidP="00924571">
      <w:pPr>
        <w:shd w:val="clear" w:color="auto" w:fill="FFFFFF"/>
        <w:spacing w:line="360" w:lineRule="auto"/>
        <w:contextualSpacing/>
        <w:jc w:val="both"/>
        <w:rPr>
          <w:rFonts w:ascii="Arial" w:eastAsia="Times New Roman" w:hAnsi="Arial" w:cs="Arial"/>
          <w:b/>
        </w:rPr>
      </w:pPr>
      <w:r w:rsidRPr="00BF0648">
        <w:rPr>
          <w:rFonts w:ascii="Arial" w:eastAsia="Times New Roman" w:hAnsi="Arial" w:cs="Arial"/>
          <w:b/>
        </w:rPr>
        <w:t>Consent</w:t>
      </w:r>
    </w:p>
    <w:p w14:paraId="442E00AB" w14:textId="081A3F91" w:rsidR="0032706C" w:rsidRPr="00BF0648" w:rsidRDefault="0032706C" w:rsidP="00924571">
      <w:pPr>
        <w:shd w:val="clear" w:color="auto" w:fill="FFFFFF"/>
        <w:spacing w:line="360" w:lineRule="auto"/>
        <w:contextualSpacing/>
        <w:jc w:val="both"/>
        <w:rPr>
          <w:rFonts w:ascii="Arial" w:eastAsia="Times New Roman" w:hAnsi="Arial" w:cs="Arial"/>
          <w:b/>
        </w:rPr>
      </w:pPr>
      <w:r w:rsidRPr="00BF0648">
        <w:rPr>
          <w:rFonts w:ascii="Arial" w:hAnsi="Arial" w:cs="Arial"/>
        </w:rPr>
        <w:t>All authors declare that written informed consent was obtained from all study participants prior to data collection. Participants were informed about the study objectives, procedures, potential risks, and anticipated benefits before giving consent. To ensure confidentiality, no personal identifiers were collected; instead, participants were assigned unique identification codes. Data were stored securely in password-protected electronic files accessible only to the principal investigator. Participation was entirely voluntary, and participants retained the right to withdraw from the study at any stage without penalty. A copy of the signed consent forms is available for review by the Editorial Office, Chief Editor, or Editorial Board members of this journal upon request.</w:t>
      </w:r>
    </w:p>
    <w:p w14:paraId="59E445A2" w14:textId="5F865D3E" w:rsidR="00924571" w:rsidRPr="00BF0648" w:rsidRDefault="00924571" w:rsidP="00924571">
      <w:pPr>
        <w:shd w:val="clear" w:color="auto" w:fill="FFFFFF"/>
        <w:spacing w:before="240" w:line="360" w:lineRule="auto"/>
        <w:contextualSpacing/>
        <w:jc w:val="both"/>
        <w:rPr>
          <w:rFonts w:ascii="Arial" w:hAnsi="Arial" w:cs="Arial"/>
          <w:b/>
        </w:rPr>
      </w:pPr>
      <w:r w:rsidRPr="00BF0648">
        <w:rPr>
          <w:rFonts w:ascii="Arial" w:hAnsi="Arial" w:cs="Arial"/>
          <w:b/>
        </w:rPr>
        <w:t>Ethical Approval</w:t>
      </w:r>
    </w:p>
    <w:p w14:paraId="62AFEBA8" w14:textId="4F7EEE9C" w:rsidR="004C2E94" w:rsidRPr="005D0823" w:rsidRDefault="0032706C" w:rsidP="005D0823">
      <w:pPr>
        <w:shd w:val="clear" w:color="auto" w:fill="FFFFFF"/>
        <w:spacing w:line="360" w:lineRule="auto"/>
        <w:contextualSpacing/>
        <w:jc w:val="both"/>
        <w:rPr>
          <w:rFonts w:ascii="Arial" w:hAnsi="Arial" w:cs="Arial"/>
        </w:rPr>
      </w:pPr>
      <w:r w:rsidRPr="00BF0648">
        <w:rPr>
          <w:rFonts w:ascii="Arial" w:hAnsi="Arial" w:cs="Arial"/>
        </w:rPr>
        <w:t xml:space="preserve">All authors hereby declare that this study involving human participants was reviewed and approved by the Mount Kenya University Ethical Review Committee under protocol number </w:t>
      </w:r>
      <w:r w:rsidRPr="00BF0648">
        <w:rPr>
          <w:rStyle w:val="Strong"/>
          <w:rFonts w:ascii="Arial" w:hAnsi="Arial" w:cs="Arial"/>
          <w:b w:val="0"/>
        </w:rPr>
        <w:t>MKU/ERC/2419</w:t>
      </w:r>
      <w:r w:rsidRPr="00BF0648">
        <w:rPr>
          <w:rFonts w:ascii="Arial" w:hAnsi="Arial" w:cs="Arial"/>
        </w:rPr>
        <w:t>, and permission to conduct the study was granted by the relevant county research office. The study was carried out in accordance with the ethical standards laid down in the 1964 Declaration of Helsinki and its later amendments.</w:t>
      </w:r>
    </w:p>
    <w:p w14:paraId="07CC978E" w14:textId="77777777" w:rsidR="000A5114" w:rsidRDefault="000A5114" w:rsidP="005D0823">
      <w:pPr>
        <w:pStyle w:val="Default"/>
        <w:spacing w:after="160"/>
        <w:rPr>
          <w:b/>
          <w:bCs/>
          <w:sz w:val="22"/>
          <w:szCs w:val="22"/>
          <w:highlight w:val="yellow"/>
        </w:rPr>
      </w:pPr>
      <w:bookmarkStart w:id="2" w:name="_Hlk192511329"/>
      <w:bookmarkStart w:id="3" w:name="_Hlk187485061"/>
      <w:bookmarkStart w:id="4" w:name="_Hlk194655630"/>
      <w:bookmarkStart w:id="5" w:name="_Hlk209008097"/>
    </w:p>
    <w:p w14:paraId="2CC4A962" w14:textId="3BC4CBD6" w:rsidR="005D0823" w:rsidRPr="006005EE" w:rsidRDefault="005D0823" w:rsidP="005D0823">
      <w:pPr>
        <w:pStyle w:val="Default"/>
        <w:spacing w:after="160"/>
        <w:rPr>
          <w:sz w:val="22"/>
          <w:szCs w:val="22"/>
          <w:highlight w:val="yellow"/>
        </w:rPr>
      </w:pPr>
      <w:r w:rsidRPr="006005EE">
        <w:rPr>
          <w:b/>
          <w:bCs/>
          <w:sz w:val="22"/>
          <w:szCs w:val="22"/>
          <w:highlight w:val="yellow"/>
        </w:rPr>
        <w:lastRenderedPageBreak/>
        <w:t xml:space="preserve">Disclaimer (Artificial Intelligence) </w:t>
      </w:r>
    </w:p>
    <w:p w14:paraId="5EE2EF74" w14:textId="30F91848" w:rsidR="005D0823" w:rsidRPr="006005EE" w:rsidRDefault="005D0823" w:rsidP="005D0823">
      <w:pPr>
        <w:rPr>
          <w:rFonts w:ascii="Arial" w:eastAsia="Calibri" w:hAnsi="Arial" w:cs="Arial"/>
          <w:kern w:val="2"/>
        </w:rPr>
      </w:pPr>
      <w:r w:rsidRPr="006005EE">
        <w:rPr>
          <w:rFonts w:ascii="Arial" w:hAnsi="Arial" w:cs="Arial"/>
          <w:highlight w:val="yellow"/>
        </w:rPr>
        <w:t>Author(s) hereby declare that NO generative AI technologies such as Large Langua</w:t>
      </w:r>
      <w:r w:rsidR="006005EE">
        <w:rPr>
          <w:rFonts w:ascii="Arial" w:hAnsi="Arial" w:cs="Arial"/>
          <w:highlight w:val="yellow"/>
        </w:rPr>
        <w:t>ge Models (ChatGPT, COPILOT, etc</w:t>
      </w:r>
      <w:r w:rsidRPr="006005EE">
        <w:rPr>
          <w:rFonts w:ascii="Arial" w:hAnsi="Arial" w:cs="Arial"/>
          <w:highlight w:val="yellow"/>
        </w:rPr>
        <w:t>) and text-to-image generators have been used during writing or editing of manuscripts.</w:t>
      </w:r>
      <w:bookmarkEnd w:id="2"/>
      <w:bookmarkEnd w:id="3"/>
      <w:bookmarkEnd w:id="4"/>
      <w:bookmarkEnd w:id="5"/>
    </w:p>
    <w:p w14:paraId="686C8EB8" w14:textId="5F9D80FB" w:rsidR="008873A4" w:rsidRPr="00BF0648" w:rsidRDefault="008873A4" w:rsidP="00924571">
      <w:pPr>
        <w:pStyle w:val="Caption"/>
        <w:rPr>
          <w:rFonts w:ascii="Arial" w:hAnsi="Arial" w:cs="Arial"/>
          <w:b/>
          <w:i w:val="0"/>
          <w:color w:val="auto"/>
          <w:sz w:val="22"/>
          <w:szCs w:val="22"/>
        </w:rPr>
      </w:pPr>
      <w:r w:rsidRPr="00BF0648">
        <w:rPr>
          <w:rFonts w:ascii="Arial" w:hAnsi="Arial" w:cs="Arial"/>
          <w:b/>
          <w:i w:val="0"/>
          <w:color w:val="auto"/>
          <w:sz w:val="22"/>
          <w:szCs w:val="22"/>
        </w:rPr>
        <w:t>References</w:t>
      </w:r>
    </w:p>
    <w:p w14:paraId="27AC297F" w14:textId="77777777" w:rsidR="008873A4" w:rsidRPr="00BF0648" w:rsidRDefault="008873A4" w:rsidP="00924571">
      <w:pPr>
        <w:numPr>
          <w:ilvl w:val="0"/>
          <w:numId w:val="7"/>
        </w:numPr>
        <w:spacing w:before="100" w:beforeAutospacing="1" w:after="100" w:afterAutospacing="1" w:line="360" w:lineRule="auto"/>
        <w:jc w:val="both"/>
        <w:rPr>
          <w:rFonts w:ascii="Arial" w:eastAsia="Times New Roman" w:hAnsi="Arial" w:cs="Arial"/>
        </w:rPr>
      </w:pPr>
      <w:r w:rsidRPr="00BF0648">
        <w:rPr>
          <w:rFonts w:ascii="Arial" w:eastAsia="Times New Roman" w:hAnsi="Arial" w:cs="Arial"/>
        </w:rPr>
        <w:t xml:space="preserve">World Health Organization. (2019). </w:t>
      </w:r>
      <w:r w:rsidRPr="00BF0648">
        <w:rPr>
          <w:rFonts w:ascii="Arial" w:eastAsia="Times New Roman" w:hAnsi="Arial" w:cs="Arial"/>
          <w:iCs/>
        </w:rPr>
        <w:t>Trends in maternal mortality 2000 to 2017: Estimates by WHO, UNICEF, UNFPA, World Bank Group and the United Nations Population Division</w:t>
      </w:r>
      <w:r w:rsidRPr="00BF0648">
        <w:rPr>
          <w:rFonts w:ascii="Arial" w:eastAsia="Times New Roman" w:hAnsi="Arial" w:cs="Arial"/>
        </w:rPr>
        <w:t>. Geneva: WHO.</w:t>
      </w:r>
    </w:p>
    <w:p w14:paraId="12C0C242" w14:textId="12A21C09" w:rsidR="008873A4" w:rsidRPr="00BF0648" w:rsidRDefault="00924571" w:rsidP="00924571">
      <w:pPr>
        <w:numPr>
          <w:ilvl w:val="0"/>
          <w:numId w:val="7"/>
        </w:numPr>
        <w:spacing w:before="100" w:beforeAutospacing="1" w:after="100" w:afterAutospacing="1" w:line="360" w:lineRule="auto"/>
        <w:jc w:val="both"/>
        <w:rPr>
          <w:rFonts w:ascii="Arial" w:eastAsia="Times New Roman" w:hAnsi="Arial" w:cs="Arial"/>
        </w:rPr>
      </w:pPr>
      <w:r w:rsidRPr="00BF0648">
        <w:rPr>
          <w:rFonts w:ascii="Arial" w:eastAsia="Times New Roman" w:hAnsi="Arial" w:cs="Arial"/>
        </w:rPr>
        <w:t xml:space="preserve">KDHS, 2022. </w:t>
      </w:r>
      <w:r w:rsidRPr="00BF0648">
        <w:rPr>
          <w:rFonts w:ascii="Arial" w:eastAsia="Times New Roman" w:hAnsi="Arial" w:cs="Arial"/>
          <w:iCs/>
        </w:rPr>
        <w:t>Kenya Demographic and Health Survey 2022</w:t>
      </w:r>
      <w:r w:rsidRPr="00BF0648">
        <w:rPr>
          <w:rFonts w:ascii="Arial" w:eastAsia="Times New Roman" w:hAnsi="Arial" w:cs="Arial"/>
        </w:rPr>
        <w:t>. Nairobi: Kenya National Bureau of Statistics and ICF International.</w:t>
      </w:r>
      <w:r w:rsidRPr="00BF0648">
        <w:rPr>
          <w:rFonts w:ascii="Arial" w:hAnsi="Arial" w:cs="Arial"/>
        </w:rPr>
        <w:t xml:space="preserve"> </w:t>
      </w:r>
      <w:r w:rsidRPr="00BF0648">
        <w:rPr>
          <w:rFonts w:ascii="Arial" w:eastAsia="Times New Roman" w:hAnsi="Arial" w:cs="Arial"/>
          <w:u w:val="single"/>
        </w:rPr>
        <w:t>https://dhsprogram.com/pubs/pdf/FR380/FR380.pdf?</w:t>
      </w:r>
    </w:p>
    <w:p w14:paraId="07E91EA5" w14:textId="26549F09" w:rsidR="008873A4" w:rsidRPr="00BF0648" w:rsidRDefault="00924571" w:rsidP="00924571">
      <w:pPr>
        <w:numPr>
          <w:ilvl w:val="0"/>
          <w:numId w:val="7"/>
        </w:numPr>
        <w:spacing w:before="100" w:beforeAutospacing="1" w:after="100" w:afterAutospacing="1" w:line="360" w:lineRule="auto"/>
        <w:jc w:val="both"/>
        <w:rPr>
          <w:rFonts w:ascii="Arial" w:eastAsia="Times New Roman" w:hAnsi="Arial" w:cs="Arial"/>
        </w:rPr>
      </w:pPr>
      <w:r w:rsidRPr="00BF0648">
        <w:rPr>
          <w:rFonts w:ascii="Arial" w:hAnsi="Arial" w:cs="Arial"/>
        </w:rPr>
        <w:t xml:space="preserve">Adedokun, S. T., Uthman, O. A., &amp; Bisiriyu, L. A. (2023). </w:t>
      </w:r>
      <w:r w:rsidRPr="00BF0648">
        <w:rPr>
          <w:rStyle w:val="Emphasis"/>
          <w:rFonts w:ascii="Arial" w:hAnsi="Arial" w:cs="Arial"/>
        </w:rPr>
        <w:t>Determinants of partial and adequate maternal health services utilization in Nigeria: analysis of cross-sectional survey.</w:t>
      </w:r>
      <w:r w:rsidRPr="00BF0648">
        <w:rPr>
          <w:rFonts w:ascii="Arial" w:hAnsi="Arial" w:cs="Arial"/>
        </w:rPr>
        <w:t xml:space="preserve"> </w:t>
      </w:r>
      <w:r w:rsidRPr="00BF0648">
        <w:rPr>
          <w:rStyle w:val="Emphasis"/>
          <w:rFonts w:ascii="Arial" w:hAnsi="Arial" w:cs="Arial"/>
        </w:rPr>
        <w:t>BMC Pregnancy &amp; Childbirth</w:t>
      </w:r>
      <w:r w:rsidRPr="00BF0648">
        <w:rPr>
          <w:rFonts w:ascii="Arial" w:hAnsi="Arial" w:cs="Arial"/>
        </w:rPr>
        <w:t xml:space="preserve">, 23, 457. DOI: </w:t>
      </w:r>
      <w:r w:rsidRPr="00BF0648">
        <w:rPr>
          <w:rStyle w:val="Strong"/>
          <w:rFonts w:ascii="Arial" w:hAnsi="Arial" w:cs="Arial"/>
          <w:b w:val="0"/>
        </w:rPr>
        <w:t>10.1186/s12884-023-05712-4</w:t>
      </w:r>
    </w:p>
    <w:p w14:paraId="591B80C7" w14:textId="66641E4A" w:rsidR="00924571" w:rsidRPr="00056A31" w:rsidRDefault="00924571" w:rsidP="00924571">
      <w:pPr>
        <w:numPr>
          <w:ilvl w:val="0"/>
          <w:numId w:val="7"/>
        </w:numPr>
        <w:spacing w:before="100" w:beforeAutospacing="1" w:after="100" w:afterAutospacing="1" w:line="360" w:lineRule="auto"/>
        <w:jc w:val="both"/>
        <w:rPr>
          <w:rStyle w:val="Hyperlink"/>
          <w:rFonts w:ascii="Arial" w:eastAsia="Times New Roman" w:hAnsi="Arial" w:cs="Arial"/>
          <w:color w:val="auto"/>
          <w:u w:val="none"/>
        </w:rPr>
      </w:pPr>
      <w:r w:rsidRPr="00BF0648">
        <w:rPr>
          <w:rFonts w:ascii="Arial" w:hAnsi="Arial" w:cs="Arial"/>
        </w:rPr>
        <w:t xml:space="preserve">Mengist, B., Endalew, B., Diress, G., &amp; Abajobir, A. (2022). Late antenatal care utilization in Ethiopia: The effect of socio-economic inequities and regional disparities. </w:t>
      </w:r>
      <w:r w:rsidRPr="00BF0648">
        <w:rPr>
          <w:rStyle w:val="Emphasis"/>
          <w:rFonts w:ascii="Arial" w:hAnsi="Arial" w:cs="Arial"/>
        </w:rPr>
        <w:t>PLOS Global Public Health</w:t>
      </w:r>
      <w:r w:rsidRPr="00BF0648">
        <w:rPr>
          <w:rFonts w:ascii="Arial" w:hAnsi="Arial" w:cs="Arial"/>
        </w:rPr>
        <w:t xml:space="preserve">, 2(11), e0000584. </w:t>
      </w:r>
      <w:hyperlink r:id="rId11" w:tgtFrame="_new" w:history="1">
        <w:r w:rsidRPr="00BF0648">
          <w:rPr>
            <w:rStyle w:val="Hyperlink"/>
            <w:rFonts w:ascii="Arial" w:hAnsi="Arial" w:cs="Arial"/>
            <w:color w:val="auto"/>
          </w:rPr>
          <w:t>https://doi.org/10.1371/journal.pgph.0000584</w:t>
        </w:r>
      </w:hyperlink>
    </w:p>
    <w:p w14:paraId="29EAF7D8" w14:textId="10E9F99E" w:rsidR="00056A31" w:rsidRPr="000A5114" w:rsidRDefault="00056A31" w:rsidP="00924571">
      <w:pPr>
        <w:numPr>
          <w:ilvl w:val="0"/>
          <w:numId w:val="7"/>
        </w:numPr>
        <w:spacing w:before="100" w:beforeAutospacing="1" w:after="100" w:afterAutospacing="1" w:line="360" w:lineRule="auto"/>
        <w:jc w:val="both"/>
        <w:rPr>
          <w:rFonts w:ascii="Arial" w:eastAsia="Times New Roman" w:hAnsi="Arial" w:cs="Arial"/>
          <w:highlight w:val="yellow"/>
        </w:rPr>
      </w:pPr>
      <w:r w:rsidRPr="000A5114">
        <w:rPr>
          <w:rFonts w:ascii="Arial" w:hAnsi="Arial" w:cs="Arial"/>
          <w:highlight w:val="yellow"/>
        </w:rPr>
        <w:t xml:space="preserve">Niyongabo, L. E., Odongo, A. O., &amp; Mogere, D. (2022). Community healthcare worker’s social demographic factors and roles influencing uptake of maternal health services in Musanze District, Northern Province, Rwanda. </w:t>
      </w:r>
      <w:r w:rsidRPr="000A5114">
        <w:rPr>
          <w:rStyle w:val="Emphasis"/>
          <w:rFonts w:ascii="Arial" w:hAnsi="Arial" w:cs="Arial"/>
          <w:highlight w:val="yellow"/>
        </w:rPr>
        <w:t>Asian Journal of Medicine and Health, 20</w:t>
      </w:r>
      <w:r w:rsidRPr="000A5114">
        <w:rPr>
          <w:rFonts w:ascii="Arial" w:hAnsi="Arial" w:cs="Arial"/>
          <w:highlight w:val="yellow"/>
        </w:rPr>
        <w:t>(11), 52–73</w:t>
      </w:r>
      <w:r w:rsidRPr="000A5114">
        <w:rPr>
          <w:rFonts w:ascii="Arial" w:hAnsi="Arial" w:cs="Arial"/>
          <w:color w:val="000000" w:themeColor="text1"/>
          <w:highlight w:val="yellow"/>
        </w:rPr>
        <w:t xml:space="preserve">. </w:t>
      </w:r>
      <w:hyperlink r:id="rId12" w:tgtFrame="_new" w:history="1">
        <w:r w:rsidRPr="000A5114">
          <w:rPr>
            <w:rStyle w:val="Hyperlink"/>
            <w:rFonts w:ascii="Arial" w:hAnsi="Arial" w:cs="Arial"/>
            <w:color w:val="000000" w:themeColor="text1"/>
            <w:highlight w:val="yellow"/>
          </w:rPr>
          <w:t>https://journalajmah.com/index.php/AJMAH/article/view/730</w:t>
        </w:r>
      </w:hyperlink>
    </w:p>
    <w:p w14:paraId="4F028477" w14:textId="082F3AFA" w:rsidR="00924571" w:rsidRPr="00BF0648" w:rsidRDefault="00924571" w:rsidP="00924571">
      <w:pPr>
        <w:numPr>
          <w:ilvl w:val="0"/>
          <w:numId w:val="7"/>
        </w:numPr>
        <w:spacing w:before="100" w:beforeAutospacing="1" w:after="100" w:afterAutospacing="1" w:line="360" w:lineRule="auto"/>
        <w:jc w:val="both"/>
        <w:rPr>
          <w:rFonts w:ascii="Arial" w:eastAsia="Times New Roman" w:hAnsi="Arial" w:cs="Arial"/>
        </w:rPr>
      </w:pPr>
      <w:r w:rsidRPr="00BF0648">
        <w:rPr>
          <w:rFonts w:ascii="Arial" w:hAnsi="Arial" w:cs="Arial"/>
        </w:rPr>
        <w:t xml:space="preserve">Ikamari, L., (2020). Uptake of maternal services and associated factors in the western region of Kenya. </w:t>
      </w:r>
      <w:r w:rsidRPr="00BF0648">
        <w:rPr>
          <w:rFonts w:ascii="Arial" w:hAnsi="Arial" w:cs="Arial"/>
          <w:i/>
          <w:iCs/>
        </w:rPr>
        <w:t>Pan African Medical Journal</w:t>
      </w:r>
      <w:r w:rsidRPr="00BF0648">
        <w:rPr>
          <w:rFonts w:ascii="Arial" w:hAnsi="Arial" w:cs="Arial"/>
        </w:rPr>
        <w:t xml:space="preserve">, 37, 192. </w:t>
      </w:r>
      <w:hyperlink r:id="rId13" w:tgtFrame="_new" w:history="1">
        <w:r w:rsidRPr="00BF0648">
          <w:rPr>
            <w:rFonts w:ascii="Arial" w:hAnsi="Arial" w:cs="Arial"/>
            <w:u w:val="single"/>
          </w:rPr>
          <w:t>https://doi.org/10.11604/pamj.2020.37.192.22406</w:t>
        </w:r>
      </w:hyperlink>
    </w:p>
    <w:p w14:paraId="0101F23A" w14:textId="5CAB06F6" w:rsidR="00924571" w:rsidRPr="00BF0648" w:rsidRDefault="00924571" w:rsidP="00924571">
      <w:pPr>
        <w:numPr>
          <w:ilvl w:val="0"/>
          <w:numId w:val="7"/>
        </w:numPr>
        <w:spacing w:before="100" w:beforeAutospacing="1" w:after="100" w:afterAutospacing="1" w:line="360" w:lineRule="auto"/>
        <w:jc w:val="both"/>
        <w:rPr>
          <w:rFonts w:ascii="Arial" w:eastAsia="Times New Roman" w:hAnsi="Arial" w:cs="Arial"/>
          <w:color w:val="FF0000"/>
          <w:u w:val="single"/>
        </w:rPr>
      </w:pPr>
      <w:r w:rsidRPr="00BF0648">
        <w:rPr>
          <w:rFonts w:ascii="Arial" w:hAnsi="Arial" w:cs="Arial"/>
        </w:rPr>
        <w:t xml:space="preserve">Abate, M. G., Tesfaye, T., Worku, A. G., (2025). Determinants of maternal healthcare utilization in low- and middle-income countries: Evidence from demographic and health surveys. </w:t>
      </w:r>
      <w:r w:rsidRPr="00BF0648">
        <w:rPr>
          <w:rStyle w:val="Emphasis"/>
          <w:rFonts w:ascii="Arial" w:hAnsi="Arial" w:cs="Arial"/>
        </w:rPr>
        <w:t>BMC Health Services Research</w:t>
      </w:r>
      <w:r w:rsidRPr="00BF0648">
        <w:rPr>
          <w:rFonts w:ascii="Arial" w:hAnsi="Arial" w:cs="Arial"/>
        </w:rPr>
        <w:t xml:space="preserve">, 25, 12764. </w:t>
      </w:r>
      <w:r w:rsidRPr="00BF0648">
        <w:rPr>
          <w:rFonts w:ascii="Arial" w:hAnsi="Arial" w:cs="Arial"/>
          <w:u w:val="single"/>
        </w:rPr>
        <w:t>https://doi.org/10.1186/s12913-025-12764-z</w:t>
      </w:r>
    </w:p>
    <w:p w14:paraId="32B54B58" w14:textId="03860F9D" w:rsidR="008873A4" w:rsidRPr="00BF0648" w:rsidRDefault="00924571" w:rsidP="00924571">
      <w:pPr>
        <w:numPr>
          <w:ilvl w:val="0"/>
          <w:numId w:val="7"/>
        </w:numPr>
        <w:spacing w:before="100" w:beforeAutospacing="1" w:after="100" w:afterAutospacing="1" w:line="360" w:lineRule="auto"/>
        <w:jc w:val="both"/>
        <w:rPr>
          <w:rFonts w:ascii="Arial" w:eastAsia="Times New Roman" w:hAnsi="Arial" w:cs="Arial"/>
        </w:rPr>
      </w:pPr>
      <w:r w:rsidRPr="00BF0648">
        <w:rPr>
          <w:rFonts w:ascii="Arial" w:hAnsi="Arial" w:cs="Arial"/>
          <w:shd w:val="clear" w:color="auto" w:fill="FFFFFF"/>
        </w:rPr>
        <w:t>Geda, N.R., Feng, C.X., Henry, C.J. </w:t>
      </w:r>
      <w:r w:rsidRPr="00BF0648">
        <w:rPr>
          <w:rFonts w:ascii="Arial" w:hAnsi="Arial" w:cs="Arial"/>
          <w:i/>
          <w:iCs/>
          <w:shd w:val="clear" w:color="auto" w:fill="FFFFFF"/>
        </w:rPr>
        <w:t>et al.</w:t>
      </w:r>
      <w:r w:rsidRPr="00BF0648">
        <w:rPr>
          <w:rFonts w:ascii="Arial" w:hAnsi="Arial" w:cs="Arial"/>
          <w:shd w:val="clear" w:color="auto" w:fill="FFFFFF"/>
        </w:rPr>
        <w:t> Inequalities in adherence to the continuum of maternal and child health service utilization in Ethiopia: multilevel analysis. </w:t>
      </w:r>
      <w:r w:rsidRPr="00BF0648">
        <w:rPr>
          <w:rFonts w:ascii="Arial" w:hAnsi="Arial" w:cs="Arial"/>
          <w:i/>
          <w:iCs/>
          <w:shd w:val="clear" w:color="auto" w:fill="FFFFFF"/>
        </w:rPr>
        <w:t>J Health Popul Nutr</w:t>
      </w:r>
      <w:r w:rsidRPr="00BF0648">
        <w:rPr>
          <w:rFonts w:ascii="Arial" w:hAnsi="Arial" w:cs="Arial"/>
          <w:shd w:val="clear" w:color="auto" w:fill="FFFFFF"/>
        </w:rPr>
        <w:t> </w:t>
      </w:r>
      <w:r w:rsidRPr="00BF0648">
        <w:rPr>
          <w:rFonts w:ascii="Arial" w:hAnsi="Arial" w:cs="Arial"/>
          <w:bCs/>
          <w:shd w:val="clear" w:color="auto" w:fill="FFFFFF"/>
        </w:rPr>
        <w:t>40</w:t>
      </w:r>
      <w:r w:rsidRPr="00BF0648">
        <w:rPr>
          <w:rFonts w:ascii="Arial" w:hAnsi="Arial" w:cs="Arial"/>
          <w:shd w:val="clear" w:color="auto" w:fill="FFFFFF"/>
        </w:rPr>
        <w:t xml:space="preserve">, 45 (2021). </w:t>
      </w:r>
      <w:hyperlink r:id="rId14" w:history="1">
        <w:r w:rsidRPr="00BF0648">
          <w:rPr>
            <w:rStyle w:val="Hyperlink"/>
            <w:rFonts w:ascii="Arial" w:hAnsi="Arial" w:cs="Arial"/>
            <w:color w:val="auto"/>
            <w:shd w:val="clear" w:color="auto" w:fill="FFFFFF"/>
          </w:rPr>
          <w:t>https://doi.org/10.1186/s41043-021-00271-w</w:t>
        </w:r>
      </w:hyperlink>
    </w:p>
    <w:p w14:paraId="02DEEFCC" w14:textId="7998C4FF" w:rsidR="00924571" w:rsidRPr="00BF0648" w:rsidRDefault="00924571" w:rsidP="00924571">
      <w:pPr>
        <w:numPr>
          <w:ilvl w:val="0"/>
          <w:numId w:val="7"/>
        </w:numPr>
        <w:spacing w:before="100" w:beforeAutospacing="1" w:after="100" w:afterAutospacing="1" w:line="360" w:lineRule="auto"/>
        <w:jc w:val="both"/>
        <w:rPr>
          <w:rFonts w:ascii="Arial" w:eastAsia="Times New Roman" w:hAnsi="Arial" w:cs="Arial"/>
        </w:rPr>
      </w:pPr>
      <w:r w:rsidRPr="00BF0648">
        <w:rPr>
          <w:rFonts w:ascii="Arial" w:hAnsi="Arial" w:cs="Arial"/>
        </w:rPr>
        <w:t xml:space="preserve">Nyongesa, P., et al. (2023). Maternal age extremes and adverse pregnancy outcomes in low- and middle-income countries: A cohort analysis. </w:t>
      </w:r>
      <w:r w:rsidRPr="00BF0648">
        <w:rPr>
          <w:rStyle w:val="Emphasis"/>
          <w:rFonts w:ascii="Arial" w:hAnsi="Arial" w:cs="Arial"/>
        </w:rPr>
        <w:t>Frontiers in Global Women’s Health</w:t>
      </w:r>
      <w:r w:rsidRPr="00BF0648">
        <w:rPr>
          <w:rFonts w:ascii="Arial" w:hAnsi="Arial" w:cs="Arial"/>
        </w:rPr>
        <w:t xml:space="preserve">. </w:t>
      </w:r>
      <w:r w:rsidRPr="00BF0648">
        <w:rPr>
          <w:rFonts w:ascii="Arial" w:hAnsi="Arial" w:cs="Arial"/>
          <w:u w:val="single"/>
        </w:rPr>
        <w:t>https://doi.org/10.3389/fgwh.2023.1201037</w:t>
      </w:r>
    </w:p>
    <w:p w14:paraId="2DAA97C0" w14:textId="1923EB49" w:rsidR="008873A4" w:rsidRPr="00BF0648" w:rsidRDefault="00924571" w:rsidP="00924571">
      <w:pPr>
        <w:numPr>
          <w:ilvl w:val="0"/>
          <w:numId w:val="7"/>
        </w:numPr>
        <w:spacing w:before="100" w:beforeAutospacing="1" w:after="100" w:afterAutospacing="1" w:line="360" w:lineRule="auto"/>
        <w:jc w:val="both"/>
        <w:rPr>
          <w:rFonts w:ascii="Arial" w:eastAsia="Times New Roman" w:hAnsi="Arial" w:cs="Arial"/>
        </w:rPr>
      </w:pPr>
      <w:r w:rsidRPr="00BF0648">
        <w:rPr>
          <w:rFonts w:ascii="Arial" w:hAnsi="Arial" w:cs="Arial"/>
        </w:rPr>
        <w:lastRenderedPageBreak/>
        <w:t xml:space="preserve">Galgalo, D. A., Mokaya, P., Chauhan, S., Kasmai, E., Kiptulon, P., Wami, G. A., Várnagy, Á., &amp; Prémusz, V. (2024). Utilization of maternal health care services among pastoralist communities in Marsabit County, Kenya: a cross-sectional survey. </w:t>
      </w:r>
      <w:r w:rsidRPr="00BF0648">
        <w:rPr>
          <w:rStyle w:val="Emphasis"/>
          <w:rFonts w:ascii="Arial" w:hAnsi="Arial" w:cs="Arial"/>
        </w:rPr>
        <w:t>Reproductive Health</w:t>
      </w:r>
      <w:r w:rsidRPr="00BF0648">
        <w:rPr>
          <w:rFonts w:ascii="Arial" w:hAnsi="Arial" w:cs="Arial"/>
        </w:rPr>
        <w:t>, 21, 126</w:t>
      </w:r>
      <w:r w:rsidRPr="00BF0648">
        <w:rPr>
          <w:rFonts w:ascii="Arial" w:hAnsi="Arial" w:cs="Arial"/>
          <w:u w:val="single"/>
        </w:rPr>
        <w:t xml:space="preserve">. </w:t>
      </w:r>
      <w:hyperlink r:id="rId15" w:history="1">
        <w:r w:rsidRPr="00BF0648">
          <w:rPr>
            <w:rStyle w:val="Hyperlink"/>
            <w:rFonts w:ascii="Arial" w:hAnsi="Arial" w:cs="Arial"/>
            <w:color w:val="auto"/>
          </w:rPr>
          <w:t>https://doi.org/10.1186/s12978-024-01865-3</w:t>
        </w:r>
      </w:hyperlink>
    </w:p>
    <w:p w14:paraId="6BFE0084" w14:textId="53532103" w:rsidR="00924571" w:rsidRPr="00BF0648" w:rsidRDefault="00924571" w:rsidP="00924571">
      <w:pPr>
        <w:numPr>
          <w:ilvl w:val="0"/>
          <w:numId w:val="7"/>
        </w:numPr>
        <w:spacing w:before="100" w:beforeAutospacing="1" w:after="100" w:afterAutospacing="1" w:line="360" w:lineRule="auto"/>
        <w:jc w:val="both"/>
        <w:rPr>
          <w:rFonts w:ascii="Arial" w:eastAsia="Times New Roman" w:hAnsi="Arial" w:cs="Arial"/>
        </w:rPr>
      </w:pPr>
      <w:r w:rsidRPr="00BF0648">
        <w:rPr>
          <w:rFonts w:ascii="Arial" w:hAnsi="Arial" w:cs="Arial"/>
        </w:rPr>
        <w:t xml:space="preserve">Vatsa, R., Chang, W., Akinyi, S., Little, S., Gakii, C., Mungai, J., Kahumbura, C., Wickramanayake, A., Rajasekharan, S., &amp; Cohen, J. (2025). </w:t>
      </w:r>
      <w:r w:rsidRPr="00BF0648">
        <w:rPr>
          <w:rStyle w:val="Emphasis"/>
          <w:rFonts w:ascii="Arial" w:hAnsi="Arial" w:cs="Arial"/>
        </w:rPr>
        <w:t>Impact evaluation of a digital health platform empowering Kenyan women across the pregnancy-postpartum care continuum: A cluster randomized controlled trial</w:t>
      </w:r>
      <w:r w:rsidRPr="00BF0648">
        <w:rPr>
          <w:rFonts w:ascii="Arial" w:hAnsi="Arial" w:cs="Arial"/>
        </w:rPr>
        <w:t xml:space="preserve">. PLoS Medicine, 22(2), e1004527. </w:t>
      </w:r>
      <w:r w:rsidRPr="00BF0648">
        <w:rPr>
          <w:rFonts w:ascii="Arial" w:hAnsi="Arial" w:cs="Arial"/>
          <w:u w:val="single"/>
        </w:rPr>
        <w:t>https://doi.org/10.1371/journal.pmed.1004527</w:t>
      </w:r>
    </w:p>
    <w:p w14:paraId="084B4870" w14:textId="685AAB95" w:rsidR="008873A4" w:rsidRPr="00BF0648" w:rsidRDefault="008873A4" w:rsidP="00924571">
      <w:pPr>
        <w:numPr>
          <w:ilvl w:val="0"/>
          <w:numId w:val="7"/>
        </w:numPr>
        <w:spacing w:before="100" w:beforeAutospacing="1" w:after="100" w:afterAutospacing="1" w:line="360" w:lineRule="auto"/>
        <w:jc w:val="both"/>
        <w:rPr>
          <w:rFonts w:ascii="Arial" w:eastAsia="Times New Roman" w:hAnsi="Arial" w:cs="Arial"/>
          <w:u w:val="single"/>
        </w:rPr>
      </w:pPr>
      <w:r w:rsidRPr="00BF0648">
        <w:rPr>
          <w:rFonts w:ascii="Arial" w:eastAsia="Times New Roman" w:hAnsi="Arial" w:cs="Arial"/>
        </w:rPr>
        <w:t>Labrique, A. B., Vasudevan, L., Kochi, E.,</w:t>
      </w:r>
      <w:r w:rsidR="00924571" w:rsidRPr="00BF0648">
        <w:rPr>
          <w:rFonts w:ascii="Arial" w:eastAsia="Times New Roman" w:hAnsi="Arial" w:cs="Arial"/>
        </w:rPr>
        <w:t xml:space="preserve"> Fabricant, R., &amp; Mehl, G. (2013</w:t>
      </w:r>
      <w:r w:rsidRPr="00BF0648">
        <w:rPr>
          <w:rFonts w:ascii="Arial" w:eastAsia="Times New Roman" w:hAnsi="Arial" w:cs="Arial"/>
        </w:rPr>
        <w:t xml:space="preserve">). mHealth innovations as health system strengthening tools: 12 common applications and a visual framework. </w:t>
      </w:r>
      <w:r w:rsidRPr="00BF0648">
        <w:rPr>
          <w:rFonts w:ascii="Arial" w:eastAsia="Times New Roman" w:hAnsi="Arial" w:cs="Arial"/>
          <w:iCs/>
        </w:rPr>
        <w:t>Global Health: Science and Practice, 1</w:t>
      </w:r>
      <w:r w:rsidRPr="00BF0648">
        <w:rPr>
          <w:rFonts w:ascii="Arial" w:eastAsia="Times New Roman" w:hAnsi="Arial" w:cs="Arial"/>
        </w:rPr>
        <w:t xml:space="preserve">(2), 160–171. </w:t>
      </w:r>
      <w:r w:rsidRPr="00BF0648">
        <w:rPr>
          <w:rFonts w:ascii="Arial" w:eastAsia="Times New Roman" w:hAnsi="Arial" w:cs="Arial"/>
          <w:u w:val="single"/>
        </w:rPr>
        <w:t>https://doi.org/10.9745/GHSP-D-13-00031</w:t>
      </w:r>
    </w:p>
    <w:sectPr w:rsidR="008873A4" w:rsidRPr="00BF064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8DAFD" w14:textId="77777777" w:rsidR="001210F0" w:rsidRDefault="001210F0" w:rsidP="00BB0D36">
      <w:pPr>
        <w:spacing w:after="0" w:line="240" w:lineRule="auto"/>
      </w:pPr>
      <w:r>
        <w:separator/>
      </w:r>
    </w:p>
  </w:endnote>
  <w:endnote w:type="continuationSeparator" w:id="0">
    <w:p w14:paraId="7EB0C505" w14:textId="77777777" w:rsidR="001210F0" w:rsidRDefault="001210F0" w:rsidP="00BB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B1E67" w14:textId="77777777" w:rsidR="00197EE1" w:rsidRDefault="00197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9A2A" w14:textId="77777777" w:rsidR="00197EE1" w:rsidRDefault="00197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1ACC" w14:textId="77777777" w:rsidR="00197EE1" w:rsidRDefault="00197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66254" w14:textId="77777777" w:rsidR="001210F0" w:rsidRDefault="001210F0" w:rsidP="00BB0D36">
      <w:pPr>
        <w:spacing w:after="0" w:line="240" w:lineRule="auto"/>
      </w:pPr>
      <w:r>
        <w:separator/>
      </w:r>
    </w:p>
  </w:footnote>
  <w:footnote w:type="continuationSeparator" w:id="0">
    <w:p w14:paraId="4FD93193" w14:textId="77777777" w:rsidR="001210F0" w:rsidRDefault="001210F0" w:rsidP="00BB0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22FEB" w14:textId="59AF9EA4" w:rsidR="00197EE1" w:rsidRDefault="00445A6F">
    <w:pPr>
      <w:pStyle w:val="Header"/>
    </w:pPr>
    <w:r>
      <w:rPr>
        <w:noProof/>
      </w:rPr>
      <w:pict w14:anchorId="54805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43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D1AB" w14:textId="75557E78" w:rsidR="00197EE1" w:rsidRDefault="00445A6F">
    <w:pPr>
      <w:pStyle w:val="Header"/>
    </w:pPr>
    <w:r>
      <w:rPr>
        <w:noProof/>
      </w:rPr>
      <w:pict w14:anchorId="0FE23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43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EAC6" w14:textId="702D14BC" w:rsidR="00197EE1" w:rsidRDefault="00445A6F">
    <w:pPr>
      <w:pStyle w:val="Header"/>
    </w:pPr>
    <w:r>
      <w:rPr>
        <w:noProof/>
      </w:rPr>
      <w:pict w14:anchorId="411C2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43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84041178"/>
    <w:lvl w:ilvl="0" w:tplc="04090005">
      <w:start w:val="1"/>
      <w:numFmt w:val="bullet"/>
      <w:lvlText w:val=""/>
      <w:lvlJc w:val="left"/>
      <w:pPr>
        <w:ind w:left="720" w:hanging="360"/>
      </w:pPr>
      <w:rPr>
        <w:rFonts w:ascii="Wingdings" w:hAnsi="Wingdings" w:hint="default"/>
      </w:rPr>
    </w:lvl>
    <w:lvl w:ilvl="1" w:tplc="A888EB5A">
      <w:numFmt w:val="bullet"/>
      <w:lvlText w:val="•"/>
      <w:lvlJc w:val="left"/>
      <w:pPr>
        <w:ind w:left="1440" w:hanging="360"/>
      </w:pPr>
      <w:rPr>
        <w:rFonts w:ascii="Times New Roman" w:eastAsia="Times New Roman" w:hAnsi="Times New Roman" w:cs="Times New Roman"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2DF55EF"/>
    <w:multiLevelType w:val="multilevel"/>
    <w:tmpl w:val="1122B17E"/>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EE0924"/>
    <w:multiLevelType w:val="multilevel"/>
    <w:tmpl w:val="994215B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D80E3F"/>
    <w:multiLevelType w:val="multilevel"/>
    <w:tmpl w:val="890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E4DD5"/>
    <w:multiLevelType w:val="multilevel"/>
    <w:tmpl w:val="7390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52162"/>
    <w:multiLevelType w:val="multilevel"/>
    <w:tmpl w:val="D17E5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332091"/>
    <w:multiLevelType w:val="hybridMultilevel"/>
    <w:tmpl w:val="4AAC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21395"/>
    <w:multiLevelType w:val="multilevel"/>
    <w:tmpl w:val="D7E8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6626A"/>
    <w:multiLevelType w:val="hybridMultilevel"/>
    <w:tmpl w:val="04489C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5"/>
  </w:num>
  <w:num w:numId="4">
    <w:abstractNumId w:val="1"/>
  </w:num>
  <w:num w:numId="5">
    <w:abstractNumId w:val="0"/>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3A"/>
    <w:rsid w:val="00056A31"/>
    <w:rsid w:val="000A5114"/>
    <w:rsid w:val="000C785C"/>
    <w:rsid w:val="001210F0"/>
    <w:rsid w:val="0013679C"/>
    <w:rsid w:val="00174AD9"/>
    <w:rsid w:val="00187ABB"/>
    <w:rsid w:val="00197EE1"/>
    <w:rsid w:val="001A730A"/>
    <w:rsid w:val="00244ABF"/>
    <w:rsid w:val="002B26EF"/>
    <w:rsid w:val="002B7BA5"/>
    <w:rsid w:val="002D0313"/>
    <w:rsid w:val="002D7E96"/>
    <w:rsid w:val="0032558D"/>
    <w:rsid w:val="0032706C"/>
    <w:rsid w:val="0034078E"/>
    <w:rsid w:val="00345534"/>
    <w:rsid w:val="003773AE"/>
    <w:rsid w:val="003F403A"/>
    <w:rsid w:val="003F6799"/>
    <w:rsid w:val="00401CBB"/>
    <w:rsid w:val="00417288"/>
    <w:rsid w:val="00445A6F"/>
    <w:rsid w:val="004840C2"/>
    <w:rsid w:val="004C2E94"/>
    <w:rsid w:val="0054548A"/>
    <w:rsid w:val="00592890"/>
    <w:rsid w:val="005B0B13"/>
    <w:rsid w:val="005D0823"/>
    <w:rsid w:val="006005EE"/>
    <w:rsid w:val="00610902"/>
    <w:rsid w:val="0065053D"/>
    <w:rsid w:val="0067651D"/>
    <w:rsid w:val="00695DEC"/>
    <w:rsid w:val="00700BA5"/>
    <w:rsid w:val="00757A34"/>
    <w:rsid w:val="007E5EF9"/>
    <w:rsid w:val="007F474E"/>
    <w:rsid w:val="0084699D"/>
    <w:rsid w:val="008607C4"/>
    <w:rsid w:val="008873A4"/>
    <w:rsid w:val="008C0DE2"/>
    <w:rsid w:val="008E3CF4"/>
    <w:rsid w:val="00912E44"/>
    <w:rsid w:val="00924571"/>
    <w:rsid w:val="00966905"/>
    <w:rsid w:val="009C676B"/>
    <w:rsid w:val="009D6C00"/>
    <w:rsid w:val="009E33B8"/>
    <w:rsid w:val="00A10DF8"/>
    <w:rsid w:val="00A23C75"/>
    <w:rsid w:val="00A901F8"/>
    <w:rsid w:val="00B66432"/>
    <w:rsid w:val="00BB0D36"/>
    <w:rsid w:val="00BB36CD"/>
    <w:rsid w:val="00BC2443"/>
    <w:rsid w:val="00BD2E7D"/>
    <w:rsid w:val="00BF0648"/>
    <w:rsid w:val="00C01F7E"/>
    <w:rsid w:val="00C16338"/>
    <w:rsid w:val="00C9748D"/>
    <w:rsid w:val="00CA6DBB"/>
    <w:rsid w:val="00D337F3"/>
    <w:rsid w:val="00D55C7F"/>
    <w:rsid w:val="00D63950"/>
    <w:rsid w:val="00D8333F"/>
    <w:rsid w:val="00DE0DB4"/>
    <w:rsid w:val="00E43FD9"/>
    <w:rsid w:val="00E5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1D895C"/>
  <w15:chartTrackingRefBased/>
  <w15:docId w15:val="{10492B46-AD34-4A7D-B995-7FD21A5E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F40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40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873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0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403A"/>
    <w:rPr>
      <w:rFonts w:ascii="Times New Roman" w:eastAsia="Times New Roman" w:hAnsi="Times New Roman" w:cs="Times New Roman"/>
      <w:b/>
      <w:bCs/>
      <w:sz w:val="36"/>
      <w:szCs w:val="36"/>
    </w:rPr>
  </w:style>
  <w:style w:type="paragraph" w:styleId="NormalWeb">
    <w:name w:val="Normal (Web)"/>
    <w:basedOn w:val="Normal"/>
    <w:uiPriority w:val="99"/>
    <w:unhideWhenUsed/>
    <w:rsid w:val="003F40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403A"/>
    <w:rPr>
      <w:b/>
      <w:bCs/>
    </w:rPr>
  </w:style>
  <w:style w:type="character" w:styleId="Emphasis">
    <w:name w:val="Emphasis"/>
    <w:basedOn w:val="DefaultParagraphFont"/>
    <w:uiPriority w:val="20"/>
    <w:qFormat/>
    <w:rsid w:val="003F403A"/>
    <w:rPr>
      <w:i/>
      <w:iCs/>
    </w:rPr>
  </w:style>
  <w:style w:type="paragraph" w:styleId="NoSpacing">
    <w:name w:val="No Spacing"/>
    <w:uiPriority w:val="1"/>
    <w:qFormat/>
    <w:rsid w:val="00B66432"/>
    <w:pPr>
      <w:spacing w:after="0" w:line="240" w:lineRule="auto"/>
    </w:pPr>
  </w:style>
  <w:style w:type="paragraph" w:customStyle="1" w:styleId="Author">
    <w:name w:val="Author"/>
    <w:basedOn w:val="Normal"/>
    <w:rsid w:val="00B66432"/>
    <w:pPr>
      <w:spacing w:after="0" w:line="280" w:lineRule="exact"/>
      <w:jc w:val="right"/>
    </w:pPr>
    <w:rPr>
      <w:rFonts w:ascii="Helvetica" w:eastAsia="Times New Roman" w:hAnsi="Helvetica" w:cs="Times New Roman"/>
      <w:b/>
      <w:sz w:val="24"/>
      <w:szCs w:val="20"/>
    </w:rPr>
  </w:style>
  <w:style w:type="paragraph" w:styleId="Header">
    <w:name w:val="header"/>
    <w:basedOn w:val="Normal"/>
    <w:link w:val="HeaderChar"/>
    <w:uiPriority w:val="99"/>
    <w:unhideWhenUsed/>
    <w:rsid w:val="00BB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D36"/>
  </w:style>
  <w:style w:type="paragraph" w:styleId="Footer">
    <w:name w:val="footer"/>
    <w:basedOn w:val="Normal"/>
    <w:link w:val="FooterChar"/>
    <w:uiPriority w:val="99"/>
    <w:unhideWhenUsed/>
    <w:rsid w:val="00BB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D36"/>
  </w:style>
  <w:style w:type="character" w:styleId="HTMLCode">
    <w:name w:val="HTML Code"/>
    <w:uiPriority w:val="99"/>
    <w:semiHidden/>
    <w:unhideWhenUsed/>
    <w:rsid w:val="00E5432C"/>
    <w:rPr>
      <w:rFonts w:ascii="Courier New" w:eastAsia="Times New Roman" w:hAnsi="Courier New" w:cs="Courier New"/>
      <w:sz w:val="20"/>
      <w:szCs w:val="20"/>
    </w:rPr>
  </w:style>
  <w:style w:type="paragraph" w:customStyle="1" w:styleId="Default">
    <w:name w:val="Default"/>
    <w:rsid w:val="00610902"/>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qFormat/>
    <w:rsid w:val="009C676B"/>
    <w:pPr>
      <w:spacing w:after="200" w:line="240" w:lineRule="auto"/>
    </w:pPr>
    <w:rPr>
      <w:rFonts w:ascii="Calibri" w:eastAsia="Calibri" w:hAnsi="Calibri" w:cs="Times New Roman"/>
      <w:i/>
      <w:iCs/>
      <w:color w:val="44546A"/>
      <w:sz w:val="18"/>
      <w:szCs w:val="18"/>
    </w:rPr>
  </w:style>
  <w:style w:type="character" w:styleId="Hyperlink">
    <w:name w:val="Hyperlink"/>
    <w:basedOn w:val="DefaultParagraphFont"/>
    <w:uiPriority w:val="99"/>
    <w:unhideWhenUsed/>
    <w:rsid w:val="00592890"/>
    <w:rPr>
      <w:color w:val="0563C1" w:themeColor="hyperlink"/>
      <w:u w:val="single"/>
    </w:rPr>
  </w:style>
  <w:style w:type="paragraph" w:styleId="ListParagraph">
    <w:name w:val="List Paragraph"/>
    <w:basedOn w:val="Normal"/>
    <w:uiPriority w:val="34"/>
    <w:qFormat/>
    <w:rsid w:val="00D63950"/>
    <w:pPr>
      <w:ind w:left="720"/>
      <w:contextualSpacing/>
    </w:pPr>
  </w:style>
  <w:style w:type="character" w:customStyle="1" w:styleId="Heading3Char">
    <w:name w:val="Heading 3 Char"/>
    <w:basedOn w:val="DefaultParagraphFont"/>
    <w:link w:val="Heading3"/>
    <w:uiPriority w:val="9"/>
    <w:rsid w:val="008873A4"/>
    <w:rPr>
      <w:rFonts w:asciiTheme="majorHAnsi" w:eastAsiaTheme="majorEastAsia" w:hAnsiTheme="majorHAnsi" w:cstheme="majorBidi"/>
      <w:color w:val="1F4D78" w:themeColor="accent1" w:themeShade="7F"/>
      <w:sz w:val="24"/>
      <w:szCs w:val="24"/>
    </w:rPr>
  </w:style>
  <w:style w:type="paragraph" w:customStyle="1" w:styleId="c-bibliographic-informationcitation">
    <w:name w:val="c-bibliographic-information__citation"/>
    <w:basedOn w:val="Normal"/>
    <w:rsid w:val="009245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bliographic-informationdownload-citation">
    <w:name w:val="c-bibliographic-information__download-citation"/>
    <w:basedOn w:val="Normal"/>
    <w:rsid w:val="009245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924571"/>
    <w:pPr>
      <w:spacing w:after="240" w:line="240" w:lineRule="auto"/>
      <w:jc w:val="both"/>
    </w:pPr>
    <w:rPr>
      <w:rFonts w:ascii="Helvetica" w:eastAsia="Times New Roman" w:hAnsi="Helvetica" w:cs="Times New Roman"/>
      <w:sz w:val="20"/>
      <w:szCs w:val="20"/>
    </w:rPr>
  </w:style>
  <w:style w:type="character" w:customStyle="1" w:styleId="UnresolvedMention">
    <w:name w:val="Unresolved Mention"/>
    <w:basedOn w:val="DefaultParagraphFont"/>
    <w:uiPriority w:val="99"/>
    <w:semiHidden/>
    <w:unhideWhenUsed/>
    <w:rsid w:val="00345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87673">
      <w:bodyDiv w:val="1"/>
      <w:marLeft w:val="0"/>
      <w:marRight w:val="0"/>
      <w:marTop w:val="0"/>
      <w:marBottom w:val="0"/>
      <w:divBdr>
        <w:top w:val="none" w:sz="0" w:space="0" w:color="auto"/>
        <w:left w:val="none" w:sz="0" w:space="0" w:color="auto"/>
        <w:bottom w:val="none" w:sz="0" w:space="0" w:color="auto"/>
        <w:right w:val="none" w:sz="0" w:space="0" w:color="auto"/>
      </w:divBdr>
    </w:div>
    <w:div w:id="1137259160">
      <w:bodyDiv w:val="1"/>
      <w:marLeft w:val="0"/>
      <w:marRight w:val="0"/>
      <w:marTop w:val="0"/>
      <w:marBottom w:val="0"/>
      <w:divBdr>
        <w:top w:val="none" w:sz="0" w:space="0" w:color="auto"/>
        <w:left w:val="none" w:sz="0" w:space="0" w:color="auto"/>
        <w:bottom w:val="none" w:sz="0" w:space="0" w:color="auto"/>
        <w:right w:val="none" w:sz="0" w:space="0" w:color="auto"/>
      </w:divBdr>
    </w:div>
    <w:div w:id="1196961153">
      <w:bodyDiv w:val="1"/>
      <w:marLeft w:val="0"/>
      <w:marRight w:val="0"/>
      <w:marTop w:val="0"/>
      <w:marBottom w:val="0"/>
      <w:divBdr>
        <w:top w:val="none" w:sz="0" w:space="0" w:color="auto"/>
        <w:left w:val="none" w:sz="0" w:space="0" w:color="auto"/>
        <w:bottom w:val="none" w:sz="0" w:space="0" w:color="auto"/>
        <w:right w:val="none" w:sz="0" w:space="0" w:color="auto"/>
      </w:divBdr>
    </w:div>
    <w:div w:id="1323237760">
      <w:bodyDiv w:val="1"/>
      <w:marLeft w:val="0"/>
      <w:marRight w:val="0"/>
      <w:marTop w:val="0"/>
      <w:marBottom w:val="0"/>
      <w:divBdr>
        <w:top w:val="none" w:sz="0" w:space="0" w:color="auto"/>
        <w:left w:val="none" w:sz="0" w:space="0" w:color="auto"/>
        <w:bottom w:val="none" w:sz="0" w:space="0" w:color="auto"/>
        <w:right w:val="none" w:sz="0" w:space="0" w:color="auto"/>
      </w:divBdr>
    </w:div>
    <w:div w:id="1349258520">
      <w:bodyDiv w:val="1"/>
      <w:marLeft w:val="0"/>
      <w:marRight w:val="0"/>
      <w:marTop w:val="0"/>
      <w:marBottom w:val="0"/>
      <w:divBdr>
        <w:top w:val="none" w:sz="0" w:space="0" w:color="auto"/>
        <w:left w:val="none" w:sz="0" w:space="0" w:color="auto"/>
        <w:bottom w:val="none" w:sz="0" w:space="0" w:color="auto"/>
        <w:right w:val="none" w:sz="0" w:space="0" w:color="auto"/>
      </w:divBdr>
    </w:div>
    <w:div w:id="1647121093">
      <w:bodyDiv w:val="1"/>
      <w:marLeft w:val="0"/>
      <w:marRight w:val="0"/>
      <w:marTop w:val="0"/>
      <w:marBottom w:val="0"/>
      <w:divBdr>
        <w:top w:val="none" w:sz="0" w:space="0" w:color="auto"/>
        <w:left w:val="none" w:sz="0" w:space="0" w:color="auto"/>
        <w:bottom w:val="none" w:sz="0" w:space="0" w:color="auto"/>
        <w:right w:val="none" w:sz="0" w:space="0" w:color="auto"/>
      </w:divBdr>
    </w:div>
    <w:div w:id="1684436890">
      <w:bodyDiv w:val="1"/>
      <w:marLeft w:val="0"/>
      <w:marRight w:val="0"/>
      <w:marTop w:val="0"/>
      <w:marBottom w:val="0"/>
      <w:divBdr>
        <w:top w:val="none" w:sz="0" w:space="0" w:color="auto"/>
        <w:left w:val="none" w:sz="0" w:space="0" w:color="auto"/>
        <w:bottom w:val="none" w:sz="0" w:space="0" w:color="auto"/>
        <w:right w:val="none" w:sz="0" w:space="0" w:color="auto"/>
      </w:divBdr>
      <w:divsChild>
        <w:div w:id="1121925339">
          <w:marLeft w:val="0"/>
          <w:marRight w:val="0"/>
          <w:marTop w:val="0"/>
          <w:marBottom w:val="0"/>
          <w:divBdr>
            <w:top w:val="none" w:sz="0" w:space="0" w:color="auto"/>
            <w:left w:val="none" w:sz="0" w:space="0" w:color="auto"/>
            <w:bottom w:val="none" w:sz="0" w:space="0" w:color="auto"/>
            <w:right w:val="none" w:sz="0" w:space="0" w:color="auto"/>
          </w:divBdr>
          <w:divsChild>
            <w:div w:id="590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604/pamj.2020.37.192.224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journalajmah.com/index.php/AJMAH/article/view/7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371/journal.pgph.0000584" TargetMode="External"/><Relationship Id="rId5" Type="http://schemas.openxmlformats.org/officeDocument/2006/relationships/styles" Target="styles.xml"/><Relationship Id="rId15" Type="http://schemas.openxmlformats.org/officeDocument/2006/relationships/hyperlink" Target="https://doi.org/10.1186/s12978-024-01865-3"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86/s41043-021-00271-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3a46e9-3bd1-401c-8378-28a878d7ca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60DA169868C04F865F16A97EDF1775" ma:contentTypeVersion="11" ma:contentTypeDescription="Create a new document." ma:contentTypeScope="" ma:versionID="e76c35dad47709c4435cdc8c057c6621">
  <xsd:schema xmlns:xsd="http://www.w3.org/2001/XMLSchema" xmlns:xs="http://www.w3.org/2001/XMLSchema" xmlns:p="http://schemas.microsoft.com/office/2006/metadata/properties" xmlns:ns3="2e3a46e9-3bd1-401c-8378-28a878d7ca33" targetNamespace="http://schemas.microsoft.com/office/2006/metadata/properties" ma:root="true" ma:fieldsID="c562657c16ebf3d70c8a0b4731942018" ns3:_="">
    <xsd:import namespace="2e3a46e9-3bd1-401c-8378-28a878d7ca3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a46e9-3bd1-401c-8378-28a878d7ca3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2C97B-9D73-4EDE-98BE-6F86CF2E3F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e3a46e9-3bd1-401c-8378-28a878d7ca33"/>
    <ds:schemaRef ds:uri="http://www.w3.org/XML/1998/namespace"/>
    <ds:schemaRef ds:uri="http://purl.org/dc/dcmitype/"/>
  </ds:schemaRefs>
</ds:datastoreItem>
</file>

<file path=customXml/itemProps2.xml><?xml version="1.0" encoding="utf-8"?>
<ds:datastoreItem xmlns:ds="http://schemas.openxmlformats.org/officeDocument/2006/customXml" ds:itemID="{A09A6673-2C24-484D-90CB-C5BF5CA8C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a46e9-3bd1-401c-8378-28a878d7c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CAE9E-EE13-47B6-B2AA-684CFEC6D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3978</Words>
  <Characters>22677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Akani</dc:creator>
  <cp:keywords/>
  <dc:description/>
  <cp:lastModifiedBy>Kennedy Akani</cp:lastModifiedBy>
  <cp:revision>6</cp:revision>
  <dcterms:created xsi:type="dcterms:W3CDTF">2025-10-05T13:28:00Z</dcterms:created>
  <dcterms:modified xsi:type="dcterms:W3CDTF">2025-10-05T15:14:00Z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0x010100A560DA169868C04F865F16A97EDF1775</vt:lpwstr>
  </property>
</Properties>
</file>