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E5EF0" w14:textId="77777777" w:rsidR="002B5064" w:rsidRPr="002B5064" w:rsidRDefault="002B5064" w:rsidP="002B5064">
      <w:pPr>
        <w:jc w:val="center"/>
        <w:rPr>
          <w:rFonts w:ascii="Times New Roman" w:hAnsi="Times New Roman" w:cs="Times New Roman"/>
          <w:b/>
          <w:bCs/>
          <w:i/>
          <w:iCs/>
          <w:sz w:val="40"/>
          <w:szCs w:val="40"/>
          <w:u w:val="single"/>
          <w:lang w:val="en-US"/>
        </w:rPr>
      </w:pPr>
      <w:r w:rsidRPr="002B5064">
        <w:rPr>
          <w:rFonts w:ascii="Times New Roman" w:hAnsi="Times New Roman" w:cs="Times New Roman"/>
          <w:b/>
          <w:bCs/>
          <w:i/>
          <w:iCs/>
          <w:sz w:val="40"/>
          <w:szCs w:val="40"/>
          <w:u w:val="single"/>
          <w:lang w:val="en-US"/>
        </w:rPr>
        <w:t>Original Research Article</w:t>
      </w:r>
    </w:p>
    <w:p w14:paraId="2AE89FF2" w14:textId="19AC4FE1" w:rsidR="009748A2" w:rsidRDefault="00C47083" w:rsidP="009748A2">
      <w:pPr>
        <w:jc w:val="center"/>
        <w:rPr>
          <w:rFonts w:ascii="Times New Roman" w:hAnsi="Times New Roman" w:cs="Times New Roman"/>
          <w:sz w:val="40"/>
          <w:szCs w:val="40"/>
        </w:rPr>
      </w:pPr>
      <w:r w:rsidRPr="00083F5B">
        <w:rPr>
          <w:rFonts w:ascii="Times New Roman" w:hAnsi="Times New Roman" w:cs="Times New Roman"/>
          <w:sz w:val="40"/>
          <w:szCs w:val="40"/>
        </w:rPr>
        <w:t xml:space="preserve">Assessment of community-based ivermectin treatment coverage for onchocerciasis in the </w:t>
      </w:r>
      <w:proofErr w:type="spellStart"/>
      <w:r w:rsidRPr="00083F5B">
        <w:rPr>
          <w:rFonts w:ascii="Times New Roman" w:hAnsi="Times New Roman" w:cs="Times New Roman"/>
          <w:sz w:val="40"/>
          <w:szCs w:val="40"/>
        </w:rPr>
        <w:t>Batcham</w:t>
      </w:r>
      <w:proofErr w:type="spellEnd"/>
      <w:r w:rsidRPr="00083F5B">
        <w:rPr>
          <w:rFonts w:ascii="Times New Roman" w:hAnsi="Times New Roman" w:cs="Times New Roman"/>
          <w:sz w:val="40"/>
          <w:szCs w:val="40"/>
        </w:rPr>
        <w:t xml:space="preserve"> Health District</w:t>
      </w:r>
      <w:r w:rsidR="0063592E">
        <w:rPr>
          <w:rFonts w:ascii="Times New Roman" w:hAnsi="Times New Roman" w:cs="Times New Roman"/>
          <w:sz w:val="40"/>
          <w:szCs w:val="40"/>
        </w:rPr>
        <w:t>,</w:t>
      </w:r>
      <w:r w:rsidR="000D03DF">
        <w:rPr>
          <w:rFonts w:ascii="Times New Roman" w:hAnsi="Times New Roman" w:cs="Times New Roman"/>
          <w:sz w:val="40"/>
          <w:szCs w:val="40"/>
        </w:rPr>
        <w:t xml:space="preserve"> </w:t>
      </w:r>
      <w:r w:rsidR="000D03DF" w:rsidRPr="00490927">
        <w:rPr>
          <w:rFonts w:ascii="Times New Roman" w:hAnsi="Times New Roman" w:cs="Times New Roman"/>
          <w:sz w:val="40"/>
          <w:szCs w:val="40"/>
          <w:highlight w:val="yellow"/>
        </w:rPr>
        <w:t>Cameroon</w:t>
      </w:r>
      <w:r w:rsidR="000D03DF">
        <w:rPr>
          <w:rFonts w:ascii="Times New Roman" w:hAnsi="Times New Roman" w:cs="Times New Roman"/>
          <w:sz w:val="40"/>
          <w:szCs w:val="40"/>
          <w:highlight w:val="yellow"/>
        </w:rPr>
        <w:t>,</w:t>
      </w:r>
      <w:r w:rsidRPr="00083F5B">
        <w:rPr>
          <w:rFonts w:ascii="Times New Roman" w:hAnsi="Times New Roman" w:cs="Times New Roman"/>
          <w:sz w:val="40"/>
          <w:szCs w:val="40"/>
        </w:rPr>
        <w:t xml:space="preserve"> September 2021</w:t>
      </w:r>
    </w:p>
    <w:p w14:paraId="6377B9E9" w14:textId="77777777" w:rsidR="009748A2" w:rsidRPr="00083F5B" w:rsidRDefault="009748A2" w:rsidP="00083F5B">
      <w:pPr>
        <w:jc w:val="center"/>
        <w:rPr>
          <w:rFonts w:ascii="Times New Roman" w:hAnsi="Times New Roman" w:cs="Times New Roman"/>
          <w:sz w:val="40"/>
          <w:szCs w:val="40"/>
        </w:rPr>
      </w:pPr>
    </w:p>
    <w:p w14:paraId="23AE3CE5" w14:textId="30A36DD7" w:rsidR="00B7108B" w:rsidRDefault="001C606D" w:rsidP="00B7108B">
      <w:pPr>
        <w:rPr>
          <w:rFonts w:ascii="Times New Roman" w:hAnsi="Times New Roman" w:cs="Times New Roman"/>
          <w:sz w:val="36"/>
        </w:rPr>
      </w:pPr>
      <w:proofErr w:type="gramStart"/>
      <w:r>
        <w:rPr>
          <w:rFonts w:ascii="Times New Roman" w:hAnsi="Times New Roman" w:cs="Times New Roman"/>
          <w:sz w:val="36"/>
        </w:rPr>
        <w:t>Abstract :</w:t>
      </w:r>
      <w:proofErr w:type="gramEnd"/>
      <w:r>
        <w:rPr>
          <w:rFonts w:ascii="Times New Roman" w:hAnsi="Times New Roman" w:cs="Times New Roman"/>
          <w:sz w:val="36"/>
        </w:rPr>
        <w:t xml:space="preserve"> </w:t>
      </w:r>
    </w:p>
    <w:p w14:paraId="6E62E2CC" w14:textId="50B3EDF4" w:rsidR="00C80A95" w:rsidRDefault="006931AF" w:rsidP="00C80A95">
      <w:pPr>
        <w:spacing w:line="360" w:lineRule="auto"/>
        <w:jc w:val="both"/>
        <w:rPr>
          <w:rFonts w:ascii="Times New Roman" w:eastAsia="Times New Roman" w:hAnsi="Times New Roman" w:cs="Times New Roman"/>
          <w:sz w:val="24"/>
          <w:szCs w:val="24"/>
          <w:lang w:eastAsia="fr-FR"/>
        </w:rPr>
      </w:pPr>
      <w:r>
        <w:rPr>
          <w:rFonts w:ascii="Times New Roman" w:hAnsi="Times New Roman" w:cs="Times New Roman"/>
          <w:b/>
          <w:sz w:val="24"/>
          <w:szCs w:val="24"/>
        </w:rPr>
        <w:t>Background</w:t>
      </w:r>
      <w:r w:rsidR="00C75701">
        <w:rPr>
          <w:rFonts w:ascii="Times New Roman" w:eastAsia="Times New Roman" w:hAnsi="Times New Roman" w:cs="Times New Roman"/>
          <w:sz w:val="24"/>
          <w:szCs w:val="24"/>
          <w:lang w:eastAsia="fr-FR"/>
        </w:rPr>
        <w:t xml:space="preserve">: Onchocerciasis is a chronic parasitic disease caused by the nematode </w:t>
      </w:r>
      <w:proofErr w:type="spellStart"/>
      <w:r w:rsidR="002C5A8C" w:rsidRPr="002C5A8C">
        <w:rPr>
          <w:rFonts w:ascii="Times New Roman" w:eastAsia="Times New Roman" w:hAnsi="Times New Roman" w:cs="Times New Roman"/>
          <w:i/>
          <w:iCs/>
          <w:sz w:val="24"/>
          <w:szCs w:val="24"/>
          <w:lang w:eastAsia="fr-FR"/>
        </w:rPr>
        <w:t>Onchocerca</w:t>
      </w:r>
      <w:proofErr w:type="spellEnd"/>
      <w:r w:rsidR="002C5A8C" w:rsidRPr="002C5A8C">
        <w:rPr>
          <w:rFonts w:ascii="Times New Roman" w:eastAsia="Times New Roman" w:hAnsi="Times New Roman" w:cs="Times New Roman"/>
          <w:i/>
          <w:iCs/>
          <w:sz w:val="24"/>
          <w:szCs w:val="24"/>
          <w:lang w:eastAsia="fr-FR"/>
        </w:rPr>
        <w:t xml:space="preserve"> volvulus</w:t>
      </w:r>
      <w:r w:rsidR="002C5A8C" w:rsidRPr="002C5A8C">
        <w:rPr>
          <w:rFonts w:ascii="Times New Roman" w:eastAsia="Times New Roman" w:hAnsi="Times New Roman" w:cs="Times New Roman"/>
          <w:sz w:val="24"/>
          <w:szCs w:val="24"/>
          <w:lang w:eastAsia="fr-FR"/>
        </w:rPr>
        <w:t xml:space="preserve">, transmitted by the bite of black flies of the genus </w:t>
      </w:r>
      <w:proofErr w:type="spellStart"/>
      <w:r w:rsidR="002C5A8C" w:rsidRPr="002C5A8C">
        <w:rPr>
          <w:rFonts w:ascii="Times New Roman" w:eastAsia="Times New Roman" w:hAnsi="Times New Roman" w:cs="Times New Roman"/>
          <w:i/>
          <w:iCs/>
          <w:sz w:val="24"/>
          <w:szCs w:val="24"/>
          <w:lang w:eastAsia="fr-FR"/>
        </w:rPr>
        <w:t>Simulium</w:t>
      </w:r>
      <w:proofErr w:type="spellEnd"/>
      <w:r w:rsidR="002C5A8C" w:rsidRPr="002C5A8C">
        <w:rPr>
          <w:rFonts w:ascii="Times New Roman" w:eastAsia="Times New Roman" w:hAnsi="Times New Roman" w:cs="Times New Roman"/>
          <w:i/>
          <w:iCs/>
          <w:sz w:val="24"/>
          <w:szCs w:val="24"/>
          <w:lang w:eastAsia="fr-FR"/>
        </w:rPr>
        <w:t xml:space="preserve"> </w:t>
      </w:r>
      <w:r w:rsidR="002C5A8C" w:rsidRPr="002C5A8C">
        <w:rPr>
          <w:rFonts w:ascii="Times New Roman" w:eastAsia="Times New Roman" w:hAnsi="Times New Roman" w:cs="Times New Roman"/>
          <w:sz w:val="24"/>
          <w:szCs w:val="24"/>
          <w:lang w:eastAsia="fr-FR"/>
        </w:rPr>
        <w:t>that breed in rivers and streams. Mass treatment with ivermectin, combined or not with vector control, has significantly reduced prevalence and incidence in several endemic regions. While notable successes have been recorded in Latin America, sub-Saharan Africa, particularly Cameroon, remains a major focus requiring sustained efforts to achieve the elimination goal by 2030, in accordance with WHO recommendations.</w:t>
      </w:r>
    </w:p>
    <w:p w14:paraId="724BF4C2" w14:textId="554F0537" w:rsidR="000D03DF" w:rsidRDefault="000D03DF" w:rsidP="00C80A95">
      <w:pPr>
        <w:spacing w:line="360" w:lineRule="auto"/>
        <w:jc w:val="both"/>
        <w:rPr>
          <w:rFonts w:ascii="Times New Roman" w:hAnsi="Times New Roman" w:cs="Times New Roman"/>
          <w:sz w:val="36"/>
        </w:rPr>
      </w:pPr>
      <w:r w:rsidRPr="00490927">
        <w:rPr>
          <w:rFonts w:ascii="Times New Roman" w:eastAsia="Times New Roman" w:hAnsi="Times New Roman" w:cs="Times New Roman"/>
          <w:b/>
          <w:bCs/>
          <w:sz w:val="24"/>
          <w:szCs w:val="24"/>
          <w:highlight w:val="yellow"/>
          <w:lang w:eastAsia="fr-FR"/>
        </w:rPr>
        <w:t>Aim</w:t>
      </w:r>
      <w:r w:rsidRPr="00490927">
        <w:rPr>
          <w:rFonts w:ascii="Times New Roman" w:eastAsia="Times New Roman" w:hAnsi="Times New Roman" w:cs="Times New Roman"/>
          <w:sz w:val="24"/>
          <w:szCs w:val="24"/>
          <w:highlight w:val="yellow"/>
          <w:lang w:eastAsia="fr-FR"/>
        </w:rPr>
        <w:t xml:space="preserve">: The paper aims to assess community-based ivermectin treatment coverage for onchocerciasis in the </w:t>
      </w:r>
      <w:proofErr w:type="spellStart"/>
      <w:r w:rsidRPr="00490927">
        <w:rPr>
          <w:rFonts w:ascii="Times New Roman" w:eastAsia="Times New Roman" w:hAnsi="Times New Roman" w:cs="Times New Roman"/>
          <w:sz w:val="24"/>
          <w:szCs w:val="24"/>
          <w:highlight w:val="yellow"/>
          <w:lang w:eastAsia="fr-FR"/>
        </w:rPr>
        <w:t>Batcham</w:t>
      </w:r>
      <w:proofErr w:type="spellEnd"/>
      <w:r w:rsidRPr="00490927">
        <w:rPr>
          <w:rFonts w:ascii="Times New Roman" w:eastAsia="Times New Roman" w:hAnsi="Times New Roman" w:cs="Times New Roman"/>
          <w:sz w:val="24"/>
          <w:szCs w:val="24"/>
          <w:highlight w:val="yellow"/>
          <w:lang w:eastAsia="fr-FR"/>
        </w:rPr>
        <w:t xml:space="preserve"> Health District, September 2021.</w:t>
      </w:r>
    </w:p>
    <w:p w14:paraId="3A9DBBAD" w14:textId="21BC83C8" w:rsidR="002C5A8C" w:rsidRPr="002C5A8C" w:rsidRDefault="006931AF" w:rsidP="007B30A8">
      <w:pPr>
        <w:spacing w:before="100" w:beforeAutospacing="1" w:after="100" w:afterAutospacing="1"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Method</w:t>
      </w:r>
      <w:r w:rsidR="002C5A8C" w:rsidRPr="002C5A8C">
        <w:rPr>
          <w:rFonts w:ascii="Times New Roman" w:eastAsia="Times New Roman" w:hAnsi="Times New Roman" w:cs="Times New Roman"/>
          <w:sz w:val="24"/>
          <w:szCs w:val="24"/>
          <w:lang w:eastAsia="fr-FR"/>
        </w:rPr>
        <w:t xml:space="preserve">: This was an independent descriptive cross-sectional survey of ivermectin treatment coverage in </w:t>
      </w:r>
      <w:proofErr w:type="spellStart"/>
      <w:r w:rsidR="002C5A8C" w:rsidRPr="002C5A8C">
        <w:rPr>
          <w:rFonts w:ascii="Times New Roman" w:eastAsia="Times New Roman" w:hAnsi="Times New Roman" w:cs="Times New Roman"/>
          <w:sz w:val="24"/>
          <w:szCs w:val="24"/>
          <w:lang w:eastAsia="fr-FR"/>
        </w:rPr>
        <w:t>Batcham</w:t>
      </w:r>
      <w:proofErr w:type="spellEnd"/>
      <w:r w:rsidR="002C5A8C" w:rsidRPr="002C5A8C">
        <w:rPr>
          <w:rFonts w:ascii="Times New Roman" w:eastAsia="Times New Roman" w:hAnsi="Times New Roman" w:cs="Times New Roman"/>
          <w:sz w:val="24"/>
          <w:szCs w:val="24"/>
          <w:lang w:eastAsia="fr-FR"/>
        </w:rPr>
        <w:t xml:space="preserve"> Health District. Stratified random sampling was used to select clusters and then households, including individuals aged 5 years and older. Data were collected by trained interviewers using a pre-tested questionnaire via the Kobo app. Collect.</w:t>
      </w:r>
      <w:r w:rsidR="000D03DF">
        <w:rPr>
          <w:rFonts w:ascii="Times New Roman" w:eastAsia="Times New Roman" w:hAnsi="Times New Roman" w:cs="Times New Roman"/>
          <w:sz w:val="24"/>
          <w:szCs w:val="24"/>
          <w:lang w:eastAsia="fr-FR"/>
        </w:rPr>
        <w:t xml:space="preserve"> </w:t>
      </w:r>
      <w:r w:rsidR="000D03DF" w:rsidRPr="00490927">
        <w:rPr>
          <w:rFonts w:ascii="Times New Roman" w:eastAsia="Times New Roman" w:hAnsi="Times New Roman" w:cs="Times New Roman"/>
          <w:sz w:val="24"/>
          <w:szCs w:val="24"/>
          <w:highlight w:val="yellow"/>
          <w:lang w:eastAsia="fr-FR"/>
        </w:rPr>
        <w:t xml:space="preserve">This was a descriptive cross-sectional study conducted on a random sample of households to assess the distribution of mass drug administration (MDA) coverage in the </w:t>
      </w:r>
      <w:proofErr w:type="spellStart"/>
      <w:r w:rsidR="000D03DF" w:rsidRPr="00490927">
        <w:rPr>
          <w:rFonts w:ascii="Times New Roman" w:eastAsia="Times New Roman" w:hAnsi="Times New Roman" w:cs="Times New Roman"/>
          <w:sz w:val="24"/>
          <w:szCs w:val="24"/>
          <w:highlight w:val="yellow"/>
          <w:lang w:eastAsia="fr-FR"/>
        </w:rPr>
        <w:t>Batcham</w:t>
      </w:r>
      <w:proofErr w:type="spellEnd"/>
      <w:r w:rsidR="000D03DF" w:rsidRPr="00490927">
        <w:rPr>
          <w:rFonts w:ascii="Times New Roman" w:eastAsia="Times New Roman" w:hAnsi="Times New Roman" w:cs="Times New Roman"/>
          <w:sz w:val="24"/>
          <w:szCs w:val="24"/>
          <w:highlight w:val="yellow"/>
          <w:lang w:eastAsia="fr-FR"/>
        </w:rPr>
        <w:t xml:space="preserve"> Health District. Data were collected using a pre-tested questionnaire administered via smartphones, with forms developed in KOBO Collect. A total of 804 individuals aged over 5 years were recruited from 201 households to estimate the proportion of supplemented individuals in this age group in the </w:t>
      </w:r>
      <w:proofErr w:type="spellStart"/>
      <w:r w:rsidR="000D03DF" w:rsidRPr="00490927">
        <w:rPr>
          <w:rFonts w:ascii="Times New Roman" w:eastAsia="Times New Roman" w:hAnsi="Times New Roman" w:cs="Times New Roman"/>
          <w:sz w:val="24"/>
          <w:szCs w:val="24"/>
          <w:highlight w:val="yellow"/>
          <w:lang w:eastAsia="fr-FR"/>
        </w:rPr>
        <w:t>Batcham</w:t>
      </w:r>
      <w:proofErr w:type="spellEnd"/>
      <w:r w:rsidR="000D03DF" w:rsidRPr="00490927">
        <w:rPr>
          <w:rFonts w:ascii="Times New Roman" w:eastAsia="Times New Roman" w:hAnsi="Times New Roman" w:cs="Times New Roman"/>
          <w:sz w:val="24"/>
          <w:szCs w:val="24"/>
          <w:highlight w:val="yellow"/>
          <w:lang w:eastAsia="fr-FR"/>
        </w:rPr>
        <w:t xml:space="preserve"> health district. Data collection took place from February to March 2022. </w:t>
      </w:r>
      <w:r w:rsidR="00500CD7" w:rsidRPr="00500CD7">
        <w:rPr>
          <w:rFonts w:ascii="Times New Roman" w:eastAsia="Times New Roman" w:hAnsi="Times New Roman" w:cs="Times New Roman"/>
          <w:b/>
          <w:bCs/>
          <w:sz w:val="24"/>
          <w:szCs w:val="24"/>
          <w:lang w:eastAsia="fr-FR"/>
        </w:rPr>
        <w:t xml:space="preserve">Results: </w:t>
      </w:r>
      <w:r w:rsidR="00500CD7" w:rsidRPr="00500CD7">
        <w:rPr>
          <w:rFonts w:ascii="Times New Roman" w:eastAsia="Times New Roman" w:hAnsi="Times New Roman" w:cs="Times New Roman"/>
          <w:sz w:val="24"/>
          <w:szCs w:val="24"/>
          <w:lang w:eastAsia="fr-FR"/>
        </w:rPr>
        <w:t xml:space="preserve">The study included 802 participants, mostly aged 16–50 years (62.5%) and with secondary education (54.9%). The actual treatment coverage for CDTI/ CDTi in 2021 was 61.7% (95% CI: 58.3–65.0%), well below the reported administrative coverage of 90% (χ² = 21.49, p &lt; 0.001). Factors associated with non-adherence included lack of information (OR = 0.46; 95% CI: 0.30–0.70; p &lt; 0.001), lack of census participation (OR = 0.11; 95% CI: 0.07–0.16; p &lt; </w:t>
      </w:r>
      <w:r w:rsidR="00500CD7" w:rsidRPr="00500CD7">
        <w:rPr>
          <w:rFonts w:ascii="Times New Roman" w:eastAsia="Times New Roman" w:hAnsi="Times New Roman" w:cs="Times New Roman"/>
          <w:sz w:val="24"/>
          <w:szCs w:val="24"/>
          <w:lang w:eastAsia="fr-FR"/>
        </w:rPr>
        <w:lastRenderedPageBreak/>
        <w:t>0.001), and female gender (with males being more likely to adhere: OR = 0.45; 95% CI: 0.32–0.65; p &lt; 0.001). The most effective communication channels were the census (85.1%), churches (82.9%), and social groups (75.9%), while television (77.6%), community health workers (74.4%), SMS (85.7%), and the internet (100%, very small sample) showed mixed results.</w:t>
      </w:r>
    </w:p>
    <w:p w14:paraId="5035B802" w14:textId="581856D6" w:rsidR="002C5A8C" w:rsidRPr="002C5A8C" w:rsidRDefault="006931AF" w:rsidP="00C80A95">
      <w:pPr>
        <w:spacing w:before="100" w:beforeAutospacing="1" w:after="100" w:afterAutospacing="1"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Conclusion</w:t>
      </w:r>
      <w:r w:rsidR="002C5A8C" w:rsidRPr="002C5A8C">
        <w:rPr>
          <w:rFonts w:ascii="Times New Roman" w:eastAsia="Times New Roman" w:hAnsi="Times New Roman" w:cs="Times New Roman"/>
          <w:sz w:val="24"/>
          <w:szCs w:val="24"/>
          <w:lang w:eastAsia="fr-FR"/>
        </w:rPr>
        <w:t xml:space="preserve">: This independent investigation highlights a substantial gap between actual treatment coverage and reported data, suggesting an urgent need to strengthen community </w:t>
      </w:r>
      <w:proofErr w:type="spellStart"/>
      <w:r w:rsidR="0063592E" w:rsidRPr="00490927">
        <w:rPr>
          <w:rFonts w:ascii="Times New Roman" w:eastAsia="Times New Roman" w:hAnsi="Times New Roman" w:cs="Times New Roman"/>
          <w:sz w:val="24"/>
          <w:szCs w:val="24"/>
          <w:highlight w:val="yellow"/>
          <w:lang w:eastAsia="fr-FR"/>
        </w:rPr>
        <w:t>mobilisation</w:t>
      </w:r>
      <w:proofErr w:type="spellEnd"/>
      <w:r w:rsidR="002C5A8C" w:rsidRPr="002C5A8C">
        <w:rPr>
          <w:rFonts w:ascii="Times New Roman" w:eastAsia="Times New Roman" w:hAnsi="Times New Roman" w:cs="Times New Roman"/>
          <w:sz w:val="24"/>
          <w:szCs w:val="24"/>
          <w:lang w:eastAsia="fr-FR"/>
        </w:rPr>
        <w:t>, the effectiveness of awareness campaigns and independent monitoring to ensure that elimination targets are met by 2030.</w:t>
      </w:r>
    </w:p>
    <w:p w14:paraId="4378FE53" w14:textId="527C9EAD" w:rsidR="002C5A8C" w:rsidRPr="001A77FA" w:rsidRDefault="001A77FA" w:rsidP="001A77FA">
      <w:pPr>
        <w:spacing w:before="100" w:beforeAutospacing="1" w:after="100" w:afterAutospacing="1"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Keywords</w:t>
      </w:r>
      <w:r w:rsidR="002C5A8C" w:rsidRPr="002C5A8C">
        <w:rPr>
          <w:rFonts w:ascii="Times New Roman" w:eastAsia="Times New Roman" w:hAnsi="Times New Roman" w:cs="Times New Roman"/>
          <w:sz w:val="24"/>
          <w:szCs w:val="24"/>
          <w:lang w:eastAsia="fr-FR"/>
        </w:rPr>
        <w:t>: onchocerciasis, ivermectin, elimination, therapeutic coverage, health district, Cameroon</w:t>
      </w:r>
    </w:p>
    <w:p w14:paraId="13C187D4" w14:textId="74FA9456" w:rsidR="00253A37" w:rsidRPr="00C47083" w:rsidRDefault="00C47083" w:rsidP="00953F28">
      <w:pPr>
        <w:rPr>
          <w:rFonts w:ascii="Times New Roman" w:hAnsi="Times New Roman" w:cs="Times New Roman"/>
          <w:sz w:val="36"/>
        </w:rPr>
      </w:pPr>
      <w:r w:rsidRPr="00C47083">
        <w:rPr>
          <w:rFonts w:ascii="Times New Roman" w:hAnsi="Times New Roman" w:cs="Times New Roman"/>
          <w:sz w:val="36"/>
        </w:rPr>
        <w:t>Introductio</w:t>
      </w:r>
      <w:r w:rsidR="006931AF">
        <w:rPr>
          <w:rFonts w:ascii="Times New Roman" w:hAnsi="Times New Roman" w:cs="Times New Roman"/>
          <w:sz w:val="36"/>
        </w:rPr>
        <w:t>n</w:t>
      </w:r>
    </w:p>
    <w:p w14:paraId="0284830C" w14:textId="34979CF3" w:rsidR="007C23E3" w:rsidRDefault="008B425E" w:rsidP="003967A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490927">
        <w:rPr>
          <w:rFonts w:ascii="Times New Roman" w:eastAsia="Times New Roman" w:hAnsi="Times New Roman" w:cs="Times New Roman"/>
          <w:sz w:val="24"/>
          <w:szCs w:val="24"/>
          <w:highlight w:val="yellow"/>
          <w:lang w:eastAsia="fr-FR"/>
        </w:rPr>
        <w:t xml:space="preserve">Onchocerciasis is one of the neglected tropical diseases with great public health importance in the Americas and in many African countries. River blindness can lead to severe dermatologic and ophthalmologic complications that may result in blindness and other associated social </w:t>
      </w:r>
      <w:proofErr w:type="spellStart"/>
      <w:r w:rsidRPr="00490927">
        <w:rPr>
          <w:rFonts w:ascii="Times New Roman" w:eastAsia="Times New Roman" w:hAnsi="Times New Roman" w:cs="Times New Roman"/>
          <w:sz w:val="24"/>
          <w:szCs w:val="24"/>
          <w:highlight w:val="yellow"/>
          <w:lang w:eastAsia="fr-FR"/>
        </w:rPr>
        <w:t>stigmatisations</w:t>
      </w:r>
      <w:proofErr w:type="spellEnd"/>
      <w:r w:rsidRPr="00490927">
        <w:rPr>
          <w:rFonts w:ascii="Times New Roman" w:eastAsia="Times New Roman" w:hAnsi="Times New Roman" w:cs="Times New Roman"/>
          <w:sz w:val="24"/>
          <w:szCs w:val="24"/>
          <w:highlight w:val="yellow"/>
          <w:lang w:eastAsia="fr-FR"/>
        </w:rPr>
        <w:t xml:space="preserve"> (Elom &amp; Okpara-Elom, 2021</w:t>
      </w:r>
      <w:r w:rsidRPr="008B425E">
        <w:rPr>
          <w:rFonts w:ascii="Times New Roman" w:eastAsia="Times New Roman" w:hAnsi="Times New Roman" w:cs="Times New Roman"/>
          <w:sz w:val="24"/>
          <w:szCs w:val="24"/>
          <w:highlight w:val="yellow"/>
          <w:lang w:eastAsia="fr-FR"/>
        </w:rPr>
        <w:t xml:space="preserve">; </w:t>
      </w:r>
      <w:r w:rsidRPr="00490927">
        <w:rPr>
          <w:rFonts w:ascii="Times New Roman" w:eastAsia="Times New Roman" w:hAnsi="Times New Roman" w:cs="Times New Roman"/>
          <w:sz w:val="24"/>
          <w:szCs w:val="24"/>
          <w:highlight w:val="yellow"/>
          <w:lang w:eastAsia="fr-FR"/>
        </w:rPr>
        <w:t xml:space="preserve">Afolabi </w:t>
      </w:r>
      <w:r w:rsidRPr="00490927">
        <w:rPr>
          <w:rFonts w:ascii="Times New Roman" w:eastAsia="Times New Roman" w:hAnsi="Times New Roman" w:cs="Times New Roman"/>
          <w:i/>
          <w:iCs/>
          <w:sz w:val="24"/>
          <w:szCs w:val="24"/>
          <w:highlight w:val="yellow"/>
          <w:lang w:eastAsia="fr-FR"/>
        </w:rPr>
        <w:t>et al</w:t>
      </w:r>
      <w:r w:rsidRPr="00490927">
        <w:rPr>
          <w:rFonts w:ascii="Times New Roman" w:eastAsia="Times New Roman" w:hAnsi="Times New Roman" w:cs="Times New Roman"/>
          <w:sz w:val="24"/>
          <w:szCs w:val="24"/>
          <w:highlight w:val="yellow"/>
          <w:lang w:eastAsia="fr-FR"/>
        </w:rPr>
        <w:t>., 2016).</w:t>
      </w:r>
      <w:r w:rsidRPr="008B425E">
        <w:rPr>
          <w:rFonts w:ascii="Times New Roman" w:eastAsia="Times New Roman" w:hAnsi="Times New Roman" w:cs="Times New Roman"/>
          <w:sz w:val="24"/>
          <w:szCs w:val="24"/>
          <w:lang w:eastAsia="fr-FR"/>
        </w:rPr>
        <w:t xml:space="preserve"> </w:t>
      </w:r>
      <w:r w:rsidR="007C23E3" w:rsidRPr="00B13D7A">
        <w:rPr>
          <w:rFonts w:ascii="Times New Roman" w:eastAsia="Times New Roman" w:hAnsi="Times New Roman" w:cs="Times New Roman"/>
          <w:sz w:val="24"/>
          <w:szCs w:val="24"/>
          <w:lang w:eastAsia="fr-FR"/>
        </w:rPr>
        <w:t xml:space="preserve">Onchocerciasis, or "river blindness," is a filariasis caused by </w:t>
      </w:r>
      <w:proofErr w:type="spellStart"/>
      <w:r w:rsidR="007C23E3" w:rsidRPr="00B13D7A">
        <w:rPr>
          <w:rFonts w:ascii="Times New Roman" w:eastAsia="Times New Roman" w:hAnsi="Times New Roman" w:cs="Times New Roman"/>
          <w:i/>
          <w:iCs/>
          <w:sz w:val="24"/>
          <w:szCs w:val="24"/>
          <w:lang w:eastAsia="fr-FR"/>
        </w:rPr>
        <w:t>Onchocerca</w:t>
      </w:r>
      <w:proofErr w:type="spellEnd"/>
      <w:r w:rsidR="007C23E3" w:rsidRPr="00B13D7A">
        <w:rPr>
          <w:rFonts w:ascii="Times New Roman" w:eastAsia="Times New Roman" w:hAnsi="Times New Roman" w:cs="Times New Roman"/>
          <w:i/>
          <w:iCs/>
          <w:sz w:val="24"/>
          <w:szCs w:val="24"/>
          <w:lang w:eastAsia="fr-FR"/>
        </w:rPr>
        <w:t xml:space="preserve"> volvulus</w:t>
      </w:r>
      <w:r w:rsidR="0063592E">
        <w:rPr>
          <w:rFonts w:ascii="Times New Roman" w:eastAsia="Times New Roman" w:hAnsi="Times New Roman" w:cs="Times New Roman"/>
          <w:i/>
          <w:iCs/>
          <w:sz w:val="24"/>
          <w:szCs w:val="24"/>
          <w:lang w:eastAsia="fr-FR"/>
        </w:rPr>
        <w:t>,</w:t>
      </w:r>
      <w:r w:rsidR="007C23E3" w:rsidRPr="00B13D7A">
        <w:rPr>
          <w:rFonts w:ascii="Times New Roman" w:eastAsia="Times New Roman" w:hAnsi="Times New Roman" w:cs="Times New Roman"/>
          <w:i/>
          <w:iCs/>
          <w:sz w:val="24"/>
          <w:szCs w:val="24"/>
          <w:lang w:eastAsia="fr-FR"/>
        </w:rPr>
        <w:t xml:space="preserve"> </w:t>
      </w:r>
      <w:r w:rsidR="007C23E3" w:rsidRPr="00B13D7A">
        <w:rPr>
          <w:rFonts w:ascii="Times New Roman" w:eastAsia="Times New Roman" w:hAnsi="Times New Roman" w:cs="Times New Roman"/>
          <w:sz w:val="24"/>
          <w:szCs w:val="24"/>
          <w:lang w:eastAsia="fr-FR"/>
        </w:rPr>
        <w:t>transmitted by black flies</w:t>
      </w:r>
      <w:r w:rsidR="0063592E">
        <w:rPr>
          <w:rFonts w:ascii="Times New Roman" w:eastAsia="Times New Roman" w:hAnsi="Times New Roman" w:cs="Times New Roman"/>
          <w:sz w:val="24"/>
          <w:szCs w:val="24"/>
          <w:lang w:eastAsia="fr-FR"/>
        </w:rPr>
        <w:t>,</w:t>
      </w:r>
      <w:r w:rsidR="007C23E3" w:rsidRPr="00B13D7A">
        <w:rPr>
          <w:rFonts w:ascii="Times New Roman" w:eastAsia="Times New Roman" w:hAnsi="Times New Roman" w:cs="Times New Roman"/>
          <w:sz w:val="24"/>
          <w:szCs w:val="24"/>
          <w:lang w:eastAsia="fr-FR"/>
        </w:rPr>
        <w:t xml:space="preserve"> </w:t>
      </w:r>
      <w:proofErr w:type="spellStart"/>
      <w:r w:rsidR="007C23E3" w:rsidRPr="00B13D7A">
        <w:rPr>
          <w:rFonts w:ascii="Times New Roman" w:eastAsia="Times New Roman" w:hAnsi="Times New Roman" w:cs="Times New Roman"/>
          <w:i/>
          <w:iCs/>
          <w:sz w:val="24"/>
          <w:szCs w:val="24"/>
          <w:lang w:eastAsia="fr-FR"/>
        </w:rPr>
        <w:t>Simulium</w:t>
      </w:r>
      <w:proofErr w:type="spellEnd"/>
      <w:r w:rsidR="007C23E3" w:rsidRPr="00B13D7A">
        <w:rPr>
          <w:rFonts w:ascii="Times New Roman" w:eastAsia="Times New Roman" w:hAnsi="Times New Roman" w:cs="Times New Roman"/>
          <w:i/>
          <w:iCs/>
          <w:sz w:val="24"/>
          <w:szCs w:val="24"/>
          <w:lang w:eastAsia="fr-FR"/>
        </w:rPr>
        <w:t xml:space="preserve"> </w:t>
      </w:r>
      <w:r w:rsidR="000623F9">
        <w:rPr>
          <w:rFonts w:ascii="Times New Roman" w:eastAsia="Times New Roman" w:hAnsi="Times New Roman" w:cs="Times New Roman"/>
          <w:sz w:val="24"/>
          <w:szCs w:val="24"/>
          <w:lang w:eastAsia="fr-FR"/>
        </w:rPr>
        <w:t>proliferating along rivers</w:t>
      </w:r>
      <w:r w:rsidR="007C23E3" w:rsidRPr="00B13D7A">
        <w:rPr>
          <w:rFonts w:ascii="Times New Roman" w:eastAsia="Times New Roman" w:hAnsi="Times New Roman" w:cs="Times New Roman"/>
          <w:sz w:val="24"/>
          <w:szCs w:val="24"/>
          <w:lang w:eastAsia="fr-FR"/>
        </w:rPr>
        <w:t xml:space="preserve"> </w:t>
      </w:r>
      <w:r w:rsidR="00455F35">
        <w:rPr>
          <w:rFonts w:ascii="Times New Roman" w:eastAsia="Times New Roman" w:hAnsi="Times New Roman" w:cs="Times New Roman"/>
          <w:sz w:val="24"/>
          <w:szCs w:val="24"/>
          <w:lang w:eastAsia="fr-FR"/>
        </w:rPr>
        <w:fldChar w:fldCharType="begin"/>
      </w:r>
      <w:r w:rsidR="006931AF">
        <w:rPr>
          <w:rFonts w:ascii="Times New Roman" w:eastAsia="Times New Roman" w:hAnsi="Times New Roman" w:cs="Times New Roman"/>
          <w:sz w:val="24"/>
          <w:szCs w:val="24"/>
          <w:lang w:eastAsia="fr-FR"/>
        </w:rPr>
        <w:instrText xml:space="preserve"> ADDIN ZOTERO_ITEM CSL_CITATION {"citationID":"vnuVH0vZ","properties":{"formattedCitation":"(1)","plainCitation":"(1)","noteIndex":0},"citationItems":[{"id":"VnN5Np0i/Uo0wU7yo","uris":["http://zotero.org/users/14492610/items/WLKMC5LI"],"itemData":{"id":636,"type":"webpage","abstract":"At least 249.5 million people in 28 countries require interventions to eliminate onchocerciasis. This total does not include people living in areas in which transmission status is unknown. By 2024, MDA had been stopped in 221 implementation units \n(IU) that had been previously affected by active transmission, with 18.8 million people requiring preventive chemotherapy (PC) for onchocerciasis, which have either been completed or are under post-treatment surveillance (PTS). Most are in Africa.","language":"en","title":"Elimination of human onchocerciasis: progress report, 2023–2024","title-short":"Elimination of human onchocerciasis","URL":"https://www.who.int/publications/i/item/who-wer-9941-577-590","accessed":{"date-parts":[["2025",8,12]]}}}],"schema":"https://github.com/citation-style-language/schema/raw/master/csl-citation.json"} </w:instrText>
      </w:r>
      <w:r w:rsidR="00455F35">
        <w:rPr>
          <w:rFonts w:ascii="Times New Roman" w:eastAsia="Times New Roman" w:hAnsi="Times New Roman" w:cs="Times New Roman"/>
          <w:sz w:val="24"/>
          <w:szCs w:val="24"/>
          <w:lang w:eastAsia="fr-FR"/>
        </w:rPr>
        <w:fldChar w:fldCharType="separate"/>
      </w:r>
      <w:r w:rsidR="006931AF" w:rsidRPr="006931AF">
        <w:rPr>
          <w:rFonts w:ascii="Times New Roman" w:hAnsi="Times New Roman" w:cs="Times New Roman"/>
          <w:sz w:val="24"/>
        </w:rPr>
        <w:t>(1)</w:t>
      </w:r>
      <w:r w:rsidR="00455F35">
        <w:rPr>
          <w:rFonts w:ascii="Times New Roman" w:eastAsia="Times New Roman" w:hAnsi="Times New Roman" w:cs="Times New Roman"/>
          <w:sz w:val="24"/>
          <w:szCs w:val="24"/>
          <w:lang w:eastAsia="fr-FR"/>
        </w:rPr>
        <w:fldChar w:fldCharType="end"/>
      </w:r>
      <w:r w:rsidR="007C23E3" w:rsidRPr="00B13D7A">
        <w:rPr>
          <w:rFonts w:ascii="Times New Roman" w:eastAsia="Times New Roman" w:hAnsi="Times New Roman" w:cs="Times New Roman"/>
          <w:sz w:val="24"/>
          <w:szCs w:val="24"/>
          <w:lang w:eastAsia="fr-FR"/>
        </w:rPr>
        <w:t xml:space="preserve">Endemic in several sub-Saharan African countries, including Cameroon, it causes pruritus, skin lesions and eye damage that can progress to blindness, with a major socioeconomic impact. </w:t>
      </w:r>
      <w:r w:rsidR="00646A5C">
        <w:rPr>
          <w:rFonts w:ascii="Times New Roman" w:eastAsia="Times New Roman" w:hAnsi="Times New Roman" w:cs="Times New Roman"/>
          <w:sz w:val="24"/>
          <w:szCs w:val="24"/>
          <w:lang w:eastAsia="fr-FR"/>
        </w:rPr>
        <w:fldChar w:fldCharType="begin"/>
      </w:r>
      <w:r w:rsidR="006931AF">
        <w:rPr>
          <w:rFonts w:ascii="Times New Roman" w:eastAsia="Times New Roman" w:hAnsi="Times New Roman" w:cs="Times New Roman"/>
          <w:sz w:val="24"/>
          <w:szCs w:val="24"/>
          <w:lang w:eastAsia="fr-FR"/>
        </w:rPr>
        <w:instrText xml:space="preserve"> ADDIN ZOTERO_ITEM CSL_CITATION {"citationID":"Ee6mpwbR","properties":{"formattedCitation":"(2)","plainCitation":"(2)","noteIndex":0},"citationItems":[{"id":"VnN5Np0i/grLAR3Lq","uris":["http://zotero.org/users/14492610/items/MC9TFLTC"],"itemData":{"id":638,"type":"article-journal","abstract":"11 p","container-title":"Weekly Epidemiological Record = Relevé épidémiologique hebdomadaire","issue":"45","language":"en","note":"Accepted: 2019-11-08T07:59:28Z\npublisher: World Health Organization = Organisation mondiale de la Santé","page":"513-523","source":"iris.who.int","title":"Elimination of human onchocerciasis: progress report, 2018–2019 – Élimination de l’onchocercose humaine: rapport de situation, 2018-2019","title-short":"Elimination of human onchocerciasis","volume":"94","author":[{"family":"Santé","given":"World Health Organization = Organisation","dropping-particle":"mondiale de la"}],"issued":{"date-parts":[["2019",11,8]]}}}],"schema":"https://github.com/citation-style-language/schema/raw/master/csl-citation.json"} </w:instrText>
      </w:r>
      <w:r w:rsidR="00646A5C">
        <w:rPr>
          <w:rFonts w:ascii="Times New Roman" w:eastAsia="Times New Roman" w:hAnsi="Times New Roman" w:cs="Times New Roman"/>
          <w:sz w:val="24"/>
          <w:szCs w:val="24"/>
          <w:lang w:eastAsia="fr-FR"/>
        </w:rPr>
        <w:fldChar w:fldCharType="separate"/>
      </w:r>
      <w:r w:rsidR="006931AF" w:rsidRPr="006931AF">
        <w:rPr>
          <w:rFonts w:ascii="Times New Roman" w:hAnsi="Times New Roman" w:cs="Times New Roman"/>
          <w:sz w:val="24"/>
        </w:rPr>
        <w:t>(2)</w:t>
      </w:r>
      <w:r w:rsidR="00646A5C">
        <w:rPr>
          <w:rFonts w:ascii="Times New Roman" w:eastAsia="Times New Roman" w:hAnsi="Times New Roman" w:cs="Times New Roman"/>
          <w:sz w:val="24"/>
          <w:szCs w:val="24"/>
          <w:lang w:eastAsia="fr-FR"/>
        </w:rPr>
        <w:fldChar w:fldCharType="end"/>
      </w:r>
      <w:r w:rsidR="007C23E3" w:rsidRPr="00B13D7A">
        <w:rPr>
          <w:rFonts w:ascii="Times New Roman" w:eastAsia="Times New Roman" w:hAnsi="Times New Roman" w:cs="Times New Roman"/>
          <w:sz w:val="24"/>
          <w:szCs w:val="24"/>
          <w:lang w:eastAsia="fr-FR"/>
        </w:rPr>
        <w:t>In 2019, the WHO estimated that 217.5 million people</w:t>
      </w:r>
      <w:r w:rsidR="000623F9">
        <w:rPr>
          <w:rFonts w:ascii="Times New Roman" w:eastAsia="Times New Roman" w:hAnsi="Times New Roman" w:cs="Times New Roman"/>
          <w:sz w:val="24"/>
          <w:szCs w:val="24"/>
          <w:lang w:eastAsia="fr-FR"/>
        </w:rPr>
        <w:t xml:space="preserve"> around the world</w:t>
      </w:r>
      <w:r w:rsidR="007C23E3" w:rsidRPr="00B13D7A">
        <w:rPr>
          <w:rFonts w:ascii="Times New Roman" w:eastAsia="Times New Roman" w:hAnsi="Times New Roman" w:cs="Times New Roman"/>
          <w:sz w:val="24"/>
          <w:szCs w:val="24"/>
          <w:lang w:eastAsia="fr-FR"/>
        </w:rPr>
        <w:t xml:space="preserve"> lived in areas requiring mass preventive treatment with ivermectin, with transmission persisting in some foci despit</w:t>
      </w:r>
      <w:r w:rsidR="000623F9">
        <w:rPr>
          <w:rFonts w:ascii="Times New Roman" w:eastAsia="Times New Roman" w:hAnsi="Times New Roman" w:cs="Times New Roman"/>
          <w:sz w:val="24"/>
          <w:szCs w:val="24"/>
          <w:lang w:eastAsia="fr-FR"/>
        </w:rPr>
        <w:t>e progress in control campaigns</w:t>
      </w:r>
      <w:r w:rsidR="007C23E3" w:rsidRPr="00B13D7A">
        <w:rPr>
          <w:rFonts w:ascii="Times New Roman" w:eastAsia="Times New Roman" w:hAnsi="Times New Roman" w:cs="Times New Roman"/>
          <w:sz w:val="24"/>
          <w:szCs w:val="24"/>
          <w:lang w:eastAsia="fr-FR"/>
        </w:rPr>
        <w:t xml:space="preserve"> </w:t>
      </w:r>
      <w:r w:rsidR="002B7BA3">
        <w:rPr>
          <w:rFonts w:ascii="Times New Roman" w:eastAsia="Times New Roman" w:hAnsi="Times New Roman" w:cs="Times New Roman"/>
          <w:sz w:val="24"/>
          <w:szCs w:val="24"/>
          <w:lang w:eastAsia="fr-FR"/>
        </w:rPr>
        <w:fldChar w:fldCharType="begin"/>
      </w:r>
      <w:r w:rsidR="006931AF">
        <w:rPr>
          <w:rFonts w:ascii="Times New Roman" w:eastAsia="Times New Roman" w:hAnsi="Times New Roman" w:cs="Times New Roman"/>
          <w:sz w:val="24"/>
          <w:szCs w:val="24"/>
          <w:lang w:eastAsia="fr-FR"/>
        </w:rPr>
        <w:instrText xml:space="preserve"> ADDIN ZOTERO_ITEM CSL_CITATION {"citationID":"vHzVqjVb","properties":{"formattedCitation":"(3)","plainCitation":"(3)","noteIndex":0},"citationItems":[{"id":"VnN5Np0i/yEIMKInZ","uris":["http://zotero.org/users/14492610/items/GQ25C8UR"],"itemData":{"id":642,"type":"article-journal","abstract":"INTRODUCTION: Significant progress has been made in onchocerciasis control through mass distribution of ivermectin among affected human populations, fostering optimism for disease elimination. However, despite these considerable advances, the elimination of the disease remains a major challenge in many African foci. This paper describes the current situation of onchocerciasis in Adamaoua Region of Cameroon after 20 consecutive years of ivermectin mass treatment.\nMATERIALS AND METHODS: The study was conducted between August and September 2020 in Adamaoua Region of Cameroon. Onchocerciasis endemicity was assessed through parasitological and clinical diagnosis. Microfilarodermia and nodule prevalences assessed in 2020 were compared to those of 1998-2002 and 2010-2013 surveys using the Chi-square (X 2) statistic test.\nRESULTS: A total of 4,814 participants aged between 5 and 108 years, including 50.4% men and 49.6% women were enrolled in the study. The nodule and microfilaria prevalences reported from this sub-sample were 0.87 [0.64 - 1.19] % and 0.77 [0.54 - 1.07] %, respectively. At the community level, the mf prevalences ranged from 0.5% to 4.5%. Globally, the community microfilarial loads (CMFL) were &lt; 0.5 mf/ss. The survey therapeutic coverage rates were between 40% and 78%, lower than those reported (79% - 83%) by the NOCP. The coverage rates in ivermectin treatment in all age groups of the population were below 65%, except for the 40-50 age group where it was ≈70%.\nCONCLUSION: The results of this study show a drastic decline in onchocerciasis prevalences after 20 consecutive years of CDTI, indicating a significant progress towards stopping O. volvulus transmission in Adamaoua Region. However, additional efforts are needed to increase the population coverage in ivermectin treatment in order to stop the parasite transmission in this region.","container-title":"PLoS neglected tropical diseases","DOI":"10.1371/journal.pntd.0011511","ISSN":"1935-2735","issue":"3","journalAbbreviation":"PLoS Negl Trop Dis","language":"eng","note":"PMID: 40036251\nPMCID: PMC11925462","page":"e0011511","source":"PubMed","title":"Status of human onchocerciasis transmission in the Adamaoua region of Cameroon after 20 years of ivermectin mass distribution","volume":"19","author":[{"family":"Bienvenu Nwane","given":"Philippe"},{"family":"Nana-Djeunga","given":"Hugues Clotaire"},{"family":"Toche","given":"Narcisse Nzune"},{"family":"Domché","given":"André"},{"family":"Bertrand","given":"Fesuh Nono"},{"family":"Niamsi","given":"Yannick Emalio"},{"family":"Njitchuang","given":"Guy Roger"},{"family":"Tsasse","given":"Martine Augusta Flore"},{"family":"Bopda","given":"Jean"},{"family":"Mbickmen","given":"Steve"},{"family":"Balog","given":"Aubin"},{"family":"Nkwelle","given":"Alexis"},{"family":"Nkwelle","given":"Patrice"},{"family":"Ebene","given":"Clarisse"},{"family":"Obama","given":"Honoré"},{"family":"Messi","given":"Paul"},{"family":"Biholong","given":"Benjamin"},{"family":"Billong","given":"Serge"},{"family":"Ayissi","given":"Georges Nko'o"},{"family":"Kamgno","given":"Joseph"}],"issued":{"date-parts":[["2025",3]]}}}],"schema":"https://github.com/citation-style-language/schema/raw/master/csl-citation.json"} </w:instrText>
      </w:r>
      <w:r w:rsidR="002B7BA3">
        <w:rPr>
          <w:rFonts w:ascii="Times New Roman" w:eastAsia="Times New Roman" w:hAnsi="Times New Roman" w:cs="Times New Roman"/>
          <w:sz w:val="24"/>
          <w:szCs w:val="24"/>
          <w:lang w:eastAsia="fr-FR"/>
        </w:rPr>
        <w:fldChar w:fldCharType="separate"/>
      </w:r>
      <w:r w:rsidR="006931AF" w:rsidRPr="006931AF">
        <w:rPr>
          <w:rFonts w:ascii="Times New Roman" w:hAnsi="Times New Roman" w:cs="Times New Roman"/>
          <w:sz w:val="24"/>
        </w:rPr>
        <w:t>(3)</w:t>
      </w:r>
      <w:r w:rsidR="002B7BA3">
        <w:rPr>
          <w:rFonts w:ascii="Times New Roman" w:eastAsia="Times New Roman" w:hAnsi="Times New Roman" w:cs="Times New Roman"/>
          <w:sz w:val="24"/>
          <w:szCs w:val="24"/>
          <w:lang w:eastAsia="fr-FR"/>
        </w:rPr>
        <w:fldChar w:fldCharType="end"/>
      </w:r>
      <w:r w:rsidR="000623F9">
        <w:rPr>
          <w:rFonts w:ascii="Times New Roman" w:eastAsia="Times New Roman" w:hAnsi="Times New Roman" w:cs="Times New Roman"/>
          <w:sz w:val="24"/>
          <w:szCs w:val="24"/>
          <w:lang w:eastAsia="fr-FR"/>
        </w:rPr>
        <w:t xml:space="preserve">. </w:t>
      </w:r>
      <w:r w:rsidR="000623F9" w:rsidRPr="000623F9">
        <w:rPr>
          <w:rFonts w:ascii="Times New Roman" w:eastAsia="Times New Roman" w:hAnsi="Times New Roman" w:cs="Times New Roman"/>
          <w:sz w:val="24"/>
          <w:szCs w:val="24"/>
          <w:lang w:eastAsia="fr-FR"/>
        </w:rPr>
        <w:t>It is estimated that 99% of the 21 million individuals currently infected with O. volvulus live in Africa</w:t>
      </w:r>
      <w:r w:rsidR="0063592E">
        <w:rPr>
          <w:rFonts w:ascii="Times New Roman" w:eastAsia="Times New Roman" w:hAnsi="Times New Roman" w:cs="Times New Roman"/>
          <w:sz w:val="24"/>
          <w:szCs w:val="24"/>
          <w:lang w:eastAsia="fr-FR"/>
        </w:rPr>
        <w:t>,</w:t>
      </w:r>
      <w:r w:rsidR="000623F9">
        <w:rPr>
          <w:rFonts w:ascii="Times New Roman" w:eastAsia="Times New Roman" w:hAnsi="Times New Roman" w:cs="Times New Roman"/>
          <w:sz w:val="24"/>
          <w:szCs w:val="24"/>
          <w:lang w:eastAsia="fr-FR"/>
        </w:rPr>
        <w:t xml:space="preserve"> with </w:t>
      </w:r>
      <w:r w:rsidR="0063592E" w:rsidRPr="00490927">
        <w:rPr>
          <w:rFonts w:ascii="Times New Roman" w:eastAsia="Times New Roman" w:hAnsi="Times New Roman" w:cs="Times New Roman"/>
          <w:sz w:val="24"/>
          <w:szCs w:val="24"/>
          <w:highlight w:val="yellow"/>
          <w:lang w:eastAsia="fr-FR"/>
        </w:rPr>
        <w:t xml:space="preserve">the </w:t>
      </w:r>
      <w:r w:rsidR="000623F9">
        <w:rPr>
          <w:rFonts w:ascii="Times New Roman" w:eastAsia="Times New Roman" w:hAnsi="Times New Roman" w:cs="Times New Roman"/>
          <w:sz w:val="24"/>
          <w:szCs w:val="24"/>
          <w:lang w:eastAsia="fr-FR"/>
        </w:rPr>
        <w:t xml:space="preserve">majority </w:t>
      </w:r>
      <w:r w:rsidR="000623F9" w:rsidRPr="000623F9">
        <w:rPr>
          <w:rFonts w:ascii="Times New Roman" w:eastAsia="Times New Roman" w:hAnsi="Times New Roman" w:cs="Times New Roman"/>
          <w:sz w:val="24"/>
          <w:szCs w:val="24"/>
          <w:lang w:eastAsia="fr-FR"/>
        </w:rPr>
        <w:t>in many part</w:t>
      </w:r>
      <w:r w:rsidR="000623F9">
        <w:rPr>
          <w:rFonts w:ascii="Times New Roman" w:eastAsia="Times New Roman" w:hAnsi="Times New Roman" w:cs="Times New Roman"/>
          <w:sz w:val="24"/>
          <w:szCs w:val="24"/>
          <w:lang w:eastAsia="fr-FR"/>
        </w:rPr>
        <w:t>s of South Sudan</w:t>
      </w:r>
      <w:r w:rsidR="000623F9" w:rsidRPr="000623F9">
        <w:rPr>
          <w:rFonts w:ascii="Times New Roman" w:eastAsia="Times New Roman" w:hAnsi="Times New Roman" w:cs="Times New Roman"/>
          <w:sz w:val="24"/>
          <w:szCs w:val="24"/>
          <w:lang w:eastAsia="fr-FR"/>
        </w:rPr>
        <w:t>, the Democratic Republic of</w:t>
      </w:r>
      <w:r w:rsidR="000623F9">
        <w:rPr>
          <w:rFonts w:ascii="Times New Roman" w:eastAsia="Times New Roman" w:hAnsi="Times New Roman" w:cs="Times New Roman"/>
          <w:sz w:val="24"/>
          <w:szCs w:val="24"/>
          <w:lang w:eastAsia="fr-FR"/>
        </w:rPr>
        <w:t xml:space="preserve"> the Congo</w:t>
      </w:r>
      <w:r w:rsidR="000623F9" w:rsidRPr="000623F9">
        <w:rPr>
          <w:rFonts w:ascii="Times New Roman" w:eastAsia="Times New Roman" w:hAnsi="Times New Roman" w:cs="Times New Roman"/>
          <w:sz w:val="24"/>
          <w:szCs w:val="24"/>
          <w:lang w:eastAsia="fr-FR"/>
        </w:rPr>
        <w:t xml:space="preserve">, some areas in </w:t>
      </w:r>
      <w:r w:rsidR="0063592E" w:rsidRPr="00490927">
        <w:rPr>
          <w:rFonts w:ascii="Times New Roman" w:eastAsia="Times New Roman" w:hAnsi="Times New Roman" w:cs="Times New Roman"/>
          <w:sz w:val="24"/>
          <w:szCs w:val="24"/>
          <w:highlight w:val="yellow"/>
          <w:lang w:eastAsia="fr-FR"/>
        </w:rPr>
        <w:t xml:space="preserve">the </w:t>
      </w:r>
      <w:r w:rsidR="000623F9" w:rsidRPr="000623F9">
        <w:rPr>
          <w:rFonts w:ascii="Times New Roman" w:eastAsia="Times New Roman" w:hAnsi="Times New Roman" w:cs="Times New Roman"/>
          <w:sz w:val="24"/>
          <w:szCs w:val="24"/>
          <w:lang w:eastAsia="fr-FR"/>
        </w:rPr>
        <w:t>Central Afri</w:t>
      </w:r>
      <w:r w:rsidR="00145E21">
        <w:rPr>
          <w:rFonts w:ascii="Times New Roman" w:eastAsia="Times New Roman" w:hAnsi="Times New Roman" w:cs="Times New Roman"/>
          <w:sz w:val="24"/>
          <w:szCs w:val="24"/>
          <w:lang w:eastAsia="fr-FR"/>
        </w:rPr>
        <w:t xml:space="preserve">can </w:t>
      </w:r>
      <w:r w:rsidR="000623F9" w:rsidRPr="000623F9">
        <w:rPr>
          <w:rFonts w:ascii="Times New Roman" w:eastAsia="Times New Roman" w:hAnsi="Times New Roman" w:cs="Times New Roman"/>
          <w:sz w:val="24"/>
          <w:szCs w:val="24"/>
          <w:lang w:eastAsia="fr-FR"/>
        </w:rPr>
        <w:t>Republic</w:t>
      </w:r>
      <w:r w:rsidR="00145E21">
        <w:rPr>
          <w:rFonts w:ascii="Times New Roman" w:eastAsia="Times New Roman" w:hAnsi="Times New Roman" w:cs="Times New Roman"/>
          <w:sz w:val="24"/>
          <w:szCs w:val="24"/>
          <w:lang w:eastAsia="fr-FR"/>
        </w:rPr>
        <w:t xml:space="preserve"> and Cameroon </w:t>
      </w:r>
      <w:r w:rsidR="00145E21">
        <w:rPr>
          <w:rFonts w:ascii="Times New Roman" w:eastAsia="Times New Roman" w:hAnsi="Times New Roman" w:cs="Times New Roman"/>
          <w:sz w:val="24"/>
          <w:szCs w:val="24"/>
          <w:lang w:eastAsia="fr-FR"/>
        </w:rPr>
        <w:fldChar w:fldCharType="begin"/>
      </w:r>
      <w:r w:rsidR="006931AF">
        <w:rPr>
          <w:rFonts w:ascii="Times New Roman" w:eastAsia="Times New Roman" w:hAnsi="Times New Roman" w:cs="Times New Roman"/>
          <w:sz w:val="24"/>
          <w:szCs w:val="24"/>
          <w:lang w:eastAsia="fr-FR"/>
        </w:rPr>
        <w:instrText xml:space="preserve"> ADDIN ZOTERO_ITEM CSL_CITATION {"citationID":"fKg8F9RW","properties":{"formattedCitation":"(4,5)","plainCitation":"(4,5)","noteIndex":0},"citationItems":[{"id":288,"uris":["http://zotero.org/users/local/RDYzIoy0/items/56QMEQPC"],"itemData":{"id":288,"type":"article-journal","abstract":"Efforts are being directed toward the elimination of onchocerciasis transmission in endemic areas with community-directed treatment with ivermectin (CDTI) in Africa, which greatly reduces onchocerciasisassociated disease. However, onchocerciasis remains a major public health problem in areas of South Sudan, the Democratic Republic of the Congo, Cameroon, and the Central African Republic. Strengthening onchocerciasis elimination efforts in areas with a high prevalence of disease burden is crucial to decrease transmission, morbidity, and mortality. We argue that clinical trials are needed to investigate the safety and eﬃcacy of ivermectin treatment of Onchocerca volvulus-infected pregnant women and children younger than 5 years. Crucially, 6-monthly administration of ivermectin in school-age children at risk of onchocerciasis-associated epilepsy could be achieved by supplementing annual CDTI with an extra round of ivermectin treatment during Child Health Days in schools and/or other distribution sites every year. These strategies would help achieve the elimination of onchocerciasis and its associated disease burden.","container-title":"International Journal of Infectious Diseases","DOI":"10.1016/j.ijid.2022.01.042","ISSN":"12019712","journalAbbreviation":"International Journal of Infectious Diseases","language":"en","page":"302-305","source":"DOI.org (Crossref)","title":"Reducing onchocerciasis-associated morbidity in onchocerciasis-endemic foci with high ongoing transmission: a focus on the children.","title-short":"Reducing onchocerciasis-associated morbidity in onchocerciasis-endemic foci with high ongoing transmission","volume":"116","author":[{"family":"Colebunders","given":"Robert"},{"family":"Kaiser","given":"Christoph"},{"family":"Basáñez","given":"Maria-Gloria"},{"family":"Olliaro","given":"Piero"},{"family":"Lakwo","given":"Tom"},{"family":"Siewe Fodjo","given":"Joseph Nelson"}],"issued":{"date-parts":[["2022",3]]}}},{"id":286,"uris":["http://zotero.org/users/local/RDYzIoy0/items/AZN2GNM8"],"itemData":{"id":286,"type":"article-journal","abstract":"Background: Despite decades of community‑directed treatment with ivermectin (CDTI), onchocerciasis transmission persists in Cameroon and has been associated with increased risk for epilepsy in endemic communities. We investi‑gated the onchocerciasis situation in the Ntui Health District (a known onchocerciasis focus in Cameroon where the Sanaga River constitutes the main source of black fly vectors) using parasitological, entomological and serological parameters.\nMethods: In July 2021, community‑based surveys were conducted in four villages (Essougli, Nachtigal, Ndjame and Ndowe). Onchocerciasis was diagnosed via microscopic examination of skin snips. Using rapid diagnostic tests, we screened children aged 3–6 years for Ov16 antibodies as a proxy for recent onchocerciasis transmission. Monthly black fly biting rates were obtained from the two riverside villages (Nachtigal and Essougli) for 12 consecutive months (July 2021 to June 2022) using the human landing catch technique. Some black flies were dissected each month to check for infection.\nResults: Overall, 460 participants were recruited; mean age was 32.1 (range: 3–85) years with 248 (53.9%) being males. Among skin snipped participants (n = 425), onchocerciasis prevalence was 14.6%. Participants with epilepsy (n = 25) were more often skin snip positive (45.8% vs 12.7%; P &lt; 0.001) and had higher microfilarial loads (9.2 ± 22.0 vs 0.7 ± 3.5 microfilariae/skin snip; P &lt; 0.001) compared to their peers without epilepsy. Eight (6.5%) of the 123 tested children were Ov16 seropositive. The breeding sites we investigated along the Sanaga River during the current study harbored fewer vectors (annual biting rates reaching 530,322 vs 606,370 in the Mbam River) and exhibited lower black fly infection rates (annual transmission potentials reaching 1479 vs 4488 in the Mbam River) when compared to recent entomological reports in Cameroon.\nConclusion: Despite substantial biting rates, black fly infection rates (by microscopy) in the Ntui Health District were rather low resulting in overall low transmission potentials in study villages. Thanks to CDTI, O. volvulus infection in both humans and insects is on the decrease. However, there is evidence that O. volvulus is still endemic in these communi‑ties. Reducing the vector population will further accelerate onchocerciasis elimination prospects.","container-title":"Parasites &amp; Vectors","DOI":"10.1186/s13071-022-05585-0","ISSN":"1756-3305","issue":"1","journalAbbreviation":"Parasites Vectors","language":"en","page":"444","source":"DOI.org (Crossref)","title":"Onchocerciasis in the Ntui Health District of Cameroon: epidemiological, entomological and parasitological findings in relation to elimination prospects","title-short":"Onchocerciasis in the Ntui Health District of Cameroon","volume":"15","author":[{"family":"Siewe Fodjo","given":"Joseph Nelson"},{"family":"Ngarka","given":"Leonard"},{"family":"Njamnshi","given":"Wepnyu Yembe"},{"family":"Enyong","given":"Peter Ayuk"},{"family":"Zoung-Kanyi Bissek","given":"Anne-Cécile"},{"family":"Njamnshi","given":"Alfred Kongnyu"}],"issued":{"date-parts":[["2022",11,28]]}}}],"schema":"https://github.com/citation-style-language/schema/raw/master/csl-citation.json"} </w:instrText>
      </w:r>
      <w:r w:rsidR="00145E21">
        <w:rPr>
          <w:rFonts w:ascii="Times New Roman" w:eastAsia="Times New Roman" w:hAnsi="Times New Roman" w:cs="Times New Roman"/>
          <w:sz w:val="24"/>
          <w:szCs w:val="24"/>
          <w:lang w:eastAsia="fr-FR"/>
        </w:rPr>
        <w:fldChar w:fldCharType="separate"/>
      </w:r>
      <w:r w:rsidR="006931AF" w:rsidRPr="006931AF">
        <w:rPr>
          <w:rFonts w:ascii="Times New Roman" w:hAnsi="Times New Roman" w:cs="Times New Roman"/>
          <w:sz w:val="24"/>
        </w:rPr>
        <w:t>(4,5)</w:t>
      </w:r>
      <w:r w:rsidR="00145E21">
        <w:rPr>
          <w:rFonts w:ascii="Times New Roman" w:eastAsia="Times New Roman" w:hAnsi="Times New Roman" w:cs="Times New Roman"/>
          <w:sz w:val="24"/>
          <w:szCs w:val="24"/>
          <w:lang w:eastAsia="fr-FR"/>
        </w:rPr>
        <w:fldChar w:fldCharType="end"/>
      </w:r>
    </w:p>
    <w:p w14:paraId="30A40B39" w14:textId="46E00B95" w:rsidR="000B47C3" w:rsidRPr="000B47C3" w:rsidRDefault="00A2458A" w:rsidP="000B47C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490927">
        <w:rPr>
          <w:rFonts w:ascii="Times New Roman" w:eastAsia="Times New Roman" w:hAnsi="Times New Roman" w:cs="Times New Roman"/>
          <w:sz w:val="24"/>
          <w:szCs w:val="24"/>
          <w:highlight w:val="yellow"/>
          <w:lang w:eastAsia="fr-FR"/>
        </w:rPr>
        <w:t>Elimination of onchocerciasis in sub-Saharan Africa, where over 95% of the people estimated to require inclusion in control and elimination programs live, will be more challenging due to the geographical scale over which endemicity occurs. Onchocerciasis in Africa is highly heterogeneous, and endemic communities with varying prevalence can be located within a single, large geographic area of continuous onchocerciasis distribution (Crawford et al., 2024).</w:t>
      </w:r>
      <w:r w:rsidRPr="00A2458A">
        <w:rPr>
          <w:rFonts w:ascii="Times New Roman" w:eastAsia="Times New Roman" w:hAnsi="Times New Roman" w:cs="Times New Roman"/>
          <w:sz w:val="24"/>
          <w:szCs w:val="24"/>
          <w:lang w:eastAsia="fr-FR"/>
        </w:rPr>
        <w:t xml:space="preserve"> </w:t>
      </w:r>
      <w:r w:rsidR="000B47C3" w:rsidRPr="000B47C3">
        <w:rPr>
          <w:rFonts w:ascii="Times New Roman" w:eastAsia="Times New Roman" w:hAnsi="Times New Roman" w:cs="Times New Roman"/>
          <w:sz w:val="24"/>
          <w:szCs w:val="24"/>
          <w:lang w:eastAsia="fr-FR"/>
        </w:rPr>
        <w:lastRenderedPageBreak/>
        <w:t xml:space="preserve">Despite decades of struggle, the elimination of </w:t>
      </w:r>
      <w:proofErr w:type="spellStart"/>
      <w:r w:rsidR="000B47C3" w:rsidRPr="000B47C3">
        <w:rPr>
          <w:rFonts w:ascii="Times New Roman" w:eastAsia="Times New Roman" w:hAnsi="Times New Roman" w:cs="Times New Roman"/>
          <w:i/>
          <w:iCs/>
          <w:sz w:val="24"/>
          <w:szCs w:val="24"/>
          <w:lang w:eastAsia="fr-FR"/>
        </w:rPr>
        <w:t>Onchocerca</w:t>
      </w:r>
      <w:proofErr w:type="spellEnd"/>
      <w:r w:rsidR="000B47C3" w:rsidRPr="000B47C3">
        <w:rPr>
          <w:rFonts w:ascii="Times New Roman" w:eastAsia="Times New Roman" w:hAnsi="Times New Roman" w:cs="Times New Roman"/>
          <w:i/>
          <w:iCs/>
          <w:sz w:val="24"/>
          <w:szCs w:val="24"/>
          <w:lang w:eastAsia="fr-FR"/>
        </w:rPr>
        <w:t xml:space="preserve"> volvulus </w:t>
      </w:r>
      <w:r w:rsidR="000B47C3" w:rsidRPr="000B47C3">
        <w:rPr>
          <w:rFonts w:ascii="Times New Roman" w:eastAsia="Times New Roman" w:hAnsi="Times New Roman" w:cs="Times New Roman"/>
          <w:sz w:val="24"/>
          <w:szCs w:val="24"/>
          <w:lang w:eastAsia="fr-FR"/>
        </w:rPr>
        <w:t xml:space="preserve">by 2025 still faces logistical, operational and financial challenges. </w:t>
      </w:r>
      <w:r w:rsidR="00D7122B">
        <w:rPr>
          <w:rFonts w:ascii="Times New Roman" w:eastAsia="Times New Roman" w:hAnsi="Times New Roman" w:cs="Times New Roman"/>
          <w:sz w:val="24"/>
          <w:szCs w:val="24"/>
          <w:lang w:eastAsia="fr-FR"/>
        </w:rPr>
        <w:fldChar w:fldCharType="begin"/>
      </w:r>
      <w:r w:rsidR="006931AF">
        <w:rPr>
          <w:rFonts w:ascii="Times New Roman" w:eastAsia="Times New Roman" w:hAnsi="Times New Roman" w:cs="Times New Roman"/>
          <w:sz w:val="24"/>
          <w:szCs w:val="24"/>
          <w:lang w:eastAsia="fr-FR"/>
        </w:rPr>
        <w:instrText xml:space="preserve"> ADDIN ZOTERO_ITEM CSL_CITATION {"citationID":"JVddMH55","properties":{"formattedCitation":"(6)","plainCitation":"(6)","noteIndex":0},"citationItems":[{"id":"VnN5Np0i/UnBMkcjo","uris":["http://zotero.org/users/14492610/items/9ITEMFU9"],"itemData":{"id":645,"type":"webpage","title":"Élimination de l’onchocercose humaine : rapport d’étape, 2023-2024","URL":"https://www.who.int/publications/i/item/who-wer-9941-577-590","accessed":{"date-parts":[["2025",8,12]]}}}],"schema":"https://github.com/citation-style-language/schema/raw/master/csl-citation.json"} </w:instrText>
      </w:r>
      <w:r w:rsidR="00D7122B">
        <w:rPr>
          <w:rFonts w:ascii="Times New Roman" w:eastAsia="Times New Roman" w:hAnsi="Times New Roman" w:cs="Times New Roman"/>
          <w:sz w:val="24"/>
          <w:szCs w:val="24"/>
          <w:lang w:eastAsia="fr-FR"/>
        </w:rPr>
        <w:fldChar w:fldCharType="separate"/>
      </w:r>
      <w:r w:rsidR="006931AF" w:rsidRPr="006931AF">
        <w:rPr>
          <w:rFonts w:ascii="Times New Roman" w:hAnsi="Times New Roman" w:cs="Times New Roman"/>
          <w:sz w:val="24"/>
        </w:rPr>
        <w:t>(6)</w:t>
      </w:r>
      <w:r w:rsidR="00D7122B">
        <w:rPr>
          <w:rFonts w:ascii="Times New Roman" w:eastAsia="Times New Roman" w:hAnsi="Times New Roman" w:cs="Times New Roman"/>
          <w:sz w:val="24"/>
          <w:szCs w:val="24"/>
          <w:lang w:eastAsia="fr-FR"/>
        </w:rPr>
        <w:fldChar w:fldCharType="end"/>
      </w:r>
      <w:r w:rsidR="000B47C3" w:rsidRPr="000B47C3">
        <w:rPr>
          <w:rFonts w:ascii="Times New Roman" w:eastAsia="Times New Roman" w:hAnsi="Times New Roman" w:cs="Times New Roman"/>
          <w:sz w:val="24"/>
          <w:szCs w:val="24"/>
          <w:lang w:eastAsia="fr-FR"/>
        </w:rPr>
        <w:t xml:space="preserve">Monitoring still relies on reported coverage, often biased by overestimation of target populations, weak information systems and underreporting or inflation of data. </w:t>
      </w:r>
      <w:r w:rsidR="003E589A">
        <w:rPr>
          <w:rFonts w:ascii="Times New Roman" w:eastAsia="Times New Roman" w:hAnsi="Times New Roman" w:cs="Times New Roman"/>
          <w:sz w:val="24"/>
          <w:szCs w:val="24"/>
          <w:lang w:eastAsia="fr-FR"/>
        </w:rPr>
        <w:fldChar w:fldCharType="begin"/>
      </w:r>
      <w:r w:rsidR="006931AF">
        <w:rPr>
          <w:rFonts w:ascii="Times New Roman" w:eastAsia="Times New Roman" w:hAnsi="Times New Roman" w:cs="Times New Roman"/>
          <w:sz w:val="24"/>
          <w:szCs w:val="24"/>
          <w:lang w:eastAsia="fr-FR"/>
        </w:rPr>
        <w:instrText xml:space="preserve"> ADDIN ZOTERO_ITEM CSL_CITATION {"citationID":"4DSHLkrk","properties":{"formattedCitation":"(7)","plainCitation":"(7)","noteIndex":0},"citationItems":[{"id":"VnN5Np0i/wbe66s3s","uris":["http://zotero.org/users/14492610/items/L7Y4TBRC"],"itemData":{"id":647,"type":"article-journal","abstract":"Mass drug administration (MDA) with ivermectin must reach a high treatment coverage (90% of the eligible population) if onchocerciasis is to be eliminated. Questions have been raised as to whether reported treatment figures reaching such high coverage are reliable. Sample surveys are proposed as the method of choice for \"validating\" reported coverage figures. The purpose of this study was to compare the district-level MDA coverage reported by programs with contemporaneous surveys of randomly selected respondents living in those same districts. Over an 8-year period, 19,219 households were selected using multistage random sampling; 38,433 adult male and female heads of those households were asked about their recent ivermectin MDA treatment experience. District coverage reports were considered \"accurate\" if they fell within the 95% CIs determined by the corresponding district's survey. Ninety-eight treatment rounds were evaluated over an 8-year period. Overall, the reported coverage of 96.5% (range: 68-100%) was significantly higher than the 92.5% surveyed coverage (range: 62.1-99.6%, 95% CI: 91.9-93.2%). However, only 20% of districts reported significantly higher coverage than surveys, 68% of district program reports were judged as accurate, and 12% of districts reported significantly lower coverage figures than their corresponding surveys. Eighty-eight percent of districts reported coverage ≥ 90% threshold for success, compared with 97% of surveys that included 90% in their 95% CIs. We conclude that when analyzed statistically at the district level, most surveys verified the reported coverage.","container-title":"The American Journal of Tropical Medicine and Hygiene","DOI":"10.4269/ajtmh.18-0680","ISSN":"1476-1645","issue":"5","journalAbbreviation":"Am J Trop Med Hyg","language":"eng","note":"PMID: 30915956\nPMCID: PMC6493930","page":"1208-1215","source":"PubMed","title":"Comparison of Reported and Survey-Based Coverage in Onchocerciasis Programs over a Period of 8 Years in Cameroon and Uganda","volume":"100","author":[{"family":"Katabarwa","given":"Moses N."},{"family":"Griswold","given":"Emily"},{"family":"Habomugisha","given":"Peace"},{"family":"Eyamba","given":"Albert"},{"family":"Byamukama","given":"Edson"},{"family":"Nwane","given":"Philippe"},{"family":"Khainza","given":"Annet"},{"family":"Bernard","given":"Lauri"},{"family":"Weiss","given":"Paul"},{"family":"Richards","given":"Frank O."}],"issued":{"date-parts":[["2019",5]]}}}],"schema":"https://github.com/citation-style-language/schema/raw/master/csl-citation.json"} </w:instrText>
      </w:r>
      <w:r w:rsidR="003E589A">
        <w:rPr>
          <w:rFonts w:ascii="Times New Roman" w:eastAsia="Times New Roman" w:hAnsi="Times New Roman" w:cs="Times New Roman"/>
          <w:sz w:val="24"/>
          <w:szCs w:val="24"/>
          <w:lang w:eastAsia="fr-FR"/>
        </w:rPr>
        <w:fldChar w:fldCharType="separate"/>
      </w:r>
      <w:r w:rsidR="006931AF" w:rsidRPr="006931AF">
        <w:rPr>
          <w:rFonts w:ascii="Times New Roman" w:hAnsi="Times New Roman" w:cs="Times New Roman"/>
          <w:sz w:val="24"/>
        </w:rPr>
        <w:t>(7)</w:t>
      </w:r>
      <w:r w:rsidR="003E589A">
        <w:rPr>
          <w:rFonts w:ascii="Times New Roman" w:eastAsia="Times New Roman" w:hAnsi="Times New Roman" w:cs="Times New Roman"/>
          <w:sz w:val="24"/>
          <w:szCs w:val="24"/>
          <w:lang w:eastAsia="fr-FR"/>
        </w:rPr>
        <w:fldChar w:fldCharType="end"/>
      </w:r>
      <w:r w:rsidR="000B47C3" w:rsidRPr="000B47C3">
        <w:rPr>
          <w:rFonts w:ascii="Times New Roman" w:eastAsia="Times New Roman" w:hAnsi="Times New Roman" w:cs="Times New Roman"/>
          <w:sz w:val="24"/>
          <w:szCs w:val="24"/>
          <w:lang w:eastAsia="fr-FR"/>
        </w:rPr>
        <w:t xml:space="preserve">In 2023, </w:t>
      </w:r>
      <w:r w:rsidR="0063592E" w:rsidRPr="00490927">
        <w:rPr>
          <w:rFonts w:ascii="Times New Roman" w:eastAsia="Times New Roman" w:hAnsi="Times New Roman" w:cs="Times New Roman"/>
          <w:sz w:val="24"/>
          <w:szCs w:val="24"/>
          <w:highlight w:val="yellow"/>
          <w:lang w:eastAsia="fr-FR"/>
        </w:rPr>
        <w:t xml:space="preserve">the </w:t>
      </w:r>
      <w:r w:rsidR="000B47C3" w:rsidRPr="000B47C3">
        <w:rPr>
          <w:rFonts w:ascii="Times New Roman" w:eastAsia="Times New Roman" w:hAnsi="Times New Roman" w:cs="Times New Roman"/>
          <w:sz w:val="24"/>
          <w:szCs w:val="24"/>
          <w:lang w:eastAsia="fr-FR"/>
        </w:rPr>
        <w:t>WHO estimated the number of people living in areas requiring intervention at 249.5 million, with 172.2 million treated (69% coverage</w:t>
      </w:r>
      <w:r w:rsidR="000B47C3" w:rsidRPr="00673B3E">
        <w:rPr>
          <w:rFonts w:ascii="Times New Roman" w:eastAsia="Times New Roman" w:hAnsi="Times New Roman" w:cs="Times New Roman"/>
          <w:sz w:val="24"/>
          <w:szCs w:val="24"/>
          <w:lang w:eastAsia="fr-FR"/>
        </w:rPr>
        <w:t>)</w:t>
      </w:r>
      <w:r w:rsidR="00673B3E">
        <w:rPr>
          <w:rFonts w:ascii="Times New Roman" w:eastAsia="Times New Roman" w:hAnsi="Times New Roman" w:cs="Times New Roman"/>
          <w:sz w:val="24"/>
          <w:szCs w:val="24"/>
          <w:lang w:eastAsia="fr-FR"/>
        </w:rPr>
        <w:t xml:space="preserve"> [6]</w:t>
      </w:r>
      <w:r w:rsidR="00673B3E" w:rsidRPr="00673B3E">
        <w:rPr>
          <w:rFonts w:ascii="Times New Roman" w:eastAsia="Times New Roman" w:hAnsi="Times New Roman" w:cs="Times New Roman"/>
          <w:sz w:val="24"/>
          <w:szCs w:val="24"/>
          <w:lang w:eastAsia="fr-FR"/>
        </w:rPr>
        <w:t>;</w:t>
      </w:r>
      <w:r w:rsidR="00673B3E">
        <w:rPr>
          <w:rFonts w:ascii="Times New Roman" w:eastAsia="Times New Roman" w:hAnsi="Times New Roman" w:cs="Times New Roman"/>
          <w:sz w:val="24"/>
          <w:szCs w:val="24"/>
          <w:lang w:eastAsia="fr-FR"/>
        </w:rPr>
        <w:t xml:space="preserve"> </w:t>
      </w:r>
      <w:r w:rsidR="000B47C3" w:rsidRPr="00145E21">
        <w:rPr>
          <w:rFonts w:ascii="Times New Roman" w:eastAsia="Times New Roman" w:hAnsi="Times New Roman" w:cs="Times New Roman"/>
          <w:sz w:val="24"/>
          <w:szCs w:val="24"/>
          <w:lang w:eastAsia="fr-FR"/>
        </w:rPr>
        <w:t xml:space="preserve">the 90% coverage reported in </w:t>
      </w:r>
      <w:r w:rsidR="00145E21">
        <w:rPr>
          <w:rFonts w:ascii="Times New Roman" w:eastAsia="Times New Roman" w:hAnsi="Times New Roman" w:cs="Times New Roman"/>
          <w:sz w:val="24"/>
          <w:szCs w:val="24"/>
          <w:lang w:eastAsia="fr-FR"/>
        </w:rPr>
        <w:t>Cameroon</w:t>
      </w:r>
      <w:r w:rsidR="0063592E">
        <w:rPr>
          <w:rFonts w:ascii="Times New Roman" w:eastAsia="Times New Roman" w:hAnsi="Times New Roman" w:cs="Times New Roman"/>
          <w:sz w:val="24"/>
          <w:szCs w:val="24"/>
          <w:lang w:eastAsia="fr-FR"/>
        </w:rPr>
        <w:t>,</w:t>
      </w:r>
      <w:r w:rsidR="00145E21">
        <w:rPr>
          <w:rFonts w:ascii="Times New Roman" w:eastAsia="Times New Roman" w:hAnsi="Times New Roman" w:cs="Times New Roman"/>
          <w:sz w:val="24"/>
          <w:szCs w:val="24"/>
          <w:lang w:eastAsia="fr-FR"/>
        </w:rPr>
        <w:t xml:space="preserve"> specifically in </w:t>
      </w:r>
      <w:r w:rsidR="0063592E" w:rsidRPr="00490927">
        <w:rPr>
          <w:rFonts w:ascii="Times New Roman" w:eastAsia="Times New Roman" w:hAnsi="Times New Roman" w:cs="Times New Roman"/>
          <w:sz w:val="24"/>
          <w:szCs w:val="24"/>
          <w:highlight w:val="yellow"/>
          <w:lang w:eastAsia="fr-FR"/>
        </w:rPr>
        <w:t xml:space="preserve">the </w:t>
      </w:r>
      <w:proofErr w:type="spellStart"/>
      <w:r w:rsidR="000B47C3" w:rsidRPr="00145E21">
        <w:rPr>
          <w:rFonts w:ascii="Times New Roman" w:eastAsia="Times New Roman" w:hAnsi="Times New Roman" w:cs="Times New Roman"/>
          <w:sz w:val="24"/>
          <w:szCs w:val="24"/>
          <w:lang w:eastAsia="fr-FR"/>
        </w:rPr>
        <w:t>Batcham</w:t>
      </w:r>
      <w:proofErr w:type="spellEnd"/>
      <w:r w:rsidR="000B47C3" w:rsidRPr="00145E21">
        <w:rPr>
          <w:rFonts w:ascii="Times New Roman" w:eastAsia="Times New Roman" w:hAnsi="Times New Roman" w:cs="Times New Roman"/>
          <w:sz w:val="24"/>
          <w:szCs w:val="24"/>
          <w:lang w:eastAsia="fr-FR"/>
        </w:rPr>
        <w:t xml:space="preserve"> district in September 2021</w:t>
      </w:r>
      <w:r w:rsidR="0063592E">
        <w:rPr>
          <w:rFonts w:ascii="Times New Roman" w:eastAsia="Times New Roman" w:hAnsi="Times New Roman" w:cs="Times New Roman"/>
          <w:sz w:val="24"/>
          <w:szCs w:val="24"/>
          <w:lang w:eastAsia="fr-FR"/>
        </w:rPr>
        <w:t>,</w:t>
      </w:r>
      <w:r w:rsidR="000B47C3" w:rsidRPr="00145E21">
        <w:rPr>
          <w:rFonts w:ascii="Times New Roman" w:eastAsia="Times New Roman" w:hAnsi="Times New Roman" w:cs="Times New Roman"/>
          <w:sz w:val="24"/>
          <w:szCs w:val="24"/>
          <w:lang w:eastAsia="fr-FR"/>
        </w:rPr>
        <w:t xml:space="preserve"> requires independent verification</w:t>
      </w:r>
      <w:r w:rsidR="0063592E">
        <w:rPr>
          <w:rFonts w:ascii="Times New Roman" w:eastAsia="Times New Roman" w:hAnsi="Times New Roman" w:cs="Times New Roman"/>
          <w:sz w:val="24"/>
          <w:szCs w:val="24"/>
          <w:lang w:eastAsia="fr-FR"/>
        </w:rPr>
        <w:t>,</w:t>
      </w:r>
      <w:r w:rsidR="00145E21">
        <w:rPr>
          <w:rFonts w:ascii="Times New Roman" w:eastAsia="Times New Roman" w:hAnsi="Times New Roman" w:cs="Times New Roman"/>
          <w:sz w:val="24"/>
          <w:szCs w:val="24"/>
          <w:lang w:eastAsia="fr-FR"/>
        </w:rPr>
        <w:t xml:space="preserve"> which sparks the interest of this study</w:t>
      </w:r>
      <w:r w:rsidR="000B47C3" w:rsidRPr="00145E21">
        <w:rPr>
          <w:rFonts w:ascii="Times New Roman" w:eastAsia="Times New Roman" w:hAnsi="Times New Roman" w:cs="Times New Roman"/>
          <w:sz w:val="24"/>
          <w:szCs w:val="24"/>
          <w:lang w:eastAsia="fr-FR"/>
        </w:rPr>
        <w:t xml:space="preserve">. </w:t>
      </w:r>
    </w:p>
    <w:p w14:paraId="204F5577" w14:textId="2AC04F4F" w:rsidR="00CA6CB2" w:rsidRDefault="004D3F2C" w:rsidP="00CA6CB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CD57EE">
        <w:rPr>
          <w:rFonts w:ascii="Times New Roman" w:eastAsia="Times New Roman" w:hAnsi="Times New Roman" w:cs="Times New Roman"/>
          <w:sz w:val="24"/>
          <w:szCs w:val="24"/>
          <w:lang w:eastAsia="fr-FR"/>
        </w:rPr>
        <w:t xml:space="preserve">Since the 1940s, several international partnerships have been formed to combat onchocerciasis. </w:t>
      </w:r>
      <w:r w:rsidR="00F23F39">
        <w:rPr>
          <w:rFonts w:ascii="Times New Roman" w:eastAsia="Times New Roman" w:hAnsi="Times New Roman" w:cs="Times New Roman"/>
          <w:sz w:val="24"/>
          <w:szCs w:val="24"/>
          <w:lang w:eastAsia="fr-FR"/>
        </w:rPr>
        <w:fldChar w:fldCharType="begin"/>
      </w:r>
      <w:r w:rsidR="006931AF">
        <w:rPr>
          <w:rFonts w:ascii="Times New Roman" w:eastAsia="Times New Roman" w:hAnsi="Times New Roman" w:cs="Times New Roman"/>
          <w:sz w:val="24"/>
          <w:szCs w:val="24"/>
          <w:lang w:eastAsia="fr-FR"/>
        </w:rPr>
        <w:instrText xml:space="preserve"> ADDIN ZOTERO_ITEM CSL_CITATION {"citationID":"tyFh219s","properties":{"formattedCitation":"(6)","plainCitation":"(6)","noteIndex":0},"citationItems":[{"id":"VnN5Np0i/UnBMkcjo","uris":["http://zotero.org/users/14492610/items/9ITEMFU9"],"itemData":{"id":645,"type":"webpage","title":"Élimination de l’onchocercose humaine : rapport d’étape, 2023-2024","URL":"https://www.who.int/publications/i/item/who-wer-9941-577-590","accessed":{"date-parts":[["2025",8,12]]}}}],"schema":"https://github.com/citation-style-language/schema/raw/master/csl-citation.json"} </w:instrText>
      </w:r>
      <w:r w:rsidR="00F23F39">
        <w:rPr>
          <w:rFonts w:ascii="Times New Roman" w:eastAsia="Times New Roman" w:hAnsi="Times New Roman" w:cs="Times New Roman"/>
          <w:sz w:val="24"/>
          <w:szCs w:val="24"/>
          <w:lang w:eastAsia="fr-FR"/>
        </w:rPr>
        <w:fldChar w:fldCharType="separate"/>
      </w:r>
      <w:r w:rsidR="006931AF" w:rsidRPr="006931AF">
        <w:rPr>
          <w:rFonts w:ascii="Times New Roman" w:hAnsi="Times New Roman" w:cs="Times New Roman"/>
          <w:sz w:val="24"/>
        </w:rPr>
        <w:t>(6)</w:t>
      </w:r>
      <w:r w:rsidR="00F23F39">
        <w:rPr>
          <w:rFonts w:ascii="Times New Roman" w:eastAsia="Times New Roman" w:hAnsi="Times New Roman" w:cs="Times New Roman"/>
          <w:sz w:val="24"/>
          <w:szCs w:val="24"/>
          <w:lang w:eastAsia="fr-FR"/>
        </w:rPr>
        <w:fldChar w:fldCharType="end"/>
      </w:r>
      <w:r w:rsidRPr="00CD57EE">
        <w:rPr>
          <w:rFonts w:ascii="Times New Roman" w:eastAsia="Times New Roman" w:hAnsi="Times New Roman" w:cs="Times New Roman"/>
          <w:sz w:val="24"/>
          <w:szCs w:val="24"/>
          <w:lang w:eastAsia="fr-FR"/>
        </w:rPr>
        <w:t xml:space="preserve">In 1968, an integrated plan was developed, followed in 1974 by the launch of the Onchocerciasis Control </w:t>
      </w:r>
      <w:proofErr w:type="spellStart"/>
      <w:r w:rsidRPr="00CD57EE">
        <w:rPr>
          <w:rFonts w:ascii="Times New Roman" w:eastAsia="Times New Roman" w:hAnsi="Times New Roman" w:cs="Times New Roman"/>
          <w:sz w:val="24"/>
          <w:szCs w:val="24"/>
          <w:lang w:eastAsia="fr-FR"/>
        </w:rPr>
        <w:t>Programme</w:t>
      </w:r>
      <w:proofErr w:type="spellEnd"/>
      <w:r w:rsidRPr="00CD57EE">
        <w:rPr>
          <w:rFonts w:ascii="Times New Roman" w:eastAsia="Times New Roman" w:hAnsi="Times New Roman" w:cs="Times New Roman"/>
          <w:sz w:val="24"/>
          <w:szCs w:val="24"/>
          <w:lang w:eastAsia="fr-FR"/>
        </w:rPr>
        <w:t xml:space="preserve"> (OCP) under the</w:t>
      </w:r>
      <w:r w:rsidRPr="00673B3E">
        <w:rPr>
          <w:rFonts w:ascii="Times New Roman" w:eastAsia="Times New Roman" w:hAnsi="Times New Roman" w:cs="Times New Roman"/>
          <w:color w:val="FF0000"/>
          <w:sz w:val="24"/>
          <w:szCs w:val="24"/>
          <w:lang w:eastAsia="fr-FR"/>
        </w:rPr>
        <w:t xml:space="preserve"> </w:t>
      </w:r>
      <w:r w:rsidRPr="006931AF">
        <w:rPr>
          <w:rFonts w:ascii="Times New Roman" w:eastAsia="Times New Roman" w:hAnsi="Times New Roman" w:cs="Times New Roman"/>
          <w:sz w:val="24"/>
          <w:szCs w:val="24"/>
          <w:lang w:eastAsia="fr-FR"/>
        </w:rPr>
        <w:t>aegis</w:t>
      </w:r>
      <w:r w:rsidRPr="00673B3E">
        <w:rPr>
          <w:rFonts w:ascii="Times New Roman" w:eastAsia="Times New Roman" w:hAnsi="Times New Roman" w:cs="Times New Roman"/>
          <w:color w:val="FF0000"/>
          <w:sz w:val="24"/>
          <w:szCs w:val="24"/>
          <w:lang w:eastAsia="fr-FR"/>
        </w:rPr>
        <w:t xml:space="preserve"> </w:t>
      </w:r>
      <w:r w:rsidRPr="00CD57EE">
        <w:rPr>
          <w:rFonts w:ascii="Times New Roman" w:eastAsia="Times New Roman" w:hAnsi="Times New Roman" w:cs="Times New Roman"/>
          <w:sz w:val="24"/>
          <w:szCs w:val="24"/>
          <w:lang w:eastAsia="fr-FR"/>
        </w:rPr>
        <w:t xml:space="preserve">of UN agencies and the World Bank. </w:t>
      </w:r>
      <w:r w:rsidR="002C023F">
        <w:rPr>
          <w:rFonts w:ascii="Times New Roman" w:eastAsia="Times New Roman" w:hAnsi="Times New Roman" w:cs="Times New Roman"/>
          <w:sz w:val="24"/>
          <w:szCs w:val="24"/>
          <w:lang w:eastAsia="fr-FR"/>
        </w:rPr>
        <w:fldChar w:fldCharType="begin"/>
      </w:r>
      <w:r w:rsidR="006931AF">
        <w:rPr>
          <w:rFonts w:ascii="Times New Roman" w:eastAsia="Times New Roman" w:hAnsi="Times New Roman" w:cs="Times New Roman"/>
          <w:sz w:val="24"/>
          <w:szCs w:val="24"/>
          <w:lang w:eastAsia="fr-FR"/>
        </w:rPr>
        <w:instrText xml:space="preserve"> ADDIN ZOTERO_ITEM CSL_CITATION {"citationID":"KP8RVWL3","properties":{"formattedCitation":"(8)","plainCitation":"(8)","noteIndex":0},"citationItems":[{"id":"VnN5Np0i/fkqFvwr6","uris":["http://zotero.org/users/14492610/items/HSGLIV4D"],"itemData":{"id":654,"type":"document","title":"evaluation-onchocerciasis-control.pdf","URL":"https://www.who.int/docs/default-source/documents/evaluation/evaluation-onchocerciasis-control.pdf","accessed":{"date-parts":[["2025",8,12]]}}}],"schema":"https://github.com/citation-style-language/schema/raw/master/csl-citation.json"} </w:instrText>
      </w:r>
      <w:r w:rsidR="002C023F">
        <w:rPr>
          <w:rFonts w:ascii="Times New Roman" w:eastAsia="Times New Roman" w:hAnsi="Times New Roman" w:cs="Times New Roman"/>
          <w:sz w:val="24"/>
          <w:szCs w:val="24"/>
          <w:lang w:eastAsia="fr-FR"/>
        </w:rPr>
        <w:fldChar w:fldCharType="separate"/>
      </w:r>
      <w:r w:rsidR="006931AF" w:rsidRPr="006931AF">
        <w:rPr>
          <w:rFonts w:ascii="Times New Roman" w:hAnsi="Times New Roman" w:cs="Times New Roman"/>
          <w:sz w:val="24"/>
        </w:rPr>
        <w:t>(8)</w:t>
      </w:r>
      <w:r w:rsidR="002C023F">
        <w:rPr>
          <w:rFonts w:ascii="Times New Roman" w:eastAsia="Times New Roman" w:hAnsi="Times New Roman" w:cs="Times New Roman"/>
          <w:sz w:val="24"/>
          <w:szCs w:val="24"/>
          <w:lang w:eastAsia="fr-FR"/>
        </w:rPr>
        <w:fldChar w:fldCharType="end"/>
      </w:r>
      <w:r w:rsidR="006931AF">
        <w:rPr>
          <w:rFonts w:ascii="Times New Roman" w:eastAsia="Times New Roman" w:hAnsi="Times New Roman" w:cs="Times New Roman"/>
          <w:sz w:val="24"/>
          <w:szCs w:val="24"/>
          <w:lang w:eastAsia="fr-FR"/>
        </w:rPr>
        <w:t xml:space="preserve"> </w:t>
      </w:r>
      <w:r w:rsidR="008B425E" w:rsidRPr="00490927">
        <w:rPr>
          <w:rFonts w:ascii="Times New Roman" w:eastAsia="Times New Roman" w:hAnsi="Times New Roman" w:cs="Times New Roman"/>
          <w:sz w:val="24"/>
          <w:szCs w:val="24"/>
          <w:highlight w:val="yellow"/>
          <w:lang w:eastAsia="fr-FR"/>
        </w:rPr>
        <w:t>The</w:t>
      </w:r>
      <w:r w:rsidR="008B425E">
        <w:rPr>
          <w:rFonts w:ascii="Times New Roman" w:eastAsia="Times New Roman" w:hAnsi="Times New Roman" w:cs="Times New Roman"/>
          <w:sz w:val="24"/>
          <w:szCs w:val="24"/>
          <w:lang w:eastAsia="fr-FR"/>
        </w:rPr>
        <w:t xml:space="preserve"> </w:t>
      </w:r>
      <w:r w:rsidR="006931AF">
        <w:rPr>
          <w:rFonts w:ascii="Times New Roman" w:eastAsia="Times New Roman" w:hAnsi="Times New Roman" w:cs="Times New Roman"/>
          <w:sz w:val="24"/>
          <w:szCs w:val="24"/>
          <w:lang w:eastAsia="fr-FR"/>
        </w:rPr>
        <w:t>African Program for Onchocerciasis Control t</w:t>
      </w:r>
      <w:r w:rsidRPr="00CD57EE">
        <w:rPr>
          <w:rFonts w:ascii="Times New Roman" w:eastAsia="Times New Roman" w:hAnsi="Times New Roman" w:cs="Times New Roman"/>
          <w:sz w:val="24"/>
          <w:szCs w:val="24"/>
          <w:lang w:eastAsia="fr-FR"/>
        </w:rPr>
        <w:t xml:space="preserve">hen deployed community-directed preventive chemotherapy ( CDTi ) based on ivermectin ( </w:t>
      </w:r>
      <w:proofErr w:type="spellStart"/>
      <w:r w:rsidRPr="00CD57EE">
        <w:rPr>
          <w:rFonts w:ascii="Times New Roman" w:eastAsia="Times New Roman" w:hAnsi="Times New Roman" w:cs="Times New Roman"/>
          <w:sz w:val="24"/>
          <w:szCs w:val="24"/>
          <w:lang w:eastAsia="fr-FR"/>
        </w:rPr>
        <w:t>Mectizan</w:t>
      </w:r>
      <w:proofErr w:type="spellEnd"/>
      <w:r w:rsidRPr="00CD57EE">
        <w:rPr>
          <w:rFonts w:ascii="Times New Roman" w:eastAsia="Times New Roman" w:hAnsi="Times New Roman" w:cs="Times New Roman"/>
          <w:sz w:val="24"/>
          <w:szCs w:val="24"/>
          <w:lang w:eastAsia="fr-FR"/>
        </w:rPr>
        <w:t xml:space="preserve">® ), a method that has demonstrated its </w:t>
      </w:r>
      <w:r w:rsidR="001B4AA2">
        <w:rPr>
          <w:rFonts w:ascii="Times New Roman" w:eastAsia="Times New Roman" w:hAnsi="Times New Roman" w:cs="Times New Roman"/>
          <w:sz w:val="24"/>
          <w:szCs w:val="24"/>
          <w:lang w:eastAsia="fr-FR"/>
        </w:rPr>
        <w:t xml:space="preserve">effectiveness and sustainability </w:t>
      </w:r>
      <w:r w:rsidR="001B4AA2">
        <w:rPr>
          <w:rFonts w:ascii="Times New Roman" w:eastAsia="Times New Roman" w:hAnsi="Times New Roman" w:cs="Times New Roman"/>
          <w:sz w:val="24"/>
          <w:szCs w:val="24"/>
          <w:lang w:eastAsia="fr-FR"/>
        </w:rPr>
        <w:fldChar w:fldCharType="begin"/>
      </w:r>
      <w:r w:rsidR="006931AF">
        <w:rPr>
          <w:rFonts w:ascii="Times New Roman" w:eastAsia="Times New Roman" w:hAnsi="Times New Roman" w:cs="Times New Roman"/>
          <w:sz w:val="24"/>
          <w:szCs w:val="24"/>
          <w:lang w:eastAsia="fr-FR"/>
        </w:rPr>
        <w:instrText xml:space="preserve"> ADDIN ZOTERO_ITEM CSL_CITATION {"citationID":"zl3NHrhK","properties":{"formattedCitation":"(9)","plainCitation":"(9)","noteIndex":0},"citationItems":[{"id":"VnN5Np0i/Cz1JSUOS","uris":["http://zotero.org/users/14492610/items/Q99878P3"],"itemData":{"id":657,"type":"article-journal","abstract":"Recent studies in Cameroon after 20 years of implementation of the Community Directed Treatment with ivermectin (CDTI) strategy, revealed mixed results as regards community ownership. This brings into question the feasibility of Community Directed Interventions (CDI) in the country. We carried out qualitative surveys in 3 health districts of Cameroon, consisting of 11 individual interviews and 10 Focus Group Discussions (FGDs) with specific community members. The main topic discussed during individual interviews and FGDs was about community participation in health. We found an implementation gap in CDTI between the process theory in the 3 health districts. Despite this gap, community eagerness for health information and massive personal and financial adhesion to interventions that were perceived important, were indicators of CDI feasibility. The concept of CDI is culturally feasible in rural and semi-urban settlements, but many challenges hinder its actual implementation. In the view of community participation as a process rather than an intervention, these challenges include real dialogue with communities as partners, dialogue and advocacy with operational level health staff, and macroeconomic and political reforms in health, finance and other associated sectors.","container-title":"Tropical Medicine and Infectious Disease","DOI":"10.3390/tropicalmed4030105","ISSN":"2414-6366","issue":"3","journalAbbreviation":"Trop Med Infect Dis","note":"PMID: 31311093\nPMCID: PMC6789878","page":"105","source":"PubMed Central","title":"Do Communities Really “Direct” in Community-Directed Interventions? A Qualitative Assessment of Beneficiaries’ Perceptions at 20 Years of Community Directed Treatment with Ivermectin in Cameroon","title-short":"Do Communities Really “Direct” in Community-Directed Interventions?","volume":"4","author":[{"family":"Dissak-Delon","given":"Fanny Nadia"},{"family":"Kamga","given":"Guy-Roger"},{"family":"Humblet","given":"Perrine Claire"},{"family":"Robert","given":"Annie"},{"family":"Souopgui","given":"Jacob"},{"family":"Kamgno","given":"Joseph"},{"family":"Ghogomu","given":"Stephen Mbigha"},{"family":"Godin","given":"Isabelle"}],"issued":{"date-parts":[["2019",7,15]]}}}],"schema":"https://github.com/citation-style-language/schema/raw/master/csl-citation.json"} </w:instrText>
      </w:r>
      <w:r w:rsidR="001B4AA2">
        <w:rPr>
          <w:rFonts w:ascii="Times New Roman" w:eastAsia="Times New Roman" w:hAnsi="Times New Roman" w:cs="Times New Roman"/>
          <w:sz w:val="24"/>
          <w:szCs w:val="24"/>
          <w:lang w:eastAsia="fr-FR"/>
        </w:rPr>
        <w:fldChar w:fldCharType="separate"/>
      </w:r>
      <w:r w:rsidR="006931AF" w:rsidRPr="006931AF">
        <w:rPr>
          <w:rFonts w:ascii="Times New Roman" w:hAnsi="Times New Roman" w:cs="Times New Roman"/>
          <w:sz w:val="24"/>
        </w:rPr>
        <w:t>(9)</w:t>
      </w:r>
      <w:r w:rsidR="001B4AA2">
        <w:rPr>
          <w:rFonts w:ascii="Times New Roman" w:eastAsia="Times New Roman" w:hAnsi="Times New Roman" w:cs="Times New Roman"/>
          <w:sz w:val="24"/>
          <w:szCs w:val="24"/>
          <w:lang w:eastAsia="fr-FR"/>
        </w:rPr>
        <w:fldChar w:fldCharType="end"/>
      </w:r>
      <w:r w:rsidRPr="00CD57EE">
        <w:rPr>
          <w:rFonts w:ascii="Times New Roman" w:eastAsia="Times New Roman" w:hAnsi="Times New Roman" w:cs="Times New Roman"/>
          <w:sz w:val="24"/>
          <w:szCs w:val="24"/>
          <w:lang w:eastAsia="fr-FR"/>
        </w:rPr>
        <w:t xml:space="preserve">. This strategy has been extended to the remaining endemic areas with the aim of eradicating the disease. However, the literature highlights that the calculation of treatment coverage, based on distributor records, remains susceptible to structural bias. </w:t>
      </w:r>
      <w:r w:rsidR="00413794" w:rsidRPr="00CA6CB2">
        <w:rPr>
          <w:rFonts w:ascii="Times New Roman" w:eastAsia="Times New Roman" w:hAnsi="Times New Roman" w:cs="Times New Roman"/>
          <w:sz w:val="24"/>
          <w:szCs w:val="24"/>
          <w:lang w:eastAsia="fr-FR"/>
        </w:rPr>
        <w:fldChar w:fldCharType="begin"/>
      </w:r>
      <w:r w:rsidR="006931AF">
        <w:rPr>
          <w:rFonts w:ascii="Times New Roman" w:eastAsia="Times New Roman" w:hAnsi="Times New Roman" w:cs="Times New Roman"/>
          <w:sz w:val="24"/>
          <w:szCs w:val="24"/>
          <w:lang w:eastAsia="fr-FR"/>
        </w:rPr>
        <w:instrText xml:space="preserve"> ADDIN ZOTERO_ITEM CSL_CITATION {"citationID":"4idDnTRc","properties":{"formattedCitation":"(10,11)","plainCitation":"(10,11)","noteIndex":0},"citationItems":[{"id":"VnN5Np0i/Mz5jEGN7","uris":["http://zotero.org/users/14492610/items/3NCUZL49"],"itemData":{"id":660,"type":"article-journal","abstract":"BACKGROUND: The African Programme for Onchocerciasis Control (APOC) was created in 1995 to establish community-directed treatment with ivermectin (CDTi) in order to control onchocerciasis as a public health problem in 20 African countries that had 80 % of the global disease burden. When research showed that CDTi may ultimately eliminate onchocerciasis infection, APOC was given in 2008 the additional objective to determine when and where treatment can be safely stopped. We report the results of epidemiological evaluations undertaken from 2008 to 2014 to assess progress towards elimination in CDTi areas with ≥6 years treatment.\nMETHODS: Skin snip surveys were undertaken in samples of first-line villages to determine the prevalence of O. volvulus microfilariae. There were two evaluation phases. The decline in prevalence was evaluated in phase 1A. Observed and model-predicted prevalences were compared after correcting for endemicity level and treatment coverage. Bayesian statistics and Monte Carlo simulation were used to classify the decline in prevalence as faster than predicted, on track or delayed. Where the prevalence approached elimination levels, phase 1B was launched to determine if treatment could be safely stopped. Village sampling was extended to the whole CDTi area. Survey data were analysed within a Bayesian framework to determine if stopping criteria (overall prevalence &lt;1.4 % and maximum stratum prevalence &lt;5 %) were met.\nRESULTS: In phase 1A 127 665 people from 639 villages in 54 areas were examined. The prevalence had fallen dramatically. The decline in prevalence was faster than predicted in 23 areas, on track in another 23 and delayed in eight areas. In phase 1B 108 636 people in 392 villages were examined in 22 areas of which 13 met the epidemiological criteria for stopping treatment. Overall, 32 areas (25.4 million people) had reached or were close to elimination, 18 areas (17.4 million) were on track but required more years treatment, and in eight areas (10.4 million) progress was unsatisfactory.\nCONCLUSIONS: Onchocerciasis has been largely controlled as a public health problem. Great progress has been made towards elimination which already appears to have been achieved for millions of people. For most APOC countries, nationwide onchocerciasis elimination is within reach.","container-title":"Infectious Diseases of Poverty","DOI":"10.1186/s40249-016-0160-7","ISSN":"2049-9957","issue":"1","journalAbbreviation":"Infect Dis Poverty","language":"eng","note":"PMID: 27349645\nPMCID: PMC4924267","page":"66","source":"PubMed","title":"Progress towards onchocerciasis elimination in the participating countries of the African Programme for Onchocerciasis Control: epidemiological evaluation results","title-short":"Progress towards onchocerciasis elimination in the participating countries of the African Programme for Onchocerciasis Control","volume":"5","author":[{"family":"Tekle","given":"Afework H."},{"family":"Zouré","given":"Honorath G. M."},{"family":"Noma","given":"Mounkaila"},{"family":"Boussinesq","given":"Michel"},{"family":"Coffeng","given":"Luc E."},{"family":"Stolk","given":"Wilma A."},{"family":"Remme","given":"Jan H. F."}],"issued":{"date-parts":[["2016",6,27]]}}},{"id":"VnN5Np0i/52WrTjhw","uris":["http://zotero.org/users/14492610/items/NF3EZGI3"],"itemData":{"id":663,"type":"article-journal","abstract":"Background\nMany control methods have been implemented to tackle onchocerciasis and great successes have been achieved, leading to a paradigm shift from control of morbidity to interruption of transmission and ultimately elimination. The mandate of the African Programme for Onchocerciasis Control (APOC) ended in 2015, and endemic countries are to plan and conduct elimination activities by themselves, with technical assistance by the Expanded Special Project for Elimination of Neglected Tropical Diseases (ESPEN). To this end, an elimination expert committee was set up in Cameroon in 2018. This committee identified the need to update the data on the current situation of onchocerciasis. The present study aims to systematically review and report all available epidemiological data, including prevalence, intensity and transmission of onchocerciasis to provide pertinent information that will be useful to design optimal strategies to achieve onchocerciasis elimination in Cameroon.\n\nMethods\nPubMed/MEDLINE, EMBASE and Web of Science will be searched from inception onwards. Grey literature will be identified through Google Scholar searches, dissertation databases and other relevant documents such as government reports. Eligible studies will be mostly observational, including cohort and cross-sectional surveys. No limitations will be imposed on publication status and study period. The primary outcomes will be (1) the prevalence and intensity of Onchocerca volvulus infection in humans, (2) transmission intensity and (3) impact of interventions on prevalence, intensity and transmission of onchocerciasis. Secondary outcomes will be environmental and socio-demographic factors supporting the primary outcomes. Two reviewers will independently screen all citations, full-text articles and abstract data. Potential conflicts will be resolved through discussion. Methodological quality including bias will be appraised using appropriate approaches. A narrative synthesis will describe quality and content of the epidemiological evidence. Prevalence and intensity of infection estimates will be stratified according to gender, age, geographical location and year of publication.\n\nDiscussion\nThis study will provide the health authorities as well as the scientific community with up-to-date information about the epidemiological situation of onchocerciasis in Cameroon. Understanding the spatiotemporal dynamics of the infection will help to define alternative and complementary strategies to accelerate onchocerciasis elimination in the country. Results of this review will also be used to update existing epidemiological models for onchocerciasis in order to fine-tune predictions of elimination timeframes in the country.\n\nSystematic review registration\nThis protocol is under registration review in PROSPERO.","container-title":"Systematic Reviews","DOI":"10.1186/s13643-020-1287-y","ISSN":"2046-4053","journalAbbreviation":"Syst Rev","note":"PMID: 32046791\nPMCID: PMC7011232","page":"27","source":"PubMed Central","title":"Situation analysis of onchocerciasis in Cameroon: a protocol for systematic review of epidemiological studies and impact of disease control interventions","title-short":"Situation analysis of onchocerciasis in Cameroon","volume":"9","author":[{"family":"Nana-Djeunga","given":"Hugues C."},{"family":"Domche","given":"André"},{"family":"Niamsi-Emalio","given":"Yannick"},{"family":"Moungui","given":"Henri C."},{"family":"Walker","given":"Martin"},{"family":"Basáñez","given":"Maria-Gloria"},{"family":"Kamgno","given":"Joseph"}],"issued":{"date-parts":[["2020",2,11]]}}}],"schema":"https://github.com/citation-style-language/schema/raw/master/csl-citation.json"} </w:instrText>
      </w:r>
      <w:r w:rsidR="00413794" w:rsidRPr="00CA6CB2">
        <w:rPr>
          <w:rFonts w:ascii="Times New Roman" w:eastAsia="Times New Roman" w:hAnsi="Times New Roman" w:cs="Times New Roman"/>
          <w:sz w:val="24"/>
          <w:szCs w:val="24"/>
          <w:lang w:eastAsia="fr-FR"/>
        </w:rPr>
        <w:fldChar w:fldCharType="separate"/>
      </w:r>
      <w:r w:rsidR="006931AF" w:rsidRPr="006931AF">
        <w:rPr>
          <w:rFonts w:ascii="Times New Roman" w:hAnsi="Times New Roman" w:cs="Times New Roman"/>
          <w:sz w:val="24"/>
        </w:rPr>
        <w:t>(10,11)</w:t>
      </w:r>
      <w:r w:rsidR="00413794" w:rsidRPr="00CA6CB2">
        <w:rPr>
          <w:rFonts w:ascii="Times New Roman" w:eastAsia="Times New Roman" w:hAnsi="Times New Roman" w:cs="Times New Roman"/>
          <w:sz w:val="24"/>
          <w:szCs w:val="24"/>
          <w:lang w:eastAsia="fr-FR"/>
        </w:rPr>
        <w:fldChar w:fldCharType="end"/>
      </w:r>
    </w:p>
    <w:p w14:paraId="59D8C6A6" w14:textId="02395360" w:rsidR="003E7C9F" w:rsidRDefault="00CA6CB2" w:rsidP="0094230D">
      <w:pPr>
        <w:spacing w:before="100" w:beforeAutospacing="1" w:after="100" w:afterAutospacing="1" w:line="360" w:lineRule="auto"/>
        <w:jc w:val="both"/>
        <w:rPr>
          <w:rFonts w:ascii="Times New Roman" w:hAnsi="Times New Roman" w:cs="Times New Roman"/>
          <w:sz w:val="24"/>
          <w:szCs w:val="24"/>
        </w:rPr>
      </w:pPr>
      <w:r w:rsidRPr="0094230D">
        <w:rPr>
          <w:rFonts w:ascii="Times New Roman" w:hAnsi="Times New Roman" w:cs="Times New Roman"/>
          <w:sz w:val="24"/>
          <w:szCs w:val="24"/>
        </w:rPr>
        <w:t>T</w:t>
      </w:r>
      <w:r w:rsidR="002B67AF">
        <w:rPr>
          <w:rFonts w:ascii="Times New Roman" w:hAnsi="Times New Roman" w:cs="Times New Roman"/>
          <w:sz w:val="24"/>
          <w:szCs w:val="24"/>
        </w:rPr>
        <w:t xml:space="preserve">he objective for the survey in </w:t>
      </w:r>
      <w:proofErr w:type="spellStart"/>
      <w:r w:rsidR="002B67AF">
        <w:rPr>
          <w:rFonts w:ascii="Times New Roman" w:hAnsi="Times New Roman" w:cs="Times New Roman"/>
          <w:sz w:val="24"/>
          <w:szCs w:val="24"/>
        </w:rPr>
        <w:t>Batcham</w:t>
      </w:r>
      <w:proofErr w:type="spellEnd"/>
      <w:r w:rsidR="002B67AF">
        <w:rPr>
          <w:rFonts w:ascii="Times New Roman" w:hAnsi="Times New Roman" w:cs="Times New Roman"/>
          <w:sz w:val="24"/>
          <w:szCs w:val="24"/>
        </w:rPr>
        <w:t xml:space="preserve"> is </w:t>
      </w:r>
      <w:r w:rsidRPr="0094230D">
        <w:rPr>
          <w:rFonts w:ascii="Times New Roman" w:hAnsi="Times New Roman" w:cs="Times New Roman"/>
          <w:sz w:val="24"/>
          <w:szCs w:val="24"/>
        </w:rPr>
        <w:t>to verify</w:t>
      </w:r>
      <w:r w:rsidR="002B67AF">
        <w:rPr>
          <w:rStyle w:val="CommentReference"/>
        </w:rPr>
        <w:t xml:space="preserve"> </w:t>
      </w:r>
      <w:r w:rsidRPr="0094230D">
        <w:rPr>
          <w:rFonts w:ascii="Times New Roman" w:hAnsi="Times New Roman" w:cs="Times New Roman"/>
          <w:sz w:val="24"/>
          <w:szCs w:val="24"/>
        </w:rPr>
        <w:t>data, identify barriers to uptake, target uncontacted populations, and thus strengthen the effectiveness of</w:t>
      </w:r>
      <w:r w:rsidR="002B67AF">
        <w:rPr>
          <w:rFonts w:ascii="Times New Roman" w:hAnsi="Times New Roman" w:cs="Times New Roman"/>
          <w:sz w:val="24"/>
          <w:szCs w:val="24"/>
        </w:rPr>
        <w:t xml:space="preserve"> </w:t>
      </w:r>
      <w:r w:rsidR="002B67AF" w:rsidRPr="002B67AF">
        <w:rPr>
          <w:rFonts w:ascii="Times New Roman" w:hAnsi="Times New Roman" w:cs="Times New Roman"/>
          <w:sz w:val="24"/>
          <w:szCs w:val="24"/>
        </w:rPr>
        <w:t>ivermectin treatment</w:t>
      </w:r>
      <w:r w:rsidR="002B67AF">
        <w:rPr>
          <w:rFonts w:ascii="Times New Roman" w:hAnsi="Times New Roman" w:cs="Times New Roman"/>
          <w:sz w:val="24"/>
          <w:szCs w:val="24"/>
        </w:rPr>
        <w:t xml:space="preserve"> </w:t>
      </w:r>
      <w:r w:rsidRPr="0094230D">
        <w:rPr>
          <w:rFonts w:ascii="Times New Roman" w:hAnsi="Times New Roman" w:cs="Times New Roman"/>
          <w:sz w:val="24"/>
          <w:szCs w:val="24"/>
        </w:rPr>
        <w:t>to achieve elimination targets. Thus, given the uncertainties inherent in reported coverage, the overall objective of this study is to assess the therapeutic coverage of the 2021 campaign of community-directed ivermectin treatment (</w:t>
      </w:r>
      <w:smartTag w:uri="urn:schemas-microsoft-com:office:smarttags" w:element="stockticker">
        <w:r w:rsidRPr="0094230D">
          <w:rPr>
            <w:rFonts w:ascii="Times New Roman" w:hAnsi="Times New Roman" w:cs="Times New Roman"/>
            <w:sz w:val="24"/>
            <w:szCs w:val="24"/>
          </w:rPr>
          <w:t>CDTI</w:t>
        </w:r>
      </w:smartTag>
      <w:r w:rsidR="009A5845" w:rsidRPr="0094230D">
        <w:rPr>
          <w:rFonts w:ascii="Times New Roman" w:hAnsi="Times New Roman" w:cs="Times New Roman"/>
          <w:sz w:val="24"/>
          <w:szCs w:val="24"/>
        </w:rPr>
        <w:t xml:space="preserve">) against </w:t>
      </w:r>
      <w:proofErr w:type="spellStart"/>
      <w:r w:rsidR="009A5845" w:rsidRPr="0094230D">
        <w:rPr>
          <w:rFonts w:ascii="Times New Roman" w:hAnsi="Times New Roman" w:cs="Times New Roman"/>
          <w:sz w:val="24"/>
          <w:szCs w:val="24"/>
        </w:rPr>
        <w:t>Onchocerca</w:t>
      </w:r>
      <w:proofErr w:type="spellEnd"/>
      <w:r w:rsidR="009A5845" w:rsidRPr="0094230D">
        <w:rPr>
          <w:rFonts w:ascii="Times New Roman" w:hAnsi="Times New Roman" w:cs="Times New Roman"/>
          <w:sz w:val="24"/>
          <w:szCs w:val="24"/>
        </w:rPr>
        <w:t xml:space="preserve"> volvulus in the </w:t>
      </w:r>
      <w:proofErr w:type="spellStart"/>
      <w:r w:rsidR="009A5845" w:rsidRPr="0094230D">
        <w:rPr>
          <w:rFonts w:ascii="Times New Roman" w:hAnsi="Times New Roman" w:cs="Times New Roman"/>
          <w:sz w:val="24"/>
          <w:szCs w:val="24"/>
        </w:rPr>
        <w:t>Batcham</w:t>
      </w:r>
      <w:proofErr w:type="spellEnd"/>
      <w:r w:rsidR="009A5845" w:rsidRPr="0094230D">
        <w:rPr>
          <w:rFonts w:ascii="Times New Roman" w:hAnsi="Times New Roman" w:cs="Times New Roman"/>
          <w:sz w:val="24"/>
          <w:szCs w:val="24"/>
        </w:rPr>
        <w:t xml:space="preserve"> health district; we assume that the actual </w:t>
      </w:r>
      <w:smartTag w:uri="urn:schemas-microsoft-com:office:smarttags" w:element="stockticker">
        <w:r w:rsidR="009A5845" w:rsidRPr="0094230D">
          <w:rPr>
            <w:rFonts w:ascii="Times New Roman" w:hAnsi="Times New Roman" w:cs="Times New Roman"/>
            <w:sz w:val="24"/>
            <w:szCs w:val="24"/>
          </w:rPr>
          <w:t>CDTI</w:t>
        </w:r>
      </w:smartTag>
      <w:r w:rsidR="009A5845" w:rsidRPr="0094230D">
        <w:rPr>
          <w:rFonts w:ascii="Times New Roman" w:hAnsi="Times New Roman" w:cs="Times New Roman"/>
          <w:sz w:val="24"/>
          <w:szCs w:val="24"/>
        </w:rPr>
        <w:t xml:space="preserve"> coverage is equal to the reported coverage in this district.</w:t>
      </w:r>
    </w:p>
    <w:p w14:paraId="1FB88489" w14:textId="77777777" w:rsidR="00613B11" w:rsidRPr="00613B11" w:rsidRDefault="003E7C9F" w:rsidP="00613B11">
      <w:pPr>
        <w:spacing w:after="0" w:line="360" w:lineRule="auto"/>
        <w:jc w:val="both"/>
        <w:rPr>
          <w:rFonts w:ascii="Times New Roman" w:hAnsi="Times New Roman" w:cs="Times New Roman"/>
          <w:b/>
          <w:sz w:val="24"/>
          <w:szCs w:val="24"/>
        </w:rPr>
      </w:pPr>
      <w:r w:rsidRPr="00613B11">
        <w:rPr>
          <w:rFonts w:ascii="Times New Roman" w:hAnsi="Times New Roman" w:cs="Times New Roman"/>
          <w:b/>
          <w:sz w:val="24"/>
          <w:szCs w:val="24"/>
        </w:rPr>
        <w:t>Method</w:t>
      </w:r>
    </w:p>
    <w:p w14:paraId="7F24EAEF" w14:textId="07BAAE2C" w:rsidR="00613B11" w:rsidRPr="00613B11" w:rsidRDefault="00613B11" w:rsidP="00613B11">
      <w:pPr>
        <w:spacing w:after="0" w:line="360" w:lineRule="auto"/>
        <w:jc w:val="both"/>
        <w:rPr>
          <w:rFonts w:ascii="Times New Roman" w:hAnsi="Times New Roman" w:cs="Times New Roman"/>
          <w:b/>
          <w:sz w:val="24"/>
          <w:szCs w:val="24"/>
        </w:rPr>
      </w:pPr>
      <w:r w:rsidRPr="00613B11">
        <w:rPr>
          <w:rFonts w:ascii="Times New Roman" w:eastAsia="Times New Roman" w:hAnsi="Times New Roman" w:cs="Times New Roman"/>
          <w:b/>
          <w:sz w:val="24"/>
          <w:szCs w:val="24"/>
          <w:lang w:val="en-US" w:eastAsia="fr-FR"/>
        </w:rPr>
        <w:t>Study design</w:t>
      </w:r>
    </w:p>
    <w:p w14:paraId="75E8445E" w14:textId="4B7268A2" w:rsidR="00613B11" w:rsidRPr="00613B11" w:rsidRDefault="00613B11" w:rsidP="00613B11">
      <w:pPr>
        <w:spacing w:after="0" w:line="360" w:lineRule="auto"/>
        <w:jc w:val="both"/>
        <w:rPr>
          <w:rFonts w:ascii="Times New Roman" w:eastAsia="Times New Roman" w:hAnsi="Times New Roman" w:cs="Times New Roman"/>
          <w:bCs/>
          <w:sz w:val="24"/>
          <w:szCs w:val="24"/>
          <w:lang w:val="en-US" w:eastAsia="fr-FR"/>
        </w:rPr>
      </w:pPr>
      <w:r w:rsidRPr="00613B11">
        <w:rPr>
          <w:rFonts w:ascii="Times New Roman" w:eastAsia="Times New Roman" w:hAnsi="Times New Roman" w:cs="Times New Roman"/>
          <w:bCs/>
          <w:sz w:val="24"/>
          <w:szCs w:val="24"/>
          <w:lang w:val="en-US" w:eastAsia="fr-FR"/>
        </w:rPr>
        <w:t xml:space="preserve">This was a descriptive cross-sectional study conducted on a random sample of households to assess the distribution of mass drug administration (MDA) coverage in the </w:t>
      </w:r>
      <w:proofErr w:type="spellStart"/>
      <w:r w:rsidRPr="00613B11">
        <w:rPr>
          <w:rFonts w:ascii="Times New Roman" w:eastAsia="Times New Roman" w:hAnsi="Times New Roman" w:cs="Times New Roman"/>
          <w:bCs/>
          <w:sz w:val="24"/>
          <w:szCs w:val="24"/>
          <w:lang w:val="en-US" w:eastAsia="fr-FR"/>
        </w:rPr>
        <w:t>Batcham</w:t>
      </w:r>
      <w:proofErr w:type="spellEnd"/>
      <w:r w:rsidRPr="00613B11">
        <w:rPr>
          <w:rFonts w:ascii="Times New Roman" w:eastAsia="Times New Roman" w:hAnsi="Times New Roman" w:cs="Times New Roman"/>
          <w:bCs/>
          <w:sz w:val="24"/>
          <w:szCs w:val="24"/>
          <w:lang w:val="en-US" w:eastAsia="fr-FR"/>
        </w:rPr>
        <w:t xml:space="preserve"> Health District. Data were collected using a pre-tested questionnaire administered via smartphones, with forms developed in KOBO Collect. Trained and supervised interviewers carried out the survey in twenty clusters, each consisting of ten households, selected through a three-stage cluster random sampling method.</w:t>
      </w:r>
    </w:p>
    <w:p w14:paraId="1E7B5B55" w14:textId="77777777" w:rsidR="00613B11" w:rsidRDefault="00613B11" w:rsidP="00613B11">
      <w:pPr>
        <w:spacing w:before="100" w:beforeAutospacing="1" w:after="100" w:afterAutospacing="1" w:line="360" w:lineRule="auto"/>
        <w:jc w:val="both"/>
        <w:rPr>
          <w:rFonts w:ascii="Times New Roman" w:eastAsia="Times New Roman" w:hAnsi="Times New Roman" w:cs="Times New Roman"/>
          <w:bCs/>
          <w:sz w:val="24"/>
          <w:szCs w:val="24"/>
          <w:lang w:val="en-US" w:eastAsia="fr-FR"/>
        </w:rPr>
      </w:pPr>
      <w:r w:rsidRPr="00613B11">
        <w:rPr>
          <w:rFonts w:ascii="Times New Roman" w:eastAsia="Times New Roman" w:hAnsi="Times New Roman" w:cs="Times New Roman"/>
          <w:bCs/>
          <w:sz w:val="24"/>
          <w:szCs w:val="24"/>
          <w:lang w:val="en-US" w:eastAsia="fr-FR"/>
        </w:rPr>
        <w:lastRenderedPageBreak/>
        <w:t>Study Site and Population</w:t>
      </w:r>
    </w:p>
    <w:p w14:paraId="6A93C986" w14:textId="2199A5D3" w:rsidR="00613B11" w:rsidRPr="00613B11" w:rsidRDefault="00613B11" w:rsidP="00613B11">
      <w:pPr>
        <w:spacing w:before="100" w:beforeAutospacing="1" w:after="100" w:afterAutospacing="1" w:line="360" w:lineRule="auto"/>
        <w:jc w:val="both"/>
        <w:rPr>
          <w:rFonts w:ascii="Times New Roman" w:eastAsia="Times New Roman" w:hAnsi="Times New Roman" w:cs="Times New Roman"/>
          <w:bCs/>
          <w:sz w:val="24"/>
          <w:szCs w:val="24"/>
          <w:lang w:val="en-US" w:eastAsia="fr-FR"/>
        </w:rPr>
      </w:pPr>
      <w:r w:rsidRPr="00613B11">
        <w:rPr>
          <w:rFonts w:ascii="Times New Roman" w:eastAsia="Times New Roman" w:hAnsi="Times New Roman" w:cs="Times New Roman"/>
          <w:bCs/>
          <w:sz w:val="24"/>
          <w:szCs w:val="24"/>
          <w:lang w:val="en-US" w:eastAsia="fr-FR"/>
        </w:rPr>
        <w:t xml:space="preserve">The study covered the entire </w:t>
      </w:r>
      <w:proofErr w:type="spellStart"/>
      <w:r w:rsidRPr="00613B11">
        <w:rPr>
          <w:rFonts w:ascii="Times New Roman" w:eastAsia="Times New Roman" w:hAnsi="Times New Roman" w:cs="Times New Roman"/>
          <w:bCs/>
          <w:sz w:val="24"/>
          <w:szCs w:val="24"/>
          <w:lang w:val="en-US" w:eastAsia="fr-FR"/>
        </w:rPr>
        <w:t>Batcham</w:t>
      </w:r>
      <w:proofErr w:type="spellEnd"/>
      <w:r w:rsidRPr="00613B11">
        <w:rPr>
          <w:rFonts w:ascii="Times New Roman" w:eastAsia="Times New Roman" w:hAnsi="Times New Roman" w:cs="Times New Roman"/>
          <w:bCs/>
          <w:sz w:val="24"/>
          <w:szCs w:val="24"/>
          <w:lang w:val="en-US" w:eastAsia="fr-FR"/>
        </w:rPr>
        <w:t xml:space="preserve"> Health District, located in the </w:t>
      </w:r>
      <w:proofErr w:type="spellStart"/>
      <w:r w:rsidRPr="00613B11">
        <w:rPr>
          <w:rFonts w:ascii="Times New Roman" w:eastAsia="Times New Roman" w:hAnsi="Times New Roman" w:cs="Times New Roman"/>
          <w:bCs/>
          <w:sz w:val="24"/>
          <w:szCs w:val="24"/>
          <w:lang w:val="en-US" w:eastAsia="fr-FR"/>
        </w:rPr>
        <w:t>Bamboutos</w:t>
      </w:r>
      <w:proofErr w:type="spellEnd"/>
      <w:r w:rsidRPr="00613B11">
        <w:rPr>
          <w:rFonts w:ascii="Times New Roman" w:eastAsia="Times New Roman" w:hAnsi="Times New Roman" w:cs="Times New Roman"/>
          <w:bCs/>
          <w:sz w:val="24"/>
          <w:szCs w:val="24"/>
          <w:lang w:val="en-US" w:eastAsia="fr-FR"/>
        </w:rPr>
        <w:t xml:space="preserve"> Division of the West Region, Cameroon. It is one of 20 health districts in the region. The district is predominantly rural, covering an area of 200 km², with a population of 90,686 inhabitants distributed across 137 communities, resulting in a density of 453 inhabitants/km².</w:t>
      </w:r>
    </w:p>
    <w:p w14:paraId="42A711CA" w14:textId="77777777" w:rsidR="00613B11" w:rsidRPr="00613B11" w:rsidRDefault="00613B11" w:rsidP="00613B11">
      <w:pPr>
        <w:spacing w:before="100" w:beforeAutospacing="1" w:after="100" w:afterAutospacing="1" w:line="360" w:lineRule="auto"/>
        <w:jc w:val="both"/>
        <w:rPr>
          <w:rFonts w:ascii="Times New Roman" w:eastAsia="Times New Roman" w:hAnsi="Times New Roman" w:cs="Times New Roman"/>
          <w:bCs/>
          <w:sz w:val="24"/>
          <w:szCs w:val="24"/>
          <w:lang w:val="en-US" w:eastAsia="fr-FR"/>
        </w:rPr>
      </w:pPr>
      <w:r w:rsidRPr="00613B11">
        <w:rPr>
          <w:rFonts w:ascii="Times New Roman" w:eastAsia="Times New Roman" w:hAnsi="Times New Roman" w:cs="Times New Roman"/>
          <w:bCs/>
          <w:sz w:val="24"/>
          <w:szCs w:val="24"/>
          <w:lang w:val="en-US" w:eastAsia="fr-FR"/>
        </w:rPr>
        <w:t>Its administrative boundaries are:</w:t>
      </w:r>
    </w:p>
    <w:p w14:paraId="1E6252BE" w14:textId="77777777" w:rsidR="00613B11" w:rsidRPr="00613B11" w:rsidRDefault="00613B11" w:rsidP="00613B11">
      <w:pPr>
        <w:numPr>
          <w:ilvl w:val="0"/>
          <w:numId w:val="21"/>
        </w:numPr>
        <w:spacing w:before="100" w:beforeAutospacing="1" w:after="100" w:afterAutospacing="1" w:line="360" w:lineRule="auto"/>
        <w:jc w:val="both"/>
        <w:rPr>
          <w:rFonts w:ascii="Times New Roman" w:eastAsia="Times New Roman" w:hAnsi="Times New Roman" w:cs="Times New Roman"/>
          <w:bCs/>
          <w:sz w:val="24"/>
          <w:szCs w:val="24"/>
          <w:lang w:val="en-US" w:eastAsia="fr-FR"/>
        </w:rPr>
      </w:pPr>
      <w:r w:rsidRPr="00613B11">
        <w:rPr>
          <w:rFonts w:ascii="Times New Roman" w:eastAsia="Times New Roman" w:hAnsi="Times New Roman" w:cs="Times New Roman"/>
          <w:bCs/>
          <w:sz w:val="24"/>
          <w:szCs w:val="24"/>
          <w:lang w:val="en-US" w:eastAsia="fr-FR"/>
        </w:rPr>
        <w:t xml:space="preserve">North and East: </w:t>
      </w:r>
      <w:proofErr w:type="spellStart"/>
      <w:r w:rsidRPr="00613B11">
        <w:rPr>
          <w:rFonts w:ascii="Times New Roman" w:eastAsia="Times New Roman" w:hAnsi="Times New Roman" w:cs="Times New Roman"/>
          <w:bCs/>
          <w:sz w:val="24"/>
          <w:szCs w:val="24"/>
          <w:lang w:val="en-US" w:eastAsia="fr-FR"/>
        </w:rPr>
        <w:t>Mbouda</w:t>
      </w:r>
      <w:proofErr w:type="spellEnd"/>
      <w:r w:rsidRPr="00613B11">
        <w:rPr>
          <w:rFonts w:ascii="Times New Roman" w:eastAsia="Times New Roman" w:hAnsi="Times New Roman" w:cs="Times New Roman"/>
          <w:bCs/>
          <w:sz w:val="24"/>
          <w:szCs w:val="24"/>
          <w:lang w:val="en-US" w:eastAsia="fr-FR"/>
        </w:rPr>
        <w:t xml:space="preserve"> Health District</w:t>
      </w:r>
    </w:p>
    <w:p w14:paraId="3D0D0D21" w14:textId="77777777" w:rsidR="00613B11" w:rsidRPr="00613B11" w:rsidRDefault="00613B11" w:rsidP="00613B11">
      <w:pPr>
        <w:numPr>
          <w:ilvl w:val="0"/>
          <w:numId w:val="21"/>
        </w:numPr>
        <w:spacing w:before="100" w:beforeAutospacing="1" w:after="100" w:afterAutospacing="1" w:line="360" w:lineRule="auto"/>
        <w:jc w:val="both"/>
        <w:rPr>
          <w:rFonts w:ascii="Times New Roman" w:eastAsia="Times New Roman" w:hAnsi="Times New Roman" w:cs="Times New Roman"/>
          <w:bCs/>
          <w:sz w:val="24"/>
          <w:szCs w:val="24"/>
          <w:lang w:val="en-US" w:eastAsia="fr-FR"/>
        </w:rPr>
      </w:pPr>
      <w:r w:rsidRPr="00613B11">
        <w:rPr>
          <w:rFonts w:ascii="Times New Roman" w:eastAsia="Times New Roman" w:hAnsi="Times New Roman" w:cs="Times New Roman"/>
          <w:bCs/>
          <w:sz w:val="24"/>
          <w:szCs w:val="24"/>
          <w:lang w:val="en-US" w:eastAsia="fr-FR"/>
        </w:rPr>
        <w:t>South: Penka Michel Health District</w:t>
      </w:r>
    </w:p>
    <w:p w14:paraId="38BD771E" w14:textId="77777777" w:rsidR="00613B11" w:rsidRPr="00613B11" w:rsidRDefault="00613B11" w:rsidP="00613B11">
      <w:pPr>
        <w:numPr>
          <w:ilvl w:val="0"/>
          <w:numId w:val="21"/>
        </w:numPr>
        <w:spacing w:before="100" w:beforeAutospacing="1" w:after="100" w:afterAutospacing="1" w:line="360" w:lineRule="auto"/>
        <w:jc w:val="both"/>
        <w:rPr>
          <w:rFonts w:ascii="Times New Roman" w:eastAsia="Times New Roman" w:hAnsi="Times New Roman" w:cs="Times New Roman"/>
          <w:bCs/>
          <w:sz w:val="24"/>
          <w:szCs w:val="24"/>
          <w:lang w:val="en-US" w:eastAsia="fr-FR"/>
        </w:rPr>
      </w:pPr>
      <w:r w:rsidRPr="00613B11">
        <w:rPr>
          <w:rFonts w:ascii="Times New Roman" w:eastAsia="Times New Roman" w:hAnsi="Times New Roman" w:cs="Times New Roman"/>
          <w:bCs/>
          <w:sz w:val="24"/>
          <w:szCs w:val="24"/>
          <w:lang w:val="en-US" w:eastAsia="fr-FR"/>
        </w:rPr>
        <w:t xml:space="preserve">West: </w:t>
      </w:r>
      <w:proofErr w:type="spellStart"/>
      <w:r w:rsidRPr="00613B11">
        <w:rPr>
          <w:rFonts w:ascii="Times New Roman" w:eastAsia="Times New Roman" w:hAnsi="Times New Roman" w:cs="Times New Roman"/>
          <w:bCs/>
          <w:sz w:val="24"/>
          <w:szCs w:val="24"/>
          <w:lang w:val="en-US" w:eastAsia="fr-FR"/>
        </w:rPr>
        <w:t>Dschang</w:t>
      </w:r>
      <w:proofErr w:type="spellEnd"/>
      <w:r w:rsidRPr="00613B11">
        <w:rPr>
          <w:rFonts w:ascii="Times New Roman" w:eastAsia="Times New Roman" w:hAnsi="Times New Roman" w:cs="Times New Roman"/>
          <w:bCs/>
          <w:sz w:val="24"/>
          <w:szCs w:val="24"/>
          <w:lang w:val="en-US" w:eastAsia="fr-FR"/>
        </w:rPr>
        <w:t xml:space="preserve"> Health District</w:t>
      </w:r>
    </w:p>
    <w:p w14:paraId="578F825A" w14:textId="55FF0914" w:rsidR="00613B11" w:rsidRPr="00613B11" w:rsidRDefault="00613B11" w:rsidP="00613B11">
      <w:pPr>
        <w:spacing w:before="100" w:beforeAutospacing="1" w:after="100" w:afterAutospacing="1" w:line="360" w:lineRule="auto"/>
        <w:jc w:val="both"/>
        <w:rPr>
          <w:rFonts w:ascii="Times New Roman" w:eastAsia="Times New Roman" w:hAnsi="Times New Roman" w:cs="Times New Roman"/>
          <w:bCs/>
          <w:sz w:val="24"/>
          <w:szCs w:val="24"/>
          <w:lang w:val="en-US" w:eastAsia="fr-FR"/>
        </w:rPr>
      </w:pPr>
      <w:r w:rsidRPr="00613B11">
        <w:rPr>
          <w:rFonts w:ascii="Times New Roman" w:eastAsia="Times New Roman" w:hAnsi="Times New Roman" w:cs="Times New Roman"/>
          <w:bCs/>
          <w:sz w:val="24"/>
          <w:szCs w:val="24"/>
          <w:lang w:val="en-US" w:eastAsia="fr-FR"/>
        </w:rPr>
        <w:t xml:space="preserve">The district is subdivided into 12 functional health areas, which together host 33 </w:t>
      </w:r>
      <w:proofErr w:type="spellStart"/>
      <w:r w:rsidR="0063592E" w:rsidRPr="00490927">
        <w:rPr>
          <w:rFonts w:ascii="Times New Roman" w:eastAsia="Times New Roman" w:hAnsi="Times New Roman" w:cs="Times New Roman"/>
          <w:bCs/>
          <w:sz w:val="24"/>
          <w:szCs w:val="24"/>
          <w:highlight w:val="yellow"/>
          <w:lang w:val="en-US" w:eastAsia="fr-FR"/>
        </w:rPr>
        <w:t>recognised</w:t>
      </w:r>
      <w:proofErr w:type="spellEnd"/>
      <w:r w:rsidR="0063592E" w:rsidRPr="00490927">
        <w:rPr>
          <w:rFonts w:ascii="Times New Roman" w:eastAsia="Times New Roman" w:hAnsi="Times New Roman" w:cs="Times New Roman"/>
          <w:bCs/>
          <w:sz w:val="24"/>
          <w:szCs w:val="24"/>
          <w:highlight w:val="yellow"/>
          <w:lang w:val="en-US" w:eastAsia="fr-FR"/>
        </w:rPr>
        <w:t xml:space="preserve"> </w:t>
      </w:r>
      <w:r w:rsidRPr="00613B11">
        <w:rPr>
          <w:rFonts w:ascii="Times New Roman" w:eastAsia="Times New Roman" w:hAnsi="Times New Roman" w:cs="Times New Roman"/>
          <w:bCs/>
          <w:sz w:val="24"/>
          <w:szCs w:val="24"/>
          <w:lang w:val="en-US" w:eastAsia="fr-FR"/>
        </w:rPr>
        <w:t xml:space="preserve">health facilities. These include 17 public facilities (15 Integrated Health </w:t>
      </w:r>
      <w:proofErr w:type="spellStart"/>
      <w:r w:rsidR="0063592E" w:rsidRPr="00490927">
        <w:rPr>
          <w:rFonts w:ascii="Times New Roman" w:eastAsia="Times New Roman" w:hAnsi="Times New Roman" w:cs="Times New Roman"/>
          <w:bCs/>
          <w:sz w:val="24"/>
          <w:szCs w:val="24"/>
          <w:highlight w:val="yellow"/>
          <w:lang w:val="en-US" w:eastAsia="fr-FR"/>
        </w:rPr>
        <w:t>Centres</w:t>
      </w:r>
      <w:proofErr w:type="spellEnd"/>
      <w:r w:rsidRPr="00613B11">
        <w:rPr>
          <w:rFonts w:ascii="Times New Roman" w:eastAsia="Times New Roman" w:hAnsi="Times New Roman" w:cs="Times New Roman"/>
          <w:bCs/>
          <w:sz w:val="24"/>
          <w:szCs w:val="24"/>
          <w:lang w:val="en-US" w:eastAsia="fr-FR"/>
        </w:rPr>
        <w:t xml:space="preserve">, 1 District Medical </w:t>
      </w:r>
      <w:r w:rsidR="0063592E" w:rsidRPr="00490927">
        <w:rPr>
          <w:rFonts w:ascii="Times New Roman" w:eastAsia="Times New Roman" w:hAnsi="Times New Roman" w:cs="Times New Roman"/>
          <w:bCs/>
          <w:sz w:val="24"/>
          <w:szCs w:val="24"/>
          <w:highlight w:val="yellow"/>
          <w:lang w:val="en-US" w:eastAsia="fr-FR"/>
        </w:rPr>
        <w:t>Centre</w:t>
      </w:r>
      <w:r w:rsidRPr="00613B11">
        <w:rPr>
          <w:rFonts w:ascii="Times New Roman" w:eastAsia="Times New Roman" w:hAnsi="Times New Roman" w:cs="Times New Roman"/>
          <w:bCs/>
          <w:sz w:val="24"/>
          <w:szCs w:val="24"/>
          <w:lang w:val="en-US" w:eastAsia="fr-FR"/>
        </w:rPr>
        <w:t xml:space="preserve">, and 1 District Hospital) and 16 private facilities (2 denominational Medical </w:t>
      </w:r>
      <w:proofErr w:type="spellStart"/>
      <w:r w:rsidR="0063592E" w:rsidRPr="00490927">
        <w:rPr>
          <w:rFonts w:ascii="Times New Roman" w:eastAsia="Times New Roman" w:hAnsi="Times New Roman" w:cs="Times New Roman"/>
          <w:bCs/>
          <w:sz w:val="24"/>
          <w:szCs w:val="24"/>
          <w:highlight w:val="yellow"/>
          <w:lang w:val="en-US" w:eastAsia="fr-FR"/>
        </w:rPr>
        <w:t>Centres</w:t>
      </w:r>
      <w:proofErr w:type="spellEnd"/>
      <w:r w:rsidRPr="00613B11">
        <w:rPr>
          <w:rFonts w:ascii="Times New Roman" w:eastAsia="Times New Roman" w:hAnsi="Times New Roman" w:cs="Times New Roman"/>
          <w:bCs/>
          <w:sz w:val="24"/>
          <w:szCs w:val="24"/>
          <w:lang w:val="en-US" w:eastAsia="fr-FR"/>
        </w:rPr>
        <w:t xml:space="preserve">, 2 private denominational Health </w:t>
      </w:r>
      <w:proofErr w:type="spellStart"/>
      <w:r w:rsidR="0063592E" w:rsidRPr="00490927">
        <w:rPr>
          <w:rFonts w:ascii="Times New Roman" w:eastAsia="Times New Roman" w:hAnsi="Times New Roman" w:cs="Times New Roman"/>
          <w:bCs/>
          <w:sz w:val="24"/>
          <w:szCs w:val="24"/>
          <w:highlight w:val="yellow"/>
          <w:lang w:val="en-US" w:eastAsia="fr-FR"/>
        </w:rPr>
        <w:t>Centres</w:t>
      </w:r>
      <w:proofErr w:type="spellEnd"/>
      <w:r w:rsidRPr="00613B11">
        <w:rPr>
          <w:rFonts w:ascii="Times New Roman" w:eastAsia="Times New Roman" w:hAnsi="Times New Roman" w:cs="Times New Roman"/>
          <w:bCs/>
          <w:sz w:val="24"/>
          <w:szCs w:val="24"/>
          <w:lang w:val="en-US" w:eastAsia="fr-FR"/>
        </w:rPr>
        <w:t xml:space="preserve">, and 14 private secular Health </w:t>
      </w:r>
      <w:proofErr w:type="spellStart"/>
      <w:r w:rsidR="0063592E" w:rsidRPr="00490927">
        <w:rPr>
          <w:rFonts w:ascii="Times New Roman" w:eastAsia="Times New Roman" w:hAnsi="Times New Roman" w:cs="Times New Roman"/>
          <w:bCs/>
          <w:sz w:val="24"/>
          <w:szCs w:val="24"/>
          <w:highlight w:val="yellow"/>
          <w:lang w:val="en-US" w:eastAsia="fr-FR"/>
        </w:rPr>
        <w:t>Centres</w:t>
      </w:r>
      <w:proofErr w:type="spellEnd"/>
      <w:r w:rsidRPr="00613B11">
        <w:rPr>
          <w:rFonts w:ascii="Times New Roman" w:eastAsia="Times New Roman" w:hAnsi="Times New Roman" w:cs="Times New Roman"/>
          <w:bCs/>
          <w:sz w:val="24"/>
          <w:szCs w:val="24"/>
          <w:lang w:val="en-US" w:eastAsia="fr-FR"/>
        </w:rPr>
        <w:t>).</w:t>
      </w:r>
    </w:p>
    <w:p w14:paraId="3788A956" w14:textId="77777777" w:rsidR="00613B11" w:rsidRPr="00613B11" w:rsidRDefault="00613B11" w:rsidP="00613B11">
      <w:pPr>
        <w:spacing w:before="100" w:beforeAutospacing="1" w:after="100" w:afterAutospacing="1" w:line="360" w:lineRule="auto"/>
        <w:jc w:val="both"/>
        <w:rPr>
          <w:rFonts w:ascii="Times New Roman" w:eastAsia="Times New Roman" w:hAnsi="Times New Roman" w:cs="Times New Roman"/>
          <w:bCs/>
          <w:sz w:val="24"/>
          <w:szCs w:val="24"/>
          <w:lang w:val="en-US" w:eastAsia="fr-FR"/>
        </w:rPr>
      </w:pPr>
      <w:r w:rsidRPr="00613B11">
        <w:rPr>
          <w:rFonts w:ascii="Times New Roman" w:eastAsia="Times New Roman" w:hAnsi="Times New Roman" w:cs="Times New Roman"/>
          <w:bCs/>
          <w:sz w:val="24"/>
          <w:szCs w:val="24"/>
          <w:lang w:val="en-US" w:eastAsia="fr-FR"/>
        </w:rPr>
        <w:t>The study population comprised male and female residents aged 5 years and above, who had been living in the district for at least six months prior to the survey. Exclusion criteria were: visitors, individuals unable to provide informed consent or assent, those whose legal guardians declined participation, and individuals with mental incapacity at the time of data collection.</w:t>
      </w:r>
    </w:p>
    <w:p w14:paraId="7E6F602E" w14:textId="340C242D" w:rsidR="0067647C" w:rsidRDefault="00B64F47" w:rsidP="00EF4E2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F4E22">
        <w:rPr>
          <w:rFonts w:ascii="Times New Roman" w:eastAsia="Times New Roman" w:hAnsi="Times New Roman" w:cs="Times New Roman"/>
          <w:b/>
          <w:bCs/>
          <w:sz w:val="24"/>
          <w:szCs w:val="24"/>
          <w:lang w:eastAsia="fr-FR"/>
        </w:rPr>
        <w:t>Sample size calculation</w:t>
      </w:r>
      <w:r w:rsidR="00DB3963" w:rsidRPr="00EF4E22">
        <w:rPr>
          <w:rFonts w:ascii="Times New Roman" w:eastAsia="Times New Roman" w:hAnsi="Times New Roman" w:cs="Times New Roman"/>
          <w:sz w:val="24"/>
          <w:szCs w:val="24"/>
          <w:lang w:eastAsia="fr-FR"/>
        </w:rPr>
        <w:t xml:space="preserve">. </w:t>
      </w:r>
      <w:r w:rsidR="006758B7" w:rsidRPr="00EF4E22">
        <w:rPr>
          <w:rFonts w:ascii="Times New Roman" w:eastAsia="Times New Roman" w:hAnsi="Times New Roman" w:cs="Times New Roman"/>
          <w:sz w:val="24"/>
          <w:szCs w:val="24"/>
          <w:lang w:eastAsia="fr-FR"/>
        </w:rPr>
        <w:fldChar w:fldCharType="begin"/>
      </w:r>
      <w:r w:rsidR="006931AF">
        <w:rPr>
          <w:rFonts w:ascii="Times New Roman" w:eastAsia="Times New Roman" w:hAnsi="Times New Roman" w:cs="Times New Roman"/>
          <w:sz w:val="24"/>
          <w:szCs w:val="24"/>
          <w:lang w:eastAsia="fr-FR"/>
        </w:rPr>
        <w:instrText xml:space="preserve"> ADDIN ZOTERO_ITEM CSL_CITATION {"citationID":"eA5ltgJ5","properties":{"formattedCitation":"(12)","plainCitation":"(12)","noteIndex":0},"citationItems":[{"id":"VnN5Np0i/QEzgi8P1","uris":["http://zotero.org/users/14492610/items/XIV37ZP6"],"itemData":{"id":668,"type":"article-journal","abstract":"BACKGROUND: Onchocerciasis can be effectively controlled as a public health problem by annual mass drug administration of ivermectin, but it was not known if ivermectin treatment in the long term would be able to achieve elimination of onchocerciasis infection and interruption of transmission in endemic areas in Africa. A recent study in Mali and Senegal has provided the first evidence of elimination after 15-17 years of treatment. Following this finding, the African Programme for Onchocerciasis Control (APOC) has started a systematic evaluation of the long-term impact of ivermectin treatment projects and the feasibility of elimination in APOC supported countries. This paper reports the first results for two onchocerciasis foci in Kaduna, Nigeria.\nMETHODS: In 2008, an epidemiological evaluation using skin snip parasitological diagnostic method was carried out in two onchocerciasis foci, in Birnin Gwari Local Government Area (LGA), and in the Kauru and Lere LGAs of Kaduna State, Nigeria. The survey was undertaken in 26 villages and examined 3,703 people above the age of one year. The result was compared with the baseline survey undertaken in 1987.\nRESULTS: The communities had received 15 to 17 years of ivermectin treatment with more than 75% reported coverage. For each surveyed community, comparable baseline data were available. Before treatment, the community prevalence of O. volvulus microfilaria in the skin ranged from 23.1% to 84.9%, with a median prevalence of 52.0%. After 15 to 17 years of treatment, the prevalence had fallen to 0% in all communities and all 3,703 examined individuals were skin snip negative.\nCONCLUSIONS: The results of the surveys confirm the finding in Senegal and Mali that ivermectin treatment alone can eliminate onchocerciasis infection and probably disease transmission in endemic foci in Africa. It is the first of such evidence for the APOC operational area.","container-title":"Parasites &amp; Vectors","DOI":"10.1186/1756-3305-5-28","ISSN":"1756-3305","journalAbbreviation":"Parasit Vectors","language":"eng","note":"PMID: 22313631\nPMCID: PMC3296569","page":"28","source":"PubMed","title":"Impact of long-term treatment of onchocerciasis with ivermectin in Kaduna State, Nigeria: first evidence of the potential for elimination in the operational area of the African Programme for Onchocerciasis Control","title-short":"Impact of long-term treatment of onchocerciasis with ivermectin in Kaduna State, Nigeria","volume":"5","author":[{"family":"Tekle","given":"Afework Hailemariam"},{"family":"Elhassan","given":"Elizabeth"},{"family":"Isiyaku","given":"Sunday"},{"family":"Amazigo","given":"Uche V."},{"family":"Bush","given":"Simon"},{"family":"Noma","given":"Mounkaila"},{"family":"Cousens","given":"Simon"},{"family":"Abiose","given":"Adenike"},{"family":"Remme","given":"Jan H."}],"issued":{"date-parts":[["2012",2,7]]}}}],"schema":"https://github.com/citation-style-language/schema/raw/master/csl-citation.json"} </w:instrText>
      </w:r>
      <w:r w:rsidR="006758B7" w:rsidRPr="00EF4E22">
        <w:rPr>
          <w:rFonts w:ascii="Times New Roman" w:eastAsia="Times New Roman" w:hAnsi="Times New Roman" w:cs="Times New Roman"/>
          <w:sz w:val="24"/>
          <w:szCs w:val="24"/>
          <w:lang w:eastAsia="fr-FR"/>
        </w:rPr>
        <w:fldChar w:fldCharType="separate"/>
      </w:r>
      <w:r w:rsidR="006931AF" w:rsidRPr="006931AF">
        <w:rPr>
          <w:rFonts w:ascii="Times New Roman" w:hAnsi="Times New Roman" w:cs="Times New Roman"/>
          <w:sz w:val="24"/>
        </w:rPr>
        <w:t>(12)</w:t>
      </w:r>
      <w:r w:rsidR="006758B7" w:rsidRPr="00EF4E22">
        <w:rPr>
          <w:rFonts w:ascii="Times New Roman" w:eastAsia="Times New Roman" w:hAnsi="Times New Roman" w:cs="Times New Roman"/>
          <w:sz w:val="24"/>
          <w:szCs w:val="24"/>
          <w:lang w:eastAsia="fr-FR"/>
        </w:rPr>
        <w:fldChar w:fldCharType="end"/>
      </w:r>
    </w:p>
    <w:p w14:paraId="11C9C4EB" w14:textId="77777777" w:rsidR="00B64F47" w:rsidRPr="00B64F47" w:rsidRDefault="00B64F47" w:rsidP="00EF4E2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64F47">
        <w:rPr>
          <w:rFonts w:ascii="Times New Roman" w:eastAsia="Times New Roman" w:hAnsi="Times New Roman" w:cs="Times New Roman"/>
          <w:sz w:val="24"/>
          <w:szCs w:val="24"/>
          <w:lang w:eastAsia="fr-FR"/>
        </w:rPr>
        <w:t>The parameters used were:</w:t>
      </w:r>
    </w:p>
    <w:p w14:paraId="049416C2" w14:textId="77777777" w:rsidR="00B64F47" w:rsidRPr="00B64F47" w:rsidRDefault="00B64F47" w:rsidP="00EF4E22">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64F47">
        <w:rPr>
          <w:rFonts w:ascii="Times New Roman" w:eastAsia="Times New Roman" w:hAnsi="Times New Roman" w:cs="Times New Roman"/>
          <w:sz w:val="24"/>
          <w:szCs w:val="24"/>
          <w:lang w:eastAsia="fr-FR"/>
        </w:rPr>
        <w:t>Expected coverage (P) = 80.5%;</w:t>
      </w:r>
    </w:p>
    <w:p w14:paraId="4039CA79" w14:textId="77777777" w:rsidR="00B64F47" w:rsidRPr="00B64F47" w:rsidRDefault="00B64F47" w:rsidP="00EF4E22">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64F47">
        <w:rPr>
          <w:rFonts w:ascii="Times New Roman" w:eastAsia="Times New Roman" w:hAnsi="Times New Roman" w:cs="Times New Roman"/>
          <w:sz w:val="24"/>
          <w:szCs w:val="24"/>
          <w:lang w:eastAsia="fr-FR"/>
        </w:rPr>
        <w:t>Precision at 95% CI (d) = 5%;</w:t>
      </w:r>
    </w:p>
    <w:p w14:paraId="04194E11" w14:textId="77777777" w:rsidR="00B64F47" w:rsidRPr="00B64F47" w:rsidRDefault="00B64F47" w:rsidP="00EF4E22">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64F47">
        <w:rPr>
          <w:rFonts w:ascii="Times New Roman" w:eastAsia="Times New Roman" w:hAnsi="Times New Roman" w:cs="Times New Roman"/>
          <w:sz w:val="24"/>
          <w:szCs w:val="24"/>
          <w:lang w:eastAsia="fr-FR"/>
        </w:rPr>
        <w:t>Critical value for a 95% confidence interval (Z) = 1.96;</w:t>
      </w:r>
    </w:p>
    <w:p w14:paraId="59D487F0" w14:textId="77777777" w:rsidR="00B64F47" w:rsidRPr="00B64F47" w:rsidRDefault="00B64F47" w:rsidP="00EF4E22">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64F47">
        <w:rPr>
          <w:rFonts w:ascii="Times New Roman" w:eastAsia="Times New Roman" w:hAnsi="Times New Roman" w:cs="Times New Roman"/>
          <w:sz w:val="24"/>
          <w:szCs w:val="24"/>
          <w:lang w:eastAsia="fr-FR"/>
        </w:rPr>
        <w:t>Design effect (k) = 3 (WHO recommendation);</w:t>
      </w:r>
    </w:p>
    <w:p w14:paraId="496FF102" w14:textId="77777777" w:rsidR="00B64F47" w:rsidRPr="00B64F47" w:rsidRDefault="00B64F47" w:rsidP="00EF4E22">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64F47">
        <w:rPr>
          <w:rFonts w:ascii="Times New Roman" w:eastAsia="Times New Roman" w:hAnsi="Times New Roman" w:cs="Times New Roman"/>
          <w:sz w:val="24"/>
          <w:szCs w:val="24"/>
          <w:lang w:eastAsia="fr-FR"/>
        </w:rPr>
        <w:t>Non-response rate (r) = 10%.</w:t>
      </w:r>
    </w:p>
    <w:p w14:paraId="667DA600" w14:textId="77777777" w:rsidR="00B64F47" w:rsidRPr="00EF4E22" w:rsidRDefault="00B64F47" w:rsidP="00EF4E2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64F47">
        <w:rPr>
          <w:rFonts w:ascii="Times New Roman" w:eastAsia="Times New Roman" w:hAnsi="Times New Roman" w:cs="Times New Roman"/>
          <w:sz w:val="24"/>
          <w:szCs w:val="24"/>
          <w:lang w:eastAsia="fr-FR"/>
        </w:rPr>
        <w:t>Formula:</w:t>
      </w:r>
    </w:p>
    <w:p w14:paraId="7D564AC1" w14:textId="77777777" w:rsidR="00DF56F5" w:rsidRPr="00EF4E22" w:rsidRDefault="00DF56F5" w:rsidP="00EF4E22">
      <w:pPr>
        <w:spacing w:line="360" w:lineRule="auto"/>
        <w:jc w:val="both"/>
        <w:rPr>
          <w:rFonts w:ascii="Times New Roman" w:hAnsi="Times New Roman" w:cs="Times New Roman"/>
          <w:color w:val="000000" w:themeColor="text1"/>
          <w:sz w:val="24"/>
          <w:szCs w:val="24"/>
        </w:rPr>
      </w:pPr>
      <m:oMath>
        <m:r>
          <m:rPr>
            <m:sty m:val="b"/>
          </m:rPr>
          <w:rPr>
            <w:rFonts w:ascii="Cambria Math" w:hAnsi="Cambria Math" w:cs="Times New Roman"/>
            <w:color w:val="000000" w:themeColor="text1"/>
            <w:sz w:val="24"/>
            <w:szCs w:val="24"/>
            <w:lang w:val="en-GB"/>
          </w:rPr>
          <m:t>n</m:t>
        </m:r>
        <m:r>
          <m:rPr>
            <m:sty m:val="b"/>
          </m:rPr>
          <w:rPr>
            <w:rFonts w:ascii="Cambria Math" w:hAnsi="Cambria Math" w:cs="Times New Roman"/>
            <w:color w:val="000000" w:themeColor="text1"/>
            <w:sz w:val="24"/>
            <w:szCs w:val="24"/>
          </w:rPr>
          <m:t>=</m:t>
        </m:r>
        <m:f>
          <m:fPr>
            <m:ctrlPr>
              <w:rPr>
                <w:rFonts w:ascii="Cambria Math" w:hAnsi="Cambria Math" w:cs="Times New Roman"/>
                <w:b/>
                <w:color w:val="000000" w:themeColor="text1"/>
                <w:sz w:val="24"/>
                <w:szCs w:val="24"/>
                <w:lang w:val="en-GB"/>
              </w:rPr>
            </m:ctrlPr>
          </m:fPr>
          <m:num>
            <m:r>
              <m:rPr>
                <m:sty m:val="b"/>
              </m:rPr>
              <w:rPr>
                <w:rFonts w:ascii="Cambria Math" w:eastAsia="SimSun" w:hAnsi="Cambria Math" w:cs="Times New Roman"/>
                <w:color w:val="000000" w:themeColor="text1"/>
                <w:sz w:val="24"/>
                <w:szCs w:val="24"/>
              </w:rPr>
              <m:t>(</m:t>
            </m:r>
            <m:r>
              <m:rPr>
                <m:sty m:val="b"/>
              </m:rPr>
              <w:rPr>
                <w:rFonts w:ascii="Cambria Math" w:eastAsia="SimSun" w:hAnsi="Cambria Math" w:cs="Times New Roman"/>
                <w:color w:val="000000" w:themeColor="text1"/>
                <w:sz w:val="24"/>
                <w:szCs w:val="24"/>
                <w:lang w:val="en-GB"/>
              </w:rPr>
              <m:t>k</m:t>
            </m:r>
            <m:r>
              <m:rPr>
                <m:sty m:val="b"/>
              </m:rPr>
              <w:rPr>
                <w:rFonts w:ascii="Cambria Math" w:eastAsia="SimSun" w:hAnsi="Cambria Math" w:cs="Times New Roman"/>
                <w:color w:val="000000" w:themeColor="text1"/>
                <w:sz w:val="24"/>
                <w:szCs w:val="24"/>
              </w:rPr>
              <m:t xml:space="preserve">) </m:t>
            </m:r>
            <m:r>
              <m:rPr>
                <m:sty m:val="b"/>
              </m:rPr>
              <w:rPr>
                <w:rFonts w:ascii="Cambria Math" w:eastAsia="SimSun" w:hAnsi="Cambria Math" w:cs="Times New Roman"/>
                <w:color w:val="000000" w:themeColor="text1"/>
                <w:sz w:val="24"/>
                <w:szCs w:val="24"/>
                <w:lang w:val="en-GB"/>
              </w:rPr>
              <m:t>Z</m:t>
            </m:r>
            <m:r>
              <m:rPr>
                <m:sty m:val="b"/>
              </m:rPr>
              <w:rPr>
                <w:rFonts w:ascii="Cambria Math" w:eastAsia="SimSun" w:hAnsi="Cambria Math" w:cs="Times New Roman"/>
                <w:color w:val="000000" w:themeColor="text1"/>
                <w:sz w:val="24"/>
                <w:szCs w:val="24"/>
              </w:rPr>
              <m:t>²</m:t>
            </m:r>
            <m:r>
              <m:rPr>
                <m:sty m:val="b"/>
              </m:rPr>
              <w:rPr>
                <w:rFonts w:ascii="Cambria Math" w:hAnsi="Cambria Math" w:cs="Times New Roman"/>
                <w:color w:val="000000" w:themeColor="text1"/>
                <w:sz w:val="24"/>
                <w:szCs w:val="24"/>
                <w:lang w:val="en-GB"/>
              </w:rPr>
              <m:t>α</m:t>
            </m:r>
            <m:r>
              <m:rPr>
                <m:sty m:val="b"/>
              </m:rPr>
              <w:rPr>
                <w:rFonts w:ascii="Cambria Math" w:hAnsi="Cambria Math" w:cs="Times New Roman"/>
                <w:color w:val="000000" w:themeColor="text1"/>
                <w:sz w:val="24"/>
                <w:szCs w:val="24"/>
              </w:rPr>
              <m:t> (</m:t>
            </m:r>
            <m:r>
              <m:rPr>
                <m:sty m:val="b"/>
              </m:rPr>
              <w:rPr>
                <w:rFonts w:ascii="Cambria Math" w:hAnsi="Cambria Math" w:cs="Times New Roman"/>
                <w:color w:val="000000" w:themeColor="text1"/>
                <w:sz w:val="24"/>
                <w:szCs w:val="24"/>
                <w:lang w:val="en-GB"/>
              </w:rPr>
              <m:t>P</m:t>
            </m:r>
            <m:r>
              <m:rPr>
                <m:sty m:val="b"/>
              </m:rPr>
              <w:rPr>
                <w:rFonts w:ascii="Cambria Math" w:hAnsi="Cambria Math" w:cs="Times New Roman"/>
                <w:color w:val="000000" w:themeColor="text1"/>
                <w:sz w:val="24"/>
                <w:szCs w:val="24"/>
              </w:rPr>
              <m:t>) (</m:t>
            </m:r>
            <m:r>
              <m:rPr>
                <m:sty m:val="b"/>
              </m:rPr>
              <w:rPr>
                <w:rFonts w:ascii="Cambria Math" w:hAnsi="Cambria Math" w:cs="Times New Roman"/>
                <w:color w:val="000000" w:themeColor="text1"/>
                <w:sz w:val="24"/>
                <w:szCs w:val="24"/>
                <w:lang w:val="en-GB"/>
              </w:rPr>
              <m:t>1</m:t>
            </m:r>
            <m:r>
              <m:rPr>
                <m:sty m:val="b"/>
              </m:rPr>
              <w:rPr>
                <w:rFonts w:ascii="Cambria Math" w:hAnsi="Cambria Math" w:cs="Times New Roman"/>
                <w:color w:val="000000" w:themeColor="text1"/>
                <w:sz w:val="24"/>
                <w:szCs w:val="24"/>
              </w:rPr>
              <m:t>-</m:t>
            </m:r>
            <m:r>
              <m:rPr>
                <m:sty m:val="b"/>
              </m:rPr>
              <w:rPr>
                <w:rFonts w:ascii="Cambria Math" w:hAnsi="Cambria Math" w:cs="Times New Roman"/>
                <w:color w:val="000000" w:themeColor="text1"/>
                <w:sz w:val="24"/>
                <w:szCs w:val="24"/>
                <w:lang w:val="en-GB"/>
              </w:rPr>
              <m:t>P</m:t>
            </m:r>
            <m:r>
              <m:rPr>
                <m:sty m:val="b"/>
              </m:rPr>
              <w:rPr>
                <w:rFonts w:ascii="Cambria Math" w:hAnsi="Cambria Math" w:cs="Times New Roman"/>
                <w:color w:val="000000" w:themeColor="text1"/>
                <w:sz w:val="24"/>
                <w:szCs w:val="24"/>
              </w:rPr>
              <m:t xml:space="preserve">) </m:t>
            </m:r>
          </m:num>
          <m:den>
            <m:r>
              <m:rPr>
                <m:sty m:val="b"/>
              </m:rPr>
              <w:rPr>
                <w:rFonts w:ascii="Cambria Math" w:eastAsia="SimSun" w:hAnsi="Cambria Math" w:cs="Times New Roman"/>
                <w:color w:val="000000" w:themeColor="text1"/>
                <w:sz w:val="24"/>
                <w:szCs w:val="24"/>
              </w:rPr>
              <m:t>(</m:t>
            </m:r>
            <m:r>
              <m:rPr>
                <m:sty m:val="b"/>
              </m:rPr>
              <w:rPr>
                <w:rFonts w:ascii="Cambria Math" w:eastAsia="SimSun" w:hAnsi="Cambria Math" w:cs="Times New Roman"/>
                <w:color w:val="000000" w:themeColor="text1"/>
                <w:sz w:val="24"/>
                <w:szCs w:val="24"/>
                <w:lang w:val="en-GB"/>
              </w:rPr>
              <m:t>1</m:t>
            </m:r>
            <m:r>
              <m:rPr>
                <m:sty m:val="b"/>
              </m:rPr>
              <w:rPr>
                <w:rFonts w:ascii="Cambria Math" w:eastAsia="SimSun" w:hAnsi="Cambria Math" w:cs="Times New Roman"/>
                <w:color w:val="000000" w:themeColor="text1"/>
                <w:sz w:val="24"/>
                <w:szCs w:val="24"/>
              </w:rPr>
              <m:t>-</m:t>
            </m:r>
            <m:r>
              <m:rPr>
                <m:sty m:val="b"/>
              </m:rPr>
              <w:rPr>
                <w:rFonts w:ascii="Cambria Math" w:eastAsia="SimSun" w:hAnsi="Cambria Math" w:cs="Times New Roman"/>
                <w:color w:val="000000" w:themeColor="text1"/>
                <w:sz w:val="24"/>
                <w:szCs w:val="24"/>
                <w:lang w:val="en-GB"/>
              </w:rPr>
              <m:t>r</m:t>
            </m:r>
            <m:r>
              <m:rPr>
                <m:sty m:val="b"/>
              </m:rPr>
              <w:rPr>
                <w:rFonts w:ascii="Cambria Math" w:eastAsia="SimSun" w:hAnsi="Cambria Math" w:cs="Times New Roman"/>
                <w:color w:val="000000" w:themeColor="text1"/>
                <w:sz w:val="24"/>
                <w:szCs w:val="24"/>
              </w:rPr>
              <m:t>)</m:t>
            </m:r>
            <m:r>
              <m:rPr>
                <m:sty m:val="b"/>
              </m:rPr>
              <w:rPr>
                <w:rFonts w:ascii="Cambria Math" w:eastAsia="SimSun" w:hAnsi="Cambria Math" w:cs="Times New Roman"/>
                <w:color w:val="000000" w:themeColor="text1"/>
                <w:sz w:val="24"/>
                <w:szCs w:val="24"/>
                <w:lang w:val="en-GB"/>
              </w:rPr>
              <m:t>d</m:t>
            </m:r>
            <m:r>
              <m:rPr>
                <m:sty m:val="b"/>
              </m:rPr>
              <w:rPr>
                <w:rFonts w:ascii="Cambria Math" w:eastAsia="SimSun" w:hAnsi="Cambria Math" w:cs="Times New Roman"/>
                <w:color w:val="000000" w:themeColor="text1"/>
                <w:sz w:val="24"/>
                <w:szCs w:val="24"/>
              </w:rPr>
              <m:t>²</m:t>
            </m:r>
          </m:den>
        </m:f>
      </m:oMath>
      <w:r w:rsidRPr="00EF4E22">
        <w:rPr>
          <w:rFonts w:ascii="Times New Roman" w:eastAsiaTheme="minorEastAsia" w:hAnsi="Times New Roman" w:cs="Times New Roman"/>
          <w:b/>
          <w:color w:val="000000" w:themeColor="text1"/>
          <w:sz w:val="24"/>
          <w:szCs w:val="24"/>
        </w:rPr>
        <w:t xml:space="preserve">    </w:t>
      </w:r>
    </w:p>
    <w:p w14:paraId="727EB882" w14:textId="77777777" w:rsidR="00DF56F5" w:rsidRPr="00B64F47" w:rsidRDefault="00DF56F5" w:rsidP="00EF4E22">
      <w:pPr>
        <w:spacing w:line="360" w:lineRule="auto"/>
        <w:jc w:val="both"/>
        <w:rPr>
          <w:rFonts w:ascii="Times New Roman" w:hAnsi="Times New Roman" w:cs="Times New Roman"/>
          <w:color w:val="000000" w:themeColor="text1"/>
          <w:sz w:val="24"/>
          <w:szCs w:val="24"/>
        </w:rPr>
      </w:pPr>
      <m:oMath>
        <m:r>
          <m:rPr>
            <m:sty m:val="b"/>
          </m:rPr>
          <w:rPr>
            <w:rFonts w:ascii="Cambria Math" w:hAnsi="Cambria Math" w:cs="Times New Roman"/>
            <w:color w:val="000000" w:themeColor="text1"/>
            <w:sz w:val="24"/>
            <w:szCs w:val="24"/>
            <w:lang w:val="en-GB"/>
          </w:rPr>
          <w:lastRenderedPageBreak/>
          <m:t>n</m:t>
        </m:r>
        <m:r>
          <m:rPr>
            <m:sty m:val="b"/>
          </m:rPr>
          <w:rPr>
            <w:rFonts w:ascii="Cambria Math" w:hAnsi="Cambria Math" w:cs="Times New Roman"/>
            <w:color w:val="000000" w:themeColor="text1"/>
            <w:sz w:val="24"/>
            <w:szCs w:val="24"/>
          </w:rPr>
          <m:t>=</m:t>
        </m:r>
        <m:f>
          <m:fPr>
            <m:ctrlPr>
              <w:rPr>
                <w:rFonts w:ascii="Cambria Math" w:hAnsi="Cambria Math" w:cs="Times New Roman"/>
                <w:b/>
                <w:color w:val="000000" w:themeColor="text1"/>
                <w:sz w:val="24"/>
                <w:szCs w:val="24"/>
                <w:lang w:val="en-GB"/>
              </w:rPr>
            </m:ctrlPr>
          </m:fPr>
          <m:num>
            <m:r>
              <m:rPr>
                <m:sty m:val="b"/>
              </m:rPr>
              <w:rPr>
                <w:rFonts w:ascii="Cambria Math" w:eastAsia="SimSun" w:hAnsi="Cambria Math" w:cs="Times New Roman"/>
                <w:color w:val="000000" w:themeColor="text1"/>
                <w:sz w:val="24"/>
                <w:szCs w:val="24"/>
              </w:rPr>
              <m:t xml:space="preserve"> (</m:t>
            </m:r>
            <m:r>
              <m:rPr>
                <m:sty m:val="b"/>
              </m:rPr>
              <w:rPr>
                <w:rFonts w:ascii="Cambria Math" w:eastAsia="SimSun" w:hAnsi="Cambria Math" w:cs="Times New Roman"/>
                <w:color w:val="000000" w:themeColor="text1"/>
                <w:sz w:val="24"/>
                <w:szCs w:val="24"/>
                <w:lang w:val="en-GB"/>
              </w:rPr>
              <m:t>3</m:t>
            </m:r>
            <m:r>
              <m:rPr>
                <m:sty m:val="b"/>
              </m:rPr>
              <w:rPr>
                <w:rFonts w:ascii="Cambria Math" w:eastAsia="SimSun" w:hAnsi="Cambria Math" w:cs="Times New Roman"/>
                <w:color w:val="000000" w:themeColor="text1"/>
                <w:sz w:val="24"/>
                <w:szCs w:val="24"/>
              </w:rPr>
              <m:t>)(</m:t>
            </m:r>
            <m:r>
              <m:rPr>
                <m:sty m:val="b"/>
              </m:rPr>
              <w:rPr>
                <w:rFonts w:ascii="Cambria Math" w:eastAsia="SimSun" w:hAnsi="Cambria Math" w:cs="Times New Roman"/>
                <w:color w:val="000000" w:themeColor="text1"/>
                <w:sz w:val="24"/>
                <w:szCs w:val="24"/>
                <w:lang w:val="en-GB"/>
              </w:rPr>
              <m:t>1</m:t>
            </m:r>
            <m:r>
              <m:rPr>
                <m:sty m:val="b"/>
              </m:rPr>
              <w:rPr>
                <w:rFonts w:ascii="Cambria Math" w:eastAsia="SimSun" w:hAnsi="Cambria Math" w:cs="Times New Roman"/>
                <w:color w:val="000000" w:themeColor="text1"/>
                <w:sz w:val="24"/>
                <w:szCs w:val="24"/>
              </w:rPr>
              <m:t>,</m:t>
            </m:r>
            <m:r>
              <m:rPr>
                <m:sty m:val="b"/>
              </m:rPr>
              <w:rPr>
                <w:rFonts w:ascii="Cambria Math" w:eastAsia="SimSun" w:hAnsi="Cambria Math" w:cs="Times New Roman"/>
                <w:color w:val="000000" w:themeColor="text1"/>
                <w:sz w:val="24"/>
                <w:szCs w:val="24"/>
                <w:lang w:val="en-GB"/>
              </w:rPr>
              <m:t>9</m:t>
            </m:r>
            <m:sSup>
              <m:sSupPr>
                <m:ctrlPr>
                  <w:rPr>
                    <w:rFonts w:ascii="Cambria Math" w:eastAsia="SimSun" w:hAnsi="Cambria Math" w:cs="Times New Roman"/>
                    <w:b/>
                    <w:color w:val="000000" w:themeColor="text1"/>
                    <w:sz w:val="24"/>
                    <w:szCs w:val="24"/>
                    <w:lang w:val="en-GB"/>
                  </w:rPr>
                </m:ctrlPr>
              </m:sSupPr>
              <m:e>
                <m:r>
                  <m:rPr>
                    <m:sty m:val="b"/>
                  </m:rPr>
                  <w:rPr>
                    <w:rFonts w:ascii="Cambria Math" w:eastAsia="SimSun" w:hAnsi="Cambria Math" w:cs="Times New Roman"/>
                    <w:color w:val="000000" w:themeColor="text1"/>
                    <w:sz w:val="24"/>
                    <w:szCs w:val="24"/>
                    <w:lang w:val="en-GB"/>
                  </w:rPr>
                  <m:t>6</m:t>
                </m:r>
              </m:e>
              <m:sup>
                <m:r>
                  <m:rPr>
                    <m:sty m:val="b"/>
                  </m:rPr>
                  <w:rPr>
                    <w:rFonts w:ascii="Cambria Math" w:eastAsia="SimSun" w:hAnsi="Cambria Math" w:cs="Times New Roman"/>
                    <w:color w:val="000000" w:themeColor="text1"/>
                    <w:sz w:val="24"/>
                    <w:szCs w:val="24"/>
                    <w:lang w:val="en-GB"/>
                  </w:rPr>
                  <m:t>2</m:t>
                </m:r>
              </m:sup>
            </m:sSup>
            <m:r>
              <m:rPr>
                <m:sty m:val="b"/>
              </m:rPr>
              <w:rPr>
                <w:rFonts w:ascii="Cambria Math" w:eastAsia="SimSun" w:hAnsi="Cambria Math" w:cs="Times New Roman"/>
                <w:color w:val="000000" w:themeColor="text1"/>
                <w:sz w:val="24"/>
                <w:szCs w:val="24"/>
              </w:rPr>
              <m:t>)(</m:t>
            </m:r>
            <m:r>
              <m:rPr>
                <m:sty m:val="b"/>
              </m:rPr>
              <w:rPr>
                <w:rFonts w:ascii="Cambria Math" w:eastAsia="SimSun" w:hAnsi="Cambria Math" w:cs="Times New Roman"/>
                <w:color w:val="000000" w:themeColor="text1"/>
                <w:sz w:val="24"/>
                <w:szCs w:val="24"/>
                <w:lang w:val="en-GB"/>
              </w:rPr>
              <m:t>0</m:t>
            </m:r>
            <m:r>
              <m:rPr>
                <m:sty m:val="b"/>
              </m:rPr>
              <w:rPr>
                <w:rFonts w:ascii="Cambria Math" w:eastAsia="SimSun" w:hAnsi="Cambria Math" w:cs="Times New Roman"/>
                <w:color w:val="000000" w:themeColor="text1"/>
                <w:sz w:val="24"/>
                <w:szCs w:val="24"/>
              </w:rPr>
              <m:t>,</m:t>
            </m:r>
            <m:r>
              <m:rPr>
                <m:sty m:val="b"/>
              </m:rPr>
              <w:rPr>
                <w:rFonts w:ascii="Cambria Math" w:hAnsi="Cambria Math" w:cs="Times New Roman"/>
                <w:color w:val="000000" w:themeColor="text1"/>
                <w:sz w:val="24"/>
                <w:szCs w:val="24"/>
              </w:rPr>
              <m:t xml:space="preserve"> </m:t>
            </m:r>
            <m:r>
              <m:rPr>
                <m:sty m:val="b"/>
              </m:rPr>
              <w:rPr>
                <w:rFonts w:ascii="Cambria Math" w:hAnsi="Cambria Math" w:cs="Times New Roman"/>
                <w:color w:val="000000" w:themeColor="text1"/>
                <w:sz w:val="24"/>
                <w:szCs w:val="24"/>
                <w:lang w:val="en-GB"/>
              </w:rPr>
              <m:t>805</m:t>
            </m:r>
            <m:r>
              <m:rPr>
                <m:sty m:val="b"/>
              </m:rPr>
              <w:rPr>
                <w:rFonts w:ascii="Cambria Math" w:hAnsi="Cambria Math" w:cs="Times New Roman"/>
                <w:color w:val="000000" w:themeColor="text1"/>
                <w:sz w:val="24"/>
                <w:szCs w:val="24"/>
              </w:rPr>
              <m:t>)(</m:t>
            </m:r>
            <m:r>
              <m:rPr>
                <m:sty m:val="b"/>
              </m:rPr>
              <w:rPr>
                <w:rFonts w:ascii="Cambria Math" w:hAnsi="Cambria Math" w:cs="Times New Roman"/>
                <w:color w:val="000000" w:themeColor="text1"/>
                <w:sz w:val="24"/>
                <w:szCs w:val="24"/>
                <w:lang w:val="en-GB"/>
              </w:rPr>
              <m:t>1</m:t>
            </m:r>
            <m:r>
              <m:rPr>
                <m:sty m:val="b"/>
              </m:rPr>
              <w:rPr>
                <w:rFonts w:ascii="Cambria Math" w:hAnsi="Cambria Math" w:cs="Times New Roman"/>
                <w:color w:val="000000" w:themeColor="text1"/>
                <w:sz w:val="24"/>
                <w:szCs w:val="24"/>
              </w:rPr>
              <m:t>-</m:t>
            </m:r>
            <m:r>
              <m:rPr>
                <m:sty m:val="b"/>
              </m:rPr>
              <w:rPr>
                <w:rFonts w:ascii="Cambria Math" w:hAnsi="Cambria Math" w:cs="Times New Roman"/>
                <w:color w:val="000000" w:themeColor="text1"/>
                <w:sz w:val="24"/>
                <w:szCs w:val="24"/>
                <w:lang w:val="en-GB"/>
              </w:rPr>
              <m:t>0</m:t>
            </m:r>
            <m:r>
              <m:rPr>
                <m:sty m:val="b"/>
              </m:rPr>
              <w:rPr>
                <w:rFonts w:ascii="Cambria Math" w:hAnsi="Cambria Math" w:cs="Times New Roman"/>
                <w:color w:val="000000" w:themeColor="text1"/>
                <w:sz w:val="24"/>
                <w:szCs w:val="24"/>
              </w:rPr>
              <m:t>,</m:t>
            </m:r>
            <m:r>
              <m:rPr>
                <m:sty m:val="b"/>
              </m:rPr>
              <w:rPr>
                <w:rFonts w:ascii="Cambria Math" w:hAnsi="Cambria Math" w:cs="Times New Roman"/>
                <w:color w:val="000000" w:themeColor="text1"/>
                <w:sz w:val="24"/>
                <w:szCs w:val="24"/>
                <w:lang w:val="en-GB"/>
              </w:rPr>
              <m:t>805</m:t>
            </m:r>
            <m:r>
              <m:rPr>
                <m:sty m:val="b"/>
              </m:rPr>
              <w:rPr>
                <w:rFonts w:ascii="Cambria Math" w:hAnsi="Cambria Math" w:cs="Times New Roman"/>
                <w:color w:val="000000" w:themeColor="text1"/>
                <w:sz w:val="24"/>
                <w:szCs w:val="24"/>
              </w:rPr>
              <m:t xml:space="preserve">) </m:t>
            </m:r>
          </m:num>
          <m:den>
            <m:r>
              <m:rPr>
                <m:sty m:val="b"/>
              </m:rPr>
              <w:rPr>
                <w:rFonts w:ascii="Cambria Math" w:eastAsia="SimSun" w:hAnsi="Cambria Math" w:cs="Times New Roman"/>
                <w:color w:val="000000" w:themeColor="text1"/>
                <w:sz w:val="24"/>
                <w:szCs w:val="24"/>
                <w:lang w:val="en-GB"/>
              </w:rPr>
              <m:t>0</m:t>
            </m:r>
            <m:r>
              <m:rPr>
                <m:sty m:val="b"/>
              </m:rPr>
              <w:rPr>
                <w:rFonts w:ascii="Cambria Math" w:eastAsia="SimSun" w:hAnsi="Cambria Math" w:cs="Times New Roman"/>
                <w:color w:val="000000" w:themeColor="text1"/>
                <w:sz w:val="24"/>
                <w:szCs w:val="24"/>
              </w:rPr>
              <m:t>,</m:t>
            </m:r>
            <m:r>
              <m:rPr>
                <m:sty m:val="b"/>
              </m:rPr>
              <w:rPr>
                <w:rFonts w:ascii="Cambria Math" w:eastAsia="SimSun" w:hAnsi="Cambria Math" w:cs="Times New Roman"/>
                <w:color w:val="000000" w:themeColor="text1"/>
                <w:sz w:val="24"/>
                <w:szCs w:val="24"/>
                <w:lang w:val="en-GB"/>
              </w:rPr>
              <m:t>05</m:t>
            </m:r>
            <m:r>
              <m:rPr>
                <m:sty m:val="b"/>
              </m:rPr>
              <w:rPr>
                <w:rFonts w:ascii="Cambria Math" w:eastAsia="SimSun" w:hAnsi="Cambria Math" w:cs="Times New Roman"/>
                <w:color w:val="000000" w:themeColor="text1"/>
                <w:sz w:val="24"/>
                <w:szCs w:val="24"/>
              </w:rPr>
              <m:t>²(</m:t>
            </m:r>
            <m:r>
              <m:rPr>
                <m:sty m:val="b"/>
              </m:rPr>
              <w:rPr>
                <w:rFonts w:ascii="Cambria Math" w:eastAsia="SimSun" w:hAnsi="Cambria Math" w:cs="Times New Roman"/>
                <w:color w:val="000000" w:themeColor="text1"/>
                <w:sz w:val="24"/>
                <w:szCs w:val="24"/>
                <w:lang w:val="en-GB"/>
              </w:rPr>
              <m:t>1</m:t>
            </m:r>
            <m:r>
              <m:rPr>
                <m:sty m:val="b"/>
              </m:rPr>
              <w:rPr>
                <w:rFonts w:ascii="Cambria Math" w:eastAsia="SimSun" w:hAnsi="Cambria Math" w:cs="Times New Roman"/>
                <w:color w:val="000000" w:themeColor="text1"/>
                <w:sz w:val="24"/>
                <w:szCs w:val="24"/>
              </w:rPr>
              <m:t>-</m:t>
            </m:r>
            <m:r>
              <m:rPr>
                <m:sty m:val="b"/>
              </m:rPr>
              <w:rPr>
                <w:rFonts w:ascii="Cambria Math" w:eastAsia="SimSun" w:hAnsi="Cambria Math" w:cs="Times New Roman"/>
                <w:color w:val="000000" w:themeColor="text1"/>
                <w:sz w:val="24"/>
                <w:szCs w:val="24"/>
                <w:lang w:val="en-GB"/>
              </w:rPr>
              <m:t>0</m:t>
            </m:r>
            <m:r>
              <m:rPr>
                <m:sty m:val="b"/>
              </m:rPr>
              <w:rPr>
                <w:rFonts w:ascii="Cambria Math" w:eastAsia="SimSun" w:hAnsi="Cambria Math" w:cs="Times New Roman"/>
                <w:color w:val="000000" w:themeColor="text1"/>
                <w:sz w:val="24"/>
                <w:szCs w:val="24"/>
              </w:rPr>
              <m:t>.</m:t>
            </m:r>
            <m:r>
              <m:rPr>
                <m:sty m:val="b"/>
              </m:rPr>
              <w:rPr>
                <w:rFonts w:ascii="Cambria Math" w:eastAsia="SimSun" w:hAnsi="Cambria Math" w:cs="Times New Roman"/>
                <w:color w:val="000000" w:themeColor="text1"/>
                <w:sz w:val="24"/>
                <w:szCs w:val="24"/>
                <w:lang w:val="en-GB"/>
              </w:rPr>
              <m:t>1</m:t>
            </m:r>
            <m:r>
              <m:rPr>
                <m:sty m:val="b"/>
              </m:rPr>
              <w:rPr>
                <w:rFonts w:ascii="Cambria Math" w:eastAsia="SimSun" w:hAnsi="Cambria Math" w:cs="Times New Roman"/>
                <w:color w:val="000000" w:themeColor="text1"/>
                <w:sz w:val="24"/>
                <w:szCs w:val="24"/>
              </w:rPr>
              <m:t>)</m:t>
            </m:r>
          </m:den>
        </m:f>
      </m:oMath>
      <w:r w:rsidRPr="00EF4E22">
        <w:rPr>
          <w:rFonts w:ascii="Times New Roman" w:eastAsiaTheme="minorEastAsia" w:hAnsi="Times New Roman" w:cs="Times New Roman"/>
          <w:b/>
          <w:color w:val="000000" w:themeColor="text1"/>
          <w:sz w:val="24"/>
          <w:szCs w:val="24"/>
        </w:rPr>
        <w:t xml:space="preserve">  </w:t>
      </w:r>
    </w:p>
    <w:p w14:paraId="027950BC" w14:textId="77777777" w:rsidR="00B64F47" w:rsidRPr="00B64F47" w:rsidRDefault="00B64F47" w:rsidP="00EF4E2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64F47">
        <w:rPr>
          <w:rFonts w:ascii="Times New Roman" w:eastAsia="Times New Roman" w:hAnsi="Times New Roman" w:cs="Times New Roman"/>
          <w:sz w:val="24"/>
          <w:szCs w:val="24"/>
          <w:lang w:eastAsia="fr-FR"/>
        </w:rPr>
        <w:t>The minimum size required was therefore 804 individuals.</w:t>
      </w:r>
    </w:p>
    <w:p w14:paraId="031AF95E" w14:textId="77777777" w:rsidR="00B64F47" w:rsidRPr="00B64F47" w:rsidRDefault="00B64F47" w:rsidP="00EF4E2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F4E22">
        <w:rPr>
          <w:rFonts w:ascii="Times New Roman" w:eastAsia="Times New Roman" w:hAnsi="Times New Roman" w:cs="Times New Roman"/>
          <w:b/>
          <w:bCs/>
          <w:sz w:val="24"/>
          <w:szCs w:val="24"/>
          <w:lang w:eastAsia="fr-FR"/>
        </w:rPr>
        <w:t>Estimated number of people per household</w:t>
      </w:r>
      <w:r w:rsidR="00B3192A" w:rsidRPr="00EF4E22">
        <w:rPr>
          <w:rFonts w:ascii="Times New Roman" w:eastAsia="Times New Roman" w:hAnsi="Times New Roman" w:cs="Times New Roman"/>
          <w:sz w:val="24"/>
          <w:szCs w:val="24"/>
          <w:lang w:eastAsia="fr-FR"/>
        </w:rPr>
        <w:t xml:space="preserve"> </w:t>
      </w:r>
    </w:p>
    <w:p w14:paraId="3CDD400D" w14:textId="77777777" w:rsidR="00B64F47" w:rsidRPr="00B64F47" w:rsidRDefault="00B64F47" w:rsidP="00EF4E22">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64F47">
        <w:rPr>
          <w:rFonts w:ascii="Times New Roman" w:eastAsia="Times New Roman" w:hAnsi="Times New Roman" w:cs="Times New Roman"/>
          <w:sz w:val="24"/>
          <w:szCs w:val="24"/>
          <w:lang w:eastAsia="fr-FR"/>
        </w:rPr>
        <w:t>Proportion of population in target age group (a): 80%;</w:t>
      </w:r>
    </w:p>
    <w:p w14:paraId="0EEF0657" w14:textId="77777777" w:rsidR="00B64F47" w:rsidRPr="00B64F47" w:rsidRDefault="00B64F47" w:rsidP="00EF4E22">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64F47">
        <w:rPr>
          <w:rFonts w:ascii="Times New Roman" w:eastAsia="Times New Roman" w:hAnsi="Times New Roman" w:cs="Times New Roman"/>
          <w:sz w:val="24"/>
          <w:szCs w:val="24"/>
          <w:lang w:eastAsia="fr-FR"/>
        </w:rPr>
        <w:t>Fraction of the population covered (b): 90%;</w:t>
      </w:r>
    </w:p>
    <w:p w14:paraId="02D2FEB7" w14:textId="77777777" w:rsidR="00B64F47" w:rsidRPr="00B64F47" w:rsidRDefault="00B64F47" w:rsidP="00EF4E22">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64F47">
        <w:rPr>
          <w:rFonts w:ascii="Times New Roman" w:eastAsia="Times New Roman" w:hAnsi="Times New Roman" w:cs="Times New Roman"/>
          <w:sz w:val="24"/>
          <w:szCs w:val="24"/>
          <w:lang w:eastAsia="fr-FR"/>
        </w:rPr>
        <w:t>Average household size (c): 5.</w:t>
      </w:r>
    </w:p>
    <w:p w14:paraId="7382746A" w14:textId="77777777" w:rsidR="00B64F47" w:rsidRPr="00B64F47" w:rsidRDefault="00B64F47" w:rsidP="00EF4E22">
      <w:pPr>
        <w:spacing w:after="0" w:line="360" w:lineRule="auto"/>
        <w:jc w:val="both"/>
        <w:rPr>
          <w:rFonts w:ascii="Times New Roman" w:eastAsia="Times New Roman" w:hAnsi="Times New Roman" w:cs="Times New Roman"/>
          <w:sz w:val="24"/>
          <w:szCs w:val="24"/>
          <w:lang w:eastAsia="fr-FR"/>
        </w:rPr>
      </w:pPr>
      <w:r w:rsidRPr="00EF4E22">
        <w:rPr>
          <w:rFonts w:ascii="Times New Roman" w:eastAsia="Times New Roman" w:hAnsi="Times New Roman" w:cs="Times New Roman"/>
          <w:sz w:val="24"/>
          <w:szCs w:val="24"/>
          <w:lang w:eastAsia="fr-FR"/>
        </w:rPr>
        <w:t xml:space="preserve">T= </w:t>
      </w:r>
      <w:proofErr w:type="spellStart"/>
      <w:r w:rsidRPr="00EF4E22">
        <w:rPr>
          <w:rFonts w:ascii="Times New Roman" w:eastAsia="Times New Roman" w:hAnsi="Times New Roman" w:cs="Times New Roman"/>
          <w:sz w:val="24"/>
          <w:szCs w:val="24"/>
          <w:lang w:eastAsia="fr-FR"/>
        </w:rPr>
        <w:t>a×b×c</w:t>
      </w:r>
      <w:proofErr w:type="spellEnd"/>
      <w:r w:rsidRPr="00EF4E22">
        <w:rPr>
          <w:rFonts w:ascii="Times New Roman" w:eastAsia="Times New Roman" w:hAnsi="Times New Roman" w:cs="Times New Roman"/>
          <w:sz w:val="24"/>
          <w:szCs w:val="24"/>
          <w:lang w:eastAsia="fr-FR"/>
        </w:rPr>
        <w:t xml:space="preserve"> = (0, </w:t>
      </w:r>
      <w:proofErr w:type="gramStart"/>
      <w:r w:rsidR="00513C11" w:rsidRPr="00EF4E22">
        <w:rPr>
          <w:rFonts w:ascii="Times New Roman" w:eastAsia="Times New Roman" w:hAnsi="Times New Roman" w:cs="Times New Roman"/>
          <w:sz w:val="24"/>
          <w:szCs w:val="24"/>
          <w:lang w:eastAsia="fr-FR"/>
        </w:rPr>
        <w:t>8)(</w:t>
      </w:r>
      <w:proofErr w:type="gramEnd"/>
      <w:r w:rsidR="00513C11" w:rsidRPr="00EF4E22">
        <w:rPr>
          <w:rFonts w:ascii="Times New Roman" w:eastAsia="Times New Roman" w:hAnsi="Times New Roman" w:cs="Times New Roman"/>
          <w:sz w:val="24"/>
          <w:szCs w:val="24"/>
          <w:lang w:eastAsia="fr-FR"/>
        </w:rPr>
        <w:t xml:space="preserve"> 0, </w:t>
      </w:r>
      <w:proofErr w:type="gramStart"/>
      <w:r w:rsidR="00513C11" w:rsidRPr="00EF4E22">
        <w:rPr>
          <w:rFonts w:ascii="Times New Roman" w:eastAsia="Times New Roman" w:hAnsi="Times New Roman" w:cs="Times New Roman"/>
          <w:sz w:val="24"/>
          <w:szCs w:val="24"/>
          <w:lang w:eastAsia="fr-FR"/>
        </w:rPr>
        <w:t>9)(5)=</w:t>
      </w:r>
      <w:proofErr w:type="gramEnd"/>
      <w:r w:rsidR="00513C11" w:rsidRPr="00EF4E22">
        <w:rPr>
          <w:rFonts w:ascii="Times New Roman" w:eastAsia="Times New Roman" w:hAnsi="Times New Roman" w:cs="Times New Roman"/>
          <w:sz w:val="24"/>
          <w:szCs w:val="24"/>
          <w:lang w:eastAsia="fr-FR"/>
        </w:rPr>
        <w:t>4 eligible persons per household</w:t>
      </w:r>
    </w:p>
    <w:p w14:paraId="6EB900B7" w14:textId="77777777" w:rsidR="00B64F47" w:rsidRPr="00B64F47" w:rsidRDefault="00B64F47" w:rsidP="00EF4E2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64F47">
        <w:rPr>
          <w:rFonts w:ascii="Times New Roman" w:eastAsia="Times New Roman" w:hAnsi="Times New Roman" w:cs="Times New Roman"/>
          <w:sz w:val="24"/>
          <w:szCs w:val="24"/>
          <w:lang w:eastAsia="fr-FR"/>
        </w:rPr>
        <w:t>Number of households required:</w:t>
      </w:r>
    </w:p>
    <w:p w14:paraId="4A5D6723" w14:textId="77777777" w:rsidR="00B64F47" w:rsidRPr="00B64F47" w:rsidRDefault="00B64F47" w:rsidP="00EF4E22">
      <w:pPr>
        <w:spacing w:after="0" w:line="360" w:lineRule="auto"/>
        <w:jc w:val="both"/>
        <w:rPr>
          <w:rFonts w:ascii="Times New Roman" w:eastAsia="Times New Roman" w:hAnsi="Times New Roman" w:cs="Times New Roman"/>
          <w:sz w:val="24"/>
          <w:szCs w:val="24"/>
          <w:lang w:eastAsia="fr-FR"/>
        </w:rPr>
      </w:pPr>
      <w:r w:rsidRPr="00EF4E22">
        <w:rPr>
          <w:rFonts w:ascii="Times New Roman" w:eastAsia="Times New Roman" w:hAnsi="Times New Roman" w:cs="Times New Roman"/>
          <w:sz w:val="24"/>
          <w:szCs w:val="24"/>
          <w:lang w:eastAsia="fr-FR"/>
        </w:rPr>
        <w:t>804 /4=201 households</w:t>
      </w:r>
    </w:p>
    <w:p w14:paraId="7C4A90E3" w14:textId="77777777" w:rsidR="00EF3CDE" w:rsidRDefault="00EF3CDE" w:rsidP="00EF4E2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F4E22">
        <w:rPr>
          <w:rFonts w:ascii="Times New Roman" w:eastAsia="Times New Roman" w:hAnsi="Times New Roman" w:cs="Times New Roman"/>
          <w:b/>
          <w:bCs/>
          <w:sz w:val="24"/>
          <w:szCs w:val="24"/>
          <w:lang w:eastAsia="fr-FR"/>
        </w:rPr>
        <w:t>Sampling</w:t>
      </w:r>
    </w:p>
    <w:p w14:paraId="53A5593D" w14:textId="77777777" w:rsidR="00B64F47" w:rsidRPr="00B64F47" w:rsidRDefault="00B64F47" w:rsidP="00EF4E2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64F47">
        <w:rPr>
          <w:rFonts w:ascii="Times New Roman" w:eastAsia="Times New Roman" w:hAnsi="Times New Roman" w:cs="Times New Roman"/>
          <w:sz w:val="24"/>
          <w:szCs w:val="24"/>
          <w:lang w:eastAsia="fr-FR"/>
        </w:rPr>
        <w:t>A three-stage cluster random sampling was applied:</w:t>
      </w:r>
    </w:p>
    <w:p w14:paraId="095D4DE8" w14:textId="50D49901" w:rsidR="00FB7386" w:rsidRDefault="00B64F47" w:rsidP="00EF4E2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B7386">
        <w:rPr>
          <w:rFonts w:ascii="Times New Roman" w:eastAsia="Times New Roman" w:hAnsi="Times New Roman" w:cs="Times New Roman"/>
          <w:bCs/>
          <w:sz w:val="24"/>
          <w:szCs w:val="24"/>
          <w:lang w:eastAsia="fr-FR"/>
        </w:rPr>
        <w:t>First stage</w:t>
      </w:r>
      <w:r w:rsidRPr="00B64F47">
        <w:rPr>
          <w:rFonts w:ascii="Times New Roman" w:eastAsia="Times New Roman" w:hAnsi="Times New Roman" w:cs="Times New Roman"/>
          <w:sz w:val="24"/>
          <w:szCs w:val="24"/>
          <w:lang w:eastAsia="fr-FR"/>
        </w:rPr>
        <w:t>: random selection of health areas: the 12 health areas were listed in alphabetical order and numbered from 1 to 12, then 6 areas were randomly selected using a random number generator (RNG).</w:t>
      </w:r>
    </w:p>
    <w:p w14:paraId="5B828177" w14:textId="71554A8D" w:rsidR="003B5451" w:rsidRPr="00FB7386" w:rsidRDefault="00B64F47" w:rsidP="00EF4E2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B7386">
        <w:rPr>
          <w:rFonts w:ascii="Times New Roman" w:eastAsia="Times New Roman" w:hAnsi="Times New Roman" w:cs="Times New Roman"/>
          <w:bCs/>
          <w:sz w:val="24"/>
          <w:szCs w:val="24"/>
          <w:lang w:eastAsia="fr-FR"/>
        </w:rPr>
        <w:t>Second stage</w:t>
      </w:r>
      <w:r w:rsidRPr="00B64F47">
        <w:rPr>
          <w:rFonts w:ascii="Times New Roman" w:eastAsia="Times New Roman" w:hAnsi="Times New Roman" w:cs="Times New Roman"/>
          <w:sz w:val="24"/>
          <w:szCs w:val="24"/>
          <w:lang w:eastAsia="fr-FR"/>
        </w:rPr>
        <w:t xml:space="preserve">: random selection of villages or </w:t>
      </w:r>
      <w:proofErr w:type="spellStart"/>
      <w:r w:rsidR="0063592E" w:rsidRPr="00490927">
        <w:rPr>
          <w:rFonts w:ascii="Times New Roman" w:eastAsia="Times New Roman" w:hAnsi="Times New Roman" w:cs="Times New Roman"/>
          <w:sz w:val="24"/>
          <w:szCs w:val="24"/>
          <w:highlight w:val="yellow"/>
          <w:lang w:eastAsia="fr-FR"/>
        </w:rPr>
        <w:t>neighbourhoods</w:t>
      </w:r>
      <w:proofErr w:type="spellEnd"/>
      <w:r w:rsidRPr="00B64F47">
        <w:rPr>
          <w:rFonts w:ascii="Times New Roman" w:eastAsia="Times New Roman" w:hAnsi="Times New Roman" w:cs="Times New Roman"/>
          <w:sz w:val="24"/>
          <w:szCs w:val="24"/>
          <w:lang w:eastAsia="fr-FR"/>
        </w:rPr>
        <w:t>: the sample size was distributed proportionally to the population of each health area. The number of households per area was calculated from the average household size. The sampling interval was determined by dividing the total population of the area by the number of clusters assigned to that area.</w:t>
      </w:r>
    </w:p>
    <w:p w14:paraId="38AD974F" w14:textId="7019E4A0" w:rsidR="003B5451" w:rsidRPr="00EF4E22" w:rsidRDefault="00B64F47" w:rsidP="00EF4E2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B7386">
        <w:rPr>
          <w:rFonts w:ascii="Times New Roman" w:eastAsia="Times New Roman" w:hAnsi="Times New Roman" w:cs="Times New Roman"/>
          <w:bCs/>
          <w:sz w:val="24"/>
          <w:szCs w:val="24"/>
          <w:lang w:eastAsia="fr-FR"/>
        </w:rPr>
        <w:t>Third stage</w:t>
      </w:r>
      <w:r w:rsidRPr="00B64F47">
        <w:rPr>
          <w:rFonts w:ascii="Times New Roman" w:eastAsia="Times New Roman" w:hAnsi="Times New Roman" w:cs="Times New Roman"/>
          <w:sz w:val="24"/>
          <w:szCs w:val="24"/>
          <w:lang w:eastAsia="fr-FR"/>
        </w:rPr>
        <w:t xml:space="preserve">: random selection of households forming each cluster: in accordance with WHO recommendations advocating a minimum of 7 and a maximum of 15 units per cluster, 10 households per cluster were selected. </w:t>
      </w:r>
      <w:r w:rsidR="00DC5044" w:rsidRPr="00EF4E22">
        <w:rPr>
          <w:rFonts w:ascii="Times New Roman" w:eastAsia="Times New Roman" w:hAnsi="Times New Roman" w:cs="Times New Roman"/>
          <w:sz w:val="24"/>
          <w:szCs w:val="24"/>
          <w:lang w:eastAsia="fr-FR"/>
        </w:rPr>
        <w:fldChar w:fldCharType="begin"/>
      </w:r>
      <w:r w:rsidR="006931AF">
        <w:rPr>
          <w:rFonts w:ascii="Times New Roman" w:eastAsia="Times New Roman" w:hAnsi="Times New Roman" w:cs="Times New Roman"/>
          <w:sz w:val="24"/>
          <w:szCs w:val="24"/>
          <w:lang w:eastAsia="fr-FR"/>
        </w:rPr>
        <w:instrText xml:space="preserve"> ADDIN ZOTERO_ITEM CSL_CITATION {"citationID":"lvukebnw","properties":{"formattedCitation":"(13)","plainCitation":"(13)","noteIndex":0},"citationItems":[{"id":"VnN5Np0i/mJqWykvS","uris":["http://zotero.org/users/14492610/items/PN53VIVB"],"itemData":{"id":667,"type":"article-journal","language":"en","source":"Zotero","title":"Indicators and Methods for Cross-Sectional Surveys of Vitamin and Mineral Status of Populations"}}],"schema":"https://github.com/citation-style-language/schema/raw/master/csl-citation.json"} </w:instrText>
      </w:r>
      <w:r w:rsidR="00DC5044" w:rsidRPr="00EF4E22">
        <w:rPr>
          <w:rFonts w:ascii="Times New Roman" w:eastAsia="Times New Roman" w:hAnsi="Times New Roman" w:cs="Times New Roman"/>
          <w:sz w:val="24"/>
          <w:szCs w:val="24"/>
          <w:lang w:eastAsia="fr-FR"/>
        </w:rPr>
        <w:fldChar w:fldCharType="separate"/>
      </w:r>
      <w:r w:rsidR="006931AF" w:rsidRPr="006931AF">
        <w:rPr>
          <w:rFonts w:ascii="Times New Roman" w:hAnsi="Times New Roman" w:cs="Times New Roman"/>
          <w:sz w:val="24"/>
        </w:rPr>
        <w:t>(13)</w:t>
      </w:r>
      <w:r w:rsidR="00DC5044" w:rsidRPr="00EF4E22">
        <w:rPr>
          <w:rFonts w:ascii="Times New Roman" w:eastAsia="Times New Roman" w:hAnsi="Times New Roman" w:cs="Times New Roman"/>
          <w:sz w:val="24"/>
          <w:szCs w:val="24"/>
          <w:lang w:eastAsia="fr-FR"/>
        </w:rPr>
        <w:fldChar w:fldCharType="end"/>
      </w:r>
    </w:p>
    <w:p w14:paraId="76928CCF" w14:textId="1BB41A1B" w:rsidR="005C468E" w:rsidRDefault="00B64F47" w:rsidP="00B130ED">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64F47">
        <w:rPr>
          <w:rFonts w:ascii="Times New Roman" w:eastAsia="Times New Roman" w:hAnsi="Times New Roman" w:cs="Times New Roman"/>
          <w:sz w:val="24"/>
          <w:szCs w:val="24"/>
          <w:lang w:eastAsia="fr-FR"/>
        </w:rPr>
        <w:t xml:space="preserve">A total of 804 individuals aged over 5 years were recruited from 201 households to estimate the proportion of supplemented individuals in this age group in the </w:t>
      </w:r>
      <w:proofErr w:type="spellStart"/>
      <w:r w:rsidRPr="00B64F47">
        <w:rPr>
          <w:rFonts w:ascii="Times New Roman" w:eastAsia="Times New Roman" w:hAnsi="Times New Roman" w:cs="Times New Roman"/>
          <w:sz w:val="24"/>
          <w:szCs w:val="24"/>
          <w:lang w:eastAsia="fr-FR"/>
        </w:rPr>
        <w:t>Batcham</w:t>
      </w:r>
      <w:proofErr w:type="spellEnd"/>
      <w:r w:rsidRPr="00B64F47">
        <w:rPr>
          <w:rFonts w:ascii="Times New Roman" w:eastAsia="Times New Roman" w:hAnsi="Times New Roman" w:cs="Times New Roman"/>
          <w:sz w:val="24"/>
          <w:szCs w:val="24"/>
          <w:lang w:eastAsia="fr-FR"/>
        </w:rPr>
        <w:t xml:space="preserve"> health district. The assumptions were: an AMM coverage of 80.5% (district data), a 95% CI, </w:t>
      </w:r>
      <w:r w:rsidR="0063592E" w:rsidRPr="00490927">
        <w:rPr>
          <w:rFonts w:ascii="Times New Roman" w:eastAsia="Times New Roman" w:hAnsi="Times New Roman" w:cs="Times New Roman"/>
          <w:sz w:val="24"/>
          <w:szCs w:val="24"/>
          <w:highlight w:val="yellow"/>
          <w:lang w:eastAsia="fr-FR"/>
        </w:rPr>
        <w:t>and</w:t>
      </w:r>
      <w:r w:rsidR="0063592E">
        <w:rPr>
          <w:rFonts w:ascii="Times New Roman" w:eastAsia="Times New Roman" w:hAnsi="Times New Roman" w:cs="Times New Roman"/>
          <w:sz w:val="24"/>
          <w:szCs w:val="24"/>
          <w:lang w:eastAsia="fr-FR"/>
        </w:rPr>
        <w:t xml:space="preserve"> </w:t>
      </w:r>
      <w:r w:rsidRPr="00B64F47">
        <w:rPr>
          <w:rFonts w:ascii="Times New Roman" w:eastAsia="Times New Roman" w:hAnsi="Times New Roman" w:cs="Times New Roman"/>
          <w:sz w:val="24"/>
          <w:szCs w:val="24"/>
          <w:lang w:eastAsia="fr-FR"/>
        </w:rPr>
        <w:t xml:space="preserve">a cluster effect of 3 (WHO recommendation) </w:t>
      </w:r>
      <w:r w:rsidR="00E91281" w:rsidRPr="00EF4E22">
        <w:rPr>
          <w:rFonts w:ascii="Times New Roman" w:eastAsia="Times New Roman" w:hAnsi="Times New Roman" w:cs="Times New Roman"/>
          <w:sz w:val="24"/>
          <w:szCs w:val="24"/>
          <w:lang w:eastAsia="fr-FR"/>
        </w:rPr>
        <w:fldChar w:fldCharType="begin"/>
      </w:r>
      <w:r w:rsidR="006931AF">
        <w:rPr>
          <w:rFonts w:ascii="Times New Roman" w:eastAsia="Times New Roman" w:hAnsi="Times New Roman" w:cs="Times New Roman"/>
          <w:sz w:val="24"/>
          <w:szCs w:val="24"/>
          <w:lang w:eastAsia="fr-FR"/>
        </w:rPr>
        <w:instrText xml:space="preserve"> ADDIN ZOTERO_ITEM CSL_CITATION {"citationID":"4eNeDw4s","properties":{"formattedCitation":"(14)","plainCitation":"(14)","noteIndex":0},"citationItems":[{"id":"VnN5Np0i/RuejBuXU","uris":["http://zotero.org/users/14492610/items/9CNXKJ67"],"itemData":{"id":671,"type":"document","title":"Microsoft Word - Part2_Section 2 Preparing the Sample.docx","URL":"https://cdn.who.int/media/docs/default-source/ncds/ncd-surveillance/steps/part2-section2.pdf?sfvrsn=9c33a896_2&amp;utm_source=chatgpt.com","accessed":{"date-parts":[["2025",8,13]]}}}],"schema":"https://github.com/citation-style-language/schema/raw/master/csl-citation.json"} </w:instrText>
      </w:r>
      <w:r w:rsidR="00E91281" w:rsidRPr="00EF4E22">
        <w:rPr>
          <w:rFonts w:ascii="Times New Roman" w:eastAsia="Times New Roman" w:hAnsi="Times New Roman" w:cs="Times New Roman"/>
          <w:sz w:val="24"/>
          <w:szCs w:val="24"/>
          <w:lang w:eastAsia="fr-FR"/>
        </w:rPr>
        <w:fldChar w:fldCharType="separate"/>
      </w:r>
      <w:r w:rsidR="006931AF" w:rsidRPr="006931AF">
        <w:rPr>
          <w:rFonts w:ascii="Times New Roman" w:hAnsi="Times New Roman" w:cs="Times New Roman"/>
          <w:sz w:val="24"/>
        </w:rPr>
        <w:t>(14)</w:t>
      </w:r>
      <w:r w:rsidR="00E91281" w:rsidRPr="00EF4E22">
        <w:rPr>
          <w:rFonts w:ascii="Times New Roman" w:eastAsia="Times New Roman" w:hAnsi="Times New Roman" w:cs="Times New Roman"/>
          <w:sz w:val="24"/>
          <w:szCs w:val="24"/>
          <w:lang w:eastAsia="fr-FR"/>
        </w:rPr>
        <w:fldChar w:fldCharType="end"/>
      </w:r>
      <w:r w:rsidRPr="00B64F47">
        <w:rPr>
          <w:rFonts w:ascii="Times New Roman" w:eastAsia="Times New Roman" w:hAnsi="Times New Roman" w:cs="Times New Roman"/>
          <w:sz w:val="24"/>
          <w:szCs w:val="24"/>
          <w:lang w:eastAsia="fr-FR"/>
        </w:rPr>
        <w:t>and an estimated response rate of 90.1%.</w:t>
      </w:r>
    </w:p>
    <w:p w14:paraId="6F30DC9B" w14:textId="77777777" w:rsidR="00334E64" w:rsidRDefault="00BC0474" w:rsidP="00B130ED">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C0474">
        <w:rPr>
          <w:rFonts w:ascii="Times New Roman" w:eastAsia="Times New Roman" w:hAnsi="Times New Roman" w:cs="Times New Roman"/>
          <w:b/>
          <w:bCs/>
          <w:sz w:val="24"/>
          <w:szCs w:val="24"/>
          <w:lang w:eastAsia="fr-FR"/>
        </w:rPr>
        <w:lastRenderedPageBreak/>
        <w:t>Data collection tools and procedures</w:t>
      </w:r>
    </w:p>
    <w:p w14:paraId="408C0671" w14:textId="330FB578" w:rsidR="00BC0474" w:rsidRPr="00BC0474" w:rsidRDefault="00BC0474" w:rsidP="00B130ED">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C0474">
        <w:rPr>
          <w:rFonts w:ascii="Times New Roman" w:eastAsia="Times New Roman" w:hAnsi="Times New Roman" w:cs="Times New Roman"/>
          <w:sz w:val="24"/>
          <w:szCs w:val="24"/>
          <w:lang w:eastAsia="fr-FR"/>
        </w:rPr>
        <w:t xml:space="preserve">Data collection took place from February to March 2022 using a structured, face-to-face, pre-tested digital questionnaire. Designed with KOBO </w:t>
      </w:r>
      <w:r w:rsidR="000277C7">
        <w:rPr>
          <w:rFonts w:ascii="Times New Roman" w:eastAsia="Times New Roman" w:hAnsi="Times New Roman" w:cs="Times New Roman"/>
          <w:sz w:val="24"/>
          <w:szCs w:val="24"/>
          <w:lang w:eastAsia="fr-FR"/>
        </w:rPr>
        <w:t>Collect software</w:t>
      </w:r>
      <w:r w:rsidRPr="00BC0474">
        <w:rPr>
          <w:rFonts w:ascii="Times New Roman" w:eastAsia="Times New Roman" w:hAnsi="Times New Roman" w:cs="Times New Roman"/>
          <w:sz w:val="24"/>
          <w:szCs w:val="24"/>
          <w:lang w:eastAsia="fr-FR"/>
        </w:rPr>
        <w:t>. The questionnaire collected sociodemographic characteristics, participation in the TCDI campaign, reasons for non-adherence, and communication channels used during the intervention. Data collection was carried out by trained and supervised interviewers</w:t>
      </w:r>
      <w:r w:rsidR="009858BE" w:rsidRPr="00BC0474">
        <w:rPr>
          <w:rFonts w:ascii="Times New Roman" w:eastAsia="Times New Roman" w:hAnsi="Times New Roman" w:cs="Times New Roman"/>
          <w:sz w:val="24"/>
          <w:szCs w:val="24"/>
          <w:lang w:eastAsia="fr-FR"/>
        </w:rPr>
        <w:t>.</w:t>
      </w:r>
    </w:p>
    <w:p w14:paraId="56DFF8B0" w14:textId="77777777" w:rsidR="00334E64" w:rsidRDefault="00723F60" w:rsidP="00B130ED">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C0474">
        <w:rPr>
          <w:rFonts w:ascii="Times New Roman" w:eastAsia="Times New Roman" w:hAnsi="Times New Roman" w:cs="Times New Roman"/>
          <w:b/>
          <w:bCs/>
          <w:sz w:val="24"/>
          <w:szCs w:val="24"/>
          <w:lang w:eastAsia="fr-FR"/>
        </w:rPr>
        <w:t>Data analysis</w:t>
      </w:r>
    </w:p>
    <w:p w14:paraId="39A0A41E" w14:textId="082A12A6" w:rsidR="00406CE8" w:rsidRPr="00406CE8" w:rsidRDefault="00BC0474" w:rsidP="00406CE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C0474">
        <w:rPr>
          <w:rFonts w:ascii="Times New Roman" w:eastAsia="Times New Roman" w:hAnsi="Times New Roman" w:cs="Times New Roman"/>
          <w:sz w:val="24"/>
          <w:szCs w:val="24"/>
          <w:lang w:eastAsia="fr-FR"/>
        </w:rPr>
        <w:t xml:space="preserve">Data analysis followed the predefined analytical framework. Descriptive statistics (frequencies and percentages) were calculated to estimate actual TCDI coverage and describe the effectiveness of communication channels. Actual coverage was compared with administrative coverage reported by the </w:t>
      </w:r>
      <w:proofErr w:type="spellStart"/>
      <w:r w:rsidRPr="00BC0474">
        <w:rPr>
          <w:rFonts w:ascii="Times New Roman" w:eastAsia="Times New Roman" w:hAnsi="Times New Roman" w:cs="Times New Roman"/>
          <w:sz w:val="24"/>
          <w:szCs w:val="24"/>
          <w:lang w:eastAsia="fr-FR"/>
        </w:rPr>
        <w:t>Batcham</w:t>
      </w:r>
      <w:proofErr w:type="spellEnd"/>
      <w:r w:rsidRPr="00BC0474">
        <w:rPr>
          <w:rFonts w:ascii="Times New Roman" w:eastAsia="Times New Roman" w:hAnsi="Times New Roman" w:cs="Times New Roman"/>
          <w:sz w:val="24"/>
          <w:szCs w:val="24"/>
          <w:lang w:eastAsia="fr-FR"/>
        </w:rPr>
        <w:t xml:space="preserve"> health district using appropriate statistical tests for proportions. Bivariate and multivariate logistic regression analyses were performed to identify factors independently associated with TCDI non-adherence. Statistical significance was set at 0.05, with 95% confidence intervals (CI).</w:t>
      </w:r>
      <w:r w:rsidR="00406CE8">
        <w:rPr>
          <w:rFonts w:ascii="Times New Roman" w:eastAsia="Times New Roman" w:hAnsi="Times New Roman" w:cs="Times New Roman"/>
          <w:sz w:val="24"/>
          <w:szCs w:val="24"/>
          <w:lang w:eastAsia="fr-FR"/>
        </w:rPr>
        <w:t xml:space="preserve"> </w:t>
      </w:r>
      <w:r w:rsidR="00406CE8" w:rsidRPr="00406CE8">
        <w:rPr>
          <w:rFonts w:ascii="Times New Roman" w:eastAsia="Times New Roman" w:hAnsi="Times New Roman" w:cs="Times New Roman"/>
          <w:sz w:val="24"/>
          <w:szCs w:val="24"/>
          <w:lang w:eastAsia="fr-FR"/>
        </w:rPr>
        <w:t xml:space="preserve">To compare the actual proportion and the reported proportion, a </w:t>
      </w:r>
      <w:r w:rsidR="0063592E" w:rsidRPr="00490927">
        <w:rPr>
          <w:rFonts w:ascii="Times New Roman" w:eastAsia="Times New Roman" w:hAnsi="Times New Roman" w:cs="Times New Roman"/>
          <w:sz w:val="24"/>
          <w:szCs w:val="24"/>
          <w:highlight w:val="yellow"/>
          <w:lang w:eastAsia="fr-FR"/>
        </w:rPr>
        <w:t>chi-square</w:t>
      </w:r>
      <w:r w:rsidR="00406CE8" w:rsidRPr="00490927">
        <w:rPr>
          <w:rFonts w:ascii="Times New Roman" w:eastAsia="Times New Roman" w:hAnsi="Times New Roman" w:cs="Times New Roman"/>
          <w:sz w:val="24"/>
          <w:szCs w:val="24"/>
          <w:highlight w:val="yellow"/>
          <w:lang w:eastAsia="fr-FR"/>
        </w:rPr>
        <w:t xml:space="preserve"> </w:t>
      </w:r>
      <w:r w:rsidR="00406CE8" w:rsidRPr="00406CE8">
        <w:rPr>
          <w:rFonts w:ascii="Times New Roman" w:eastAsia="Times New Roman" w:hAnsi="Times New Roman" w:cs="Times New Roman"/>
          <w:sz w:val="24"/>
          <w:szCs w:val="24"/>
          <w:lang w:eastAsia="fr-FR"/>
        </w:rPr>
        <w:t>test was used to determine if there is an association with the following hypothesis:</w:t>
      </w:r>
    </w:p>
    <w:p w14:paraId="62C4E0E6" w14:textId="511A25A6" w:rsidR="00406CE8" w:rsidRPr="00406CE8" w:rsidRDefault="00406CE8" w:rsidP="00406CE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406CE8">
        <w:rPr>
          <w:rFonts w:ascii="Times New Roman" w:eastAsia="Times New Roman" w:hAnsi="Times New Roman" w:cs="Times New Roman"/>
          <w:sz w:val="24"/>
          <w:szCs w:val="24"/>
          <w:lang w:eastAsia="fr-FR"/>
        </w:rPr>
        <w:t xml:space="preserve">H0: </w:t>
      </w:r>
      <w:r w:rsidR="0063592E" w:rsidRPr="00490927">
        <w:rPr>
          <w:rFonts w:ascii="Times New Roman" w:eastAsia="Times New Roman" w:hAnsi="Times New Roman" w:cs="Times New Roman"/>
          <w:sz w:val="24"/>
          <w:szCs w:val="24"/>
          <w:highlight w:val="yellow"/>
          <w:lang w:eastAsia="fr-FR"/>
        </w:rPr>
        <w:t xml:space="preserve">There </w:t>
      </w:r>
      <w:r w:rsidRPr="00406CE8">
        <w:rPr>
          <w:rFonts w:ascii="Times New Roman" w:eastAsia="Times New Roman" w:hAnsi="Times New Roman" w:cs="Times New Roman"/>
          <w:sz w:val="24"/>
          <w:szCs w:val="24"/>
          <w:lang w:eastAsia="fr-FR"/>
        </w:rPr>
        <w:t>exists no difference between the proportions</w:t>
      </w:r>
    </w:p>
    <w:p w14:paraId="69545765" w14:textId="732325BF" w:rsidR="00BC0474" w:rsidRPr="00BC0474" w:rsidRDefault="00406CE8" w:rsidP="00406CE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406CE8">
        <w:rPr>
          <w:rFonts w:ascii="Times New Roman" w:eastAsia="Times New Roman" w:hAnsi="Times New Roman" w:cs="Times New Roman"/>
          <w:sz w:val="24"/>
          <w:szCs w:val="24"/>
          <w:lang w:eastAsia="fr-FR"/>
        </w:rPr>
        <w:t xml:space="preserve">H1: </w:t>
      </w:r>
      <w:r w:rsidR="0063592E" w:rsidRPr="00490927">
        <w:rPr>
          <w:rFonts w:ascii="Times New Roman" w:eastAsia="Times New Roman" w:hAnsi="Times New Roman" w:cs="Times New Roman"/>
          <w:sz w:val="24"/>
          <w:szCs w:val="24"/>
          <w:highlight w:val="yellow"/>
          <w:lang w:eastAsia="fr-FR"/>
        </w:rPr>
        <w:t xml:space="preserve">There </w:t>
      </w:r>
      <w:r w:rsidRPr="00406CE8">
        <w:rPr>
          <w:rFonts w:ascii="Times New Roman" w:eastAsia="Times New Roman" w:hAnsi="Times New Roman" w:cs="Times New Roman"/>
          <w:sz w:val="24"/>
          <w:szCs w:val="24"/>
          <w:lang w:eastAsia="fr-FR"/>
        </w:rPr>
        <w:t>exists a difference between the proportions</w:t>
      </w:r>
    </w:p>
    <w:p w14:paraId="63A9A743" w14:textId="77777777" w:rsidR="00334E64" w:rsidRDefault="00BC0474" w:rsidP="00B130ED">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C0474">
        <w:rPr>
          <w:rFonts w:ascii="Times New Roman" w:eastAsia="Times New Roman" w:hAnsi="Times New Roman" w:cs="Times New Roman"/>
          <w:b/>
          <w:bCs/>
          <w:sz w:val="24"/>
          <w:szCs w:val="24"/>
          <w:lang w:eastAsia="fr-FR"/>
        </w:rPr>
        <w:t>Ethical considerations</w:t>
      </w:r>
      <w:r w:rsidR="00334E64">
        <w:rPr>
          <w:rFonts w:ascii="Times New Roman" w:eastAsia="Times New Roman" w:hAnsi="Times New Roman" w:cs="Times New Roman"/>
          <w:sz w:val="24"/>
          <w:szCs w:val="24"/>
          <w:lang w:eastAsia="fr-FR"/>
        </w:rPr>
        <w:t xml:space="preserve"> </w:t>
      </w:r>
    </w:p>
    <w:p w14:paraId="7716CBB1" w14:textId="1918F5F3" w:rsidR="001A7779" w:rsidRPr="00BC0474" w:rsidRDefault="00BC0474" w:rsidP="00B130ED">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C0474">
        <w:rPr>
          <w:rFonts w:ascii="Times New Roman" w:eastAsia="Times New Roman" w:hAnsi="Times New Roman" w:cs="Times New Roman"/>
          <w:sz w:val="24"/>
          <w:szCs w:val="24"/>
          <w:lang w:eastAsia="fr-FR"/>
        </w:rPr>
        <w:t xml:space="preserve">The study protocol received ethical approval from the Western Regional Ethics Committee. Administrative </w:t>
      </w:r>
      <w:proofErr w:type="spellStart"/>
      <w:r w:rsidR="0063592E" w:rsidRPr="00490927">
        <w:rPr>
          <w:rFonts w:ascii="Times New Roman" w:eastAsia="Times New Roman" w:hAnsi="Times New Roman" w:cs="Times New Roman"/>
          <w:sz w:val="24"/>
          <w:szCs w:val="24"/>
          <w:highlight w:val="yellow"/>
          <w:lang w:eastAsia="fr-FR"/>
        </w:rPr>
        <w:t>authorisations</w:t>
      </w:r>
      <w:proofErr w:type="spellEnd"/>
      <w:r w:rsidR="0063592E" w:rsidRPr="00490927">
        <w:rPr>
          <w:rFonts w:ascii="Times New Roman" w:eastAsia="Times New Roman" w:hAnsi="Times New Roman" w:cs="Times New Roman"/>
          <w:sz w:val="24"/>
          <w:szCs w:val="24"/>
          <w:highlight w:val="yellow"/>
          <w:lang w:eastAsia="fr-FR"/>
        </w:rPr>
        <w:t xml:space="preserve"> </w:t>
      </w:r>
      <w:r w:rsidRPr="00BC0474">
        <w:rPr>
          <w:rFonts w:ascii="Times New Roman" w:eastAsia="Times New Roman" w:hAnsi="Times New Roman" w:cs="Times New Roman"/>
          <w:sz w:val="24"/>
          <w:szCs w:val="24"/>
          <w:lang w:eastAsia="fr-FR"/>
        </w:rPr>
        <w:t xml:space="preserve">were obtained from the </w:t>
      </w:r>
      <w:proofErr w:type="spellStart"/>
      <w:r w:rsidRPr="00BC0474">
        <w:rPr>
          <w:rFonts w:ascii="Times New Roman" w:eastAsia="Times New Roman" w:hAnsi="Times New Roman" w:cs="Times New Roman"/>
          <w:sz w:val="24"/>
          <w:szCs w:val="24"/>
          <w:lang w:eastAsia="fr-FR"/>
        </w:rPr>
        <w:t>Batcham</w:t>
      </w:r>
      <w:proofErr w:type="spellEnd"/>
      <w:r w:rsidRPr="00BC0474">
        <w:rPr>
          <w:rFonts w:ascii="Times New Roman" w:eastAsia="Times New Roman" w:hAnsi="Times New Roman" w:cs="Times New Roman"/>
          <w:sz w:val="24"/>
          <w:szCs w:val="24"/>
          <w:lang w:eastAsia="fr-FR"/>
        </w:rPr>
        <w:t xml:space="preserve"> Health District Service and the </w:t>
      </w:r>
      <w:proofErr w:type="spellStart"/>
      <w:r w:rsidRPr="00BC0474">
        <w:rPr>
          <w:rFonts w:ascii="Times New Roman" w:eastAsia="Times New Roman" w:hAnsi="Times New Roman" w:cs="Times New Roman"/>
          <w:sz w:val="24"/>
          <w:szCs w:val="24"/>
          <w:lang w:eastAsia="fr-FR"/>
        </w:rPr>
        <w:t>Batcham</w:t>
      </w:r>
      <w:proofErr w:type="spellEnd"/>
      <w:r w:rsidRPr="00BC0474">
        <w:rPr>
          <w:rFonts w:ascii="Times New Roman" w:eastAsia="Times New Roman" w:hAnsi="Times New Roman" w:cs="Times New Roman"/>
          <w:sz w:val="24"/>
          <w:szCs w:val="24"/>
          <w:lang w:eastAsia="fr-FR"/>
        </w:rPr>
        <w:t xml:space="preserve"> Sub-Prefecture. Participation was voluntary, with written informed consent or verbal assent obtained from each participant, or from parents/legal guardians for minors. Data confidentiality was guaranteed, with access limited to </w:t>
      </w:r>
      <w:proofErr w:type="spellStart"/>
      <w:r w:rsidR="0063592E" w:rsidRPr="00490927">
        <w:rPr>
          <w:rFonts w:ascii="Times New Roman" w:eastAsia="Times New Roman" w:hAnsi="Times New Roman" w:cs="Times New Roman"/>
          <w:sz w:val="24"/>
          <w:szCs w:val="24"/>
          <w:highlight w:val="yellow"/>
          <w:lang w:eastAsia="fr-FR"/>
        </w:rPr>
        <w:t>authorised</w:t>
      </w:r>
      <w:proofErr w:type="spellEnd"/>
      <w:r w:rsidR="0063592E" w:rsidRPr="00490927">
        <w:rPr>
          <w:rFonts w:ascii="Times New Roman" w:eastAsia="Times New Roman" w:hAnsi="Times New Roman" w:cs="Times New Roman"/>
          <w:sz w:val="24"/>
          <w:szCs w:val="24"/>
          <w:highlight w:val="yellow"/>
          <w:lang w:eastAsia="fr-FR"/>
        </w:rPr>
        <w:t xml:space="preserve"> </w:t>
      </w:r>
      <w:r w:rsidRPr="00BC0474">
        <w:rPr>
          <w:rFonts w:ascii="Times New Roman" w:eastAsia="Times New Roman" w:hAnsi="Times New Roman" w:cs="Times New Roman"/>
          <w:sz w:val="24"/>
          <w:szCs w:val="24"/>
          <w:lang w:eastAsia="fr-FR"/>
        </w:rPr>
        <w:t>members of the research team.</w:t>
      </w:r>
    </w:p>
    <w:p w14:paraId="40913BEA" w14:textId="77777777" w:rsidR="00CD57EE" w:rsidRPr="001A7779" w:rsidRDefault="001A7779" w:rsidP="001A7779">
      <w:pPr>
        <w:spacing w:before="100" w:beforeAutospacing="1" w:after="100" w:afterAutospacing="1" w:line="240" w:lineRule="auto"/>
        <w:rPr>
          <w:rFonts w:ascii="Times New Roman" w:eastAsia="Times New Roman" w:hAnsi="Times New Roman" w:cs="Times New Roman"/>
          <w:sz w:val="24"/>
          <w:szCs w:val="24"/>
          <w:lang w:eastAsia="fr-FR"/>
        </w:rPr>
      </w:pPr>
      <w:r w:rsidRPr="001A7779">
        <w:rPr>
          <w:rFonts w:ascii="Times New Roman" w:eastAsia="Times New Roman" w:hAnsi="Times New Roman" w:cs="Times New Roman"/>
          <w:sz w:val="44"/>
          <w:szCs w:val="24"/>
          <w:lang w:eastAsia="fr-FR"/>
        </w:rPr>
        <w:t>Results</w:t>
      </w:r>
      <w:r w:rsidRPr="001A7779">
        <w:rPr>
          <w:rFonts w:ascii="Times New Roman" w:eastAsia="Times New Roman" w:hAnsi="Times New Roman" w:cs="Times New Roman"/>
          <w:sz w:val="24"/>
          <w:szCs w:val="24"/>
          <w:lang w:eastAsia="fr-FR"/>
        </w:rPr>
        <w:t xml:space="preserve"> </w:t>
      </w:r>
    </w:p>
    <w:p w14:paraId="1EB4482B" w14:textId="34D6AC1F" w:rsidR="001A7779" w:rsidRPr="00156EAC" w:rsidRDefault="0063592E" w:rsidP="00156EAC">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490927">
        <w:rPr>
          <w:rFonts w:ascii="Times New Roman" w:hAnsi="Times New Roman" w:cs="Times New Roman"/>
          <w:b/>
          <w:sz w:val="24"/>
          <w:szCs w:val="24"/>
          <w:highlight w:val="yellow"/>
          <w:lang w:val="en-GB"/>
        </w:rPr>
        <w:t>Socio-demographic</w:t>
      </w:r>
      <w:r w:rsidR="00156EAC" w:rsidRPr="00490927">
        <w:rPr>
          <w:rFonts w:ascii="Times New Roman" w:hAnsi="Times New Roman" w:cs="Times New Roman"/>
          <w:b/>
          <w:sz w:val="24"/>
          <w:szCs w:val="24"/>
          <w:highlight w:val="yellow"/>
          <w:lang w:val="en-GB"/>
        </w:rPr>
        <w:t xml:space="preserve"> </w:t>
      </w:r>
      <w:r w:rsidR="00156EAC" w:rsidRPr="00156EAC">
        <w:rPr>
          <w:rFonts w:ascii="Times New Roman" w:hAnsi="Times New Roman" w:cs="Times New Roman"/>
          <w:b/>
          <w:sz w:val="24"/>
          <w:szCs w:val="24"/>
          <w:lang w:val="en-GB"/>
        </w:rPr>
        <w:t>characteristics</w:t>
      </w:r>
    </w:p>
    <w:p w14:paraId="05414A07" w14:textId="52F7D259" w:rsidR="00CC3D95" w:rsidRDefault="00CC3D95" w:rsidP="00156EAC">
      <w:pPr>
        <w:spacing w:line="360" w:lineRule="auto"/>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lastRenderedPageBreak/>
        <w:t xml:space="preserve">Participated </w:t>
      </w:r>
      <w:r w:rsidR="004B7225">
        <w:rPr>
          <w:rFonts w:ascii="Times New Roman" w:hAnsi="Times New Roman" w:cs="Times New Roman"/>
          <w:sz w:val="24"/>
          <w:szCs w:val="24"/>
          <w:lang w:val="en-GB"/>
        </w:rPr>
        <w:t>i</w:t>
      </w:r>
      <w:r w:rsidRPr="00156EAC">
        <w:rPr>
          <w:rFonts w:ascii="Times New Roman" w:hAnsi="Times New Roman" w:cs="Times New Roman"/>
          <w:sz w:val="24"/>
          <w:szCs w:val="24"/>
          <w:lang w:val="en-GB"/>
        </w:rPr>
        <w:t>n the campaign</w:t>
      </w:r>
      <w:r w:rsidR="0063592E">
        <w:rPr>
          <w:rFonts w:ascii="Times New Roman" w:hAnsi="Times New Roman" w:cs="Times New Roman"/>
          <w:sz w:val="24"/>
          <w:szCs w:val="24"/>
          <w:lang w:val="en-GB"/>
        </w:rPr>
        <w:t>.</w:t>
      </w:r>
      <w:r w:rsidRPr="00156EAC">
        <w:rPr>
          <w:rFonts w:ascii="Times New Roman" w:hAnsi="Times New Roman" w:cs="Times New Roman"/>
          <w:sz w:val="24"/>
          <w:szCs w:val="24"/>
          <w:lang w:val="en-GB"/>
        </w:rPr>
        <w:t xml:space="preserve"> 420(52.4%) of the participants were male</w:t>
      </w:r>
      <w:r w:rsidR="0063592E">
        <w:rPr>
          <w:rFonts w:ascii="Times New Roman" w:hAnsi="Times New Roman" w:cs="Times New Roman"/>
          <w:sz w:val="24"/>
          <w:szCs w:val="24"/>
          <w:lang w:val="en-GB"/>
        </w:rPr>
        <w:t>,</w:t>
      </w:r>
      <w:r w:rsidRPr="00156EAC">
        <w:rPr>
          <w:rFonts w:ascii="Times New Roman" w:hAnsi="Times New Roman" w:cs="Times New Roman"/>
          <w:sz w:val="24"/>
          <w:szCs w:val="24"/>
          <w:lang w:val="en-GB"/>
        </w:rPr>
        <w:t xml:space="preserve"> and 382(47.6%) of the respondents were </w:t>
      </w:r>
      <w:r w:rsidR="0063592E" w:rsidRPr="00490927">
        <w:rPr>
          <w:rFonts w:ascii="Times New Roman" w:hAnsi="Times New Roman" w:cs="Times New Roman"/>
          <w:sz w:val="24"/>
          <w:szCs w:val="24"/>
          <w:highlight w:val="yellow"/>
          <w:lang w:val="en-GB"/>
        </w:rPr>
        <w:t>female</w:t>
      </w:r>
      <w:r w:rsidRPr="00156EAC">
        <w:rPr>
          <w:rFonts w:ascii="Times New Roman" w:hAnsi="Times New Roman" w:cs="Times New Roman"/>
          <w:sz w:val="24"/>
          <w:szCs w:val="24"/>
          <w:lang w:val="en-GB"/>
        </w:rPr>
        <w:t xml:space="preserve">. </w:t>
      </w:r>
      <w:r w:rsidR="0063592E" w:rsidRPr="00490927">
        <w:rPr>
          <w:rFonts w:ascii="Times New Roman" w:hAnsi="Times New Roman" w:cs="Times New Roman"/>
          <w:sz w:val="24"/>
          <w:szCs w:val="24"/>
          <w:highlight w:val="yellow"/>
          <w:lang w:val="en-GB"/>
        </w:rPr>
        <w:t xml:space="preserve">A majority of </w:t>
      </w:r>
      <w:r w:rsidRPr="00156EAC">
        <w:rPr>
          <w:rFonts w:ascii="Times New Roman" w:hAnsi="Times New Roman" w:cs="Times New Roman"/>
          <w:sz w:val="24"/>
          <w:szCs w:val="24"/>
          <w:lang w:val="en-GB"/>
        </w:rPr>
        <w:t xml:space="preserve">440 (54.9%) of the participants had a secondary level of education. Most 501(62.47%) of the participants were aged between 16 and 50 years old. majority of the participants were from </w:t>
      </w:r>
      <w:proofErr w:type="spellStart"/>
      <w:r w:rsidRPr="00156EAC">
        <w:rPr>
          <w:rFonts w:ascii="Times New Roman" w:hAnsi="Times New Roman" w:cs="Times New Roman"/>
          <w:sz w:val="24"/>
          <w:szCs w:val="24"/>
          <w:lang w:val="en-GB"/>
        </w:rPr>
        <w:t>Batcham</w:t>
      </w:r>
      <w:proofErr w:type="spellEnd"/>
      <w:r w:rsidRPr="00156EAC">
        <w:rPr>
          <w:rFonts w:ascii="Times New Roman" w:hAnsi="Times New Roman" w:cs="Times New Roman"/>
          <w:sz w:val="24"/>
          <w:szCs w:val="24"/>
          <w:lang w:val="en-GB"/>
        </w:rPr>
        <w:t xml:space="preserve"> </w:t>
      </w:r>
      <w:proofErr w:type="spellStart"/>
      <w:r w:rsidRPr="00156EAC">
        <w:rPr>
          <w:rFonts w:ascii="Times New Roman" w:hAnsi="Times New Roman" w:cs="Times New Roman"/>
          <w:sz w:val="24"/>
          <w:szCs w:val="24"/>
          <w:lang w:val="en-GB"/>
        </w:rPr>
        <w:t>Chefferie</w:t>
      </w:r>
      <w:proofErr w:type="spellEnd"/>
      <w:r w:rsidRPr="00156EAC">
        <w:rPr>
          <w:rFonts w:ascii="Times New Roman" w:hAnsi="Times New Roman" w:cs="Times New Roman"/>
          <w:sz w:val="24"/>
          <w:szCs w:val="24"/>
          <w:lang w:val="en-GB"/>
        </w:rPr>
        <w:t xml:space="preserve"> 193(24.1%) and the least were from </w:t>
      </w:r>
      <w:proofErr w:type="spellStart"/>
      <w:r w:rsidRPr="00156EAC">
        <w:rPr>
          <w:rFonts w:ascii="Times New Roman" w:hAnsi="Times New Roman" w:cs="Times New Roman"/>
          <w:sz w:val="24"/>
          <w:szCs w:val="24"/>
          <w:lang w:val="en-GB"/>
        </w:rPr>
        <w:t>bagang</w:t>
      </w:r>
      <w:proofErr w:type="spellEnd"/>
      <w:r w:rsidRPr="00156EAC">
        <w:rPr>
          <w:rFonts w:ascii="Times New Roman" w:hAnsi="Times New Roman" w:cs="Times New Roman"/>
          <w:sz w:val="24"/>
          <w:szCs w:val="24"/>
          <w:lang w:val="en-GB"/>
        </w:rPr>
        <w:t xml:space="preserve"> west 93(11.6%).</w:t>
      </w:r>
    </w:p>
    <w:p w14:paraId="34C1AF0F" w14:textId="77777777" w:rsidR="00AC2FAB" w:rsidRPr="00156EAC" w:rsidRDefault="00AC2FAB" w:rsidP="00156EAC">
      <w:pPr>
        <w:spacing w:line="360" w:lineRule="auto"/>
        <w:jc w:val="both"/>
        <w:rPr>
          <w:rFonts w:ascii="Times New Roman" w:hAnsi="Times New Roman" w:cs="Times New Roman"/>
          <w:sz w:val="24"/>
          <w:szCs w:val="24"/>
          <w:lang w:val="en-GB"/>
        </w:rPr>
      </w:pPr>
    </w:p>
    <w:p w14:paraId="056594FD" w14:textId="1DC24DC4" w:rsidR="00CC3D95" w:rsidRPr="00156EAC" w:rsidRDefault="00CC3D95" w:rsidP="00156EAC">
      <w:pPr>
        <w:pStyle w:val="Caption"/>
        <w:spacing w:line="360" w:lineRule="auto"/>
        <w:jc w:val="both"/>
        <w:rPr>
          <w:rFonts w:ascii="Times New Roman" w:hAnsi="Times New Roman" w:cs="Times New Roman"/>
          <w:b/>
          <w:sz w:val="24"/>
          <w:szCs w:val="24"/>
          <w:lang w:val="en-GB"/>
        </w:rPr>
      </w:pPr>
      <w:bookmarkStart w:id="0" w:name="_Toc107492416"/>
      <w:r w:rsidRPr="00156EAC">
        <w:rPr>
          <w:rFonts w:ascii="Times New Roman" w:hAnsi="Times New Roman" w:cs="Times New Roman"/>
          <w:sz w:val="24"/>
          <w:szCs w:val="24"/>
        </w:rPr>
        <w:t xml:space="preserve">Table </w:t>
      </w:r>
      <w:r w:rsidRPr="00156EAC">
        <w:rPr>
          <w:rFonts w:ascii="Times New Roman" w:hAnsi="Times New Roman" w:cs="Times New Roman"/>
          <w:noProof/>
          <w:sz w:val="24"/>
          <w:szCs w:val="24"/>
        </w:rPr>
        <w:fldChar w:fldCharType="begin"/>
      </w:r>
      <w:r w:rsidRPr="00156EAC">
        <w:rPr>
          <w:rFonts w:ascii="Times New Roman" w:hAnsi="Times New Roman" w:cs="Times New Roman"/>
          <w:noProof/>
          <w:sz w:val="24"/>
          <w:szCs w:val="24"/>
        </w:rPr>
        <w:instrText xml:space="preserve"> SEQ Table \* ARABIC </w:instrText>
      </w:r>
      <w:r w:rsidRPr="00156EAC">
        <w:rPr>
          <w:rFonts w:ascii="Times New Roman" w:hAnsi="Times New Roman" w:cs="Times New Roman"/>
          <w:noProof/>
          <w:sz w:val="24"/>
          <w:szCs w:val="24"/>
        </w:rPr>
        <w:fldChar w:fldCharType="separate"/>
      </w:r>
      <w:r w:rsidR="00423B4B">
        <w:rPr>
          <w:rFonts w:ascii="Times New Roman" w:hAnsi="Times New Roman" w:cs="Times New Roman"/>
          <w:noProof/>
          <w:sz w:val="24"/>
          <w:szCs w:val="24"/>
        </w:rPr>
        <w:t>1</w:t>
      </w:r>
      <w:r w:rsidRPr="00156EAC">
        <w:rPr>
          <w:rFonts w:ascii="Times New Roman" w:hAnsi="Times New Roman" w:cs="Times New Roman"/>
          <w:noProof/>
          <w:sz w:val="24"/>
          <w:szCs w:val="24"/>
        </w:rPr>
        <w:fldChar w:fldCharType="end"/>
      </w:r>
      <w:r w:rsidR="00F323AF" w:rsidRPr="00156EAC">
        <w:rPr>
          <w:rFonts w:ascii="Times New Roman" w:hAnsi="Times New Roman" w:cs="Times New Roman"/>
          <w:noProof/>
          <w:sz w:val="24"/>
          <w:szCs w:val="24"/>
        </w:rPr>
        <w:t xml:space="preserve"> </w:t>
      </w:r>
      <w:r w:rsidR="0063592E" w:rsidRPr="00490927">
        <w:rPr>
          <w:rFonts w:ascii="Times New Roman" w:hAnsi="Times New Roman" w:cs="Times New Roman"/>
          <w:b/>
          <w:sz w:val="24"/>
          <w:szCs w:val="24"/>
          <w:highlight w:val="yellow"/>
          <w:lang w:val="en-GB"/>
        </w:rPr>
        <w:t>Socio-demographic</w:t>
      </w:r>
      <w:r w:rsidRPr="00156EAC">
        <w:rPr>
          <w:rFonts w:ascii="Times New Roman" w:hAnsi="Times New Roman" w:cs="Times New Roman"/>
          <w:b/>
          <w:sz w:val="24"/>
          <w:szCs w:val="24"/>
          <w:lang w:val="en-GB"/>
        </w:rPr>
        <w:t xml:space="preserve"> characteristics</w:t>
      </w:r>
      <w:bookmarkEnd w:id="0"/>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293"/>
        <w:gridCol w:w="2333"/>
        <w:gridCol w:w="2098"/>
      </w:tblGrid>
      <w:tr w:rsidR="00CC3D95" w:rsidRPr="00156EAC" w14:paraId="7713859B" w14:textId="77777777" w:rsidTr="00FC2BD3">
        <w:tc>
          <w:tcPr>
            <w:tcW w:w="2839" w:type="dxa"/>
            <w:tcBorders>
              <w:top w:val="single" w:sz="4" w:space="0" w:color="auto"/>
              <w:left w:val="nil"/>
              <w:bottom w:val="single" w:sz="4" w:space="0" w:color="auto"/>
              <w:right w:val="nil"/>
            </w:tcBorders>
            <w:vAlign w:val="center"/>
          </w:tcPr>
          <w:p w14:paraId="25116CC7" w14:textId="77777777" w:rsidR="00CC3D95" w:rsidRPr="00156EAC" w:rsidRDefault="00CC3D95" w:rsidP="00156EAC">
            <w:pPr>
              <w:autoSpaceDE w:val="0"/>
              <w:autoSpaceDN w:val="0"/>
              <w:adjustRightInd w:val="0"/>
              <w:spacing w:line="360" w:lineRule="auto"/>
              <w:jc w:val="both"/>
              <w:rPr>
                <w:rFonts w:ascii="Times New Roman" w:hAnsi="Times New Roman" w:cs="Times New Roman"/>
                <w:sz w:val="24"/>
                <w:szCs w:val="24"/>
                <w:lang w:val="en-GB"/>
              </w:rPr>
            </w:pPr>
          </w:p>
        </w:tc>
        <w:tc>
          <w:tcPr>
            <w:tcW w:w="2839" w:type="dxa"/>
            <w:tcBorders>
              <w:top w:val="single" w:sz="4" w:space="0" w:color="auto"/>
              <w:left w:val="nil"/>
              <w:bottom w:val="single" w:sz="4" w:space="0" w:color="auto"/>
              <w:right w:val="nil"/>
            </w:tcBorders>
            <w:vAlign w:val="center"/>
            <w:hideMark/>
          </w:tcPr>
          <w:p w14:paraId="2886D0FB"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b/>
                <w:sz w:val="24"/>
                <w:szCs w:val="24"/>
                <w:lang w:val="en-GB"/>
              </w:rPr>
            </w:pPr>
            <w:r w:rsidRPr="00156EAC">
              <w:rPr>
                <w:rFonts w:ascii="Times New Roman" w:hAnsi="Times New Roman" w:cs="Times New Roman"/>
                <w:b/>
                <w:sz w:val="24"/>
                <w:szCs w:val="24"/>
                <w:lang w:val="en-GB"/>
              </w:rPr>
              <w:t>frequency</w:t>
            </w:r>
          </w:p>
        </w:tc>
        <w:tc>
          <w:tcPr>
            <w:tcW w:w="2839" w:type="dxa"/>
            <w:tcBorders>
              <w:top w:val="single" w:sz="4" w:space="0" w:color="auto"/>
              <w:left w:val="nil"/>
              <w:bottom w:val="single" w:sz="4" w:space="0" w:color="auto"/>
              <w:right w:val="nil"/>
            </w:tcBorders>
            <w:vAlign w:val="center"/>
            <w:hideMark/>
          </w:tcPr>
          <w:p w14:paraId="570BF9FC"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b/>
                <w:sz w:val="24"/>
                <w:szCs w:val="24"/>
                <w:lang w:val="en-GB"/>
              </w:rPr>
            </w:pPr>
            <w:r w:rsidRPr="00156EAC">
              <w:rPr>
                <w:rFonts w:ascii="Times New Roman" w:hAnsi="Times New Roman" w:cs="Times New Roman"/>
                <w:b/>
                <w:sz w:val="24"/>
                <w:szCs w:val="24"/>
                <w:lang w:val="en-GB"/>
              </w:rPr>
              <w:t>Percentage (%)</w:t>
            </w:r>
          </w:p>
        </w:tc>
        <w:tc>
          <w:tcPr>
            <w:tcW w:w="2839" w:type="dxa"/>
            <w:tcBorders>
              <w:top w:val="single" w:sz="4" w:space="0" w:color="auto"/>
              <w:left w:val="nil"/>
              <w:bottom w:val="single" w:sz="4" w:space="0" w:color="auto"/>
              <w:right w:val="nil"/>
            </w:tcBorders>
            <w:vAlign w:val="center"/>
            <w:hideMark/>
          </w:tcPr>
          <w:p w14:paraId="0182195C" w14:textId="77777777" w:rsidR="00CC3D95" w:rsidRPr="00156EAC" w:rsidRDefault="00FE62CB" w:rsidP="00156EAC">
            <w:pPr>
              <w:autoSpaceDE w:val="0"/>
              <w:autoSpaceDN w:val="0"/>
              <w:adjustRightInd w:val="0"/>
              <w:spacing w:line="360" w:lineRule="auto"/>
              <w:ind w:left="60" w:right="60"/>
              <w:jc w:val="both"/>
              <w:rPr>
                <w:rFonts w:ascii="Times New Roman" w:hAnsi="Times New Roman" w:cs="Times New Roman"/>
                <w:b/>
                <w:sz w:val="24"/>
                <w:szCs w:val="24"/>
                <w:lang w:val="fr-FR"/>
              </w:rPr>
            </w:pPr>
            <w:r w:rsidRPr="00156EAC">
              <w:rPr>
                <w:rFonts w:ascii="Times New Roman" w:hAnsi="Times New Roman" w:cs="Times New Roman"/>
                <w:b/>
                <w:sz w:val="24"/>
                <w:szCs w:val="24"/>
              </w:rPr>
              <w:t>95% CI (%)</w:t>
            </w:r>
          </w:p>
        </w:tc>
      </w:tr>
      <w:tr w:rsidR="00CC3D95" w:rsidRPr="00156EAC" w14:paraId="647271F4" w14:textId="77777777" w:rsidTr="00FC2BD3">
        <w:tc>
          <w:tcPr>
            <w:tcW w:w="2839" w:type="dxa"/>
            <w:tcBorders>
              <w:top w:val="single" w:sz="4" w:space="0" w:color="auto"/>
              <w:left w:val="nil"/>
              <w:bottom w:val="nil"/>
              <w:right w:val="nil"/>
            </w:tcBorders>
            <w:vAlign w:val="center"/>
            <w:hideMark/>
          </w:tcPr>
          <w:p w14:paraId="42F98B70"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b/>
                <w:sz w:val="24"/>
                <w:szCs w:val="24"/>
                <w:lang w:val="en-GB"/>
              </w:rPr>
            </w:pPr>
            <w:r w:rsidRPr="00156EAC">
              <w:rPr>
                <w:rFonts w:ascii="Times New Roman" w:hAnsi="Times New Roman" w:cs="Times New Roman"/>
                <w:b/>
                <w:sz w:val="24"/>
                <w:szCs w:val="24"/>
                <w:lang w:val="en-GB"/>
              </w:rPr>
              <w:t>Sex</w:t>
            </w:r>
          </w:p>
          <w:p w14:paraId="7A671DED"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Female</w:t>
            </w:r>
          </w:p>
          <w:p w14:paraId="60F40FEC" w14:textId="63C2FE1E" w:rsidR="00CC3D95" w:rsidRPr="00156EAC" w:rsidRDefault="004B722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M</w:t>
            </w:r>
            <w:r w:rsidR="00CC3D95" w:rsidRPr="00156EAC">
              <w:rPr>
                <w:rFonts w:ascii="Times New Roman" w:hAnsi="Times New Roman" w:cs="Times New Roman"/>
                <w:sz w:val="24"/>
                <w:szCs w:val="24"/>
                <w:lang w:val="en-GB"/>
              </w:rPr>
              <w:t>ale</w:t>
            </w:r>
          </w:p>
        </w:tc>
        <w:tc>
          <w:tcPr>
            <w:tcW w:w="2839" w:type="dxa"/>
            <w:tcBorders>
              <w:top w:val="single" w:sz="4" w:space="0" w:color="auto"/>
              <w:left w:val="nil"/>
              <w:bottom w:val="nil"/>
              <w:right w:val="nil"/>
            </w:tcBorders>
            <w:vAlign w:val="center"/>
          </w:tcPr>
          <w:p w14:paraId="0E13B045"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p>
          <w:p w14:paraId="245E113F"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420</w:t>
            </w:r>
          </w:p>
          <w:p w14:paraId="47C870FB"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382</w:t>
            </w:r>
          </w:p>
        </w:tc>
        <w:tc>
          <w:tcPr>
            <w:tcW w:w="2839" w:type="dxa"/>
            <w:tcBorders>
              <w:top w:val="single" w:sz="4" w:space="0" w:color="auto"/>
              <w:left w:val="nil"/>
              <w:bottom w:val="nil"/>
              <w:right w:val="nil"/>
            </w:tcBorders>
            <w:vAlign w:val="center"/>
          </w:tcPr>
          <w:p w14:paraId="6FA337E1"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p>
          <w:p w14:paraId="63A3A5C0" w14:textId="77777777" w:rsidR="00CC3D95" w:rsidRPr="00156EAC" w:rsidRDefault="007769CA"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52.4</w:t>
            </w:r>
          </w:p>
          <w:p w14:paraId="181AB010" w14:textId="77777777" w:rsidR="00CC3D95" w:rsidRPr="00156EAC" w:rsidRDefault="007769CA"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47.6</w:t>
            </w:r>
          </w:p>
        </w:tc>
        <w:tc>
          <w:tcPr>
            <w:tcW w:w="2839" w:type="dxa"/>
            <w:tcBorders>
              <w:top w:val="single" w:sz="4" w:space="0" w:color="auto"/>
              <w:left w:val="nil"/>
              <w:bottom w:val="nil"/>
              <w:right w:val="nil"/>
            </w:tcBorders>
            <w:vAlign w:val="center"/>
          </w:tcPr>
          <w:p w14:paraId="52E10C36"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p>
          <w:p w14:paraId="1E9E4883" w14:textId="77777777" w:rsidR="00CC3D95" w:rsidRPr="00156EAC" w:rsidRDefault="001D7429"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48.9 - 55.8</w:t>
            </w:r>
          </w:p>
          <w:p w14:paraId="39509BB6" w14:textId="77777777" w:rsidR="00CC3D95" w:rsidRPr="00156EAC" w:rsidRDefault="00F323AF"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44.2- 51.1</w:t>
            </w:r>
          </w:p>
        </w:tc>
      </w:tr>
      <w:tr w:rsidR="00CC3D95" w:rsidRPr="00156EAC" w14:paraId="57E45B36" w14:textId="77777777" w:rsidTr="00FC2BD3">
        <w:tc>
          <w:tcPr>
            <w:tcW w:w="2839" w:type="dxa"/>
            <w:tcBorders>
              <w:top w:val="nil"/>
              <w:left w:val="nil"/>
              <w:bottom w:val="nil"/>
              <w:right w:val="nil"/>
            </w:tcBorders>
            <w:vAlign w:val="center"/>
            <w:hideMark/>
          </w:tcPr>
          <w:p w14:paraId="158A7981" w14:textId="77777777" w:rsidR="00CC3D95" w:rsidRPr="00156EAC" w:rsidRDefault="00CC3D95" w:rsidP="00156EAC">
            <w:pPr>
              <w:autoSpaceDE w:val="0"/>
              <w:autoSpaceDN w:val="0"/>
              <w:adjustRightInd w:val="0"/>
              <w:spacing w:line="360" w:lineRule="auto"/>
              <w:jc w:val="both"/>
              <w:rPr>
                <w:rFonts w:ascii="Times New Roman" w:hAnsi="Times New Roman" w:cs="Times New Roman"/>
                <w:b/>
                <w:sz w:val="24"/>
                <w:szCs w:val="24"/>
                <w:lang w:val="en-GB"/>
              </w:rPr>
            </w:pPr>
            <w:r w:rsidRPr="00156EAC">
              <w:rPr>
                <w:rFonts w:ascii="Times New Roman" w:hAnsi="Times New Roman" w:cs="Times New Roman"/>
                <w:b/>
                <w:sz w:val="24"/>
                <w:szCs w:val="24"/>
                <w:lang w:val="en-GB"/>
              </w:rPr>
              <w:t>Education</w:t>
            </w:r>
          </w:p>
          <w:p w14:paraId="7C6417DC" w14:textId="77777777" w:rsidR="00CC3D95" w:rsidRPr="00156EAC" w:rsidRDefault="00CC3D95" w:rsidP="00156EAC">
            <w:pPr>
              <w:autoSpaceDE w:val="0"/>
              <w:autoSpaceDN w:val="0"/>
              <w:adjustRightInd w:val="0"/>
              <w:spacing w:line="360" w:lineRule="auto"/>
              <w:ind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none</w:t>
            </w:r>
          </w:p>
          <w:p w14:paraId="26F4567F"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primary</w:t>
            </w:r>
          </w:p>
          <w:p w14:paraId="06A71E7B"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secondary</w:t>
            </w:r>
          </w:p>
          <w:p w14:paraId="54490E14"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tertiary</w:t>
            </w:r>
          </w:p>
        </w:tc>
        <w:tc>
          <w:tcPr>
            <w:tcW w:w="2839" w:type="dxa"/>
            <w:tcBorders>
              <w:top w:val="nil"/>
              <w:left w:val="nil"/>
              <w:bottom w:val="nil"/>
              <w:right w:val="nil"/>
            </w:tcBorders>
            <w:vAlign w:val="center"/>
          </w:tcPr>
          <w:p w14:paraId="11ADF45A"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p>
          <w:p w14:paraId="5983E76D"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8</w:t>
            </w:r>
          </w:p>
          <w:p w14:paraId="34522C6C"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286</w:t>
            </w:r>
          </w:p>
          <w:p w14:paraId="4F7EED52"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440</w:t>
            </w:r>
          </w:p>
          <w:p w14:paraId="53634492"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67</w:t>
            </w:r>
          </w:p>
        </w:tc>
        <w:tc>
          <w:tcPr>
            <w:tcW w:w="2839" w:type="dxa"/>
            <w:tcBorders>
              <w:top w:val="nil"/>
              <w:left w:val="nil"/>
              <w:bottom w:val="nil"/>
              <w:right w:val="nil"/>
            </w:tcBorders>
            <w:vAlign w:val="center"/>
          </w:tcPr>
          <w:p w14:paraId="224A7074"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p>
          <w:p w14:paraId="1CC8DCB2" w14:textId="77777777" w:rsidR="00CC3D95" w:rsidRPr="00156EAC" w:rsidRDefault="007769CA"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1.1</w:t>
            </w:r>
          </w:p>
          <w:p w14:paraId="60C7683C" w14:textId="77777777" w:rsidR="00CC3D95" w:rsidRPr="00156EAC" w:rsidRDefault="007769CA"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35.7</w:t>
            </w:r>
          </w:p>
          <w:p w14:paraId="5CF6C240" w14:textId="77777777" w:rsidR="00CC3D95" w:rsidRPr="00156EAC" w:rsidRDefault="007769CA"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54.9</w:t>
            </w:r>
          </w:p>
          <w:p w14:paraId="01870624" w14:textId="77777777" w:rsidR="00CC3D95" w:rsidRPr="00156EAC" w:rsidRDefault="007769CA"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8.4</w:t>
            </w:r>
          </w:p>
        </w:tc>
        <w:tc>
          <w:tcPr>
            <w:tcW w:w="2839" w:type="dxa"/>
            <w:tcBorders>
              <w:top w:val="nil"/>
              <w:left w:val="nil"/>
              <w:bottom w:val="nil"/>
              <w:right w:val="nil"/>
            </w:tcBorders>
            <w:vAlign w:val="center"/>
          </w:tcPr>
          <w:p w14:paraId="34035457"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p>
          <w:p w14:paraId="7EC76F76" w14:textId="77777777" w:rsidR="00CC3D95" w:rsidRPr="00156EAC" w:rsidRDefault="001D7429"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0.5-1.9</w:t>
            </w:r>
          </w:p>
          <w:p w14:paraId="440BEFC0" w14:textId="77777777" w:rsidR="00CC3D95" w:rsidRPr="00156EAC" w:rsidRDefault="001D7429"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32.4-39.0</w:t>
            </w:r>
          </w:p>
          <w:p w14:paraId="18F96DF2" w14:textId="77777777" w:rsidR="00CC3D95" w:rsidRPr="00156EAC" w:rsidRDefault="001D7429"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51.4-58.3</w:t>
            </w:r>
          </w:p>
          <w:p w14:paraId="33FBA48C" w14:textId="77777777" w:rsidR="00CC3D95" w:rsidRPr="00156EAC" w:rsidRDefault="001D7429"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6.6-10.4</w:t>
            </w:r>
          </w:p>
        </w:tc>
      </w:tr>
      <w:tr w:rsidR="00CC3D95" w:rsidRPr="00156EAC" w14:paraId="00C660F8" w14:textId="77777777" w:rsidTr="00FC2BD3">
        <w:tc>
          <w:tcPr>
            <w:tcW w:w="2839" w:type="dxa"/>
            <w:tcBorders>
              <w:top w:val="nil"/>
              <w:left w:val="nil"/>
              <w:bottom w:val="nil"/>
              <w:right w:val="nil"/>
            </w:tcBorders>
            <w:vAlign w:val="center"/>
            <w:hideMark/>
          </w:tcPr>
          <w:p w14:paraId="6E8C03FA" w14:textId="77777777" w:rsidR="00CC3D95" w:rsidRPr="00156EAC" w:rsidRDefault="00CC3D95" w:rsidP="00156EAC">
            <w:pPr>
              <w:autoSpaceDE w:val="0"/>
              <w:autoSpaceDN w:val="0"/>
              <w:adjustRightInd w:val="0"/>
              <w:spacing w:line="360" w:lineRule="auto"/>
              <w:jc w:val="both"/>
              <w:rPr>
                <w:rFonts w:ascii="Times New Roman" w:hAnsi="Times New Roman" w:cs="Times New Roman"/>
                <w:b/>
                <w:sz w:val="24"/>
                <w:szCs w:val="24"/>
                <w:lang w:val="en-GB"/>
              </w:rPr>
            </w:pPr>
            <w:r w:rsidRPr="00156EAC">
              <w:rPr>
                <w:rFonts w:ascii="Times New Roman" w:hAnsi="Times New Roman" w:cs="Times New Roman"/>
                <w:b/>
                <w:sz w:val="24"/>
                <w:szCs w:val="24"/>
                <w:lang w:val="en-GB"/>
              </w:rPr>
              <w:t>Age</w:t>
            </w:r>
          </w:p>
          <w:p w14:paraId="0C81741A" w14:textId="77777777" w:rsidR="00CC3D95" w:rsidRPr="00156EAC" w:rsidRDefault="00CC3D95" w:rsidP="00156EAC">
            <w:pPr>
              <w:autoSpaceDE w:val="0"/>
              <w:autoSpaceDN w:val="0"/>
              <w:adjustRightInd w:val="0"/>
              <w:spacing w:line="360" w:lineRule="auto"/>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5-15</w:t>
            </w:r>
          </w:p>
          <w:p w14:paraId="5D4FBAAC" w14:textId="77777777" w:rsidR="00CC3D95" w:rsidRPr="00156EAC" w:rsidRDefault="00CC3D95" w:rsidP="00156EAC">
            <w:pPr>
              <w:autoSpaceDE w:val="0"/>
              <w:autoSpaceDN w:val="0"/>
              <w:adjustRightInd w:val="0"/>
              <w:spacing w:line="360" w:lineRule="auto"/>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16-50</w:t>
            </w:r>
          </w:p>
          <w:p w14:paraId="56B93F49" w14:textId="77777777" w:rsidR="00CC3D95" w:rsidRPr="00156EAC" w:rsidRDefault="00CC3D95" w:rsidP="00156EAC">
            <w:pPr>
              <w:autoSpaceDE w:val="0"/>
              <w:autoSpaceDN w:val="0"/>
              <w:adjustRightInd w:val="0"/>
              <w:spacing w:line="360" w:lineRule="auto"/>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51-65</w:t>
            </w:r>
          </w:p>
          <w:p w14:paraId="1BBDB574" w14:textId="77777777" w:rsidR="00CC3D95" w:rsidRPr="00156EAC" w:rsidRDefault="00CC3D95" w:rsidP="00156EAC">
            <w:pPr>
              <w:autoSpaceDE w:val="0"/>
              <w:autoSpaceDN w:val="0"/>
              <w:adjustRightInd w:val="0"/>
              <w:spacing w:line="360" w:lineRule="auto"/>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&gt;65</w:t>
            </w:r>
          </w:p>
        </w:tc>
        <w:tc>
          <w:tcPr>
            <w:tcW w:w="2839" w:type="dxa"/>
            <w:tcBorders>
              <w:top w:val="nil"/>
              <w:left w:val="nil"/>
              <w:bottom w:val="nil"/>
              <w:right w:val="nil"/>
            </w:tcBorders>
            <w:vAlign w:val="center"/>
          </w:tcPr>
          <w:p w14:paraId="57E6E620" w14:textId="77777777" w:rsidR="00CC3D95" w:rsidRPr="00156EAC" w:rsidRDefault="00CC3D95" w:rsidP="00156EAC">
            <w:pPr>
              <w:autoSpaceDE w:val="0"/>
              <w:autoSpaceDN w:val="0"/>
              <w:adjustRightInd w:val="0"/>
              <w:spacing w:line="360" w:lineRule="auto"/>
              <w:jc w:val="both"/>
              <w:rPr>
                <w:rFonts w:ascii="Times New Roman" w:hAnsi="Times New Roman" w:cs="Times New Roman"/>
                <w:sz w:val="24"/>
                <w:szCs w:val="24"/>
                <w:lang w:val="en-GB"/>
              </w:rPr>
            </w:pPr>
          </w:p>
          <w:p w14:paraId="5017424D" w14:textId="77777777" w:rsidR="00CC3D95" w:rsidRPr="00156EAC" w:rsidRDefault="00CC3D95" w:rsidP="00156EAC">
            <w:pPr>
              <w:autoSpaceDE w:val="0"/>
              <w:autoSpaceDN w:val="0"/>
              <w:adjustRightInd w:val="0"/>
              <w:spacing w:line="360" w:lineRule="auto"/>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145</w:t>
            </w:r>
          </w:p>
          <w:p w14:paraId="2757544C" w14:textId="77777777" w:rsidR="00CC3D95" w:rsidRPr="00156EAC" w:rsidRDefault="00CC3D95" w:rsidP="00156EAC">
            <w:pPr>
              <w:autoSpaceDE w:val="0"/>
              <w:autoSpaceDN w:val="0"/>
              <w:adjustRightInd w:val="0"/>
              <w:spacing w:line="360" w:lineRule="auto"/>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501</w:t>
            </w:r>
          </w:p>
          <w:p w14:paraId="5C49B6A8" w14:textId="77777777" w:rsidR="00CC3D95" w:rsidRPr="00156EAC" w:rsidRDefault="00CC3D95" w:rsidP="00156EAC">
            <w:pPr>
              <w:autoSpaceDE w:val="0"/>
              <w:autoSpaceDN w:val="0"/>
              <w:adjustRightInd w:val="0"/>
              <w:spacing w:line="360" w:lineRule="auto"/>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97</w:t>
            </w:r>
          </w:p>
          <w:p w14:paraId="12F13D13" w14:textId="77777777" w:rsidR="00CC3D95" w:rsidRPr="00156EAC" w:rsidRDefault="00CC3D95" w:rsidP="00156EAC">
            <w:pPr>
              <w:autoSpaceDE w:val="0"/>
              <w:autoSpaceDN w:val="0"/>
              <w:adjustRightInd w:val="0"/>
              <w:spacing w:line="360" w:lineRule="auto"/>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59</w:t>
            </w:r>
          </w:p>
        </w:tc>
        <w:tc>
          <w:tcPr>
            <w:tcW w:w="2839" w:type="dxa"/>
            <w:tcBorders>
              <w:top w:val="nil"/>
              <w:left w:val="nil"/>
              <w:bottom w:val="nil"/>
              <w:right w:val="nil"/>
            </w:tcBorders>
            <w:vAlign w:val="center"/>
          </w:tcPr>
          <w:p w14:paraId="4BC0C6E9" w14:textId="77777777" w:rsidR="00CC3D95" w:rsidRPr="00156EAC" w:rsidRDefault="00CC3D95" w:rsidP="00156EAC">
            <w:pPr>
              <w:autoSpaceDE w:val="0"/>
              <w:autoSpaceDN w:val="0"/>
              <w:adjustRightInd w:val="0"/>
              <w:spacing w:line="360" w:lineRule="auto"/>
              <w:jc w:val="both"/>
              <w:rPr>
                <w:rFonts w:ascii="Times New Roman" w:hAnsi="Times New Roman" w:cs="Times New Roman"/>
                <w:sz w:val="24"/>
                <w:szCs w:val="24"/>
                <w:lang w:val="en-GB"/>
              </w:rPr>
            </w:pPr>
          </w:p>
          <w:p w14:paraId="3D9BBDA6" w14:textId="77777777" w:rsidR="00CC3D95" w:rsidRPr="00156EAC" w:rsidRDefault="007769CA" w:rsidP="00156EAC">
            <w:pPr>
              <w:autoSpaceDE w:val="0"/>
              <w:autoSpaceDN w:val="0"/>
              <w:adjustRightInd w:val="0"/>
              <w:spacing w:line="360" w:lineRule="auto"/>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18.08</w:t>
            </w:r>
          </w:p>
          <w:p w14:paraId="1AC75D74" w14:textId="77777777" w:rsidR="00CC3D95" w:rsidRPr="00156EAC" w:rsidRDefault="007769CA" w:rsidP="00156EAC">
            <w:pPr>
              <w:autoSpaceDE w:val="0"/>
              <w:autoSpaceDN w:val="0"/>
              <w:adjustRightInd w:val="0"/>
              <w:spacing w:line="360" w:lineRule="auto"/>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62.47</w:t>
            </w:r>
          </w:p>
          <w:p w14:paraId="6D58DDF1" w14:textId="77777777" w:rsidR="00CC3D95" w:rsidRPr="00156EAC" w:rsidRDefault="007769CA" w:rsidP="00156EAC">
            <w:pPr>
              <w:autoSpaceDE w:val="0"/>
              <w:autoSpaceDN w:val="0"/>
              <w:adjustRightInd w:val="0"/>
              <w:spacing w:line="360" w:lineRule="auto"/>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12.09</w:t>
            </w:r>
          </w:p>
          <w:p w14:paraId="0547463D" w14:textId="77777777" w:rsidR="00CC3D95" w:rsidRPr="00156EAC" w:rsidRDefault="007769CA" w:rsidP="00156EAC">
            <w:pPr>
              <w:autoSpaceDE w:val="0"/>
              <w:autoSpaceDN w:val="0"/>
              <w:adjustRightInd w:val="0"/>
              <w:spacing w:line="360" w:lineRule="auto"/>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7.36</w:t>
            </w:r>
          </w:p>
        </w:tc>
        <w:tc>
          <w:tcPr>
            <w:tcW w:w="2839" w:type="dxa"/>
            <w:tcBorders>
              <w:top w:val="nil"/>
              <w:left w:val="nil"/>
              <w:bottom w:val="nil"/>
              <w:right w:val="nil"/>
            </w:tcBorders>
            <w:vAlign w:val="center"/>
          </w:tcPr>
          <w:p w14:paraId="1A5E43FD" w14:textId="77777777" w:rsidR="00CC3D95" w:rsidRPr="00156EAC" w:rsidRDefault="00CC3D95" w:rsidP="00156EAC">
            <w:pPr>
              <w:autoSpaceDE w:val="0"/>
              <w:autoSpaceDN w:val="0"/>
              <w:adjustRightInd w:val="0"/>
              <w:spacing w:line="360" w:lineRule="auto"/>
              <w:jc w:val="both"/>
              <w:rPr>
                <w:rFonts w:ascii="Times New Roman" w:hAnsi="Times New Roman" w:cs="Times New Roman"/>
                <w:sz w:val="24"/>
                <w:szCs w:val="24"/>
                <w:lang w:val="en-GB"/>
              </w:rPr>
            </w:pPr>
          </w:p>
          <w:p w14:paraId="2D6312BC" w14:textId="77777777" w:rsidR="00CC3D95" w:rsidRPr="00156EAC" w:rsidRDefault="000F41E9" w:rsidP="00156EAC">
            <w:pPr>
              <w:autoSpaceDE w:val="0"/>
              <w:autoSpaceDN w:val="0"/>
              <w:adjustRightInd w:val="0"/>
              <w:spacing w:line="360" w:lineRule="auto"/>
              <w:jc w:val="both"/>
              <w:rPr>
                <w:rFonts w:ascii="Times New Roman" w:hAnsi="Times New Roman" w:cs="Times New Roman"/>
                <w:sz w:val="24"/>
                <w:szCs w:val="24"/>
                <w:lang w:val="fr-FR"/>
              </w:rPr>
            </w:pPr>
            <w:r w:rsidRPr="00156EAC">
              <w:rPr>
                <w:rFonts w:ascii="Times New Roman" w:hAnsi="Times New Roman" w:cs="Times New Roman"/>
                <w:sz w:val="24"/>
                <w:szCs w:val="24"/>
              </w:rPr>
              <w:t>15.57 -20.89</w:t>
            </w:r>
          </w:p>
          <w:p w14:paraId="4CD27742" w14:textId="77777777" w:rsidR="00CC3D95" w:rsidRPr="00156EAC" w:rsidRDefault="000F41E9" w:rsidP="00156EAC">
            <w:pPr>
              <w:autoSpaceDE w:val="0"/>
              <w:autoSpaceDN w:val="0"/>
              <w:adjustRightInd w:val="0"/>
              <w:spacing w:line="360" w:lineRule="auto"/>
              <w:jc w:val="both"/>
              <w:rPr>
                <w:rFonts w:ascii="Times New Roman" w:hAnsi="Times New Roman" w:cs="Times New Roman"/>
                <w:sz w:val="24"/>
                <w:szCs w:val="24"/>
              </w:rPr>
            </w:pPr>
            <w:r w:rsidRPr="00156EAC">
              <w:rPr>
                <w:rFonts w:ascii="Times New Roman" w:hAnsi="Times New Roman" w:cs="Times New Roman"/>
                <w:sz w:val="24"/>
                <w:szCs w:val="24"/>
              </w:rPr>
              <w:t>59.07 -65.75</w:t>
            </w:r>
          </w:p>
          <w:p w14:paraId="41360B53" w14:textId="77777777" w:rsidR="00CC3D95" w:rsidRPr="00156EAC" w:rsidRDefault="000F41E9" w:rsidP="00156EAC">
            <w:pPr>
              <w:autoSpaceDE w:val="0"/>
              <w:autoSpaceDN w:val="0"/>
              <w:adjustRightInd w:val="0"/>
              <w:spacing w:line="360" w:lineRule="auto"/>
              <w:jc w:val="both"/>
              <w:rPr>
                <w:rFonts w:ascii="Times New Roman" w:hAnsi="Times New Roman" w:cs="Times New Roman"/>
                <w:sz w:val="24"/>
                <w:szCs w:val="24"/>
              </w:rPr>
            </w:pPr>
            <w:r w:rsidRPr="00156EAC">
              <w:rPr>
                <w:rFonts w:ascii="Times New Roman" w:hAnsi="Times New Roman" w:cs="Times New Roman"/>
                <w:sz w:val="24"/>
                <w:szCs w:val="24"/>
              </w:rPr>
              <w:t>10.02 -14.53</w:t>
            </w:r>
          </w:p>
          <w:p w14:paraId="515D3BA7" w14:textId="77777777" w:rsidR="00CC3D95" w:rsidRPr="00156EAC" w:rsidRDefault="000F41E9" w:rsidP="00156EAC">
            <w:pPr>
              <w:autoSpaceDE w:val="0"/>
              <w:autoSpaceDN w:val="0"/>
              <w:adjustRightInd w:val="0"/>
              <w:spacing w:line="360" w:lineRule="auto"/>
              <w:jc w:val="both"/>
              <w:rPr>
                <w:rFonts w:ascii="Times New Roman" w:hAnsi="Times New Roman" w:cs="Times New Roman"/>
                <w:sz w:val="24"/>
                <w:szCs w:val="24"/>
                <w:lang w:val="en-GB"/>
              </w:rPr>
            </w:pPr>
            <w:r w:rsidRPr="00156EAC">
              <w:rPr>
                <w:rFonts w:ascii="Times New Roman" w:hAnsi="Times New Roman" w:cs="Times New Roman"/>
                <w:sz w:val="24"/>
                <w:szCs w:val="24"/>
              </w:rPr>
              <w:t xml:space="preserve">5.75 </w:t>
            </w:r>
            <w:r w:rsidR="001D7429" w:rsidRPr="00156EAC">
              <w:rPr>
                <w:rFonts w:ascii="Times New Roman" w:hAnsi="Times New Roman" w:cs="Times New Roman"/>
                <w:sz w:val="24"/>
                <w:szCs w:val="24"/>
              </w:rPr>
              <w:tab/>
              <w:t>-9.37</w:t>
            </w:r>
          </w:p>
        </w:tc>
      </w:tr>
      <w:tr w:rsidR="00CC3D95" w:rsidRPr="00156EAC" w14:paraId="41C28EB7" w14:textId="77777777" w:rsidTr="00FC2BD3">
        <w:tc>
          <w:tcPr>
            <w:tcW w:w="2839" w:type="dxa"/>
            <w:tcBorders>
              <w:top w:val="nil"/>
              <w:left w:val="nil"/>
              <w:bottom w:val="single" w:sz="4" w:space="0" w:color="auto"/>
              <w:right w:val="nil"/>
            </w:tcBorders>
            <w:vAlign w:val="center"/>
            <w:hideMark/>
          </w:tcPr>
          <w:p w14:paraId="5582C1C4"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b/>
                <w:sz w:val="24"/>
                <w:szCs w:val="24"/>
                <w:lang w:val="en-GB"/>
              </w:rPr>
            </w:pPr>
            <w:r w:rsidRPr="00156EAC">
              <w:rPr>
                <w:rFonts w:ascii="Times New Roman" w:hAnsi="Times New Roman" w:cs="Times New Roman"/>
                <w:b/>
                <w:sz w:val="24"/>
                <w:szCs w:val="24"/>
                <w:lang w:val="en-GB"/>
              </w:rPr>
              <w:t>Health area</w:t>
            </w:r>
          </w:p>
          <w:p w14:paraId="14505479"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proofErr w:type="spellStart"/>
            <w:r w:rsidRPr="00156EAC">
              <w:rPr>
                <w:rFonts w:ascii="Times New Roman" w:hAnsi="Times New Roman" w:cs="Times New Roman"/>
                <w:sz w:val="24"/>
                <w:szCs w:val="24"/>
                <w:lang w:val="en-GB"/>
              </w:rPr>
              <w:t>Bagang</w:t>
            </w:r>
            <w:proofErr w:type="spellEnd"/>
            <w:r w:rsidRPr="00156EAC">
              <w:rPr>
                <w:rFonts w:ascii="Times New Roman" w:hAnsi="Times New Roman" w:cs="Times New Roman"/>
                <w:sz w:val="24"/>
                <w:szCs w:val="24"/>
                <w:lang w:val="en-GB"/>
              </w:rPr>
              <w:t xml:space="preserve"> West</w:t>
            </w:r>
          </w:p>
          <w:p w14:paraId="68C563D8"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Bambi</w:t>
            </w:r>
          </w:p>
          <w:p w14:paraId="77945704"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proofErr w:type="spellStart"/>
            <w:r w:rsidRPr="00156EAC">
              <w:rPr>
                <w:rFonts w:ascii="Times New Roman" w:hAnsi="Times New Roman" w:cs="Times New Roman"/>
                <w:sz w:val="24"/>
                <w:szCs w:val="24"/>
                <w:lang w:val="en-GB"/>
              </w:rPr>
              <w:t>Bamougong</w:t>
            </w:r>
            <w:proofErr w:type="spellEnd"/>
          </w:p>
          <w:p w14:paraId="10DB36D5"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proofErr w:type="spellStart"/>
            <w:r w:rsidRPr="00156EAC">
              <w:rPr>
                <w:rFonts w:ascii="Times New Roman" w:hAnsi="Times New Roman" w:cs="Times New Roman"/>
                <w:sz w:val="24"/>
                <w:szCs w:val="24"/>
                <w:lang w:val="en-GB"/>
              </w:rPr>
              <w:t>Batcham</w:t>
            </w:r>
            <w:proofErr w:type="spellEnd"/>
            <w:r w:rsidRPr="00156EAC">
              <w:rPr>
                <w:rFonts w:ascii="Times New Roman" w:hAnsi="Times New Roman" w:cs="Times New Roman"/>
                <w:sz w:val="24"/>
                <w:szCs w:val="24"/>
                <w:lang w:val="en-GB"/>
              </w:rPr>
              <w:t xml:space="preserve"> Chiefdom</w:t>
            </w:r>
          </w:p>
          <w:p w14:paraId="44D33EF4"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proofErr w:type="spellStart"/>
            <w:r w:rsidRPr="00156EAC">
              <w:rPr>
                <w:rFonts w:ascii="Times New Roman" w:hAnsi="Times New Roman" w:cs="Times New Roman"/>
                <w:sz w:val="24"/>
                <w:szCs w:val="24"/>
                <w:lang w:val="en-GB"/>
              </w:rPr>
              <w:t>Batcham</w:t>
            </w:r>
            <w:proofErr w:type="spellEnd"/>
            <w:r w:rsidRPr="00156EAC">
              <w:rPr>
                <w:rFonts w:ascii="Times New Roman" w:hAnsi="Times New Roman" w:cs="Times New Roman"/>
                <w:sz w:val="24"/>
                <w:szCs w:val="24"/>
                <w:lang w:val="en-GB"/>
              </w:rPr>
              <w:t xml:space="preserve"> </w:t>
            </w:r>
            <w:proofErr w:type="spellStart"/>
            <w:r w:rsidRPr="00156EAC">
              <w:rPr>
                <w:rFonts w:ascii="Times New Roman" w:hAnsi="Times New Roman" w:cs="Times New Roman"/>
                <w:sz w:val="24"/>
                <w:szCs w:val="24"/>
                <w:lang w:val="en-GB"/>
              </w:rPr>
              <w:t>Fiela</w:t>
            </w:r>
            <w:proofErr w:type="spellEnd"/>
          </w:p>
          <w:p w14:paraId="7722EB9B"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proofErr w:type="spellStart"/>
            <w:r w:rsidRPr="00156EAC">
              <w:rPr>
                <w:rFonts w:ascii="Times New Roman" w:hAnsi="Times New Roman" w:cs="Times New Roman"/>
                <w:sz w:val="24"/>
                <w:szCs w:val="24"/>
                <w:lang w:val="en-GB"/>
              </w:rPr>
              <w:t>Batcham</w:t>
            </w:r>
            <w:proofErr w:type="spellEnd"/>
            <w:r w:rsidRPr="00156EAC">
              <w:rPr>
                <w:rFonts w:ascii="Times New Roman" w:hAnsi="Times New Roman" w:cs="Times New Roman"/>
                <w:sz w:val="24"/>
                <w:szCs w:val="24"/>
                <w:lang w:val="en-GB"/>
              </w:rPr>
              <w:t xml:space="preserve"> City</w:t>
            </w:r>
          </w:p>
        </w:tc>
        <w:tc>
          <w:tcPr>
            <w:tcW w:w="2839" w:type="dxa"/>
            <w:tcBorders>
              <w:top w:val="nil"/>
              <w:left w:val="nil"/>
              <w:bottom w:val="single" w:sz="4" w:space="0" w:color="auto"/>
              <w:right w:val="nil"/>
            </w:tcBorders>
            <w:vAlign w:val="center"/>
          </w:tcPr>
          <w:p w14:paraId="11B598C4"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p>
          <w:p w14:paraId="7EB249A0"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93</w:t>
            </w:r>
          </w:p>
          <w:p w14:paraId="18BF88B2"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94</w:t>
            </w:r>
          </w:p>
          <w:p w14:paraId="06EBDB07"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175</w:t>
            </w:r>
          </w:p>
          <w:p w14:paraId="213E3E29"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193</w:t>
            </w:r>
          </w:p>
          <w:p w14:paraId="6BE38196"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142</w:t>
            </w:r>
          </w:p>
          <w:p w14:paraId="11EF3767"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105</w:t>
            </w:r>
          </w:p>
        </w:tc>
        <w:tc>
          <w:tcPr>
            <w:tcW w:w="2839" w:type="dxa"/>
            <w:tcBorders>
              <w:top w:val="nil"/>
              <w:left w:val="nil"/>
              <w:bottom w:val="single" w:sz="4" w:space="0" w:color="auto"/>
              <w:right w:val="nil"/>
            </w:tcBorders>
            <w:vAlign w:val="center"/>
          </w:tcPr>
          <w:p w14:paraId="212D3114"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p>
          <w:p w14:paraId="5DC08AC1" w14:textId="77777777" w:rsidR="00CC3D95" w:rsidRPr="00156EAC" w:rsidRDefault="007769CA"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11.6</w:t>
            </w:r>
          </w:p>
          <w:p w14:paraId="3E97FAAF" w14:textId="77777777" w:rsidR="00CC3D95" w:rsidRPr="00156EAC" w:rsidRDefault="007769CA"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11.7</w:t>
            </w:r>
          </w:p>
          <w:p w14:paraId="6778ECFB" w14:textId="77777777" w:rsidR="00CC3D95" w:rsidRPr="00156EAC" w:rsidRDefault="007769CA"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21.8</w:t>
            </w:r>
          </w:p>
          <w:p w14:paraId="2528381F" w14:textId="77777777" w:rsidR="00CC3D95" w:rsidRPr="00156EAC" w:rsidRDefault="007769CA"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24.1</w:t>
            </w:r>
          </w:p>
          <w:p w14:paraId="12FDB60F" w14:textId="77777777" w:rsidR="00CC3D95" w:rsidRPr="00156EAC" w:rsidRDefault="007769CA"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17.7</w:t>
            </w:r>
          </w:p>
          <w:p w14:paraId="2A3E2B27" w14:textId="77777777" w:rsidR="00CC3D95" w:rsidRPr="00156EAC" w:rsidRDefault="007769CA"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13.1</w:t>
            </w:r>
          </w:p>
        </w:tc>
        <w:tc>
          <w:tcPr>
            <w:tcW w:w="2839" w:type="dxa"/>
            <w:tcBorders>
              <w:top w:val="nil"/>
              <w:left w:val="nil"/>
              <w:bottom w:val="single" w:sz="4" w:space="0" w:color="auto"/>
              <w:right w:val="nil"/>
            </w:tcBorders>
            <w:vAlign w:val="center"/>
          </w:tcPr>
          <w:p w14:paraId="2E0A3882"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p>
          <w:p w14:paraId="592695B0" w14:textId="77777777" w:rsidR="00CC3D95" w:rsidRPr="00156EAC" w:rsidRDefault="000F41E9"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9.5- 13.9</w:t>
            </w:r>
          </w:p>
          <w:p w14:paraId="38495F33" w14:textId="77777777" w:rsidR="00CC3D95" w:rsidRPr="00156EAC" w:rsidRDefault="000F41E9"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9.6-14.1</w:t>
            </w:r>
          </w:p>
          <w:p w14:paraId="71D5EE55" w14:textId="77777777" w:rsidR="00CC3D95" w:rsidRPr="00156EAC" w:rsidRDefault="000F41E9"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19.1- 24.8</w:t>
            </w:r>
          </w:p>
          <w:p w14:paraId="372525AB" w14:textId="77777777" w:rsidR="00CC3D95" w:rsidRPr="00156EAC" w:rsidRDefault="000F41E9"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21.2-27.1</w:t>
            </w:r>
          </w:p>
          <w:p w14:paraId="2722F574" w14:textId="77777777" w:rsidR="00CC3D95" w:rsidRPr="00156EAC" w:rsidRDefault="000F41E9"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15.2-20.5</w:t>
            </w:r>
          </w:p>
          <w:p w14:paraId="032F1EF0" w14:textId="77777777" w:rsidR="00CC3D95" w:rsidRPr="00156EAC" w:rsidRDefault="000F41E9"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10.9-15.6</w:t>
            </w:r>
          </w:p>
        </w:tc>
      </w:tr>
    </w:tbl>
    <w:p w14:paraId="5FE9DECB" w14:textId="77777777" w:rsidR="001A7779" w:rsidRDefault="001A7779" w:rsidP="00156EAC">
      <w:pPr>
        <w:spacing w:before="100" w:beforeAutospacing="1" w:after="100" w:afterAutospacing="1" w:line="360" w:lineRule="auto"/>
        <w:jc w:val="both"/>
        <w:rPr>
          <w:rFonts w:ascii="Times New Roman" w:eastAsia="Times New Roman" w:hAnsi="Times New Roman" w:cs="Times New Roman"/>
          <w:sz w:val="24"/>
          <w:szCs w:val="24"/>
          <w:lang w:eastAsia="fr-FR"/>
        </w:rPr>
      </w:pPr>
    </w:p>
    <w:p w14:paraId="2A14FA33" w14:textId="77777777" w:rsidR="005E447B" w:rsidRPr="00D26F19" w:rsidRDefault="007F6A12" w:rsidP="007F6A12">
      <w:pPr>
        <w:pStyle w:val="ListParagraph"/>
        <w:numPr>
          <w:ilvl w:val="0"/>
          <w:numId w:val="15"/>
        </w:numPr>
        <w:spacing w:line="360" w:lineRule="auto"/>
        <w:jc w:val="both"/>
        <w:rPr>
          <w:rFonts w:ascii="Times New Roman" w:hAnsi="Times New Roman" w:cs="Times New Roman"/>
          <w:b/>
          <w:color w:val="000000" w:themeColor="text1"/>
          <w:sz w:val="24"/>
          <w:szCs w:val="24"/>
          <w:lang w:val="en-GB"/>
        </w:rPr>
      </w:pPr>
      <w:r w:rsidRPr="00D26F19">
        <w:rPr>
          <w:rFonts w:ascii="Times New Roman" w:hAnsi="Times New Roman" w:cs="Times New Roman"/>
          <w:b/>
          <w:color w:val="000000" w:themeColor="text1"/>
          <w:sz w:val="24"/>
          <w:szCs w:val="24"/>
          <w:lang w:val="en-GB"/>
        </w:rPr>
        <w:t>Therapeutic coverage</w:t>
      </w:r>
    </w:p>
    <w:p w14:paraId="01CF31F3" w14:textId="0EB93A50" w:rsidR="00DF5E51" w:rsidRDefault="00DF5E51" w:rsidP="00DF5E51">
      <w:pPr>
        <w:autoSpaceDE w:val="0"/>
        <w:autoSpaceDN w:val="0"/>
        <w:adjustRightInd w:val="0"/>
        <w:spacing w:after="0" w:line="360" w:lineRule="auto"/>
        <w:jc w:val="both"/>
        <w:rPr>
          <w:rFonts w:ascii="Times New Roman" w:hAnsi="Times New Roman" w:cs="Times New Roman"/>
          <w:sz w:val="24"/>
          <w:szCs w:val="24"/>
          <w:lang w:val="en-GB"/>
        </w:rPr>
      </w:pPr>
      <w:r w:rsidRPr="00DF5E51">
        <w:rPr>
          <w:rFonts w:ascii="Times New Roman" w:hAnsi="Times New Roman" w:cs="Times New Roman"/>
          <w:sz w:val="24"/>
          <w:szCs w:val="24"/>
          <w:lang w:val="en-GB"/>
        </w:rPr>
        <w:lastRenderedPageBreak/>
        <w:t xml:space="preserve">In the table below we observe that the health area with the highest coverage was </w:t>
      </w:r>
      <w:proofErr w:type="spellStart"/>
      <w:r w:rsidRPr="00DF5E51">
        <w:rPr>
          <w:rFonts w:ascii="Times New Roman" w:hAnsi="Times New Roman" w:cs="Times New Roman"/>
          <w:sz w:val="24"/>
          <w:szCs w:val="24"/>
          <w:lang w:val="en-GB"/>
        </w:rPr>
        <w:t>batcham</w:t>
      </w:r>
      <w:proofErr w:type="spellEnd"/>
      <w:r w:rsidRPr="00DF5E51">
        <w:rPr>
          <w:rFonts w:ascii="Times New Roman" w:hAnsi="Times New Roman" w:cs="Times New Roman"/>
          <w:sz w:val="24"/>
          <w:szCs w:val="24"/>
          <w:lang w:val="en-GB"/>
        </w:rPr>
        <w:t xml:space="preserve"> </w:t>
      </w:r>
      <w:proofErr w:type="spellStart"/>
      <w:r w:rsidRPr="00DF5E51">
        <w:rPr>
          <w:rFonts w:ascii="Times New Roman" w:hAnsi="Times New Roman" w:cs="Times New Roman"/>
          <w:sz w:val="24"/>
          <w:szCs w:val="24"/>
          <w:lang w:val="en-GB"/>
        </w:rPr>
        <w:t>chefferie</w:t>
      </w:r>
      <w:proofErr w:type="spellEnd"/>
      <w:r w:rsidRPr="00DF5E51">
        <w:rPr>
          <w:rFonts w:ascii="Times New Roman" w:hAnsi="Times New Roman" w:cs="Times New Roman"/>
          <w:sz w:val="24"/>
          <w:szCs w:val="24"/>
          <w:lang w:val="en-GB"/>
        </w:rPr>
        <w:t xml:space="preserve"> 169(87.9%) followed by </w:t>
      </w:r>
      <w:proofErr w:type="spellStart"/>
      <w:r w:rsidRPr="00DF5E51">
        <w:rPr>
          <w:rFonts w:ascii="Times New Roman" w:hAnsi="Times New Roman" w:cs="Times New Roman"/>
          <w:sz w:val="24"/>
          <w:szCs w:val="24"/>
          <w:lang w:val="en-GB"/>
        </w:rPr>
        <w:t>bangang</w:t>
      </w:r>
      <w:proofErr w:type="spellEnd"/>
      <w:r w:rsidRPr="00DF5E51">
        <w:rPr>
          <w:rFonts w:ascii="Times New Roman" w:hAnsi="Times New Roman" w:cs="Times New Roman"/>
          <w:sz w:val="24"/>
          <w:szCs w:val="24"/>
          <w:lang w:val="en-GB"/>
        </w:rPr>
        <w:t xml:space="preserve"> </w:t>
      </w:r>
      <w:proofErr w:type="spellStart"/>
      <w:r w:rsidRPr="00DF5E51">
        <w:rPr>
          <w:rFonts w:ascii="Times New Roman" w:hAnsi="Times New Roman" w:cs="Times New Roman"/>
          <w:sz w:val="24"/>
          <w:szCs w:val="24"/>
          <w:lang w:val="en-GB"/>
        </w:rPr>
        <w:t>ouest</w:t>
      </w:r>
      <w:proofErr w:type="spellEnd"/>
      <w:r w:rsidRPr="00DF5E51">
        <w:rPr>
          <w:rFonts w:ascii="Times New Roman" w:hAnsi="Times New Roman" w:cs="Times New Roman"/>
          <w:sz w:val="24"/>
          <w:szCs w:val="24"/>
          <w:lang w:val="en-GB"/>
        </w:rPr>
        <w:t xml:space="preserve"> 81(87.1%) and then </w:t>
      </w:r>
      <w:proofErr w:type="spellStart"/>
      <w:r w:rsidRPr="00DF5E51">
        <w:rPr>
          <w:rFonts w:ascii="Times New Roman" w:hAnsi="Times New Roman" w:cs="Times New Roman"/>
          <w:sz w:val="24"/>
          <w:szCs w:val="24"/>
          <w:lang w:val="en-GB"/>
        </w:rPr>
        <w:t>bambi</w:t>
      </w:r>
      <w:proofErr w:type="spellEnd"/>
      <w:r w:rsidRPr="00DF5E51">
        <w:rPr>
          <w:rFonts w:ascii="Times New Roman" w:hAnsi="Times New Roman" w:cs="Times New Roman"/>
          <w:sz w:val="24"/>
          <w:szCs w:val="24"/>
          <w:lang w:val="en-GB"/>
        </w:rPr>
        <w:t xml:space="preserve"> 61(64.9%). The health areas with the least coverage </w:t>
      </w:r>
      <w:r w:rsidR="0063592E" w:rsidRPr="00490927">
        <w:rPr>
          <w:rFonts w:ascii="Times New Roman" w:hAnsi="Times New Roman" w:cs="Times New Roman"/>
          <w:sz w:val="24"/>
          <w:szCs w:val="24"/>
          <w:highlight w:val="yellow"/>
          <w:lang w:val="en-GB"/>
        </w:rPr>
        <w:t xml:space="preserve">were </w:t>
      </w:r>
      <w:proofErr w:type="spellStart"/>
      <w:r w:rsidR="0063592E" w:rsidRPr="00490927">
        <w:rPr>
          <w:rFonts w:ascii="Times New Roman" w:hAnsi="Times New Roman" w:cs="Times New Roman"/>
          <w:sz w:val="24"/>
          <w:szCs w:val="24"/>
          <w:highlight w:val="yellow"/>
          <w:lang w:val="en-GB"/>
        </w:rPr>
        <w:t>Bamougong</w:t>
      </w:r>
      <w:proofErr w:type="spellEnd"/>
      <w:r w:rsidR="0063592E" w:rsidRPr="00490927">
        <w:rPr>
          <w:rFonts w:ascii="Times New Roman" w:hAnsi="Times New Roman" w:cs="Times New Roman"/>
          <w:sz w:val="24"/>
          <w:szCs w:val="24"/>
          <w:highlight w:val="yellow"/>
          <w:lang w:val="en-GB"/>
        </w:rPr>
        <w:t xml:space="preserve"> </w:t>
      </w:r>
      <w:r w:rsidRPr="00DF5E51">
        <w:rPr>
          <w:rFonts w:ascii="Times New Roman" w:hAnsi="Times New Roman" w:cs="Times New Roman"/>
          <w:sz w:val="24"/>
          <w:szCs w:val="24"/>
          <w:lang w:val="en-GB"/>
        </w:rPr>
        <w:t>57(32.6%)</w:t>
      </w:r>
      <w:r w:rsidR="0063592E">
        <w:rPr>
          <w:rFonts w:ascii="Times New Roman" w:hAnsi="Times New Roman" w:cs="Times New Roman"/>
          <w:sz w:val="24"/>
          <w:szCs w:val="24"/>
          <w:lang w:val="en-GB"/>
        </w:rPr>
        <w:t>,</w:t>
      </w:r>
      <w:r w:rsidRPr="00DF5E51">
        <w:rPr>
          <w:rFonts w:ascii="Times New Roman" w:hAnsi="Times New Roman" w:cs="Times New Roman"/>
          <w:sz w:val="24"/>
          <w:szCs w:val="24"/>
          <w:lang w:val="en-GB"/>
        </w:rPr>
        <w:t xml:space="preserve"> followed by </w:t>
      </w:r>
      <w:proofErr w:type="spellStart"/>
      <w:r w:rsidR="0063592E" w:rsidRPr="00490927">
        <w:rPr>
          <w:rFonts w:ascii="Times New Roman" w:hAnsi="Times New Roman" w:cs="Times New Roman"/>
          <w:sz w:val="24"/>
          <w:szCs w:val="24"/>
          <w:highlight w:val="yellow"/>
          <w:lang w:val="en-GB"/>
        </w:rPr>
        <w:t>Batcham</w:t>
      </w:r>
      <w:proofErr w:type="spellEnd"/>
      <w:r w:rsidR="0063592E" w:rsidRPr="00490927">
        <w:rPr>
          <w:rFonts w:ascii="Times New Roman" w:hAnsi="Times New Roman" w:cs="Times New Roman"/>
          <w:sz w:val="24"/>
          <w:szCs w:val="24"/>
          <w:highlight w:val="yellow"/>
          <w:lang w:val="en-GB"/>
        </w:rPr>
        <w:t xml:space="preserve"> City</w:t>
      </w:r>
      <w:r w:rsidRPr="00490927">
        <w:rPr>
          <w:rFonts w:ascii="Times New Roman" w:hAnsi="Times New Roman" w:cs="Times New Roman"/>
          <w:sz w:val="24"/>
          <w:szCs w:val="24"/>
          <w:highlight w:val="yellow"/>
          <w:lang w:val="en-GB"/>
        </w:rPr>
        <w:t xml:space="preserve"> </w:t>
      </w:r>
      <w:r w:rsidRPr="00DF5E51">
        <w:rPr>
          <w:rFonts w:ascii="Times New Roman" w:hAnsi="Times New Roman" w:cs="Times New Roman"/>
          <w:sz w:val="24"/>
          <w:szCs w:val="24"/>
          <w:lang w:val="en-GB"/>
        </w:rPr>
        <w:t>37(35.2%). Overall</w:t>
      </w:r>
      <w:r w:rsidR="0063592E">
        <w:rPr>
          <w:rFonts w:ascii="Times New Roman" w:hAnsi="Times New Roman" w:cs="Times New Roman"/>
          <w:sz w:val="24"/>
          <w:szCs w:val="24"/>
          <w:lang w:val="en-GB"/>
        </w:rPr>
        <w:t>,</w:t>
      </w:r>
      <w:r w:rsidRPr="00DF5E51">
        <w:rPr>
          <w:rFonts w:ascii="Times New Roman" w:hAnsi="Times New Roman" w:cs="Times New Roman"/>
          <w:sz w:val="24"/>
          <w:szCs w:val="24"/>
          <w:lang w:val="en-GB"/>
        </w:rPr>
        <w:t xml:space="preserve"> the health district of </w:t>
      </w:r>
      <w:r w:rsidR="0063592E" w:rsidRPr="00490927">
        <w:rPr>
          <w:rFonts w:ascii="Times New Roman" w:hAnsi="Times New Roman" w:cs="Times New Roman"/>
          <w:sz w:val="24"/>
          <w:szCs w:val="24"/>
          <w:highlight w:val="yellow"/>
          <w:lang w:val="en-GB"/>
        </w:rPr>
        <w:t xml:space="preserve">Batham </w:t>
      </w:r>
      <w:r w:rsidRPr="00DF5E51">
        <w:rPr>
          <w:rFonts w:ascii="Times New Roman" w:hAnsi="Times New Roman" w:cs="Times New Roman"/>
          <w:sz w:val="24"/>
          <w:szCs w:val="24"/>
          <w:lang w:val="en-GB"/>
        </w:rPr>
        <w:t>had a drug coverage of 61.7%.</w:t>
      </w:r>
    </w:p>
    <w:p w14:paraId="04BBEC55" w14:textId="77777777" w:rsidR="00296E8C" w:rsidRPr="00DF5E51" w:rsidRDefault="00296E8C" w:rsidP="00DF5E51">
      <w:pPr>
        <w:autoSpaceDE w:val="0"/>
        <w:autoSpaceDN w:val="0"/>
        <w:adjustRightInd w:val="0"/>
        <w:spacing w:after="0" w:line="360" w:lineRule="auto"/>
        <w:jc w:val="both"/>
        <w:rPr>
          <w:rFonts w:ascii="Times New Roman" w:hAnsi="Times New Roman" w:cs="Times New Roman"/>
          <w:sz w:val="24"/>
          <w:szCs w:val="24"/>
          <w:lang w:val="en-GB"/>
        </w:rPr>
      </w:pPr>
    </w:p>
    <w:p w14:paraId="38661D13" w14:textId="739CDA7E" w:rsidR="00DF5E51" w:rsidRPr="004B7225" w:rsidRDefault="00DF5E51" w:rsidP="00DF5E51">
      <w:pPr>
        <w:pStyle w:val="Caption"/>
        <w:rPr>
          <w:rFonts w:ascii="Times New Roman" w:hAnsi="Times New Roman" w:cs="Times New Roman"/>
          <w:i w:val="0"/>
          <w:iCs w:val="0"/>
          <w:color w:val="auto"/>
          <w:sz w:val="24"/>
          <w:szCs w:val="24"/>
          <w:lang w:val="en-GB"/>
        </w:rPr>
      </w:pPr>
      <w:bookmarkStart w:id="1" w:name="_Toc107492417"/>
      <w:r w:rsidRPr="004B7225">
        <w:rPr>
          <w:rFonts w:ascii="Times New Roman" w:hAnsi="Times New Roman" w:cs="Times New Roman"/>
          <w:i w:val="0"/>
          <w:iCs w:val="0"/>
          <w:color w:val="auto"/>
          <w:sz w:val="24"/>
          <w:szCs w:val="24"/>
          <w:lang w:val="en-CA"/>
        </w:rPr>
        <w:t xml:space="preserve">Table </w:t>
      </w:r>
      <w:r w:rsidRPr="004B7225">
        <w:rPr>
          <w:rFonts w:ascii="Times New Roman" w:hAnsi="Times New Roman" w:cs="Times New Roman"/>
          <w:i w:val="0"/>
          <w:iCs w:val="0"/>
          <w:color w:val="auto"/>
          <w:sz w:val="24"/>
          <w:szCs w:val="24"/>
        </w:rPr>
        <w:fldChar w:fldCharType="begin"/>
      </w:r>
      <w:r w:rsidRPr="004B7225">
        <w:rPr>
          <w:rFonts w:ascii="Times New Roman" w:hAnsi="Times New Roman" w:cs="Times New Roman"/>
          <w:i w:val="0"/>
          <w:iCs w:val="0"/>
          <w:color w:val="auto"/>
          <w:sz w:val="24"/>
          <w:szCs w:val="24"/>
          <w:lang w:val="en-CA"/>
        </w:rPr>
        <w:instrText xml:space="preserve"> SEQ Table \* ARABIC </w:instrText>
      </w:r>
      <w:r w:rsidRPr="004B7225">
        <w:rPr>
          <w:rFonts w:ascii="Times New Roman" w:hAnsi="Times New Roman" w:cs="Times New Roman"/>
          <w:i w:val="0"/>
          <w:iCs w:val="0"/>
          <w:color w:val="auto"/>
          <w:sz w:val="24"/>
          <w:szCs w:val="24"/>
        </w:rPr>
        <w:fldChar w:fldCharType="separate"/>
      </w:r>
      <w:r w:rsidR="00423B4B" w:rsidRPr="004B7225">
        <w:rPr>
          <w:rFonts w:ascii="Times New Roman" w:hAnsi="Times New Roman" w:cs="Times New Roman"/>
          <w:i w:val="0"/>
          <w:iCs w:val="0"/>
          <w:noProof/>
          <w:color w:val="auto"/>
          <w:sz w:val="24"/>
          <w:szCs w:val="24"/>
          <w:lang w:val="en-CA"/>
        </w:rPr>
        <w:t>2</w:t>
      </w:r>
      <w:r w:rsidRPr="004B7225">
        <w:rPr>
          <w:rFonts w:ascii="Times New Roman" w:hAnsi="Times New Roman" w:cs="Times New Roman"/>
          <w:i w:val="0"/>
          <w:iCs w:val="0"/>
          <w:color w:val="auto"/>
          <w:sz w:val="24"/>
          <w:szCs w:val="24"/>
        </w:rPr>
        <w:fldChar w:fldCharType="end"/>
      </w:r>
      <w:r w:rsidRPr="004B7225">
        <w:rPr>
          <w:rFonts w:ascii="Times New Roman" w:hAnsi="Times New Roman" w:cs="Times New Roman"/>
          <w:i w:val="0"/>
          <w:iCs w:val="0"/>
          <w:color w:val="auto"/>
          <w:sz w:val="24"/>
          <w:szCs w:val="24"/>
          <w:lang w:val="en-CA"/>
        </w:rPr>
        <w:t xml:space="preserve"> </w:t>
      </w:r>
      <w:r w:rsidRPr="004B7225">
        <w:rPr>
          <w:rFonts w:ascii="Times New Roman" w:hAnsi="Times New Roman" w:cs="Times New Roman"/>
          <w:i w:val="0"/>
          <w:iCs w:val="0"/>
          <w:color w:val="auto"/>
          <w:sz w:val="24"/>
          <w:szCs w:val="24"/>
          <w:lang w:val="en-GB"/>
        </w:rPr>
        <w:t xml:space="preserve">Therapeutic coverage of the 2021 round of </w:t>
      </w:r>
      <w:r w:rsidR="007F6A12" w:rsidRPr="004B7225">
        <w:rPr>
          <w:rFonts w:ascii="Times New Roman" w:hAnsi="Times New Roman" w:cs="Times New Roman"/>
          <w:i w:val="0"/>
          <w:iCs w:val="0"/>
          <w:color w:val="auto"/>
          <w:sz w:val="24"/>
          <w:szCs w:val="24"/>
          <w:lang w:val="en-GB"/>
        </w:rPr>
        <w:t xml:space="preserve">Community Directed Treatment with Ivermectin in the </w:t>
      </w:r>
      <w:proofErr w:type="spellStart"/>
      <w:r w:rsidR="007F6A12" w:rsidRPr="004B7225">
        <w:rPr>
          <w:rFonts w:ascii="Times New Roman" w:hAnsi="Times New Roman" w:cs="Times New Roman"/>
          <w:i w:val="0"/>
          <w:iCs w:val="0"/>
          <w:color w:val="auto"/>
          <w:sz w:val="24"/>
          <w:szCs w:val="24"/>
          <w:lang w:val="en-GB"/>
        </w:rPr>
        <w:t>Batcham</w:t>
      </w:r>
      <w:proofErr w:type="spellEnd"/>
      <w:r w:rsidR="007F6A12" w:rsidRPr="004B7225">
        <w:rPr>
          <w:rFonts w:ascii="Times New Roman" w:hAnsi="Times New Roman" w:cs="Times New Roman"/>
          <w:i w:val="0"/>
          <w:iCs w:val="0"/>
          <w:color w:val="auto"/>
          <w:sz w:val="24"/>
          <w:szCs w:val="24"/>
          <w:lang w:val="en-GB"/>
        </w:rPr>
        <w:t xml:space="preserve"> health district</w:t>
      </w:r>
      <w:r w:rsidR="0063592E">
        <w:rPr>
          <w:rFonts w:ascii="Times New Roman" w:hAnsi="Times New Roman" w:cs="Times New Roman"/>
          <w:i w:val="0"/>
          <w:iCs w:val="0"/>
          <w:color w:val="auto"/>
          <w:sz w:val="24"/>
          <w:szCs w:val="24"/>
          <w:lang w:val="en-GB"/>
        </w:rPr>
        <w:t>,</w:t>
      </w:r>
      <w:r w:rsidR="007F6A12" w:rsidRPr="004B7225">
        <w:rPr>
          <w:rFonts w:ascii="Times New Roman" w:hAnsi="Times New Roman" w:cs="Times New Roman"/>
          <w:i w:val="0"/>
          <w:iCs w:val="0"/>
          <w:color w:val="auto"/>
          <w:sz w:val="24"/>
          <w:szCs w:val="24"/>
          <w:lang w:val="en-GB"/>
        </w:rPr>
        <w:t xml:space="preserve"> per HA</w:t>
      </w:r>
      <w:bookmarkEnd w:id="1"/>
    </w:p>
    <w:tbl>
      <w:tblPr>
        <w:tblStyle w:val="TableGrid"/>
        <w:tblW w:w="868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17"/>
        <w:gridCol w:w="1916"/>
        <w:gridCol w:w="1916"/>
        <w:gridCol w:w="1936"/>
      </w:tblGrid>
      <w:tr w:rsidR="00DF5E51" w:rsidRPr="00D26F19" w14:paraId="4CB4159F" w14:textId="77777777" w:rsidTr="00D26F19">
        <w:trPr>
          <w:trHeight w:val="341"/>
        </w:trPr>
        <w:tc>
          <w:tcPr>
            <w:tcW w:w="2915" w:type="dxa"/>
            <w:tcBorders>
              <w:top w:val="single" w:sz="4" w:space="0" w:color="auto"/>
              <w:bottom w:val="single" w:sz="4" w:space="0" w:color="auto"/>
            </w:tcBorders>
          </w:tcPr>
          <w:p w14:paraId="4076221B" w14:textId="77777777" w:rsidR="00DF5E51" w:rsidRPr="00D26F19" w:rsidRDefault="00DF5E51" w:rsidP="00FC2BD3">
            <w:pPr>
              <w:autoSpaceDE w:val="0"/>
              <w:autoSpaceDN w:val="0"/>
              <w:adjustRightInd w:val="0"/>
              <w:spacing w:line="320" w:lineRule="atLeast"/>
              <w:ind w:left="60" w:right="60"/>
              <w:jc w:val="both"/>
              <w:rPr>
                <w:rFonts w:ascii="Times New Roman" w:hAnsi="Times New Roman" w:cs="Times New Roman"/>
                <w:b/>
                <w:i/>
                <w:szCs w:val="18"/>
                <w:lang w:val="en-GB"/>
              </w:rPr>
            </w:pPr>
          </w:p>
        </w:tc>
        <w:tc>
          <w:tcPr>
            <w:tcW w:w="1916" w:type="dxa"/>
            <w:tcBorders>
              <w:top w:val="single" w:sz="4" w:space="0" w:color="auto"/>
              <w:bottom w:val="single" w:sz="4" w:space="0" w:color="auto"/>
            </w:tcBorders>
            <w:hideMark/>
          </w:tcPr>
          <w:p w14:paraId="0F0749EB" w14:textId="5B31BFB9" w:rsidR="00DF5E51" w:rsidRPr="00D26F19" w:rsidRDefault="004B7225" w:rsidP="00FC2BD3">
            <w:pPr>
              <w:autoSpaceDE w:val="0"/>
              <w:autoSpaceDN w:val="0"/>
              <w:adjustRightInd w:val="0"/>
              <w:spacing w:line="320" w:lineRule="atLeast"/>
              <w:ind w:left="60" w:right="60"/>
              <w:jc w:val="both"/>
              <w:rPr>
                <w:rFonts w:ascii="Times New Roman" w:hAnsi="Times New Roman" w:cs="Times New Roman"/>
                <w:b/>
                <w:sz w:val="24"/>
                <w:szCs w:val="18"/>
                <w:lang w:val="en-GB"/>
              </w:rPr>
            </w:pPr>
            <w:r w:rsidRPr="00D26F19">
              <w:rPr>
                <w:rFonts w:ascii="Times New Roman" w:hAnsi="Times New Roman" w:cs="Times New Roman"/>
                <w:b/>
                <w:sz w:val="24"/>
                <w:szCs w:val="18"/>
                <w:lang w:val="en-GB"/>
              </w:rPr>
              <w:t>F</w:t>
            </w:r>
            <w:r w:rsidR="00DF5E51" w:rsidRPr="00D26F19">
              <w:rPr>
                <w:rFonts w:ascii="Times New Roman" w:hAnsi="Times New Roman" w:cs="Times New Roman"/>
                <w:b/>
                <w:sz w:val="24"/>
                <w:szCs w:val="18"/>
                <w:lang w:val="en-GB"/>
              </w:rPr>
              <w:t>requency</w:t>
            </w:r>
          </w:p>
        </w:tc>
        <w:tc>
          <w:tcPr>
            <w:tcW w:w="1916" w:type="dxa"/>
            <w:tcBorders>
              <w:top w:val="single" w:sz="4" w:space="0" w:color="auto"/>
              <w:bottom w:val="single" w:sz="4" w:space="0" w:color="auto"/>
            </w:tcBorders>
            <w:hideMark/>
          </w:tcPr>
          <w:p w14:paraId="25AB6343" w14:textId="77777777" w:rsidR="00DF5E51" w:rsidRPr="00D26F19" w:rsidRDefault="00DF5E51" w:rsidP="00FC2BD3">
            <w:pPr>
              <w:autoSpaceDE w:val="0"/>
              <w:autoSpaceDN w:val="0"/>
              <w:adjustRightInd w:val="0"/>
              <w:spacing w:line="320" w:lineRule="atLeast"/>
              <w:ind w:left="60" w:right="60"/>
              <w:jc w:val="both"/>
              <w:rPr>
                <w:rFonts w:ascii="Times New Roman" w:hAnsi="Times New Roman" w:cs="Times New Roman"/>
                <w:b/>
                <w:sz w:val="24"/>
                <w:szCs w:val="18"/>
                <w:lang w:val="en-GB"/>
              </w:rPr>
            </w:pPr>
            <w:r w:rsidRPr="00D26F19">
              <w:rPr>
                <w:rFonts w:ascii="Times New Roman" w:hAnsi="Times New Roman" w:cs="Times New Roman"/>
                <w:b/>
                <w:sz w:val="24"/>
                <w:szCs w:val="18"/>
                <w:lang w:val="en-GB"/>
              </w:rPr>
              <w:t>Percentage (%)</w:t>
            </w:r>
          </w:p>
        </w:tc>
        <w:tc>
          <w:tcPr>
            <w:tcW w:w="1936" w:type="dxa"/>
            <w:tcBorders>
              <w:top w:val="single" w:sz="4" w:space="0" w:color="auto"/>
              <w:bottom w:val="single" w:sz="4" w:space="0" w:color="auto"/>
            </w:tcBorders>
            <w:hideMark/>
          </w:tcPr>
          <w:p w14:paraId="3B0BBF3B" w14:textId="77777777" w:rsidR="00DF5E51" w:rsidRPr="00D26F19" w:rsidRDefault="00DF5E51" w:rsidP="00FC2BD3">
            <w:pPr>
              <w:autoSpaceDE w:val="0"/>
              <w:autoSpaceDN w:val="0"/>
              <w:adjustRightInd w:val="0"/>
              <w:spacing w:line="320" w:lineRule="atLeast"/>
              <w:ind w:left="60" w:right="60"/>
              <w:jc w:val="both"/>
              <w:rPr>
                <w:rFonts w:ascii="Times New Roman" w:hAnsi="Times New Roman" w:cs="Times New Roman"/>
                <w:b/>
                <w:sz w:val="24"/>
                <w:szCs w:val="18"/>
                <w:lang w:val="fr-FR"/>
              </w:rPr>
            </w:pPr>
            <w:r w:rsidRPr="00D26F19">
              <w:rPr>
                <w:rFonts w:ascii="Times New Roman" w:hAnsi="Times New Roman" w:cs="Times New Roman"/>
                <w:b/>
                <w:sz w:val="24"/>
                <w:szCs w:val="18"/>
              </w:rPr>
              <w:t>95.0% CI</w:t>
            </w:r>
          </w:p>
        </w:tc>
      </w:tr>
      <w:tr w:rsidR="00DF5E51" w:rsidRPr="00BD55C0" w14:paraId="43BAD620" w14:textId="77777777" w:rsidTr="00D26F19">
        <w:trPr>
          <w:trHeight w:val="341"/>
        </w:trPr>
        <w:tc>
          <w:tcPr>
            <w:tcW w:w="2915" w:type="dxa"/>
            <w:tcBorders>
              <w:top w:val="single" w:sz="4" w:space="0" w:color="auto"/>
            </w:tcBorders>
            <w:hideMark/>
          </w:tcPr>
          <w:p w14:paraId="33AE50C6" w14:textId="77777777" w:rsidR="00DF5E51" w:rsidRPr="00BD55C0" w:rsidRDefault="00DF5E51" w:rsidP="00FC2BD3">
            <w:pPr>
              <w:autoSpaceDE w:val="0"/>
              <w:autoSpaceDN w:val="0"/>
              <w:adjustRightInd w:val="0"/>
              <w:spacing w:line="320" w:lineRule="atLeast"/>
              <w:ind w:left="60" w:right="60"/>
              <w:jc w:val="both"/>
              <w:rPr>
                <w:rFonts w:ascii="Times New Roman" w:hAnsi="Times New Roman" w:cs="Times New Roman"/>
                <w:iCs/>
                <w:szCs w:val="18"/>
                <w:lang w:val="en-GB"/>
              </w:rPr>
            </w:pPr>
            <w:r w:rsidRPr="00BD55C0">
              <w:rPr>
                <w:rFonts w:ascii="Times New Roman" w:hAnsi="Times New Roman" w:cs="Times New Roman"/>
                <w:iCs/>
                <w:szCs w:val="18"/>
                <w:lang w:val="en-GB"/>
              </w:rPr>
              <w:t>BAGANG WEST</w:t>
            </w:r>
          </w:p>
        </w:tc>
        <w:tc>
          <w:tcPr>
            <w:tcW w:w="1916" w:type="dxa"/>
            <w:tcBorders>
              <w:top w:val="single" w:sz="4" w:space="0" w:color="auto"/>
            </w:tcBorders>
            <w:hideMark/>
          </w:tcPr>
          <w:p w14:paraId="415D97DE" w14:textId="77777777" w:rsidR="00DF5E51" w:rsidRPr="00BD55C0" w:rsidRDefault="00DF5E51" w:rsidP="00FC2BD3">
            <w:pPr>
              <w:autoSpaceDE w:val="0"/>
              <w:autoSpaceDN w:val="0"/>
              <w:adjustRightInd w:val="0"/>
              <w:spacing w:line="320" w:lineRule="atLeast"/>
              <w:ind w:left="60" w:right="60"/>
              <w:jc w:val="both"/>
              <w:rPr>
                <w:rFonts w:ascii="Times New Roman" w:hAnsi="Times New Roman" w:cs="Times New Roman"/>
                <w:szCs w:val="18"/>
                <w:lang w:val="en-GB"/>
              </w:rPr>
            </w:pPr>
            <w:r w:rsidRPr="00BD55C0">
              <w:rPr>
                <w:rFonts w:ascii="Times New Roman" w:hAnsi="Times New Roman" w:cs="Times New Roman"/>
                <w:szCs w:val="18"/>
                <w:lang w:val="en-GB"/>
              </w:rPr>
              <w:t>81</w:t>
            </w:r>
          </w:p>
        </w:tc>
        <w:tc>
          <w:tcPr>
            <w:tcW w:w="1916" w:type="dxa"/>
            <w:tcBorders>
              <w:top w:val="single" w:sz="4" w:space="0" w:color="auto"/>
            </w:tcBorders>
            <w:hideMark/>
          </w:tcPr>
          <w:p w14:paraId="3E97F49E" w14:textId="77777777" w:rsidR="00DF5E51" w:rsidRPr="00BD55C0" w:rsidRDefault="00296E8C" w:rsidP="00FC2BD3">
            <w:pPr>
              <w:autoSpaceDE w:val="0"/>
              <w:autoSpaceDN w:val="0"/>
              <w:adjustRightInd w:val="0"/>
              <w:spacing w:line="320" w:lineRule="atLeast"/>
              <w:ind w:left="60" w:right="60"/>
              <w:jc w:val="both"/>
              <w:rPr>
                <w:rFonts w:ascii="Times New Roman" w:hAnsi="Times New Roman" w:cs="Times New Roman"/>
                <w:szCs w:val="18"/>
                <w:lang w:val="en-GB"/>
              </w:rPr>
            </w:pPr>
            <w:r>
              <w:rPr>
                <w:rFonts w:ascii="Times New Roman" w:hAnsi="Times New Roman" w:cs="Times New Roman"/>
                <w:szCs w:val="18"/>
                <w:lang w:val="en-GB"/>
              </w:rPr>
              <w:t>87.1</w:t>
            </w:r>
          </w:p>
        </w:tc>
        <w:tc>
          <w:tcPr>
            <w:tcW w:w="1936" w:type="dxa"/>
            <w:tcBorders>
              <w:top w:val="single" w:sz="4" w:space="0" w:color="auto"/>
            </w:tcBorders>
            <w:hideMark/>
          </w:tcPr>
          <w:p w14:paraId="66902A7C" w14:textId="77777777" w:rsidR="00DF5E51" w:rsidRPr="00BD55C0" w:rsidRDefault="00296E8C" w:rsidP="00FC2BD3">
            <w:pPr>
              <w:autoSpaceDE w:val="0"/>
              <w:autoSpaceDN w:val="0"/>
              <w:adjustRightInd w:val="0"/>
              <w:spacing w:line="320" w:lineRule="atLeast"/>
              <w:ind w:left="60" w:right="60"/>
              <w:jc w:val="both"/>
              <w:rPr>
                <w:rFonts w:ascii="Times New Roman" w:hAnsi="Times New Roman" w:cs="Times New Roman"/>
                <w:szCs w:val="18"/>
                <w:lang w:val="en-GB"/>
              </w:rPr>
            </w:pPr>
            <w:r>
              <w:rPr>
                <w:rFonts w:ascii="Times New Roman" w:hAnsi="Times New Roman" w:cs="Times New Roman"/>
                <w:szCs w:val="18"/>
                <w:lang w:val="en-GB"/>
              </w:rPr>
              <w:t>79.2-92.7</w:t>
            </w:r>
          </w:p>
        </w:tc>
      </w:tr>
      <w:tr w:rsidR="00DF5E51" w:rsidRPr="00BD55C0" w14:paraId="73772370" w14:textId="77777777" w:rsidTr="00D26F19">
        <w:trPr>
          <w:trHeight w:val="375"/>
        </w:trPr>
        <w:tc>
          <w:tcPr>
            <w:tcW w:w="2915" w:type="dxa"/>
            <w:hideMark/>
          </w:tcPr>
          <w:p w14:paraId="71B565DC" w14:textId="77777777" w:rsidR="00DF5E51" w:rsidRPr="00BD55C0" w:rsidRDefault="00DF5E51" w:rsidP="00FC2BD3">
            <w:pPr>
              <w:autoSpaceDE w:val="0"/>
              <w:autoSpaceDN w:val="0"/>
              <w:adjustRightInd w:val="0"/>
              <w:spacing w:line="320" w:lineRule="atLeast"/>
              <w:ind w:left="60" w:right="60"/>
              <w:jc w:val="both"/>
              <w:rPr>
                <w:rFonts w:ascii="Times New Roman" w:hAnsi="Times New Roman" w:cs="Times New Roman"/>
                <w:szCs w:val="18"/>
                <w:lang w:val="en-GB"/>
              </w:rPr>
            </w:pPr>
            <w:r w:rsidRPr="00BD55C0">
              <w:rPr>
                <w:rFonts w:ascii="Times New Roman" w:hAnsi="Times New Roman" w:cs="Times New Roman"/>
                <w:szCs w:val="18"/>
                <w:lang w:val="en-GB"/>
              </w:rPr>
              <w:t>BAMBI</w:t>
            </w:r>
          </w:p>
        </w:tc>
        <w:tc>
          <w:tcPr>
            <w:tcW w:w="1916" w:type="dxa"/>
            <w:hideMark/>
          </w:tcPr>
          <w:p w14:paraId="571199C3" w14:textId="77777777" w:rsidR="00DF5E51" w:rsidRPr="00BD55C0" w:rsidRDefault="00DF5E51" w:rsidP="00FC2BD3">
            <w:pPr>
              <w:autoSpaceDE w:val="0"/>
              <w:autoSpaceDN w:val="0"/>
              <w:adjustRightInd w:val="0"/>
              <w:spacing w:line="320" w:lineRule="atLeast"/>
              <w:ind w:left="60" w:right="60"/>
              <w:jc w:val="both"/>
              <w:rPr>
                <w:rFonts w:ascii="Times New Roman" w:hAnsi="Times New Roman" w:cs="Times New Roman"/>
                <w:szCs w:val="18"/>
                <w:lang w:val="en-GB"/>
              </w:rPr>
            </w:pPr>
            <w:r w:rsidRPr="00BD55C0">
              <w:rPr>
                <w:rFonts w:ascii="Times New Roman" w:hAnsi="Times New Roman" w:cs="Times New Roman"/>
                <w:szCs w:val="18"/>
                <w:lang w:val="en-GB"/>
              </w:rPr>
              <w:t>61</w:t>
            </w:r>
          </w:p>
        </w:tc>
        <w:tc>
          <w:tcPr>
            <w:tcW w:w="1916" w:type="dxa"/>
            <w:hideMark/>
          </w:tcPr>
          <w:p w14:paraId="5944BCF5" w14:textId="77777777" w:rsidR="00DF5E51" w:rsidRPr="00BD55C0" w:rsidRDefault="00296E8C" w:rsidP="00FC2BD3">
            <w:pPr>
              <w:autoSpaceDE w:val="0"/>
              <w:autoSpaceDN w:val="0"/>
              <w:adjustRightInd w:val="0"/>
              <w:spacing w:line="320" w:lineRule="atLeast"/>
              <w:ind w:left="60" w:right="60"/>
              <w:jc w:val="both"/>
              <w:rPr>
                <w:rFonts w:ascii="Times New Roman" w:hAnsi="Times New Roman" w:cs="Times New Roman"/>
                <w:szCs w:val="18"/>
                <w:lang w:val="en-GB"/>
              </w:rPr>
            </w:pPr>
            <w:r>
              <w:rPr>
                <w:rFonts w:ascii="Times New Roman" w:hAnsi="Times New Roman" w:cs="Times New Roman"/>
                <w:szCs w:val="18"/>
                <w:lang w:val="en-GB"/>
              </w:rPr>
              <w:t>64.9</w:t>
            </w:r>
          </w:p>
        </w:tc>
        <w:tc>
          <w:tcPr>
            <w:tcW w:w="1936" w:type="dxa"/>
            <w:hideMark/>
          </w:tcPr>
          <w:p w14:paraId="3D11EB28" w14:textId="77777777" w:rsidR="00DF5E51" w:rsidRPr="00BD55C0" w:rsidRDefault="00296E8C" w:rsidP="00FC2BD3">
            <w:pPr>
              <w:autoSpaceDE w:val="0"/>
              <w:autoSpaceDN w:val="0"/>
              <w:adjustRightInd w:val="0"/>
              <w:spacing w:line="320" w:lineRule="atLeast"/>
              <w:ind w:left="60" w:right="60"/>
              <w:jc w:val="both"/>
              <w:rPr>
                <w:rFonts w:ascii="Times New Roman" w:hAnsi="Times New Roman" w:cs="Times New Roman"/>
                <w:szCs w:val="18"/>
                <w:lang w:val="en-GB"/>
              </w:rPr>
            </w:pPr>
            <w:r>
              <w:rPr>
                <w:rFonts w:ascii="Times New Roman" w:hAnsi="Times New Roman" w:cs="Times New Roman"/>
                <w:szCs w:val="18"/>
                <w:lang w:val="en-GB"/>
              </w:rPr>
              <w:t>54.9-74.0</w:t>
            </w:r>
          </w:p>
        </w:tc>
      </w:tr>
      <w:tr w:rsidR="00DF5E51" w:rsidRPr="00BD55C0" w14:paraId="56B476D7" w14:textId="77777777" w:rsidTr="00D26F19">
        <w:trPr>
          <w:trHeight w:val="358"/>
        </w:trPr>
        <w:tc>
          <w:tcPr>
            <w:tcW w:w="2915" w:type="dxa"/>
            <w:hideMark/>
          </w:tcPr>
          <w:p w14:paraId="3C976B96" w14:textId="77777777" w:rsidR="00DF5E51" w:rsidRPr="00BD55C0" w:rsidRDefault="00DF5E51" w:rsidP="00FC2BD3">
            <w:pPr>
              <w:autoSpaceDE w:val="0"/>
              <w:autoSpaceDN w:val="0"/>
              <w:adjustRightInd w:val="0"/>
              <w:spacing w:line="320" w:lineRule="atLeast"/>
              <w:ind w:left="60" w:right="60"/>
              <w:jc w:val="both"/>
              <w:rPr>
                <w:rFonts w:ascii="Times New Roman" w:hAnsi="Times New Roman" w:cs="Times New Roman"/>
                <w:szCs w:val="18"/>
                <w:lang w:val="en-GB"/>
              </w:rPr>
            </w:pPr>
            <w:r w:rsidRPr="00BD55C0">
              <w:rPr>
                <w:rFonts w:ascii="Times New Roman" w:hAnsi="Times New Roman" w:cs="Times New Roman"/>
                <w:szCs w:val="18"/>
                <w:lang w:val="en-GB"/>
              </w:rPr>
              <w:t>BAMOUGONG</w:t>
            </w:r>
          </w:p>
        </w:tc>
        <w:tc>
          <w:tcPr>
            <w:tcW w:w="1916" w:type="dxa"/>
            <w:hideMark/>
          </w:tcPr>
          <w:p w14:paraId="1807228D" w14:textId="77777777" w:rsidR="00DF5E51" w:rsidRPr="00BD55C0" w:rsidRDefault="00DF5E51" w:rsidP="00FC2BD3">
            <w:pPr>
              <w:autoSpaceDE w:val="0"/>
              <w:autoSpaceDN w:val="0"/>
              <w:adjustRightInd w:val="0"/>
              <w:spacing w:line="320" w:lineRule="atLeast"/>
              <w:ind w:left="60" w:right="60"/>
              <w:jc w:val="both"/>
              <w:rPr>
                <w:rFonts w:ascii="Times New Roman" w:hAnsi="Times New Roman" w:cs="Times New Roman"/>
                <w:szCs w:val="18"/>
                <w:lang w:val="en-GB"/>
              </w:rPr>
            </w:pPr>
            <w:r w:rsidRPr="00BD55C0">
              <w:rPr>
                <w:rFonts w:ascii="Times New Roman" w:hAnsi="Times New Roman" w:cs="Times New Roman"/>
                <w:szCs w:val="18"/>
                <w:lang w:val="en-GB"/>
              </w:rPr>
              <w:t>57</w:t>
            </w:r>
          </w:p>
        </w:tc>
        <w:tc>
          <w:tcPr>
            <w:tcW w:w="1916" w:type="dxa"/>
            <w:hideMark/>
          </w:tcPr>
          <w:p w14:paraId="64C53285" w14:textId="77777777" w:rsidR="00DF5E51" w:rsidRPr="00BD55C0" w:rsidRDefault="00296E8C" w:rsidP="00FC2BD3">
            <w:pPr>
              <w:autoSpaceDE w:val="0"/>
              <w:autoSpaceDN w:val="0"/>
              <w:adjustRightInd w:val="0"/>
              <w:spacing w:line="320" w:lineRule="atLeast"/>
              <w:ind w:left="60" w:right="60"/>
              <w:jc w:val="both"/>
              <w:rPr>
                <w:rFonts w:ascii="Times New Roman" w:hAnsi="Times New Roman" w:cs="Times New Roman"/>
                <w:szCs w:val="18"/>
                <w:lang w:val="en-GB"/>
              </w:rPr>
            </w:pPr>
            <w:r>
              <w:rPr>
                <w:rFonts w:ascii="Times New Roman" w:hAnsi="Times New Roman" w:cs="Times New Roman"/>
                <w:szCs w:val="18"/>
                <w:lang w:val="en-GB"/>
              </w:rPr>
              <w:t>32.6</w:t>
            </w:r>
          </w:p>
        </w:tc>
        <w:tc>
          <w:tcPr>
            <w:tcW w:w="1936" w:type="dxa"/>
            <w:hideMark/>
          </w:tcPr>
          <w:p w14:paraId="7C2FF41A" w14:textId="77777777" w:rsidR="00DF5E51" w:rsidRPr="00BD55C0" w:rsidRDefault="00296E8C" w:rsidP="00FC2BD3">
            <w:pPr>
              <w:autoSpaceDE w:val="0"/>
              <w:autoSpaceDN w:val="0"/>
              <w:adjustRightInd w:val="0"/>
              <w:spacing w:line="320" w:lineRule="atLeast"/>
              <w:ind w:left="60" w:right="60"/>
              <w:jc w:val="both"/>
              <w:rPr>
                <w:rFonts w:ascii="Times New Roman" w:hAnsi="Times New Roman" w:cs="Times New Roman"/>
                <w:szCs w:val="18"/>
                <w:lang w:val="en-GB"/>
              </w:rPr>
            </w:pPr>
            <w:r>
              <w:rPr>
                <w:rFonts w:ascii="Times New Roman" w:hAnsi="Times New Roman" w:cs="Times New Roman"/>
                <w:szCs w:val="18"/>
                <w:lang w:val="en-GB"/>
              </w:rPr>
              <w:t>26.0-39.8</w:t>
            </w:r>
          </w:p>
        </w:tc>
      </w:tr>
      <w:tr w:rsidR="00DF5E51" w:rsidRPr="00BD55C0" w14:paraId="7025B22A" w14:textId="77777777" w:rsidTr="00D26F19">
        <w:trPr>
          <w:trHeight w:val="397"/>
        </w:trPr>
        <w:tc>
          <w:tcPr>
            <w:tcW w:w="2915" w:type="dxa"/>
            <w:hideMark/>
          </w:tcPr>
          <w:p w14:paraId="643FF76F" w14:textId="77777777" w:rsidR="00DF5E51" w:rsidRPr="00BD55C0" w:rsidRDefault="00DF5E51" w:rsidP="00FC2BD3">
            <w:pPr>
              <w:autoSpaceDE w:val="0"/>
              <w:autoSpaceDN w:val="0"/>
              <w:adjustRightInd w:val="0"/>
              <w:spacing w:line="320" w:lineRule="atLeast"/>
              <w:ind w:left="60" w:right="60"/>
              <w:jc w:val="both"/>
              <w:rPr>
                <w:rFonts w:ascii="Times New Roman" w:hAnsi="Times New Roman" w:cs="Times New Roman"/>
                <w:szCs w:val="18"/>
                <w:lang w:val="en-GB"/>
              </w:rPr>
            </w:pPr>
            <w:r w:rsidRPr="00BD55C0">
              <w:rPr>
                <w:rFonts w:ascii="Times New Roman" w:hAnsi="Times New Roman" w:cs="Times New Roman"/>
                <w:szCs w:val="18"/>
                <w:lang w:val="en-GB"/>
              </w:rPr>
              <w:t>BATCHAM CHIEF</w:t>
            </w:r>
          </w:p>
        </w:tc>
        <w:tc>
          <w:tcPr>
            <w:tcW w:w="1916" w:type="dxa"/>
            <w:hideMark/>
          </w:tcPr>
          <w:p w14:paraId="05045BA8" w14:textId="77777777" w:rsidR="00DF5E51" w:rsidRPr="00BD55C0" w:rsidRDefault="00DF5E51" w:rsidP="00FC2BD3">
            <w:pPr>
              <w:autoSpaceDE w:val="0"/>
              <w:autoSpaceDN w:val="0"/>
              <w:adjustRightInd w:val="0"/>
              <w:spacing w:line="320" w:lineRule="atLeast"/>
              <w:ind w:left="60" w:right="60"/>
              <w:jc w:val="both"/>
              <w:rPr>
                <w:rFonts w:ascii="Times New Roman" w:hAnsi="Times New Roman" w:cs="Times New Roman"/>
                <w:szCs w:val="18"/>
                <w:lang w:val="en-GB"/>
              </w:rPr>
            </w:pPr>
            <w:r w:rsidRPr="00BD55C0">
              <w:rPr>
                <w:rFonts w:ascii="Times New Roman" w:hAnsi="Times New Roman" w:cs="Times New Roman"/>
                <w:szCs w:val="18"/>
                <w:lang w:val="en-GB"/>
              </w:rPr>
              <w:t>169</w:t>
            </w:r>
          </w:p>
        </w:tc>
        <w:tc>
          <w:tcPr>
            <w:tcW w:w="1916" w:type="dxa"/>
            <w:hideMark/>
          </w:tcPr>
          <w:p w14:paraId="133CF8F3" w14:textId="77777777" w:rsidR="00DF5E51" w:rsidRPr="00BD55C0" w:rsidRDefault="00296E8C" w:rsidP="00FC2BD3">
            <w:pPr>
              <w:autoSpaceDE w:val="0"/>
              <w:autoSpaceDN w:val="0"/>
              <w:adjustRightInd w:val="0"/>
              <w:spacing w:line="320" w:lineRule="atLeast"/>
              <w:ind w:left="60" w:right="60"/>
              <w:jc w:val="both"/>
              <w:rPr>
                <w:rFonts w:ascii="Times New Roman" w:hAnsi="Times New Roman" w:cs="Times New Roman"/>
                <w:szCs w:val="18"/>
                <w:lang w:val="en-GB"/>
              </w:rPr>
            </w:pPr>
            <w:r>
              <w:rPr>
                <w:rFonts w:ascii="Times New Roman" w:hAnsi="Times New Roman" w:cs="Times New Roman"/>
                <w:szCs w:val="18"/>
                <w:lang w:val="en-GB"/>
              </w:rPr>
              <w:t>87.6</w:t>
            </w:r>
          </w:p>
        </w:tc>
        <w:tc>
          <w:tcPr>
            <w:tcW w:w="1936" w:type="dxa"/>
            <w:hideMark/>
          </w:tcPr>
          <w:p w14:paraId="25274F9B" w14:textId="77777777" w:rsidR="00DF5E51" w:rsidRPr="00BD55C0" w:rsidRDefault="00DF5E51" w:rsidP="00FC2BD3">
            <w:pPr>
              <w:autoSpaceDE w:val="0"/>
              <w:autoSpaceDN w:val="0"/>
              <w:adjustRightInd w:val="0"/>
              <w:spacing w:line="320" w:lineRule="atLeast"/>
              <w:ind w:left="60" w:right="60"/>
              <w:jc w:val="both"/>
              <w:rPr>
                <w:rFonts w:ascii="Times New Roman" w:hAnsi="Times New Roman" w:cs="Times New Roman"/>
                <w:szCs w:val="18"/>
                <w:lang w:val="en-GB"/>
              </w:rPr>
            </w:pPr>
            <w:r w:rsidRPr="00BD55C0">
              <w:rPr>
                <w:rFonts w:ascii="Times New Roman" w:hAnsi="Times New Roman" w:cs="Times New Roman"/>
                <w:szCs w:val="18"/>
                <w:lang w:val="en-GB"/>
              </w:rPr>
              <w:t>82.4-91.7</w:t>
            </w:r>
          </w:p>
        </w:tc>
      </w:tr>
      <w:tr w:rsidR="00DF5E51" w:rsidRPr="00BD55C0" w14:paraId="3571F78C" w14:textId="77777777" w:rsidTr="00D26F19">
        <w:trPr>
          <w:trHeight w:val="358"/>
        </w:trPr>
        <w:tc>
          <w:tcPr>
            <w:tcW w:w="2915" w:type="dxa"/>
            <w:hideMark/>
          </w:tcPr>
          <w:p w14:paraId="7130F2AF" w14:textId="77777777" w:rsidR="00DF5E51" w:rsidRPr="00BD55C0" w:rsidRDefault="00DF5E51" w:rsidP="00FC2BD3">
            <w:pPr>
              <w:autoSpaceDE w:val="0"/>
              <w:autoSpaceDN w:val="0"/>
              <w:adjustRightInd w:val="0"/>
              <w:spacing w:line="320" w:lineRule="atLeast"/>
              <w:ind w:left="60" w:right="60"/>
              <w:jc w:val="both"/>
              <w:rPr>
                <w:rFonts w:ascii="Times New Roman" w:hAnsi="Times New Roman" w:cs="Times New Roman"/>
                <w:szCs w:val="18"/>
                <w:lang w:val="en-GB"/>
              </w:rPr>
            </w:pPr>
            <w:r w:rsidRPr="00BD55C0">
              <w:rPr>
                <w:rFonts w:ascii="Times New Roman" w:hAnsi="Times New Roman" w:cs="Times New Roman"/>
                <w:szCs w:val="18"/>
                <w:lang w:val="en-GB"/>
              </w:rPr>
              <w:t>BATCHAM FIELA</w:t>
            </w:r>
          </w:p>
        </w:tc>
        <w:tc>
          <w:tcPr>
            <w:tcW w:w="1916" w:type="dxa"/>
            <w:hideMark/>
          </w:tcPr>
          <w:p w14:paraId="7DDB2678" w14:textId="77777777" w:rsidR="00DF5E51" w:rsidRPr="00BD55C0" w:rsidRDefault="00DF5E51" w:rsidP="00FC2BD3">
            <w:pPr>
              <w:autoSpaceDE w:val="0"/>
              <w:autoSpaceDN w:val="0"/>
              <w:adjustRightInd w:val="0"/>
              <w:spacing w:line="320" w:lineRule="atLeast"/>
              <w:ind w:left="60" w:right="60"/>
              <w:jc w:val="both"/>
              <w:rPr>
                <w:rFonts w:ascii="Times New Roman" w:hAnsi="Times New Roman" w:cs="Times New Roman"/>
                <w:szCs w:val="18"/>
                <w:lang w:val="en-GB"/>
              </w:rPr>
            </w:pPr>
            <w:r w:rsidRPr="00BD55C0">
              <w:rPr>
                <w:rFonts w:ascii="Times New Roman" w:hAnsi="Times New Roman" w:cs="Times New Roman"/>
                <w:szCs w:val="18"/>
                <w:lang w:val="en-GB"/>
              </w:rPr>
              <w:t>90</w:t>
            </w:r>
          </w:p>
        </w:tc>
        <w:tc>
          <w:tcPr>
            <w:tcW w:w="1916" w:type="dxa"/>
            <w:hideMark/>
          </w:tcPr>
          <w:p w14:paraId="5B5FD662" w14:textId="77777777" w:rsidR="00DF5E51" w:rsidRPr="00BD55C0" w:rsidRDefault="00296E8C" w:rsidP="00FC2BD3">
            <w:pPr>
              <w:autoSpaceDE w:val="0"/>
              <w:autoSpaceDN w:val="0"/>
              <w:adjustRightInd w:val="0"/>
              <w:spacing w:line="320" w:lineRule="atLeast"/>
              <w:ind w:left="60" w:right="60"/>
              <w:jc w:val="both"/>
              <w:rPr>
                <w:rFonts w:ascii="Times New Roman" w:hAnsi="Times New Roman" w:cs="Times New Roman"/>
                <w:szCs w:val="18"/>
                <w:lang w:val="en-GB"/>
              </w:rPr>
            </w:pPr>
            <w:r>
              <w:rPr>
                <w:rFonts w:ascii="Times New Roman" w:hAnsi="Times New Roman" w:cs="Times New Roman"/>
                <w:szCs w:val="18"/>
                <w:lang w:val="en-GB"/>
              </w:rPr>
              <w:t>63.4</w:t>
            </w:r>
          </w:p>
        </w:tc>
        <w:tc>
          <w:tcPr>
            <w:tcW w:w="1936" w:type="dxa"/>
            <w:hideMark/>
          </w:tcPr>
          <w:p w14:paraId="06B05322" w14:textId="77777777" w:rsidR="00DF5E51" w:rsidRPr="00BD55C0" w:rsidRDefault="00296E8C" w:rsidP="00FC2BD3">
            <w:pPr>
              <w:autoSpaceDE w:val="0"/>
              <w:autoSpaceDN w:val="0"/>
              <w:adjustRightInd w:val="0"/>
              <w:spacing w:line="320" w:lineRule="atLeast"/>
              <w:ind w:left="60" w:right="60"/>
              <w:jc w:val="both"/>
              <w:rPr>
                <w:rFonts w:ascii="Times New Roman" w:hAnsi="Times New Roman" w:cs="Times New Roman"/>
                <w:szCs w:val="18"/>
                <w:lang w:val="en-GB"/>
              </w:rPr>
            </w:pPr>
            <w:r>
              <w:rPr>
                <w:rFonts w:ascii="Times New Roman" w:hAnsi="Times New Roman" w:cs="Times New Roman"/>
                <w:szCs w:val="18"/>
                <w:lang w:val="en-GB"/>
              </w:rPr>
              <w:t>55.3-71.0</w:t>
            </w:r>
          </w:p>
        </w:tc>
      </w:tr>
      <w:tr w:rsidR="00DF5E51" w:rsidRPr="00BD55C0" w14:paraId="376FEA60" w14:textId="77777777" w:rsidTr="00D26F19">
        <w:trPr>
          <w:trHeight w:val="375"/>
        </w:trPr>
        <w:tc>
          <w:tcPr>
            <w:tcW w:w="2915" w:type="dxa"/>
            <w:hideMark/>
          </w:tcPr>
          <w:p w14:paraId="7032988A" w14:textId="77777777" w:rsidR="00DF5E51" w:rsidRPr="00BD55C0" w:rsidRDefault="00DF5E51" w:rsidP="00FC2BD3">
            <w:pPr>
              <w:autoSpaceDE w:val="0"/>
              <w:autoSpaceDN w:val="0"/>
              <w:adjustRightInd w:val="0"/>
              <w:spacing w:line="320" w:lineRule="atLeast"/>
              <w:ind w:left="60" w:right="60"/>
              <w:jc w:val="both"/>
              <w:rPr>
                <w:rFonts w:ascii="Times New Roman" w:hAnsi="Times New Roman" w:cs="Times New Roman"/>
                <w:szCs w:val="18"/>
                <w:lang w:val="en-GB"/>
              </w:rPr>
            </w:pPr>
            <w:r w:rsidRPr="00BD55C0">
              <w:rPr>
                <w:rFonts w:ascii="Times New Roman" w:hAnsi="Times New Roman" w:cs="Times New Roman"/>
                <w:szCs w:val="18"/>
                <w:lang w:val="en-GB"/>
              </w:rPr>
              <w:t>BATCHAM VILLE</w:t>
            </w:r>
          </w:p>
        </w:tc>
        <w:tc>
          <w:tcPr>
            <w:tcW w:w="1916" w:type="dxa"/>
            <w:hideMark/>
          </w:tcPr>
          <w:p w14:paraId="6012C870" w14:textId="77777777" w:rsidR="00DF5E51" w:rsidRPr="00BD55C0" w:rsidRDefault="00DF5E51" w:rsidP="00FC2BD3">
            <w:pPr>
              <w:autoSpaceDE w:val="0"/>
              <w:autoSpaceDN w:val="0"/>
              <w:adjustRightInd w:val="0"/>
              <w:spacing w:line="320" w:lineRule="atLeast"/>
              <w:ind w:left="60" w:right="60"/>
              <w:jc w:val="both"/>
              <w:rPr>
                <w:rFonts w:ascii="Times New Roman" w:hAnsi="Times New Roman" w:cs="Times New Roman"/>
                <w:szCs w:val="18"/>
                <w:lang w:val="en-GB"/>
              </w:rPr>
            </w:pPr>
            <w:r w:rsidRPr="00BD55C0">
              <w:rPr>
                <w:rFonts w:ascii="Times New Roman" w:hAnsi="Times New Roman" w:cs="Times New Roman"/>
                <w:szCs w:val="18"/>
                <w:lang w:val="en-GB"/>
              </w:rPr>
              <w:t>37</w:t>
            </w:r>
          </w:p>
        </w:tc>
        <w:tc>
          <w:tcPr>
            <w:tcW w:w="1916" w:type="dxa"/>
            <w:hideMark/>
          </w:tcPr>
          <w:p w14:paraId="4BA05684" w14:textId="77777777" w:rsidR="00DF5E51" w:rsidRPr="00BD55C0" w:rsidRDefault="00296E8C" w:rsidP="00FC2BD3">
            <w:pPr>
              <w:autoSpaceDE w:val="0"/>
              <w:autoSpaceDN w:val="0"/>
              <w:adjustRightInd w:val="0"/>
              <w:spacing w:line="320" w:lineRule="atLeast"/>
              <w:ind w:left="60" w:right="60"/>
              <w:jc w:val="both"/>
              <w:rPr>
                <w:rFonts w:ascii="Times New Roman" w:hAnsi="Times New Roman" w:cs="Times New Roman"/>
                <w:szCs w:val="18"/>
                <w:lang w:val="en-GB"/>
              </w:rPr>
            </w:pPr>
            <w:r>
              <w:rPr>
                <w:rFonts w:ascii="Times New Roman" w:hAnsi="Times New Roman" w:cs="Times New Roman"/>
                <w:szCs w:val="18"/>
                <w:lang w:val="en-GB"/>
              </w:rPr>
              <w:t>35.2</w:t>
            </w:r>
          </w:p>
        </w:tc>
        <w:tc>
          <w:tcPr>
            <w:tcW w:w="1936" w:type="dxa"/>
            <w:hideMark/>
          </w:tcPr>
          <w:p w14:paraId="6123DA05" w14:textId="77777777" w:rsidR="00DF5E51" w:rsidRPr="00BD55C0" w:rsidRDefault="00296E8C" w:rsidP="00FC2BD3">
            <w:pPr>
              <w:autoSpaceDE w:val="0"/>
              <w:autoSpaceDN w:val="0"/>
              <w:adjustRightInd w:val="0"/>
              <w:spacing w:line="320" w:lineRule="atLeast"/>
              <w:ind w:left="60" w:right="60"/>
              <w:jc w:val="both"/>
              <w:rPr>
                <w:rFonts w:ascii="Times New Roman" w:hAnsi="Times New Roman" w:cs="Times New Roman"/>
                <w:szCs w:val="18"/>
                <w:lang w:val="en-GB"/>
              </w:rPr>
            </w:pPr>
            <w:r>
              <w:rPr>
                <w:rFonts w:ascii="Times New Roman" w:hAnsi="Times New Roman" w:cs="Times New Roman"/>
                <w:szCs w:val="18"/>
                <w:lang w:val="en-GB"/>
              </w:rPr>
              <w:t>26.6-44.7</w:t>
            </w:r>
          </w:p>
        </w:tc>
      </w:tr>
      <w:tr w:rsidR="00DF5E51" w:rsidRPr="00BD55C0" w14:paraId="5162072D" w14:textId="77777777" w:rsidTr="00D26F19">
        <w:trPr>
          <w:trHeight w:val="358"/>
        </w:trPr>
        <w:tc>
          <w:tcPr>
            <w:tcW w:w="2915" w:type="dxa"/>
            <w:hideMark/>
          </w:tcPr>
          <w:p w14:paraId="5B7F48AE" w14:textId="77777777" w:rsidR="00DF5E51" w:rsidRPr="00BD55C0" w:rsidRDefault="00DF5E51" w:rsidP="00FC2BD3">
            <w:pPr>
              <w:autoSpaceDE w:val="0"/>
              <w:autoSpaceDN w:val="0"/>
              <w:adjustRightInd w:val="0"/>
              <w:spacing w:line="320" w:lineRule="atLeast"/>
              <w:ind w:left="60" w:right="60"/>
              <w:jc w:val="both"/>
              <w:rPr>
                <w:rFonts w:ascii="Times New Roman" w:hAnsi="Times New Roman" w:cs="Times New Roman"/>
                <w:szCs w:val="18"/>
                <w:lang w:val="en-GB"/>
              </w:rPr>
            </w:pPr>
            <w:r w:rsidRPr="00BD55C0">
              <w:rPr>
                <w:rFonts w:ascii="Times New Roman" w:hAnsi="Times New Roman" w:cs="Times New Roman"/>
                <w:szCs w:val="18"/>
                <w:lang w:val="en-GB"/>
              </w:rPr>
              <w:t>Total</w:t>
            </w:r>
          </w:p>
        </w:tc>
        <w:tc>
          <w:tcPr>
            <w:tcW w:w="1916" w:type="dxa"/>
            <w:hideMark/>
          </w:tcPr>
          <w:p w14:paraId="3D1412F4" w14:textId="77777777" w:rsidR="00DF5E51" w:rsidRPr="00BD55C0" w:rsidRDefault="00DF5E51" w:rsidP="00FC2BD3">
            <w:pPr>
              <w:autoSpaceDE w:val="0"/>
              <w:autoSpaceDN w:val="0"/>
              <w:adjustRightInd w:val="0"/>
              <w:spacing w:line="320" w:lineRule="atLeast"/>
              <w:ind w:left="60" w:right="60"/>
              <w:jc w:val="both"/>
              <w:rPr>
                <w:rFonts w:ascii="Times New Roman" w:hAnsi="Times New Roman" w:cs="Times New Roman"/>
                <w:szCs w:val="18"/>
                <w:lang w:val="en-GB"/>
              </w:rPr>
            </w:pPr>
            <w:r w:rsidRPr="00BD55C0">
              <w:rPr>
                <w:rFonts w:ascii="Times New Roman" w:hAnsi="Times New Roman" w:cs="Times New Roman"/>
                <w:szCs w:val="18"/>
                <w:lang w:val="en-GB"/>
              </w:rPr>
              <w:t>495</w:t>
            </w:r>
          </w:p>
        </w:tc>
        <w:tc>
          <w:tcPr>
            <w:tcW w:w="1916" w:type="dxa"/>
            <w:hideMark/>
          </w:tcPr>
          <w:p w14:paraId="4627E904" w14:textId="77777777" w:rsidR="00DF5E51" w:rsidRPr="00BD55C0" w:rsidRDefault="00296E8C" w:rsidP="00FC2BD3">
            <w:pPr>
              <w:autoSpaceDE w:val="0"/>
              <w:autoSpaceDN w:val="0"/>
              <w:adjustRightInd w:val="0"/>
              <w:spacing w:line="320" w:lineRule="atLeast"/>
              <w:ind w:left="60" w:right="60"/>
              <w:jc w:val="both"/>
              <w:rPr>
                <w:rFonts w:ascii="Times New Roman" w:hAnsi="Times New Roman" w:cs="Times New Roman"/>
                <w:szCs w:val="18"/>
                <w:lang w:val="en-GB"/>
              </w:rPr>
            </w:pPr>
            <w:r>
              <w:rPr>
                <w:rFonts w:ascii="Times New Roman" w:hAnsi="Times New Roman" w:cs="Times New Roman"/>
                <w:szCs w:val="18"/>
                <w:lang w:val="en-GB"/>
              </w:rPr>
              <w:t>61.7</w:t>
            </w:r>
          </w:p>
        </w:tc>
        <w:tc>
          <w:tcPr>
            <w:tcW w:w="1936" w:type="dxa"/>
            <w:hideMark/>
          </w:tcPr>
          <w:p w14:paraId="04231825" w14:textId="77777777" w:rsidR="00DF5E51" w:rsidRPr="00BD55C0" w:rsidRDefault="00296E8C" w:rsidP="00FC2BD3">
            <w:pPr>
              <w:autoSpaceDE w:val="0"/>
              <w:autoSpaceDN w:val="0"/>
              <w:adjustRightInd w:val="0"/>
              <w:spacing w:line="320" w:lineRule="atLeast"/>
              <w:ind w:left="60" w:right="60"/>
              <w:jc w:val="both"/>
              <w:rPr>
                <w:rFonts w:ascii="Times New Roman" w:hAnsi="Times New Roman" w:cs="Times New Roman"/>
                <w:szCs w:val="18"/>
                <w:lang w:val="en-GB"/>
              </w:rPr>
            </w:pPr>
            <w:r>
              <w:rPr>
                <w:rFonts w:ascii="Times New Roman" w:hAnsi="Times New Roman" w:cs="Times New Roman"/>
                <w:szCs w:val="18"/>
                <w:lang w:val="en-GB"/>
              </w:rPr>
              <w:t>58.3-65.0</w:t>
            </w:r>
          </w:p>
        </w:tc>
      </w:tr>
    </w:tbl>
    <w:p w14:paraId="38BA2AFB" w14:textId="77777777" w:rsidR="00AE219D" w:rsidRPr="00DF5E51" w:rsidRDefault="00AE219D" w:rsidP="00687BDE">
      <w:pPr>
        <w:pStyle w:val="ListParagraph"/>
        <w:spacing w:before="100" w:beforeAutospacing="1" w:after="100" w:afterAutospacing="1" w:line="360" w:lineRule="auto"/>
        <w:jc w:val="both"/>
        <w:rPr>
          <w:rFonts w:ascii="Times New Roman" w:eastAsia="Times New Roman" w:hAnsi="Times New Roman" w:cs="Times New Roman"/>
          <w:sz w:val="24"/>
          <w:szCs w:val="24"/>
          <w:lang w:val="en-GB" w:eastAsia="fr-FR"/>
        </w:rPr>
      </w:pPr>
    </w:p>
    <w:p w14:paraId="17B0F6CA" w14:textId="1F7D6E19" w:rsidR="001120B1" w:rsidRPr="00764B25" w:rsidRDefault="00687BDE" w:rsidP="00687BDE">
      <w:pPr>
        <w:pStyle w:val="ListParagraph"/>
        <w:numPr>
          <w:ilvl w:val="0"/>
          <w:numId w:val="15"/>
        </w:numPr>
        <w:autoSpaceDE w:val="0"/>
        <w:autoSpaceDN w:val="0"/>
        <w:adjustRightInd w:val="0"/>
        <w:spacing w:after="0" w:line="400" w:lineRule="atLeast"/>
        <w:jc w:val="both"/>
        <w:rPr>
          <w:rFonts w:ascii="Times New Roman" w:hAnsi="Times New Roman" w:cs="Times New Roman"/>
          <w:sz w:val="24"/>
          <w:szCs w:val="24"/>
          <w:lang w:val="en-GB"/>
        </w:rPr>
      </w:pPr>
      <w:r w:rsidRPr="00764B25">
        <w:rPr>
          <w:rFonts w:ascii="Times New Roman" w:hAnsi="Times New Roman" w:cs="Times New Roman"/>
          <w:b/>
          <w:sz w:val="24"/>
          <w:szCs w:val="24"/>
          <w:lang w:val="en-GB"/>
        </w:rPr>
        <w:t>Comparison between the actual coverage and the reported coverag</w:t>
      </w:r>
      <w:r w:rsidR="00764B25">
        <w:rPr>
          <w:rFonts w:ascii="Times New Roman" w:hAnsi="Times New Roman" w:cs="Times New Roman"/>
          <w:b/>
          <w:sz w:val="24"/>
          <w:szCs w:val="24"/>
          <w:lang w:val="en-GB"/>
        </w:rPr>
        <w:t>e</w:t>
      </w:r>
    </w:p>
    <w:p w14:paraId="26B58A3D" w14:textId="77777777" w:rsidR="00687BDE" w:rsidRPr="00BD55C0" w:rsidRDefault="00687BDE" w:rsidP="00687BDE">
      <w:pPr>
        <w:pStyle w:val="Caption"/>
        <w:rPr>
          <w:rFonts w:ascii="Times New Roman" w:hAnsi="Times New Roman" w:cs="Times New Roman"/>
          <w:sz w:val="24"/>
          <w:szCs w:val="24"/>
          <w:lang w:val="en-GB"/>
        </w:rPr>
      </w:pPr>
      <w:bookmarkStart w:id="2" w:name="_Toc107492418"/>
      <w:r w:rsidRPr="009E0852">
        <w:rPr>
          <w:lang w:val="en-CA"/>
        </w:rPr>
        <w:t xml:space="preserve">Table </w:t>
      </w:r>
      <w:r>
        <w:fldChar w:fldCharType="begin"/>
      </w:r>
      <w:r w:rsidRPr="009E0852">
        <w:rPr>
          <w:lang w:val="en-CA"/>
        </w:rPr>
        <w:instrText xml:space="preserve"> SEQ Table \* ARABIC </w:instrText>
      </w:r>
      <w:r>
        <w:fldChar w:fldCharType="separate"/>
      </w:r>
      <w:r w:rsidR="00423B4B">
        <w:rPr>
          <w:noProof/>
          <w:lang w:val="en-CA"/>
        </w:rPr>
        <w:t>3</w:t>
      </w:r>
      <w:r>
        <w:fldChar w:fldCharType="end"/>
      </w:r>
      <w:r w:rsidRPr="009E0852">
        <w:rPr>
          <w:lang w:val="en-CA"/>
        </w:rPr>
        <w:t xml:space="preserve"> </w:t>
      </w:r>
      <w:r>
        <w:rPr>
          <w:rFonts w:ascii="Times New Roman" w:hAnsi="Times New Roman" w:cs="Times New Roman"/>
          <w:sz w:val="24"/>
          <w:szCs w:val="24"/>
          <w:lang w:val="en-GB"/>
        </w:rPr>
        <w:t>Comparison between actual and reported coverage</w:t>
      </w:r>
      <w:bookmarkEnd w:id="2"/>
    </w:p>
    <w:tbl>
      <w:tblPr>
        <w:tblStyle w:val="TableGrid"/>
        <w:tblW w:w="949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7"/>
        <w:gridCol w:w="1215"/>
        <w:gridCol w:w="1695"/>
        <w:gridCol w:w="1695"/>
        <w:gridCol w:w="816"/>
        <w:gridCol w:w="993"/>
        <w:gridCol w:w="1134"/>
      </w:tblGrid>
      <w:tr w:rsidR="00687BDE" w:rsidRPr="00BD55C0" w14:paraId="3973890C" w14:textId="77777777" w:rsidTr="00695CA4">
        <w:trPr>
          <w:trHeight w:val="517"/>
        </w:trPr>
        <w:tc>
          <w:tcPr>
            <w:tcW w:w="3160" w:type="dxa"/>
            <w:gridSpan w:val="2"/>
            <w:tcBorders>
              <w:top w:val="single" w:sz="4" w:space="0" w:color="auto"/>
              <w:bottom w:val="single" w:sz="4" w:space="0" w:color="auto"/>
            </w:tcBorders>
          </w:tcPr>
          <w:p w14:paraId="1D8510DE" w14:textId="77777777" w:rsidR="00687BDE" w:rsidRPr="00BD55C0" w:rsidRDefault="00687BDE" w:rsidP="001E7205">
            <w:pPr>
              <w:autoSpaceDE w:val="0"/>
              <w:autoSpaceDN w:val="0"/>
              <w:adjustRightInd w:val="0"/>
              <w:rPr>
                <w:rFonts w:ascii="Times New Roman" w:hAnsi="Times New Roman" w:cs="Times New Roman"/>
                <w:szCs w:val="18"/>
                <w:lang w:val="en-GB"/>
              </w:rPr>
            </w:pPr>
          </w:p>
        </w:tc>
        <w:tc>
          <w:tcPr>
            <w:tcW w:w="1695" w:type="dxa"/>
            <w:tcBorders>
              <w:top w:val="single" w:sz="4" w:space="0" w:color="auto"/>
              <w:bottom w:val="single" w:sz="4" w:space="0" w:color="auto"/>
            </w:tcBorders>
            <w:hideMark/>
          </w:tcPr>
          <w:p w14:paraId="14E4CBCC" w14:textId="77777777" w:rsidR="00687BDE" w:rsidRPr="00BD55C0" w:rsidRDefault="00203BE0" w:rsidP="001E7205">
            <w:pPr>
              <w:autoSpaceDE w:val="0"/>
              <w:autoSpaceDN w:val="0"/>
              <w:adjustRightInd w:val="0"/>
              <w:spacing w:line="320" w:lineRule="atLeast"/>
              <w:ind w:left="60" w:right="60"/>
              <w:rPr>
                <w:rFonts w:ascii="Times New Roman" w:hAnsi="Times New Roman" w:cs="Times New Roman"/>
                <w:szCs w:val="18"/>
                <w:lang w:val="en-GB"/>
              </w:rPr>
            </w:pPr>
            <w:r w:rsidRPr="00BD55C0">
              <w:rPr>
                <w:rFonts w:ascii="Times New Roman" w:hAnsi="Times New Roman" w:cs="Times New Roman"/>
                <w:szCs w:val="18"/>
                <w:lang w:val="en-GB"/>
              </w:rPr>
              <w:t>Postponed</w:t>
            </w:r>
          </w:p>
        </w:tc>
        <w:tc>
          <w:tcPr>
            <w:tcW w:w="1695" w:type="dxa"/>
            <w:tcBorders>
              <w:top w:val="single" w:sz="4" w:space="0" w:color="auto"/>
              <w:bottom w:val="single" w:sz="4" w:space="0" w:color="auto"/>
            </w:tcBorders>
            <w:hideMark/>
          </w:tcPr>
          <w:p w14:paraId="286B1EF6" w14:textId="77777777" w:rsidR="00687BDE" w:rsidRPr="00BD55C0" w:rsidRDefault="00203BE0" w:rsidP="001E7205">
            <w:pPr>
              <w:autoSpaceDE w:val="0"/>
              <w:autoSpaceDN w:val="0"/>
              <w:adjustRightInd w:val="0"/>
              <w:spacing w:line="320" w:lineRule="atLeast"/>
              <w:ind w:left="60" w:right="60"/>
              <w:rPr>
                <w:rFonts w:ascii="Times New Roman" w:hAnsi="Times New Roman" w:cs="Times New Roman"/>
                <w:szCs w:val="18"/>
                <w:lang w:val="en-GB"/>
              </w:rPr>
            </w:pPr>
            <w:r w:rsidRPr="00BD55C0">
              <w:rPr>
                <w:rFonts w:ascii="Times New Roman" w:hAnsi="Times New Roman" w:cs="Times New Roman"/>
                <w:szCs w:val="18"/>
                <w:lang w:val="en-GB"/>
              </w:rPr>
              <w:t>Current</w:t>
            </w:r>
          </w:p>
        </w:tc>
        <w:tc>
          <w:tcPr>
            <w:tcW w:w="816" w:type="dxa"/>
            <w:tcBorders>
              <w:top w:val="single" w:sz="4" w:space="0" w:color="auto"/>
              <w:bottom w:val="single" w:sz="4" w:space="0" w:color="auto"/>
            </w:tcBorders>
          </w:tcPr>
          <w:p w14:paraId="308F92A5" w14:textId="77777777" w:rsidR="00687BDE" w:rsidRPr="00BD55C0" w:rsidRDefault="00203BE0" w:rsidP="001E7205">
            <w:pPr>
              <w:autoSpaceDE w:val="0"/>
              <w:autoSpaceDN w:val="0"/>
              <w:adjustRightInd w:val="0"/>
              <w:rPr>
                <w:rFonts w:ascii="Times New Roman" w:hAnsi="Times New Roman" w:cs="Times New Roman"/>
                <w:szCs w:val="18"/>
                <w:lang w:val="en-GB"/>
              </w:rPr>
            </w:pPr>
            <w:r>
              <w:rPr>
                <w:rFonts w:ascii="Times New Roman" w:hAnsi="Times New Roman" w:cs="Times New Roman"/>
                <w:szCs w:val="18"/>
                <w:lang w:val="en-GB"/>
              </w:rPr>
              <w:t>Total</w:t>
            </w:r>
          </w:p>
        </w:tc>
        <w:tc>
          <w:tcPr>
            <w:tcW w:w="993" w:type="dxa"/>
            <w:tcBorders>
              <w:top w:val="single" w:sz="4" w:space="0" w:color="auto"/>
              <w:bottom w:val="single" w:sz="4" w:space="0" w:color="auto"/>
            </w:tcBorders>
            <w:hideMark/>
          </w:tcPr>
          <w:p w14:paraId="0EF97E2A" w14:textId="77777777" w:rsidR="00687BDE" w:rsidRPr="00BD55C0" w:rsidRDefault="00687BDE" w:rsidP="001E7205">
            <w:pPr>
              <w:autoSpaceDE w:val="0"/>
              <w:autoSpaceDN w:val="0"/>
              <w:adjustRightInd w:val="0"/>
              <w:rPr>
                <w:rFonts w:ascii="Times New Roman" w:hAnsi="Times New Roman" w:cs="Times New Roman"/>
                <w:szCs w:val="18"/>
                <w:vertAlign w:val="superscript"/>
                <w:lang w:val="en-GB"/>
              </w:rPr>
            </w:pPr>
            <w:r w:rsidRPr="00BD55C0">
              <w:rPr>
                <w:rFonts w:ascii="Times New Roman" w:hAnsi="Times New Roman" w:cs="Times New Roman"/>
                <w:szCs w:val="18"/>
                <w:lang w:val="en-GB"/>
              </w:rPr>
              <w:t xml:space="preserve">Chi </w:t>
            </w:r>
            <w:r w:rsidRPr="00BD55C0">
              <w:rPr>
                <w:rFonts w:ascii="Times New Roman" w:hAnsi="Times New Roman" w:cs="Times New Roman"/>
                <w:szCs w:val="18"/>
                <w:vertAlign w:val="superscript"/>
                <w:lang w:val="en-GB"/>
              </w:rPr>
              <w:t>2</w:t>
            </w:r>
          </w:p>
        </w:tc>
        <w:tc>
          <w:tcPr>
            <w:tcW w:w="1134" w:type="dxa"/>
            <w:tcBorders>
              <w:top w:val="single" w:sz="4" w:space="0" w:color="auto"/>
              <w:bottom w:val="single" w:sz="4" w:space="0" w:color="auto"/>
            </w:tcBorders>
            <w:hideMark/>
          </w:tcPr>
          <w:p w14:paraId="1469C9E8" w14:textId="77777777" w:rsidR="00687BDE" w:rsidRPr="00BD55C0" w:rsidRDefault="00687BDE" w:rsidP="001E7205">
            <w:pPr>
              <w:autoSpaceDE w:val="0"/>
              <w:autoSpaceDN w:val="0"/>
              <w:adjustRightInd w:val="0"/>
              <w:rPr>
                <w:rFonts w:ascii="Times New Roman" w:hAnsi="Times New Roman" w:cs="Times New Roman"/>
                <w:szCs w:val="18"/>
                <w:lang w:val="en-GB"/>
              </w:rPr>
            </w:pPr>
            <w:r w:rsidRPr="00BD55C0">
              <w:rPr>
                <w:rFonts w:ascii="Times New Roman" w:hAnsi="Times New Roman" w:cs="Times New Roman"/>
                <w:szCs w:val="18"/>
                <w:lang w:val="en-GB"/>
              </w:rPr>
              <w:t>P value</w:t>
            </w:r>
          </w:p>
        </w:tc>
      </w:tr>
      <w:tr w:rsidR="00687BDE" w:rsidRPr="00BD55C0" w14:paraId="79E52146" w14:textId="77777777" w:rsidTr="00695CA4">
        <w:trPr>
          <w:trHeight w:val="517"/>
        </w:trPr>
        <w:tc>
          <w:tcPr>
            <w:tcW w:w="1946" w:type="dxa"/>
            <w:vMerge w:val="restart"/>
            <w:tcBorders>
              <w:top w:val="single" w:sz="4" w:space="0" w:color="auto"/>
            </w:tcBorders>
            <w:hideMark/>
          </w:tcPr>
          <w:p w14:paraId="205D5AF1" w14:textId="77777777" w:rsidR="00687BDE" w:rsidRPr="00BD55C0" w:rsidRDefault="00687BDE" w:rsidP="001E7205">
            <w:pPr>
              <w:autoSpaceDE w:val="0"/>
              <w:autoSpaceDN w:val="0"/>
              <w:adjustRightInd w:val="0"/>
              <w:spacing w:line="320" w:lineRule="atLeast"/>
              <w:ind w:left="60" w:right="60"/>
              <w:rPr>
                <w:rFonts w:ascii="Times New Roman" w:hAnsi="Times New Roman" w:cs="Times New Roman"/>
                <w:szCs w:val="18"/>
                <w:lang w:val="en-GB"/>
              </w:rPr>
            </w:pPr>
            <w:r w:rsidRPr="00BD55C0">
              <w:rPr>
                <w:rFonts w:ascii="Times New Roman" w:hAnsi="Times New Roman" w:cs="Times New Roman"/>
                <w:szCs w:val="18"/>
                <w:lang w:val="en-GB"/>
              </w:rPr>
              <w:t>Taken drugs</w:t>
            </w:r>
          </w:p>
        </w:tc>
        <w:tc>
          <w:tcPr>
            <w:tcW w:w="1214" w:type="dxa"/>
            <w:tcBorders>
              <w:top w:val="single" w:sz="4" w:space="0" w:color="auto"/>
            </w:tcBorders>
            <w:hideMark/>
          </w:tcPr>
          <w:p w14:paraId="38769144" w14:textId="77777777" w:rsidR="00687BDE" w:rsidRPr="00BD55C0" w:rsidRDefault="00687BDE" w:rsidP="001E7205">
            <w:pPr>
              <w:autoSpaceDE w:val="0"/>
              <w:autoSpaceDN w:val="0"/>
              <w:adjustRightInd w:val="0"/>
              <w:spacing w:line="320" w:lineRule="atLeast"/>
              <w:ind w:left="60" w:right="60"/>
              <w:rPr>
                <w:rFonts w:ascii="Times New Roman" w:hAnsi="Times New Roman" w:cs="Times New Roman"/>
                <w:szCs w:val="18"/>
                <w:lang w:val="en-GB"/>
              </w:rPr>
            </w:pPr>
            <w:r w:rsidRPr="00BD55C0">
              <w:rPr>
                <w:rFonts w:ascii="Times New Roman" w:hAnsi="Times New Roman" w:cs="Times New Roman"/>
                <w:szCs w:val="18"/>
                <w:lang w:val="en-GB"/>
              </w:rPr>
              <w:t>No</w:t>
            </w:r>
          </w:p>
        </w:tc>
        <w:tc>
          <w:tcPr>
            <w:tcW w:w="1695" w:type="dxa"/>
            <w:tcBorders>
              <w:top w:val="single" w:sz="4" w:space="0" w:color="auto"/>
            </w:tcBorders>
            <w:hideMark/>
          </w:tcPr>
          <w:p w14:paraId="37AF9CA5" w14:textId="77777777" w:rsidR="00687BDE" w:rsidRPr="00BD55C0" w:rsidRDefault="00687BDE" w:rsidP="001E7205">
            <w:pPr>
              <w:autoSpaceDE w:val="0"/>
              <w:autoSpaceDN w:val="0"/>
              <w:adjustRightInd w:val="0"/>
              <w:spacing w:line="320" w:lineRule="atLeast"/>
              <w:ind w:left="60" w:right="60"/>
              <w:rPr>
                <w:rFonts w:ascii="Times New Roman" w:hAnsi="Times New Roman" w:cs="Times New Roman"/>
                <w:szCs w:val="18"/>
                <w:lang w:val="en-GB"/>
              </w:rPr>
            </w:pPr>
            <w:r w:rsidRPr="00BD55C0">
              <w:rPr>
                <w:rFonts w:ascii="Times New Roman" w:hAnsi="Times New Roman" w:cs="Times New Roman"/>
                <w:szCs w:val="18"/>
                <w:lang w:val="en-GB"/>
              </w:rPr>
              <w:t>10</w:t>
            </w:r>
          </w:p>
        </w:tc>
        <w:tc>
          <w:tcPr>
            <w:tcW w:w="1695" w:type="dxa"/>
            <w:tcBorders>
              <w:top w:val="single" w:sz="4" w:space="0" w:color="auto"/>
            </w:tcBorders>
            <w:hideMark/>
          </w:tcPr>
          <w:p w14:paraId="67192F98" w14:textId="77777777" w:rsidR="00687BDE" w:rsidRPr="00BD55C0" w:rsidRDefault="00687BDE" w:rsidP="001E7205">
            <w:pPr>
              <w:autoSpaceDE w:val="0"/>
              <w:autoSpaceDN w:val="0"/>
              <w:adjustRightInd w:val="0"/>
              <w:spacing w:line="320" w:lineRule="atLeast"/>
              <w:ind w:left="60" w:right="60"/>
              <w:rPr>
                <w:rFonts w:ascii="Times New Roman" w:hAnsi="Times New Roman" w:cs="Times New Roman"/>
                <w:szCs w:val="18"/>
                <w:lang w:val="en-GB"/>
              </w:rPr>
            </w:pPr>
            <w:r w:rsidRPr="00BD55C0">
              <w:rPr>
                <w:rFonts w:ascii="Times New Roman" w:hAnsi="Times New Roman" w:cs="Times New Roman"/>
                <w:szCs w:val="18"/>
                <w:lang w:val="en-GB"/>
              </w:rPr>
              <w:t>38</w:t>
            </w:r>
          </w:p>
        </w:tc>
        <w:tc>
          <w:tcPr>
            <w:tcW w:w="816" w:type="dxa"/>
            <w:tcBorders>
              <w:top w:val="single" w:sz="4" w:space="0" w:color="auto"/>
            </w:tcBorders>
            <w:hideMark/>
          </w:tcPr>
          <w:p w14:paraId="4C43C943" w14:textId="77777777" w:rsidR="00687BDE" w:rsidRPr="00BD55C0" w:rsidRDefault="00687BDE" w:rsidP="001E7205">
            <w:pPr>
              <w:autoSpaceDE w:val="0"/>
              <w:autoSpaceDN w:val="0"/>
              <w:adjustRightInd w:val="0"/>
              <w:spacing w:line="320" w:lineRule="atLeast"/>
              <w:ind w:left="60" w:right="60"/>
              <w:rPr>
                <w:rFonts w:ascii="Times New Roman" w:hAnsi="Times New Roman" w:cs="Times New Roman"/>
                <w:szCs w:val="18"/>
                <w:lang w:val="en-GB"/>
              </w:rPr>
            </w:pPr>
            <w:r w:rsidRPr="00BD55C0">
              <w:rPr>
                <w:rFonts w:ascii="Times New Roman" w:hAnsi="Times New Roman" w:cs="Times New Roman"/>
                <w:szCs w:val="18"/>
                <w:lang w:val="en-GB"/>
              </w:rPr>
              <w:t>48</w:t>
            </w:r>
          </w:p>
        </w:tc>
        <w:tc>
          <w:tcPr>
            <w:tcW w:w="993" w:type="dxa"/>
            <w:vMerge w:val="restart"/>
            <w:tcBorders>
              <w:top w:val="single" w:sz="4" w:space="0" w:color="auto"/>
            </w:tcBorders>
            <w:hideMark/>
          </w:tcPr>
          <w:p w14:paraId="5F8CF085" w14:textId="77777777" w:rsidR="00687BDE" w:rsidRPr="00BD55C0" w:rsidRDefault="00687BDE" w:rsidP="001E7205">
            <w:pPr>
              <w:autoSpaceDE w:val="0"/>
              <w:autoSpaceDN w:val="0"/>
              <w:adjustRightInd w:val="0"/>
              <w:spacing w:line="320" w:lineRule="atLeast"/>
              <w:ind w:left="60" w:right="60"/>
              <w:rPr>
                <w:rFonts w:ascii="Times New Roman" w:hAnsi="Times New Roman" w:cs="Times New Roman"/>
                <w:szCs w:val="18"/>
                <w:lang w:val="en-GB"/>
              </w:rPr>
            </w:pPr>
            <w:r w:rsidRPr="00BD55C0">
              <w:rPr>
                <w:rFonts w:ascii="Times New Roman" w:hAnsi="Times New Roman" w:cs="Times New Roman"/>
                <w:szCs w:val="18"/>
                <w:lang w:val="en-GB"/>
              </w:rPr>
              <w:t>21.49</w:t>
            </w:r>
          </w:p>
        </w:tc>
        <w:tc>
          <w:tcPr>
            <w:tcW w:w="1134" w:type="dxa"/>
            <w:vMerge w:val="restart"/>
            <w:tcBorders>
              <w:top w:val="single" w:sz="4" w:space="0" w:color="auto"/>
            </w:tcBorders>
            <w:hideMark/>
          </w:tcPr>
          <w:p w14:paraId="3CF40EB6" w14:textId="77777777" w:rsidR="00687BDE" w:rsidRPr="00203BE0" w:rsidRDefault="00687BDE" w:rsidP="001E7205">
            <w:pPr>
              <w:autoSpaceDE w:val="0"/>
              <w:autoSpaceDN w:val="0"/>
              <w:adjustRightInd w:val="0"/>
              <w:spacing w:line="320" w:lineRule="atLeast"/>
              <w:ind w:left="60" w:right="60"/>
              <w:rPr>
                <w:rFonts w:ascii="Times New Roman" w:hAnsi="Times New Roman" w:cs="Times New Roman"/>
                <w:b/>
                <w:szCs w:val="18"/>
                <w:lang w:val="en-GB"/>
              </w:rPr>
            </w:pPr>
            <w:r w:rsidRPr="00203BE0">
              <w:rPr>
                <w:rFonts w:ascii="Times New Roman" w:hAnsi="Times New Roman" w:cs="Times New Roman"/>
                <w:b/>
                <w:szCs w:val="18"/>
                <w:lang w:val="en-GB"/>
              </w:rPr>
              <w:t>0.000</w:t>
            </w:r>
          </w:p>
        </w:tc>
      </w:tr>
      <w:tr w:rsidR="00687BDE" w:rsidRPr="00BD55C0" w14:paraId="1BE72BC4" w14:textId="77777777" w:rsidTr="00695CA4">
        <w:trPr>
          <w:trHeight w:val="568"/>
        </w:trPr>
        <w:tc>
          <w:tcPr>
            <w:tcW w:w="3160" w:type="dxa"/>
            <w:vMerge/>
            <w:vAlign w:val="center"/>
            <w:hideMark/>
          </w:tcPr>
          <w:p w14:paraId="663A6D5E" w14:textId="77777777" w:rsidR="00687BDE" w:rsidRPr="00BD55C0" w:rsidRDefault="00687BDE" w:rsidP="001E7205">
            <w:pPr>
              <w:rPr>
                <w:rFonts w:ascii="Times New Roman" w:hAnsi="Times New Roman" w:cs="Times New Roman"/>
                <w:szCs w:val="18"/>
                <w:lang w:val="en-GB"/>
              </w:rPr>
            </w:pPr>
          </w:p>
        </w:tc>
        <w:tc>
          <w:tcPr>
            <w:tcW w:w="1214" w:type="dxa"/>
            <w:hideMark/>
          </w:tcPr>
          <w:p w14:paraId="6A82A190" w14:textId="77777777" w:rsidR="00687BDE" w:rsidRPr="00BD55C0" w:rsidRDefault="00687BDE" w:rsidP="001E7205">
            <w:pPr>
              <w:autoSpaceDE w:val="0"/>
              <w:autoSpaceDN w:val="0"/>
              <w:adjustRightInd w:val="0"/>
              <w:spacing w:line="320" w:lineRule="atLeast"/>
              <w:ind w:left="60" w:right="60"/>
              <w:rPr>
                <w:rFonts w:ascii="Times New Roman" w:hAnsi="Times New Roman" w:cs="Times New Roman"/>
                <w:szCs w:val="18"/>
                <w:lang w:val="en-GB"/>
              </w:rPr>
            </w:pPr>
            <w:r w:rsidRPr="00BD55C0">
              <w:rPr>
                <w:rFonts w:ascii="Times New Roman" w:hAnsi="Times New Roman" w:cs="Times New Roman"/>
                <w:szCs w:val="18"/>
                <w:lang w:val="en-GB"/>
              </w:rPr>
              <w:t>Yes</w:t>
            </w:r>
          </w:p>
        </w:tc>
        <w:tc>
          <w:tcPr>
            <w:tcW w:w="1695" w:type="dxa"/>
            <w:hideMark/>
          </w:tcPr>
          <w:p w14:paraId="307CF92A" w14:textId="77777777" w:rsidR="00687BDE" w:rsidRPr="00BD55C0" w:rsidRDefault="00687BDE" w:rsidP="001E7205">
            <w:pPr>
              <w:autoSpaceDE w:val="0"/>
              <w:autoSpaceDN w:val="0"/>
              <w:adjustRightInd w:val="0"/>
              <w:spacing w:line="320" w:lineRule="atLeast"/>
              <w:ind w:left="60" w:right="60"/>
              <w:rPr>
                <w:rFonts w:ascii="Times New Roman" w:hAnsi="Times New Roman" w:cs="Times New Roman"/>
                <w:szCs w:val="18"/>
                <w:lang w:val="en-GB"/>
              </w:rPr>
            </w:pPr>
            <w:r w:rsidRPr="00BD55C0">
              <w:rPr>
                <w:rFonts w:ascii="Times New Roman" w:hAnsi="Times New Roman" w:cs="Times New Roman"/>
                <w:szCs w:val="18"/>
                <w:lang w:val="en-GB"/>
              </w:rPr>
              <w:t>90</w:t>
            </w:r>
          </w:p>
        </w:tc>
        <w:tc>
          <w:tcPr>
            <w:tcW w:w="1695" w:type="dxa"/>
            <w:hideMark/>
          </w:tcPr>
          <w:p w14:paraId="456F90A8" w14:textId="77777777" w:rsidR="00687BDE" w:rsidRPr="00BD55C0" w:rsidRDefault="00687BDE" w:rsidP="001E7205">
            <w:pPr>
              <w:autoSpaceDE w:val="0"/>
              <w:autoSpaceDN w:val="0"/>
              <w:adjustRightInd w:val="0"/>
              <w:spacing w:line="320" w:lineRule="atLeast"/>
              <w:ind w:left="60" w:right="60"/>
              <w:rPr>
                <w:rFonts w:ascii="Times New Roman" w:hAnsi="Times New Roman" w:cs="Times New Roman"/>
                <w:szCs w:val="18"/>
                <w:lang w:val="en-GB"/>
              </w:rPr>
            </w:pPr>
            <w:r w:rsidRPr="00BD55C0">
              <w:rPr>
                <w:rFonts w:ascii="Times New Roman" w:hAnsi="Times New Roman" w:cs="Times New Roman"/>
                <w:szCs w:val="18"/>
                <w:lang w:val="en-GB"/>
              </w:rPr>
              <w:t>62</w:t>
            </w:r>
          </w:p>
        </w:tc>
        <w:tc>
          <w:tcPr>
            <w:tcW w:w="816" w:type="dxa"/>
            <w:hideMark/>
          </w:tcPr>
          <w:p w14:paraId="640D530C" w14:textId="77777777" w:rsidR="00687BDE" w:rsidRPr="00BD55C0" w:rsidRDefault="00687BDE" w:rsidP="001E7205">
            <w:pPr>
              <w:autoSpaceDE w:val="0"/>
              <w:autoSpaceDN w:val="0"/>
              <w:adjustRightInd w:val="0"/>
              <w:spacing w:line="320" w:lineRule="atLeast"/>
              <w:ind w:left="60" w:right="60"/>
              <w:rPr>
                <w:rFonts w:ascii="Times New Roman" w:hAnsi="Times New Roman" w:cs="Times New Roman"/>
                <w:szCs w:val="18"/>
                <w:lang w:val="en-GB"/>
              </w:rPr>
            </w:pPr>
            <w:r w:rsidRPr="00BD55C0">
              <w:rPr>
                <w:rFonts w:ascii="Times New Roman" w:hAnsi="Times New Roman" w:cs="Times New Roman"/>
                <w:szCs w:val="18"/>
                <w:lang w:val="en-GB"/>
              </w:rPr>
              <w:t>152</w:t>
            </w:r>
          </w:p>
        </w:tc>
        <w:tc>
          <w:tcPr>
            <w:tcW w:w="993" w:type="dxa"/>
            <w:vMerge/>
            <w:vAlign w:val="center"/>
            <w:hideMark/>
          </w:tcPr>
          <w:p w14:paraId="6E37E147" w14:textId="77777777" w:rsidR="00687BDE" w:rsidRPr="00BD55C0" w:rsidRDefault="00687BDE" w:rsidP="001E7205">
            <w:pPr>
              <w:rPr>
                <w:rFonts w:ascii="Times New Roman" w:hAnsi="Times New Roman" w:cs="Times New Roman"/>
                <w:szCs w:val="18"/>
                <w:lang w:val="en-GB"/>
              </w:rPr>
            </w:pPr>
          </w:p>
        </w:tc>
        <w:tc>
          <w:tcPr>
            <w:tcW w:w="1134" w:type="dxa"/>
            <w:vMerge/>
            <w:vAlign w:val="center"/>
            <w:hideMark/>
          </w:tcPr>
          <w:p w14:paraId="70CA4C8A" w14:textId="77777777" w:rsidR="00687BDE" w:rsidRPr="00BD55C0" w:rsidRDefault="00687BDE" w:rsidP="001E7205">
            <w:pPr>
              <w:rPr>
                <w:rFonts w:ascii="Times New Roman" w:hAnsi="Times New Roman" w:cs="Times New Roman"/>
                <w:szCs w:val="18"/>
                <w:lang w:val="en-GB"/>
              </w:rPr>
            </w:pPr>
          </w:p>
        </w:tc>
      </w:tr>
      <w:tr w:rsidR="00687BDE" w:rsidRPr="00BD55C0" w14:paraId="4EF5D7DC" w14:textId="77777777" w:rsidTr="00695CA4">
        <w:trPr>
          <w:trHeight w:val="517"/>
        </w:trPr>
        <w:tc>
          <w:tcPr>
            <w:tcW w:w="3160" w:type="dxa"/>
            <w:gridSpan w:val="2"/>
            <w:hideMark/>
          </w:tcPr>
          <w:p w14:paraId="0E86CBC2" w14:textId="77777777" w:rsidR="00687BDE" w:rsidRPr="00BD55C0" w:rsidRDefault="00687BDE" w:rsidP="001E7205">
            <w:pPr>
              <w:autoSpaceDE w:val="0"/>
              <w:autoSpaceDN w:val="0"/>
              <w:adjustRightInd w:val="0"/>
              <w:spacing w:line="320" w:lineRule="atLeast"/>
              <w:ind w:left="60" w:right="60"/>
              <w:rPr>
                <w:rFonts w:ascii="Times New Roman" w:hAnsi="Times New Roman" w:cs="Times New Roman"/>
                <w:szCs w:val="18"/>
                <w:lang w:val="en-GB"/>
              </w:rPr>
            </w:pPr>
            <w:r w:rsidRPr="00BD55C0">
              <w:rPr>
                <w:rFonts w:ascii="Times New Roman" w:hAnsi="Times New Roman" w:cs="Times New Roman"/>
                <w:szCs w:val="18"/>
                <w:lang w:val="en-GB"/>
              </w:rPr>
              <w:t>Total</w:t>
            </w:r>
          </w:p>
        </w:tc>
        <w:tc>
          <w:tcPr>
            <w:tcW w:w="1695" w:type="dxa"/>
            <w:hideMark/>
          </w:tcPr>
          <w:p w14:paraId="644384E0" w14:textId="77777777" w:rsidR="00687BDE" w:rsidRPr="00BD55C0" w:rsidRDefault="00687BDE" w:rsidP="001E7205">
            <w:pPr>
              <w:autoSpaceDE w:val="0"/>
              <w:autoSpaceDN w:val="0"/>
              <w:adjustRightInd w:val="0"/>
              <w:spacing w:line="320" w:lineRule="atLeast"/>
              <w:ind w:left="60" w:right="60"/>
              <w:rPr>
                <w:rFonts w:ascii="Times New Roman" w:hAnsi="Times New Roman" w:cs="Times New Roman"/>
                <w:szCs w:val="18"/>
                <w:lang w:val="en-GB"/>
              </w:rPr>
            </w:pPr>
            <w:r w:rsidRPr="00BD55C0">
              <w:rPr>
                <w:rFonts w:ascii="Times New Roman" w:hAnsi="Times New Roman" w:cs="Times New Roman"/>
                <w:szCs w:val="18"/>
                <w:lang w:val="en-GB"/>
              </w:rPr>
              <w:t>100</w:t>
            </w:r>
          </w:p>
        </w:tc>
        <w:tc>
          <w:tcPr>
            <w:tcW w:w="1695" w:type="dxa"/>
            <w:hideMark/>
          </w:tcPr>
          <w:p w14:paraId="0D4D7672" w14:textId="77777777" w:rsidR="00687BDE" w:rsidRPr="00BD55C0" w:rsidRDefault="00687BDE" w:rsidP="001E7205">
            <w:pPr>
              <w:autoSpaceDE w:val="0"/>
              <w:autoSpaceDN w:val="0"/>
              <w:adjustRightInd w:val="0"/>
              <w:spacing w:line="320" w:lineRule="atLeast"/>
              <w:ind w:left="60" w:right="60"/>
              <w:rPr>
                <w:rFonts w:ascii="Times New Roman" w:hAnsi="Times New Roman" w:cs="Times New Roman"/>
                <w:szCs w:val="18"/>
                <w:lang w:val="en-GB"/>
              </w:rPr>
            </w:pPr>
            <w:r w:rsidRPr="00BD55C0">
              <w:rPr>
                <w:rFonts w:ascii="Times New Roman" w:hAnsi="Times New Roman" w:cs="Times New Roman"/>
                <w:szCs w:val="18"/>
                <w:lang w:val="en-GB"/>
              </w:rPr>
              <w:t>100</w:t>
            </w:r>
          </w:p>
        </w:tc>
        <w:tc>
          <w:tcPr>
            <w:tcW w:w="816" w:type="dxa"/>
            <w:hideMark/>
          </w:tcPr>
          <w:p w14:paraId="6FC5AA8F" w14:textId="77777777" w:rsidR="00687BDE" w:rsidRPr="00BD55C0" w:rsidRDefault="00687BDE" w:rsidP="001E7205">
            <w:pPr>
              <w:autoSpaceDE w:val="0"/>
              <w:autoSpaceDN w:val="0"/>
              <w:adjustRightInd w:val="0"/>
              <w:spacing w:line="320" w:lineRule="atLeast"/>
              <w:ind w:left="60" w:right="60"/>
              <w:rPr>
                <w:rFonts w:ascii="Times New Roman" w:hAnsi="Times New Roman" w:cs="Times New Roman"/>
                <w:szCs w:val="18"/>
                <w:lang w:val="en-GB"/>
              </w:rPr>
            </w:pPr>
            <w:r w:rsidRPr="00BD55C0">
              <w:rPr>
                <w:rFonts w:ascii="Times New Roman" w:hAnsi="Times New Roman" w:cs="Times New Roman"/>
                <w:szCs w:val="18"/>
                <w:lang w:val="en-GB"/>
              </w:rPr>
              <w:t>200</w:t>
            </w:r>
          </w:p>
        </w:tc>
        <w:tc>
          <w:tcPr>
            <w:tcW w:w="993" w:type="dxa"/>
            <w:vMerge/>
            <w:vAlign w:val="center"/>
            <w:hideMark/>
          </w:tcPr>
          <w:p w14:paraId="0D2D242B" w14:textId="77777777" w:rsidR="00687BDE" w:rsidRPr="00BD55C0" w:rsidRDefault="00687BDE" w:rsidP="001E7205">
            <w:pPr>
              <w:rPr>
                <w:rFonts w:ascii="Times New Roman" w:hAnsi="Times New Roman" w:cs="Times New Roman"/>
                <w:szCs w:val="18"/>
                <w:lang w:val="en-GB"/>
              </w:rPr>
            </w:pPr>
          </w:p>
        </w:tc>
        <w:tc>
          <w:tcPr>
            <w:tcW w:w="1134" w:type="dxa"/>
            <w:vMerge/>
            <w:vAlign w:val="center"/>
            <w:hideMark/>
          </w:tcPr>
          <w:p w14:paraId="17D12E9C" w14:textId="77777777" w:rsidR="00687BDE" w:rsidRPr="00BD55C0" w:rsidRDefault="00687BDE" w:rsidP="001E7205">
            <w:pPr>
              <w:rPr>
                <w:rFonts w:ascii="Times New Roman" w:hAnsi="Times New Roman" w:cs="Times New Roman"/>
                <w:szCs w:val="18"/>
                <w:lang w:val="en-GB"/>
              </w:rPr>
            </w:pPr>
          </w:p>
        </w:tc>
      </w:tr>
    </w:tbl>
    <w:p w14:paraId="4866EDCF" w14:textId="77777777" w:rsidR="00687BDE" w:rsidRPr="00687BDE" w:rsidRDefault="00687BDE" w:rsidP="001E7205">
      <w:pPr>
        <w:rPr>
          <w:rFonts w:ascii="Times New Roman" w:hAnsi="Times New Roman" w:cs="Times New Roman"/>
          <w:lang w:val="en-GB"/>
        </w:rPr>
      </w:pPr>
    </w:p>
    <w:p w14:paraId="2FBE04B4" w14:textId="77777777" w:rsidR="00F55A8F" w:rsidRDefault="00F55A8F" w:rsidP="00F55A8F">
      <w:pPr>
        <w:pStyle w:val="ListParagraph"/>
        <w:numPr>
          <w:ilvl w:val="0"/>
          <w:numId w:val="15"/>
        </w:numPr>
        <w:jc w:val="both"/>
        <w:rPr>
          <w:rFonts w:ascii="Times New Roman" w:hAnsi="Times New Roman" w:cs="Times New Roman"/>
          <w:b/>
          <w:sz w:val="24"/>
          <w:lang w:val="en-GB"/>
        </w:rPr>
      </w:pPr>
      <w:r w:rsidRPr="00F55A8F">
        <w:rPr>
          <w:rFonts w:ascii="Times New Roman" w:hAnsi="Times New Roman" w:cs="Times New Roman"/>
          <w:b/>
          <w:sz w:val="24"/>
          <w:lang w:val="en-GB"/>
        </w:rPr>
        <w:t>Factors associated with non-adhesion</w:t>
      </w:r>
    </w:p>
    <w:p w14:paraId="4449D610" w14:textId="4723FAA6" w:rsidR="00F55A8F" w:rsidRPr="007045F6" w:rsidRDefault="00F55A8F" w:rsidP="007045F6">
      <w:pPr>
        <w:spacing w:line="360" w:lineRule="auto"/>
        <w:jc w:val="both"/>
        <w:rPr>
          <w:rFonts w:ascii="Times New Roman" w:hAnsi="Times New Roman" w:cs="Times New Roman"/>
          <w:color w:val="010205"/>
          <w:sz w:val="24"/>
          <w:szCs w:val="24"/>
          <w:lang w:val="en-GB"/>
        </w:rPr>
      </w:pPr>
      <w:r w:rsidRPr="00F55A8F">
        <w:rPr>
          <w:rFonts w:ascii="Times New Roman" w:hAnsi="Times New Roman" w:cs="Times New Roman"/>
          <w:sz w:val="24"/>
          <w:lang w:val="en-GB"/>
        </w:rPr>
        <w:t>The table below shows the factors associated with non-adhesion to drugs. For this analysis</w:t>
      </w:r>
      <w:r w:rsidR="0063592E">
        <w:rPr>
          <w:rFonts w:ascii="Times New Roman" w:hAnsi="Times New Roman" w:cs="Times New Roman"/>
          <w:sz w:val="24"/>
          <w:lang w:val="en-GB"/>
        </w:rPr>
        <w:t>,</w:t>
      </w:r>
      <w:r w:rsidRPr="00F55A8F">
        <w:rPr>
          <w:rFonts w:ascii="Times New Roman" w:hAnsi="Times New Roman" w:cs="Times New Roman"/>
          <w:sz w:val="24"/>
          <w:lang w:val="en-GB"/>
        </w:rPr>
        <w:t xml:space="preserve"> each variable was first taken independently in the unadjusted model</w:t>
      </w:r>
      <w:r w:rsidR="0063592E">
        <w:rPr>
          <w:rFonts w:ascii="Times New Roman" w:hAnsi="Times New Roman" w:cs="Times New Roman"/>
          <w:sz w:val="24"/>
          <w:lang w:val="en-GB"/>
        </w:rPr>
        <w:t>,</w:t>
      </w:r>
      <w:r w:rsidRPr="00F55A8F">
        <w:rPr>
          <w:rFonts w:ascii="Times New Roman" w:hAnsi="Times New Roman" w:cs="Times New Roman"/>
          <w:sz w:val="24"/>
          <w:lang w:val="en-GB"/>
        </w:rPr>
        <w:t xml:space="preserve"> then those which were significant at 5% in the unadjusted model were passed to the adjusted model. From this analysis, we note that awareness </w:t>
      </w:r>
      <w:r w:rsidRPr="00F55A8F">
        <w:rPr>
          <w:rFonts w:ascii="Times New Roman" w:eastAsia="Calibri" w:hAnsi="Times New Roman" w:cs="Times New Roman"/>
          <w:bCs/>
          <w:color w:val="000000" w:themeColor="text1"/>
          <w:sz w:val="24"/>
          <w:szCs w:val="24"/>
          <w:lang w:val="en-GB"/>
        </w:rPr>
        <w:t xml:space="preserve">(OR: </w:t>
      </w:r>
      <w:r w:rsidRPr="00F55A8F">
        <w:rPr>
          <w:rFonts w:ascii="Times New Roman" w:hAnsi="Times New Roman" w:cs="Times New Roman"/>
          <w:sz w:val="24"/>
          <w:lang w:val="en-GB"/>
        </w:rPr>
        <w:t xml:space="preserve">0.46; </w:t>
      </w:r>
      <w:r w:rsidRPr="00F55A8F">
        <w:rPr>
          <w:rFonts w:ascii="Times New Roman" w:hAnsi="Times New Roman" w:cs="Times New Roman"/>
          <w:color w:val="010205"/>
          <w:sz w:val="24"/>
          <w:szCs w:val="24"/>
          <w:lang w:val="en-GB"/>
        </w:rPr>
        <w:t xml:space="preserve">CI: </w:t>
      </w:r>
      <w:r w:rsidRPr="00F55A8F">
        <w:rPr>
          <w:rFonts w:ascii="Times New Roman" w:hAnsi="Times New Roman" w:cs="Times New Roman"/>
          <w:sz w:val="24"/>
          <w:lang w:val="en-GB"/>
        </w:rPr>
        <w:t>0.30-0.70</w:t>
      </w:r>
      <w:r w:rsidRPr="00F55A8F">
        <w:rPr>
          <w:rFonts w:ascii="Times New Roman" w:hAnsi="Times New Roman" w:cs="Times New Roman"/>
          <w:color w:val="010205"/>
          <w:sz w:val="24"/>
          <w:szCs w:val="24"/>
          <w:lang w:val="en-GB"/>
        </w:rPr>
        <w:t xml:space="preserve">; p=0.000), being censored (OR: </w:t>
      </w:r>
      <w:r w:rsidRPr="00F55A8F">
        <w:rPr>
          <w:rFonts w:ascii="Times New Roman" w:hAnsi="Times New Roman" w:cs="Times New Roman"/>
          <w:sz w:val="24"/>
          <w:lang w:val="en-GB"/>
        </w:rPr>
        <w:t xml:space="preserve">0.11; CI: 0.07-0.16; p=0.000) and being of male sex </w:t>
      </w:r>
      <w:r w:rsidRPr="00F55A8F">
        <w:rPr>
          <w:rFonts w:ascii="Times New Roman" w:eastAsia="Calibri" w:hAnsi="Times New Roman" w:cs="Times New Roman"/>
          <w:bCs/>
          <w:color w:val="000000" w:themeColor="text1"/>
          <w:sz w:val="24"/>
          <w:szCs w:val="24"/>
          <w:lang w:val="en-GB"/>
        </w:rPr>
        <w:t xml:space="preserve">(OR: </w:t>
      </w:r>
      <w:r w:rsidRPr="00F55A8F">
        <w:rPr>
          <w:rFonts w:ascii="Times New Roman" w:hAnsi="Times New Roman" w:cs="Times New Roman"/>
          <w:sz w:val="24"/>
          <w:lang w:val="en-GB"/>
        </w:rPr>
        <w:t xml:space="preserve">0.45; </w:t>
      </w:r>
      <w:r w:rsidRPr="00F55A8F">
        <w:rPr>
          <w:rFonts w:ascii="Times New Roman" w:hAnsi="Times New Roman" w:cs="Times New Roman"/>
          <w:color w:val="010205"/>
          <w:sz w:val="24"/>
          <w:szCs w:val="24"/>
          <w:lang w:val="en-GB"/>
        </w:rPr>
        <w:t xml:space="preserve">CI: </w:t>
      </w:r>
      <w:r w:rsidRPr="00F55A8F">
        <w:rPr>
          <w:rFonts w:ascii="Times New Roman" w:hAnsi="Times New Roman" w:cs="Times New Roman"/>
          <w:sz w:val="24"/>
          <w:lang w:val="en-GB"/>
        </w:rPr>
        <w:t xml:space="preserve">0.32-0.65; </w:t>
      </w:r>
      <w:r w:rsidRPr="00F55A8F">
        <w:rPr>
          <w:rFonts w:ascii="Times New Roman" w:hAnsi="Times New Roman" w:cs="Times New Roman"/>
          <w:color w:val="010205"/>
          <w:sz w:val="24"/>
          <w:szCs w:val="24"/>
          <w:lang w:val="en-GB"/>
        </w:rPr>
        <w:t xml:space="preserve">p=0.000) were significantly associated with non-adhesion to </w:t>
      </w:r>
      <w:r w:rsidR="0063592E" w:rsidRPr="00490927">
        <w:rPr>
          <w:rFonts w:ascii="Times New Roman" w:hAnsi="Times New Roman" w:cs="Times New Roman"/>
          <w:color w:val="010205"/>
          <w:sz w:val="24"/>
          <w:szCs w:val="24"/>
          <w:highlight w:val="yellow"/>
          <w:lang w:val="en-GB"/>
        </w:rPr>
        <w:t xml:space="preserve">the </w:t>
      </w:r>
      <w:r w:rsidRPr="00F55A8F">
        <w:rPr>
          <w:rFonts w:ascii="Times New Roman" w:hAnsi="Times New Roman" w:cs="Times New Roman"/>
          <w:color w:val="010205"/>
          <w:sz w:val="24"/>
          <w:szCs w:val="24"/>
          <w:lang w:val="en-GB"/>
        </w:rPr>
        <w:t xml:space="preserve">drug. Being aware of the campaign reduced by 54% the chances </w:t>
      </w:r>
      <w:r w:rsidR="0063592E" w:rsidRPr="00490927">
        <w:rPr>
          <w:rFonts w:ascii="Times New Roman" w:hAnsi="Times New Roman" w:cs="Times New Roman"/>
          <w:color w:val="010205"/>
          <w:sz w:val="24"/>
          <w:szCs w:val="24"/>
          <w:highlight w:val="yellow"/>
          <w:lang w:val="en-GB"/>
        </w:rPr>
        <w:t xml:space="preserve">of </w:t>
      </w:r>
      <w:r w:rsidRPr="00F55A8F">
        <w:rPr>
          <w:rFonts w:ascii="Times New Roman" w:hAnsi="Times New Roman" w:cs="Times New Roman"/>
          <w:color w:val="010205"/>
          <w:sz w:val="24"/>
          <w:szCs w:val="24"/>
          <w:lang w:val="en-GB"/>
        </w:rPr>
        <w:t xml:space="preserve">not </w:t>
      </w:r>
      <w:r w:rsidR="0063592E" w:rsidRPr="00490927">
        <w:rPr>
          <w:rFonts w:ascii="Times New Roman" w:hAnsi="Times New Roman" w:cs="Times New Roman"/>
          <w:color w:val="010205"/>
          <w:sz w:val="24"/>
          <w:szCs w:val="24"/>
          <w:highlight w:val="yellow"/>
          <w:lang w:val="en-GB"/>
        </w:rPr>
        <w:t>adhering</w:t>
      </w:r>
      <w:r w:rsidRPr="00490927">
        <w:rPr>
          <w:rFonts w:ascii="Times New Roman" w:hAnsi="Times New Roman" w:cs="Times New Roman"/>
          <w:color w:val="010205"/>
          <w:sz w:val="24"/>
          <w:szCs w:val="24"/>
          <w:highlight w:val="yellow"/>
          <w:lang w:val="en-GB"/>
        </w:rPr>
        <w:t xml:space="preserve"> </w:t>
      </w:r>
      <w:r w:rsidRPr="00F55A8F">
        <w:rPr>
          <w:rFonts w:ascii="Times New Roman" w:hAnsi="Times New Roman" w:cs="Times New Roman"/>
          <w:color w:val="010205"/>
          <w:sz w:val="24"/>
          <w:szCs w:val="24"/>
          <w:lang w:val="en-GB"/>
        </w:rPr>
        <w:t>to the drug compared to someone who was not aware.</w:t>
      </w:r>
    </w:p>
    <w:p w14:paraId="5FA60238" w14:textId="402E14F5" w:rsidR="00F55A8F" w:rsidRPr="007045F6" w:rsidRDefault="00F55A8F" w:rsidP="002F0F36">
      <w:pPr>
        <w:pStyle w:val="Caption"/>
        <w:ind w:left="720"/>
        <w:rPr>
          <w:rFonts w:ascii="Times" w:hAnsi="Times" w:cs="Times"/>
          <w:b/>
          <w:bCs/>
          <w:i w:val="0"/>
          <w:iCs w:val="0"/>
          <w:color w:val="0D0D0D" w:themeColor="text1" w:themeTint="F2"/>
          <w:sz w:val="24"/>
          <w:szCs w:val="24"/>
          <w:lang w:val="en-GB"/>
        </w:rPr>
      </w:pPr>
      <w:bookmarkStart w:id="3" w:name="_Toc107492420"/>
      <w:r w:rsidRPr="007045F6">
        <w:rPr>
          <w:rFonts w:ascii="Times" w:hAnsi="Times" w:cs="Times"/>
          <w:b/>
          <w:bCs/>
          <w:i w:val="0"/>
          <w:iCs w:val="0"/>
          <w:color w:val="0D0D0D" w:themeColor="text1" w:themeTint="F2"/>
          <w:sz w:val="24"/>
          <w:szCs w:val="24"/>
          <w:lang w:val="en-CA"/>
        </w:rPr>
        <w:t xml:space="preserve">Table </w:t>
      </w:r>
      <w:r w:rsidRPr="007045F6">
        <w:rPr>
          <w:rFonts w:ascii="Times" w:hAnsi="Times" w:cs="Times"/>
          <w:b/>
          <w:bCs/>
          <w:i w:val="0"/>
          <w:iCs w:val="0"/>
          <w:color w:val="0D0D0D" w:themeColor="text1" w:themeTint="F2"/>
          <w:sz w:val="24"/>
          <w:szCs w:val="24"/>
        </w:rPr>
        <w:fldChar w:fldCharType="begin"/>
      </w:r>
      <w:r w:rsidRPr="007045F6">
        <w:rPr>
          <w:rFonts w:ascii="Times" w:hAnsi="Times" w:cs="Times"/>
          <w:b/>
          <w:bCs/>
          <w:i w:val="0"/>
          <w:iCs w:val="0"/>
          <w:color w:val="0D0D0D" w:themeColor="text1" w:themeTint="F2"/>
          <w:sz w:val="24"/>
          <w:szCs w:val="24"/>
          <w:lang w:val="en-CA"/>
        </w:rPr>
        <w:instrText xml:space="preserve"> SEQ Table \* ARABIC </w:instrText>
      </w:r>
      <w:r w:rsidRPr="007045F6">
        <w:rPr>
          <w:rFonts w:ascii="Times" w:hAnsi="Times" w:cs="Times"/>
          <w:b/>
          <w:bCs/>
          <w:i w:val="0"/>
          <w:iCs w:val="0"/>
          <w:color w:val="0D0D0D" w:themeColor="text1" w:themeTint="F2"/>
          <w:sz w:val="24"/>
          <w:szCs w:val="24"/>
        </w:rPr>
        <w:fldChar w:fldCharType="separate"/>
      </w:r>
      <w:r w:rsidR="00423B4B" w:rsidRPr="007045F6">
        <w:rPr>
          <w:rFonts w:ascii="Times" w:hAnsi="Times" w:cs="Times"/>
          <w:b/>
          <w:bCs/>
          <w:i w:val="0"/>
          <w:iCs w:val="0"/>
          <w:noProof/>
          <w:color w:val="0D0D0D" w:themeColor="text1" w:themeTint="F2"/>
          <w:sz w:val="24"/>
          <w:szCs w:val="24"/>
          <w:lang w:val="en-CA"/>
        </w:rPr>
        <w:t>4</w:t>
      </w:r>
      <w:r w:rsidRPr="007045F6">
        <w:rPr>
          <w:rFonts w:ascii="Times" w:hAnsi="Times" w:cs="Times"/>
          <w:b/>
          <w:bCs/>
          <w:i w:val="0"/>
          <w:iCs w:val="0"/>
          <w:color w:val="0D0D0D" w:themeColor="text1" w:themeTint="F2"/>
          <w:sz w:val="24"/>
          <w:szCs w:val="24"/>
        </w:rPr>
        <w:fldChar w:fldCharType="end"/>
      </w:r>
      <w:r w:rsidRPr="007045F6">
        <w:rPr>
          <w:rFonts w:ascii="Times" w:hAnsi="Times" w:cs="Times"/>
          <w:b/>
          <w:bCs/>
          <w:i w:val="0"/>
          <w:iCs w:val="0"/>
          <w:color w:val="0D0D0D" w:themeColor="text1" w:themeTint="F2"/>
          <w:sz w:val="24"/>
          <w:szCs w:val="24"/>
          <w:lang w:val="en-CA"/>
        </w:rPr>
        <w:t xml:space="preserve"> </w:t>
      </w:r>
      <w:r w:rsidRPr="007045F6">
        <w:rPr>
          <w:rFonts w:ascii="Times" w:hAnsi="Times" w:cs="Times"/>
          <w:b/>
          <w:bCs/>
          <w:i w:val="0"/>
          <w:iCs w:val="0"/>
          <w:color w:val="0D0D0D" w:themeColor="text1" w:themeTint="F2"/>
          <w:sz w:val="24"/>
          <w:szCs w:val="24"/>
          <w:lang w:val="en-GB"/>
        </w:rPr>
        <w:t>Factors associated with non-adhesio</w:t>
      </w:r>
      <w:bookmarkEnd w:id="3"/>
      <w:r w:rsidR="004B7225" w:rsidRPr="007045F6">
        <w:rPr>
          <w:rFonts w:ascii="Times" w:hAnsi="Times" w:cs="Times"/>
          <w:b/>
          <w:bCs/>
          <w:i w:val="0"/>
          <w:iCs w:val="0"/>
          <w:color w:val="0D0D0D" w:themeColor="text1" w:themeTint="F2"/>
          <w:sz w:val="24"/>
          <w:szCs w:val="24"/>
          <w:lang w:val="en-GB"/>
        </w:rPr>
        <w:t>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2"/>
        <w:gridCol w:w="1870"/>
        <w:gridCol w:w="1698"/>
        <w:gridCol w:w="1870"/>
        <w:gridCol w:w="1742"/>
      </w:tblGrid>
      <w:tr w:rsidR="008679F6" w:rsidRPr="00BD55C0" w14:paraId="44CD3B53" w14:textId="77777777" w:rsidTr="008679F6">
        <w:trPr>
          <w:trHeight w:val="578"/>
        </w:trPr>
        <w:tc>
          <w:tcPr>
            <w:tcW w:w="9072" w:type="dxa"/>
            <w:gridSpan w:val="5"/>
            <w:tcBorders>
              <w:top w:val="single" w:sz="4" w:space="0" w:color="auto"/>
              <w:left w:val="nil"/>
              <w:bottom w:val="single" w:sz="4" w:space="0" w:color="auto"/>
              <w:right w:val="nil"/>
            </w:tcBorders>
          </w:tcPr>
          <w:p w14:paraId="7EB01973" w14:textId="7F646042" w:rsidR="008679F6" w:rsidRPr="00BD55C0" w:rsidRDefault="008679F6" w:rsidP="008679F6">
            <w:pPr>
              <w:jc w:val="center"/>
              <w:rPr>
                <w:rFonts w:ascii="Times New Roman" w:hAnsi="Times New Roman" w:cs="Times New Roman"/>
                <w:b/>
                <w:sz w:val="24"/>
                <w:lang w:val="en-GB"/>
              </w:rPr>
            </w:pPr>
            <w:r w:rsidRPr="00BD55C0">
              <w:rPr>
                <w:rFonts w:ascii="Times New Roman" w:hAnsi="Times New Roman" w:cs="Times New Roman"/>
                <w:b/>
                <w:sz w:val="24"/>
                <w:lang w:val="en-GB"/>
              </w:rPr>
              <w:lastRenderedPageBreak/>
              <w:t xml:space="preserve">Non-adherence to </w:t>
            </w:r>
            <w:r w:rsidR="0063592E" w:rsidRPr="00490927">
              <w:rPr>
                <w:rFonts w:ascii="Times New Roman" w:hAnsi="Times New Roman" w:cs="Times New Roman"/>
                <w:b/>
                <w:sz w:val="24"/>
                <w:highlight w:val="yellow"/>
                <w:lang w:val="en-GB"/>
              </w:rPr>
              <w:t xml:space="preserve">the </w:t>
            </w:r>
            <w:r w:rsidRPr="00BD55C0">
              <w:rPr>
                <w:rFonts w:ascii="Times New Roman" w:hAnsi="Times New Roman" w:cs="Times New Roman"/>
                <w:b/>
                <w:sz w:val="24"/>
                <w:lang w:val="en-GB"/>
              </w:rPr>
              <w:t>drug</w:t>
            </w:r>
          </w:p>
        </w:tc>
      </w:tr>
      <w:tr w:rsidR="00F55A8F" w:rsidRPr="00BD55C0" w14:paraId="176DE762" w14:textId="77777777" w:rsidTr="008679F6">
        <w:tc>
          <w:tcPr>
            <w:tcW w:w="1892" w:type="dxa"/>
            <w:tcBorders>
              <w:top w:val="single" w:sz="4" w:space="0" w:color="auto"/>
              <w:left w:val="nil"/>
              <w:bottom w:val="single" w:sz="4" w:space="0" w:color="auto"/>
              <w:right w:val="nil"/>
            </w:tcBorders>
          </w:tcPr>
          <w:p w14:paraId="1069C462" w14:textId="77777777" w:rsidR="00F55A8F" w:rsidRPr="00BD55C0" w:rsidRDefault="00F55A8F" w:rsidP="00FC2BD3">
            <w:pPr>
              <w:jc w:val="both"/>
              <w:rPr>
                <w:rFonts w:ascii="Times New Roman" w:hAnsi="Times New Roman" w:cs="Times New Roman"/>
                <w:b/>
                <w:sz w:val="24"/>
                <w:lang w:val="en-GB"/>
              </w:rPr>
            </w:pPr>
          </w:p>
        </w:tc>
        <w:tc>
          <w:tcPr>
            <w:tcW w:w="3568" w:type="dxa"/>
            <w:gridSpan w:val="2"/>
            <w:tcBorders>
              <w:top w:val="single" w:sz="4" w:space="0" w:color="auto"/>
              <w:left w:val="nil"/>
              <w:bottom w:val="single" w:sz="4" w:space="0" w:color="auto"/>
              <w:right w:val="nil"/>
            </w:tcBorders>
            <w:vAlign w:val="center"/>
            <w:hideMark/>
          </w:tcPr>
          <w:p w14:paraId="449FA64A" w14:textId="77777777" w:rsidR="00F55A8F" w:rsidRPr="00BD55C0" w:rsidRDefault="00F55A8F" w:rsidP="00FC2BD3">
            <w:pPr>
              <w:jc w:val="both"/>
              <w:rPr>
                <w:rFonts w:ascii="Times New Roman" w:hAnsi="Times New Roman" w:cs="Times New Roman"/>
                <w:b/>
                <w:sz w:val="24"/>
                <w:lang w:val="en-GB"/>
              </w:rPr>
            </w:pPr>
            <w:r w:rsidRPr="00BD55C0">
              <w:rPr>
                <w:rFonts w:ascii="Times New Roman" w:hAnsi="Times New Roman" w:cs="Times New Roman"/>
                <w:b/>
                <w:sz w:val="24"/>
                <w:lang w:val="en-GB"/>
              </w:rPr>
              <w:t>Unadjusted model</w:t>
            </w:r>
          </w:p>
        </w:tc>
        <w:tc>
          <w:tcPr>
            <w:tcW w:w="3612" w:type="dxa"/>
            <w:gridSpan w:val="2"/>
            <w:tcBorders>
              <w:top w:val="single" w:sz="4" w:space="0" w:color="auto"/>
              <w:left w:val="nil"/>
              <w:bottom w:val="single" w:sz="4" w:space="0" w:color="auto"/>
              <w:right w:val="nil"/>
            </w:tcBorders>
            <w:vAlign w:val="center"/>
            <w:hideMark/>
          </w:tcPr>
          <w:p w14:paraId="3BBB31AF" w14:textId="77777777" w:rsidR="00F55A8F" w:rsidRPr="00BD55C0" w:rsidRDefault="00F55A8F" w:rsidP="00FC2BD3">
            <w:pPr>
              <w:jc w:val="both"/>
              <w:rPr>
                <w:rFonts w:ascii="Times New Roman" w:hAnsi="Times New Roman" w:cs="Times New Roman"/>
                <w:b/>
                <w:sz w:val="24"/>
                <w:lang w:val="en-GB"/>
              </w:rPr>
            </w:pPr>
            <w:r w:rsidRPr="00BD55C0">
              <w:rPr>
                <w:rFonts w:ascii="Times New Roman" w:hAnsi="Times New Roman" w:cs="Times New Roman"/>
                <w:b/>
                <w:sz w:val="24"/>
                <w:lang w:val="en-GB"/>
              </w:rPr>
              <w:t>Adjusted model</w:t>
            </w:r>
          </w:p>
        </w:tc>
      </w:tr>
      <w:tr w:rsidR="00F55A8F" w:rsidRPr="00BD55C0" w14:paraId="0818815F" w14:textId="77777777" w:rsidTr="008679F6">
        <w:tc>
          <w:tcPr>
            <w:tcW w:w="1892" w:type="dxa"/>
            <w:tcBorders>
              <w:top w:val="single" w:sz="4" w:space="0" w:color="auto"/>
              <w:left w:val="nil"/>
              <w:bottom w:val="single" w:sz="4" w:space="0" w:color="auto"/>
              <w:right w:val="nil"/>
            </w:tcBorders>
            <w:hideMark/>
          </w:tcPr>
          <w:p w14:paraId="6E526826" w14:textId="77777777" w:rsidR="00F55A8F" w:rsidRPr="00BD55C0" w:rsidRDefault="00F55A8F" w:rsidP="00FC2BD3">
            <w:pPr>
              <w:jc w:val="both"/>
              <w:rPr>
                <w:rFonts w:ascii="Times New Roman" w:hAnsi="Times New Roman" w:cs="Times New Roman"/>
                <w:b/>
                <w:sz w:val="24"/>
                <w:lang w:val="en-GB"/>
              </w:rPr>
            </w:pPr>
            <w:r w:rsidRPr="00BD55C0">
              <w:rPr>
                <w:rFonts w:ascii="Times New Roman" w:hAnsi="Times New Roman" w:cs="Times New Roman"/>
                <w:b/>
                <w:sz w:val="24"/>
                <w:lang w:val="en-GB"/>
              </w:rPr>
              <w:t>variables</w:t>
            </w:r>
          </w:p>
        </w:tc>
        <w:tc>
          <w:tcPr>
            <w:tcW w:w="1870" w:type="dxa"/>
            <w:tcBorders>
              <w:top w:val="single" w:sz="4" w:space="0" w:color="auto"/>
              <w:left w:val="nil"/>
              <w:bottom w:val="single" w:sz="4" w:space="0" w:color="auto"/>
              <w:right w:val="nil"/>
            </w:tcBorders>
            <w:vAlign w:val="center"/>
            <w:hideMark/>
          </w:tcPr>
          <w:p w14:paraId="6A7279EE" w14:textId="77777777" w:rsidR="00F55A8F" w:rsidRPr="00BD55C0" w:rsidRDefault="00F55A8F" w:rsidP="00FC2BD3">
            <w:pPr>
              <w:jc w:val="both"/>
              <w:rPr>
                <w:rFonts w:ascii="Times New Roman" w:hAnsi="Times New Roman" w:cs="Times New Roman"/>
                <w:b/>
                <w:sz w:val="24"/>
                <w:lang w:val="en-GB"/>
              </w:rPr>
            </w:pPr>
            <w:r w:rsidRPr="00BD55C0">
              <w:rPr>
                <w:rFonts w:ascii="Times New Roman" w:hAnsi="Times New Roman" w:cs="Times New Roman"/>
                <w:b/>
                <w:sz w:val="24"/>
                <w:lang w:val="en-GB"/>
              </w:rPr>
              <w:t>OR(CI)</w:t>
            </w:r>
          </w:p>
        </w:tc>
        <w:tc>
          <w:tcPr>
            <w:tcW w:w="1698" w:type="dxa"/>
            <w:tcBorders>
              <w:top w:val="single" w:sz="4" w:space="0" w:color="auto"/>
              <w:left w:val="nil"/>
              <w:bottom w:val="single" w:sz="4" w:space="0" w:color="auto"/>
              <w:right w:val="nil"/>
            </w:tcBorders>
            <w:vAlign w:val="center"/>
            <w:hideMark/>
          </w:tcPr>
          <w:p w14:paraId="44BC90AD" w14:textId="77777777" w:rsidR="00F55A8F" w:rsidRPr="00BD55C0" w:rsidRDefault="00F55A8F" w:rsidP="00FC2BD3">
            <w:pPr>
              <w:jc w:val="both"/>
              <w:rPr>
                <w:rFonts w:ascii="Times New Roman" w:hAnsi="Times New Roman" w:cs="Times New Roman"/>
                <w:b/>
                <w:sz w:val="24"/>
                <w:lang w:val="en-GB"/>
              </w:rPr>
            </w:pPr>
            <w:r w:rsidRPr="00BD55C0">
              <w:rPr>
                <w:rFonts w:ascii="Times New Roman" w:hAnsi="Times New Roman" w:cs="Times New Roman"/>
                <w:b/>
                <w:sz w:val="24"/>
                <w:lang w:val="en-GB"/>
              </w:rPr>
              <w:t>P value</w:t>
            </w:r>
          </w:p>
        </w:tc>
        <w:tc>
          <w:tcPr>
            <w:tcW w:w="1870" w:type="dxa"/>
            <w:tcBorders>
              <w:top w:val="single" w:sz="4" w:space="0" w:color="auto"/>
              <w:left w:val="nil"/>
              <w:bottom w:val="single" w:sz="4" w:space="0" w:color="auto"/>
              <w:right w:val="nil"/>
            </w:tcBorders>
            <w:vAlign w:val="center"/>
            <w:hideMark/>
          </w:tcPr>
          <w:p w14:paraId="1107284C" w14:textId="77777777" w:rsidR="00F55A8F" w:rsidRPr="00BD55C0" w:rsidRDefault="00F55A8F" w:rsidP="00FC2BD3">
            <w:pPr>
              <w:jc w:val="both"/>
              <w:rPr>
                <w:rFonts w:ascii="Times New Roman" w:hAnsi="Times New Roman" w:cs="Times New Roman"/>
                <w:b/>
                <w:sz w:val="24"/>
                <w:lang w:val="en-GB"/>
              </w:rPr>
            </w:pPr>
            <w:r w:rsidRPr="00BD55C0">
              <w:rPr>
                <w:rFonts w:ascii="Times New Roman" w:hAnsi="Times New Roman" w:cs="Times New Roman"/>
                <w:b/>
                <w:sz w:val="24"/>
                <w:lang w:val="en-GB"/>
              </w:rPr>
              <w:t>OR(CI)</w:t>
            </w:r>
          </w:p>
        </w:tc>
        <w:tc>
          <w:tcPr>
            <w:tcW w:w="1742" w:type="dxa"/>
            <w:tcBorders>
              <w:top w:val="single" w:sz="4" w:space="0" w:color="auto"/>
              <w:left w:val="nil"/>
              <w:bottom w:val="single" w:sz="4" w:space="0" w:color="auto"/>
              <w:right w:val="nil"/>
            </w:tcBorders>
            <w:vAlign w:val="center"/>
            <w:hideMark/>
          </w:tcPr>
          <w:p w14:paraId="5AA1B137" w14:textId="77777777" w:rsidR="00F55A8F" w:rsidRPr="00BD55C0" w:rsidRDefault="00F55A8F" w:rsidP="00FC2BD3">
            <w:pPr>
              <w:jc w:val="both"/>
              <w:rPr>
                <w:rFonts w:ascii="Times New Roman" w:hAnsi="Times New Roman" w:cs="Times New Roman"/>
                <w:b/>
                <w:sz w:val="24"/>
                <w:lang w:val="en-GB"/>
              </w:rPr>
            </w:pPr>
            <w:r w:rsidRPr="00BD55C0">
              <w:rPr>
                <w:rFonts w:ascii="Times New Roman" w:hAnsi="Times New Roman" w:cs="Times New Roman"/>
                <w:b/>
                <w:sz w:val="24"/>
                <w:lang w:val="en-GB"/>
              </w:rPr>
              <w:t>P value</w:t>
            </w:r>
          </w:p>
        </w:tc>
      </w:tr>
      <w:tr w:rsidR="00F55A8F" w:rsidRPr="00BD55C0" w14:paraId="398FB4EF" w14:textId="77777777" w:rsidTr="008679F6">
        <w:tc>
          <w:tcPr>
            <w:tcW w:w="1892" w:type="dxa"/>
            <w:tcBorders>
              <w:top w:val="single" w:sz="4" w:space="0" w:color="auto"/>
              <w:left w:val="nil"/>
              <w:bottom w:val="nil"/>
              <w:right w:val="nil"/>
            </w:tcBorders>
            <w:hideMark/>
          </w:tcPr>
          <w:p w14:paraId="2F27CCB0" w14:textId="77777777" w:rsidR="00F55A8F" w:rsidRPr="00BD55C0" w:rsidRDefault="00F55A8F" w:rsidP="00FC2BD3">
            <w:pPr>
              <w:jc w:val="both"/>
              <w:rPr>
                <w:rFonts w:ascii="Times New Roman" w:hAnsi="Times New Roman" w:cs="Times New Roman"/>
                <w:b/>
                <w:sz w:val="24"/>
                <w:lang w:val="en-GB"/>
              </w:rPr>
            </w:pPr>
            <w:r w:rsidRPr="00BD55C0">
              <w:rPr>
                <w:rFonts w:ascii="Times New Roman" w:hAnsi="Times New Roman" w:cs="Times New Roman"/>
                <w:b/>
                <w:sz w:val="24"/>
                <w:lang w:val="en-GB"/>
              </w:rPr>
              <w:t>Age</w:t>
            </w:r>
          </w:p>
          <w:p w14:paraId="24E4581A"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16-50</w:t>
            </w:r>
          </w:p>
          <w:p w14:paraId="6714A0F4"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5-15</w:t>
            </w:r>
          </w:p>
          <w:p w14:paraId="1D6FA3BC"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51-65</w:t>
            </w:r>
          </w:p>
          <w:p w14:paraId="5EE916C5"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&gt;65</w:t>
            </w:r>
          </w:p>
        </w:tc>
        <w:tc>
          <w:tcPr>
            <w:tcW w:w="1870" w:type="dxa"/>
            <w:tcBorders>
              <w:top w:val="single" w:sz="4" w:space="0" w:color="auto"/>
              <w:left w:val="nil"/>
              <w:bottom w:val="nil"/>
              <w:right w:val="nil"/>
            </w:tcBorders>
            <w:vAlign w:val="center"/>
          </w:tcPr>
          <w:p w14:paraId="2F1B7B9A" w14:textId="77777777" w:rsidR="00F55A8F" w:rsidRPr="00BD55C0" w:rsidRDefault="00F55A8F" w:rsidP="00FC2BD3">
            <w:pPr>
              <w:jc w:val="both"/>
              <w:rPr>
                <w:rFonts w:ascii="Times New Roman" w:hAnsi="Times New Roman" w:cs="Times New Roman"/>
                <w:sz w:val="24"/>
                <w:lang w:val="en-GB"/>
              </w:rPr>
            </w:pPr>
          </w:p>
          <w:p w14:paraId="4C619C56"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1</w:t>
            </w:r>
          </w:p>
          <w:p w14:paraId="57B75D77"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1.04(0.71-1.53)</w:t>
            </w:r>
          </w:p>
          <w:p w14:paraId="30899059"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1.27(0.81-1.97)</w:t>
            </w:r>
          </w:p>
          <w:p w14:paraId="28737250"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0.920.52-1.61)</w:t>
            </w:r>
          </w:p>
        </w:tc>
        <w:tc>
          <w:tcPr>
            <w:tcW w:w="1698" w:type="dxa"/>
            <w:tcBorders>
              <w:top w:val="single" w:sz="4" w:space="0" w:color="auto"/>
              <w:left w:val="nil"/>
              <w:bottom w:val="nil"/>
              <w:right w:val="nil"/>
            </w:tcBorders>
            <w:vAlign w:val="center"/>
          </w:tcPr>
          <w:p w14:paraId="6FF52194" w14:textId="77777777" w:rsidR="00F55A8F" w:rsidRPr="00BD55C0" w:rsidRDefault="00F55A8F" w:rsidP="00FC2BD3">
            <w:pPr>
              <w:jc w:val="both"/>
              <w:rPr>
                <w:rFonts w:ascii="Times New Roman" w:hAnsi="Times New Roman" w:cs="Times New Roman"/>
                <w:sz w:val="24"/>
                <w:lang w:val="en-GB"/>
              </w:rPr>
            </w:pPr>
          </w:p>
          <w:p w14:paraId="2A1625A6" w14:textId="77777777" w:rsidR="00F55A8F" w:rsidRPr="00BD55C0" w:rsidRDefault="00F55A8F" w:rsidP="00FC2BD3">
            <w:pPr>
              <w:jc w:val="both"/>
              <w:rPr>
                <w:rFonts w:ascii="Times New Roman" w:hAnsi="Times New Roman" w:cs="Times New Roman"/>
                <w:sz w:val="24"/>
                <w:lang w:val="en-GB"/>
              </w:rPr>
            </w:pPr>
          </w:p>
          <w:p w14:paraId="2EAF26F3"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0.810</w:t>
            </w:r>
          </w:p>
          <w:p w14:paraId="1076035C"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0.280</w:t>
            </w:r>
          </w:p>
          <w:p w14:paraId="1A6B940D"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0.770</w:t>
            </w:r>
          </w:p>
        </w:tc>
        <w:tc>
          <w:tcPr>
            <w:tcW w:w="1870" w:type="dxa"/>
            <w:tcBorders>
              <w:top w:val="single" w:sz="4" w:space="0" w:color="auto"/>
              <w:left w:val="nil"/>
              <w:bottom w:val="nil"/>
              <w:right w:val="nil"/>
            </w:tcBorders>
            <w:vAlign w:val="center"/>
          </w:tcPr>
          <w:p w14:paraId="2C1B6FF8" w14:textId="77777777" w:rsidR="00F55A8F" w:rsidRPr="00BD55C0" w:rsidRDefault="00F55A8F" w:rsidP="00FC2BD3">
            <w:pPr>
              <w:jc w:val="both"/>
              <w:rPr>
                <w:rFonts w:ascii="Times New Roman" w:hAnsi="Times New Roman" w:cs="Times New Roman"/>
                <w:sz w:val="24"/>
                <w:lang w:val="en-GB"/>
              </w:rPr>
            </w:pPr>
          </w:p>
          <w:p w14:paraId="33A34E3E" w14:textId="77777777" w:rsidR="00F55A8F" w:rsidRPr="00BD55C0" w:rsidRDefault="00F55A8F" w:rsidP="00FC2BD3">
            <w:pPr>
              <w:jc w:val="both"/>
              <w:rPr>
                <w:rFonts w:ascii="Times New Roman" w:hAnsi="Times New Roman" w:cs="Times New Roman"/>
                <w:sz w:val="24"/>
                <w:lang w:val="en-GB"/>
              </w:rPr>
            </w:pPr>
          </w:p>
          <w:p w14:paraId="1AFD6F80" w14:textId="77777777" w:rsidR="00F55A8F" w:rsidRPr="00BD55C0" w:rsidRDefault="00F55A8F" w:rsidP="00FC2BD3">
            <w:pPr>
              <w:jc w:val="both"/>
              <w:rPr>
                <w:rFonts w:ascii="Times New Roman" w:hAnsi="Times New Roman" w:cs="Times New Roman"/>
                <w:sz w:val="24"/>
                <w:lang w:val="en-GB"/>
              </w:rPr>
            </w:pPr>
          </w:p>
          <w:p w14:paraId="07AB4637"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w:t>
            </w:r>
          </w:p>
        </w:tc>
        <w:tc>
          <w:tcPr>
            <w:tcW w:w="1742" w:type="dxa"/>
            <w:tcBorders>
              <w:top w:val="single" w:sz="4" w:space="0" w:color="auto"/>
              <w:left w:val="nil"/>
              <w:bottom w:val="nil"/>
              <w:right w:val="nil"/>
            </w:tcBorders>
            <w:vAlign w:val="center"/>
          </w:tcPr>
          <w:p w14:paraId="50B14EBF" w14:textId="77777777" w:rsidR="00F55A8F" w:rsidRPr="00BD55C0" w:rsidRDefault="00F55A8F" w:rsidP="00FC2BD3">
            <w:pPr>
              <w:jc w:val="both"/>
              <w:rPr>
                <w:rFonts w:ascii="Times New Roman" w:hAnsi="Times New Roman" w:cs="Times New Roman"/>
                <w:sz w:val="24"/>
                <w:lang w:val="en-GB"/>
              </w:rPr>
            </w:pPr>
          </w:p>
          <w:p w14:paraId="3D26DA04" w14:textId="77777777" w:rsidR="00F55A8F" w:rsidRPr="00BD55C0" w:rsidRDefault="00F55A8F" w:rsidP="00FC2BD3">
            <w:pPr>
              <w:jc w:val="both"/>
              <w:rPr>
                <w:rFonts w:ascii="Times New Roman" w:hAnsi="Times New Roman" w:cs="Times New Roman"/>
                <w:sz w:val="24"/>
                <w:lang w:val="en-GB"/>
              </w:rPr>
            </w:pPr>
          </w:p>
          <w:p w14:paraId="1686A31F" w14:textId="77777777" w:rsidR="00F55A8F" w:rsidRPr="00BD55C0" w:rsidRDefault="00F55A8F" w:rsidP="00FC2BD3">
            <w:pPr>
              <w:jc w:val="both"/>
              <w:rPr>
                <w:rFonts w:ascii="Times New Roman" w:hAnsi="Times New Roman" w:cs="Times New Roman"/>
                <w:sz w:val="24"/>
                <w:lang w:val="en-GB"/>
              </w:rPr>
            </w:pPr>
          </w:p>
          <w:p w14:paraId="462CA3AB"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w:t>
            </w:r>
          </w:p>
        </w:tc>
      </w:tr>
      <w:tr w:rsidR="00F55A8F" w:rsidRPr="00BD55C0" w14:paraId="3D9F5D19" w14:textId="77777777" w:rsidTr="008679F6">
        <w:tc>
          <w:tcPr>
            <w:tcW w:w="1892" w:type="dxa"/>
            <w:tcBorders>
              <w:top w:val="nil"/>
              <w:left w:val="nil"/>
              <w:bottom w:val="nil"/>
              <w:right w:val="nil"/>
            </w:tcBorders>
            <w:hideMark/>
          </w:tcPr>
          <w:p w14:paraId="591CF82F" w14:textId="77777777" w:rsidR="00F55A8F" w:rsidRPr="00BD55C0" w:rsidRDefault="00F55A8F" w:rsidP="00FC2BD3">
            <w:pPr>
              <w:jc w:val="both"/>
              <w:rPr>
                <w:rFonts w:ascii="Times New Roman" w:hAnsi="Times New Roman" w:cs="Times New Roman"/>
                <w:b/>
                <w:sz w:val="24"/>
                <w:lang w:val="en-GB"/>
              </w:rPr>
            </w:pPr>
            <w:r w:rsidRPr="00BD55C0">
              <w:rPr>
                <w:rFonts w:ascii="Times New Roman" w:hAnsi="Times New Roman" w:cs="Times New Roman"/>
                <w:b/>
                <w:sz w:val="24"/>
                <w:lang w:val="en-GB"/>
              </w:rPr>
              <w:t>Aware</w:t>
            </w:r>
          </w:p>
          <w:p w14:paraId="476A083A"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No</w:t>
            </w:r>
          </w:p>
          <w:p w14:paraId="49CA7B27"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yes</w:t>
            </w:r>
          </w:p>
        </w:tc>
        <w:tc>
          <w:tcPr>
            <w:tcW w:w="1870" w:type="dxa"/>
            <w:tcBorders>
              <w:top w:val="nil"/>
              <w:left w:val="nil"/>
              <w:bottom w:val="nil"/>
              <w:right w:val="nil"/>
            </w:tcBorders>
            <w:vAlign w:val="center"/>
          </w:tcPr>
          <w:p w14:paraId="77E35816" w14:textId="77777777" w:rsidR="00F55A8F" w:rsidRPr="00BD55C0" w:rsidRDefault="00F55A8F" w:rsidP="00FC2BD3">
            <w:pPr>
              <w:jc w:val="both"/>
              <w:rPr>
                <w:rFonts w:ascii="Times New Roman" w:hAnsi="Times New Roman" w:cs="Times New Roman"/>
                <w:sz w:val="24"/>
                <w:lang w:val="en-GB"/>
              </w:rPr>
            </w:pPr>
          </w:p>
          <w:p w14:paraId="67B74AC9"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1</w:t>
            </w:r>
          </w:p>
          <w:p w14:paraId="7DBCF887"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0.15(0.10-0.21)</w:t>
            </w:r>
          </w:p>
        </w:tc>
        <w:tc>
          <w:tcPr>
            <w:tcW w:w="1698" w:type="dxa"/>
            <w:tcBorders>
              <w:top w:val="nil"/>
              <w:left w:val="nil"/>
              <w:bottom w:val="nil"/>
              <w:right w:val="nil"/>
            </w:tcBorders>
            <w:vAlign w:val="center"/>
          </w:tcPr>
          <w:p w14:paraId="55974861" w14:textId="77777777" w:rsidR="00F55A8F" w:rsidRPr="00FD60FE" w:rsidRDefault="00F55A8F" w:rsidP="00FC2BD3">
            <w:pPr>
              <w:jc w:val="both"/>
              <w:rPr>
                <w:rFonts w:ascii="Times New Roman" w:hAnsi="Times New Roman" w:cs="Times New Roman"/>
                <w:b/>
                <w:sz w:val="24"/>
                <w:lang w:val="en-GB"/>
              </w:rPr>
            </w:pPr>
          </w:p>
          <w:p w14:paraId="27C09C76" w14:textId="77777777" w:rsidR="00F55A8F" w:rsidRPr="00FD60FE" w:rsidRDefault="00F55A8F" w:rsidP="00FC2BD3">
            <w:pPr>
              <w:jc w:val="both"/>
              <w:rPr>
                <w:rFonts w:ascii="Times New Roman" w:hAnsi="Times New Roman" w:cs="Times New Roman"/>
                <w:b/>
                <w:sz w:val="24"/>
                <w:lang w:val="en-GB"/>
              </w:rPr>
            </w:pPr>
          </w:p>
          <w:p w14:paraId="233F31F0" w14:textId="77777777" w:rsidR="00F55A8F" w:rsidRPr="00FD60FE" w:rsidRDefault="00F55A8F" w:rsidP="00FC2BD3">
            <w:pPr>
              <w:jc w:val="both"/>
              <w:rPr>
                <w:rFonts w:ascii="Times New Roman" w:hAnsi="Times New Roman" w:cs="Times New Roman"/>
                <w:b/>
                <w:sz w:val="24"/>
                <w:lang w:val="en-GB"/>
              </w:rPr>
            </w:pPr>
            <w:r w:rsidRPr="00FD60FE">
              <w:rPr>
                <w:rFonts w:ascii="Times New Roman" w:hAnsi="Times New Roman" w:cs="Times New Roman"/>
                <w:b/>
                <w:sz w:val="24"/>
                <w:lang w:val="en-GB"/>
              </w:rPr>
              <w:t>0.000</w:t>
            </w:r>
          </w:p>
        </w:tc>
        <w:tc>
          <w:tcPr>
            <w:tcW w:w="1870" w:type="dxa"/>
            <w:tcBorders>
              <w:top w:val="nil"/>
              <w:left w:val="nil"/>
              <w:bottom w:val="nil"/>
              <w:right w:val="nil"/>
            </w:tcBorders>
            <w:vAlign w:val="center"/>
          </w:tcPr>
          <w:p w14:paraId="4A6B7A36" w14:textId="77777777" w:rsidR="00F55A8F" w:rsidRPr="00BD55C0" w:rsidRDefault="00F55A8F" w:rsidP="00FC2BD3">
            <w:pPr>
              <w:jc w:val="both"/>
              <w:rPr>
                <w:rFonts w:ascii="Times New Roman" w:hAnsi="Times New Roman" w:cs="Times New Roman"/>
                <w:sz w:val="24"/>
                <w:lang w:val="en-GB"/>
              </w:rPr>
            </w:pPr>
          </w:p>
          <w:p w14:paraId="183C4209"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1</w:t>
            </w:r>
          </w:p>
          <w:p w14:paraId="5ABE13A2"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0.46(0.30-0.70)</w:t>
            </w:r>
          </w:p>
        </w:tc>
        <w:tc>
          <w:tcPr>
            <w:tcW w:w="1742" w:type="dxa"/>
            <w:tcBorders>
              <w:top w:val="nil"/>
              <w:left w:val="nil"/>
              <w:bottom w:val="nil"/>
              <w:right w:val="nil"/>
            </w:tcBorders>
            <w:vAlign w:val="center"/>
          </w:tcPr>
          <w:p w14:paraId="490408D0" w14:textId="77777777" w:rsidR="00F55A8F" w:rsidRPr="00BD55C0" w:rsidRDefault="00F55A8F" w:rsidP="00FC2BD3">
            <w:pPr>
              <w:jc w:val="both"/>
              <w:rPr>
                <w:rFonts w:ascii="Times New Roman" w:hAnsi="Times New Roman" w:cs="Times New Roman"/>
                <w:sz w:val="24"/>
                <w:lang w:val="en-GB"/>
              </w:rPr>
            </w:pPr>
          </w:p>
          <w:p w14:paraId="3AD30109" w14:textId="77777777" w:rsidR="00F55A8F" w:rsidRPr="00BD55C0" w:rsidRDefault="00F55A8F" w:rsidP="00FC2BD3">
            <w:pPr>
              <w:jc w:val="both"/>
              <w:rPr>
                <w:rFonts w:ascii="Times New Roman" w:hAnsi="Times New Roman" w:cs="Times New Roman"/>
                <w:sz w:val="24"/>
                <w:lang w:val="en-GB"/>
              </w:rPr>
            </w:pPr>
          </w:p>
          <w:p w14:paraId="4BDB7835" w14:textId="77777777" w:rsidR="00F55A8F" w:rsidRPr="000E681D" w:rsidRDefault="00AC2CC6" w:rsidP="00FC2BD3">
            <w:pPr>
              <w:jc w:val="both"/>
              <w:rPr>
                <w:rFonts w:ascii="Times New Roman" w:hAnsi="Times New Roman" w:cs="Times New Roman"/>
                <w:b/>
                <w:bCs/>
                <w:sz w:val="24"/>
                <w:lang w:val="en-GB"/>
              </w:rPr>
            </w:pPr>
            <w:r>
              <w:rPr>
                <w:rFonts w:ascii="Times New Roman" w:hAnsi="Times New Roman" w:cs="Times New Roman"/>
                <w:b/>
                <w:bCs/>
                <w:sz w:val="24"/>
                <w:lang w:val="en-GB"/>
              </w:rPr>
              <w:t>0.0003</w:t>
            </w:r>
          </w:p>
        </w:tc>
      </w:tr>
      <w:tr w:rsidR="00F55A8F" w:rsidRPr="00BD55C0" w14:paraId="2210B950" w14:textId="77777777" w:rsidTr="008679F6">
        <w:tc>
          <w:tcPr>
            <w:tcW w:w="1892" w:type="dxa"/>
            <w:tcBorders>
              <w:top w:val="nil"/>
              <w:left w:val="nil"/>
              <w:bottom w:val="nil"/>
              <w:right w:val="nil"/>
            </w:tcBorders>
            <w:hideMark/>
          </w:tcPr>
          <w:p w14:paraId="25C36BBD" w14:textId="77777777" w:rsidR="00F55A8F" w:rsidRPr="00BD55C0" w:rsidRDefault="00F55A8F" w:rsidP="00FC2BD3">
            <w:pPr>
              <w:jc w:val="both"/>
              <w:rPr>
                <w:rFonts w:ascii="Times New Roman" w:hAnsi="Times New Roman" w:cs="Times New Roman"/>
                <w:b/>
                <w:sz w:val="24"/>
                <w:lang w:val="en-GB"/>
              </w:rPr>
            </w:pPr>
            <w:r w:rsidRPr="00BD55C0">
              <w:rPr>
                <w:rFonts w:ascii="Times New Roman" w:hAnsi="Times New Roman" w:cs="Times New Roman"/>
                <w:b/>
                <w:sz w:val="24"/>
                <w:lang w:val="en-GB"/>
              </w:rPr>
              <w:t>Census</w:t>
            </w:r>
          </w:p>
          <w:p w14:paraId="5508FB77"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No</w:t>
            </w:r>
          </w:p>
          <w:p w14:paraId="54A3DAD9"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yes</w:t>
            </w:r>
          </w:p>
        </w:tc>
        <w:tc>
          <w:tcPr>
            <w:tcW w:w="1870" w:type="dxa"/>
            <w:tcBorders>
              <w:top w:val="nil"/>
              <w:left w:val="nil"/>
              <w:bottom w:val="nil"/>
              <w:right w:val="nil"/>
            </w:tcBorders>
            <w:vAlign w:val="center"/>
          </w:tcPr>
          <w:p w14:paraId="2D0F8FC6" w14:textId="77777777" w:rsidR="00F55A8F" w:rsidRPr="00BD55C0" w:rsidRDefault="00F55A8F" w:rsidP="00FC2BD3">
            <w:pPr>
              <w:jc w:val="both"/>
              <w:rPr>
                <w:rFonts w:ascii="Times New Roman" w:hAnsi="Times New Roman" w:cs="Times New Roman"/>
                <w:sz w:val="24"/>
                <w:lang w:val="en-GB"/>
              </w:rPr>
            </w:pPr>
          </w:p>
          <w:p w14:paraId="490B69B5"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1</w:t>
            </w:r>
          </w:p>
          <w:p w14:paraId="55E3293B"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0.07(0.05-0.11)</w:t>
            </w:r>
          </w:p>
        </w:tc>
        <w:tc>
          <w:tcPr>
            <w:tcW w:w="1698" w:type="dxa"/>
            <w:tcBorders>
              <w:top w:val="nil"/>
              <w:left w:val="nil"/>
              <w:bottom w:val="nil"/>
              <w:right w:val="nil"/>
            </w:tcBorders>
            <w:vAlign w:val="center"/>
            <w:hideMark/>
          </w:tcPr>
          <w:p w14:paraId="06B1AC88" w14:textId="77777777" w:rsidR="00F55A8F" w:rsidRPr="00FD60FE" w:rsidRDefault="00F55A8F" w:rsidP="00FC2BD3">
            <w:pPr>
              <w:jc w:val="both"/>
              <w:rPr>
                <w:rFonts w:ascii="Times New Roman" w:hAnsi="Times New Roman" w:cs="Times New Roman"/>
                <w:b/>
                <w:sz w:val="24"/>
                <w:lang w:val="en-GB"/>
              </w:rPr>
            </w:pPr>
            <w:r w:rsidRPr="00FD60FE">
              <w:rPr>
                <w:rFonts w:ascii="Times New Roman" w:hAnsi="Times New Roman" w:cs="Times New Roman"/>
                <w:b/>
                <w:sz w:val="24"/>
                <w:lang w:val="en-GB"/>
              </w:rPr>
              <w:t>0.000</w:t>
            </w:r>
          </w:p>
        </w:tc>
        <w:tc>
          <w:tcPr>
            <w:tcW w:w="1870" w:type="dxa"/>
            <w:tcBorders>
              <w:top w:val="nil"/>
              <w:left w:val="nil"/>
              <w:bottom w:val="nil"/>
              <w:right w:val="nil"/>
            </w:tcBorders>
            <w:vAlign w:val="center"/>
          </w:tcPr>
          <w:p w14:paraId="693486B1" w14:textId="77777777" w:rsidR="00F55A8F" w:rsidRPr="00BD55C0" w:rsidRDefault="00F55A8F" w:rsidP="00FC2BD3">
            <w:pPr>
              <w:jc w:val="both"/>
              <w:rPr>
                <w:rFonts w:ascii="Times New Roman" w:hAnsi="Times New Roman" w:cs="Times New Roman"/>
                <w:sz w:val="24"/>
                <w:lang w:val="en-GB"/>
              </w:rPr>
            </w:pPr>
          </w:p>
          <w:p w14:paraId="1F20115D"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1</w:t>
            </w:r>
          </w:p>
          <w:p w14:paraId="2C46E731"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0.11(0.07-0.16)</w:t>
            </w:r>
          </w:p>
        </w:tc>
        <w:tc>
          <w:tcPr>
            <w:tcW w:w="1742" w:type="dxa"/>
            <w:tcBorders>
              <w:top w:val="nil"/>
              <w:left w:val="nil"/>
              <w:bottom w:val="nil"/>
              <w:right w:val="nil"/>
            </w:tcBorders>
            <w:vAlign w:val="center"/>
          </w:tcPr>
          <w:p w14:paraId="37200470" w14:textId="77777777" w:rsidR="00F55A8F" w:rsidRPr="00BD55C0" w:rsidRDefault="00F55A8F" w:rsidP="00FC2BD3">
            <w:pPr>
              <w:jc w:val="both"/>
              <w:rPr>
                <w:rFonts w:ascii="Times New Roman" w:hAnsi="Times New Roman" w:cs="Times New Roman"/>
                <w:sz w:val="24"/>
                <w:lang w:val="en-GB"/>
              </w:rPr>
            </w:pPr>
          </w:p>
          <w:p w14:paraId="62571B05" w14:textId="77777777" w:rsidR="00F55A8F" w:rsidRPr="00BD55C0" w:rsidRDefault="00F55A8F" w:rsidP="00FC2BD3">
            <w:pPr>
              <w:jc w:val="both"/>
              <w:rPr>
                <w:rFonts w:ascii="Times New Roman" w:hAnsi="Times New Roman" w:cs="Times New Roman"/>
                <w:sz w:val="24"/>
                <w:lang w:val="en-GB"/>
              </w:rPr>
            </w:pPr>
          </w:p>
          <w:p w14:paraId="42B482F5" w14:textId="77777777" w:rsidR="00F55A8F" w:rsidRPr="000E681D" w:rsidRDefault="00AC2CC6" w:rsidP="00FC2BD3">
            <w:pPr>
              <w:jc w:val="both"/>
              <w:rPr>
                <w:rFonts w:ascii="Times New Roman" w:hAnsi="Times New Roman" w:cs="Times New Roman"/>
                <w:b/>
                <w:bCs/>
                <w:sz w:val="24"/>
                <w:lang w:val="en-GB"/>
              </w:rPr>
            </w:pPr>
            <w:r>
              <w:rPr>
                <w:rFonts w:ascii="Times New Roman" w:hAnsi="Times New Roman" w:cs="Times New Roman"/>
                <w:b/>
                <w:bCs/>
                <w:sz w:val="24"/>
                <w:lang w:val="en-GB"/>
              </w:rPr>
              <w:t>0.000</w:t>
            </w:r>
          </w:p>
        </w:tc>
      </w:tr>
      <w:tr w:rsidR="00F55A8F" w:rsidRPr="00BD55C0" w14:paraId="0E168DA2" w14:textId="77777777" w:rsidTr="008679F6">
        <w:tc>
          <w:tcPr>
            <w:tcW w:w="1892" w:type="dxa"/>
            <w:tcBorders>
              <w:top w:val="nil"/>
              <w:left w:val="nil"/>
              <w:bottom w:val="nil"/>
              <w:right w:val="nil"/>
            </w:tcBorders>
            <w:hideMark/>
          </w:tcPr>
          <w:p w14:paraId="76A1F066" w14:textId="77777777" w:rsidR="00F55A8F" w:rsidRPr="00BD55C0" w:rsidRDefault="00F55A8F" w:rsidP="00FC2BD3">
            <w:pPr>
              <w:jc w:val="both"/>
              <w:rPr>
                <w:rFonts w:ascii="Times New Roman" w:hAnsi="Times New Roman" w:cs="Times New Roman"/>
                <w:b/>
                <w:sz w:val="24"/>
                <w:lang w:val="en-GB"/>
              </w:rPr>
            </w:pPr>
            <w:r w:rsidRPr="00BD55C0">
              <w:rPr>
                <w:rFonts w:ascii="Times New Roman" w:hAnsi="Times New Roman" w:cs="Times New Roman"/>
                <w:b/>
                <w:sz w:val="24"/>
                <w:lang w:val="en-GB"/>
              </w:rPr>
              <w:t>Education</w:t>
            </w:r>
          </w:p>
          <w:p w14:paraId="3D907E0E"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None</w:t>
            </w:r>
          </w:p>
          <w:p w14:paraId="6B40A272"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Primary</w:t>
            </w:r>
          </w:p>
          <w:p w14:paraId="29A4D492"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Secondary</w:t>
            </w:r>
          </w:p>
          <w:p w14:paraId="337BA0E8"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higher</w:t>
            </w:r>
          </w:p>
        </w:tc>
        <w:tc>
          <w:tcPr>
            <w:tcW w:w="1870" w:type="dxa"/>
            <w:tcBorders>
              <w:top w:val="nil"/>
              <w:left w:val="nil"/>
              <w:bottom w:val="nil"/>
              <w:right w:val="nil"/>
            </w:tcBorders>
            <w:vAlign w:val="center"/>
          </w:tcPr>
          <w:p w14:paraId="28D8C324" w14:textId="77777777" w:rsidR="00F55A8F" w:rsidRPr="00BD55C0" w:rsidRDefault="00F55A8F" w:rsidP="00FC2BD3">
            <w:pPr>
              <w:jc w:val="both"/>
              <w:rPr>
                <w:rFonts w:ascii="Times New Roman" w:hAnsi="Times New Roman" w:cs="Times New Roman"/>
                <w:sz w:val="24"/>
                <w:lang w:val="en-GB"/>
              </w:rPr>
            </w:pPr>
          </w:p>
          <w:p w14:paraId="1EC31445"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1</w:t>
            </w:r>
          </w:p>
          <w:p w14:paraId="3CED6CE3"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0.12(0.01-1.02)</w:t>
            </w:r>
          </w:p>
          <w:p w14:paraId="7B7727CA"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006(0.00-0.51)</w:t>
            </w:r>
          </w:p>
          <w:p w14:paraId="253E5CBB"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0.12(0.01-1.05)</w:t>
            </w:r>
          </w:p>
        </w:tc>
        <w:tc>
          <w:tcPr>
            <w:tcW w:w="1698" w:type="dxa"/>
            <w:tcBorders>
              <w:top w:val="nil"/>
              <w:left w:val="nil"/>
              <w:bottom w:val="nil"/>
              <w:right w:val="nil"/>
            </w:tcBorders>
            <w:vAlign w:val="center"/>
          </w:tcPr>
          <w:p w14:paraId="64783E95" w14:textId="77777777" w:rsidR="00F55A8F" w:rsidRPr="00BD55C0" w:rsidRDefault="00F55A8F" w:rsidP="00FC2BD3">
            <w:pPr>
              <w:jc w:val="both"/>
              <w:rPr>
                <w:rFonts w:ascii="Times New Roman" w:hAnsi="Times New Roman" w:cs="Times New Roman"/>
                <w:sz w:val="24"/>
                <w:lang w:val="en-GB"/>
              </w:rPr>
            </w:pPr>
          </w:p>
          <w:p w14:paraId="7405D35C" w14:textId="77777777" w:rsidR="00F55A8F" w:rsidRPr="002D4FD3" w:rsidRDefault="00F55A8F" w:rsidP="00FC2BD3">
            <w:pPr>
              <w:jc w:val="both"/>
              <w:rPr>
                <w:rFonts w:ascii="Times New Roman" w:hAnsi="Times New Roman" w:cs="Times New Roman"/>
                <w:b/>
                <w:sz w:val="24"/>
                <w:lang w:val="en-GB"/>
              </w:rPr>
            </w:pPr>
          </w:p>
          <w:p w14:paraId="1E8A6C95" w14:textId="77777777" w:rsidR="00F55A8F" w:rsidRPr="002D4FD3" w:rsidRDefault="00F55A8F" w:rsidP="00FC2BD3">
            <w:pPr>
              <w:jc w:val="both"/>
              <w:rPr>
                <w:rFonts w:ascii="Times New Roman" w:hAnsi="Times New Roman" w:cs="Times New Roman"/>
                <w:b/>
                <w:sz w:val="24"/>
                <w:lang w:val="en-GB"/>
              </w:rPr>
            </w:pPr>
            <w:r w:rsidRPr="002D4FD3">
              <w:rPr>
                <w:rFonts w:ascii="Times New Roman" w:hAnsi="Times New Roman" w:cs="Times New Roman"/>
                <w:b/>
                <w:sz w:val="24"/>
                <w:lang w:val="en-GB"/>
              </w:rPr>
              <w:t>0.052</w:t>
            </w:r>
          </w:p>
          <w:p w14:paraId="3F7442DB" w14:textId="77777777" w:rsidR="00F55A8F" w:rsidRPr="002D4FD3" w:rsidRDefault="00F55A8F" w:rsidP="00FC2BD3">
            <w:pPr>
              <w:jc w:val="both"/>
              <w:rPr>
                <w:rFonts w:ascii="Times New Roman" w:hAnsi="Times New Roman" w:cs="Times New Roman"/>
                <w:b/>
                <w:sz w:val="24"/>
                <w:lang w:val="en-GB"/>
              </w:rPr>
            </w:pPr>
            <w:r w:rsidRPr="002D4FD3">
              <w:rPr>
                <w:rFonts w:ascii="Times New Roman" w:hAnsi="Times New Roman" w:cs="Times New Roman"/>
                <w:b/>
                <w:sz w:val="24"/>
                <w:lang w:val="en-GB"/>
              </w:rPr>
              <w:t>0.010</w:t>
            </w:r>
          </w:p>
          <w:p w14:paraId="6A35A445" w14:textId="77777777" w:rsidR="00F55A8F" w:rsidRPr="00BD55C0" w:rsidRDefault="00F55A8F" w:rsidP="00FC2BD3">
            <w:pPr>
              <w:jc w:val="both"/>
              <w:rPr>
                <w:rFonts w:ascii="Times New Roman" w:hAnsi="Times New Roman" w:cs="Times New Roman"/>
                <w:sz w:val="24"/>
                <w:lang w:val="en-GB"/>
              </w:rPr>
            </w:pPr>
            <w:r w:rsidRPr="002D4FD3">
              <w:rPr>
                <w:rFonts w:ascii="Times New Roman" w:hAnsi="Times New Roman" w:cs="Times New Roman"/>
                <w:b/>
                <w:sz w:val="24"/>
                <w:lang w:val="en-GB"/>
              </w:rPr>
              <w:t>0.056</w:t>
            </w:r>
          </w:p>
        </w:tc>
        <w:tc>
          <w:tcPr>
            <w:tcW w:w="1870" w:type="dxa"/>
            <w:tcBorders>
              <w:top w:val="nil"/>
              <w:left w:val="nil"/>
              <w:bottom w:val="nil"/>
              <w:right w:val="nil"/>
            </w:tcBorders>
            <w:vAlign w:val="center"/>
          </w:tcPr>
          <w:p w14:paraId="26EBEDAB" w14:textId="77777777" w:rsidR="00F55A8F" w:rsidRPr="00BD55C0" w:rsidRDefault="00F55A8F" w:rsidP="00FC2BD3">
            <w:pPr>
              <w:jc w:val="both"/>
              <w:rPr>
                <w:rFonts w:ascii="Times New Roman" w:hAnsi="Times New Roman" w:cs="Times New Roman"/>
                <w:sz w:val="24"/>
                <w:lang w:val="en-GB"/>
              </w:rPr>
            </w:pPr>
          </w:p>
          <w:p w14:paraId="4409839A"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1</w:t>
            </w:r>
          </w:p>
          <w:p w14:paraId="3C0A738D"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0.29(0.02-2.88)</w:t>
            </w:r>
          </w:p>
          <w:p w14:paraId="77FFC26F"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0.15(0.01-1.52)</w:t>
            </w:r>
          </w:p>
          <w:p w14:paraId="29D310D7"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0.25(0.02-2.72)</w:t>
            </w:r>
          </w:p>
          <w:p w14:paraId="2139CCF7" w14:textId="77777777" w:rsidR="00F55A8F" w:rsidRPr="00BD55C0" w:rsidRDefault="00F55A8F" w:rsidP="00FC2BD3">
            <w:pPr>
              <w:jc w:val="both"/>
              <w:rPr>
                <w:rFonts w:ascii="Times New Roman" w:hAnsi="Times New Roman" w:cs="Times New Roman"/>
                <w:sz w:val="24"/>
                <w:lang w:val="en-GB"/>
              </w:rPr>
            </w:pPr>
          </w:p>
        </w:tc>
        <w:tc>
          <w:tcPr>
            <w:tcW w:w="1742" w:type="dxa"/>
            <w:tcBorders>
              <w:top w:val="nil"/>
              <w:left w:val="nil"/>
              <w:bottom w:val="nil"/>
              <w:right w:val="nil"/>
            </w:tcBorders>
            <w:vAlign w:val="center"/>
          </w:tcPr>
          <w:p w14:paraId="4178F6CC" w14:textId="77777777" w:rsidR="00F55A8F" w:rsidRPr="00BD55C0" w:rsidRDefault="00F55A8F" w:rsidP="00FC2BD3">
            <w:pPr>
              <w:jc w:val="both"/>
              <w:rPr>
                <w:rFonts w:ascii="Times New Roman" w:hAnsi="Times New Roman" w:cs="Times New Roman"/>
                <w:sz w:val="24"/>
                <w:lang w:val="en-GB"/>
              </w:rPr>
            </w:pPr>
          </w:p>
          <w:p w14:paraId="58A0CC7F" w14:textId="77777777" w:rsidR="00F55A8F" w:rsidRPr="00BD55C0" w:rsidRDefault="00F55A8F" w:rsidP="00FC2BD3">
            <w:pPr>
              <w:jc w:val="both"/>
              <w:rPr>
                <w:rFonts w:ascii="Times New Roman" w:hAnsi="Times New Roman" w:cs="Times New Roman"/>
                <w:sz w:val="24"/>
                <w:lang w:val="en-GB"/>
              </w:rPr>
            </w:pPr>
          </w:p>
          <w:p w14:paraId="2BD1FC8E"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0.29</w:t>
            </w:r>
          </w:p>
          <w:p w14:paraId="31D293F3"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0.11</w:t>
            </w:r>
          </w:p>
          <w:p w14:paraId="7682AC3D"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0.25</w:t>
            </w:r>
          </w:p>
        </w:tc>
      </w:tr>
      <w:tr w:rsidR="00F55A8F" w:rsidRPr="00BD55C0" w14:paraId="25491C02" w14:textId="77777777" w:rsidTr="008679F6">
        <w:tc>
          <w:tcPr>
            <w:tcW w:w="1892" w:type="dxa"/>
            <w:tcBorders>
              <w:top w:val="nil"/>
              <w:left w:val="nil"/>
              <w:bottom w:val="nil"/>
              <w:right w:val="nil"/>
            </w:tcBorders>
            <w:hideMark/>
          </w:tcPr>
          <w:p w14:paraId="124441DE" w14:textId="77777777" w:rsidR="00F55A8F" w:rsidRPr="00BD55C0" w:rsidRDefault="00F55A8F" w:rsidP="00FC2BD3">
            <w:pPr>
              <w:jc w:val="both"/>
              <w:rPr>
                <w:rFonts w:ascii="Times New Roman" w:hAnsi="Times New Roman" w:cs="Times New Roman"/>
                <w:b/>
                <w:sz w:val="24"/>
                <w:lang w:val="en-GB"/>
              </w:rPr>
            </w:pPr>
            <w:r w:rsidRPr="00BD55C0">
              <w:rPr>
                <w:rFonts w:ascii="Times New Roman" w:hAnsi="Times New Roman" w:cs="Times New Roman"/>
                <w:b/>
                <w:sz w:val="24"/>
                <w:lang w:val="en-GB"/>
              </w:rPr>
              <w:t>Here</w:t>
            </w:r>
          </w:p>
          <w:p w14:paraId="5F9F9619"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No</w:t>
            </w:r>
          </w:p>
          <w:p w14:paraId="084E1C9F"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yes</w:t>
            </w:r>
          </w:p>
        </w:tc>
        <w:tc>
          <w:tcPr>
            <w:tcW w:w="1870" w:type="dxa"/>
            <w:tcBorders>
              <w:top w:val="nil"/>
              <w:left w:val="nil"/>
              <w:bottom w:val="nil"/>
              <w:right w:val="nil"/>
            </w:tcBorders>
            <w:vAlign w:val="center"/>
          </w:tcPr>
          <w:p w14:paraId="37ACA394" w14:textId="77777777" w:rsidR="00F55A8F" w:rsidRPr="00BD55C0" w:rsidRDefault="00F55A8F" w:rsidP="00FC2BD3">
            <w:pPr>
              <w:jc w:val="both"/>
              <w:rPr>
                <w:rFonts w:ascii="Times New Roman" w:hAnsi="Times New Roman" w:cs="Times New Roman"/>
                <w:sz w:val="24"/>
                <w:lang w:val="en-GB"/>
              </w:rPr>
            </w:pPr>
          </w:p>
          <w:p w14:paraId="750C37DC"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1</w:t>
            </w:r>
          </w:p>
          <w:p w14:paraId="70C7DD9E"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1.26(0.71-2.23)</w:t>
            </w:r>
          </w:p>
        </w:tc>
        <w:tc>
          <w:tcPr>
            <w:tcW w:w="1698" w:type="dxa"/>
            <w:tcBorders>
              <w:top w:val="nil"/>
              <w:left w:val="nil"/>
              <w:bottom w:val="nil"/>
              <w:right w:val="nil"/>
            </w:tcBorders>
            <w:vAlign w:val="center"/>
          </w:tcPr>
          <w:p w14:paraId="3E8DE96A" w14:textId="77777777" w:rsidR="00F55A8F" w:rsidRPr="00BD55C0" w:rsidRDefault="00F55A8F" w:rsidP="00FC2BD3">
            <w:pPr>
              <w:jc w:val="both"/>
              <w:rPr>
                <w:rFonts w:ascii="Times New Roman" w:hAnsi="Times New Roman" w:cs="Times New Roman"/>
                <w:sz w:val="24"/>
                <w:lang w:val="en-GB"/>
              </w:rPr>
            </w:pPr>
          </w:p>
          <w:p w14:paraId="65405A74" w14:textId="77777777" w:rsidR="00F55A8F" w:rsidRPr="00BD55C0" w:rsidRDefault="00F55A8F" w:rsidP="00FC2BD3">
            <w:pPr>
              <w:jc w:val="both"/>
              <w:rPr>
                <w:rFonts w:ascii="Times New Roman" w:hAnsi="Times New Roman" w:cs="Times New Roman"/>
                <w:sz w:val="24"/>
                <w:lang w:val="en-GB"/>
              </w:rPr>
            </w:pPr>
          </w:p>
          <w:p w14:paraId="70DAF0E6"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0.41</w:t>
            </w:r>
          </w:p>
        </w:tc>
        <w:tc>
          <w:tcPr>
            <w:tcW w:w="1870" w:type="dxa"/>
            <w:tcBorders>
              <w:top w:val="nil"/>
              <w:left w:val="nil"/>
              <w:bottom w:val="nil"/>
              <w:right w:val="nil"/>
            </w:tcBorders>
            <w:vAlign w:val="center"/>
          </w:tcPr>
          <w:p w14:paraId="1A58A2D0" w14:textId="77777777" w:rsidR="00F55A8F" w:rsidRPr="00BD55C0" w:rsidRDefault="00F55A8F" w:rsidP="00FC2BD3">
            <w:pPr>
              <w:jc w:val="both"/>
              <w:rPr>
                <w:rFonts w:ascii="Times New Roman" w:hAnsi="Times New Roman" w:cs="Times New Roman"/>
                <w:sz w:val="24"/>
                <w:lang w:val="en-GB"/>
              </w:rPr>
            </w:pPr>
          </w:p>
          <w:p w14:paraId="556AD7C2"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w:t>
            </w:r>
          </w:p>
        </w:tc>
        <w:tc>
          <w:tcPr>
            <w:tcW w:w="1742" w:type="dxa"/>
            <w:tcBorders>
              <w:top w:val="nil"/>
              <w:left w:val="nil"/>
              <w:bottom w:val="nil"/>
              <w:right w:val="nil"/>
            </w:tcBorders>
            <w:vAlign w:val="center"/>
          </w:tcPr>
          <w:p w14:paraId="7EE41147" w14:textId="77777777" w:rsidR="00F55A8F" w:rsidRPr="00BD55C0" w:rsidRDefault="00F55A8F" w:rsidP="00FC2BD3">
            <w:pPr>
              <w:jc w:val="both"/>
              <w:rPr>
                <w:rFonts w:ascii="Times New Roman" w:hAnsi="Times New Roman" w:cs="Times New Roman"/>
                <w:sz w:val="24"/>
                <w:lang w:val="en-GB"/>
              </w:rPr>
            </w:pPr>
          </w:p>
          <w:p w14:paraId="0E77CEE7"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w:t>
            </w:r>
          </w:p>
        </w:tc>
      </w:tr>
      <w:tr w:rsidR="00F55A8F" w:rsidRPr="00BD55C0" w14:paraId="23B9A653" w14:textId="77777777" w:rsidTr="008679F6">
        <w:tc>
          <w:tcPr>
            <w:tcW w:w="1892" w:type="dxa"/>
            <w:tcBorders>
              <w:top w:val="nil"/>
              <w:left w:val="nil"/>
              <w:bottom w:val="single" w:sz="4" w:space="0" w:color="auto"/>
              <w:right w:val="nil"/>
            </w:tcBorders>
            <w:hideMark/>
          </w:tcPr>
          <w:p w14:paraId="00C43306" w14:textId="77777777" w:rsidR="00F55A8F" w:rsidRPr="00BD55C0" w:rsidRDefault="00F55A8F" w:rsidP="00FC2BD3">
            <w:pPr>
              <w:jc w:val="both"/>
              <w:rPr>
                <w:rFonts w:ascii="Times New Roman" w:hAnsi="Times New Roman" w:cs="Times New Roman"/>
                <w:b/>
                <w:sz w:val="24"/>
                <w:lang w:val="en-GB"/>
              </w:rPr>
            </w:pPr>
            <w:r w:rsidRPr="00BD55C0">
              <w:rPr>
                <w:rFonts w:ascii="Times New Roman" w:hAnsi="Times New Roman" w:cs="Times New Roman"/>
                <w:b/>
                <w:sz w:val="24"/>
                <w:lang w:val="en-GB"/>
              </w:rPr>
              <w:t>Sex</w:t>
            </w:r>
          </w:p>
          <w:p w14:paraId="01E62CCC"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Female</w:t>
            </w:r>
          </w:p>
          <w:p w14:paraId="765149C0"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male</w:t>
            </w:r>
          </w:p>
        </w:tc>
        <w:tc>
          <w:tcPr>
            <w:tcW w:w="1870" w:type="dxa"/>
            <w:tcBorders>
              <w:top w:val="nil"/>
              <w:left w:val="nil"/>
              <w:bottom w:val="single" w:sz="4" w:space="0" w:color="auto"/>
              <w:right w:val="nil"/>
            </w:tcBorders>
            <w:vAlign w:val="center"/>
          </w:tcPr>
          <w:p w14:paraId="27874692" w14:textId="77777777" w:rsidR="00F55A8F" w:rsidRPr="00BD55C0" w:rsidRDefault="00F55A8F" w:rsidP="00FC2BD3">
            <w:pPr>
              <w:jc w:val="both"/>
              <w:rPr>
                <w:rFonts w:ascii="Times New Roman" w:hAnsi="Times New Roman" w:cs="Times New Roman"/>
                <w:sz w:val="24"/>
                <w:lang w:val="en-GB"/>
              </w:rPr>
            </w:pPr>
          </w:p>
          <w:p w14:paraId="0BAB04EB"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1</w:t>
            </w:r>
          </w:p>
          <w:p w14:paraId="3AE84F7D"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0.42(0.31-0.57)</w:t>
            </w:r>
          </w:p>
        </w:tc>
        <w:tc>
          <w:tcPr>
            <w:tcW w:w="1698" w:type="dxa"/>
            <w:tcBorders>
              <w:top w:val="nil"/>
              <w:left w:val="nil"/>
              <w:bottom w:val="single" w:sz="4" w:space="0" w:color="auto"/>
              <w:right w:val="nil"/>
            </w:tcBorders>
            <w:vAlign w:val="center"/>
          </w:tcPr>
          <w:p w14:paraId="7D3E3703" w14:textId="77777777" w:rsidR="00F55A8F" w:rsidRPr="00BD55C0" w:rsidRDefault="00F55A8F" w:rsidP="00FC2BD3">
            <w:pPr>
              <w:jc w:val="both"/>
              <w:rPr>
                <w:rFonts w:ascii="Times New Roman" w:hAnsi="Times New Roman" w:cs="Times New Roman"/>
                <w:sz w:val="24"/>
                <w:lang w:val="en-GB"/>
              </w:rPr>
            </w:pPr>
          </w:p>
          <w:p w14:paraId="56D16EAA" w14:textId="77777777" w:rsidR="00F55A8F" w:rsidRPr="00BD55C0" w:rsidRDefault="00F55A8F" w:rsidP="00FC2BD3">
            <w:pPr>
              <w:jc w:val="both"/>
              <w:rPr>
                <w:rFonts w:ascii="Times New Roman" w:hAnsi="Times New Roman" w:cs="Times New Roman"/>
                <w:sz w:val="24"/>
                <w:lang w:val="en-GB"/>
              </w:rPr>
            </w:pPr>
          </w:p>
          <w:p w14:paraId="3B8F6446" w14:textId="77777777" w:rsidR="00F55A8F" w:rsidRPr="00FD60FE" w:rsidRDefault="00F55A8F" w:rsidP="00FC2BD3">
            <w:pPr>
              <w:jc w:val="both"/>
              <w:rPr>
                <w:rFonts w:ascii="Times New Roman" w:hAnsi="Times New Roman" w:cs="Times New Roman"/>
                <w:b/>
                <w:sz w:val="24"/>
                <w:lang w:val="en-GB"/>
              </w:rPr>
            </w:pPr>
            <w:r w:rsidRPr="00FD60FE">
              <w:rPr>
                <w:rFonts w:ascii="Times New Roman" w:hAnsi="Times New Roman" w:cs="Times New Roman"/>
                <w:b/>
                <w:sz w:val="24"/>
                <w:lang w:val="en-GB"/>
              </w:rPr>
              <w:t>0.000</w:t>
            </w:r>
          </w:p>
        </w:tc>
        <w:tc>
          <w:tcPr>
            <w:tcW w:w="1870" w:type="dxa"/>
            <w:tcBorders>
              <w:top w:val="nil"/>
              <w:left w:val="nil"/>
              <w:bottom w:val="single" w:sz="4" w:space="0" w:color="auto"/>
              <w:right w:val="nil"/>
            </w:tcBorders>
            <w:vAlign w:val="center"/>
          </w:tcPr>
          <w:p w14:paraId="07069638" w14:textId="77777777" w:rsidR="00F55A8F" w:rsidRPr="00BD55C0" w:rsidRDefault="00F55A8F" w:rsidP="00FC2BD3">
            <w:pPr>
              <w:jc w:val="both"/>
              <w:rPr>
                <w:rFonts w:ascii="Times New Roman" w:hAnsi="Times New Roman" w:cs="Times New Roman"/>
                <w:sz w:val="24"/>
                <w:lang w:val="en-GB"/>
              </w:rPr>
            </w:pPr>
          </w:p>
          <w:p w14:paraId="22BD8C15"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1</w:t>
            </w:r>
          </w:p>
          <w:p w14:paraId="5CB3BBC6"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0.45(0.32-0.65)</w:t>
            </w:r>
          </w:p>
        </w:tc>
        <w:tc>
          <w:tcPr>
            <w:tcW w:w="1742" w:type="dxa"/>
            <w:tcBorders>
              <w:top w:val="nil"/>
              <w:left w:val="nil"/>
              <w:bottom w:val="single" w:sz="4" w:space="0" w:color="auto"/>
              <w:right w:val="nil"/>
            </w:tcBorders>
            <w:vAlign w:val="center"/>
          </w:tcPr>
          <w:p w14:paraId="763772F8" w14:textId="77777777" w:rsidR="00F55A8F" w:rsidRPr="00BD55C0" w:rsidRDefault="00F55A8F" w:rsidP="00FC2BD3">
            <w:pPr>
              <w:jc w:val="both"/>
              <w:rPr>
                <w:rFonts w:ascii="Times New Roman" w:hAnsi="Times New Roman" w:cs="Times New Roman"/>
                <w:sz w:val="24"/>
                <w:lang w:val="en-GB"/>
              </w:rPr>
            </w:pPr>
          </w:p>
          <w:p w14:paraId="48427E58" w14:textId="77777777" w:rsidR="00F55A8F" w:rsidRPr="00BD55C0" w:rsidRDefault="00F55A8F" w:rsidP="00FC2BD3">
            <w:pPr>
              <w:jc w:val="both"/>
              <w:rPr>
                <w:rFonts w:ascii="Times New Roman" w:hAnsi="Times New Roman" w:cs="Times New Roman"/>
                <w:sz w:val="24"/>
                <w:lang w:val="en-GB"/>
              </w:rPr>
            </w:pPr>
          </w:p>
          <w:p w14:paraId="39F5BF53" w14:textId="77777777" w:rsidR="00F55A8F" w:rsidRPr="000E681D" w:rsidRDefault="00AC2CC6" w:rsidP="00FC2BD3">
            <w:pPr>
              <w:jc w:val="both"/>
              <w:rPr>
                <w:rFonts w:ascii="Times New Roman" w:hAnsi="Times New Roman" w:cs="Times New Roman"/>
                <w:b/>
                <w:bCs/>
                <w:sz w:val="24"/>
                <w:lang w:val="en-GB"/>
              </w:rPr>
            </w:pPr>
            <w:r>
              <w:rPr>
                <w:rFonts w:ascii="Times New Roman" w:hAnsi="Times New Roman" w:cs="Times New Roman"/>
                <w:b/>
                <w:bCs/>
                <w:sz w:val="24"/>
                <w:lang w:val="en-GB"/>
              </w:rPr>
              <w:t>0.000</w:t>
            </w:r>
          </w:p>
        </w:tc>
      </w:tr>
    </w:tbl>
    <w:p w14:paraId="242E8975" w14:textId="77777777" w:rsidR="007B2619" w:rsidRPr="00CE496C" w:rsidRDefault="007B2619" w:rsidP="00CE496C">
      <w:pPr>
        <w:spacing w:before="100" w:beforeAutospacing="1" w:after="100" w:afterAutospacing="1" w:line="360" w:lineRule="auto"/>
        <w:jc w:val="both"/>
        <w:rPr>
          <w:rFonts w:ascii="Times New Roman" w:eastAsia="Times New Roman" w:hAnsi="Times New Roman" w:cs="Times New Roman"/>
          <w:sz w:val="24"/>
          <w:szCs w:val="24"/>
          <w:lang w:val="en-GB" w:eastAsia="fr-FR"/>
        </w:rPr>
      </w:pPr>
    </w:p>
    <w:p w14:paraId="285C1609" w14:textId="77777777" w:rsidR="00AE219D" w:rsidRPr="00CF35D8" w:rsidRDefault="002F6774" w:rsidP="00207033">
      <w:pPr>
        <w:pStyle w:val="ListParagraph"/>
        <w:numPr>
          <w:ilvl w:val="0"/>
          <w:numId w:val="15"/>
        </w:numPr>
        <w:spacing w:before="100" w:beforeAutospacing="1" w:after="100" w:afterAutospacing="1" w:line="360" w:lineRule="auto"/>
        <w:jc w:val="both"/>
        <w:rPr>
          <w:rFonts w:ascii="Times New Roman" w:eastAsia="Times New Roman" w:hAnsi="Times New Roman" w:cs="Times New Roman"/>
          <w:b/>
          <w:sz w:val="24"/>
          <w:szCs w:val="24"/>
          <w:lang w:val="en-GB" w:eastAsia="fr-FR"/>
        </w:rPr>
      </w:pPr>
      <w:r w:rsidRPr="00CF35D8">
        <w:rPr>
          <w:rFonts w:ascii="Times New Roman" w:hAnsi="Times New Roman" w:cs="Times New Roman"/>
          <w:b/>
          <w:color w:val="000000" w:themeColor="text1"/>
          <w:sz w:val="24"/>
          <w:szCs w:val="24"/>
        </w:rPr>
        <w:t>Communication channel effectiveness</w:t>
      </w:r>
    </w:p>
    <w:p w14:paraId="48960310" w14:textId="77777777" w:rsidR="007045F6" w:rsidRPr="007045F6" w:rsidRDefault="007045F6" w:rsidP="007045F6">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7045F6">
        <w:rPr>
          <w:rFonts w:ascii="Times New Roman" w:eastAsia="Times New Roman" w:hAnsi="Times New Roman" w:cs="Times New Roman"/>
          <w:sz w:val="24"/>
          <w:szCs w:val="24"/>
          <w:lang w:val="en-US" w:eastAsia="fr-FR"/>
        </w:rPr>
        <w:t>Communication coverage varied by channel. Community Health Workers reached 74.4% of respondents, and social groups reached 75.9%, indicating moderate effectiveness. Churches (82.9%) and census activities (85.1%) demonstrated greater impact, while SMS (85.7%) and the internet (100%) recorded the highest proportions, though small sample sizes limit the reliability of these findings. Television reached 77.6%, performing less effectively than targeted community-based approaches. Overall, direct interpersonal and community channels proved more effective than mass media in achieving message penetration.</w:t>
      </w:r>
    </w:p>
    <w:p w14:paraId="2059DC3A" w14:textId="77777777" w:rsidR="00EF5BBE" w:rsidRPr="00EF5BBE" w:rsidRDefault="00EF5BBE" w:rsidP="00EF5BBE">
      <w:pPr>
        <w:spacing w:before="100" w:beforeAutospacing="1" w:after="100" w:afterAutospacing="1" w:line="240" w:lineRule="auto"/>
        <w:rPr>
          <w:rFonts w:ascii="Times New Roman" w:eastAsia="Times New Roman" w:hAnsi="Times New Roman" w:cs="Times New Roman"/>
          <w:sz w:val="24"/>
          <w:szCs w:val="24"/>
          <w:lang w:val="en-GB" w:eastAsia="fr-FR"/>
        </w:rPr>
      </w:pPr>
    </w:p>
    <w:p w14:paraId="326261A1" w14:textId="254325F1" w:rsidR="00423B4B" w:rsidRPr="007045F6" w:rsidRDefault="00423B4B" w:rsidP="00423B4B">
      <w:pPr>
        <w:pStyle w:val="Caption"/>
        <w:keepNext/>
        <w:rPr>
          <w:rFonts w:ascii="Times" w:hAnsi="Times" w:cs="Times"/>
          <w:i w:val="0"/>
          <w:iCs w:val="0"/>
          <w:color w:val="0D0D0D" w:themeColor="text1" w:themeTint="F2"/>
          <w:sz w:val="24"/>
          <w:szCs w:val="24"/>
          <w:lang w:val="en-GB"/>
        </w:rPr>
      </w:pPr>
      <w:r w:rsidRPr="007045F6">
        <w:rPr>
          <w:rFonts w:ascii="Times" w:hAnsi="Times" w:cs="Times"/>
          <w:i w:val="0"/>
          <w:iCs w:val="0"/>
          <w:color w:val="0D0D0D" w:themeColor="text1" w:themeTint="F2"/>
          <w:sz w:val="24"/>
          <w:szCs w:val="24"/>
          <w:lang w:val="en-GB"/>
        </w:rPr>
        <w:lastRenderedPageBreak/>
        <w:t xml:space="preserve">Table </w:t>
      </w:r>
      <w:r w:rsidR="002F0F36">
        <w:rPr>
          <w:rFonts w:ascii="Times" w:hAnsi="Times" w:cs="Times"/>
          <w:i w:val="0"/>
          <w:iCs w:val="0"/>
          <w:color w:val="0D0D0D" w:themeColor="text1" w:themeTint="F2"/>
          <w:sz w:val="24"/>
          <w:szCs w:val="24"/>
        </w:rPr>
        <w:t>5</w:t>
      </w:r>
      <w:r w:rsidR="0063592E">
        <w:rPr>
          <w:rFonts w:ascii="Times" w:hAnsi="Times" w:cs="Times"/>
          <w:i w:val="0"/>
          <w:iCs w:val="0"/>
          <w:color w:val="0D0D0D" w:themeColor="text1" w:themeTint="F2"/>
          <w:sz w:val="24"/>
          <w:szCs w:val="24"/>
        </w:rPr>
        <w:t>:</w:t>
      </w:r>
      <w:r w:rsidR="002F0F36">
        <w:rPr>
          <w:rFonts w:ascii="Times" w:hAnsi="Times" w:cs="Times"/>
          <w:i w:val="0"/>
          <w:iCs w:val="0"/>
          <w:color w:val="0D0D0D" w:themeColor="text1" w:themeTint="F2"/>
          <w:sz w:val="24"/>
          <w:szCs w:val="24"/>
        </w:rPr>
        <w:t xml:space="preserve"> </w:t>
      </w:r>
      <w:r w:rsidRPr="007045F6">
        <w:rPr>
          <w:rFonts w:ascii="Times" w:hAnsi="Times" w:cs="Times"/>
          <w:i w:val="0"/>
          <w:iCs w:val="0"/>
          <w:color w:val="0D0D0D" w:themeColor="text1" w:themeTint="F2"/>
          <w:sz w:val="24"/>
          <w:szCs w:val="24"/>
          <w:lang w:val="en-GB"/>
        </w:rPr>
        <w:t xml:space="preserve">communication channel effectiveness during Community Directed Treatment with Ivermectin at the </w:t>
      </w:r>
      <w:proofErr w:type="spellStart"/>
      <w:r w:rsidRPr="007045F6">
        <w:rPr>
          <w:rFonts w:ascii="Times" w:hAnsi="Times" w:cs="Times"/>
          <w:i w:val="0"/>
          <w:iCs w:val="0"/>
          <w:color w:val="0D0D0D" w:themeColor="text1" w:themeTint="F2"/>
          <w:sz w:val="24"/>
          <w:szCs w:val="24"/>
          <w:lang w:val="en-GB"/>
        </w:rPr>
        <w:t>Batcham</w:t>
      </w:r>
      <w:proofErr w:type="spellEnd"/>
      <w:r w:rsidRPr="007045F6">
        <w:rPr>
          <w:rFonts w:ascii="Times" w:hAnsi="Times" w:cs="Times"/>
          <w:i w:val="0"/>
          <w:iCs w:val="0"/>
          <w:color w:val="0D0D0D" w:themeColor="text1" w:themeTint="F2"/>
          <w:sz w:val="24"/>
          <w:szCs w:val="24"/>
          <w:lang w:val="en-GB"/>
        </w:rPr>
        <w:t xml:space="preserve"> health district</w:t>
      </w:r>
    </w:p>
    <w:tbl>
      <w:tblPr>
        <w:tblStyle w:val="TableGrid"/>
        <w:tblW w:w="7508"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20"/>
        <w:gridCol w:w="1373"/>
        <w:gridCol w:w="2274"/>
        <w:gridCol w:w="2341"/>
      </w:tblGrid>
      <w:tr w:rsidR="00CE496C" w:rsidRPr="00524F79" w14:paraId="7F350998" w14:textId="77777777" w:rsidTr="00A50375">
        <w:trPr>
          <w:trHeight w:val="706"/>
        </w:trPr>
        <w:tc>
          <w:tcPr>
            <w:tcW w:w="1520" w:type="dxa"/>
            <w:tcBorders>
              <w:top w:val="single" w:sz="4" w:space="0" w:color="auto"/>
              <w:bottom w:val="single" w:sz="4" w:space="0" w:color="auto"/>
            </w:tcBorders>
          </w:tcPr>
          <w:p w14:paraId="03483F0D" w14:textId="77777777" w:rsidR="00CE496C" w:rsidRPr="009D5D81" w:rsidRDefault="00CE496C" w:rsidP="00A50375">
            <w:pPr>
              <w:autoSpaceDE w:val="0"/>
              <w:autoSpaceDN w:val="0"/>
              <w:adjustRightInd w:val="0"/>
              <w:rPr>
                <w:rFonts w:ascii="Times New Roman" w:hAnsi="Times New Roman" w:cs="Times New Roman"/>
                <w:b/>
                <w:lang w:val="en-GB"/>
              </w:rPr>
            </w:pPr>
            <w:r w:rsidRPr="009D5D81">
              <w:rPr>
                <w:rFonts w:ascii="Times New Roman" w:hAnsi="Times New Roman" w:cs="Times New Roman"/>
                <w:b/>
                <w:lang w:val="en-GB"/>
              </w:rPr>
              <w:t>Source of information</w:t>
            </w:r>
          </w:p>
        </w:tc>
        <w:tc>
          <w:tcPr>
            <w:tcW w:w="1373" w:type="dxa"/>
            <w:tcBorders>
              <w:top w:val="single" w:sz="4" w:space="0" w:color="auto"/>
              <w:bottom w:val="single" w:sz="4" w:space="0" w:color="auto"/>
            </w:tcBorders>
          </w:tcPr>
          <w:p w14:paraId="05A775DF" w14:textId="77777777" w:rsidR="00CE496C" w:rsidRPr="009D5D81" w:rsidRDefault="009D5D81" w:rsidP="00A50375">
            <w:pPr>
              <w:autoSpaceDE w:val="0"/>
              <w:autoSpaceDN w:val="0"/>
              <w:adjustRightInd w:val="0"/>
              <w:spacing w:line="320" w:lineRule="atLeast"/>
              <w:ind w:left="60" w:right="60"/>
              <w:rPr>
                <w:rFonts w:ascii="Times New Roman" w:hAnsi="Times New Roman" w:cs="Times New Roman"/>
                <w:b/>
                <w:lang w:val="en-GB"/>
              </w:rPr>
            </w:pPr>
            <w:r w:rsidRPr="009D5D81">
              <w:rPr>
                <w:rFonts w:ascii="Times New Roman" w:hAnsi="Times New Roman" w:cs="Times New Roman"/>
                <w:b/>
                <w:lang w:val="en-GB"/>
              </w:rPr>
              <w:t>Frequency</w:t>
            </w:r>
          </w:p>
        </w:tc>
        <w:tc>
          <w:tcPr>
            <w:tcW w:w="2274" w:type="dxa"/>
            <w:tcBorders>
              <w:top w:val="single" w:sz="4" w:space="0" w:color="auto"/>
              <w:bottom w:val="single" w:sz="4" w:space="0" w:color="auto"/>
            </w:tcBorders>
          </w:tcPr>
          <w:p w14:paraId="04619C92" w14:textId="77777777" w:rsidR="00CE496C" w:rsidRPr="009D5D81" w:rsidRDefault="009D5D81" w:rsidP="00A50375">
            <w:pPr>
              <w:autoSpaceDE w:val="0"/>
              <w:autoSpaceDN w:val="0"/>
              <w:adjustRightInd w:val="0"/>
              <w:spacing w:line="320" w:lineRule="atLeast"/>
              <w:ind w:left="60" w:right="60"/>
              <w:rPr>
                <w:rFonts w:ascii="Times New Roman" w:hAnsi="Times New Roman" w:cs="Times New Roman"/>
                <w:b/>
                <w:lang w:val="en-GB"/>
              </w:rPr>
            </w:pPr>
            <w:r w:rsidRPr="009D5D81">
              <w:rPr>
                <w:rFonts w:ascii="Times New Roman" w:hAnsi="Times New Roman" w:cs="Times New Roman"/>
                <w:b/>
                <w:lang w:val="en-GB"/>
              </w:rPr>
              <w:t>Percentage (%)</w:t>
            </w:r>
          </w:p>
        </w:tc>
        <w:tc>
          <w:tcPr>
            <w:tcW w:w="2341" w:type="dxa"/>
            <w:tcBorders>
              <w:top w:val="single" w:sz="4" w:space="0" w:color="auto"/>
              <w:bottom w:val="single" w:sz="4" w:space="0" w:color="auto"/>
            </w:tcBorders>
          </w:tcPr>
          <w:p w14:paraId="2FC04C1F" w14:textId="77777777" w:rsidR="00CE496C" w:rsidRPr="009D5D81" w:rsidRDefault="00CE496C" w:rsidP="00A50375">
            <w:pPr>
              <w:autoSpaceDE w:val="0"/>
              <w:autoSpaceDN w:val="0"/>
              <w:adjustRightInd w:val="0"/>
              <w:spacing w:line="320" w:lineRule="atLeast"/>
              <w:ind w:left="60" w:right="60"/>
              <w:rPr>
                <w:rFonts w:ascii="Times New Roman" w:hAnsi="Times New Roman" w:cs="Times New Roman"/>
                <w:b/>
                <w:lang w:val="en-GB"/>
              </w:rPr>
            </w:pPr>
            <w:r w:rsidRPr="009D5D81">
              <w:rPr>
                <w:rFonts w:ascii="Times New Roman" w:hAnsi="Times New Roman" w:cs="Times New Roman"/>
                <w:b/>
                <w:lang w:val="en-GB"/>
              </w:rPr>
              <w:t>95%CI (%)</w:t>
            </w:r>
          </w:p>
        </w:tc>
      </w:tr>
      <w:tr w:rsidR="00CE496C" w:rsidRPr="00524F79" w14:paraId="58E6D72F" w14:textId="77777777" w:rsidTr="00A50375">
        <w:trPr>
          <w:trHeight w:val="429"/>
        </w:trPr>
        <w:tc>
          <w:tcPr>
            <w:tcW w:w="1520" w:type="dxa"/>
            <w:tcBorders>
              <w:top w:val="single" w:sz="4" w:space="0" w:color="auto"/>
            </w:tcBorders>
          </w:tcPr>
          <w:p w14:paraId="30BDF857" w14:textId="77777777" w:rsidR="00CE496C" w:rsidRPr="006656DE" w:rsidRDefault="00CB6CC2" w:rsidP="00A50375">
            <w:pPr>
              <w:autoSpaceDE w:val="0"/>
              <w:autoSpaceDN w:val="0"/>
              <w:adjustRightInd w:val="0"/>
              <w:rPr>
                <w:rFonts w:ascii="Times New Roman" w:hAnsi="Times New Roman" w:cs="Times New Roman"/>
                <w:lang w:val="en-GB"/>
              </w:rPr>
            </w:pPr>
            <w:r w:rsidRPr="00524F79">
              <w:rPr>
                <w:rFonts w:ascii="Times New Roman" w:hAnsi="Times New Roman" w:cs="Times New Roman"/>
                <w:lang w:val="en-GB"/>
              </w:rPr>
              <w:t>CHW</w:t>
            </w:r>
          </w:p>
        </w:tc>
        <w:tc>
          <w:tcPr>
            <w:tcW w:w="1373" w:type="dxa"/>
            <w:tcBorders>
              <w:top w:val="single" w:sz="4" w:space="0" w:color="auto"/>
            </w:tcBorders>
          </w:tcPr>
          <w:p w14:paraId="02ECFFA5"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6656DE">
              <w:rPr>
                <w:rFonts w:ascii="Times New Roman" w:hAnsi="Times New Roman" w:cs="Times New Roman"/>
                <w:lang w:val="en-GB"/>
              </w:rPr>
              <w:t>186</w:t>
            </w:r>
          </w:p>
        </w:tc>
        <w:tc>
          <w:tcPr>
            <w:tcW w:w="2274" w:type="dxa"/>
            <w:tcBorders>
              <w:top w:val="single" w:sz="4" w:space="0" w:color="auto"/>
            </w:tcBorders>
          </w:tcPr>
          <w:p w14:paraId="59180ED8"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524F79">
              <w:rPr>
                <w:rFonts w:ascii="Times New Roman" w:hAnsi="Times New Roman" w:cs="Times New Roman"/>
                <w:lang w:val="en-GB"/>
              </w:rPr>
              <w:t>74.4</w:t>
            </w:r>
          </w:p>
        </w:tc>
        <w:tc>
          <w:tcPr>
            <w:tcW w:w="2341" w:type="dxa"/>
            <w:tcBorders>
              <w:top w:val="single" w:sz="4" w:space="0" w:color="auto"/>
            </w:tcBorders>
          </w:tcPr>
          <w:p w14:paraId="0AFE4D44"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524F79">
              <w:rPr>
                <w:rFonts w:ascii="Arial" w:hAnsi="Arial" w:cs="Arial"/>
                <w:color w:val="010205"/>
              </w:rPr>
              <w:t>(68.7-79.5)</w:t>
            </w:r>
          </w:p>
        </w:tc>
      </w:tr>
      <w:tr w:rsidR="00CE496C" w:rsidRPr="00524F79" w14:paraId="18D39814" w14:textId="77777777" w:rsidTr="00A50375">
        <w:trPr>
          <w:trHeight w:val="452"/>
        </w:trPr>
        <w:tc>
          <w:tcPr>
            <w:tcW w:w="1520" w:type="dxa"/>
          </w:tcPr>
          <w:p w14:paraId="2ADA09BB" w14:textId="77777777" w:rsidR="00CE496C" w:rsidRPr="006656DE" w:rsidRDefault="00CE496C" w:rsidP="00A50375">
            <w:pPr>
              <w:autoSpaceDE w:val="0"/>
              <w:autoSpaceDN w:val="0"/>
              <w:adjustRightInd w:val="0"/>
              <w:rPr>
                <w:rFonts w:ascii="Times New Roman" w:hAnsi="Times New Roman" w:cs="Times New Roman"/>
                <w:lang w:val="en-GB"/>
              </w:rPr>
            </w:pPr>
            <w:r w:rsidRPr="00524F79">
              <w:rPr>
                <w:rFonts w:ascii="Times New Roman" w:hAnsi="Times New Roman" w:cs="Times New Roman"/>
                <w:lang w:val="en-GB"/>
              </w:rPr>
              <w:t>Soc G</w:t>
            </w:r>
          </w:p>
        </w:tc>
        <w:tc>
          <w:tcPr>
            <w:tcW w:w="1373" w:type="dxa"/>
          </w:tcPr>
          <w:p w14:paraId="09B414BE"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6656DE">
              <w:rPr>
                <w:rFonts w:ascii="Times New Roman" w:hAnsi="Times New Roman" w:cs="Times New Roman"/>
                <w:lang w:val="en-GB"/>
              </w:rPr>
              <w:t>355</w:t>
            </w:r>
          </w:p>
        </w:tc>
        <w:tc>
          <w:tcPr>
            <w:tcW w:w="2274" w:type="dxa"/>
          </w:tcPr>
          <w:p w14:paraId="5C8C6D47"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524F79">
              <w:rPr>
                <w:rFonts w:ascii="Times New Roman" w:hAnsi="Times New Roman" w:cs="Times New Roman"/>
                <w:lang w:val="en-GB"/>
              </w:rPr>
              <w:t>75.9</w:t>
            </w:r>
          </w:p>
        </w:tc>
        <w:tc>
          <w:tcPr>
            <w:tcW w:w="2341" w:type="dxa"/>
          </w:tcPr>
          <w:p w14:paraId="124915BC"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524F79">
              <w:rPr>
                <w:rFonts w:ascii="Arial" w:hAnsi="Arial" w:cs="Arial"/>
                <w:color w:val="010205"/>
              </w:rPr>
              <w:t>(71.8-79.6)</w:t>
            </w:r>
          </w:p>
        </w:tc>
      </w:tr>
      <w:tr w:rsidR="00CE496C" w:rsidRPr="00524F79" w14:paraId="6C8ADC5C" w14:textId="77777777" w:rsidTr="00A50375">
        <w:trPr>
          <w:trHeight w:val="452"/>
        </w:trPr>
        <w:tc>
          <w:tcPr>
            <w:tcW w:w="1520" w:type="dxa"/>
          </w:tcPr>
          <w:p w14:paraId="087DF563" w14:textId="77777777" w:rsidR="00CE496C" w:rsidRPr="006656DE" w:rsidRDefault="005018F4" w:rsidP="00A50375">
            <w:pPr>
              <w:autoSpaceDE w:val="0"/>
              <w:autoSpaceDN w:val="0"/>
              <w:adjustRightInd w:val="0"/>
              <w:rPr>
                <w:rFonts w:ascii="Times New Roman" w:hAnsi="Times New Roman" w:cs="Times New Roman"/>
                <w:lang w:val="en-GB"/>
              </w:rPr>
            </w:pPr>
            <w:r w:rsidRPr="00524F79">
              <w:rPr>
                <w:rFonts w:ascii="Times New Roman" w:hAnsi="Times New Roman" w:cs="Times New Roman"/>
                <w:lang w:val="en-GB"/>
              </w:rPr>
              <w:t>Church</w:t>
            </w:r>
          </w:p>
        </w:tc>
        <w:tc>
          <w:tcPr>
            <w:tcW w:w="1373" w:type="dxa"/>
          </w:tcPr>
          <w:p w14:paraId="633B7A54"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6656DE">
              <w:rPr>
                <w:rFonts w:ascii="Times New Roman" w:hAnsi="Times New Roman" w:cs="Times New Roman"/>
                <w:lang w:val="en-GB"/>
              </w:rPr>
              <w:t>68</w:t>
            </w:r>
          </w:p>
        </w:tc>
        <w:tc>
          <w:tcPr>
            <w:tcW w:w="2274" w:type="dxa"/>
          </w:tcPr>
          <w:p w14:paraId="7BD0DE86"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524F79">
              <w:rPr>
                <w:rFonts w:ascii="Times New Roman" w:hAnsi="Times New Roman" w:cs="Times New Roman"/>
                <w:lang w:val="en-GB"/>
              </w:rPr>
              <w:t>82.9</w:t>
            </w:r>
          </w:p>
        </w:tc>
        <w:tc>
          <w:tcPr>
            <w:tcW w:w="2341" w:type="dxa"/>
          </w:tcPr>
          <w:p w14:paraId="16F5BE1B"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524F79">
              <w:rPr>
                <w:rFonts w:ascii="Arial" w:hAnsi="Arial" w:cs="Arial"/>
                <w:color w:val="010205"/>
              </w:rPr>
              <w:t>(73.7-89.9)</w:t>
            </w:r>
          </w:p>
        </w:tc>
      </w:tr>
      <w:tr w:rsidR="00CE496C" w:rsidRPr="00524F79" w14:paraId="04F5552E" w14:textId="77777777" w:rsidTr="00A50375">
        <w:trPr>
          <w:trHeight w:val="429"/>
        </w:trPr>
        <w:tc>
          <w:tcPr>
            <w:tcW w:w="1520" w:type="dxa"/>
          </w:tcPr>
          <w:p w14:paraId="2634AB5C" w14:textId="77777777" w:rsidR="00CE496C" w:rsidRPr="006656DE" w:rsidRDefault="00CB6CC2" w:rsidP="00A50375">
            <w:pPr>
              <w:autoSpaceDE w:val="0"/>
              <w:autoSpaceDN w:val="0"/>
              <w:adjustRightInd w:val="0"/>
              <w:rPr>
                <w:rFonts w:ascii="Times New Roman" w:hAnsi="Times New Roman" w:cs="Times New Roman"/>
                <w:lang w:val="en-GB"/>
              </w:rPr>
            </w:pPr>
            <w:r w:rsidRPr="00524F79">
              <w:rPr>
                <w:rFonts w:ascii="Times New Roman" w:hAnsi="Times New Roman" w:cs="Times New Roman"/>
                <w:lang w:val="en-GB"/>
              </w:rPr>
              <w:t>SMS</w:t>
            </w:r>
          </w:p>
        </w:tc>
        <w:tc>
          <w:tcPr>
            <w:tcW w:w="1373" w:type="dxa"/>
          </w:tcPr>
          <w:p w14:paraId="4D9EBEAA"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6656DE">
              <w:rPr>
                <w:rFonts w:ascii="Times New Roman" w:hAnsi="Times New Roman" w:cs="Times New Roman"/>
                <w:lang w:val="en-GB"/>
              </w:rPr>
              <w:t>12</w:t>
            </w:r>
          </w:p>
        </w:tc>
        <w:tc>
          <w:tcPr>
            <w:tcW w:w="2274" w:type="dxa"/>
          </w:tcPr>
          <w:p w14:paraId="5E055C38"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524F79">
              <w:rPr>
                <w:rFonts w:ascii="Times New Roman" w:hAnsi="Times New Roman" w:cs="Times New Roman"/>
                <w:lang w:val="en-GB"/>
              </w:rPr>
              <w:t>85.7</w:t>
            </w:r>
          </w:p>
        </w:tc>
        <w:tc>
          <w:tcPr>
            <w:tcW w:w="2341" w:type="dxa"/>
          </w:tcPr>
          <w:p w14:paraId="0EAFAFBB"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524F79">
              <w:rPr>
                <w:rFonts w:ascii="Arial" w:hAnsi="Arial" w:cs="Arial"/>
                <w:color w:val="010205"/>
              </w:rPr>
              <w:t>(61.5-96.9)</w:t>
            </w:r>
          </w:p>
        </w:tc>
      </w:tr>
      <w:tr w:rsidR="00CE496C" w:rsidRPr="00524F79" w14:paraId="47AB6244" w14:textId="77777777" w:rsidTr="00A50375">
        <w:trPr>
          <w:trHeight w:val="452"/>
        </w:trPr>
        <w:tc>
          <w:tcPr>
            <w:tcW w:w="1520" w:type="dxa"/>
          </w:tcPr>
          <w:p w14:paraId="52D17AAF" w14:textId="77777777" w:rsidR="00CE496C" w:rsidRPr="006656DE" w:rsidRDefault="005018F4" w:rsidP="00A50375">
            <w:pPr>
              <w:autoSpaceDE w:val="0"/>
              <w:autoSpaceDN w:val="0"/>
              <w:adjustRightInd w:val="0"/>
              <w:rPr>
                <w:rFonts w:ascii="Times New Roman" w:hAnsi="Times New Roman" w:cs="Times New Roman"/>
                <w:lang w:val="en-GB"/>
              </w:rPr>
            </w:pPr>
            <w:r w:rsidRPr="00524F79">
              <w:rPr>
                <w:rFonts w:ascii="Times New Roman" w:hAnsi="Times New Roman" w:cs="Times New Roman"/>
                <w:lang w:val="en-GB"/>
              </w:rPr>
              <w:t>Census</w:t>
            </w:r>
          </w:p>
        </w:tc>
        <w:tc>
          <w:tcPr>
            <w:tcW w:w="1373" w:type="dxa"/>
          </w:tcPr>
          <w:p w14:paraId="495C7586"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6656DE">
              <w:rPr>
                <w:rFonts w:ascii="Times New Roman" w:hAnsi="Times New Roman" w:cs="Times New Roman"/>
                <w:lang w:val="en-GB"/>
              </w:rPr>
              <w:t>388</w:t>
            </w:r>
          </w:p>
        </w:tc>
        <w:tc>
          <w:tcPr>
            <w:tcW w:w="2274" w:type="dxa"/>
          </w:tcPr>
          <w:p w14:paraId="7B15695F"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524F79">
              <w:rPr>
                <w:rFonts w:ascii="Times New Roman" w:hAnsi="Times New Roman" w:cs="Times New Roman"/>
                <w:lang w:val="en-GB"/>
              </w:rPr>
              <w:t>85.1</w:t>
            </w:r>
          </w:p>
        </w:tc>
        <w:tc>
          <w:tcPr>
            <w:tcW w:w="2341" w:type="dxa"/>
          </w:tcPr>
          <w:p w14:paraId="7F785D97"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524F79">
              <w:rPr>
                <w:rFonts w:ascii="Arial" w:hAnsi="Arial" w:cs="Arial"/>
                <w:color w:val="010205"/>
              </w:rPr>
              <w:t>(81.6-88.1)</w:t>
            </w:r>
          </w:p>
        </w:tc>
      </w:tr>
      <w:tr w:rsidR="00CE496C" w:rsidRPr="00524F79" w14:paraId="1B37D1FE" w14:textId="77777777" w:rsidTr="00A50375">
        <w:trPr>
          <w:trHeight w:val="429"/>
        </w:trPr>
        <w:tc>
          <w:tcPr>
            <w:tcW w:w="1520" w:type="dxa"/>
          </w:tcPr>
          <w:p w14:paraId="14E5A0A6" w14:textId="77777777" w:rsidR="00CE496C" w:rsidRPr="006656DE" w:rsidRDefault="005018F4" w:rsidP="00A50375">
            <w:pPr>
              <w:autoSpaceDE w:val="0"/>
              <w:autoSpaceDN w:val="0"/>
              <w:adjustRightInd w:val="0"/>
              <w:rPr>
                <w:rFonts w:ascii="Times New Roman" w:hAnsi="Times New Roman" w:cs="Times New Roman"/>
                <w:lang w:val="en-GB"/>
              </w:rPr>
            </w:pPr>
            <w:r w:rsidRPr="00524F79">
              <w:rPr>
                <w:rFonts w:ascii="Times New Roman" w:hAnsi="Times New Roman" w:cs="Times New Roman"/>
                <w:lang w:val="en-GB"/>
              </w:rPr>
              <w:t>Internet</w:t>
            </w:r>
          </w:p>
        </w:tc>
        <w:tc>
          <w:tcPr>
            <w:tcW w:w="1373" w:type="dxa"/>
          </w:tcPr>
          <w:p w14:paraId="4850C0E5"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6656DE">
              <w:rPr>
                <w:rFonts w:ascii="Times New Roman" w:hAnsi="Times New Roman" w:cs="Times New Roman"/>
                <w:lang w:val="en-GB"/>
              </w:rPr>
              <w:t>9</w:t>
            </w:r>
          </w:p>
        </w:tc>
        <w:tc>
          <w:tcPr>
            <w:tcW w:w="2274" w:type="dxa"/>
          </w:tcPr>
          <w:p w14:paraId="5D04DAB2"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524F79">
              <w:rPr>
                <w:rFonts w:ascii="Times New Roman" w:hAnsi="Times New Roman" w:cs="Times New Roman"/>
                <w:lang w:val="en-GB"/>
              </w:rPr>
              <w:t>100</w:t>
            </w:r>
          </w:p>
        </w:tc>
        <w:tc>
          <w:tcPr>
            <w:tcW w:w="2341" w:type="dxa"/>
          </w:tcPr>
          <w:p w14:paraId="1E46BFC6"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524F79">
              <w:rPr>
                <w:rFonts w:ascii="Times New Roman" w:hAnsi="Times New Roman" w:cs="Times New Roman"/>
                <w:lang w:val="en-GB"/>
              </w:rPr>
              <w:t>-</w:t>
            </w:r>
          </w:p>
        </w:tc>
      </w:tr>
      <w:tr w:rsidR="00CE496C" w:rsidRPr="00524F79" w14:paraId="6085ABD3" w14:textId="77777777" w:rsidTr="00A50375">
        <w:trPr>
          <w:trHeight w:val="449"/>
        </w:trPr>
        <w:tc>
          <w:tcPr>
            <w:tcW w:w="1520" w:type="dxa"/>
          </w:tcPr>
          <w:p w14:paraId="477FC68E" w14:textId="77777777" w:rsidR="00CE496C" w:rsidRPr="006656DE" w:rsidRDefault="00CB6CC2" w:rsidP="00A50375">
            <w:pPr>
              <w:autoSpaceDE w:val="0"/>
              <w:autoSpaceDN w:val="0"/>
              <w:adjustRightInd w:val="0"/>
              <w:rPr>
                <w:rFonts w:ascii="Times New Roman" w:hAnsi="Times New Roman" w:cs="Times New Roman"/>
                <w:lang w:val="en-GB"/>
              </w:rPr>
            </w:pPr>
            <w:r w:rsidRPr="00524F79">
              <w:rPr>
                <w:rFonts w:ascii="Times New Roman" w:hAnsi="Times New Roman" w:cs="Times New Roman"/>
                <w:lang w:val="en-GB"/>
              </w:rPr>
              <w:t>TV</w:t>
            </w:r>
          </w:p>
        </w:tc>
        <w:tc>
          <w:tcPr>
            <w:tcW w:w="1373" w:type="dxa"/>
          </w:tcPr>
          <w:p w14:paraId="0BF101CB"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6656DE">
              <w:rPr>
                <w:rFonts w:ascii="Times New Roman" w:hAnsi="Times New Roman" w:cs="Times New Roman"/>
                <w:lang w:val="en-GB"/>
              </w:rPr>
              <w:t>76</w:t>
            </w:r>
          </w:p>
        </w:tc>
        <w:tc>
          <w:tcPr>
            <w:tcW w:w="2274" w:type="dxa"/>
          </w:tcPr>
          <w:p w14:paraId="37DE71CF"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524F79">
              <w:rPr>
                <w:rFonts w:ascii="Times New Roman" w:hAnsi="Times New Roman" w:cs="Times New Roman"/>
                <w:lang w:val="en-GB"/>
              </w:rPr>
              <w:t>77.6</w:t>
            </w:r>
          </w:p>
        </w:tc>
        <w:tc>
          <w:tcPr>
            <w:tcW w:w="2341" w:type="dxa"/>
          </w:tcPr>
          <w:p w14:paraId="6BC0DA5A"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524F79">
              <w:rPr>
                <w:rFonts w:ascii="Arial" w:hAnsi="Arial" w:cs="Arial"/>
                <w:color w:val="010205"/>
              </w:rPr>
              <w:t>(68.6-84.9)</w:t>
            </w:r>
          </w:p>
        </w:tc>
      </w:tr>
    </w:tbl>
    <w:p w14:paraId="234377B0" w14:textId="2D61918B" w:rsidR="00CF35D8" w:rsidRPr="00406CE8" w:rsidRDefault="006C03A9" w:rsidP="00406CE8">
      <w:pPr>
        <w:pStyle w:val="ListParagraph"/>
        <w:spacing w:before="100" w:beforeAutospacing="1" w:after="100" w:afterAutospacing="1" w:line="360" w:lineRule="auto"/>
        <w:jc w:val="both"/>
        <w:rPr>
          <w:rFonts w:ascii="Times New Roman" w:eastAsia="Times New Roman" w:hAnsi="Times New Roman" w:cs="Times New Roman"/>
          <w:sz w:val="20"/>
          <w:szCs w:val="24"/>
          <w:lang w:val="en-GB" w:eastAsia="fr-FR"/>
        </w:rPr>
      </w:pPr>
      <w:r>
        <w:rPr>
          <w:rFonts w:ascii="Times New Roman" w:eastAsia="Times New Roman" w:hAnsi="Times New Roman" w:cs="Times New Roman"/>
          <w:noProof/>
          <w:sz w:val="20"/>
          <w:szCs w:val="24"/>
          <w:lang w:val="en-US"/>
        </w:rPr>
        <mc:AlternateContent>
          <mc:Choice Requires="wps">
            <w:drawing>
              <wp:anchor distT="0" distB="0" distL="114300" distR="114300" simplePos="0" relativeHeight="251659264" behindDoc="0" locked="0" layoutInCell="1" allowOverlap="1" wp14:anchorId="1213F782" wp14:editId="230AE356">
                <wp:simplePos x="0" y="0"/>
                <wp:positionH relativeFrom="margin">
                  <wp:align>left</wp:align>
                </wp:positionH>
                <wp:positionV relativeFrom="paragraph">
                  <wp:posOffset>1270</wp:posOffset>
                </wp:positionV>
                <wp:extent cx="6029325" cy="323850"/>
                <wp:effectExtent l="0" t="0" r="9525" b="0"/>
                <wp:wrapNone/>
                <wp:docPr id="1" name="Zone de texte 1"/>
                <wp:cNvGraphicFramePr/>
                <a:graphic xmlns:a="http://schemas.openxmlformats.org/drawingml/2006/main">
                  <a:graphicData uri="http://schemas.microsoft.com/office/word/2010/wordprocessingShape">
                    <wps:wsp>
                      <wps:cNvSpPr txBox="1"/>
                      <wps:spPr>
                        <a:xfrm>
                          <a:off x="0" y="0"/>
                          <a:ext cx="602932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DAC67F" w14:textId="77777777" w:rsidR="00FC2BD3" w:rsidRPr="007045F6" w:rsidRDefault="00FC2BD3">
                            <w:pPr>
                              <w:rPr>
                                <w:sz w:val="20"/>
                                <w:szCs w:val="20"/>
                                <w:lang w:val="en-GB"/>
                              </w:rPr>
                            </w:pPr>
                            <w:r w:rsidRPr="007045F6">
                              <w:rPr>
                                <w:rFonts w:ascii="Times New Roman" w:eastAsia="Times New Roman" w:hAnsi="Times New Roman" w:cs="Times New Roman"/>
                                <w:sz w:val="20"/>
                                <w:szCs w:val="20"/>
                                <w:lang w:val="en-GB" w:eastAsia="fr-FR"/>
                              </w:rPr>
                              <w:t xml:space="preserve">CHW: Community Health Workers, </w:t>
                            </w:r>
                            <w:r w:rsidRPr="007045F6">
                              <w:rPr>
                                <w:rFonts w:ascii="Times New Roman" w:hAnsi="Times New Roman" w:cs="Times New Roman"/>
                                <w:sz w:val="20"/>
                                <w:szCs w:val="20"/>
                                <w:lang w:val="en-GB"/>
                              </w:rPr>
                              <w:t xml:space="preserve">SMS: messages, Soc G: </w:t>
                            </w:r>
                            <w:r w:rsidRPr="007045F6">
                              <w:rPr>
                                <w:rFonts w:ascii="Times New Roman" w:eastAsia="Times New Roman" w:hAnsi="Times New Roman" w:cs="Times New Roman"/>
                                <w:sz w:val="20"/>
                                <w:szCs w:val="20"/>
                                <w:lang w:val="en-GB" w:eastAsia="fr-FR"/>
                              </w:rPr>
                              <w:t>Social groups TV: Television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13F782" id="_x0000_t202" coordsize="21600,21600" o:spt="202" path="m,l,21600r21600,l21600,xe">
                <v:stroke joinstyle="miter"/>
                <v:path gradientshapeok="t" o:connecttype="rect"/>
              </v:shapetype>
              <v:shape id="Zone de texte 1" o:spid="_x0000_s1026" type="#_x0000_t202" style="position:absolute;left:0;text-align:left;margin-left:0;margin-top:.1pt;width:474.75pt;height:25.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" fillcolor="white [3201]" stroked="f" strokeweight=".5pt">
                <v:textbox>
                  <w:txbxContent>
                    <w:p w14:paraId="2BDAC67F" w14:textId="77777777" w:rsidR="00FC2BD3" w:rsidRPr="007045F6" w:rsidRDefault="00FC2BD3">
                      <w:pPr>
                        <w:rPr>
                          <w:sz w:val="20"/>
                          <w:szCs w:val="20"/>
                          <w:lang w:val="en-GB"/>
                        </w:rPr>
                      </w:pPr>
                      <w:r w:rsidRPr="007045F6">
                        <w:rPr>
                          <w:rFonts w:ascii="Times New Roman" w:eastAsia="Times New Roman" w:hAnsi="Times New Roman" w:cs="Times New Roman"/>
                          <w:sz w:val="20"/>
                          <w:szCs w:val="20"/>
                          <w:lang w:val="en-GB" w:eastAsia="fr-FR"/>
                        </w:rPr>
                        <w:t xml:space="preserve">CHW: Community Health Workers, </w:t>
                      </w:r>
                      <w:r w:rsidRPr="007045F6">
                        <w:rPr>
                          <w:rFonts w:ascii="Times New Roman" w:hAnsi="Times New Roman" w:cs="Times New Roman"/>
                          <w:sz w:val="20"/>
                          <w:szCs w:val="20"/>
                          <w:lang w:val="en-GB"/>
                        </w:rPr>
                        <w:t xml:space="preserve">SMS: messages, Soc G: </w:t>
                      </w:r>
                      <w:r w:rsidRPr="007045F6">
                        <w:rPr>
                          <w:rFonts w:ascii="Times New Roman" w:eastAsia="Times New Roman" w:hAnsi="Times New Roman" w:cs="Times New Roman"/>
                          <w:sz w:val="20"/>
                          <w:szCs w:val="20"/>
                          <w:lang w:val="en-GB" w:eastAsia="fr-FR"/>
                        </w:rPr>
                        <w:t>Social groups TV: Television</w:t>
                      </w:r>
                    </w:p>
                  </w:txbxContent>
                </v:textbox>
                <w10:wrap anchorx="margin"/>
              </v:shape>
            </w:pict>
          </mc:Fallback>
        </mc:AlternateContent>
      </w:r>
    </w:p>
    <w:p w14:paraId="4BF4C4E4" w14:textId="77777777" w:rsidR="00406CE8" w:rsidRDefault="00CF35D8" w:rsidP="00406CE8">
      <w:pPr>
        <w:spacing w:before="100" w:beforeAutospacing="1" w:after="100" w:afterAutospacing="1" w:line="360" w:lineRule="auto"/>
        <w:jc w:val="both"/>
        <w:rPr>
          <w:rFonts w:ascii="Times New Roman" w:eastAsia="Times New Roman" w:hAnsi="Times New Roman" w:cs="Times New Roman"/>
          <w:b/>
          <w:sz w:val="44"/>
          <w:szCs w:val="24"/>
          <w:lang w:val="en-GB" w:eastAsia="fr-FR"/>
        </w:rPr>
      </w:pPr>
      <w:r w:rsidRPr="000A6D7D">
        <w:rPr>
          <w:rFonts w:ascii="Times New Roman" w:eastAsia="Times New Roman" w:hAnsi="Times New Roman" w:cs="Times New Roman"/>
          <w:b/>
          <w:sz w:val="44"/>
          <w:szCs w:val="24"/>
          <w:lang w:val="en-GB" w:eastAsia="fr-FR"/>
        </w:rPr>
        <w:t>Discussion</w:t>
      </w:r>
    </w:p>
    <w:p w14:paraId="0D6CDBC1" w14:textId="08324748" w:rsidR="00CF35D8" w:rsidRPr="00406CE8" w:rsidRDefault="00CF35D8" w:rsidP="00406CE8">
      <w:pPr>
        <w:spacing w:before="100" w:beforeAutospacing="1" w:after="100" w:afterAutospacing="1" w:line="360" w:lineRule="auto"/>
        <w:jc w:val="both"/>
        <w:rPr>
          <w:rFonts w:ascii="Times New Roman" w:eastAsia="Times New Roman" w:hAnsi="Times New Roman" w:cs="Times New Roman"/>
          <w:b/>
          <w:sz w:val="44"/>
          <w:szCs w:val="24"/>
          <w:lang w:val="en-GB" w:eastAsia="fr-FR"/>
        </w:rPr>
      </w:pPr>
      <w:r w:rsidRPr="00A2653E">
        <w:rPr>
          <w:rFonts w:ascii="Times New Roman" w:hAnsi="Times New Roman" w:cs="Times New Roman"/>
          <w:b/>
          <w:color w:val="000000" w:themeColor="text1"/>
          <w:sz w:val="24"/>
          <w:szCs w:val="24"/>
          <w:lang w:val="en-GB"/>
        </w:rPr>
        <w:t>Therapeutic coverage</w:t>
      </w:r>
    </w:p>
    <w:p w14:paraId="6094BC4E" w14:textId="77777777" w:rsidR="00C63485" w:rsidRPr="00C63485" w:rsidRDefault="00C63485" w:rsidP="00C63485">
      <w:pPr>
        <w:spacing w:before="100" w:beforeAutospacing="1" w:after="100" w:afterAutospacing="1" w:line="360" w:lineRule="auto"/>
        <w:jc w:val="both"/>
        <w:rPr>
          <w:rFonts w:ascii="Times New Roman" w:hAnsi="Times New Roman" w:cs="Times New Roman"/>
          <w:color w:val="131413"/>
          <w:sz w:val="24"/>
          <w:szCs w:val="24"/>
          <w:lang w:val="en-CA"/>
        </w:rPr>
      </w:pPr>
      <w:r w:rsidRPr="00C63485">
        <w:rPr>
          <w:rFonts w:ascii="Times New Roman" w:hAnsi="Times New Roman" w:cs="Times New Roman"/>
          <w:color w:val="131413"/>
          <w:sz w:val="24"/>
          <w:szCs w:val="24"/>
          <w:lang w:val="en-CA"/>
        </w:rPr>
        <w:t xml:space="preserve">The objective of this survey was to assess progress toward the elimination of onchocerciasis in the </w:t>
      </w:r>
      <w:proofErr w:type="spellStart"/>
      <w:r w:rsidRPr="00C63485">
        <w:rPr>
          <w:rFonts w:ascii="Times New Roman" w:hAnsi="Times New Roman" w:cs="Times New Roman"/>
          <w:color w:val="131413"/>
          <w:sz w:val="24"/>
          <w:szCs w:val="24"/>
          <w:lang w:val="en-CA"/>
        </w:rPr>
        <w:t>Batcham</w:t>
      </w:r>
      <w:proofErr w:type="spellEnd"/>
      <w:r w:rsidRPr="00C63485">
        <w:rPr>
          <w:rFonts w:ascii="Times New Roman" w:hAnsi="Times New Roman" w:cs="Times New Roman"/>
          <w:color w:val="131413"/>
          <w:sz w:val="24"/>
          <w:szCs w:val="24"/>
          <w:lang w:val="en-CA"/>
        </w:rPr>
        <w:t xml:space="preserve"> Health District. The study enrolled 802 participants targeted for Community-Directed Treatment with Ivermectin (CDTi). Of these, 420 (52.0%) were males and 382 (47.6%) were females. The majority belonged to the 16–50 years age group (n = 501; 62.47%). Secondary education was the most common level attained. Six health areas were included, with </w:t>
      </w:r>
      <w:proofErr w:type="spellStart"/>
      <w:r w:rsidRPr="00C63485">
        <w:rPr>
          <w:rFonts w:ascii="Times New Roman" w:hAnsi="Times New Roman" w:cs="Times New Roman"/>
          <w:color w:val="131413"/>
          <w:sz w:val="24"/>
          <w:szCs w:val="24"/>
          <w:lang w:val="en-CA"/>
        </w:rPr>
        <w:t>Batcham</w:t>
      </w:r>
      <w:proofErr w:type="spellEnd"/>
      <w:r w:rsidRPr="00C63485">
        <w:rPr>
          <w:rFonts w:ascii="Times New Roman" w:hAnsi="Times New Roman" w:cs="Times New Roman"/>
          <w:color w:val="131413"/>
          <w:sz w:val="24"/>
          <w:szCs w:val="24"/>
          <w:lang w:val="en-CA"/>
        </w:rPr>
        <w:t xml:space="preserve"> </w:t>
      </w:r>
      <w:proofErr w:type="spellStart"/>
      <w:r w:rsidRPr="00C63485">
        <w:rPr>
          <w:rFonts w:ascii="Times New Roman" w:hAnsi="Times New Roman" w:cs="Times New Roman"/>
          <w:color w:val="131413"/>
          <w:sz w:val="24"/>
          <w:szCs w:val="24"/>
          <w:lang w:val="en-CA"/>
        </w:rPr>
        <w:t>Chefferie</w:t>
      </w:r>
      <w:proofErr w:type="spellEnd"/>
      <w:r w:rsidRPr="00C63485">
        <w:rPr>
          <w:rFonts w:ascii="Times New Roman" w:hAnsi="Times New Roman" w:cs="Times New Roman"/>
          <w:color w:val="131413"/>
          <w:sz w:val="24"/>
          <w:szCs w:val="24"/>
          <w:lang w:val="en-CA"/>
        </w:rPr>
        <w:t xml:space="preserve"> accounting for the largest share (n = 193; 24.1%).</w:t>
      </w:r>
    </w:p>
    <w:p w14:paraId="7F9467F0" w14:textId="77777777" w:rsidR="00C63485" w:rsidRPr="00764B25" w:rsidRDefault="00C63485" w:rsidP="00C63485">
      <w:pPr>
        <w:spacing w:before="100" w:beforeAutospacing="1" w:after="100" w:afterAutospacing="1" w:line="360" w:lineRule="auto"/>
        <w:jc w:val="both"/>
        <w:rPr>
          <w:rFonts w:ascii="Times New Roman" w:hAnsi="Times New Roman" w:cs="Times New Roman"/>
          <w:b/>
          <w:color w:val="131413"/>
          <w:sz w:val="24"/>
          <w:szCs w:val="24"/>
          <w:lang w:val="en-CA"/>
        </w:rPr>
      </w:pPr>
      <w:r w:rsidRPr="00764B25">
        <w:rPr>
          <w:rFonts w:ascii="Times New Roman" w:hAnsi="Times New Roman" w:cs="Times New Roman"/>
          <w:b/>
          <w:color w:val="131413"/>
          <w:sz w:val="24"/>
          <w:szCs w:val="24"/>
          <w:lang w:val="en-CA"/>
        </w:rPr>
        <w:t>Therapeutic Coverage Findings</w:t>
      </w:r>
    </w:p>
    <w:p w14:paraId="54C64C02" w14:textId="7FF552FA" w:rsidR="00C63485" w:rsidRPr="00C63485" w:rsidRDefault="00C63485" w:rsidP="00C63485">
      <w:pPr>
        <w:spacing w:before="100" w:beforeAutospacing="1" w:after="100" w:afterAutospacing="1" w:line="360" w:lineRule="auto"/>
        <w:jc w:val="both"/>
        <w:rPr>
          <w:rFonts w:ascii="Times New Roman" w:hAnsi="Times New Roman" w:cs="Times New Roman"/>
          <w:color w:val="131413"/>
          <w:sz w:val="24"/>
          <w:szCs w:val="24"/>
          <w:lang w:val="en-CA"/>
        </w:rPr>
      </w:pPr>
      <w:r w:rsidRPr="00C63485">
        <w:rPr>
          <w:rFonts w:ascii="Times New Roman" w:hAnsi="Times New Roman" w:cs="Times New Roman"/>
          <w:color w:val="131413"/>
          <w:sz w:val="24"/>
          <w:szCs w:val="24"/>
          <w:lang w:val="en-CA"/>
        </w:rPr>
        <w:t xml:space="preserve">This study compared actual therapeutic coverage with the administrative coverage reported for CDTi in the </w:t>
      </w:r>
      <w:r w:rsidR="0063592E" w:rsidRPr="00490927">
        <w:rPr>
          <w:rFonts w:ascii="Times New Roman" w:hAnsi="Times New Roman" w:cs="Times New Roman"/>
          <w:color w:val="131413"/>
          <w:sz w:val="24"/>
          <w:szCs w:val="24"/>
          <w:highlight w:val="yellow"/>
          <w:lang w:val="en-CA"/>
        </w:rPr>
        <w:t>Bath and North East Somerset</w:t>
      </w:r>
      <w:r w:rsidR="0063592E" w:rsidRPr="00C63485">
        <w:rPr>
          <w:rFonts w:ascii="Times New Roman" w:hAnsi="Times New Roman" w:cs="Times New Roman"/>
          <w:color w:val="131413"/>
          <w:sz w:val="24"/>
          <w:szCs w:val="24"/>
          <w:lang w:val="en-CA"/>
        </w:rPr>
        <w:t xml:space="preserve"> </w:t>
      </w:r>
      <w:r w:rsidRPr="00C63485">
        <w:rPr>
          <w:rFonts w:ascii="Times New Roman" w:hAnsi="Times New Roman" w:cs="Times New Roman"/>
          <w:color w:val="131413"/>
          <w:sz w:val="24"/>
          <w:szCs w:val="24"/>
          <w:lang w:val="en-CA"/>
        </w:rPr>
        <w:t>Health District. While the district reported a 90% coverage rate, the survey revealed an actual coverage of 62%, a statistically significant difference (p &lt; 0.001). The observed coverage fell below the WHO-recommended minimum of ≥80% required for onchocerciasis elimination [14].</w:t>
      </w:r>
    </w:p>
    <w:p w14:paraId="565ECEDA" w14:textId="77777777" w:rsidR="00C63485" w:rsidRPr="00C63485" w:rsidRDefault="00C63485" w:rsidP="00C63485">
      <w:pPr>
        <w:spacing w:before="100" w:beforeAutospacing="1" w:after="100" w:afterAutospacing="1" w:line="360" w:lineRule="auto"/>
        <w:jc w:val="both"/>
        <w:rPr>
          <w:rFonts w:ascii="Times New Roman" w:hAnsi="Times New Roman" w:cs="Times New Roman"/>
          <w:color w:val="131413"/>
          <w:sz w:val="24"/>
          <w:szCs w:val="24"/>
          <w:lang w:val="en-CA"/>
        </w:rPr>
      </w:pPr>
      <w:r w:rsidRPr="00C63485">
        <w:rPr>
          <w:rFonts w:ascii="Times New Roman" w:hAnsi="Times New Roman" w:cs="Times New Roman"/>
          <w:color w:val="131413"/>
          <w:sz w:val="24"/>
          <w:szCs w:val="24"/>
          <w:lang w:val="en-CA"/>
        </w:rPr>
        <w:t xml:space="preserve">Coverage varied between health areas, partly due to differences in the timing of ivermectin introduction and the number of treatment rounds completed. These findings suggest that, </w:t>
      </w:r>
      <w:r w:rsidRPr="00C63485">
        <w:rPr>
          <w:rFonts w:ascii="Times New Roman" w:hAnsi="Times New Roman" w:cs="Times New Roman"/>
          <w:color w:val="131413"/>
          <w:sz w:val="24"/>
          <w:szCs w:val="24"/>
          <w:lang w:val="en-CA"/>
        </w:rPr>
        <w:lastRenderedPageBreak/>
        <w:t xml:space="preserve">although ivermectin was consistently available, annual treatment was not uniform across all areas. This pattern contrasts with findings from </w:t>
      </w:r>
      <w:proofErr w:type="spellStart"/>
      <w:r w:rsidRPr="00C63485">
        <w:rPr>
          <w:rFonts w:ascii="Times New Roman" w:hAnsi="Times New Roman" w:cs="Times New Roman"/>
          <w:color w:val="131413"/>
          <w:sz w:val="24"/>
          <w:szCs w:val="24"/>
          <w:lang w:val="en-CA"/>
        </w:rPr>
        <w:t>Tombel</w:t>
      </w:r>
      <w:proofErr w:type="spellEnd"/>
      <w:r w:rsidRPr="00C63485">
        <w:rPr>
          <w:rFonts w:ascii="Times New Roman" w:hAnsi="Times New Roman" w:cs="Times New Roman"/>
          <w:color w:val="131413"/>
          <w:sz w:val="24"/>
          <w:szCs w:val="24"/>
          <w:lang w:val="en-CA"/>
        </w:rPr>
        <w:t xml:space="preserve"> Health District [16] but aligns with observations from Kaduna State, Nigeria [15]. Reported barriers to participation included adverse drug reactions, inadequate management of side effects, absence during distribution, and pre-existing health problems.</w:t>
      </w:r>
    </w:p>
    <w:p w14:paraId="402B33CA" w14:textId="77777777" w:rsidR="00C63485" w:rsidRPr="00C63485" w:rsidRDefault="00C63485" w:rsidP="00C63485">
      <w:pPr>
        <w:spacing w:before="100" w:beforeAutospacing="1" w:after="100" w:afterAutospacing="1" w:line="360" w:lineRule="auto"/>
        <w:jc w:val="both"/>
        <w:rPr>
          <w:rFonts w:ascii="Times New Roman" w:hAnsi="Times New Roman" w:cs="Times New Roman"/>
          <w:color w:val="131413"/>
          <w:sz w:val="24"/>
          <w:szCs w:val="24"/>
          <w:lang w:val="en-CA"/>
        </w:rPr>
      </w:pPr>
      <w:r w:rsidRPr="00C63485">
        <w:rPr>
          <w:rFonts w:ascii="Times New Roman" w:hAnsi="Times New Roman" w:cs="Times New Roman"/>
          <w:color w:val="131413"/>
          <w:sz w:val="24"/>
          <w:szCs w:val="24"/>
          <w:lang w:val="en-CA"/>
        </w:rPr>
        <w:t>Statistical Comparison of Reported vs. Actual Coverage</w:t>
      </w:r>
    </w:p>
    <w:p w14:paraId="546EB1AF" w14:textId="4D6739FA" w:rsidR="00C63485" w:rsidRPr="00C63485" w:rsidRDefault="00C63485" w:rsidP="00C63485">
      <w:pPr>
        <w:spacing w:before="100" w:beforeAutospacing="1" w:after="100" w:afterAutospacing="1" w:line="360" w:lineRule="auto"/>
        <w:jc w:val="both"/>
        <w:rPr>
          <w:rFonts w:ascii="Times New Roman" w:hAnsi="Times New Roman" w:cs="Times New Roman"/>
          <w:color w:val="131413"/>
          <w:sz w:val="24"/>
          <w:szCs w:val="24"/>
          <w:lang w:val="en-CA"/>
        </w:rPr>
      </w:pPr>
      <w:r w:rsidRPr="00C63485">
        <w:rPr>
          <w:rFonts w:ascii="Times New Roman" w:hAnsi="Times New Roman" w:cs="Times New Roman"/>
          <w:color w:val="131413"/>
          <w:sz w:val="24"/>
          <w:szCs w:val="24"/>
          <w:lang w:val="en-CA"/>
        </w:rPr>
        <w:t xml:space="preserve">The chi-square test confirmed a statistically significant discrepancy between reported and surveyed coverage (χ² = 21.49 vs. χ² critical = 3.84, df = 1; p &lt; 0.001), indicating a substantial </w:t>
      </w:r>
      <w:r w:rsidR="0063592E" w:rsidRPr="00490927">
        <w:rPr>
          <w:rFonts w:ascii="Times New Roman" w:hAnsi="Times New Roman" w:cs="Times New Roman"/>
          <w:color w:val="131413"/>
          <w:sz w:val="24"/>
          <w:szCs w:val="24"/>
          <w:highlight w:val="yellow"/>
          <w:lang w:val="en-CA"/>
        </w:rPr>
        <w:t>overestimation</w:t>
      </w:r>
      <w:r w:rsidRPr="00C63485">
        <w:rPr>
          <w:rFonts w:ascii="Times New Roman" w:hAnsi="Times New Roman" w:cs="Times New Roman"/>
          <w:color w:val="131413"/>
          <w:sz w:val="24"/>
          <w:szCs w:val="24"/>
          <w:lang w:val="en-CA"/>
        </w:rPr>
        <w:t xml:space="preserve"> in administrative reports. Similar discrepancies have been documented in other mass drug administration (MDA) programs, often linked to reporting bias, data quality limitations, and inaccuracies in population estimates [17]. Such overestimations can create a misleading impression of program success, obscuring areas where coverage remains insufficient to interrupt transmission [18]. Strengthening monitoring systems through independent coverage surveys and community-based verification is therefore recommended [19].</w:t>
      </w:r>
    </w:p>
    <w:p w14:paraId="5B096DE6" w14:textId="5D04F59E" w:rsidR="00C63485" w:rsidRPr="00764B25" w:rsidRDefault="00C63485" w:rsidP="00C63485">
      <w:pPr>
        <w:spacing w:before="100" w:beforeAutospacing="1" w:after="100" w:afterAutospacing="1" w:line="360" w:lineRule="auto"/>
        <w:jc w:val="both"/>
        <w:rPr>
          <w:rFonts w:ascii="Times New Roman" w:hAnsi="Times New Roman" w:cs="Times New Roman"/>
          <w:b/>
          <w:color w:val="131413"/>
          <w:sz w:val="24"/>
          <w:szCs w:val="24"/>
          <w:lang w:val="en-CA"/>
        </w:rPr>
      </w:pPr>
      <w:r w:rsidRPr="00764B25">
        <w:rPr>
          <w:rFonts w:ascii="Times New Roman" w:hAnsi="Times New Roman" w:cs="Times New Roman"/>
          <w:b/>
          <w:color w:val="131413"/>
          <w:sz w:val="24"/>
          <w:szCs w:val="24"/>
          <w:lang w:val="en-CA"/>
        </w:rPr>
        <w:t>Factors Associated with Non-Adherenc</w:t>
      </w:r>
      <w:r w:rsidR="00764B25" w:rsidRPr="00764B25">
        <w:rPr>
          <w:rFonts w:ascii="Times New Roman" w:hAnsi="Times New Roman" w:cs="Times New Roman"/>
          <w:b/>
          <w:color w:val="131413"/>
          <w:sz w:val="24"/>
          <w:szCs w:val="24"/>
          <w:lang w:val="en-CA"/>
        </w:rPr>
        <w:t>e</w:t>
      </w:r>
    </w:p>
    <w:p w14:paraId="13C9F1BD" w14:textId="77E0C561" w:rsidR="00C63485" w:rsidRPr="00C63485" w:rsidRDefault="00C63485" w:rsidP="00C63485">
      <w:pPr>
        <w:spacing w:before="100" w:beforeAutospacing="1" w:after="100" w:afterAutospacing="1" w:line="360" w:lineRule="auto"/>
        <w:jc w:val="both"/>
        <w:rPr>
          <w:rFonts w:ascii="Times New Roman" w:hAnsi="Times New Roman" w:cs="Times New Roman"/>
          <w:color w:val="131413"/>
          <w:sz w:val="24"/>
          <w:szCs w:val="24"/>
          <w:lang w:val="en-CA"/>
        </w:rPr>
      </w:pPr>
      <w:r w:rsidRPr="00C63485">
        <w:rPr>
          <w:rFonts w:ascii="Times New Roman" w:hAnsi="Times New Roman" w:cs="Times New Roman"/>
          <w:color w:val="131413"/>
          <w:sz w:val="24"/>
          <w:szCs w:val="24"/>
          <w:lang w:val="en-CA"/>
        </w:rPr>
        <w:t xml:space="preserve">Multivariate analysis identified prior awareness of the campaign, participation in the census, and male gender as significant predictors of adherence. Awareness reduced the odds of non-adherence by 54% (OR = 0.46; 95% CI: 0.30–0.70; p &lt; 0.001), while census participation reduced it by 89% (OR = 0.11; 95% CI: 0.07–0.16; p &lt; 0.001). Being male was associated with a 55% reduction in non-adherence compared to being female (OR = 0.45; 95% CI: 0.32–0.65; p &lt; 0.001). These findings highlight the importance of social </w:t>
      </w:r>
      <w:r w:rsidR="0063592E" w:rsidRPr="00490927">
        <w:rPr>
          <w:rFonts w:ascii="Times New Roman" w:hAnsi="Times New Roman" w:cs="Times New Roman"/>
          <w:color w:val="131413"/>
          <w:sz w:val="24"/>
          <w:szCs w:val="24"/>
          <w:highlight w:val="yellow"/>
          <w:lang w:val="en-CA"/>
        </w:rPr>
        <w:t xml:space="preserve">mobilisation </w:t>
      </w:r>
      <w:r w:rsidRPr="00C63485">
        <w:rPr>
          <w:rFonts w:ascii="Times New Roman" w:hAnsi="Times New Roman" w:cs="Times New Roman"/>
          <w:color w:val="131413"/>
          <w:sz w:val="24"/>
          <w:szCs w:val="24"/>
          <w:lang w:val="en-CA"/>
        </w:rPr>
        <w:t>and community engagement, consistent with previous research [17].</w:t>
      </w:r>
      <w:r w:rsidR="00992AB3">
        <w:rPr>
          <w:rFonts w:ascii="Times New Roman" w:hAnsi="Times New Roman" w:cs="Times New Roman"/>
          <w:color w:val="131413"/>
          <w:sz w:val="24"/>
          <w:szCs w:val="24"/>
          <w:lang w:val="en-CA"/>
        </w:rPr>
        <w:t xml:space="preserve"> This result is compared to a study done in</w:t>
      </w:r>
      <w:r w:rsidR="00764B25">
        <w:rPr>
          <w:rFonts w:ascii="Times New Roman" w:hAnsi="Times New Roman" w:cs="Times New Roman"/>
          <w:color w:val="131413"/>
          <w:sz w:val="24"/>
          <w:szCs w:val="24"/>
          <w:lang w:val="en-CA"/>
        </w:rPr>
        <w:t xml:space="preserve"> </w:t>
      </w:r>
      <w:proofErr w:type="spellStart"/>
      <w:r w:rsidR="00764B25">
        <w:rPr>
          <w:rFonts w:ascii="Times New Roman" w:hAnsi="Times New Roman" w:cs="Times New Roman"/>
          <w:color w:val="131413"/>
          <w:sz w:val="24"/>
          <w:szCs w:val="24"/>
          <w:lang w:val="en-CA"/>
        </w:rPr>
        <w:t>Maheeenge</w:t>
      </w:r>
      <w:proofErr w:type="spellEnd"/>
      <w:r w:rsidR="00764B25">
        <w:rPr>
          <w:rFonts w:ascii="Times New Roman" w:hAnsi="Times New Roman" w:cs="Times New Roman"/>
          <w:color w:val="131413"/>
          <w:sz w:val="24"/>
          <w:szCs w:val="24"/>
          <w:lang w:val="en-CA"/>
        </w:rPr>
        <w:t>,</w:t>
      </w:r>
      <w:r w:rsidR="00992AB3">
        <w:rPr>
          <w:rFonts w:ascii="Times New Roman" w:hAnsi="Times New Roman" w:cs="Times New Roman"/>
          <w:color w:val="131413"/>
          <w:sz w:val="24"/>
          <w:szCs w:val="24"/>
          <w:lang w:val="en-CA"/>
        </w:rPr>
        <w:t xml:space="preserve"> Tanzania</w:t>
      </w:r>
      <w:r w:rsidR="0063592E">
        <w:rPr>
          <w:rFonts w:ascii="Times New Roman" w:hAnsi="Times New Roman" w:cs="Times New Roman"/>
          <w:color w:val="131413"/>
          <w:sz w:val="24"/>
          <w:szCs w:val="24"/>
          <w:lang w:val="en-CA"/>
        </w:rPr>
        <w:t>,</w:t>
      </w:r>
      <w:r w:rsidR="00992AB3">
        <w:rPr>
          <w:rFonts w:ascii="Times New Roman" w:hAnsi="Times New Roman" w:cs="Times New Roman"/>
          <w:color w:val="131413"/>
          <w:sz w:val="24"/>
          <w:szCs w:val="24"/>
          <w:lang w:val="en-CA"/>
        </w:rPr>
        <w:t xml:space="preserve"> where </w:t>
      </w:r>
      <w:r w:rsidR="00992AB3" w:rsidRPr="00992AB3">
        <w:rPr>
          <w:rFonts w:ascii="Times New Roman" w:hAnsi="Times New Roman" w:cs="Times New Roman"/>
          <w:color w:val="131413"/>
          <w:sz w:val="24"/>
          <w:szCs w:val="24"/>
          <w:lang w:val="en-CA"/>
        </w:rPr>
        <w:t>Iverme</w:t>
      </w:r>
      <w:r w:rsidR="00764B25">
        <w:rPr>
          <w:rFonts w:ascii="Times New Roman" w:hAnsi="Times New Roman" w:cs="Times New Roman"/>
          <w:color w:val="131413"/>
          <w:sz w:val="24"/>
          <w:szCs w:val="24"/>
          <w:lang w:val="en-CA"/>
        </w:rPr>
        <w:t xml:space="preserve">ctin uptake </w:t>
      </w:r>
      <w:r w:rsidR="00992AB3">
        <w:rPr>
          <w:rFonts w:ascii="Times New Roman" w:hAnsi="Times New Roman" w:cs="Times New Roman"/>
          <w:color w:val="131413"/>
          <w:sz w:val="24"/>
          <w:szCs w:val="24"/>
          <w:lang w:val="en-CA"/>
        </w:rPr>
        <w:t>is</w:t>
      </w:r>
      <w:r w:rsidR="00992AB3" w:rsidRPr="00992AB3">
        <w:rPr>
          <w:rFonts w:ascii="Times New Roman" w:hAnsi="Times New Roman" w:cs="Times New Roman"/>
          <w:color w:val="131413"/>
          <w:sz w:val="24"/>
          <w:szCs w:val="24"/>
          <w:lang w:val="en-CA"/>
        </w:rPr>
        <w:t xml:space="preserve"> optimised by continuous advocacy about the importance of taking ivermectin to prevent </w:t>
      </w:r>
      <w:r w:rsidR="0063592E" w:rsidRPr="00490927">
        <w:rPr>
          <w:rFonts w:ascii="Times New Roman" w:hAnsi="Times New Roman" w:cs="Times New Roman"/>
          <w:color w:val="131413"/>
          <w:sz w:val="24"/>
          <w:szCs w:val="24"/>
          <w:highlight w:val="yellow"/>
          <w:lang w:val="en-CA"/>
        </w:rPr>
        <w:t xml:space="preserve">onchocerciasis-associated </w:t>
      </w:r>
      <w:r w:rsidR="00992AB3" w:rsidRPr="00992AB3">
        <w:rPr>
          <w:rFonts w:ascii="Times New Roman" w:hAnsi="Times New Roman" w:cs="Times New Roman"/>
          <w:color w:val="131413"/>
          <w:sz w:val="24"/>
          <w:szCs w:val="24"/>
          <w:lang w:val="en-CA"/>
        </w:rPr>
        <w:t>morbidity</w:t>
      </w:r>
      <w:r w:rsidR="00992AB3">
        <w:rPr>
          <w:rFonts w:ascii="Times New Roman" w:hAnsi="Times New Roman" w:cs="Times New Roman"/>
          <w:color w:val="131413"/>
          <w:sz w:val="24"/>
          <w:szCs w:val="24"/>
          <w:lang w:val="en-CA"/>
        </w:rPr>
        <w:t xml:space="preserve"> </w:t>
      </w:r>
      <w:r w:rsidR="00992AB3">
        <w:rPr>
          <w:rFonts w:ascii="Times New Roman" w:hAnsi="Times New Roman" w:cs="Times New Roman"/>
          <w:color w:val="131413"/>
          <w:sz w:val="24"/>
          <w:szCs w:val="24"/>
          <w:lang w:val="en-CA"/>
        </w:rPr>
        <w:fldChar w:fldCharType="begin"/>
      </w:r>
      <w:r w:rsidR="006931AF">
        <w:rPr>
          <w:rFonts w:ascii="Times New Roman" w:hAnsi="Times New Roman" w:cs="Times New Roman"/>
          <w:color w:val="131413"/>
          <w:sz w:val="24"/>
          <w:szCs w:val="24"/>
          <w:lang w:val="en-CA"/>
        </w:rPr>
        <w:instrText xml:space="preserve"> ADDIN ZOTERO_ITEM CSL_CITATION {"citationID":"MxEjYpSQ","properties":{"formattedCitation":"(15)","plainCitation":"(15)","noteIndex":0},"citationItems":[{"id":290,"uris":["http://zotero.org/users/local/RDYzIoy0/items/PZM3R2MA"],"itemData":{"id":290,"type":"article-journal","abstract":"Introduction: Despite over 20 years of community-directed treatment with ivermectin (CDTI) in Mahenge area in Tanzania, the prevalence of onchocerciasis has remained high (over 40% in children 6-10 years using antibody testing and 49% using skinsnips in adults). The area has one of the highest prevalence of epilepsy, exceeding 3.5% in some of rural villages.\nMethods: Between June and July 2019, in four rural villages using qualitative methods, we assessed factors potentially associated with the persistence of high Onchocerca volvulus transmission.\nResults: Eleven focus group discussions were organized with persons with epilepsy and their caretakers, community resource persons, and community drug distributors (CDDs), and two in-depth interviews with district programme coordinators of neglected tropical diseases (NTD). Factors considered being responsible for the persistence of onchocerciasis transmission included not taking ivermectin during CDTI for fear of adverse reactions such as itching, swelling and misconception that the drug causes infertility. Challenges for high CDTI coverage included, long walking distance by CDDs to deliver drugs to households, persons being away for farming, low awareness of the disease including the association between onchocerciasis and epilepsy and limited supervision by the NTD coordinators.\nConclusion: Ivermectin uptake in Mahenge should be optimised by continuous advocacy about the importance of taking ivermectin to prevent onchocerciasisassociated morbidity and by improving supervision during CDTI.","container-title":"Frontiers in Tropical Diseases","DOI":"10.3389/fitd.2023.1079012","ISSN":"2673-7515","journalAbbreviation":"Front. Trop. Dis","language":"en","page":"1079012","source":"DOI.org (Crossref)","title":"Factors associated with low-uptake of ivermectin in Mahenge, an area with high prevalence of onchocerciasis and epilepsy in Tanzania: A qualitative perspective","title-short":"Factors associated with low-uptake of ivermectin in Mahenge, an area with high prevalence of onchocerciasis and epilepsy in Tanzania","volume":"4","author":[{"family":"Bhwana","given":"Dan"},{"family":"Massawe","given":"Isolide S."},{"family":"Mushi","given":"Adiel K."},{"family":"Magili","given":"Pendo"},{"family":"Amaral","given":"Luís-Jorge"},{"family":"Makunde","given":"Williams"},{"family":"Mmbando","given":"Bruno P."},{"family":"Colebunders","given":"Robert"}],"issued":{"date-parts":[["2023",4,3]]}}}],"schema":"https://github.com/citation-style-language/schema/raw/master/csl-citation.json"} </w:instrText>
      </w:r>
      <w:r w:rsidR="00992AB3">
        <w:rPr>
          <w:rFonts w:ascii="Times New Roman" w:hAnsi="Times New Roman" w:cs="Times New Roman"/>
          <w:color w:val="131413"/>
          <w:sz w:val="24"/>
          <w:szCs w:val="24"/>
          <w:lang w:val="en-CA"/>
        </w:rPr>
        <w:fldChar w:fldCharType="separate"/>
      </w:r>
      <w:r w:rsidR="006931AF" w:rsidRPr="006931AF">
        <w:rPr>
          <w:rFonts w:ascii="Times New Roman" w:hAnsi="Times New Roman" w:cs="Times New Roman"/>
          <w:sz w:val="24"/>
        </w:rPr>
        <w:t>(15)</w:t>
      </w:r>
      <w:r w:rsidR="00992AB3">
        <w:rPr>
          <w:rFonts w:ascii="Times New Roman" w:hAnsi="Times New Roman" w:cs="Times New Roman"/>
          <w:color w:val="131413"/>
          <w:sz w:val="24"/>
          <w:szCs w:val="24"/>
          <w:lang w:val="en-CA"/>
        </w:rPr>
        <w:fldChar w:fldCharType="end"/>
      </w:r>
    </w:p>
    <w:p w14:paraId="02B9B077" w14:textId="1720CA36" w:rsidR="00C63485" w:rsidRPr="00C63485" w:rsidRDefault="00C63485" w:rsidP="00C63485">
      <w:pPr>
        <w:spacing w:before="100" w:beforeAutospacing="1" w:after="100" w:afterAutospacing="1" w:line="360" w:lineRule="auto"/>
        <w:jc w:val="both"/>
        <w:rPr>
          <w:rFonts w:ascii="Times New Roman" w:hAnsi="Times New Roman" w:cs="Times New Roman"/>
          <w:color w:val="131413"/>
          <w:sz w:val="24"/>
          <w:szCs w:val="24"/>
          <w:lang w:val="en-CA"/>
        </w:rPr>
      </w:pPr>
      <w:r w:rsidRPr="00C63485">
        <w:rPr>
          <w:rFonts w:ascii="Times New Roman" w:hAnsi="Times New Roman" w:cs="Times New Roman"/>
          <w:color w:val="131413"/>
          <w:sz w:val="24"/>
          <w:szCs w:val="24"/>
          <w:lang w:val="en-CA"/>
        </w:rPr>
        <w:t xml:space="preserve">The protective effect of census participation may be linked to improved household identification and direct contact with distribution teams [18]. However, challenges remain among individuals who were not </w:t>
      </w:r>
      <w:proofErr w:type="spellStart"/>
      <w:r w:rsidR="0063592E" w:rsidRPr="00490927">
        <w:rPr>
          <w:rFonts w:ascii="Times New Roman" w:hAnsi="Times New Roman" w:cs="Times New Roman"/>
          <w:color w:val="131413"/>
          <w:sz w:val="24"/>
          <w:szCs w:val="24"/>
          <w:highlight w:val="yellow"/>
          <w:lang w:val="en-CA"/>
        </w:rPr>
        <w:t>sensitised</w:t>
      </w:r>
      <w:proofErr w:type="spellEnd"/>
      <w:r w:rsidR="0063592E" w:rsidRPr="00490927">
        <w:rPr>
          <w:rFonts w:ascii="Times New Roman" w:hAnsi="Times New Roman" w:cs="Times New Roman"/>
          <w:color w:val="131413"/>
          <w:sz w:val="24"/>
          <w:szCs w:val="24"/>
          <w:highlight w:val="yellow"/>
          <w:lang w:val="en-CA"/>
        </w:rPr>
        <w:t xml:space="preserve"> </w:t>
      </w:r>
      <w:r w:rsidRPr="00C63485">
        <w:rPr>
          <w:rFonts w:ascii="Times New Roman" w:hAnsi="Times New Roman" w:cs="Times New Roman"/>
          <w:color w:val="131413"/>
          <w:sz w:val="24"/>
          <w:szCs w:val="24"/>
          <w:lang w:val="en-CA"/>
        </w:rPr>
        <w:t xml:space="preserve">or were absent during census activities. As </w:t>
      </w:r>
      <w:proofErr w:type="spellStart"/>
      <w:r w:rsidRPr="00C63485">
        <w:rPr>
          <w:rFonts w:ascii="Times New Roman" w:hAnsi="Times New Roman" w:cs="Times New Roman"/>
          <w:color w:val="131413"/>
          <w:sz w:val="24"/>
          <w:szCs w:val="24"/>
          <w:lang w:val="en-CA"/>
        </w:rPr>
        <w:t>Katabarwa</w:t>
      </w:r>
      <w:proofErr w:type="spellEnd"/>
      <w:r w:rsidRPr="00C63485">
        <w:rPr>
          <w:rFonts w:ascii="Times New Roman" w:hAnsi="Times New Roman" w:cs="Times New Roman"/>
          <w:color w:val="131413"/>
          <w:sz w:val="24"/>
          <w:szCs w:val="24"/>
          <w:lang w:val="en-CA"/>
        </w:rPr>
        <w:t xml:space="preserve"> et al. (2010) [17] note, reaching mobile and </w:t>
      </w:r>
      <w:r w:rsidR="0063592E" w:rsidRPr="00490927">
        <w:rPr>
          <w:rFonts w:ascii="Times New Roman" w:hAnsi="Times New Roman" w:cs="Times New Roman"/>
          <w:color w:val="131413"/>
          <w:sz w:val="24"/>
          <w:szCs w:val="24"/>
          <w:highlight w:val="yellow"/>
          <w:lang w:val="en-CA"/>
        </w:rPr>
        <w:t xml:space="preserve">marginalised </w:t>
      </w:r>
      <w:r w:rsidRPr="00C63485">
        <w:rPr>
          <w:rFonts w:ascii="Times New Roman" w:hAnsi="Times New Roman" w:cs="Times New Roman"/>
          <w:color w:val="131413"/>
          <w:sz w:val="24"/>
          <w:szCs w:val="24"/>
          <w:lang w:val="en-CA"/>
        </w:rPr>
        <w:t xml:space="preserve">populations requires </w:t>
      </w:r>
      <w:r w:rsidRPr="00C63485">
        <w:rPr>
          <w:rFonts w:ascii="Times New Roman" w:hAnsi="Times New Roman" w:cs="Times New Roman"/>
          <w:color w:val="131413"/>
          <w:sz w:val="24"/>
          <w:szCs w:val="24"/>
          <w:lang w:val="en-CA"/>
        </w:rPr>
        <w:lastRenderedPageBreak/>
        <w:t>tailored distribution strategies. Combining targeted communication campaigns with comprehensive census coverage may improve equity and treatment uptake [20].</w:t>
      </w:r>
    </w:p>
    <w:p w14:paraId="062DC053" w14:textId="5FBA42E0" w:rsidR="00C63485" w:rsidRPr="00764B25" w:rsidRDefault="00C63485" w:rsidP="00C63485">
      <w:pPr>
        <w:spacing w:before="100" w:beforeAutospacing="1" w:after="100" w:afterAutospacing="1" w:line="360" w:lineRule="auto"/>
        <w:jc w:val="both"/>
        <w:rPr>
          <w:rFonts w:ascii="Times New Roman" w:hAnsi="Times New Roman" w:cs="Times New Roman"/>
          <w:b/>
          <w:color w:val="131413"/>
          <w:sz w:val="24"/>
          <w:szCs w:val="24"/>
          <w:lang w:val="en-CA"/>
        </w:rPr>
      </w:pPr>
      <w:r w:rsidRPr="00764B25">
        <w:rPr>
          <w:rFonts w:ascii="Times New Roman" w:hAnsi="Times New Roman" w:cs="Times New Roman"/>
          <w:b/>
          <w:color w:val="131413"/>
          <w:sz w:val="24"/>
          <w:szCs w:val="24"/>
          <w:lang w:val="en-CA"/>
        </w:rPr>
        <w:t>Effectiveness of Communication Channel</w:t>
      </w:r>
      <w:r w:rsidR="00764B25" w:rsidRPr="00764B25">
        <w:rPr>
          <w:rFonts w:ascii="Times New Roman" w:hAnsi="Times New Roman" w:cs="Times New Roman"/>
          <w:b/>
          <w:color w:val="131413"/>
          <w:sz w:val="24"/>
          <w:szCs w:val="24"/>
          <w:lang w:val="en-CA"/>
        </w:rPr>
        <w:t>s</w:t>
      </w:r>
    </w:p>
    <w:p w14:paraId="2437D458" w14:textId="789F9D16" w:rsidR="00C63485" w:rsidRPr="00C63485" w:rsidRDefault="00C63485" w:rsidP="00C63485">
      <w:pPr>
        <w:spacing w:before="100" w:beforeAutospacing="1" w:after="100" w:afterAutospacing="1" w:line="360" w:lineRule="auto"/>
        <w:jc w:val="both"/>
        <w:rPr>
          <w:rFonts w:ascii="Times New Roman" w:hAnsi="Times New Roman" w:cs="Times New Roman"/>
          <w:color w:val="131413"/>
          <w:sz w:val="24"/>
          <w:szCs w:val="24"/>
          <w:lang w:val="en-CA"/>
        </w:rPr>
      </w:pPr>
      <w:r w:rsidRPr="00C63485">
        <w:rPr>
          <w:rFonts w:ascii="Times New Roman" w:hAnsi="Times New Roman" w:cs="Times New Roman"/>
          <w:color w:val="131413"/>
          <w:sz w:val="24"/>
          <w:szCs w:val="24"/>
          <w:lang w:val="en-CA"/>
        </w:rPr>
        <w:t xml:space="preserve">Communication coverage varied across channels. Community Health Workers and social groups reached 74.4% and 75.9% of respondents, respectively, reflecting moderate but widespread community engagement. Churches (82.9%) and census activities (85.1%) achieved higher coverage, </w:t>
      </w:r>
      <w:r w:rsidR="0063592E" w:rsidRPr="00490927">
        <w:rPr>
          <w:rFonts w:ascii="Times New Roman" w:hAnsi="Times New Roman" w:cs="Times New Roman"/>
          <w:color w:val="131413"/>
          <w:sz w:val="24"/>
          <w:szCs w:val="24"/>
          <w:highlight w:val="yellow"/>
          <w:lang w:val="en-CA"/>
        </w:rPr>
        <w:t xml:space="preserve">emphasising </w:t>
      </w:r>
      <w:r w:rsidRPr="00C63485">
        <w:rPr>
          <w:rFonts w:ascii="Times New Roman" w:hAnsi="Times New Roman" w:cs="Times New Roman"/>
          <w:color w:val="131413"/>
          <w:sz w:val="24"/>
          <w:szCs w:val="24"/>
          <w:lang w:val="en-CA"/>
        </w:rPr>
        <w:t xml:space="preserve">the value of structured, interpersonal </w:t>
      </w:r>
      <w:r w:rsidR="0063592E" w:rsidRPr="00490927">
        <w:rPr>
          <w:rFonts w:ascii="Times New Roman" w:hAnsi="Times New Roman" w:cs="Times New Roman"/>
          <w:color w:val="131413"/>
          <w:sz w:val="24"/>
          <w:szCs w:val="24"/>
          <w:highlight w:val="yellow"/>
          <w:lang w:val="en-CA"/>
        </w:rPr>
        <w:t>mobilisation</w:t>
      </w:r>
      <w:r w:rsidRPr="00C63485">
        <w:rPr>
          <w:rFonts w:ascii="Times New Roman" w:hAnsi="Times New Roman" w:cs="Times New Roman"/>
          <w:color w:val="131413"/>
          <w:sz w:val="24"/>
          <w:szCs w:val="24"/>
          <w:lang w:val="en-CA"/>
        </w:rPr>
        <w:t>.</w:t>
      </w:r>
      <w:r w:rsidR="00764B25">
        <w:rPr>
          <w:rFonts w:ascii="Times New Roman" w:hAnsi="Times New Roman" w:cs="Times New Roman"/>
          <w:color w:val="131413"/>
          <w:sz w:val="24"/>
          <w:szCs w:val="24"/>
          <w:lang w:val="en-CA"/>
        </w:rPr>
        <w:t xml:space="preserve"> This is similar to a study done in Jimma, </w:t>
      </w:r>
      <w:r w:rsidR="0063592E" w:rsidRPr="00490927">
        <w:rPr>
          <w:rFonts w:ascii="Times New Roman" w:hAnsi="Times New Roman" w:cs="Times New Roman"/>
          <w:color w:val="131413"/>
          <w:sz w:val="24"/>
          <w:szCs w:val="24"/>
          <w:highlight w:val="yellow"/>
          <w:lang w:val="en-CA"/>
        </w:rPr>
        <w:t>Ethiopia</w:t>
      </w:r>
      <w:r w:rsidR="0063592E">
        <w:rPr>
          <w:rFonts w:ascii="Times New Roman" w:hAnsi="Times New Roman" w:cs="Times New Roman"/>
          <w:color w:val="131413"/>
          <w:sz w:val="24"/>
          <w:szCs w:val="24"/>
          <w:lang w:val="en-CA"/>
        </w:rPr>
        <w:t>,</w:t>
      </w:r>
      <w:r w:rsidR="00764B25">
        <w:rPr>
          <w:rFonts w:ascii="Times New Roman" w:hAnsi="Times New Roman" w:cs="Times New Roman"/>
          <w:color w:val="131413"/>
          <w:sz w:val="24"/>
          <w:szCs w:val="24"/>
          <w:lang w:val="en-CA"/>
        </w:rPr>
        <w:t xml:space="preserve"> where</w:t>
      </w:r>
      <w:r w:rsidR="00764B25" w:rsidRPr="00764B25">
        <w:t xml:space="preserve"> </w:t>
      </w:r>
      <w:r w:rsidR="00764B25">
        <w:rPr>
          <w:rFonts w:ascii="Times New Roman" w:hAnsi="Times New Roman" w:cs="Times New Roman"/>
          <w:color w:val="131413"/>
          <w:sz w:val="24"/>
          <w:szCs w:val="24"/>
          <w:lang w:val="en-CA"/>
        </w:rPr>
        <w:t>it was</w:t>
      </w:r>
      <w:r w:rsidR="00764B25" w:rsidRPr="00764B25">
        <w:rPr>
          <w:rFonts w:ascii="Times New Roman" w:hAnsi="Times New Roman" w:cs="Times New Roman"/>
          <w:color w:val="131413"/>
          <w:sz w:val="24"/>
          <w:szCs w:val="24"/>
          <w:lang w:val="en-CA"/>
        </w:rPr>
        <w:t xml:space="preserve"> crucial to develop well-designed, </w:t>
      </w:r>
      <w:r w:rsidR="0063592E" w:rsidRPr="00490927">
        <w:rPr>
          <w:rFonts w:ascii="Times New Roman" w:hAnsi="Times New Roman" w:cs="Times New Roman"/>
          <w:color w:val="131413"/>
          <w:sz w:val="24"/>
          <w:szCs w:val="24"/>
          <w:highlight w:val="yellow"/>
          <w:lang w:val="en-CA"/>
        </w:rPr>
        <w:t xml:space="preserve">harmonised </w:t>
      </w:r>
      <w:r w:rsidR="00764B25" w:rsidRPr="00764B25">
        <w:rPr>
          <w:rFonts w:ascii="Times New Roman" w:hAnsi="Times New Roman" w:cs="Times New Roman"/>
          <w:color w:val="131413"/>
          <w:sz w:val="24"/>
          <w:szCs w:val="24"/>
          <w:lang w:val="en-CA"/>
        </w:rPr>
        <w:t>and culturally appropriate health education and communication activities that are integra</w:t>
      </w:r>
      <w:r w:rsidR="00764B25">
        <w:rPr>
          <w:rFonts w:ascii="Times New Roman" w:hAnsi="Times New Roman" w:cs="Times New Roman"/>
          <w:color w:val="131413"/>
          <w:sz w:val="24"/>
          <w:szCs w:val="24"/>
          <w:lang w:val="en-CA"/>
        </w:rPr>
        <w:t xml:space="preserve">ted into the mass drug administration </w:t>
      </w:r>
      <w:r w:rsidR="00764B25" w:rsidRPr="00764B25">
        <w:rPr>
          <w:rFonts w:ascii="Times New Roman" w:hAnsi="Times New Roman" w:cs="Times New Roman"/>
          <w:color w:val="131413"/>
          <w:sz w:val="24"/>
          <w:szCs w:val="24"/>
          <w:lang w:val="en-CA"/>
        </w:rPr>
        <w:t>efforts</w:t>
      </w:r>
      <w:r w:rsidR="00764B25">
        <w:rPr>
          <w:rFonts w:ascii="Times New Roman" w:hAnsi="Times New Roman" w:cs="Times New Roman"/>
          <w:color w:val="131413"/>
          <w:sz w:val="24"/>
          <w:szCs w:val="24"/>
          <w:lang w:val="en-CA"/>
        </w:rPr>
        <w:t xml:space="preserve"> </w:t>
      </w:r>
      <w:r w:rsidR="00764B25">
        <w:rPr>
          <w:rFonts w:ascii="Times New Roman" w:hAnsi="Times New Roman" w:cs="Times New Roman"/>
          <w:color w:val="131413"/>
          <w:sz w:val="24"/>
          <w:szCs w:val="24"/>
          <w:lang w:val="en-CA"/>
        </w:rPr>
        <w:fldChar w:fldCharType="begin"/>
      </w:r>
      <w:r w:rsidR="006931AF">
        <w:rPr>
          <w:rFonts w:ascii="Times New Roman" w:hAnsi="Times New Roman" w:cs="Times New Roman"/>
          <w:color w:val="131413"/>
          <w:sz w:val="24"/>
          <w:szCs w:val="24"/>
          <w:lang w:val="en-CA"/>
        </w:rPr>
        <w:instrText xml:space="preserve"> ADDIN ZOTERO_ITEM CSL_CITATION {"citationID":"rbv0avcY","properties":{"formattedCitation":"(16)","plainCitation":"(16)","noteIndex":0},"citationItems":[{"id":292,"uris":["http://zotero.org/users/local/RDYzIoy0/items/T3RXVUCF"],"itemData":{"id":292,"type":"article-journal","abstract":"Background: Despite control efforts, including mass drug administration (MDA), neglected tropical diseases (NTDs) continue to pose a significant public health threat, particularly in rural Ethiopia. Integrating social and behavior change communication (SBCC) into MDA is essential for success. This study aimed to evaluate the effectiveness of tailored SBCC integrated into MDA campaigns to enhance community knowledge, perception, and preventive behaviors regarding targeted NTDs in the Jimma, Ethiopia.\nMethods: A community-based study was conducted using a pre-test post-test design. A multistage sampling technique was employed for surveys, while for qualitative insights, purposive sampling was employed. SBCC interventions tailored to local needs were implemented. Changes in knowledge, perception, and practices were evaluated using Cohen’s d. Additionally, a score for key outcome variables comparisons were made to examine variations based on socio-demographic factors, employing suitable statistical tests. Qualitative data were analyzed thematically using Atlas.ti 7.1.5.\nResults: The prevalence of SBCC exposure was 88.8%. The intervention had a more significant impact on improving knowledge and preventive practices related to Onchocerciasis (OC) compared to Soil-transmitted helminthes (STH). Specifically, most OC outcomes showed moderate to large effect sizes. In contrast, the effect on STH was more limited, with only knowledge of consequences improving moderately and preventive practices showing a small effect size. The mean score for OC preventive practices varied by educational level and sex, while the median score for STH perception varied among educational level and marital status. Additionally, score variation was observed across districts for all key outcome variables.\nConclusion: The majority of the population was exposed to SBCC resulting in improvements in knowledge, perception, and preventive behaviors regarding OC and knowledge of consequences of STH and its prevention behavior. This highlights the importance of incorporating well-designed SBCC activities in to MDA campaigns to optimize the control and eventual elimination of targeted NTDs.","container-title":"Risk Management and Healthcare Policy","DOI":"10.2147/RMHP.S468390","ISSN":"1179-1594","journalAbbreviation":"RMHP","language":"en","license":"https://creativecommons.org/licenses/by/4.0/","page":"2331-2357","source":"DOI.org (Crossref)","title":"Effectiveness of Integrated Social and Behavior Change Communication Interventions in Mass Drug Administration Campaigns in Enhancing Knowledge, Perceptions, and Preventive Practices for Neglected Tropical Diseases in Jimma","volume":"Volume 17","author":[{"family":"Abdissa","given":"Daba"},{"family":"Kebede","given":"Yohannes"},{"family":"Morankar","given":"Sudhakar"},{"family":"Abraham","given":"Gelila"},{"family":"Bulcha","given":"Gebeyehu"},{"family":"Shiferaw","given":"Teshome"},{"family":"Berhanu","given":"Nimona"},{"family":"Teshome","given":"Firanbon"},{"family":"Miecha","given":"Hirpa"},{"family":"Birhanu","given":"Zewdie"}],"issued":{"date-parts":[["2024",10]]}}}],"schema":"https://github.com/citation-style-language/schema/raw/master/csl-citation.json"} </w:instrText>
      </w:r>
      <w:r w:rsidR="00764B25">
        <w:rPr>
          <w:rFonts w:ascii="Times New Roman" w:hAnsi="Times New Roman" w:cs="Times New Roman"/>
          <w:color w:val="131413"/>
          <w:sz w:val="24"/>
          <w:szCs w:val="24"/>
          <w:lang w:val="en-CA"/>
        </w:rPr>
        <w:fldChar w:fldCharType="separate"/>
      </w:r>
      <w:r w:rsidR="006931AF" w:rsidRPr="006931AF">
        <w:rPr>
          <w:rFonts w:ascii="Times New Roman" w:hAnsi="Times New Roman" w:cs="Times New Roman"/>
          <w:sz w:val="24"/>
        </w:rPr>
        <w:t>(16)</w:t>
      </w:r>
      <w:r w:rsidR="00764B25">
        <w:rPr>
          <w:rFonts w:ascii="Times New Roman" w:hAnsi="Times New Roman" w:cs="Times New Roman"/>
          <w:color w:val="131413"/>
          <w:sz w:val="24"/>
          <w:szCs w:val="24"/>
          <w:lang w:val="en-CA"/>
        </w:rPr>
        <w:fldChar w:fldCharType="end"/>
      </w:r>
      <w:r w:rsidR="00764B25" w:rsidRPr="00764B25">
        <w:rPr>
          <w:rFonts w:ascii="Times New Roman" w:hAnsi="Times New Roman" w:cs="Times New Roman"/>
          <w:color w:val="131413"/>
          <w:sz w:val="24"/>
          <w:szCs w:val="24"/>
          <w:lang w:val="en-CA"/>
        </w:rPr>
        <w:t xml:space="preserve">. </w:t>
      </w:r>
      <w:r w:rsidR="00764B25">
        <w:rPr>
          <w:rFonts w:ascii="Times New Roman" w:hAnsi="Times New Roman" w:cs="Times New Roman"/>
          <w:color w:val="131413"/>
          <w:sz w:val="24"/>
          <w:szCs w:val="24"/>
          <w:lang w:val="en-CA"/>
        </w:rPr>
        <w:t xml:space="preserve"> </w:t>
      </w:r>
    </w:p>
    <w:p w14:paraId="57349C24" w14:textId="1E5A3D72" w:rsidR="00C63485" w:rsidRPr="00C63485" w:rsidRDefault="00C63485" w:rsidP="00C63485">
      <w:pPr>
        <w:spacing w:before="100" w:beforeAutospacing="1" w:after="100" w:afterAutospacing="1" w:line="360" w:lineRule="auto"/>
        <w:jc w:val="both"/>
        <w:rPr>
          <w:rFonts w:ascii="Times New Roman" w:hAnsi="Times New Roman" w:cs="Times New Roman"/>
          <w:color w:val="131413"/>
          <w:sz w:val="24"/>
          <w:szCs w:val="24"/>
          <w:lang w:val="en-CA"/>
        </w:rPr>
      </w:pPr>
      <w:r w:rsidRPr="00C63485">
        <w:rPr>
          <w:rFonts w:ascii="Times New Roman" w:hAnsi="Times New Roman" w:cs="Times New Roman"/>
          <w:color w:val="131413"/>
          <w:sz w:val="24"/>
          <w:szCs w:val="24"/>
          <w:lang w:val="en-CA"/>
        </w:rPr>
        <w:t>Digital channels such as SMS (85.7%) and internet (100%) reported the highest coverage rates; however, these results are based on small samples (n = 12 and n = 9, respectively), limiting their reliability. Television reached 77.6%, performing slightly below the most effective community-based methods. This aligns with findings from other African onchocerciasis programs, where interpersonal and event-based strategies consistently outperform mass media [17].</w:t>
      </w:r>
      <w:r w:rsidR="00764B25">
        <w:rPr>
          <w:rFonts w:ascii="Times New Roman" w:hAnsi="Times New Roman" w:cs="Times New Roman"/>
          <w:color w:val="131413"/>
          <w:sz w:val="24"/>
          <w:szCs w:val="24"/>
          <w:lang w:val="en-CA"/>
        </w:rPr>
        <w:t xml:space="preserve"> </w:t>
      </w:r>
      <w:r w:rsidRPr="00C63485">
        <w:rPr>
          <w:rFonts w:ascii="Times New Roman" w:hAnsi="Times New Roman" w:cs="Times New Roman"/>
          <w:color w:val="131413"/>
          <w:sz w:val="24"/>
          <w:szCs w:val="24"/>
          <w:lang w:val="en-CA"/>
        </w:rPr>
        <w:t xml:space="preserve">The evidence supports integrating multiple, complementary channels—particularly CHWs, local leaders, and census activities—to </w:t>
      </w:r>
      <w:r w:rsidR="0063592E" w:rsidRPr="00490927">
        <w:rPr>
          <w:rFonts w:ascii="Times New Roman" w:hAnsi="Times New Roman" w:cs="Times New Roman"/>
          <w:color w:val="131413"/>
          <w:sz w:val="24"/>
          <w:szCs w:val="24"/>
          <w:highlight w:val="yellow"/>
          <w:lang w:val="en-CA"/>
        </w:rPr>
        <w:t>maximise</w:t>
      </w:r>
      <w:r w:rsidR="0063592E" w:rsidRPr="00C63485">
        <w:rPr>
          <w:rFonts w:ascii="Times New Roman" w:hAnsi="Times New Roman" w:cs="Times New Roman"/>
          <w:color w:val="131413"/>
          <w:sz w:val="24"/>
          <w:szCs w:val="24"/>
          <w:lang w:val="en-CA"/>
        </w:rPr>
        <w:t xml:space="preserve"> </w:t>
      </w:r>
      <w:r w:rsidRPr="00C63485">
        <w:rPr>
          <w:rFonts w:ascii="Times New Roman" w:hAnsi="Times New Roman" w:cs="Times New Roman"/>
          <w:color w:val="131413"/>
          <w:sz w:val="24"/>
          <w:szCs w:val="24"/>
          <w:lang w:val="en-CA"/>
        </w:rPr>
        <w:t>reach and ensure equitable awareness [21, 22].</w:t>
      </w:r>
    </w:p>
    <w:p w14:paraId="1856F376" w14:textId="77777777" w:rsidR="00C63485" w:rsidRPr="00764B25" w:rsidRDefault="00C63485" w:rsidP="00C63485">
      <w:pPr>
        <w:spacing w:before="100" w:beforeAutospacing="1" w:after="100" w:afterAutospacing="1" w:line="360" w:lineRule="auto"/>
        <w:jc w:val="both"/>
        <w:rPr>
          <w:rFonts w:ascii="Times New Roman" w:hAnsi="Times New Roman" w:cs="Times New Roman"/>
          <w:b/>
          <w:color w:val="131413"/>
          <w:sz w:val="24"/>
          <w:szCs w:val="24"/>
          <w:lang w:val="en-CA"/>
        </w:rPr>
      </w:pPr>
      <w:r w:rsidRPr="00764B25">
        <w:rPr>
          <w:rFonts w:ascii="Times New Roman" w:hAnsi="Times New Roman" w:cs="Times New Roman"/>
          <w:b/>
          <w:color w:val="131413"/>
          <w:sz w:val="24"/>
          <w:szCs w:val="24"/>
          <w:lang w:val="en-CA"/>
        </w:rPr>
        <w:t>Conclusion</w:t>
      </w:r>
    </w:p>
    <w:p w14:paraId="407A203C" w14:textId="29C7BD5E" w:rsidR="00205CE8" w:rsidRDefault="00C63485" w:rsidP="00C63485">
      <w:pPr>
        <w:spacing w:before="100" w:beforeAutospacing="1" w:after="100" w:afterAutospacing="1" w:line="360" w:lineRule="auto"/>
        <w:jc w:val="both"/>
        <w:rPr>
          <w:rFonts w:ascii="Times New Roman" w:hAnsi="Times New Roman" w:cs="Times New Roman"/>
          <w:color w:val="131413"/>
          <w:sz w:val="24"/>
          <w:szCs w:val="24"/>
          <w:lang w:val="en-CA"/>
        </w:rPr>
      </w:pPr>
      <w:r w:rsidRPr="00C63485">
        <w:rPr>
          <w:rFonts w:ascii="Times New Roman" w:hAnsi="Times New Roman" w:cs="Times New Roman"/>
          <w:color w:val="131413"/>
          <w:sz w:val="24"/>
          <w:szCs w:val="24"/>
          <w:lang w:val="en-CA"/>
        </w:rPr>
        <w:t xml:space="preserve">This independent survey revealed actual therapeutic coverage of just above three-fifths of the target population—well below both the district’s reported 90% and the WHO-recommended threshold. Census participation, campaign awareness, and gender were key determinants of adherence, while census activities, social gatherings, and CHWs proved to be the most effective communication channels. The discrepancy between administrative and survey coverage underscores the need for independent verification and strengthened monitoring to support onchocerciasis elimination efforts in the </w:t>
      </w:r>
      <w:proofErr w:type="spellStart"/>
      <w:r w:rsidRPr="00C63485">
        <w:rPr>
          <w:rFonts w:ascii="Times New Roman" w:hAnsi="Times New Roman" w:cs="Times New Roman"/>
          <w:color w:val="131413"/>
          <w:sz w:val="24"/>
          <w:szCs w:val="24"/>
          <w:lang w:val="en-CA"/>
        </w:rPr>
        <w:t>Batcham</w:t>
      </w:r>
      <w:proofErr w:type="spellEnd"/>
      <w:r w:rsidRPr="00C63485">
        <w:rPr>
          <w:rFonts w:ascii="Times New Roman" w:hAnsi="Times New Roman" w:cs="Times New Roman"/>
          <w:color w:val="131413"/>
          <w:sz w:val="24"/>
          <w:szCs w:val="24"/>
          <w:lang w:val="en-CA"/>
        </w:rPr>
        <w:t xml:space="preserve"> Health District.</w:t>
      </w:r>
    </w:p>
    <w:p w14:paraId="6EB8898D" w14:textId="3881CE39" w:rsidR="00914619" w:rsidRDefault="00914619" w:rsidP="00C63485">
      <w:pPr>
        <w:spacing w:before="100" w:beforeAutospacing="1" w:after="100" w:afterAutospacing="1" w:line="360" w:lineRule="auto"/>
        <w:jc w:val="both"/>
        <w:rPr>
          <w:rFonts w:ascii="Times New Roman" w:eastAsia="Times New Roman" w:hAnsi="Times New Roman" w:cs="Times New Roman"/>
          <w:sz w:val="24"/>
          <w:szCs w:val="24"/>
          <w:lang w:val="en-GB" w:eastAsia="fr-FR"/>
        </w:rPr>
      </w:pPr>
    </w:p>
    <w:p w14:paraId="66D13F0A" w14:textId="046C56C7" w:rsidR="00914619" w:rsidRDefault="00914619" w:rsidP="00C63485">
      <w:pPr>
        <w:spacing w:before="100" w:beforeAutospacing="1" w:after="100" w:afterAutospacing="1" w:line="360" w:lineRule="auto"/>
        <w:jc w:val="both"/>
        <w:rPr>
          <w:rFonts w:ascii="Times New Roman" w:eastAsia="Times New Roman" w:hAnsi="Times New Roman" w:cs="Times New Roman"/>
          <w:sz w:val="24"/>
          <w:szCs w:val="24"/>
          <w:lang w:val="en-GB" w:eastAsia="fr-FR"/>
        </w:rPr>
      </w:pPr>
    </w:p>
    <w:p w14:paraId="65478C80" w14:textId="77777777" w:rsidR="00914619" w:rsidRDefault="00914619" w:rsidP="00914619">
      <w:pPr>
        <w:rPr>
          <w:rFonts w:ascii="Calibri" w:eastAsia="Calibri" w:hAnsi="Calibri" w:cs="Times New Roman"/>
          <w:kern w:val="2"/>
          <w:highlight w:val="yellow"/>
          <w:lang w:val="en-US"/>
        </w:rPr>
      </w:pPr>
      <w:bookmarkStart w:id="4" w:name="_Hlk204003461"/>
      <w:bookmarkStart w:id="5" w:name="_Hlk209007716"/>
      <w:r>
        <w:rPr>
          <w:rFonts w:ascii="Calibri" w:eastAsia="Calibri" w:hAnsi="Calibri" w:cs="Times New Roman"/>
          <w:kern w:val="2"/>
          <w:highlight w:val="yellow"/>
          <w:lang w:val="en-US"/>
        </w:rPr>
        <w:lastRenderedPageBreak/>
        <w:t>Disclaimer (Artificial intelligence)</w:t>
      </w:r>
    </w:p>
    <w:p w14:paraId="04E5E923" w14:textId="77777777" w:rsidR="00914619" w:rsidRDefault="00914619" w:rsidP="00914619">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1: </w:t>
      </w:r>
    </w:p>
    <w:p w14:paraId="032DA701" w14:textId="77777777" w:rsidR="00914619" w:rsidRDefault="00914619" w:rsidP="00914619">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096C8930" w14:textId="77777777" w:rsidR="00914619" w:rsidRDefault="00914619" w:rsidP="00914619">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23D7B648" w14:textId="77777777" w:rsidR="00914619" w:rsidRDefault="00914619" w:rsidP="00914619">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578A956" w14:textId="77777777" w:rsidR="00914619" w:rsidRDefault="00914619" w:rsidP="00914619">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210513E2" w14:textId="77777777" w:rsidR="00914619" w:rsidRDefault="00914619" w:rsidP="00914619">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5AD899CF" w14:textId="77777777" w:rsidR="00914619" w:rsidRDefault="00914619" w:rsidP="00914619">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42916E15" w14:textId="77777777" w:rsidR="00914619" w:rsidRDefault="00914619" w:rsidP="00914619">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4"/>
    </w:p>
    <w:bookmarkEnd w:id="5"/>
    <w:p w14:paraId="4B49B23C" w14:textId="77777777" w:rsidR="00914619" w:rsidRDefault="00914619" w:rsidP="00C63485">
      <w:pPr>
        <w:spacing w:before="100" w:beforeAutospacing="1" w:after="100" w:afterAutospacing="1" w:line="360" w:lineRule="auto"/>
        <w:jc w:val="both"/>
        <w:rPr>
          <w:rFonts w:ascii="Times New Roman" w:eastAsia="Times New Roman" w:hAnsi="Times New Roman" w:cs="Times New Roman"/>
          <w:sz w:val="24"/>
          <w:szCs w:val="24"/>
          <w:lang w:val="en-GB" w:eastAsia="fr-FR"/>
        </w:rPr>
      </w:pPr>
    </w:p>
    <w:p w14:paraId="28337684" w14:textId="77777777" w:rsidR="009723CC" w:rsidRPr="009723CC" w:rsidRDefault="009723CC" w:rsidP="00DF7ADA">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9723CC">
        <w:rPr>
          <w:rFonts w:ascii="Times New Roman" w:eastAsia="Times New Roman" w:hAnsi="Times New Roman" w:cs="Times New Roman"/>
          <w:sz w:val="44"/>
          <w:szCs w:val="24"/>
          <w:lang w:val="en-GB" w:eastAsia="fr-FR"/>
        </w:rPr>
        <w:t>References:</w:t>
      </w:r>
    </w:p>
    <w:p w14:paraId="491860A9" w14:textId="77777777" w:rsidR="006931AF" w:rsidRPr="006931AF" w:rsidRDefault="00D03CB2" w:rsidP="006931AF">
      <w:pPr>
        <w:pStyle w:val="Bibliography"/>
        <w:rPr>
          <w:rFonts w:ascii="Times New Roman" w:hAnsi="Times New Roman" w:cs="Times New Roman"/>
          <w:sz w:val="24"/>
        </w:rPr>
      </w:pPr>
      <w:r>
        <w:rPr>
          <w:rFonts w:eastAsia="Times New Roman"/>
          <w:lang w:val="en-GB" w:eastAsia="fr-FR"/>
        </w:rPr>
        <w:fldChar w:fldCharType="begin"/>
      </w:r>
      <w:r w:rsidR="006931AF">
        <w:rPr>
          <w:rFonts w:eastAsia="Times New Roman"/>
          <w:lang w:val="en-GB" w:eastAsia="fr-FR"/>
        </w:rPr>
        <w:instrText xml:space="preserve"> ADDIN ZOTERO_BIBL {"uncited":[],"omitted":[],"custom":[]} CSL_BIBLIOGRAPHY </w:instrText>
      </w:r>
      <w:r>
        <w:rPr>
          <w:rFonts w:eastAsia="Times New Roman"/>
          <w:lang w:val="en-GB" w:eastAsia="fr-FR"/>
        </w:rPr>
        <w:fldChar w:fldCharType="separate"/>
      </w:r>
      <w:r w:rsidR="006931AF" w:rsidRPr="006931AF">
        <w:rPr>
          <w:rFonts w:ascii="Times New Roman" w:hAnsi="Times New Roman" w:cs="Times New Roman"/>
          <w:sz w:val="24"/>
        </w:rPr>
        <w:t>1.</w:t>
      </w:r>
      <w:r w:rsidR="006931AF" w:rsidRPr="006931AF">
        <w:rPr>
          <w:rFonts w:ascii="Times New Roman" w:hAnsi="Times New Roman" w:cs="Times New Roman"/>
          <w:sz w:val="24"/>
        </w:rPr>
        <w:tab/>
        <w:t>Elimination of human onchocerciasis: progress report, 2023–2024 [Internet]. [cité 12 août 2025]. Disponible sur: https://www.who.int/publications/i/item/who-wer-9941-577-590</w:t>
      </w:r>
    </w:p>
    <w:p w14:paraId="4741122E" w14:textId="77777777" w:rsidR="006931AF" w:rsidRPr="006931AF" w:rsidRDefault="006931AF" w:rsidP="006931AF">
      <w:pPr>
        <w:pStyle w:val="Bibliography"/>
        <w:rPr>
          <w:rFonts w:ascii="Times New Roman" w:hAnsi="Times New Roman" w:cs="Times New Roman"/>
          <w:sz w:val="24"/>
        </w:rPr>
      </w:pPr>
      <w:r w:rsidRPr="006931AF">
        <w:rPr>
          <w:rFonts w:ascii="Times New Roman" w:hAnsi="Times New Roman" w:cs="Times New Roman"/>
          <w:sz w:val="24"/>
        </w:rPr>
        <w:t>2.</w:t>
      </w:r>
      <w:r w:rsidRPr="006931AF">
        <w:rPr>
          <w:rFonts w:ascii="Times New Roman" w:hAnsi="Times New Roman" w:cs="Times New Roman"/>
          <w:sz w:val="24"/>
        </w:rPr>
        <w:tab/>
        <w:t xml:space="preserve">Santé WHO= O mondiale de la. Elimination of human onchocerciasis: progress report, 2018–2019 – Élimination de l’onchocercose humaine: rapport de situation, 2018-2019. Wkly Epidemiol Rec Relevé Épidémiologique Hebd. 8 nov 2019;94(45):513‑23. </w:t>
      </w:r>
    </w:p>
    <w:p w14:paraId="26633FEF" w14:textId="77777777" w:rsidR="006931AF" w:rsidRPr="006931AF" w:rsidRDefault="006931AF" w:rsidP="006931AF">
      <w:pPr>
        <w:pStyle w:val="Bibliography"/>
        <w:rPr>
          <w:rFonts w:ascii="Times New Roman" w:hAnsi="Times New Roman" w:cs="Times New Roman"/>
          <w:sz w:val="24"/>
        </w:rPr>
      </w:pPr>
      <w:r w:rsidRPr="006931AF">
        <w:rPr>
          <w:rFonts w:ascii="Times New Roman" w:hAnsi="Times New Roman" w:cs="Times New Roman"/>
          <w:sz w:val="24"/>
        </w:rPr>
        <w:t>3.</w:t>
      </w:r>
      <w:r w:rsidRPr="006931AF">
        <w:rPr>
          <w:rFonts w:ascii="Times New Roman" w:hAnsi="Times New Roman" w:cs="Times New Roman"/>
          <w:sz w:val="24"/>
        </w:rPr>
        <w:tab/>
        <w:t xml:space="preserve">Bienvenu Nwane P, Nana-Djeunga HC, Toche NN, Domché A, Bertrand FN, Niamsi YE, et al. Status of human onchocerciasis transmission in the Adamaoua region of Cameroon after 20 years of ivermectin mass distribution. PLoS Negl Trop Dis. mars 2025;19(3):e0011511. </w:t>
      </w:r>
    </w:p>
    <w:p w14:paraId="489889C4" w14:textId="77777777" w:rsidR="006931AF" w:rsidRPr="006931AF" w:rsidRDefault="006931AF" w:rsidP="006931AF">
      <w:pPr>
        <w:pStyle w:val="Bibliography"/>
        <w:rPr>
          <w:rFonts w:ascii="Times New Roman" w:hAnsi="Times New Roman" w:cs="Times New Roman"/>
          <w:sz w:val="24"/>
        </w:rPr>
      </w:pPr>
      <w:r w:rsidRPr="006931AF">
        <w:rPr>
          <w:rFonts w:ascii="Times New Roman" w:hAnsi="Times New Roman" w:cs="Times New Roman"/>
          <w:sz w:val="24"/>
        </w:rPr>
        <w:t>4.</w:t>
      </w:r>
      <w:r w:rsidRPr="006931AF">
        <w:rPr>
          <w:rFonts w:ascii="Times New Roman" w:hAnsi="Times New Roman" w:cs="Times New Roman"/>
          <w:sz w:val="24"/>
        </w:rPr>
        <w:tab/>
        <w:t xml:space="preserve">Colebunders R, Kaiser C, Basáñez MG, Olliaro P, Lakwo T, Siewe Fodjo JN. Reducing onchocerciasis-associated morbidity in onchocerciasis-endemic foci with high ongoing transmission: a focus on the children. Int J Infect Dis. mars 2022;116:302‑5. </w:t>
      </w:r>
    </w:p>
    <w:p w14:paraId="1EEA0B28" w14:textId="77777777" w:rsidR="006931AF" w:rsidRPr="006931AF" w:rsidRDefault="006931AF" w:rsidP="006931AF">
      <w:pPr>
        <w:pStyle w:val="Bibliography"/>
        <w:rPr>
          <w:rFonts w:ascii="Times New Roman" w:hAnsi="Times New Roman" w:cs="Times New Roman"/>
          <w:sz w:val="24"/>
        </w:rPr>
      </w:pPr>
      <w:r w:rsidRPr="006931AF">
        <w:rPr>
          <w:rFonts w:ascii="Times New Roman" w:hAnsi="Times New Roman" w:cs="Times New Roman"/>
          <w:sz w:val="24"/>
        </w:rPr>
        <w:t>5.</w:t>
      </w:r>
      <w:r w:rsidRPr="006931AF">
        <w:rPr>
          <w:rFonts w:ascii="Times New Roman" w:hAnsi="Times New Roman" w:cs="Times New Roman"/>
          <w:sz w:val="24"/>
        </w:rPr>
        <w:tab/>
        <w:t xml:space="preserve">Siewe Fodjo JN, Ngarka L, Njamnshi WY, Enyong PA, Zoung-Kanyi Bissek AC, Njamnshi AK. Onchocerciasis in the Ntui Health District of Cameroon: epidemiological, entomological and parasitological findings in relation to elimination prospects. Parasit Vectors. 28 nov 2022;15(1):444. </w:t>
      </w:r>
    </w:p>
    <w:p w14:paraId="13BAC70A" w14:textId="77777777" w:rsidR="006931AF" w:rsidRPr="006931AF" w:rsidRDefault="006931AF" w:rsidP="006931AF">
      <w:pPr>
        <w:pStyle w:val="Bibliography"/>
        <w:rPr>
          <w:rFonts w:ascii="Times New Roman" w:hAnsi="Times New Roman" w:cs="Times New Roman"/>
          <w:sz w:val="24"/>
        </w:rPr>
      </w:pPr>
      <w:r w:rsidRPr="006931AF">
        <w:rPr>
          <w:rFonts w:ascii="Times New Roman" w:hAnsi="Times New Roman" w:cs="Times New Roman"/>
          <w:sz w:val="24"/>
        </w:rPr>
        <w:t>6.</w:t>
      </w:r>
      <w:r w:rsidRPr="006931AF">
        <w:rPr>
          <w:rFonts w:ascii="Times New Roman" w:hAnsi="Times New Roman" w:cs="Times New Roman"/>
          <w:sz w:val="24"/>
        </w:rPr>
        <w:tab/>
        <w:t>Élimination de l’onchocercose humaine : rapport d’étape, 2023-2024 [Internet]. [cité 12 août 2025]. Disponible sur: https://www.who.int/publications/i/item/who-wer-9941-577-590</w:t>
      </w:r>
    </w:p>
    <w:p w14:paraId="7F728560" w14:textId="77777777" w:rsidR="006931AF" w:rsidRPr="006931AF" w:rsidRDefault="006931AF" w:rsidP="006931AF">
      <w:pPr>
        <w:pStyle w:val="Bibliography"/>
        <w:rPr>
          <w:rFonts w:ascii="Times New Roman" w:hAnsi="Times New Roman" w:cs="Times New Roman"/>
          <w:sz w:val="24"/>
        </w:rPr>
      </w:pPr>
      <w:r w:rsidRPr="006931AF">
        <w:rPr>
          <w:rFonts w:ascii="Times New Roman" w:hAnsi="Times New Roman" w:cs="Times New Roman"/>
          <w:sz w:val="24"/>
        </w:rPr>
        <w:lastRenderedPageBreak/>
        <w:t>7.</w:t>
      </w:r>
      <w:r w:rsidRPr="006931AF">
        <w:rPr>
          <w:rFonts w:ascii="Times New Roman" w:hAnsi="Times New Roman" w:cs="Times New Roman"/>
          <w:sz w:val="24"/>
        </w:rPr>
        <w:tab/>
        <w:t xml:space="preserve">Katabarwa MN, Griswold E, Habomugisha P, Eyamba A, Byamukama E, Nwane P, et al. Comparison of Reported and Survey-Based Coverage in Onchocerciasis Programs over a Period of 8 Years in Cameroon and Uganda. Am J Trop Med Hyg. mai 2019;100(5):1208‑15. </w:t>
      </w:r>
    </w:p>
    <w:p w14:paraId="67739D4C" w14:textId="77777777" w:rsidR="006931AF" w:rsidRPr="006931AF" w:rsidRDefault="006931AF" w:rsidP="006931AF">
      <w:pPr>
        <w:pStyle w:val="Bibliography"/>
        <w:rPr>
          <w:rFonts w:ascii="Times New Roman" w:hAnsi="Times New Roman" w:cs="Times New Roman"/>
          <w:sz w:val="24"/>
        </w:rPr>
      </w:pPr>
      <w:r w:rsidRPr="006931AF">
        <w:rPr>
          <w:rFonts w:ascii="Times New Roman" w:hAnsi="Times New Roman" w:cs="Times New Roman"/>
          <w:sz w:val="24"/>
        </w:rPr>
        <w:t>8.</w:t>
      </w:r>
      <w:r w:rsidRPr="006931AF">
        <w:rPr>
          <w:rFonts w:ascii="Times New Roman" w:hAnsi="Times New Roman" w:cs="Times New Roman"/>
          <w:sz w:val="24"/>
        </w:rPr>
        <w:tab/>
        <w:t>evaluation-onchocerciasis-control.pdf [Internet]. [cité 12 août 2025]. Disponible sur: https://www.who.int/docs/default-source/documents/evaluation/evaluation-onchocerciasis-control.pdf</w:t>
      </w:r>
    </w:p>
    <w:p w14:paraId="59665C54" w14:textId="77777777" w:rsidR="006931AF" w:rsidRPr="006931AF" w:rsidRDefault="006931AF" w:rsidP="006931AF">
      <w:pPr>
        <w:pStyle w:val="Bibliography"/>
        <w:rPr>
          <w:rFonts w:ascii="Times New Roman" w:hAnsi="Times New Roman" w:cs="Times New Roman"/>
          <w:sz w:val="24"/>
        </w:rPr>
      </w:pPr>
      <w:r w:rsidRPr="006931AF">
        <w:rPr>
          <w:rFonts w:ascii="Times New Roman" w:hAnsi="Times New Roman" w:cs="Times New Roman"/>
          <w:sz w:val="24"/>
        </w:rPr>
        <w:t>9.</w:t>
      </w:r>
      <w:r w:rsidRPr="006931AF">
        <w:rPr>
          <w:rFonts w:ascii="Times New Roman" w:hAnsi="Times New Roman" w:cs="Times New Roman"/>
          <w:sz w:val="24"/>
        </w:rPr>
        <w:tab/>
        <w:t xml:space="preserve">Dissak-Delon FN, Kamga GR, Humblet PC, Robert A, Souopgui J, Kamgno J, et al. Do Communities Really “Direct” in Community-Directed Interventions? A Qualitative Assessment of Beneficiaries’ Perceptions at 20 Years of Community Directed Treatment with Ivermectin in Cameroon. Trop Med Infect Dis. 15 juill 2019;4(3):105. </w:t>
      </w:r>
    </w:p>
    <w:p w14:paraId="46F0D5B0" w14:textId="77777777" w:rsidR="006931AF" w:rsidRPr="006931AF" w:rsidRDefault="006931AF" w:rsidP="006931AF">
      <w:pPr>
        <w:pStyle w:val="Bibliography"/>
        <w:rPr>
          <w:rFonts w:ascii="Times New Roman" w:hAnsi="Times New Roman" w:cs="Times New Roman"/>
          <w:sz w:val="24"/>
        </w:rPr>
      </w:pPr>
      <w:r w:rsidRPr="006931AF">
        <w:rPr>
          <w:rFonts w:ascii="Times New Roman" w:hAnsi="Times New Roman" w:cs="Times New Roman"/>
          <w:sz w:val="24"/>
        </w:rPr>
        <w:t>10.</w:t>
      </w:r>
      <w:r w:rsidRPr="006931AF">
        <w:rPr>
          <w:rFonts w:ascii="Times New Roman" w:hAnsi="Times New Roman" w:cs="Times New Roman"/>
          <w:sz w:val="24"/>
        </w:rPr>
        <w:tab/>
        <w:t xml:space="preserve">Tekle AH, Zouré HGM, Noma M, Boussinesq M, Coffeng LE, Stolk WA, et al. Progress towards onchocerciasis elimination in the participating countries of the African Programme for Onchocerciasis Control: epidemiological evaluation results. Infect Dis Poverty. 27 juin 2016;5(1):66. </w:t>
      </w:r>
    </w:p>
    <w:p w14:paraId="20428C3E" w14:textId="77777777" w:rsidR="006931AF" w:rsidRPr="006931AF" w:rsidRDefault="006931AF" w:rsidP="006931AF">
      <w:pPr>
        <w:pStyle w:val="Bibliography"/>
        <w:rPr>
          <w:rFonts w:ascii="Times New Roman" w:hAnsi="Times New Roman" w:cs="Times New Roman"/>
          <w:sz w:val="24"/>
        </w:rPr>
      </w:pPr>
      <w:r w:rsidRPr="006931AF">
        <w:rPr>
          <w:rFonts w:ascii="Times New Roman" w:hAnsi="Times New Roman" w:cs="Times New Roman"/>
          <w:sz w:val="24"/>
        </w:rPr>
        <w:t>11.</w:t>
      </w:r>
      <w:r w:rsidRPr="006931AF">
        <w:rPr>
          <w:rFonts w:ascii="Times New Roman" w:hAnsi="Times New Roman" w:cs="Times New Roman"/>
          <w:sz w:val="24"/>
        </w:rPr>
        <w:tab/>
        <w:t xml:space="preserve">Nana-Djeunga HC, Domche A, Niamsi-Emalio Y, Moungui HC, Walker M, Basáñez MG, et al. Situation analysis of onchocerciasis in Cameroon: a protocol for systematic review of epidemiological studies and impact of disease control interventions. Syst Rev. 11 févr 2020;9:27. </w:t>
      </w:r>
    </w:p>
    <w:p w14:paraId="340AEF0E" w14:textId="77777777" w:rsidR="006931AF" w:rsidRPr="006931AF" w:rsidRDefault="006931AF" w:rsidP="006931AF">
      <w:pPr>
        <w:pStyle w:val="Bibliography"/>
        <w:rPr>
          <w:rFonts w:ascii="Times New Roman" w:hAnsi="Times New Roman" w:cs="Times New Roman"/>
          <w:sz w:val="24"/>
        </w:rPr>
      </w:pPr>
      <w:r w:rsidRPr="006931AF">
        <w:rPr>
          <w:rFonts w:ascii="Times New Roman" w:hAnsi="Times New Roman" w:cs="Times New Roman"/>
          <w:sz w:val="24"/>
        </w:rPr>
        <w:t>12.</w:t>
      </w:r>
      <w:r w:rsidRPr="006931AF">
        <w:rPr>
          <w:rFonts w:ascii="Times New Roman" w:hAnsi="Times New Roman" w:cs="Times New Roman"/>
          <w:sz w:val="24"/>
        </w:rPr>
        <w:tab/>
        <w:t xml:space="preserve">Tekle AH, Elhassan E, Isiyaku S, Amazigo UV, Bush S, Noma M, et al. Impact of long-term treatment of onchocerciasis with ivermectin in Kaduna State, Nigeria: first evidence of the potential for elimination in the operational area of the African Programme for Onchocerciasis Control. Parasit Vectors. 7 févr 2012;5:28. </w:t>
      </w:r>
    </w:p>
    <w:p w14:paraId="2281BF55" w14:textId="77777777" w:rsidR="006931AF" w:rsidRPr="006931AF" w:rsidRDefault="006931AF" w:rsidP="006931AF">
      <w:pPr>
        <w:pStyle w:val="Bibliography"/>
        <w:rPr>
          <w:rFonts w:ascii="Times New Roman" w:hAnsi="Times New Roman" w:cs="Times New Roman"/>
          <w:sz w:val="24"/>
        </w:rPr>
      </w:pPr>
      <w:r w:rsidRPr="006931AF">
        <w:rPr>
          <w:rFonts w:ascii="Times New Roman" w:hAnsi="Times New Roman" w:cs="Times New Roman"/>
          <w:sz w:val="24"/>
        </w:rPr>
        <w:t>13.</w:t>
      </w:r>
      <w:r w:rsidRPr="006931AF">
        <w:rPr>
          <w:rFonts w:ascii="Times New Roman" w:hAnsi="Times New Roman" w:cs="Times New Roman"/>
          <w:sz w:val="24"/>
        </w:rPr>
        <w:tab/>
        <w:t xml:space="preserve">Indicators and Methods for Cross-Sectional Surveys of Vitamin and Mineral Status of Populations. </w:t>
      </w:r>
    </w:p>
    <w:p w14:paraId="6695F226" w14:textId="77777777" w:rsidR="006931AF" w:rsidRPr="006931AF" w:rsidRDefault="006931AF" w:rsidP="006931AF">
      <w:pPr>
        <w:pStyle w:val="Bibliography"/>
        <w:rPr>
          <w:rFonts w:ascii="Times New Roman" w:hAnsi="Times New Roman" w:cs="Times New Roman"/>
          <w:sz w:val="24"/>
        </w:rPr>
      </w:pPr>
      <w:r w:rsidRPr="006931AF">
        <w:rPr>
          <w:rFonts w:ascii="Times New Roman" w:hAnsi="Times New Roman" w:cs="Times New Roman"/>
          <w:sz w:val="24"/>
        </w:rPr>
        <w:t>14.</w:t>
      </w:r>
      <w:r w:rsidRPr="006931AF">
        <w:rPr>
          <w:rFonts w:ascii="Times New Roman" w:hAnsi="Times New Roman" w:cs="Times New Roman"/>
          <w:sz w:val="24"/>
        </w:rPr>
        <w:tab/>
        <w:t>Microsoft Word - Part2_Section 2 Preparing the Sample.docx [Internet]. [cité 13 août 2025]. Disponible sur: https://cdn.who.int/media/docs/default-source/ncds/ncd-surveillance/steps/part2-section2.pdf?sfvrsn=9c33a896_2&amp;utm_source=chatgpt.com</w:t>
      </w:r>
    </w:p>
    <w:p w14:paraId="21778694" w14:textId="77777777" w:rsidR="006931AF" w:rsidRPr="006931AF" w:rsidRDefault="006931AF" w:rsidP="006931AF">
      <w:pPr>
        <w:pStyle w:val="Bibliography"/>
        <w:rPr>
          <w:rFonts w:ascii="Times New Roman" w:hAnsi="Times New Roman" w:cs="Times New Roman"/>
          <w:sz w:val="24"/>
        </w:rPr>
      </w:pPr>
      <w:r w:rsidRPr="006931AF">
        <w:rPr>
          <w:rFonts w:ascii="Times New Roman" w:hAnsi="Times New Roman" w:cs="Times New Roman"/>
          <w:sz w:val="24"/>
        </w:rPr>
        <w:t>15.</w:t>
      </w:r>
      <w:r w:rsidRPr="006931AF">
        <w:rPr>
          <w:rFonts w:ascii="Times New Roman" w:hAnsi="Times New Roman" w:cs="Times New Roman"/>
          <w:sz w:val="24"/>
        </w:rPr>
        <w:tab/>
        <w:t xml:space="preserve">Bhwana D, Massawe IS, Mushi AK, Magili P, Amaral LJ, Makunde W, et al. Factors associated with low-uptake of ivermectin in Mahenge, an area with high prevalence of onchocerciasis and epilepsy in Tanzania: A qualitative perspective. Front Trop Dis. 3 avr 2023;4:1079012. </w:t>
      </w:r>
    </w:p>
    <w:p w14:paraId="0172AF64" w14:textId="77777777" w:rsidR="006931AF" w:rsidRDefault="006931AF" w:rsidP="006931AF">
      <w:pPr>
        <w:pStyle w:val="Bibliography"/>
        <w:rPr>
          <w:rFonts w:ascii="Times New Roman" w:hAnsi="Times New Roman" w:cs="Times New Roman"/>
          <w:sz w:val="24"/>
        </w:rPr>
      </w:pPr>
      <w:r w:rsidRPr="006931AF">
        <w:rPr>
          <w:rFonts w:ascii="Times New Roman" w:hAnsi="Times New Roman" w:cs="Times New Roman"/>
          <w:sz w:val="24"/>
        </w:rPr>
        <w:t>16.</w:t>
      </w:r>
      <w:r w:rsidRPr="006931AF">
        <w:rPr>
          <w:rFonts w:ascii="Times New Roman" w:hAnsi="Times New Roman" w:cs="Times New Roman"/>
          <w:sz w:val="24"/>
        </w:rPr>
        <w:tab/>
        <w:t xml:space="preserve">Abdissa D, Kebede Y, Morankar S, Abraham G, Bulcha G, Shiferaw T, et al. Effectiveness of Integrated Social and Behavior Change Communication Interventions in Mass Drug Administration Campaigns in Enhancing Knowledge, Perceptions, and Preventive Practices for Neglected Tropical Diseases in Jimma. Risk Manag Healthc Policy. oct 2024;Volume 17:2331‑57. </w:t>
      </w:r>
    </w:p>
    <w:p w14:paraId="1FE05560" w14:textId="06F3F9FC" w:rsidR="008B425E" w:rsidRDefault="008B425E" w:rsidP="008B425E">
      <w:r w:rsidRPr="00490927">
        <w:rPr>
          <w:highlight w:val="yellow"/>
        </w:rPr>
        <w:t>17. Elom, M. O., &amp; Okpara-Elom, I. A. (2021). Strategies for suppression and elimination of onchocerciasis in endemic countries: A review of the literature. Asian Journal of Biology, 11(2), 26–35.</w:t>
      </w:r>
      <w:r>
        <w:t xml:space="preserve">   </w:t>
      </w:r>
      <w:r w:rsidRPr="00490927">
        <w:rPr>
          <w:highlight w:val="yellow"/>
        </w:rPr>
        <w:t xml:space="preserve">18. Afolabi, O. J., Okaka, C. E., Simon-Oke, I. A., &amp; Oniya, M. O. (2016). Knowledge, attitude and </w:t>
      </w:r>
      <w:r w:rsidRPr="00490927">
        <w:rPr>
          <w:highlight w:val="yellow"/>
        </w:rPr>
        <w:lastRenderedPageBreak/>
        <w:t>perception of onchocerciasis and ivermectin treatment in Idogun community, Ondo State, Nigeria. Journal of Advances in Medicine and Medical Research, 13(4), 1–7.</w:t>
      </w:r>
      <w:r>
        <w:t xml:space="preserve">   </w:t>
      </w:r>
    </w:p>
    <w:p w14:paraId="427040B8" w14:textId="05AA06E2" w:rsidR="00A2458A" w:rsidRPr="00490927" w:rsidRDefault="00A2458A" w:rsidP="00490927">
      <w:r>
        <w:t>1</w:t>
      </w:r>
      <w:r w:rsidRPr="00490927">
        <w:rPr>
          <w:highlight w:val="yellow"/>
        </w:rPr>
        <w:t>9. Crawford, K. E., Hedtke, S. M., Doyle, S. R., Kuesel, A. C., Armoo, S., Osei-Atweneboana, M. Y., &amp; Grant, W. N. (2024). Genome-based tools for onchocerciasis elimination: utility of the mitochondrial genome for delineating Onchocerca volvulus transmission zones. International Journal for Parasitology, 54(3-4), 171-183.</w:t>
      </w:r>
      <w:r>
        <w:t xml:space="preserve">  </w:t>
      </w:r>
    </w:p>
    <w:p w14:paraId="73AE8F7E" w14:textId="4DBFC9A4" w:rsidR="009723CC" w:rsidRPr="00D03CB2" w:rsidRDefault="00D03CB2" w:rsidP="00DF7ADA">
      <w:pPr>
        <w:spacing w:before="100" w:beforeAutospacing="1" w:after="100" w:afterAutospacing="1"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GB" w:eastAsia="fr-FR"/>
        </w:rPr>
        <w:fldChar w:fldCharType="end"/>
      </w:r>
    </w:p>
    <w:p w14:paraId="0AC3BC1A" w14:textId="77777777" w:rsidR="009723CC" w:rsidRPr="00D03CB2" w:rsidRDefault="009723CC" w:rsidP="00DF7ADA">
      <w:pPr>
        <w:spacing w:before="100" w:beforeAutospacing="1" w:after="100" w:afterAutospacing="1" w:line="360" w:lineRule="auto"/>
        <w:jc w:val="both"/>
        <w:rPr>
          <w:rFonts w:ascii="Times New Roman" w:eastAsia="Times New Roman" w:hAnsi="Times New Roman" w:cs="Times New Roman"/>
          <w:sz w:val="24"/>
          <w:szCs w:val="24"/>
          <w:lang w:eastAsia="fr-FR"/>
        </w:rPr>
      </w:pPr>
    </w:p>
    <w:sectPr w:rsidR="009723CC" w:rsidRPr="00D03CB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0D9A9" w14:textId="77777777" w:rsidR="00D05280" w:rsidRDefault="00D05280" w:rsidP="00AB611F">
      <w:pPr>
        <w:spacing w:after="0" w:line="240" w:lineRule="auto"/>
      </w:pPr>
      <w:r>
        <w:separator/>
      </w:r>
    </w:p>
  </w:endnote>
  <w:endnote w:type="continuationSeparator" w:id="0">
    <w:p w14:paraId="0C964C34" w14:textId="77777777" w:rsidR="00D05280" w:rsidRDefault="00D05280" w:rsidP="00AB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31A6" w14:textId="77777777" w:rsidR="00AB611F" w:rsidRDefault="00AB6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AA70" w14:textId="77777777" w:rsidR="00AB611F" w:rsidRDefault="00AB61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F3D6" w14:textId="77777777" w:rsidR="00AB611F" w:rsidRDefault="00AB6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53CA2" w14:textId="77777777" w:rsidR="00D05280" w:rsidRDefault="00D05280" w:rsidP="00AB611F">
      <w:pPr>
        <w:spacing w:after="0" w:line="240" w:lineRule="auto"/>
      </w:pPr>
      <w:r>
        <w:separator/>
      </w:r>
    </w:p>
  </w:footnote>
  <w:footnote w:type="continuationSeparator" w:id="0">
    <w:p w14:paraId="2EA11B46" w14:textId="77777777" w:rsidR="00D05280" w:rsidRDefault="00D05280" w:rsidP="00AB6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E87F" w14:textId="58778804" w:rsidR="00AB611F" w:rsidRDefault="00000000">
    <w:pPr>
      <w:pStyle w:val="Header"/>
    </w:pPr>
    <w:r>
      <w:rPr>
        <w:noProof/>
      </w:rPr>
      <w:pict w14:anchorId="54C65A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7471266"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1DDD" w14:textId="4C40DCD6" w:rsidR="00AB611F" w:rsidRDefault="00000000">
    <w:pPr>
      <w:pStyle w:val="Header"/>
    </w:pPr>
    <w:r>
      <w:rPr>
        <w:noProof/>
      </w:rPr>
      <w:pict w14:anchorId="73883A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7471267"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23BF" w14:textId="0A1B50E6" w:rsidR="00AB611F" w:rsidRDefault="00000000">
    <w:pPr>
      <w:pStyle w:val="Header"/>
    </w:pPr>
    <w:r>
      <w:rPr>
        <w:noProof/>
      </w:rPr>
      <w:pict w14:anchorId="7B3DB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7471265"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B8C"/>
    <w:multiLevelType w:val="hybridMultilevel"/>
    <w:tmpl w:val="BD5E6A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4B681C"/>
    <w:multiLevelType w:val="multilevel"/>
    <w:tmpl w:val="9F14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F2959"/>
    <w:multiLevelType w:val="multilevel"/>
    <w:tmpl w:val="F188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37B44"/>
    <w:multiLevelType w:val="multilevel"/>
    <w:tmpl w:val="89920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E022F"/>
    <w:multiLevelType w:val="multilevel"/>
    <w:tmpl w:val="EE2E0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0E0C57"/>
    <w:multiLevelType w:val="hybridMultilevel"/>
    <w:tmpl w:val="BD5E6A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ECC0294"/>
    <w:multiLevelType w:val="multilevel"/>
    <w:tmpl w:val="4266A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51685A"/>
    <w:multiLevelType w:val="multilevel"/>
    <w:tmpl w:val="27BA7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B077F6"/>
    <w:multiLevelType w:val="multilevel"/>
    <w:tmpl w:val="F7EE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E9237B"/>
    <w:multiLevelType w:val="multilevel"/>
    <w:tmpl w:val="ABF68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8F1C4C"/>
    <w:multiLevelType w:val="hybridMultilevel"/>
    <w:tmpl w:val="BD5E6A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FF737C6"/>
    <w:multiLevelType w:val="multilevel"/>
    <w:tmpl w:val="CA80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1876AD"/>
    <w:multiLevelType w:val="multilevel"/>
    <w:tmpl w:val="24181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6321FC"/>
    <w:multiLevelType w:val="multilevel"/>
    <w:tmpl w:val="CDA2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271783"/>
    <w:multiLevelType w:val="multilevel"/>
    <w:tmpl w:val="6CC2B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F36AC7"/>
    <w:multiLevelType w:val="multilevel"/>
    <w:tmpl w:val="304E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DC0639"/>
    <w:multiLevelType w:val="multilevel"/>
    <w:tmpl w:val="B8E0E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A81F30"/>
    <w:multiLevelType w:val="multilevel"/>
    <w:tmpl w:val="6A384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CB7DAF"/>
    <w:multiLevelType w:val="multilevel"/>
    <w:tmpl w:val="F8127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6D1D0A"/>
    <w:multiLevelType w:val="multilevel"/>
    <w:tmpl w:val="A4306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032CE1"/>
    <w:multiLevelType w:val="multilevel"/>
    <w:tmpl w:val="DA769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3693143">
    <w:abstractNumId w:val="15"/>
  </w:num>
  <w:num w:numId="2" w16cid:durableId="1291864791">
    <w:abstractNumId w:val="6"/>
  </w:num>
  <w:num w:numId="3" w16cid:durableId="681396828">
    <w:abstractNumId w:val="19"/>
  </w:num>
  <w:num w:numId="4" w16cid:durableId="1153448460">
    <w:abstractNumId w:val="9"/>
  </w:num>
  <w:num w:numId="5" w16cid:durableId="1910462067">
    <w:abstractNumId w:val="12"/>
  </w:num>
  <w:num w:numId="6" w16cid:durableId="199248673">
    <w:abstractNumId w:val="20"/>
  </w:num>
  <w:num w:numId="7" w16cid:durableId="2056465460">
    <w:abstractNumId w:val="14"/>
  </w:num>
  <w:num w:numId="8" w16cid:durableId="1682929192">
    <w:abstractNumId w:val="7"/>
  </w:num>
  <w:num w:numId="9" w16cid:durableId="353964566">
    <w:abstractNumId w:val="2"/>
  </w:num>
  <w:num w:numId="10" w16cid:durableId="107354049">
    <w:abstractNumId w:val="11"/>
  </w:num>
  <w:num w:numId="11" w16cid:durableId="919019703">
    <w:abstractNumId w:val="3"/>
  </w:num>
  <w:num w:numId="12" w16cid:durableId="148793282">
    <w:abstractNumId w:val="1"/>
  </w:num>
  <w:num w:numId="13" w16cid:durableId="321352631">
    <w:abstractNumId w:val="13"/>
  </w:num>
  <w:num w:numId="14" w16cid:durableId="1408386265">
    <w:abstractNumId w:val="4"/>
  </w:num>
  <w:num w:numId="15" w16cid:durableId="873493909">
    <w:abstractNumId w:val="0"/>
  </w:num>
  <w:num w:numId="16" w16cid:durableId="1508902636">
    <w:abstractNumId w:val="10"/>
  </w:num>
  <w:num w:numId="17" w16cid:durableId="809782072">
    <w:abstractNumId w:val="5"/>
  </w:num>
  <w:num w:numId="18" w16cid:durableId="1851941939">
    <w:abstractNumId w:val="16"/>
  </w:num>
  <w:num w:numId="19" w16cid:durableId="1014041798">
    <w:abstractNumId w:val="17"/>
  </w:num>
  <w:num w:numId="20" w16cid:durableId="433866553">
    <w:abstractNumId w:val="18"/>
  </w:num>
  <w:num w:numId="21" w16cid:durableId="6127852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yNTcxNbA0NDUxMzdX0lEKTi0uzszPAykwqgUAZDXWmSwAAAA="/>
  </w:docVars>
  <w:rsids>
    <w:rsidRoot w:val="00F52EAE"/>
    <w:rsid w:val="00002DFD"/>
    <w:rsid w:val="00005A52"/>
    <w:rsid w:val="00020C3F"/>
    <w:rsid w:val="0002408A"/>
    <w:rsid w:val="000242D0"/>
    <w:rsid w:val="000277C7"/>
    <w:rsid w:val="0003373C"/>
    <w:rsid w:val="000623F9"/>
    <w:rsid w:val="00065126"/>
    <w:rsid w:val="00083F5B"/>
    <w:rsid w:val="00086DC4"/>
    <w:rsid w:val="000A5BF3"/>
    <w:rsid w:val="000A6D7D"/>
    <w:rsid w:val="000B47C3"/>
    <w:rsid w:val="000D03DF"/>
    <w:rsid w:val="000D6299"/>
    <w:rsid w:val="000E23BB"/>
    <w:rsid w:val="000F41E9"/>
    <w:rsid w:val="00101F88"/>
    <w:rsid w:val="001120B1"/>
    <w:rsid w:val="00122F73"/>
    <w:rsid w:val="001265D9"/>
    <w:rsid w:val="00145E21"/>
    <w:rsid w:val="0014785E"/>
    <w:rsid w:val="00153189"/>
    <w:rsid w:val="00156EAC"/>
    <w:rsid w:val="00161288"/>
    <w:rsid w:val="00172BAC"/>
    <w:rsid w:val="0018026A"/>
    <w:rsid w:val="00195612"/>
    <w:rsid w:val="001A1999"/>
    <w:rsid w:val="001A7779"/>
    <w:rsid w:val="001A77FA"/>
    <w:rsid w:val="001B4AA2"/>
    <w:rsid w:val="001C606D"/>
    <w:rsid w:val="001D7429"/>
    <w:rsid w:val="001E550C"/>
    <w:rsid w:val="001E7205"/>
    <w:rsid w:val="00203BE0"/>
    <w:rsid w:val="00205CE8"/>
    <w:rsid w:val="00207033"/>
    <w:rsid w:val="00207A3D"/>
    <w:rsid w:val="002220AE"/>
    <w:rsid w:val="00232558"/>
    <w:rsid w:val="00253A37"/>
    <w:rsid w:val="0026059B"/>
    <w:rsid w:val="002606E4"/>
    <w:rsid w:val="002616A7"/>
    <w:rsid w:val="00263195"/>
    <w:rsid w:val="00272B88"/>
    <w:rsid w:val="00296E8C"/>
    <w:rsid w:val="002B5064"/>
    <w:rsid w:val="002B67AF"/>
    <w:rsid w:val="002B7BA3"/>
    <w:rsid w:val="002C023F"/>
    <w:rsid w:val="002C5A8C"/>
    <w:rsid w:val="002D347B"/>
    <w:rsid w:val="002D3593"/>
    <w:rsid w:val="002D4FD3"/>
    <w:rsid w:val="002D6378"/>
    <w:rsid w:val="002F0F36"/>
    <w:rsid w:val="002F4162"/>
    <w:rsid w:val="002F6774"/>
    <w:rsid w:val="00305AD2"/>
    <w:rsid w:val="003111AE"/>
    <w:rsid w:val="003152A3"/>
    <w:rsid w:val="00330E0B"/>
    <w:rsid w:val="003317FB"/>
    <w:rsid w:val="00332AA3"/>
    <w:rsid w:val="00334E64"/>
    <w:rsid w:val="00342BAD"/>
    <w:rsid w:val="00366548"/>
    <w:rsid w:val="003967AA"/>
    <w:rsid w:val="003B5451"/>
    <w:rsid w:val="003C3CC9"/>
    <w:rsid w:val="003E589A"/>
    <w:rsid w:val="003E7C9F"/>
    <w:rsid w:val="003F4696"/>
    <w:rsid w:val="003F6C39"/>
    <w:rsid w:val="0040284C"/>
    <w:rsid w:val="00406CE8"/>
    <w:rsid w:val="00413794"/>
    <w:rsid w:val="00423B4B"/>
    <w:rsid w:val="004437AF"/>
    <w:rsid w:val="00455F35"/>
    <w:rsid w:val="00466D34"/>
    <w:rsid w:val="0047313A"/>
    <w:rsid w:val="004733A1"/>
    <w:rsid w:val="00481589"/>
    <w:rsid w:val="00490927"/>
    <w:rsid w:val="004A5219"/>
    <w:rsid w:val="004B7225"/>
    <w:rsid w:val="004C50AF"/>
    <w:rsid w:val="004D3F2C"/>
    <w:rsid w:val="00500051"/>
    <w:rsid w:val="00500CD7"/>
    <w:rsid w:val="005018F4"/>
    <w:rsid w:val="005020FF"/>
    <w:rsid w:val="0051267D"/>
    <w:rsid w:val="00513C11"/>
    <w:rsid w:val="00514E3F"/>
    <w:rsid w:val="00525C52"/>
    <w:rsid w:val="00536653"/>
    <w:rsid w:val="00572206"/>
    <w:rsid w:val="005840FA"/>
    <w:rsid w:val="005A6CC0"/>
    <w:rsid w:val="005B3A52"/>
    <w:rsid w:val="005C468E"/>
    <w:rsid w:val="005D13ED"/>
    <w:rsid w:val="005E447B"/>
    <w:rsid w:val="00613B11"/>
    <w:rsid w:val="0063592E"/>
    <w:rsid w:val="00642109"/>
    <w:rsid w:val="00646A5C"/>
    <w:rsid w:val="00651F86"/>
    <w:rsid w:val="006612D7"/>
    <w:rsid w:val="00665CE9"/>
    <w:rsid w:val="00673B3E"/>
    <w:rsid w:val="006758B7"/>
    <w:rsid w:val="0067647C"/>
    <w:rsid w:val="00687BDE"/>
    <w:rsid w:val="00692775"/>
    <w:rsid w:val="006931AF"/>
    <w:rsid w:val="00695CA4"/>
    <w:rsid w:val="006C03A9"/>
    <w:rsid w:val="006C7859"/>
    <w:rsid w:val="006D2D09"/>
    <w:rsid w:val="006F784E"/>
    <w:rsid w:val="007045F6"/>
    <w:rsid w:val="00711569"/>
    <w:rsid w:val="00723F60"/>
    <w:rsid w:val="00761C65"/>
    <w:rsid w:val="00764B25"/>
    <w:rsid w:val="007769CA"/>
    <w:rsid w:val="007902DE"/>
    <w:rsid w:val="007A5922"/>
    <w:rsid w:val="007B2619"/>
    <w:rsid w:val="007B30A8"/>
    <w:rsid w:val="007C23E3"/>
    <w:rsid w:val="007D1BB2"/>
    <w:rsid w:val="007F6A12"/>
    <w:rsid w:val="00800025"/>
    <w:rsid w:val="008136D5"/>
    <w:rsid w:val="00813F7E"/>
    <w:rsid w:val="008679F6"/>
    <w:rsid w:val="00874EEB"/>
    <w:rsid w:val="008A6552"/>
    <w:rsid w:val="008B2716"/>
    <w:rsid w:val="008B425E"/>
    <w:rsid w:val="00906102"/>
    <w:rsid w:val="00914619"/>
    <w:rsid w:val="0094230D"/>
    <w:rsid w:val="009452B2"/>
    <w:rsid w:val="0095019D"/>
    <w:rsid w:val="00953E7D"/>
    <w:rsid w:val="00953F28"/>
    <w:rsid w:val="00954027"/>
    <w:rsid w:val="00961E4F"/>
    <w:rsid w:val="009723CC"/>
    <w:rsid w:val="00972586"/>
    <w:rsid w:val="009748A2"/>
    <w:rsid w:val="0098028D"/>
    <w:rsid w:val="009858BE"/>
    <w:rsid w:val="00992AB3"/>
    <w:rsid w:val="00993EF1"/>
    <w:rsid w:val="00994B2D"/>
    <w:rsid w:val="009A5845"/>
    <w:rsid w:val="009B0A3D"/>
    <w:rsid w:val="009B645E"/>
    <w:rsid w:val="009C1339"/>
    <w:rsid w:val="009C5911"/>
    <w:rsid w:val="009D5D81"/>
    <w:rsid w:val="009E37C8"/>
    <w:rsid w:val="009E7E52"/>
    <w:rsid w:val="009F5576"/>
    <w:rsid w:val="00A06129"/>
    <w:rsid w:val="00A067F6"/>
    <w:rsid w:val="00A17ADB"/>
    <w:rsid w:val="00A2458A"/>
    <w:rsid w:val="00A2650B"/>
    <w:rsid w:val="00A2653E"/>
    <w:rsid w:val="00A27C0B"/>
    <w:rsid w:val="00A50375"/>
    <w:rsid w:val="00A57005"/>
    <w:rsid w:val="00A80B57"/>
    <w:rsid w:val="00AB611F"/>
    <w:rsid w:val="00AC2CC6"/>
    <w:rsid w:val="00AC2FAB"/>
    <w:rsid w:val="00AD3A9D"/>
    <w:rsid w:val="00AE219D"/>
    <w:rsid w:val="00AE5106"/>
    <w:rsid w:val="00AF36EA"/>
    <w:rsid w:val="00B130ED"/>
    <w:rsid w:val="00B13D7A"/>
    <w:rsid w:val="00B159C9"/>
    <w:rsid w:val="00B16A7B"/>
    <w:rsid w:val="00B3192A"/>
    <w:rsid w:val="00B3602D"/>
    <w:rsid w:val="00B541B6"/>
    <w:rsid w:val="00B64F47"/>
    <w:rsid w:val="00B7108B"/>
    <w:rsid w:val="00B94EF5"/>
    <w:rsid w:val="00BC0474"/>
    <w:rsid w:val="00BE3F49"/>
    <w:rsid w:val="00BF45B0"/>
    <w:rsid w:val="00C11184"/>
    <w:rsid w:val="00C27A20"/>
    <w:rsid w:val="00C47083"/>
    <w:rsid w:val="00C6338F"/>
    <w:rsid w:val="00C63485"/>
    <w:rsid w:val="00C66394"/>
    <w:rsid w:val="00C73E35"/>
    <w:rsid w:val="00C7467B"/>
    <w:rsid w:val="00C75701"/>
    <w:rsid w:val="00C80A0A"/>
    <w:rsid w:val="00C80A95"/>
    <w:rsid w:val="00CA11F0"/>
    <w:rsid w:val="00CA6CB2"/>
    <w:rsid w:val="00CB6CC2"/>
    <w:rsid w:val="00CB708C"/>
    <w:rsid w:val="00CC3D95"/>
    <w:rsid w:val="00CC6DB8"/>
    <w:rsid w:val="00CD57EE"/>
    <w:rsid w:val="00CE496C"/>
    <w:rsid w:val="00CF35D8"/>
    <w:rsid w:val="00D014FC"/>
    <w:rsid w:val="00D03CB2"/>
    <w:rsid w:val="00D05280"/>
    <w:rsid w:val="00D1534D"/>
    <w:rsid w:val="00D26F19"/>
    <w:rsid w:val="00D4408B"/>
    <w:rsid w:val="00D7122B"/>
    <w:rsid w:val="00D978DF"/>
    <w:rsid w:val="00DB3963"/>
    <w:rsid w:val="00DB4CE0"/>
    <w:rsid w:val="00DC2925"/>
    <w:rsid w:val="00DC5044"/>
    <w:rsid w:val="00DD2EC3"/>
    <w:rsid w:val="00DD6D08"/>
    <w:rsid w:val="00DD75E9"/>
    <w:rsid w:val="00DF1B35"/>
    <w:rsid w:val="00DF56F5"/>
    <w:rsid w:val="00DF5E51"/>
    <w:rsid w:val="00DF7ADA"/>
    <w:rsid w:val="00E5736A"/>
    <w:rsid w:val="00E865F9"/>
    <w:rsid w:val="00E91281"/>
    <w:rsid w:val="00EA0EF3"/>
    <w:rsid w:val="00EF3CDE"/>
    <w:rsid w:val="00EF4E22"/>
    <w:rsid w:val="00EF5BBE"/>
    <w:rsid w:val="00EF7F90"/>
    <w:rsid w:val="00F0587E"/>
    <w:rsid w:val="00F1040A"/>
    <w:rsid w:val="00F1120A"/>
    <w:rsid w:val="00F11959"/>
    <w:rsid w:val="00F23F39"/>
    <w:rsid w:val="00F323AF"/>
    <w:rsid w:val="00F32D27"/>
    <w:rsid w:val="00F336B5"/>
    <w:rsid w:val="00F52EAE"/>
    <w:rsid w:val="00F541CE"/>
    <w:rsid w:val="00F55A8F"/>
    <w:rsid w:val="00F560F8"/>
    <w:rsid w:val="00FA2DFF"/>
    <w:rsid w:val="00FB7386"/>
    <w:rsid w:val="00FC2BD3"/>
    <w:rsid w:val="00FD60FE"/>
    <w:rsid w:val="00FE62CB"/>
    <w:rsid w:val="00FF3C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26664B2"/>
  <w15:docId w15:val="{051E887C-C757-44A3-8B09-39E540BB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6654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6C3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3F6C39"/>
    <w:rPr>
      <w:i/>
      <w:iCs/>
    </w:rPr>
  </w:style>
  <w:style w:type="character" w:styleId="Strong">
    <w:name w:val="Strong"/>
    <w:basedOn w:val="DefaultParagraphFont"/>
    <w:uiPriority w:val="22"/>
    <w:qFormat/>
    <w:rsid w:val="00665CE9"/>
    <w:rPr>
      <w:b/>
      <w:bCs/>
    </w:rPr>
  </w:style>
  <w:style w:type="character" w:customStyle="1" w:styleId="katex">
    <w:name w:val="katex"/>
    <w:basedOn w:val="DefaultParagraphFont"/>
    <w:rsid w:val="00B64F47"/>
  </w:style>
  <w:style w:type="character" w:styleId="CommentReference">
    <w:name w:val="annotation reference"/>
    <w:basedOn w:val="DefaultParagraphFont"/>
    <w:uiPriority w:val="99"/>
    <w:unhideWhenUsed/>
    <w:rsid w:val="00DF56F5"/>
    <w:rPr>
      <w:sz w:val="16"/>
      <w:szCs w:val="16"/>
    </w:rPr>
  </w:style>
  <w:style w:type="paragraph" w:styleId="CommentText">
    <w:name w:val="annotation text"/>
    <w:basedOn w:val="Normal"/>
    <w:link w:val="CommentTextChar"/>
    <w:uiPriority w:val="99"/>
    <w:semiHidden/>
    <w:unhideWhenUsed/>
    <w:rsid w:val="00DF56F5"/>
    <w:pPr>
      <w:spacing w:line="240" w:lineRule="auto"/>
    </w:pPr>
    <w:rPr>
      <w:sz w:val="20"/>
      <w:szCs w:val="20"/>
    </w:rPr>
  </w:style>
  <w:style w:type="character" w:customStyle="1" w:styleId="CommentTextChar">
    <w:name w:val="Comment Text Char"/>
    <w:basedOn w:val="DefaultParagraphFont"/>
    <w:link w:val="CommentText"/>
    <w:uiPriority w:val="99"/>
    <w:semiHidden/>
    <w:rsid w:val="00DF56F5"/>
    <w:rPr>
      <w:sz w:val="20"/>
      <w:szCs w:val="20"/>
      <w:lang w:val="en"/>
    </w:rPr>
  </w:style>
  <w:style w:type="paragraph" w:styleId="BalloonText">
    <w:name w:val="Balloon Text"/>
    <w:basedOn w:val="Normal"/>
    <w:link w:val="BalloonTextChar"/>
    <w:uiPriority w:val="99"/>
    <w:semiHidden/>
    <w:unhideWhenUsed/>
    <w:rsid w:val="00DF56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6F5"/>
    <w:rPr>
      <w:rFonts w:ascii="Segoe UI" w:hAnsi="Segoe UI" w:cs="Segoe UI"/>
      <w:sz w:val="18"/>
      <w:szCs w:val="18"/>
    </w:rPr>
  </w:style>
  <w:style w:type="paragraph" w:styleId="Caption">
    <w:name w:val="caption"/>
    <w:basedOn w:val="Normal"/>
    <w:next w:val="Normal"/>
    <w:uiPriority w:val="35"/>
    <w:unhideWhenUsed/>
    <w:qFormat/>
    <w:rsid w:val="00CC3D95"/>
    <w:pPr>
      <w:spacing w:after="200" w:line="240" w:lineRule="auto"/>
    </w:pPr>
    <w:rPr>
      <w:i/>
      <w:iCs/>
      <w:color w:val="44546A" w:themeColor="text2"/>
      <w:sz w:val="18"/>
      <w:szCs w:val="18"/>
    </w:rPr>
  </w:style>
  <w:style w:type="table" w:styleId="TableGrid">
    <w:name w:val="Table Grid"/>
    <w:basedOn w:val="TableNormal"/>
    <w:uiPriority w:val="39"/>
    <w:rsid w:val="00CC3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EAC"/>
    <w:pPr>
      <w:ind w:left="720"/>
      <w:contextualSpacing/>
    </w:pPr>
  </w:style>
  <w:style w:type="table" w:customStyle="1" w:styleId="PlainTable21">
    <w:name w:val="Plain Table 21"/>
    <w:basedOn w:val="TableNormal"/>
    <w:uiPriority w:val="42"/>
    <w:rsid w:val="009D5D8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366548"/>
    <w:rPr>
      <w:rFonts w:ascii="Times New Roman" w:eastAsia="Times New Roman" w:hAnsi="Times New Roman" w:cs="Times New Roman"/>
      <w:b/>
      <w:bCs/>
      <w:sz w:val="27"/>
      <w:szCs w:val="27"/>
      <w:lang w:val="en" w:eastAsia="fr-FR"/>
    </w:rPr>
  </w:style>
  <w:style w:type="paragraph" w:styleId="Bibliography">
    <w:name w:val="Bibliography"/>
    <w:basedOn w:val="Normal"/>
    <w:next w:val="Normal"/>
    <w:uiPriority w:val="37"/>
    <w:unhideWhenUsed/>
    <w:rsid w:val="00D03CB2"/>
    <w:pPr>
      <w:tabs>
        <w:tab w:val="left" w:pos="384"/>
      </w:tabs>
      <w:spacing w:after="240" w:line="240" w:lineRule="auto"/>
      <w:ind w:left="384" w:hanging="384"/>
    </w:pPr>
  </w:style>
  <w:style w:type="paragraph" w:styleId="CommentSubject">
    <w:name w:val="annotation subject"/>
    <w:basedOn w:val="CommentText"/>
    <w:next w:val="CommentText"/>
    <w:link w:val="CommentSubjectChar"/>
    <w:uiPriority w:val="99"/>
    <w:semiHidden/>
    <w:unhideWhenUsed/>
    <w:rsid w:val="00673B3E"/>
    <w:rPr>
      <w:b/>
      <w:bCs/>
    </w:rPr>
  </w:style>
  <w:style w:type="character" w:customStyle="1" w:styleId="CommentSubjectChar">
    <w:name w:val="Comment Subject Char"/>
    <w:basedOn w:val="CommentTextChar"/>
    <w:link w:val="CommentSubject"/>
    <w:uiPriority w:val="99"/>
    <w:semiHidden/>
    <w:rsid w:val="00673B3E"/>
    <w:rPr>
      <w:b/>
      <w:bCs/>
      <w:sz w:val="20"/>
      <w:szCs w:val="20"/>
      <w:lang w:val="en"/>
    </w:rPr>
  </w:style>
  <w:style w:type="paragraph" w:styleId="Header">
    <w:name w:val="header"/>
    <w:basedOn w:val="Normal"/>
    <w:link w:val="HeaderChar"/>
    <w:uiPriority w:val="99"/>
    <w:unhideWhenUsed/>
    <w:rsid w:val="00AB6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11F"/>
  </w:style>
  <w:style w:type="paragraph" w:styleId="Footer">
    <w:name w:val="footer"/>
    <w:basedOn w:val="Normal"/>
    <w:link w:val="FooterChar"/>
    <w:uiPriority w:val="99"/>
    <w:unhideWhenUsed/>
    <w:rsid w:val="00AB6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11F"/>
  </w:style>
  <w:style w:type="paragraph" w:styleId="Revision">
    <w:name w:val="Revision"/>
    <w:hidden/>
    <w:uiPriority w:val="99"/>
    <w:semiHidden/>
    <w:rsid w:val="006359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4585">
      <w:bodyDiv w:val="1"/>
      <w:marLeft w:val="0"/>
      <w:marRight w:val="0"/>
      <w:marTop w:val="0"/>
      <w:marBottom w:val="0"/>
      <w:divBdr>
        <w:top w:val="none" w:sz="0" w:space="0" w:color="auto"/>
        <w:left w:val="none" w:sz="0" w:space="0" w:color="auto"/>
        <w:bottom w:val="none" w:sz="0" w:space="0" w:color="auto"/>
        <w:right w:val="none" w:sz="0" w:space="0" w:color="auto"/>
      </w:divBdr>
    </w:div>
    <w:div w:id="64960450">
      <w:bodyDiv w:val="1"/>
      <w:marLeft w:val="0"/>
      <w:marRight w:val="0"/>
      <w:marTop w:val="0"/>
      <w:marBottom w:val="0"/>
      <w:divBdr>
        <w:top w:val="none" w:sz="0" w:space="0" w:color="auto"/>
        <w:left w:val="none" w:sz="0" w:space="0" w:color="auto"/>
        <w:bottom w:val="none" w:sz="0" w:space="0" w:color="auto"/>
        <w:right w:val="none" w:sz="0" w:space="0" w:color="auto"/>
      </w:divBdr>
    </w:div>
    <w:div w:id="89861467">
      <w:bodyDiv w:val="1"/>
      <w:marLeft w:val="0"/>
      <w:marRight w:val="0"/>
      <w:marTop w:val="0"/>
      <w:marBottom w:val="0"/>
      <w:divBdr>
        <w:top w:val="none" w:sz="0" w:space="0" w:color="auto"/>
        <w:left w:val="none" w:sz="0" w:space="0" w:color="auto"/>
        <w:bottom w:val="none" w:sz="0" w:space="0" w:color="auto"/>
        <w:right w:val="none" w:sz="0" w:space="0" w:color="auto"/>
      </w:divBdr>
    </w:div>
    <w:div w:id="96608057">
      <w:bodyDiv w:val="1"/>
      <w:marLeft w:val="0"/>
      <w:marRight w:val="0"/>
      <w:marTop w:val="0"/>
      <w:marBottom w:val="0"/>
      <w:divBdr>
        <w:top w:val="none" w:sz="0" w:space="0" w:color="auto"/>
        <w:left w:val="none" w:sz="0" w:space="0" w:color="auto"/>
        <w:bottom w:val="none" w:sz="0" w:space="0" w:color="auto"/>
        <w:right w:val="none" w:sz="0" w:space="0" w:color="auto"/>
      </w:divBdr>
    </w:div>
    <w:div w:id="313993218">
      <w:bodyDiv w:val="1"/>
      <w:marLeft w:val="0"/>
      <w:marRight w:val="0"/>
      <w:marTop w:val="0"/>
      <w:marBottom w:val="0"/>
      <w:divBdr>
        <w:top w:val="none" w:sz="0" w:space="0" w:color="auto"/>
        <w:left w:val="none" w:sz="0" w:space="0" w:color="auto"/>
        <w:bottom w:val="none" w:sz="0" w:space="0" w:color="auto"/>
        <w:right w:val="none" w:sz="0" w:space="0" w:color="auto"/>
      </w:divBdr>
    </w:div>
    <w:div w:id="337733910">
      <w:bodyDiv w:val="1"/>
      <w:marLeft w:val="0"/>
      <w:marRight w:val="0"/>
      <w:marTop w:val="0"/>
      <w:marBottom w:val="0"/>
      <w:divBdr>
        <w:top w:val="none" w:sz="0" w:space="0" w:color="auto"/>
        <w:left w:val="none" w:sz="0" w:space="0" w:color="auto"/>
        <w:bottom w:val="none" w:sz="0" w:space="0" w:color="auto"/>
        <w:right w:val="none" w:sz="0" w:space="0" w:color="auto"/>
      </w:divBdr>
    </w:div>
    <w:div w:id="616257031">
      <w:bodyDiv w:val="1"/>
      <w:marLeft w:val="0"/>
      <w:marRight w:val="0"/>
      <w:marTop w:val="0"/>
      <w:marBottom w:val="0"/>
      <w:divBdr>
        <w:top w:val="none" w:sz="0" w:space="0" w:color="auto"/>
        <w:left w:val="none" w:sz="0" w:space="0" w:color="auto"/>
        <w:bottom w:val="none" w:sz="0" w:space="0" w:color="auto"/>
        <w:right w:val="none" w:sz="0" w:space="0" w:color="auto"/>
      </w:divBdr>
    </w:div>
    <w:div w:id="731347090">
      <w:bodyDiv w:val="1"/>
      <w:marLeft w:val="0"/>
      <w:marRight w:val="0"/>
      <w:marTop w:val="0"/>
      <w:marBottom w:val="0"/>
      <w:divBdr>
        <w:top w:val="none" w:sz="0" w:space="0" w:color="auto"/>
        <w:left w:val="none" w:sz="0" w:space="0" w:color="auto"/>
        <w:bottom w:val="none" w:sz="0" w:space="0" w:color="auto"/>
        <w:right w:val="none" w:sz="0" w:space="0" w:color="auto"/>
      </w:divBdr>
    </w:div>
    <w:div w:id="740324143">
      <w:bodyDiv w:val="1"/>
      <w:marLeft w:val="0"/>
      <w:marRight w:val="0"/>
      <w:marTop w:val="0"/>
      <w:marBottom w:val="0"/>
      <w:divBdr>
        <w:top w:val="none" w:sz="0" w:space="0" w:color="auto"/>
        <w:left w:val="none" w:sz="0" w:space="0" w:color="auto"/>
        <w:bottom w:val="none" w:sz="0" w:space="0" w:color="auto"/>
        <w:right w:val="none" w:sz="0" w:space="0" w:color="auto"/>
      </w:divBdr>
    </w:div>
    <w:div w:id="816268779">
      <w:bodyDiv w:val="1"/>
      <w:marLeft w:val="0"/>
      <w:marRight w:val="0"/>
      <w:marTop w:val="0"/>
      <w:marBottom w:val="0"/>
      <w:divBdr>
        <w:top w:val="none" w:sz="0" w:space="0" w:color="auto"/>
        <w:left w:val="none" w:sz="0" w:space="0" w:color="auto"/>
        <w:bottom w:val="none" w:sz="0" w:space="0" w:color="auto"/>
        <w:right w:val="none" w:sz="0" w:space="0" w:color="auto"/>
      </w:divBdr>
    </w:div>
    <w:div w:id="997346152">
      <w:bodyDiv w:val="1"/>
      <w:marLeft w:val="0"/>
      <w:marRight w:val="0"/>
      <w:marTop w:val="0"/>
      <w:marBottom w:val="0"/>
      <w:divBdr>
        <w:top w:val="none" w:sz="0" w:space="0" w:color="auto"/>
        <w:left w:val="none" w:sz="0" w:space="0" w:color="auto"/>
        <w:bottom w:val="none" w:sz="0" w:space="0" w:color="auto"/>
        <w:right w:val="none" w:sz="0" w:space="0" w:color="auto"/>
      </w:divBdr>
    </w:div>
    <w:div w:id="1007712089">
      <w:bodyDiv w:val="1"/>
      <w:marLeft w:val="0"/>
      <w:marRight w:val="0"/>
      <w:marTop w:val="0"/>
      <w:marBottom w:val="0"/>
      <w:divBdr>
        <w:top w:val="none" w:sz="0" w:space="0" w:color="auto"/>
        <w:left w:val="none" w:sz="0" w:space="0" w:color="auto"/>
        <w:bottom w:val="none" w:sz="0" w:space="0" w:color="auto"/>
        <w:right w:val="none" w:sz="0" w:space="0" w:color="auto"/>
      </w:divBdr>
    </w:div>
    <w:div w:id="1087458195">
      <w:bodyDiv w:val="1"/>
      <w:marLeft w:val="0"/>
      <w:marRight w:val="0"/>
      <w:marTop w:val="0"/>
      <w:marBottom w:val="0"/>
      <w:divBdr>
        <w:top w:val="none" w:sz="0" w:space="0" w:color="auto"/>
        <w:left w:val="none" w:sz="0" w:space="0" w:color="auto"/>
        <w:bottom w:val="none" w:sz="0" w:space="0" w:color="auto"/>
        <w:right w:val="none" w:sz="0" w:space="0" w:color="auto"/>
      </w:divBdr>
    </w:div>
    <w:div w:id="1117914468">
      <w:bodyDiv w:val="1"/>
      <w:marLeft w:val="0"/>
      <w:marRight w:val="0"/>
      <w:marTop w:val="0"/>
      <w:marBottom w:val="0"/>
      <w:divBdr>
        <w:top w:val="none" w:sz="0" w:space="0" w:color="auto"/>
        <w:left w:val="none" w:sz="0" w:space="0" w:color="auto"/>
        <w:bottom w:val="none" w:sz="0" w:space="0" w:color="auto"/>
        <w:right w:val="none" w:sz="0" w:space="0" w:color="auto"/>
      </w:divBdr>
    </w:div>
    <w:div w:id="1141731779">
      <w:bodyDiv w:val="1"/>
      <w:marLeft w:val="0"/>
      <w:marRight w:val="0"/>
      <w:marTop w:val="0"/>
      <w:marBottom w:val="0"/>
      <w:divBdr>
        <w:top w:val="none" w:sz="0" w:space="0" w:color="auto"/>
        <w:left w:val="none" w:sz="0" w:space="0" w:color="auto"/>
        <w:bottom w:val="none" w:sz="0" w:space="0" w:color="auto"/>
        <w:right w:val="none" w:sz="0" w:space="0" w:color="auto"/>
      </w:divBdr>
    </w:div>
    <w:div w:id="1144854252">
      <w:bodyDiv w:val="1"/>
      <w:marLeft w:val="0"/>
      <w:marRight w:val="0"/>
      <w:marTop w:val="0"/>
      <w:marBottom w:val="0"/>
      <w:divBdr>
        <w:top w:val="none" w:sz="0" w:space="0" w:color="auto"/>
        <w:left w:val="none" w:sz="0" w:space="0" w:color="auto"/>
        <w:bottom w:val="none" w:sz="0" w:space="0" w:color="auto"/>
        <w:right w:val="none" w:sz="0" w:space="0" w:color="auto"/>
      </w:divBdr>
    </w:div>
    <w:div w:id="1181355009">
      <w:bodyDiv w:val="1"/>
      <w:marLeft w:val="0"/>
      <w:marRight w:val="0"/>
      <w:marTop w:val="0"/>
      <w:marBottom w:val="0"/>
      <w:divBdr>
        <w:top w:val="none" w:sz="0" w:space="0" w:color="auto"/>
        <w:left w:val="none" w:sz="0" w:space="0" w:color="auto"/>
        <w:bottom w:val="none" w:sz="0" w:space="0" w:color="auto"/>
        <w:right w:val="none" w:sz="0" w:space="0" w:color="auto"/>
      </w:divBdr>
    </w:div>
    <w:div w:id="1210335897">
      <w:bodyDiv w:val="1"/>
      <w:marLeft w:val="0"/>
      <w:marRight w:val="0"/>
      <w:marTop w:val="0"/>
      <w:marBottom w:val="0"/>
      <w:divBdr>
        <w:top w:val="none" w:sz="0" w:space="0" w:color="auto"/>
        <w:left w:val="none" w:sz="0" w:space="0" w:color="auto"/>
        <w:bottom w:val="none" w:sz="0" w:space="0" w:color="auto"/>
        <w:right w:val="none" w:sz="0" w:space="0" w:color="auto"/>
      </w:divBdr>
    </w:div>
    <w:div w:id="1431857468">
      <w:bodyDiv w:val="1"/>
      <w:marLeft w:val="0"/>
      <w:marRight w:val="0"/>
      <w:marTop w:val="0"/>
      <w:marBottom w:val="0"/>
      <w:divBdr>
        <w:top w:val="none" w:sz="0" w:space="0" w:color="auto"/>
        <w:left w:val="none" w:sz="0" w:space="0" w:color="auto"/>
        <w:bottom w:val="none" w:sz="0" w:space="0" w:color="auto"/>
        <w:right w:val="none" w:sz="0" w:space="0" w:color="auto"/>
      </w:divBdr>
    </w:div>
    <w:div w:id="1489906097">
      <w:bodyDiv w:val="1"/>
      <w:marLeft w:val="0"/>
      <w:marRight w:val="0"/>
      <w:marTop w:val="0"/>
      <w:marBottom w:val="0"/>
      <w:divBdr>
        <w:top w:val="none" w:sz="0" w:space="0" w:color="auto"/>
        <w:left w:val="none" w:sz="0" w:space="0" w:color="auto"/>
        <w:bottom w:val="none" w:sz="0" w:space="0" w:color="auto"/>
        <w:right w:val="none" w:sz="0" w:space="0" w:color="auto"/>
      </w:divBdr>
    </w:div>
    <w:div w:id="1563786112">
      <w:bodyDiv w:val="1"/>
      <w:marLeft w:val="0"/>
      <w:marRight w:val="0"/>
      <w:marTop w:val="0"/>
      <w:marBottom w:val="0"/>
      <w:divBdr>
        <w:top w:val="none" w:sz="0" w:space="0" w:color="auto"/>
        <w:left w:val="none" w:sz="0" w:space="0" w:color="auto"/>
        <w:bottom w:val="none" w:sz="0" w:space="0" w:color="auto"/>
        <w:right w:val="none" w:sz="0" w:space="0" w:color="auto"/>
      </w:divBdr>
    </w:div>
    <w:div w:id="1633049340">
      <w:bodyDiv w:val="1"/>
      <w:marLeft w:val="0"/>
      <w:marRight w:val="0"/>
      <w:marTop w:val="0"/>
      <w:marBottom w:val="0"/>
      <w:divBdr>
        <w:top w:val="none" w:sz="0" w:space="0" w:color="auto"/>
        <w:left w:val="none" w:sz="0" w:space="0" w:color="auto"/>
        <w:bottom w:val="none" w:sz="0" w:space="0" w:color="auto"/>
        <w:right w:val="none" w:sz="0" w:space="0" w:color="auto"/>
      </w:divBdr>
    </w:div>
    <w:div w:id="1781950831">
      <w:bodyDiv w:val="1"/>
      <w:marLeft w:val="0"/>
      <w:marRight w:val="0"/>
      <w:marTop w:val="0"/>
      <w:marBottom w:val="0"/>
      <w:divBdr>
        <w:top w:val="none" w:sz="0" w:space="0" w:color="auto"/>
        <w:left w:val="none" w:sz="0" w:space="0" w:color="auto"/>
        <w:bottom w:val="none" w:sz="0" w:space="0" w:color="auto"/>
        <w:right w:val="none" w:sz="0" w:space="0" w:color="auto"/>
      </w:divBdr>
    </w:div>
    <w:div w:id="1840386913">
      <w:bodyDiv w:val="1"/>
      <w:marLeft w:val="0"/>
      <w:marRight w:val="0"/>
      <w:marTop w:val="0"/>
      <w:marBottom w:val="0"/>
      <w:divBdr>
        <w:top w:val="none" w:sz="0" w:space="0" w:color="auto"/>
        <w:left w:val="none" w:sz="0" w:space="0" w:color="auto"/>
        <w:bottom w:val="none" w:sz="0" w:space="0" w:color="auto"/>
        <w:right w:val="none" w:sz="0" w:space="0" w:color="auto"/>
      </w:divBdr>
    </w:div>
    <w:div w:id="1877352060">
      <w:bodyDiv w:val="1"/>
      <w:marLeft w:val="0"/>
      <w:marRight w:val="0"/>
      <w:marTop w:val="0"/>
      <w:marBottom w:val="0"/>
      <w:divBdr>
        <w:top w:val="none" w:sz="0" w:space="0" w:color="auto"/>
        <w:left w:val="none" w:sz="0" w:space="0" w:color="auto"/>
        <w:bottom w:val="none" w:sz="0" w:space="0" w:color="auto"/>
        <w:right w:val="none" w:sz="0" w:space="0" w:color="auto"/>
      </w:divBdr>
    </w:div>
    <w:div w:id="1880819748">
      <w:bodyDiv w:val="1"/>
      <w:marLeft w:val="0"/>
      <w:marRight w:val="0"/>
      <w:marTop w:val="0"/>
      <w:marBottom w:val="0"/>
      <w:divBdr>
        <w:top w:val="none" w:sz="0" w:space="0" w:color="auto"/>
        <w:left w:val="none" w:sz="0" w:space="0" w:color="auto"/>
        <w:bottom w:val="none" w:sz="0" w:space="0" w:color="auto"/>
        <w:right w:val="none" w:sz="0" w:space="0" w:color="auto"/>
      </w:divBdr>
    </w:div>
    <w:div w:id="2002459899">
      <w:bodyDiv w:val="1"/>
      <w:marLeft w:val="0"/>
      <w:marRight w:val="0"/>
      <w:marTop w:val="0"/>
      <w:marBottom w:val="0"/>
      <w:divBdr>
        <w:top w:val="none" w:sz="0" w:space="0" w:color="auto"/>
        <w:left w:val="none" w:sz="0" w:space="0" w:color="auto"/>
        <w:bottom w:val="none" w:sz="0" w:space="0" w:color="auto"/>
        <w:right w:val="none" w:sz="0" w:space="0" w:color="auto"/>
      </w:divBdr>
    </w:div>
    <w:div w:id="213328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D74CE-3E14-42D3-A47A-6F5689BE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15</Pages>
  <Words>9140</Words>
  <Characters>55304</Characters>
  <Application>Microsoft Office Word</Application>
  <DocSecurity>0</DocSecurity>
  <Lines>1580</Lines>
  <Paragraphs>947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Thibaut Computer</dc:creator>
  <cp:keywords/>
  <dc:description/>
  <cp:lastModifiedBy>Editor Acc 101</cp:lastModifiedBy>
  <cp:revision>18</cp:revision>
  <dcterms:created xsi:type="dcterms:W3CDTF">2025-09-15T14:32:00Z</dcterms:created>
  <dcterms:modified xsi:type="dcterms:W3CDTF">2025-09-25T08:36:00Z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zotero-version="7.0.20"&gt;&lt;session id="VnN5Np0i"/&gt;&lt;style id="http://www.zotero.org/styles/vancouver" locale="fr-FR"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y fmtid="{D5CDD505-2E9C-101B-9397-08002B2CF9AE}" pid="4" name="GrammarlyDocumentId">
    <vt:lpwstr>e64c6b93-19a4-4da5-b582-4a3ed5c6b7e8</vt:lpwstr>
  </property>
</Properties>
</file>