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ACA" w:rsidRDefault="00092ACA">
      <w:pPr>
        <w:widowControl w:val="0"/>
        <w:pBdr>
          <w:top w:val="nil"/>
          <w:left w:val="nil"/>
          <w:bottom w:val="nil"/>
          <w:right w:val="nil"/>
          <w:between w:val="nil"/>
        </w:pBdr>
        <w:spacing w:after="0" w:line="276" w:lineRule="auto"/>
        <w:ind w:right="0" w:firstLine="0"/>
        <w:jc w:val="left"/>
      </w:pPr>
    </w:p>
    <w:p w:rsidR="00092ACA" w:rsidRDefault="00092ACA">
      <w:pPr>
        <w:spacing w:after="243"/>
        <w:ind w:left="-5" w:right="0" w:hanging="10"/>
        <w:jc w:val="left"/>
        <w:rPr>
          <w:b/>
          <w:sz w:val="36"/>
          <w:szCs w:val="36"/>
        </w:rPr>
      </w:pPr>
    </w:p>
    <w:p w:rsidR="00092ACA" w:rsidRDefault="00D63772">
      <w:pPr>
        <w:spacing w:after="243"/>
        <w:ind w:left="-5" w:right="0" w:hanging="10"/>
        <w:jc w:val="left"/>
        <w:rPr>
          <w:b/>
          <w:sz w:val="36"/>
          <w:szCs w:val="36"/>
        </w:rPr>
      </w:pPr>
      <w:r>
        <w:rPr>
          <w:b/>
          <w:sz w:val="36"/>
          <w:szCs w:val="36"/>
        </w:rPr>
        <w:t xml:space="preserve">Verruca Vulgaris of the Right Buccal Mucosa: A Case Report  </w:t>
      </w:r>
    </w:p>
    <w:p w:rsidR="00092ACA" w:rsidRDefault="00092ACA">
      <w:pPr>
        <w:spacing w:after="111"/>
        <w:ind w:left="-5" w:right="0" w:hanging="10"/>
        <w:jc w:val="left"/>
      </w:pPr>
    </w:p>
    <w:p w:rsidR="00092ACA" w:rsidRDefault="005635C9">
      <w:pPr>
        <w:pStyle w:val="Heading1"/>
        <w:spacing w:after="161"/>
        <w:ind w:left="10" w:hanging="10"/>
      </w:pPr>
      <w:r>
        <w:rPr>
          <w:sz w:val="22"/>
          <w:szCs w:val="22"/>
        </w:rPr>
        <w:t xml:space="preserve">ABSTRACT  </w:t>
      </w:r>
    </w:p>
    <w:p w:rsidR="00092ACA" w:rsidRDefault="005635C9">
      <w:pPr>
        <w:ind w:right="14"/>
      </w:pPr>
      <w:r>
        <w:t>Verruca vulgaris, commonly referred to as a wart, is a benign growth that develops due to infection with the human papillomavirus (HPV). While warts are predominantly found on the skin, oral involvement is relatively uncommon. Clinically, oral lesions may appear as verruca plana, filiform warts, or verruca vulgaris. The latter is a self-limiting lesion of the skin and mucosa that can persist for years without intervention. This report highlights the case of a 42-year-old male who presented with a whitish, finger-like lesion on the right buccal mucosa</w:t>
      </w:r>
      <w:r>
        <w:rPr>
          <w:highlight w:val="yellow"/>
        </w:rPr>
        <w:t>.</w:t>
      </w:r>
      <w:r w:rsidR="00D63772">
        <w:rPr>
          <w:highlight w:val="yellow"/>
        </w:rPr>
        <w:t xml:space="preserve"> </w:t>
      </w:r>
      <w:proofErr w:type="gramStart"/>
      <w:r>
        <w:rPr>
          <w:highlight w:val="yellow"/>
        </w:rPr>
        <w:t>This</w:t>
      </w:r>
      <w:proofErr w:type="gramEnd"/>
      <w:r>
        <w:rPr>
          <w:highlight w:val="yellow"/>
        </w:rPr>
        <w:t xml:space="preserve"> lesion was described as slow growing with no symptoms but later difficulty in mastication. </w:t>
      </w:r>
      <w:r>
        <w:t xml:space="preserve">Following clinical and histological evaluation, the lesion was diagnosed as verruca vulgaris, and complete excision was performed under local anesthesia </w:t>
      </w:r>
      <w:r>
        <w:rPr>
          <w:sz w:val="22"/>
          <w:szCs w:val="22"/>
        </w:rPr>
        <w:t xml:space="preserve"> </w:t>
      </w:r>
    </w:p>
    <w:p w:rsidR="00092ACA" w:rsidRDefault="005635C9">
      <w:pPr>
        <w:spacing w:after="2"/>
        <w:ind w:right="0" w:firstLine="0"/>
        <w:jc w:val="left"/>
      </w:pPr>
      <w:r>
        <w:rPr>
          <w:sz w:val="22"/>
          <w:szCs w:val="22"/>
        </w:rPr>
        <w:t xml:space="preserve"> </w:t>
      </w:r>
    </w:p>
    <w:p w:rsidR="00092ACA" w:rsidRDefault="005635C9">
      <w:pPr>
        <w:spacing w:after="2"/>
        <w:ind w:right="0" w:firstLine="0"/>
        <w:jc w:val="left"/>
      </w:pPr>
      <w:r>
        <w:rPr>
          <w:i/>
          <w:sz w:val="22"/>
          <w:szCs w:val="22"/>
        </w:rPr>
        <w:t>Keywords: Human papillomavirus,</w:t>
      </w:r>
      <w:r w:rsidR="00D63772">
        <w:rPr>
          <w:i/>
          <w:sz w:val="22"/>
          <w:szCs w:val="22"/>
        </w:rPr>
        <w:t xml:space="preserve"> </w:t>
      </w:r>
      <w:r>
        <w:rPr>
          <w:i/>
          <w:sz w:val="22"/>
          <w:szCs w:val="22"/>
        </w:rPr>
        <w:t>Verruca vulgaris,</w:t>
      </w:r>
      <w:r w:rsidR="00D63772">
        <w:rPr>
          <w:i/>
          <w:sz w:val="22"/>
          <w:szCs w:val="22"/>
        </w:rPr>
        <w:t xml:space="preserve"> </w:t>
      </w:r>
      <w:r>
        <w:rPr>
          <w:i/>
          <w:sz w:val="22"/>
          <w:szCs w:val="22"/>
        </w:rPr>
        <w:t>Common warts</w:t>
      </w:r>
      <w:r w:rsidR="00D63772">
        <w:rPr>
          <w:i/>
          <w:sz w:val="22"/>
          <w:szCs w:val="22"/>
        </w:rPr>
        <w:t xml:space="preserve">, </w:t>
      </w:r>
      <w:r w:rsidR="00D63772" w:rsidRPr="00D63772">
        <w:rPr>
          <w:i/>
          <w:sz w:val="22"/>
          <w:szCs w:val="22"/>
        </w:rPr>
        <w:t>filiform warts</w:t>
      </w:r>
    </w:p>
    <w:p w:rsidR="00092ACA" w:rsidRDefault="005635C9">
      <w:pPr>
        <w:spacing w:after="21"/>
        <w:ind w:right="0" w:firstLine="0"/>
        <w:jc w:val="left"/>
        <w:rPr>
          <w:i/>
          <w:sz w:val="22"/>
          <w:szCs w:val="22"/>
        </w:rPr>
      </w:pPr>
      <w:r>
        <w:rPr>
          <w:i/>
          <w:sz w:val="22"/>
          <w:szCs w:val="22"/>
        </w:rPr>
        <w:t xml:space="preserve"> </w:t>
      </w:r>
    </w:p>
    <w:p w:rsidR="00092ACA" w:rsidRDefault="00092ACA">
      <w:pPr>
        <w:spacing w:after="21"/>
        <w:ind w:right="0" w:firstLine="0"/>
        <w:jc w:val="left"/>
        <w:rPr>
          <w:sz w:val="22"/>
          <w:szCs w:val="22"/>
        </w:rPr>
      </w:pPr>
    </w:p>
    <w:p w:rsidR="00092ACA" w:rsidRDefault="005635C9">
      <w:pPr>
        <w:pStyle w:val="Heading1"/>
      </w:pPr>
      <w:r>
        <w:t xml:space="preserve">INTRODUCTION  </w:t>
      </w:r>
    </w:p>
    <w:p w:rsidR="00092ACA" w:rsidRDefault="005635C9">
      <w:pPr>
        <w:spacing w:after="185"/>
        <w:ind w:right="14"/>
      </w:pPr>
      <w:r>
        <w:t xml:space="preserve">Verruca vulgaris (VV), also called common wart, is a lesion associated with HPV infection and is typically observed on the skin and mucosal surfaces </w:t>
      </w:r>
      <w:hyperlink r:id="rId7">
        <w:r>
          <w:t>[</w:t>
        </w:r>
      </w:hyperlink>
      <w:hyperlink r:id="rId8">
        <w:r>
          <w:rPr>
            <w:color w:val="1155CC"/>
            <w:u w:val="single"/>
          </w:rPr>
          <w:t>1</w:t>
        </w:r>
      </w:hyperlink>
      <w:r>
        <w:t xml:space="preserve">]. It represents a benign epithelial proliferation, with malignant transformation being extremely uncommon </w:t>
      </w:r>
      <w:hyperlink r:id="rId9">
        <w:r>
          <w:t>[</w:t>
        </w:r>
      </w:hyperlink>
      <w:hyperlink r:id="rId10">
        <w:r>
          <w:rPr>
            <w:color w:val="1155CC"/>
            <w:u w:val="single"/>
          </w:rPr>
          <w:t>2</w:t>
        </w:r>
      </w:hyperlink>
      <w:r>
        <w:t xml:space="preserve">]. Clinical presentation can vary depending on the viral subtype and anatomical location. Oral manifestations, though rare, resemble cutaneous lesions and usually appear as sessile or exophytic growths with a papillomatous or rough surface </w:t>
      </w:r>
      <w:hyperlink r:id="rId11">
        <w:r>
          <w:t>[</w:t>
        </w:r>
      </w:hyperlink>
      <w:hyperlink r:id="rId12">
        <w:r>
          <w:rPr>
            <w:color w:val="1155CC"/>
            <w:u w:val="single"/>
          </w:rPr>
          <w:t>3</w:t>
        </w:r>
      </w:hyperlink>
      <w:hyperlink r:id="rId13">
        <w:r>
          <w:rPr>
            <w:u w:val="single"/>
          </w:rPr>
          <w:t>,</w:t>
        </w:r>
      </w:hyperlink>
      <w:hyperlink r:id="rId14">
        <w:r>
          <w:rPr>
            <w:color w:val="1155CC"/>
            <w:u w:val="single"/>
          </w:rPr>
          <w:t>4</w:t>
        </w:r>
      </w:hyperlink>
      <w:r>
        <w:t xml:space="preserve">]. These lesions may develop at any age but are more frequently seen in children. The lips, buccal mucosa, and tongue are the most common intraoral sites </w:t>
      </w:r>
      <w:hyperlink r:id="rId15">
        <w:r>
          <w:t>[</w:t>
        </w:r>
      </w:hyperlink>
      <w:hyperlink r:id="rId16">
        <w:r>
          <w:rPr>
            <w:color w:val="1155CC"/>
            <w:u w:val="single"/>
          </w:rPr>
          <w:t>5</w:t>
        </w:r>
      </w:hyperlink>
      <w:r>
        <w:t xml:space="preserve">]. The presence of HPV in oral tissues has been confirmed through electron microscopy, molecular biology, and immunohistochemistry </w:t>
      </w:r>
      <w:hyperlink r:id="rId17">
        <w:r>
          <w:t>[</w:t>
        </w:r>
      </w:hyperlink>
      <w:hyperlink r:id="rId18">
        <w:r>
          <w:rPr>
            <w:color w:val="1155CC"/>
            <w:u w:val="single"/>
          </w:rPr>
          <w:t>6</w:t>
        </w:r>
      </w:hyperlink>
      <w:hyperlink r:id="rId19">
        <w:r>
          <w:rPr>
            <w:u w:val="single"/>
          </w:rPr>
          <w:t>,</w:t>
        </w:r>
      </w:hyperlink>
      <w:hyperlink r:id="rId20">
        <w:r>
          <w:rPr>
            <w:color w:val="1155CC"/>
            <w:u w:val="single"/>
          </w:rPr>
          <w:t>7</w:t>
        </w:r>
      </w:hyperlink>
      <w:r>
        <w:t xml:space="preserve">].  </w:t>
      </w:r>
    </w:p>
    <w:p w:rsidR="00092ACA" w:rsidRDefault="005635C9">
      <w:pPr>
        <w:pStyle w:val="Heading2"/>
        <w:ind w:left="10" w:firstLine="60"/>
      </w:pPr>
      <w:r>
        <w:t xml:space="preserve">CASE PRESENTATION  </w:t>
      </w:r>
    </w:p>
    <w:p w:rsidR="00092ACA" w:rsidRDefault="005635C9">
      <w:pPr>
        <w:spacing w:after="285" w:line="261" w:lineRule="auto"/>
        <w:ind w:right="0"/>
        <w:jc w:val="left"/>
      </w:pPr>
      <w:r>
        <w:t xml:space="preserve">A 42-year-old male attended a private dental clinic with a history of a painless growth on the right buccal mucosa that had persisted for three years. The lesion had slowly enlarged over time and was described as whitish, fleshy, and finger-like in appearance. The patient also expressed difficulty in mastication due to the lesion.  </w:t>
      </w:r>
    </w:p>
    <w:p w:rsidR="00092ACA" w:rsidRDefault="005635C9">
      <w:pPr>
        <w:spacing w:after="289"/>
        <w:ind w:right="414"/>
        <w:rPr>
          <w:highlight w:val="yellow"/>
        </w:rPr>
      </w:pPr>
      <w:r>
        <w:t xml:space="preserve">On examination, a solitary, irregular growth measuring approximately 2 × 2 cm was observed in the right buccal mucosa. The lesion extended from the commissure of the lip anteriorly to the pterygomandibular raphe posteriorly and from the maxillary to mandibular vestibule vertically. The surface appeared rough and hyperpigmented. On palpation, the lesion was firm, leathery in consistency, non-movable, and non-pinchable, with no associated ulceration or discharge. The patient was scheduled for excisional biopsy under local anesthesia after routine blood investigations. The specimen was preserved and submitted for histopathology    examination. </w:t>
      </w:r>
      <w:r>
        <w:rPr>
          <w:highlight w:val="yellow"/>
        </w:rPr>
        <w:t xml:space="preserve">All the following procedures were performed </w:t>
      </w:r>
      <w:proofErr w:type="gramStart"/>
      <w:r>
        <w:rPr>
          <w:highlight w:val="yellow"/>
        </w:rPr>
        <w:t>with  patients</w:t>
      </w:r>
      <w:proofErr w:type="gramEnd"/>
      <w:r>
        <w:rPr>
          <w:highlight w:val="yellow"/>
        </w:rPr>
        <w:t>' concern.</w:t>
      </w:r>
    </w:p>
    <w:p w:rsidR="00092ACA" w:rsidRDefault="005635C9">
      <w:pPr>
        <w:spacing w:after="0"/>
        <w:ind w:left="519" w:right="0" w:firstLine="0"/>
        <w:jc w:val="center"/>
      </w:pPr>
      <w:r>
        <w:rPr>
          <w:noProof/>
        </w:rPr>
        <w:lastRenderedPageBreak/>
        <w:drawing>
          <wp:inline distT="0" distB="0" distL="0" distR="0">
            <wp:extent cx="2962275" cy="22193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2962275" cy="2219325"/>
                    </a:xfrm>
                    <a:prstGeom prst="rect">
                      <a:avLst/>
                    </a:prstGeom>
                    <a:ln/>
                  </pic:spPr>
                </pic:pic>
              </a:graphicData>
            </a:graphic>
          </wp:inline>
        </w:drawing>
      </w:r>
      <w:r>
        <w:rPr>
          <w:sz w:val="22"/>
          <w:szCs w:val="22"/>
        </w:rPr>
        <w:t xml:space="preserve"> </w:t>
      </w:r>
    </w:p>
    <w:p w:rsidR="00092ACA" w:rsidRDefault="005635C9">
      <w:pPr>
        <w:pStyle w:val="Heading3"/>
      </w:pPr>
      <w:r>
        <w:t xml:space="preserve">Figure 1: Lesion on right buccal mucosa  </w:t>
      </w:r>
    </w:p>
    <w:p w:rsidR="00092ACA" w:rsidRDefault="005635C9">
      <w:pPr>
        <w:spacing w:after="0"/>
        <w:ind w:right="1695" w:firstLine="0"/>
        <w:jc w:val="right"/>
      </w:pPr>
      <w:r>
        <w:rPr>
          <w:noProof/>
        </w:rPr>
        <w:drawing>
          <wp:inline distT="0" distB="0" distL="0" distR="0">
            <wp:extent cx="3657600" cy="27432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3657600" cy="2743200"/>
                    </a:xfrm>
                    <a:prstGeom prst="rect">
                      <a:avLst/>
                    </a:prstGeom>
                    <a:ln/>
                  </pic:spPr>
                </pic:pic>
              </a:graphicData>
            </a:graphic>
          </wp:inline>
        </w:drawing>
      </w:r>
      <w:r>
        <w:rPr>
          <w:sz w:val="22"/>
          <w:szCs w:val="22"/>
        </w:rPr>
        <w:t xml:space="preserve"> </w:t>
      </w:r>
    </w:p>
    <w:p w:rsidR="00092ACA" w:rsidRDefault="005635C9">
      <w:pPr>
        <w:spacing w:after="0"/>
        <w:ind w:left="2895" w:right="0" w:firstLine="0"/>
        <w:jc w:val="left"/>
      </w:pPr>
      <w:r>
        <w:rPr>
          <w:sz w:val="22"/>
          <w:szCs w:val="22"/>
        </w:rPr>
        <w:t xml:space="preserve"> </w:t>
      </w:r>
    </w:p>
    <w:p w:rsidR="00092ACA" w:rsidRDefault="005635C9">
      <w:pPr>
        <w:pStyle w:val="Heading3"/>
        <w:spacing w:after="227"/>
        <w:ind w:right="2314"/>
      </w:pPr>
      <w:r>
        <w:t xml:space="preserve">Figure 2: Excision of the lesion  </w:t>
      </w:r>
    </w:p>
    <w:p w:rsidR="00092ACA" w:rsidRDefault="005635C9">
      <w:pPr>
        <w:spacing w:after="0"/>
        <w:ind w:right="2055" w:firstLine="0"/>
        <w:jc w:val="right"/>
      </w:pPr>
      <w:r>
        <w:rPr>
          <w:noProof/>
        </w:rPr>
        <w:drawing>
          <wp:inline distT="0" distB="0" distL="0" distR="0">
            <wp:extent cx="3657600" cy="27432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srcRect/>
                    <a:stretch>
                      <a:fillRect/>
                    </a:stretch>
                  </pic:blipFill>
                  <pic:spPr>
                    <a:xfrm>
                      <a:off x="0" y="0"/>
                      <a:ext cx="3657600" cy="2743200"/>
                    </a:xfrm>
                    <a:prstGeom prst="rect">
                      <a:avLst/>
                    </a:prstGeom>
                    <a:ln/>
                  </pic:spPr>
                </pic:pic>
              </a:graphicData>
            </a:graphic>
          </wp:inline>
        </w:drawing>
      </w:r>
      <w:r>
        <w:rPr>
          <w:sz w:val="22"/>
          <w:szCs w:val="22"/>
        </w:rPr>
        <w:t xml:space="preserve"> </w:t>
      </w:r>
    </w:p>
    <w:p w:rsidR="00092ACA" w:rsidRDefault="005635C9">
      <w:pPr>
        <w:spacing w:after="0"/>
        <w:ind w:left="3600" w:right="0" w:firstLine="0"/>
        <w:jc w:val="left"/>
      </w:pPr>
      <w:r>
        <w:rPr>
          <w:sz w:val="22"/>
          <w:szCs w:val="22"/>
        </w:rPr>
        <w:t xml:space="preserve"> </w:t>
      </w:r>
    </w:p>
    <w:p w:rsidR="00092ACA" w:rsidRDefault="005635C9">
      <w:pPr>
        <w:pStyle w:val="Heading3"/>
        <w:ind w:right="1198"/>
      </w:pPr>
      <w:r>
        <w:t xml:space="preserve">Figure 3: Excised specimen  </w:t>
      </w:r>
    </w:p>
    <w:p w:rsidR="00092ACA" w:rsidRDefault="005635C9">
      <w:pPr>
        <w:spacing w:after="0" w:line="240" w:lineRule="auto"/>
        <w:ind w:left="15" w:right="8882" w:firstLine="0"/>
        <w:jc w:val="left"/>
      </w:pPr>
      <w:r>
        <w:rPr>
          <w:sz w:val="22"/>
          <w:szCs w:val="22"/>
        </w:rPr>
        <w:t xml:space="preserve">                    </w:t>
      </w:r>
    </w:p>
    <w:p w:rsidR="00092ACA" w:rsidRDefault="005635C9">
      <w:pPr>
        <w:spacing w:after="0"/>
        <w:ind w:left="15" w:right="0" w:firstLine="0"/>
        <w:jc w:val="left"/>
      </w:pPr>
      <w:r>
        <w:rPr>
          <w:sz w:val="22"/>
          <w:szCs w:val="22"/>
        </w:rPr>
        <w:t xml:space="preserve">                  </w:t>
      </w:r>
    </w:p>
    <w:p w:rsidR="00092ACA" w:rsidRDefault="005635C9">
      <w:pPr>
        <w:spacing w:after="0"/>
        <w:ind w:left="15" w:right="0" w:firstLine="0"/>
        <w:jc w:val="left"/>
      </w:pPr>
      <w:r>
        <w:rPr>
          <w:sz w:val="22"/>
          <w:szCs w:val="22"/>
        </w:rPr>
        <w:lastRenderedPageBreak/>
        <w:t xml:space="preserve">                             </w:t>
      </w:r>
      <w:r>
        <w:rPr>
          <w:noProof/>
        </w:rPr>
        <w:drawing>
          <wp:inline distT="0" distB="0" distL="0" distR="0">
            <wp:extent cx="3657600" cy="274320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4"/>
                    <a:srcRect/>
                    <a:stretch>
                      <a:fillRect/>
                    </a:stretch>
                  </pic:blipFill>
                  <pic:spPr>
                    <a:xfrm>
                      <a:off x="0" y="0"/>
                      <a:ext cx="3657600" cy="2743200"/>
                    </a:xfrm>
                    <a:prstGeom prst="rect">
                      <a:avLst/>
                    </a:prstGeom>
                    <a:ln/>
                  </pic:spPr>
                </pic:pic>
              </a:graphicData>
            </a:graphic>
          </wp:inline>
        </w:drawing>
      </w:r>
      <w:r>
        <w:rPr>
          <w:sz w:val="22"/>
          <w:szCs w:val="22"/>
        </w:rPr>
        <w:t xml:space="preserve"> </w:t>
      </w:r>
    </w:p>
    <w:p w:rsidR="00092ACA" w:rsidRDefault="005635C9">
      <w:pPr>
        <w:spacing w:after="0"/>
        <w:ind w:left="15" w:right="0" w:firstLine="0"/>
        <w:jc w:val="left"/>
      </w:pPr>
      <w:r>
        <w:rPr>
          <w:sz w:val="22"/>
          <w:szCs w:val="22"/>
        </w:rPr>
        <w:t xml:space="preserve"> </w:t>
      </w:r>
    </w:p>
    <w:p w:rsidR="00092ACA" w:rsidRDefault="005635C9">
      <w:pPr>
        <w:tabs>
          <w:tab w:val="center" w:pos="1440"/>
          <w:tab w:val="center" w:pos="4525"/>
        </w:tabs>
        <w:spacing w:after="4" w:line="250" w:lineRule="auto"/>
        <w:ind w:right="0" w:firstLine="0"/>
        <w:jc w:val="left"/>
      </w:pPr>
      <w:r>
        <w:rPr>
          <w:sz w:val="22"/>
          <w:szCs w:val="22"/>
        </w:rPr>
        <w:t xml:space="preserve">                  </w:t>
      </w:r>
      <w:r>
        <w:rPr>
          <w:sz w:val="22"/>
          <w:szCs w:val="22"/>
        </w:rPr>
        <w:tab/>
        <w:t xml:space="preserve"> </w:t>
      </w:r>
      <w:r>
        <w:rPr>
          <w:sz w:val="22"/>
          <w:szCs w:val="22"/>
        </w:rPr>
        <w:tab/>
        <w:t xml:space="preserve">Figure 4: Buccal mucosa showing excised lesion </w:t>
      </w:r>
    </w:p>
    <w:p w:rsidR="00092ACA" w:rsidRDefault="005635C9">
      <w:pPr>
        <w:spacing w:after="243"/>
        <w:ind w:left="15" w:right="0" w:firstLine="0"/>
        <w:jc w:val="left"/>
      </w:pPr>
      <w:r>
        <w:rPr>
          <w:sz w:val="22"/>
          <w:szCs w:val="22"/>
        </w:rPr>
        <w:t xml:space="preserve"> </w:t>
      </w:r>
    </w:p>
    <w:p w:rsidR="00092ACA" w:rsidRDefault="005635C9">
      <w:pPr>
        <w:spacing w:after="243"/>
        <w:ind w:left="67" w:right="0" w:firstLine="0"/>
        <w:jc w:val="center"/>
      </w:pPr>
      <w:r>
        <w:rPr>
          <w:sz w:val="22"/>
          <w:szCs w:val="22"/>
        </w:rPr>
        <w:t xml:space="preserve"> </w:t>
      </w:r>
    </w:p>
    <w:p w:rsidR="00092ACA" w:rsidRDefault="005635C9">
      <w:pPr>
        <w:spacing w:after="243"/>
        <w:ind w:left="67" w:right="0" w:firstLine="0"/>
        <w:jc w:val="center"/>
      </w:pPr>
      <w:r>
        <w:rPr>
          <w:sz w:val="22"/>
          <w:szCs w:val="22"/>
        </w:rPr>
        <w:t xml:space="preserve"> </w:t>
      </w:r>
    </w:p>
    <w:p w:rsidR="00092ACA" w:rsidRDefault="005635C9">
      <w:pPr>
        <w:spacing w:after="227"/>
        <w:ind w:left="67" w:right="0" w:firstLine="0"/>
        <w:jc w:val="center"/>
      </w:pPr>
      <w:r>
        <w:rPr>
          <w:sz w:val="22"/>
          <w:szCs w:val="22"/>
        </w:rPr>
        <w:t xml:space="preserve"> </w:t>
      </w:r>
    </w:p>
    <w:p w:rsidR="00092ACA" w:rsidRDefault="005635C9">
      <w:pPr>
        <w:spacing w:after="0"/>
        <w:ind w:right="2055" w:firstLine="0"/>
        <w:jc w:val="right"/>
      </w:pPr>
      <w:r>
        <w:rPr>
          <w:noProof/>
        </w:rPr>
        <w:drawing>
          <wp:inline distT="0" distB="0" distL="0" distR="0">
            <wp:extent cx="3657600" cy="27432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5"/>
                    <a:srcRect/>
                    <a:stretch>
                      <a:fillRect/>
                    </a:stretch>
                  </pic:blipFill>
                  <pic:spPr>
                    <a:xfrm>
                      <a:off x="0" y="0"/>
                      <a:ext cx="3657600" cy="2743200"/>
                    </a:xfrm>
                    <a:prstGeom prst="rect">
                      <a:avLst/>
                    </a:prstGeom>
                    <a:ln/>
                  </pic:spPr>
                </pic:pic>
              </a:graphicData>
            </a:graphic>
          </wp:inline>
        </w:drawing>
      </w:r>
      <w:r>
        <w:rPr>
          <w:sz w:val="22"/>
          <w:szCs w:val="22"/>
        </w:rPr>
        <w:t xml:space="preserve"> </w:t>
      </w:r>
    </w:p>
    <w:p w:rsidR="00092ACA" w:rsidRDefault="005635C9">
      <w:pPr>
        <w:spacing w:after="0"/>
        <w:ind w:left="67" w:right="0" w:firstLine="0"/>
        <w:jc w:val="center"/>
      </w:pPr>
      <w:r>
        <w:rPr>
          <w:sz w:val="22"/>
          <w:szCs w:val="22"/>
        </w:rPr>
        <w:t xml:space="preserve"> </w:t>
      </w:r>
    </w:p>
    <w:p w:rsidR="00092ACA" w:rsidRDefault="005635C9">
      <w:pPr>
        <w:spacing w:after="0"/>
        <w:ind w:right="0" w:firstLine="0"/>
        <w:jc w:val="left"/>
      </w:pPr>
      <w:r>
        <w:rPr>
          <w:sz w:val="22"/>
          <w:szCs w:val="22"/>
        </w:rPr>
        <w:t xml:space="preserve"> </w:t>
      </w:r>
    </w:p>
    <w:p w:rsidR="00092ACA" w:rsidRDefault="005635C9">
      <w:pPr>
        <w:spacing w:after="4" w:line="250" w:lineRule="auto"/>
        <w:ind w:left="10" w:right="1431" w:hanging="10"/>
        <w:jc w:val="left"/>
      </w:pPr>
      <w:r>
        <w:rPr>
          <w:sz w:val="22"/>
          <w:szCs w:val="22"/>
        </w:rPr>
        <w:t xml:space="preserve">                                             Figure 5:  Sutures placed in the excised site  </w:t>
      </w:r>
    </w:p>
    <w:p w:rsidR="00092ACA" w:rsidRDefault="005635C9">
      <w:pPr>
        <w:spacing w:after="243"/>
        <w:ind w:right="0" w:firstLine="0"/>
        <w:jc w:val="left"/>
      </w:pPr>
      <w:r>
        <w:rPr>
          <w:sz w:val="22"/>
          <w:szCs w:val="22"/>
        </w:rPr>
        <w:t xml:space="preserve"> </w:t>
      </w:r>
    </w:p>
    <w:p w:rsidR="00092ACA" w:rsidRDefault="005635C9">
      <w:pPr>
        <w:spacing w:after="0"/>
        <w:ind w:left="67" w:right="0" w:firstLine="0"/>
        <w:jc w:val="center"/>
      </w:pPr>
      <w:r>
        <w:rPr>
          <w:sz w:val="22"/>
          <w:szCs w:val="22"/>
        </w:rPr>
        <w:t xml:space="preserve"> </w:t>
      </w:r>
    </w:p>
    <w:p w:rsidR="00092ACA" w:rsidRDefault="005635C9">
      <w:pPr>
        <w:spacing w:after="4" w:line="250" w:lineRule="auto"/>
        <w:ind w:right="1431" w:firstLine="2137"/>
        <w:jc w:val="left"/>
      </w:pPr>
      <w:r>
        <w:rPr>
          <w:noProof/>
        </w:rPr>
        <w:lastRenderedPageBreak/>
        <w:drawing>
          <wp:inline distT="0" distB="0" distL="0" distR="0">
            <wp:extent cx="3657600" cy="2743200"/>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6"/>
                    <a:srcRect/>
                    <a:stretch>
                      <a:fillRect/>
                    </a:stretch>
                  </pic:blipFill>
                  <pic:spPr>
                    <a:xfrm>
                      <a:off x="0" y="0"/>
                      <a:ext cx="3657600" cy="2743200"/>
                    </a:xfrm>
                    <a:prstGeom prst="rect">
                      <a:avLst/>
                    </a:prstGeom>
                    <a:ln/>
                  </pic:spPr>
                </pic:pic>
              </a:graphicData>
            </a:graphic>
          </wp:inline>
        </w:drawing>
      </w:r>
      <w:r>
        <w:rPr>
          <w:sz w:val="22"/>
          <w:szCs w:val="22"/>
        </w:rPr>
        <w:t xml:space="preserve">                                                        Figure 6:  Post-operative healing </w:t>
      </w:r>
    </w:p>
    <w:p w:rsidR="00092ACA" w:rsidRDefault="005635C9">
      <w:pPr>
        <w:spacing w:after="403"/>
        <w:ind w:left="15" w:right="0" w:firstLine="0"/>
        <w:jc w:val="left"/>
      </w:pPr>
      <w:r>
        <w:rPr>
          <w:sz w:val="22"/>
          <w:szCs w:val="22"/>
        </w:rPr>
        <w:t xml:space="preserve"> </w:t>
      </w:r>
    </w:p>
    <w:p w:rsidR="00092ACA" w:rsidRDefault="005635C9">
      <w:pPr>
        <w:pStyle w:val="Heading2"/>
        <w:ind w:left="10" w:firstLine="60"/>
      </w:pPr>
      <w:r>
        <w:t xml:space="preserve">HISTOPATHOLOGY  </w:t>
      </w:r>
    </w:p>
    <w:p w:rsidR="00092ACA" w:rsidRDefault="005635C9">
      <w:pPr>
        <w:spacing w:after="204"/>
        <w:ind w:right="14"/>
      </w:pPr>
      <w:r>
        <w:t xml:space="preserve">Microscopic examination revealed features consistent with verruca vulgaris. The lesion showed hyperkeratotic stratified squamous epithelium arranged into elongated, finger-like projections supported by connective tissue cores. The underlying connective tissue exhibited a chronic inflammatory cell infiltrate. Rete ridges appeared elongated and converged toward the lesion’s center, producing a characteristic “cupping” configuration </w:t>
      </w:r>
      <w:hyperlink r:id="rId27">
        <w:r>
          <w:t>[</w:t>
        </w:r>
      </w:hyperlink>
      <w:hyperlink r:id="rId28">
        <w:r>
          <w:rPr>
            <w:color w:val="1155CC"/>
            <w:u w:val="single"/>
          </w:rPr>
          <w:t>8</w:t>
        </w:r>
      </w:hyperlink>
      <w:r>
        <w:t xml:space="preserve">]. The granular layer displayed </w:t>
      </w:r>
      <w:proofErr w:type="spellStart"/>
      <w:r>
        <w:t>hypergranulosis</w:t>
      </w:r>
      <w:proofErr w:type="spellEnd"/>
      <w:r>
        <w:t xml:space="preserve"> with coarse, clumped keratohyalin granules. Numerous </w:t>
      </w:r>
      <w:proofErr w:type="spellStart"/>
      <w:r>
        <w:t>koilocytes</w:t>
      </w:r>
      <w:proofErr w:type="spellEnd"/>
      <w:r>
        <w:t xml:space="preserve"> (HPV-altered epithelial cells with perinuclear halos and pyknotic nuclei) were present in the superficial spinous layer. Occasional eosinophilic intranuclear inclusions were also identified </w:t>
      </w:r>
      <w:hyperlink r:id="rId29">
        <w:r>
          <w:t>[</w:t>
        </w:r>
      </w:hyperlink>
      <w:hyperlink r:id="rId30">
        <w:r>
          <w:rPr>
            <w:color w:val="1155CC"/>
            <w:u w:val="single"/>
          </w:rPr>
          <w:t>9</w:t>
        </w:r>
      </w:hyperlink>
      <w:r>
        <w:t xml:space="preserve">].  </w:t>
      </w:r>
    </w:p>
    <w:p w:rsidR="00092ACA" w:rsidRDefault="005635C9">
      <w:pPr>
        <w:spacing w:after="148"/>
        <w:ind w:left="15" w:right="0" w:firstLine="0"/>
        <w:jc w:val="left"/>
      </w:pPr>
      <w:r>
        <w:rPr>
          <w:b/>
          <w:sz w:val="24"/>
          <w:szCs w:val="24"/>
        </w:rPr>
        <w:t xml:space="preserve"> </w:t>
      </w:r>
    </w:p>
    <w:p w:rsidR="00092ACA" w:rsidRDefault="005635C9">
      <w:pPr>
        <w:spacing w:after="161"/>
        <w:ind w:left="15" w:right="0" w:firstLine="0"/>
        <w:jc w:val="left"/>
      </w:pPr>
      <w:r>
        <w:rPr>
          <w:b/>
          <w:sz w:val="24"/>
          <w:szCs w:val="24"/>
        </w:rPr>
        <w:t xml:space="preserve"> </w:t>
      </w:r>
    </w:p>
    <w:p w:rsidR="00092ACA" w:rsidRDefault="005635C9">
      <w:pPr>
        <w:pStyle w:val="Heading2"/>
        <w:ind w:left="10" w:firstLine="60"/>
      </w:pPr>
      <w:r>
        <w:t>DISCUSSION</w:t>
      </w:r>
      <w:r>
        <w:rPr>
          <w:sz w:val="24"/>
          <w:szCs w:val="24"/>
        </w:rPr>
        <w:t xml:space="preserve">  </w:t>
      </w:r>
    </w:p>
    <w:p w:rsidR="00092ACA" w:rsidRDefault="005635C9">
      <w:pPr>
        <w:spacing w:after="308"/>
        <w:ind w:right="115"/>
      </w:pPr>
      <w:r>
        <w:t xml:space="preserve">Oral verruca vulgaris represents a relatively small proportion of papillomatous lesions of the oral cavity caused by HPV types mainly HPV-2 and HPV-4 </w:t>
      </w:r>
      <w:hyperlink r:id="rId31">
        <w:r>
          <w:t>[</w:t>
        </w:r>
      </w:hyperlink>
      <w:hyperlink r:id="rId32">
        <w:r>
          <w:rPr>
            <w:color w:val="1155CC"/>
            <w:u w:val="single"/>
          </w:rPr>
          <w:t>5</w:t>
        </w:r>
      </w:hyperlink>
      <w:r>
        <w:t xml:space="preserve">]. These lesions may range from solitary exophytic growths to multiple spreading verrucous proliferations. The presence of </w:t>
      </w:r>
      <w:proofErr w:type="spellStart"/>
      <w:r>
        <w:t>koilocytes</w:t>
      </w:r>
      <w:proofErr w:type="spellEnd"/>
      <w:r>
        <w:t xml:space="preserve"> is a key histopathological feature that supports HPV involvement [9]. Although most cases occur in children, adults may also develop oral lesions </w:t>
      </w:r>
      <w:hyperlink r:id="rId33">
        <w:r>
          <w:t>[</w:t>
        </w:r>
      </w:hyperlink>
      <w:hyperlink r:id="rId34">
        <w:r>
          <w:rPr>
            <w:color w:val="1155CC"/>
            <w:u w:val="single"/>
          </w:rPr>
          <w:t>1</w:t>
        </w:r>
      </w:hyperlink>
      <w:r>
        <w:t xml:space="preserve">]. The hands are the most common site of cutaneous infection, while intraorally, the vermilion border, labial mucosa, and tongue are frequently affected </w:t>
      </w:r>
      <w:hyperlink r:id="rId35">
        <w:r>
          <w:t>[</w:t>
        </w:r>
      </w:hyperlink>
      <w:hyperlink r:id="rId36">
        <w:r>
          <w:rPr>
            <w:color w:val="1155CC"/>
            <w:u w:val="single"/>
          </w:rPr>
          <w:t>6</w:t>
        </w:r>
      </w:hyperlink>
      <w:r>
        <w:t xml:space="preserve">]. Clinically, oral verruca vulgaris often appears as a painless, rough, or papillary nodule that may be sessile or pedunculated. Oral lesions are generally white, in contrast to cutaneous warts, which can appear pink, yellow, or white and are linked to HPV types 2, 6, 11, and sometimes high-risk types 16 and 18. </w:t>
      </w:r>
      <w:hyperlink r:id="rId37">
        <w:r>
          <w:t>[</w:t>
        </w:r>
      </w:hyperlink>
      <w:hyperlink r:id="rId38">
        <w:r>
          <w:rPr>
            <w:color w:val="1155CC"/>
            <w:u w:val="single"/>
          </w:rPr>
          <w:t>2</w:t>
        </w:r>
      </w:hyperlink>
      <w:r>
        <w:t xml:space="preserve">]. HPV, a double-stranded DNA virus, is the causative factor. More than 120 HPV genotypes have been identified, with several types specifically linked to oral and anogenital lesions </w:t>
      </w:r>
      <w:hyperlink r:id="rId39">
        <w:r>
          <w:t>[</w:t>
        </w:r>
      </w:hyperlink>
      <w:hyperlink r:id="rId40">
        <w:r>
          <w:rPr>
            <w:color w:val="1155CC"/>
            <w:u w:val="single"/>
          </w:rPr>
          <w:t>3</w:t>
        </w:r>
      </w:hyperlink>
      <w:hyperlink r:id="rId41">
        <w:r>
          <w:rPr>
            <w:u w:val="single"/>
          </w:rPr>
          <w:t>,</w:t>
        </w:r>
      </w:hyperlink>
      <w:hyperlink r:id="rId42">
        <w:r>
          <w:rPr>
            <w:color w:val="1155CC"/>
            <w:u w:val="single"/>
          </w:rPr>
          <w:t>7</w:t>
        </w:r>
      </w:hyperlink>
      <w:r>
        <w:t>].</w:t>
      </w:r>
      <w:r>
        <w:rPr>
          <w:highlight w:val="yellow"/>
        </w:rPr>
        <w:t>It is the name of 200 groups of viruses[</w:t>
      </w:r>
      <w:hyperlink r:id="rId43">
        <w:r>
          <w:rPr>
            <w:color w:val="1155CC"/>
            <w:highlight w:val="yellow"/>
            <w:u w:val="single"/>
          </w:rPr>
          <w:t>13</w:t>
        </w:r>
      </w:hyperlink>
      <w:r>
        <w:rPr>
          <w:highlight w:val="yellow"/>
        </w:rPr>
        <w:t xml:space="preserve">] </w:t>
      </w:r>
      <w:r>
        <w:t xml:space="preserve">The pathophysiology is that the virus gains entry through microtrauma in the skin and infects the basal keratinocytes of the stratified squamous epithelium. HPV DNA enters the host cell nucleus and remains in an </w:t>
      </w:r>
      <w:proofErr w:type="spellStart"/>
      <w:r>
        <w:t>episomal</w:t>
      </w:r>
      <w:proofErr w:type="spellEnd"/>
      <w:r>
        <w:t xml:space="preserve"> (non-integrated) form and leads to </w:t>
      </w:r>
      <w:proofErr w:type="gramStart"/>
      <w:r>
        <w:t>keratinocytes  proliferation</w:t>
      </w:r>
      <w:proofErr w:type="gramEnd"/>
      <w:r>
        <w:t xml:space="preserve"> which causes acanthosis (thickening of the epidermis), hyperkeratosis (excess keratin), and papillomatosis (finger-like projections), which give the wart its rough, raised, and exophytic appearance. Treatment options vary but no single method is universally effective. Topical agents such as salicylic acid and cantharidin provide limited benefit, whereas immunotherapy and systemic drugs like cimetidine and levamisole have been tried with inconsistent results </w:t>
      </w:r>
      <w:hyperlink r:id="rId44">
        <w:r>
          <w:t>[</w:t>
        </w:r>
      </w:hyperlink>
      <w:hyperlink r:id="rId45">
        <w:r>
          <w:rPr>
            <w:color w:val="1155CC"/>
            <w:u w:val="single"/>
          </w:rPr>
          <w:t>10</w:t>
        </w:r>
      </w:hyperlink>
      <w:hyperlink r:id="rId46">
        <w:r>
          <w:t>,</w:t>
        </w:r>
      </w:hyperlink>
      <w:hyperlink r:id="rId47">
        <w:r>
          <w:rPr>
            <w:color w:val="1155CC"/>
            <w:u w:val="single"/>
          </w:rPr>
          <w:t>11</w:t>
        </w:r>
      </w:hyperlink>
      <w:hyperlink r:id="rId48">
        <w:r>
          <w:t>]</w:t>
        </w:r>
      </w:hyperlink>
      <w:r>
        <w:t xml:space="preserve">. Surgical excision remains the most reliable method, providing both diagnostic and therapeutic benefits </w:t>
      </w:r>
      <w:hyperlink r:id="rId49">
        <w:r>
          <w:t>[</w:t>
        </w:r>
      </w:hyperlink>
      <w:hyperlink r:id="rId50">
        <w:r>
          <w:rPr>
            <w:color w:val="1155CC"/>
            <w:u w:val="single"/>
          </w:rPr>
          <w:t>12</w:t>
        </w:r>
      </w:hyperlink>
      <w:r>
        <w:t xml:space="preserve">].  </w:t>
      </w:r>
    </w:p>
    <w:p w:rsidR="00092ACA" w:rsidRDefault="005635C9">
      <w:pPr>
        <w:pStyle w:val="Heading2"/>
        <w:spacing w:after="267"/>
        <w:ind w:left="10" w:firstLine="60"/>
      </w:pPr>
      <w:r>
        <w:t>Other treatment modalities :</w:t>
      </w:r>
      <w:r>
        <w:rPr>
          <w:b w:val="0"/>
          <w:sz w:val="20"/>
          <w:szCs w:val="20"/>
        </w:rPr>
        <w:t xml:space="preserve"> </w:t>
      </w:r>
      <w:hyperlink r:id="rId51">
        <w:r>
          <w:rPr>
            <w:b w:val="0"/>
            <w:sz w:val="20"/>
            <w:szCs w:val="20"/>
          </w:rPr>
          <w:t>[</w:t>
        </w:r>
      </w:hyperlink>
      <w:hyperlink r:id="rId52">
        <w:r>
          <w:rPr>
            <w:b w:val="0"/>
            <w:sz w:val="20"/>
            <w:szCs w:val="20"/>
          </w:rPr>
          <w:t xml:space="preserve"> </w:t>
        </w:r>
      </w:hyperlink>
      <w:hyperlink r:id="rId53">
        <w:r>
          <w:rPr>
            <w:b w:val="0"/>
            <w:color w:val="1155CC"/>
            <w:sz w:val="20"/>
            <w:szCs w:val="20"/>
            <w:u w:val="single"/>
          </w:rPr>
          <w:t>12</w:t>
        </w:r>
      </w:hyperlink>
      <w:r>
        <w:rPr>
          <w:b w:val="0"/>
          <w:sz w:val="20"/>
          <w:szCs w:val="20"/>
        </w:rPr>
        <w:t xml:space="preserve">] </w:t>
      </w:r>
    </w:p>
    <w:p w:rsidR="00092ACA" w:rsidRDefault="005635C9">
      <w:pPr>
        <w:numPr>
          <w:ilvl w:val="0"/>
          <w:numId w:val="1"/>
        </w:numPr>
        <w:ind w:right="14" w:hanging="360"/>
      </w:pPr>
      <w:r>
        <w:t xml:space="preserve">Systemic drugs: Agents such as cimetidine and levamisole have been tried, though their efficacy remains inconsistent. </w:t>
      </w:r>
    </w:p>
    <w:p w:rsidR="00092ACA" w:rsidRDefault="005635C9">
      <w:pPr>
        <w:numPr>
          <w:ilvl w:val="0"/>
          <w:numId w:val="1"/>
        </w:numPr>
        <w:ind w:right="14" w:hanging="360"/>
      </w:pPr>
      <w:r>
        <w:lastRenderedPageBreak/>
        <w:t xml:space="preserve">Retinoids: Vitamin A–derived compounds that interfere with abnormal epithelial cell proliferation. They are available as topical creams or oral formulations. </w:t>
      </w:r>
    </w:p>
    <w:p w:rsidR="00092ACA" w:rsidRDefault="005635C9">
      <w:pPr>
        <w:numPr>
          <w:ilvl w:val="0"/>
          <w:numId w:val="1"/>
        </w:numPr>
        <w:ind w:right="14" w:hanging="360"/>
      </w:pPr>
      <w:r>
        <w:t>Immunotherapy: Topical agents such as imiquimod (</w:t>
      </w:r>
      <w:proofErr w:type="spellStart"/>
      <w:r>
        <w:t>Aldara</w:t>
      </w:r>
      <w:proofErr w:type="spellEnd"/>
      <w:r>
        <w:t xml:space="preserve">) are sometimes prescribed for recalcitrant lesions. In severe, treatment-resistant </w:t>
      </w:r>
      <w:proofErr w:type="spellStart"/>
      <w:proofErr w:type="gramStart"/>
      <w:r>
        <w:t>cases,intralesional</w:t>
      </w:r>
      <w:proofErr w:type="spellEnd"/>
      <w:proofErr w:type="gramEnd"/>
      <w:r>
        <w:t xml:space="preserve"> injections of interferon-α may be considered. </w:t>
      </w:r>
    </w:p>
    <w:p w:rsidR="00092ACA" w:rsidRDefault="005635C9">
      <w:pPr>
        <w:numPr>
          <w:ilvl w:val="0"/>
          <w:numId w:val="1"/>
        </w:numPr>
        <w:ind w:right="14" w:hanging="360"/>
      </w:pPr>
      <w:r>
        <w:t xml:space="preserve">Salicylic acid: One of the most commonly used topical therapies; available in solutions and medicated patches (typically containing 17% salicylic acid) </w:t>
      </w:r>
    </w:p>
    <w:p w:rsidR="00092ACA" w:rsidRDefault="005635C9">
      <w:pPr>
        <w:numPr>
          <w:ilvl w:val="0"/>
          <w:numId w:val="1"/>
        </w:numPr>
        <w:ind w:right="14" w:hanging="360"/>
      </w:pPr>
      <w:r>
        <w:t xml:space="preserve">Occlusion therapy (duct tape method): Involves covering the wart with adhesive tape for prolonged periods (usually two months), with periodic changes to promote resolution. </w:t>
      </w:r>
    </w:p>
    <w:p w:rsidR="00092ACA" w:rsidRDefault="005635C9">
      <w:pPr>
        <w:numPr>
          <w:ilvl w:val="0"/>
          <w:numId w:val="1"/>
        </w:numPr>
        <w:ind w:right="14" w:hanging="360"/>
      </w:pPr>
      <w:r>
        <w:t xml:space="preserve">Cryotherapy: Application of liquid nitrogen to induce tissue necrosis by freezing. It is generally well-tolerated but often requires multiple sessions. </w:t>
      </w:r>
    </w:p>
    <w:p w:rsidR="00092ACA" w:rsidRDefault="005635C9">
      <w:pPr>
        <w:numPr>
          <w:ilvl w:val="0"/>
          <w:numId w:val="1"/>
        </w:numPr>
        <w:ind w:right="14" w:hanging="360"/>
      </w:pPr>
      <w:r>
        <w:t xml:space="preserve">Laser therapy: Destructive treatment using laser energy; effective but costly and may result in scarring. </w:t>
      </w:r>
    </w:p>
    <w:p w:rsidR="00092ACA" w:rsidRDefault="005635C9">
      <w:pPr>
        <w:numPr>
          <w:ilvl w:val="0"/>
          <w:numId w:val="1"/>
        </w:numPr>
        <w:spacing w:after="185"/>
        <w:ind w:right="14" w:hanging="360"/>
      </w:pPr>
      <w:r>
        <w:t xml:space="preserve">Surgical options: Excision or electrosurgery (electrodessication) may be employed, though they carry risks of scarring and recurrence. </w:t>
      </w:r>
    </w:p>
    <w:p w:rsidR="00092ACA" w:rsidRDefault="005635C9">
      <w:pPr>
        <w:pStyle w:val="Heading2"/>
        <w:ind w:left="10" w:firstLine="60"/>
      </w:pPr>
      <w:r>
        <w:t xml:space="preserve">CONCLUSION  </w:t>
      </w:r>
    </w:p>
    <w:p w:rsidR="00092ACA" w:rsidRDefault="005635C9">
      <w:pPr>
        <w:spacing w:after="185"/>
        <w:ind w:right="14"/>
      </w:pPr>
      <w:r>
        <w:t xml:space="preserve">Verruca vulgaris is an uncommon but benign lesion of the oral cavity that may mimic other oral or cutaneous pathologies. Accurate diagnosis is essential to avoid unnecessary interventions and ensure proper management. The present case emphasizes the significance of clinical evaluation in conjunction with histopathology to reach a definitive diagnosis. Complete surgical excision under local anesthesia is a practical and effective treatment approach, offering both functional and aesthetic benefits while improving the patient’s quality of life </w:t>
      </w:r>
      <w:hyperlink r:id="rId54">
        <w:r>
          <w:t>[</w:t>
        </w:r>
      </w:hyperlink>
      <w:hyperlink r:id="rId55">
        <w:r>
          <w:rPr>
            <w:color w:val="1155CC"/>
            <w:u w:val="single"/>
          </w:rPr>
          <w:t>12</w:t>
        </w:r>
      </w:hyperlink>
      <w:r>
        <w:t xml:space="preserve">].  </w:t>
      </w:r>
    </w:p>
    <w:p w:rsidR="00092ACA" w:rsidRDefault="00092ACA">
      <w:pPr>
        <w:spacing w:after="185"/>
        <w:ind w:right="14"/>
      </w:pPr>
      <w:bookmarkStart w:id="0" w:name="_GoBack"/>
      <w:bookmarkEnd w:id="0"/>
    </w:p>
    <w:p w:rsidR="00D63772" w:rsidRPr="00D63772" w:rsidRDefault="00D63772" w:rsidP="00D63772">
      <w:pPr>
        <w:spacing w:after="185"/>
        <w:ind w:right="14"/>
        <w:rPr>
          <w:b/>
        </w:rPr>
      </w:pPr>
      <w:r w:rsidRPr="00D63772">
        <w:rPr>
          <w:b/>
        </w:rPr>
        <w:t xml:space="preserve">Consent </w:t>
      </w:r>
    </w:p>
    <w:p w:rsidR="00D63772" w:rsidRDefault="00D63772" w:rsidP="00D63772">
      <w:pPr>
        <w:spacing w:after="185"/>
        <w:ind w:right="14"/>
      </w:pPr>
      <w:r>
        <w:t>As per international standards or university standards, Participants’ written consent has been collected and preserved by the author(s).</w:t>
      </w:r>
    </w:p>
    <w:p w:rsidR="00D63772" w:rsidRDefault="00D63772">
      <w:pPr>
        <w:rPr>
          <w:rFonts w:ascii="Calibri" w:eastAsia="Calibri" w:hAnsi="Calibri" w:cs="Calibri"/>
          <w:b/>
          <w:highlight w:val="yellow"/>
        </w:rPr>
      </w:pPr>
      <w:bookmarkStart w:id="1" w:name="_cocpmc359pc" w:colFirst="0" w:colLast="0"/>
      <w:bookmarkEnd w:id="1"/>
    </w:p>
    <w:p w:rsidR="00D63772" w:rsidRDefault="00D63772">
      <w:pPr>
        <w:rPr>
          <w:rFonts w:ascii="Calibri" w:eastAsia="Calibri" w:hAnsi="Calibri" w:cs="Calibri"/>
          <w:b/>
          <w:highlight w:val="yellow"/>
        </w:rPr>
      </w:pPr>
    </w:p>
    <w:p w:rsidR="00092ACA" w:rsidRPr="00D63772" w:rsidRDefault="005635C9">
      <w:pPr>
        <w:rPr>
          <w:rFonts w:ascii="Calibri" w:eastAsia="Calibri" w:hAnsi="Calibri" w:cs="Calibri"/>
          <w:b/>
          <w:highlight w:val="yellow"/>
        </w:rPr>
      </w:pPr>
      <w:r w:rsidRPr="00D63772">
        <w:rPr>
          <w:rFonts w:ascii="Calibri" w:eastAsia="Calibri" w:hAnsi="Calibri" w:cs="Calibri"/>
          <w:b/>
          <w:highlight w:val="yellow"/>
        </w:rPr>
        <w:t>Disclaimer (Artificial intelligence):</w:t>
      </w:r>
    </w:p>
    <w:p w:rsidR="00092ACA" w:rsidRDefault="00092ACA">
      <w:pPr>
        <w:rPr>
          <w:rFonts w:ascii="Calibri" w:eastAsia="Calibri" w:hAnsi="Calibri" w:cs="Calibri"/>
          <w:highlight w:val="yellow"/>
        </w:rPr>
      </w:pPr>
      <w:bookmarkStart w:id="2" w:name="_edd9uvgef9i6" w:colFirst="0" w:colLast="0"/>
      <w:bookmarkEnd w:id="2"/>
    </w:p>
    <w:p w:rsidR="00092ACA" w:rsidRDefault="005635C9">
      <w:pPr>
        <w:rPr>
          <w:rFonts w:ascii="Calibri" w:eastAsia="Calibri" w:hAnsi="Calibri" w:cs="Calibri"/>
          <w:highlight w:val="yellow"/>
        </w:rPr>
      </w:pPr>
      <w:r>
        <w:rPr>
          <w:rFonts w:ascii="Calibri" w:eastAsia="Calibri" w:hAnsi="Calibri" w:cs="Calibri"/>
          <w:highlight w:val="yellow"/>
        </w:rPr>
        <w:t>I hereby declare that NO generative AI technologies such as Large Language Models (</w:t>
      </w:r>
      <w:proofErr w:type="spellStart"/>
      <w:r>
        <w:rPr>
          <w:rFonts w:ascii="Calibri" w:eastAsia="Calibri" w:hAnsi="Calibri" w:cs="Calibri"/>
          <w:highlight w:val="yellow"/>
        </w:rPr>
        <w:t>ChatGPT</w:t>
      </w:r>
      <w:proofErr w:type="spellEnd"/>
      <w:r>
        <w:rPr>
          <w:rFonts w:ascii="Calibri" w:eastAsia="Calibri" w:hAnsi="Calibri" w:cs="Calibri"/>
          <w:highlight w:val="yellow"/>
        </w:rPr>
        <w:t xml:space="preserve">, COPILOT, etc.) and text-to-image generators have been used during the writing or editing of this manuscript. </w:t>
      </w:r>
    </w:p>
    <w:p w:rsidR="00092ACA" w:rsidRDefault="00092ACA">
      <w:pPr>
        <w:pStyle w:val="Heading2"/>
        <w:ind w:left="10" w:firstLine="60"/>
      </w:pPr>
    </w:p>
    <w:p w:rsidR="00092ACA" w:rsidRDefault="005635C9">
      <w:pPr>
        <w:pStyle w:val="Heading2"/>
        <w:ind w:left="10" w:firstLine="60"/>
      </w:pPr>
      <w:r>
        <w:t xml:space="preserve">REFERENCES  </w:t>
      </w:r>
    </w:p>
    <w:p w:rsidR="00092ACA" w:rsidRDefault="005635C9">
      <w:pPr>
        <w:spacing w:after="194" w:line="261" w:lineRule="auto"/>
        <w:ind w:right="0"/>
        <w:jc w:val="left"/>
      </w:pPr>
      <w:r>
        <w:t xml:space="preserve">1.Forman D, de Martel C, Lacey CJ, </w:t>
      </w:r>
      <w:proofErr w:type="spellStart"/>
      <w:r>
        <w:t>Soerjomataram</w:t>
      </w:r>
      <w:proofErr w:type="spellEnd"/>
      <w:r>
        <w:t xml:space="preserve"> I, </w:t>
      </w:r>
      <w:proofErr w:type="spellStart"/>
      <w:r>
        <w:t>Lortet-Tieulent</w:t>
      </w:r>
      <w:proofErr w:type="spellEnd"/>
      <w:r>
        <w:t xml:space="preserve"> J, Bruni L, et al. Global burden of human papillomavirus </w:t>
      </w:r>
      <w:r>
        <w:tab/>
        <w:t xml:space="preserve">and </w:t>
      </w:r>
      <w:r>
        <w:tab/>
        <w:t xml:space="preserve">related </w:t>
      </w:r>
      <w:r>
        <w:tab/>
        <w:t xml:space="preserve">diseases. </w:t>
      </w:r>
      <w:r>
        <w:tab/>
        <w:t xml:space="preserve">Vaccine. </w:t>
      </w:r>
      <w:r>
        <w:tab/>
        <w:t xml:space="preserve">2012;30(Suppl </w:t>
      </w:r>
      <w:r>
        <w:tab/>
        <w:t>5</w:t>
      </w:r>
      <w:proofErr w:type="gramStart"/>
      <w:r>
        <w:t>):F</w:t>
      </w:r>
      <w:proofErr w:type="gramEnd"/>
      <w:r>
        <w:t xml:space="preserve">12–23. </w:t>
      </w:r>
      <w:proofErr w:type="gramStart"/>
      <w:r>
        <w:t>doi:10.1016/j.vaccine</w:t>
      </w:r>
      <w:proofErr w:type="gramEnd"/>
      <w:r>
        <w:t xml:space="preserve">.2012.07.055. </w:t>
      </w:r>
      <w:hyperlink r:id="rId56">
        <w:r>
          <w:t>[</w:t>
        </w:r>
      </w:hyperlink>
      <w:hyperlink r:id="rId57">
        <w:r>
          <w:rPr>
            <w:color w:val="1155CC"/>
            <w:u w:val="single"/>
          </w:rPr>
          <w:t>DOI</w:t>
        </w:r>
      </w:hyperlink>
      <w:r>
        <w:t xml:space="preserve">] </w:t>
      </w:r>
    </w:p>
    <w:p w:rsidR="00092ACA" w:rsidRDefault="005635C9">
      <w:pPr>
        <w:spacing w:after="194" w:line="261" w:lineRule="auto"/>
        <w:ind w:right="0"/>
        <w:jc w:val="left"/>
      </w:pPr>
      <w:r>
        <w:t xml:space="preserve">2.Bzhalava D, Guan P, </w:t>
      </w:r>
      <w:proofErr w:type="spellStart"/>
      <w:r>
        <w:t>Franceschi</w:t>
      </w:r>
      <w:proofErr w:type="spellEnd"/>
      <w:r>
        <w:t xml:space="preserve"> S, </w:t>
      </w:r>
      <w:proofErr w:type="spellStart"/>
      <w:r>
        <w:t>Dillner</w:t>
      </w:r>
      <w:proofErr w:type="spellEnd"/>
      <w:r>
        <w:t xml:space="preserve"> J, Clifford G. A systematic review of the prevalence of mucosal and cutaneous </w:t>
      </w:r>
      <w:r>
        <w:tab/>
        <w:t xml:space="preserve">human </w:t>
      </w:r>
      <w:r>
        <w:tab/>
        <w:t xml:space="preserve">papillomavirus </w:t>
      </w:r>
      <w:r>
        <w:tab/>
        <w:t xml:space="preserve">types. </w:t>
      </w:r>
      <w:r>
        <w:tab/>
        <w:t xml:space="preserve">Virology. </w:t>
      </w:r>
      <w:r>
        <w:tab/>
        <w:t xml:space="preserve">2013;445(1-2):224–231. </w:t>
      </w:r>
      <w:proofErr w:type="gramStart"/>
      <w:r>
        <w:t>doi:10.1016/j.virol</w:t>
      </w:r>
      <w:proofErr w:type="gramEnd"/>
      <w:r>
        <w:t xml:space="preserve">.2013.07.015. </w:t>
      </w:r>
      <w:hyperlink r:id="rId58">
        <w:r>
          <w:t>[</w:t>
        </w:r>
      </w:hyperlink>
      <w:hyperlink r:id="rId59">
        <w:r>
          <w:rPr>
            <w:color w:val="1155CC"/>
            <w:u w:val="single"/>
          </w:rPr>
          <w:t>DOI</w:t>
        </w:r>
      </w:hyperlink>
      <w:r>
        <w:t xml:space="preserve">] </w:t>
      </w:r>
      <w:hyperlink r:id="rId60">
        <w:r>
          <w:t>[</w:t>
        </w:r>
      </w:hyperlink>
      <w:hyperlink r:id="rId61">
        <w:r>
          <w:rPr>
            <w:color w:val="1155CC"/>
            <w:u w:val="single"/>
          </w:rPr>
          <w:t>PubMed</w:t>
        </w:r>
      </w:hyperlink>
      <w:r>
        <w:t xml:space="preserve">] </w:t>
      </w:r>
      <w:hyperlink r:id="rId62">
        <w:r>
          <w:t>[</w:t>
        </w:r>
      </w:hyperlink>
      <w:hyperlink r:id="rId63">
        <w:r>
          <w:rPr>
            <w:color w:val="1155CC"/>
            <w:u w:val="single"/>
          </w:rPr>
          <w:t>Google Scholar</w:t>
        </w:r>
      </w:hyperlink>
      <w:r>
        <w:t xml:space="preserve">] </w:t>
      </w:r>
    </w:p>
    <w:p w:rsidR="00092ACA" w:rsidRDefault="005635C9">
      <w:pPr>
        <w:ind w:right="14"/>
      </w:pPr>
      <w:r>
        <w:t xml:space="preserve">3.Orth G, </w:t>
      </w:r>
      <w:proofErr w:type="spellStart"/>
      <w:r>
        <w:t>Jablonska</w:t>
      </w:r>
      <w:proofErr w:type="spellEnd"/>
      <w:r>
        <w:t xml:space="preserve"> S, Favre M, Croissant O, </w:t>
      </w:r>
      <w:proofErr w:type="spellStart"/>
      <w:r>
        <w:t>Obalek</w:t>
      </w:r>
      <w:proofErr w:type="spellEnd"/>
      <w:r>
        <w:t xml:space="preserve"> S, </w:t>
      </w:r>
      <w:proofErr w:type="spellStart"/>
      <w:r>
        <w:t>Jarzabek-Chorzelska</w:t>
      </w:r>
      <w:proofErr w:type="spellEnd"/>
      <w:r>
        <w:t xml:space="preserve"> M, </w:t>
      </w:r>
      <w:proofErr w:type="spellStart"/>
      <w:r>
        <w:t>Jibard</w:t>
      </w:r>
      <w:proofErr w:type="spellEnd"/>
      <w:r>
        <w:t xml:space="preserve"> N. Identification of papillomavirus in butchers’ warts. J Invest Dermatol. </w:t>
      </w:r>
      <w:proofErr w:type="gramStart"/>
      <w:r>
        <w:t>1981;76:97</w:t>
      </w:r>
      <w:proofErr w:type="gramEnd"/>
      <w:r>
        <w:t xml:space="preserve">–102. doi:10.1111/1523-1747.ep12525394. </w:t>
      </w:r>
    </w:p>
    <w:p w:rsidR="00092ACA" w:rsidRDefault="000869DB">
      <w:pPr>
        <w:spacing w:after="195"/>
        <w:ind w:left="10" w:right="0" w:hanging="10"/>
        <w:jc w:val="left"/>
      </w:pPr>
      <w:hyperlink r:id="rId64">
        <w:r w:rsidR="005635C9">
          <w:t>[</w:t>
        </w:r>
      </w:hyperlink>
      <w:hyperlink r:id="rId65">
        <w:r w:rsidR="005635C9">
          <w:rPr>
            <w:color w:val="1155CC"/>
            <w:u w:val="single"/>
          </w:rPr>
          <w:t>DOI</w:t>
        </w:r>
      </w:hyperlink>
      <w:r w:rsidR="005635C9">
        <w:t xml:space="preserve">] </w:t>
      </w:r>
      <w:hyperlink r:id="rId66">
        <w:r w:rsidR="005635C9">
          <w:t>[</w:t>
        </w:r>
      </w:hyperlink>
      <w:hyperlink r:id="rId67">
        <w:r w:rsidR="005635C9">
          <w:rPr>
            <w:color w:val="1155CC"/>
            <w:u w:val="single"/>
          </w:rPr>
          <w:t>PubMed</w:t>
        </w:r>
      </w:hyperlink>
      <w:r w:rsidR="005635C9">
        <w:t xml:space="preserve">] </w:t>
      </w:r>
    </w:p>
    <w:p w:rsidR="00092ACA" w:rsidRDefault="005635C9">
      <w:pPr>
        <w:spacing w:after="196"/>
        <w:ind w:right="14"/>
      </w:pPr>
      <w:r>
        <w:t xml:space="preserve">4.Eversole LR, </w:t>
      </w:r>
      <w:proofErr w:type="spellStart"/>
      <w:r>
        <w:t>Laipis</w:t>
      </w:r>
      <w:proofErr w:type="spellEnd"/>
      <w:r>
        <w:t xml:space="preserve"> PJ, Green TL. Human papillomavirus type 2 DNA in oral labial verruca vulgaris. J </w:t>
      </w:r>
      <w:proofErr w:type="spellStart"/>
      <w:r>
        <w:t>Cutan</w:t>
      </w:r>
      <w:proofErr w:type="spellEnd"/>
      <w:r>
        <w:t xml:space="preserve"> </w:t>
      </w:r>
      <w:proofErr w:type="spellStart"/>
      <w:r>
        <w:t>Pathol</w:t>
      </w:r>
      <w:proofErr w:type="spellEnd"/>
      <w:r>
        <w:t xml:space="preserve">. </w:t>
      </w:r>
      <w:proofErr w:type="gramStart"/>
      <w:r>
        <w:t>1987;14:319</w:t>
      </w:r>
      <w:proofErr w:type="gramEnd"/>
      <w:r>
        <w:t xml:space="preserve">–325. </w:t>
      </w:r>
      <w:proofErr w:type="spellStart"/>
      <w:r>
        <w:t>doi</w:t>
      </w:r>
      <w:proofErr w:type="spellEnd"/>
      <w:r>
        <w:t xml:space="preserve">: 10.1111/j.1600-0560.1987.tb01531.x. </w:t>
      </w:r>
      <w:hyperlink r:id="rId68">
        <w:r>
          <w:t>[</w:t>
        </w:r>
      </w:hyperlink>
      <w:hyperlink r:id="rId69">
        <w:r>
          <w:rPr>
            <w:color w:val="1155CC"/>
            <w:u w:val="single"/>
          </w:rPr>
          <w:t>DOI</w:t>
        </w:r>
      </w:hyperlink>
      <w:r>
        <w:t xml:space="preserve">] </w:t>
      </w:r>
      <w:hyperlink r:id="rId70">
        <w:r>
          <w:t>[</w:t>
        </w:r>
      </w:hyperlink>
      <w:hyperlink r:id="rId71">
        <w:r>
          <w:rPr>
            <w:color w:val="1155CC"/>
            <w:u w:val="single"/>
          </w:rPr>
          <w:t>PubMed</w:t>
        </w:r>
      </w:hyperlink>
      <w:r>
        <w:t xml:space="preserve">] </w:t>
      </w:r>
      <w:hyperlink r:id="rId72">
        <w:r>
          <w:t>[</w:t>
        </w:r>
      </w:hyperlink>
      <w:hyperlink r:id="rId73">
        <w:r>
          <w:rPr>
            <w:color w:val="1155CC"/>
            <w:u w:val="single"/>
          </w:rPr>
          <w:t>Google Scholar</w:t>
        </w:r>
      </w:hyperlink>
      <w:r>
        <w:t xml:space="preserve">] </w:t>
      </w:r>
    </w:p>
    <w:p w:rsidR="00092ACA" w:rsidRDefault="005635C9">
      <w:pPr>
        <w:spacing w:after="196"/>
        <w:ind w:right="340"/>
      </w:pPr>
      <w:r>
        <w:t xml:space="preserve">5.Green TL, Eversole LR, </w:t>
      </w:r>
      <w:proofErr w:type="spellStart"/>
      <w:r>
        <w:t>Leider</w:t>
      </w:r>
      <w:proofErr w:type="spellEnd"/>
      <w:r>
        <w:t xml:space="preserve"> AS. Oral and labial verruca vulgaris: clinical, histologic and immunohistochemical evaluation. Oral Surg Oral Med Oral </w:t>
      </w:r>
      <w:proofErr w:type="spellStart"/>
      <w:r>
        <w:t>Pathol</w:t>
      </w:r>
      <w:proofErr w:type="spellEnd"/>
      <w:r>
        <w:t xml:space="preserve">. </w:t>
      </w:r>
      <w:proofErr w:type="gramStart"/>
      <w:r>
        <w:t>1986;62:410</w:t>
      </w:r>
      <w:proofErr w:type="gramEnd"/>
      <w:r>
        <w:t xml:space="preserve">–416. doi:10.1016/0030-4220(86)90290-2. </w:t>
      </w:r>
      <w:hyperlink r:id="rId74">
        <w:r>
          <w:t>[</w:t>
        </w:r>
      </w:hyperlink>
      <w:hyperlink r:id="rId75">
        <w:r>
          <w:rPr>
            <w:color w:val="1155CC"/>
            <w:u w:val="single"/>
          </w:rPr>
          <w:t>DOI</w:t>
        </w:r>
      </w:hyperlink>
      <w:r>
        <w:t xml:space="preserve">] </w:t>
      </w:r>
      <w:hyperlink r:id="rId76">
        <w:r>
          <w:t>[</w:t>
        </w:r>
      </w:hyperlink>
      <w:hyperlink r:id="rId77">
        <w:r>
          <w:rPr>
            <w:color w:val="1155CC"/>
            <w:u w:val="single"/>
          </w:rPr>
          <w:t>PubMed</w:t>
        </w:r>
      </w:hyperlink>
      <w:r>
        <w:t xml:space="preserve">] </w:t>
      </w:r>
    </w:p>
    <w:p w:rsidR="00092ACA" w:rsidRDefault="005635C9">
      <w:pPr>
        <w:spacing w:after="194" w:line="261" w:lineRule="auto"/>
        <w:ind w:right="0"/>
        <w:jc w:val="left"/>
      </w:pPr>
      <w:r>
        <w:t xml:space="preserve">6.Jenson AB, Lancaster WD, Hartmann D, Shaffer EL. Frequency and distribution of papillomavirus structural antigens in verrucae, multiple </w:t>
      </w:r>
      <w:proofErr w:type="spellStart"/>
      <w:r>
        <w:t>papillomas</w:t>
      </w:r>
      <w:proofErr w:type="spellEnd"/>
      <w:r>
        <w:t xml:space="preserve"> and </w:t>
      </w:r>
      <w:proofErr w:type="spellStart"/>
      <w:r>
        <w:t>condylomata</w:t>
      </w:r>
      <w:proofErr w:type="spellEnd"/>
      <w:r>
        <w:t xml:space="preserve"> of the oral cavity. Am J </w:t>
      </w:r>
      <w:proofErr w:type="spellStart"/>
      <w:r>
        <w:t>Pathol</w:t>
      </w:r>
      <w:proofErr w:type="spellEnd"/>
      <w:r>
        <w:t xml:space="preserve">. </w:t>
      </w:r>
      <w:proofErr w:type="gramStart"/>
      <w:r>
        <w:t>1982;107:212</w:t>
      </w:r>
      <w:proofErr w:type="gramEnd"/>
      <w:r>
        <w:t xml:space="preserve">–218. </w:t>
      </w:r>
      <w:hyperlink r:id="rId78">
        <w:r>
          <w:t>[</w:t>
        </w:r>
      </w:hyperlink>
      <w:hyperlink r:id="rId79">
        <w:r>
          <w:rPr>
            <w:color w:val="1155CC"/>
            <w:u w:val="single"/>
          </w:rPr>
          <w:t>PMC free article</w:t>
        </w:r>
      </w:hyperlink>
      <w:r>
        <w:t xml:space="preserve">] </w:t>
      </w:r>
      <w:hyperlink r:id="rId80">
        <w:r>
          <w:t>[</w:t>
        </w:r>
      </w:hyperlink>
      <w:hyperlink r:id="rId81">
        <w:r>
          <w:rPr>
            <w:color w:val="1155CC"/>
            <w:u w:val="single"/>
          </w:rPr>
          <w:t>PubMed</w:t>
        </w:r>
      </w:hyperlink>
      <w:r>
        <w:t xml:space="preserve">] </w:t>
      </w:r>
      <w:hyperlink r:id="rId82">
        <w:r>
          <w:t>[</w:t>
        </w:r>
      </w:hyperlink>
      <w:hyperlink r:id="rId83">
        <w:r>
          <w:rPr>
            <w:color w:val="1155CC"/>
            <w:u w:val="single"/>
          </w:rPr>
          <w:t>Google Scholar</w:t>
        </w:r>
      </w:hyperlink>
      <w:r>
        <w:t xml:space="preserve">] </w:t>
      </w:r>
    </w:p>
    <w:p w:rsidR="00092ACA" w:rsidRDefault="005635C9">
      <w:pPr>
        <w:ind w:right="14"/>
      </w:pPr>
      <w:r>
        <w:lastRenderedPageBreak/>
        <w:t xml:space="preserve">7.Jin YT, Toto PD. Detection of human </w:t>
      </w:r>
      <w:proofErr w:type="spellStart"/>
      <w:r>
        <w:t>papovavirus</w:t>
      </w:r>
      <w:proofErr w:type="spellEnd"/>
      <w:r>
        <w:t xml:space="preserve"> antigen in oral papillary lesions. Oral Surg Oral Med Oral </w:t>
      </w:r>
      <w:proofErr w:type="spellStart"/>
      <w:r>
        <w:t>Pathol</w:t>
      </w:r>
      <w:proofErr w:type="spellEnd"/>
      <w:r>
        <w:t xml:space="preserve">. </w:t>
      </w:r>
      <w:proofErr w:type="gramStart"/>
      <w:r>
        <w:t>1984;58:702</w:t>
      </w:r>
      <w:proofErr w:type="gramEnd"/>
      <w:r>
        <w:t xml:space="preserve">–705. </w:t>
      </w:r>
      <w:proofErr w:type="spellStart"/>
      <w:r>
        <w:t>doi</w:t>
      </w:r>
      <w:proofErr w:type="spellEnd"/>
      <w:r>
        <w:t xml:space="preserve">: 10.1016/0030-4220(84)90039-2. </w:t>
      </w:r>
      <w:hyperlink r:id="rId84">
        <w:r>
          <w:t>[</w:t>
        </w:r>
      </w:hyperlink>
      <w:hyperlink r:id="rId85">
        <w:r>
          <w:rPr>
            <w:color w:val="1155CC"/>
            <w:u w:val="single"/>
          </w:rPr>
          <w:t>DOI</w:t>
        </w:r>
      </w:hyperlink>
      <w:r>
        <w:t xml:space="preserve">] </w:t>
      </w:r>
      <w:hyperlink r:id="rId86">
        <w:r>
          <w:t>[</w:t>
        </w:r>
      </w:hyperlink>
      <w:hyperlink r:id="rId87">
        <w:r>
          <w:rPr>
            <w:color w:val="1155CC"/>
            <w:u w:val="single"/>
          </w:rPr>
          <w:t>PubMed</w:t>
        </w:r>
      </w:hyperlink>
      <w:r>
        <w:t xml:space="preserve">] </w:t>
      </w:r>
    </w:p>
    <w:p w:rsidR="00092ACA" w:rsidRDefault="005635C9">
      <w:pPr>
        <w:spacing w:after="5"/>
        <w:ind w:left="15" w:right="0" w:firstLine="0"/>
        <w:jc w:val="left"/>
      </w:pPr>
      <w:r>
        <w:t xml:space="preserve"> </w:t>
      </w:r>
    </w:p>
    <w:p w:rsidR="00092ACA" w:rsidRDefault="005635C9">
      <w:pPr>
        <w:ind w:right="1020"/>
      </w:pPr>
      <w:r>
        <w:t xml:space="preserve">8.Terezhalmy GT, </w:t>
      </w:r>
      <w:proofErr w:type="spellStart"/>
      <w:r>
        <w:t>Rilley</w:t>
      </w:r>
      <w:proofErr w:type="spellEnd"/>
      <w:r>
        <w:t xml:space="preserve"> CK, Moore WS. Oral verruca vulgaris. Quintessence Int. 2002;33(2):162–163. </w:t>
      </w:r>
      <w:hyperlink r:id="rId88">
        <w:r>
          <w:t>[</w:t>
        </w:r>
      </w:hyperlink>
      <w:hyperlink r:id="rId89">
        <w:r>
          <w:rPr>
            <w:color w:val="1155CC"/>
            <w:u w:val="single"/>
          </w:rPr>
          <w:t>PubMed</w:t>
        </w:r>
      </w:hyperlink>
      <w:r>
        <w:t xml:space="preserve">] </w:t>
      </w:r>
    </w:p>
    <w:p w:rsidR="00092ACA" w:rsidRDefault="005635C9">
      <w:pPr>
        <w:spacing w:after="5"/>
        <w:ind w:left="15" w:right="0" w:firstLine="0"/>
        <w:jc w:val="left"/>
      </w:pPr>
      <w:r>
        <w:t xml:space="preserve"> </w:t>
      </w:r>
    </w:p>
    <w:p w:rsidR="00092ACA" w:rsidRDefault="005635C9">
      <w:pPr>
        <w:spacing w:line="261" w:lineRule="auto"/>
        <w:ind w:right="1097"/>
        <w:jc w:val="left"/>
      </w:pPr>
      <w:r>
        <w:t xml:space="preserve">9.Koss LG, Durfee GR. Unusual patterns of squamous epithelium of the uterine cervix and pathologic study of koilocytotic atypia. Ann NY </w:t>
      </w:r>
      <w:proofErr w:type="spellStart"/>
      <w:r>
        <w:t>Acad</w:t>
      </w:r>
      <w:proofErr w:type="spellEnd"/>
      <w:r>
        <w:t xml:space="preserve"> Sci. </w:t>
      </w:r>
      <w:proofErr w:type="gramStart"/>
      <w:r>
        <w:t>1956;63:1245</w:t>
      </w:r>
      <w:proofErr w:type="gramEnd"/>
      <w:r>
        <w:t xml:space="preserve">–1261. </w:t>
      </w:r>
      <w:proofErr w:type="spellStart"/>
      <w:r>
        <w:t>doi</w:t>
      </w:r>
      <w:proofErr w:type="spellEnd"/>
      <w:r>
        <w:t xml:space="preserve">: 10.1111/j.1749-6632.1956.tb32134.x. </w:t>
      </w:r>
      <w:hyperlink r:id="rId90">
        <w:r>
          <w:t>[</w:t>
        </w:r>
      </w:hyperlink>
      <w:hyperlink r:id="rId91">
        <w:r>
          <w:rPr>
            <w:color w:val="1155CC"/>
            <w:u w:val="single"/>
          </w:rPr>
          <w:t>DOI</w:t>
        </w:r>
      </w:hyperlink>
      <w:r>
        <w:t xml:space="preserve">] </w:t>
      </w:r>
      <w:hyperlink r:id="rId92">
        <w:r>
          <w:t>[</w:t>
        </w:r>
      </w:hyperlink>
      <w:hyperlink r:id="rId93">
        <w:r>
          <w:rPr>
            <w:color w:val="1155CC"/>
            <w:u w:val="single"/>
          </w:rPr>
          <w:t>PubMed</w:t>
        </w:r>
      </w:hyperlink>
      <w:r>
        <w:t xml:space="preserve">] </w:t>
      </w:r>
    </w:p>
    <w:p w:rsidR="00092ACA" w:rsidRDefault="005635C9">
      <w:pPr>
        <w:spacing w:after="5"/>
        <w:ind w:left="15" w:right="0" w:firstLine="0"/>
        <w:jc w:val="left"/>
      </w:pPr>
      <w:r>
        <w:t xml:space="preserve"> </w:t>
      </w:r>
    </w:p>
    <w:p w:rsidR="00092ACA" w:rsidRDefault="005635C9">
      <w:pPr>
        <w:spacing w:after="8" w:line="261" w:lineRule="auto"/>
        <w:ind w:right="656"/>
        <w:jc w:val="left"/>
      </w:pPr>
      <w:r>
        <w:t xml:space="preserve">10. Harper DM, Franco EL, Wheeler CM, </w:t>
      </w:r>
      <w:proofErr w:type="spellStart"/>
      <w:r>
        <w:t>Moscicki</w:t>
      </w:r>
      <w:proofErr w:type="spellEnd"/>
      <w:r>
        <w:t xml:space="preserve"> AB, Romanowski B, </w:t>
      </w:r>
      <w:proofErr w:type="spellStart"/>
      <w:r>
        <w:t>Roteli</w:t>
      </w:r>
      <w:proofErr w:type="spellEnd"/>
      <w:r>
        <w:t xml:space="preserve">-Martins CM, et al. Sustained efficacy up to 4.5 years of a bivalent L1 virus-like particle vaccine against human papillomavirus types 16 and </w:t>
      </w:r>
      <w:proofErr w:type="gramStart"/>
      <w:r>
        <w:t>18:Follow</w:t>
      </w:r>
      <w:proofErr w:type="gramEnd"/>
      <w:r>
        <w:t xml:space="preserve">-up from a </w:t>
      </w:r>
      <w:proofErr w:type="spellStart"/>
      <w:r>
        <w:t>randomised</w:t>
      </w:r>
      <w:proofErr w:type="spellEnd"/>
      <w:r>
        <w:t xml:space="preserve"> control trial. Lancet. 2006;367(9518):1247–1255. </w:t>
      </w:r>
      <w:proofErr w:type="spellStart"/>
      <w:r>
        <w:t>doi</w:t>
      </w:r>
      <w:proofErr w:type="spellEnd"/>
      <w:r>
        <w:t xml:space="preserve">: 10.1016/S0140-6736(06)68439-0. </w:t>
      </w:r>
      <w:hyperlink r:id="rId94">
        <w:r>
          <w:t>[</w:t>
        </w:r>
      </w:hyperlink>
      <w:hyperlink r:id="rId95">
        <w:r>
          <w:rPr>
            <w:color w:val="1155CC"/>
            <w:u w:val="single"/>
          </w:rPr>
          <w:t>DOI</w:t>
        </w:r>
      </w:hyperlink>
      <w:r>
        <w:t xml:space="preserve">] </w:t>
      </w:r>
      <w:hyperlink r:id="rId96">
        <w:r>
          <w:t>[</w:t>
        </w:r>
      </w:hyperlink>
      <w:hyperlink r:id="rId97">
        <w:r>
          <w:rPr>
            <w:color w:val="1155CC"/>
            <w:u w:val="single"/>
          </w:rPr>
          <w:t>PubMed</w:t>
        </w:r>
      </w:hyperlink>
      <w:r>
        <w:t xml:space="preserve">] </w:t>
      </w:r>
    </w:p>
    <w:p w:rsidR="00092ACA" w:rsidRDefault="005635C9">
      <w:pPr>
        <w:spacing w:after="5"/>
        <w:ind w:left="15" w:right="0" w:firstLine="0"/>
        <w:jc w:val="left"/>
      </w:pPr>
      <w:r>
        <w:t xml:space="preserve"> </w:t>
      </w:r>
    </w:p>
    <w:p w:rsidR="00092ACA" w:rsidRDefault="005635C9">
      <w:pPr>
        <w:numPr>
          <w:ilvl w:val="0"/>
          <w:numId w:val="2"/>
        </w:numPr>
        <w:spacing w:after="5"/>
        <w:ind w:right="515" w:firstLine="5"/>
        <w:jc w:val="left"/>
      </w:pPr>
      <w:r>
        <w:rPr>
          <w:color w:val="222222"/>
          <w:sz w:val="24"/>
          <w:szCs w:val="24"/>
          <w:highlight w:val="yellow"/>
        </w:rPr>
        <w:t xml:space="preserve">Nagaraj, M. Verruca Vulgaris of the Tongue. </w:t>
      </w:r>
      <w:r>
        <w:rPr>
          <w:i/>
          <w:color w:val="222222"/>
          <w:sz w:val="24"/>
          <w:szCs w:val="24"/>
          <w:highlight w:val="yellow"/>
        </w:rPr>
        <w:t xml:space="preserve">J. </w:t>
      </w:r>
      <w:proofErr w:type="spellStart"/>
      <w:r>
        <w:rPr>
          <w:i/>
          <w:color w:val="222222"/>
          <w:sz w:val="24"/>
          <w:szCs w:val="24"/>
          <w:highlight w:val="yellow"/>
        </w:rPr>
        <w:t>Maxillofac</w:t>
      </w:r>
      <w:proofErr w:type="spellEnd"/>
      <w:r>
        <w:rPr>
          <w:i/>
          <w:color w:val="222222"/>
          <w:sz w:val="24"/>
          <w:szCs w:val="24"/>
          <w:highlight w:val="yellow"/>
        </w:rPr>
        <w:t>. Oral Surg.</w:t>
      </w:r>
      <w:r>
        <w:rPr>
          <w:color w:val="222222"/>
          <w:sz w:val="24"/>
          <w:szCs w:val="24"/>
          <w:highlight w:val="yellow"/>
        </w:rPr>
        <w:t xml:space="preserve"> 12, 329–332 (2013). https://doi.org/10.1007/s12663-010-0097-5[</w:t>
      </w:r>
      <w:hyperlink r:id="rId98" w:anchor="citeas">
        <w:r>
          <w:rPr>
            <w:color w:val="1155CC"/>
            <w:sz w:val="24"/>
            <w:szCs w:val="24"/>
            <w:highlight w:val="yellow"/>
            <w:u w:val="single"/>
          </w:rPr>
          <w:t>DOI</w:t>
        </w:r>
      </w:hyperlink>
      <w:r>
        <w:rPr>
          <w:color w:val="222222"/>
          <w:sz w:val="24"/>
          <w:szCs w:val="24"/>
          <w:highlight w:val="yellow"/>
        </w:rPr>
        <w:t>]</w:t>
      </w:r>
    </w:p>
    <w:p w:rsidR="00092ACA" w:rsidRDefault="005635C9">
      <w:pPr>
        <w:spacing w:after="5"/>
        <w:ind w:left="15" w:right="0" w:firstLine="0"/>
        <w:jc w:val="left"/>
      </w:pPr>
      <w:r>
        <w:t xml:space="preserve"> </w:t>
      </w:r>
    </w:p>
    <w:p w:rsidR="00092ACA" w:rsidRDefault="005635C9">
      <w:pPr>
        <w:numPr>
          <w:ilvl w:val="0"/>
          <w:numId w:val="2"/>
        </w:numPr>
        <w:ind w:right="515" w:firstLine="5"/>
        <w:jc w:val="left"/>
      </w:pPr>
      <w:proofErr w:type="gramStart"/>
      <w:r>
        <w:t>.Prasad</w:t>
      </w:r>
      <w:proofErr w:type="gramEnd"/>
      <w:r>
        <w:t xml:space="preserve"> D, </w:t>
      </w:r>
      <w:proofErr w:type="spellStart"/>
      <w:r>
        <w:t>Pandhi</w:t>
      </w:r>
      <w:proofErr w:type="spellEnd"/>
      <w:r>
        <w:t xml:space="preserve"> R, </w:t>
      </w:r>
      <w:proofErr w:type="spellStart"/>
      <w:r>
        <w:t>Juneja</w:t>
      </w:r>
      <w:proofErr w:type="spellEnd"/>
      <w:r>
        <w:t xml:space="preserve"> A, Negi KS. Verruca vulgaris. </w:t>
      </w:r>
      <w:proofErr w:type="spellStart"/>
      <w:r>
        <w:t>Pediatr</w:t>
      </w:r>
      <w:proofErr w:type="spellEnd"/>
      <w:r>
        <w:t xml:space="preserve"> Dermatol. 2001;18(4):349– 352. </w:t>
      </w:r>
      <w:proofErr w:type="spellStart"/>
      <w:r>
        <w:t>doi</w:t>
      </w:r>
      <w:proofErr w:type="spellEnd"/>
      <w:r>
        <w:t xml:space="preserve">: 10.1046/j.1525-1470.2001.01951.x. </w:t>
      </w:r>
      <w:hyperlink r:id="rId99">
        <w:r>
          <w:t>[</w:t>
        </w:r>
      </w:hyperlink>
      <w:hyperlink r:id="rId100">
        <w:r>
          <w:rPr>
            <w:color w:val="1155CC"/>
            <w:u w:val="single"/>
          </w:rPr>
          <w:t>DOI</w:t>
        </w:r>
      </w:hyperlink>
      <w:r>
        <w:t xml:space="preserve">] </w:t>
      </w:r>
    </w:p>
    <w:p w:rsidR="00092ACA" w:rsidRDefault="00092ACA">
      <w:pPr>
        <w:ind w:right="515" w:firstLine="0"/>
        <w:jc w:val="left"/>
      </w:pPr>
    </w:p>
    <w:p w:rsidR="00092ACA" w:rsidRDefault="000869DB">
      <w:pPr>
        <w:numPr>
          <w:ilvl w:val="0"/>
          <w:numId w:val="2"/>
        </w:numPr>
        <w:ind w:right="515"/>
        <w:jc w:val="left"/>
      </w:pPr>
      <w:hyperlink r:id="rId101">
        <w:r w:rsidR="005635C9">
          <w:rPr>
            <w:rFonts w:ascii="Open Sans" w:eastAsia="Open Sans" w:hAnsi="Open Sans" w:cs="Open Sans"/>
            <w:sz w:val="21"/>
            <w:szCs w:val="21"/>
            <w:highlight w:val="yellow"/>
          </w:rPr>
          <w:t>K. Adler-Storth</w:t>
        </w:r>
      </w:hyperlink>
      <w:r w:rsidR="005635C9">
        <w:rPr>
          <w:rFonts w:ascii="Open Sans" w:eastAsia="Open Sans" w:hAnsi="Open Sans" w:cs="Open Sans"/>
          <w:sz w:val="21"/>
          <w:szCs w:val="21"/>
          <w:highlight w:val="yellow"/>
        </w:rPr>
        <w:t xml:space="preserve">, </w:t>
      </w:r>
      <w:hyperlink r:id="rId102">
        <w:r w:rsidR="005635C9">
          <w:rPr>
            <w:rFonts w:ascii="Open Sans" w:eastAsia="Open Sans" w:hAnsi="Open Sans" w:cs="Open Sans"/>
            <w:sz w:val="21"/>
            <w:szCs w:val="21"/>
            <w:highlight w:val="yellow"/>
          </w:rPr>
          <w:t>J. R. Newland</w:t>
        </w:r>
      </w:hyperlink>
      <w:r w:rsidR="005635C9">
        <w:rPr>
          <w:rFonts w:ascii="Open Sans" w:eastAsia="Open Sans" w:hAnsi="Open Sans" w:cs="Open Sans"/>
          <w:sz w:val="21"/>
          <w:szCs w:val="21"/>
          <w:highlight w:val="yellow"/>
        </w:rPr>
        <w:t xml:space="preserve">, </w:t>
      </w:r>
      <w:hyperlink r:id="rId103">
        <w:r w:rsidR="005635C9">
          <w:rPr>
            <w:rFonts w:ascii="Open Sans" w:eastAsia="Open Sans" w:hAnsi="Open Sans" w:cs="Open Sans"/>
            <w:sz w:val="21"/>
            <w:szCs w:val="21"/>
            <w:highlight w:val="yellow"/>
          </w:rPr>
          <w:t>B. A. Tessin</w:t>
        </w:r>
      </w:hyperlink>
      <w:r w:rsidR="005635C9">
        <w:rPr>
          <w:rFonts w:ascii="Open Sans" w:eastAsia="Open Sans" w:hAnsi="Open Sans" w:cs="Open Sans"/>
          <w:sz w:val="21"/>
          <w:szCs w:val="21"/>
          <w:highlight w:val="yellow"/>
        </w:rPr>
        <w:t xml:space="preserve">, </w:t>
      </w:r>
      <w:hyperlink r:id="rId104">
        <w:r w:rsidR="005635C9">
          <w:rPr>
            <w:rFonts w:ascii="Open Sans" w:eastAsia="Open Sans" w:hAnsi="Open Sans" w:cs="Open Sans"/>
            <w:sz w:val="21"/>
            <w:szCs w:val="21"/>
            <w:highlight w:val="yellow"/>
          </w:rPr>
          <w:t>W. A. Yeudall</w:t>
        </w:r>
      </w:hyperlink>
      <w:r w:rsidR="005635C9">
        <w:rPr>
          <w:rFonts w:ascii="Open Sans" w:eastAsia="Open Sans" w:hAnsi="Open Sans" w:cs="Open Sans"/>
          <w:sz w:val="21"/>
          <w:szCs w:val="21"/>
          <w:highlight w:val="yellow"/>
        </w:rPr>
        <w:t xml:space="preserve">, </w:t>
      </w:r>
      <w:hyperlink r:id="rId105">
        <w:r w:rsidR="005635C9">
          <w:rPr>
            <w:rFonts w:ascii="Open Sans" w:eastAsia="Open Sans" w:hAnsi="Open Sans" w:cs="Open Sans"/>
            <w:sz w:val="21"/>
            <w:szCs w:val="21"/>
            <w:highlight w:val="yellow"/>
          </w:rPr>
          <w:t>E. J. Shillitoe</w:t>
        </w:r>
      </w:hyperlink>
      <w:r w:rsidR="005635C9">
        <w:rPr>
          <w:sz w:val="22"/>
          <w:szCs w:val="22"/>
          <w:highlight w:val="yellow"/>
        </w:rPr>
        <w:t xml:space="preserve"> </w:t>
      </w:r>
      <w:hyperlink r:id="rId106">
        <w:r w:rsidR="005635C9">
          <w:rPr>
            <w:rFonts w:ascii="Open Sans" w:eastAsia="Open Sans" w:hAnsi="Open Sans" w:cs="Open Sans"/>
            <w:sz w:val="21"/>
            <w:szCs w:val="21"/>
            <w:highlight w:val="yellow"/>
          </w:rPr>
          <w:t>https://doi.org/10.1111/j.1600-0714.1986.tb00613.x</w:t>
        </w:r>
      </w:hyperlink>
      <w:r w:rsidR="005635C9">
        <w:rPr>
          <w:sz w:val="22"/>
          <w:szCs w:val="22"/>
          <w:highlight w:val="yellow"/>
        </w:rPr>
        <w:t xml:space="preserve"> [</w:t>
      </w:r>
      <w:hyperlink r:id="rId107">
        <w:r w:rsidR="005635C9">
          <w:rPr>
            <w:color w:val="1155CC"/>
            <w:sz w:val="22"/>
            <w:szCs w:val="22"/>
            <w:highlight w:val="yellow"/>
            <w:u w:val="single"/>
          </w:rPr>
          <w:t>DOI</w:t>
        </w:r>
      </w:hyperlink>
      <w:r w:rsidR="005635C9">
        <w:rPr>
          <w:sz w:val="22"/>
          <w:szCs w:val="22"/>
          <w:highlight w:val="yellow"/>
        </w:rPr>
        <w:t>]</w:t>
      </w:r>
    </w:p>
    <w:p w:rsidR="00092ACA" w:rsidRDefault="00092ACA">
      <w:pPr>
        <w:spacing w:after="0"/>
        <w:ind w:left="15" w:right="0" w:firstLine="0"/>
        <w:jc w:val="left"/>
        <w:rPr>
          <w:sz w:val="22"/>
          <w:szCs w:val="22"/>
        </w:rPr>
      </w:pPr>
    </w:p>
    <w:sectPr w:rsidR="00092ACA">
      <w:headerReference w:type="even" r:id="rId108"/>
      <w:headerReference w:type="default" r:id="rId109"/>
      <w:footerReference w:type="even" r:id="rId110"/>
      <w:footerReference w:type="default" r:id="rId111"/>
      <w:headerReference w:type="first" r:id="rId112"/>
      <w:footerReference w:type="first" r:id="rId113"/>
      <w:pgSz w:w="11920" w:h="16840"/>
      <w:pgMar w:top="950" w:right="941" w:bottom="1186" w:left="92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9DB" w:rsidRDefault="000869DB">
      <w:pPr>
        <w:spacing w:after="0" w:line="240" w:lineRule="auto"/>
      </w:pPr>
      <w:r>
        <w:separator/>
      </w:r>
    </w:p>
  </w:endnote>
  <w:endnote w:type="continuationSeparator" w:id="0">
    <w:p w:rsidR="000869DB" w:rsidRDefault="00086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ACA" w:rsidRDefault="00092ACA">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ACA" w:rsidRDefault="00092ACA">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ACA" w:rsidRDefault="00092AC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9DB" w:rsidRDefault="000869DB">
      <w:pPr>
        <w:spacing w:after="0" w:line="240" w:lineRule="auto"/>
      </w:pPr>
      <w:r>
        <w:separator/>
      </w:r>
    </w:p>
  </w:footnote>
  <w:footnote w:type="continuationSeparator" w:id="0">
    <w:p w:rsidR="000869DB" w:rsidRDefault="00086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ACA" w:rsidRDefault="000869DB">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left:0;text-align:left;margin-left:0;margin-top:0;width:638pt;height:70.85pt;rotation:315;z-index:-251657728;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ACA" w:rsidRDefault="000869DB">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638pt;height:70.85pt;rotation:315;z-index:-251659776;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ACA" w:rsidRDefault="000869DB">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left:0;text-align:left;margin-left:0;margin-top:0;width:638pt;height:70.85pt;rotation:315;z-index:-251658752;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F70E3"/>
    <w:multiLevelType w:val="multilevel"/>
    <w:tmpl w:val="FA2C10AE"/>
    <w:lvl w:ilvl="0">
      <w:start w:val="1"/>
      <w:numFmt w:val="bullet"/>
      <w:lvlText w:val="●"/>
      <w:lvlJc w:val="left"/>
      <w:pPr>
        <w:ind w:left="720" w:hanging="72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Arial" w:eastAsia="Arial" w:hAnsi="Arial" w:cs="Arial"/>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Arial" w:eastAsia="Arial" w:hAnsi="Arial" w:cs="Arial"/>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Arial" w:eastAsia="Arial" w:hAnsi="Arial" w:cs="Arial"/>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trike w:val="0"/>
        <w:color w:val="000000"/>
        <w:sz w:val="20"/>
        <w:szCs w:val="20"/>
        <w:u w:val="none"/>
        <w:shd w:val="clear" w:color="auto" w:fill="auto"/>
        <w:vertAlign w:val="baseline"/>
      </w:rPr>
    </w:lvl>
  </w:abstractNum>
  <w:abstractNum w:abstractNumId="1" w15:restartNumberingAfterBreak="0">
    <w:nsid w:val="293355D8"/>
    <w:multiLevelType w:val="multilevel"/>
    <w:tmpl w:val="057A833C"/>
    <w:lvl w:ilvl="0">
      <w:start w:val="11"/>
      <w:numFmt w:val="decimal"/>
      <w:lvlText w:val="%1"/>
      <w:lvlJc w:val="left"/>
      <w:pPr>
        <w:ind w:left="0" w:firstLine="0"/>
      </w:pPr>
      <w:rPr>
        <w:rFonts w:ascii="Arial" w:eastAsia="Arial" w:hAnsi="Arial" w:cs="Arial"/>
        <w:b w:val="0"/>
        <w:i w:val="0"/>
        <w:strike w:val="0"/>
        <w:color w:val="000000"/>
        <w:sz w:val="20"/>
        <w:szCs w:val="20"/>
        <w:u w:val="none"/>
        <w:shd w:val="clear" w:color="auto" w:fill="auto"/>
        <w:vertAlign w:val="baseline"/>
      </w:rPr>
    </w:lvl>
    <w:lvl w:ilvl="1">
      <w:start w:val="1"/>
      <w:numFmt w:val="lowerLetter"/>
      <w:lvlText w:val="%2"/>
      <w:lvlJc w:val="left"/>
      <w:pPr>
        <w:ind w:left="1080" w:hanging="1080"/>
      </w:pPr>
      <w:rPr>
        <w:rFonts w:ascii="Arial" w:eastAsia="Arial" w:hAnsi="Arial" w:cs="Arial"/>
        <w:b w:val="0"/>
        <w:i w:val="0"/>
        <w:strike w:val="0"/>
        <w:color w:val="000000"/>
        <w:sz w:val="20"/>
        <w:szCs w:val="20"/>
        <w:u w:val="none"/>
        <w:shd w:val="clear" w:color="auto" w:fill="auto"/>
        <w:vertAlign w:val="baseline"/>
      </w:rPr>
    </w:lvl>
    <w:lvl w:ilvl="2">
      <w:start w:val="1"/>
      <w:numFmt w:val="lowerRoman"/>
      <w:lvlText w:val="%3"/>
      <w:lvlJc w:val="left"/>
      <w:pPr>
        <w:ind w:left="1800" w:hanging="1800"/>
      </w:pPr>
      <w:rPr>
        <w:rFonts w:ascii="Arial" w:eastAsia="Arial" w:hAnsi="Arial" w:cs="Arial"/>
        <w:b w:val="0"/>
        <w:i w:val="0"/>
        <w:strike w:val="0"/>
        <w:color w:val="000000"/>
        <w:sz w:val="20"/>
        <w:szCs w:val="20"/>
        <w:u w:val="none"/>
        <w:shd w:val="clear" w:color="auto" w:fill="auto"/>
        <w:vertAlign w:val="baseline"/>
      </w:rPr>
    </w:lvl>
    <w:lvl w:ilvl="3">
      <w:start w:val="1"/>
      <w:numFmt w:val="decimal"/>
      <w:lvlText w:val="%4"/>
      <w:lvlJc w:val="left"/>
      <w:pPr>
        <w:ind w:left="2520" w:hanging="2520"/>
      </w:pPr>
      <w:rPr>
        <w:rFonts w:ascii="Arial" w:eastAsia="Arial" w:hAnsi="Arial" w:cs="Arial"/>
        <w:b w:val="0"/>
        <w:i w:val="0"/>
        <w:strike w:val="0"/>
        <w:color w:val="000000"/>
        <w:sz w:val="20"/>
        <w:szCs w:val="20"/>
        <w:u w:val="none"/>
        <w:shd w:val="clear" w:color="auto" w:fill="auto"/>
        <w:vertAlign w:val="baseline"/>
      </w:rPr>
    </w:lvl>
    <w:lvl w:ilvl="4">
      <w:start w:val="1"/>
      <w:numFmt w:val="lowerLetter"/>
      <w:lvlText w:val="%5"/>
      <w:lvlJc w:val="left"/>
      <w:pPr>
        <w:ind w:left="3240" w:hanging="3240"/>
      </w:pPr>
      <w:rPr>
        <w:rFonts w:ascii="Arial" w:eastAsia="Arial" w:hAnsi="Arial" w:cs="Arial"/>
        <w:b w:val="0"/>
        <w:i w:val="0"/>
        <w:strike w:val="0"/>
        <w:color w:val="000000"/>
        <w:sz w:val="20"/>
        <w:szCs w:val="20"/>
        <w:u w:val="none"/>
        <w:shd w:val="clear" w:color="auto" w:fill="auto"/>
        <w:vertAlign w:val="baseline"/>
      </w:rPr>
    </w:lvl>
    <w:lvl w:ilvl="5">
      <w:start w:val="1"/>
      <w:numFmt w:val="lowerRoman"/>
      <w:lvlText w:val="%6"/>
      <w:lvlJc w:val="left"/>
      <w:pPr>
        <w:ind w:left="3960" w:hanging="3960"/>
      </w:pPr>
      <w:rPr>
        <w:rFonts w:ascii="Arial" w:eastAsia="Arial" w:hAnsi="Arial" w:cs="Arial"/>
        <w:b w:val="0"/>
        <w:i w:val="0"/>
        <w:strike w:val="0"/>
        <w:color w:val="000000"/>
        <w:sz w:val="20"/>
        <w:szCs w:val="20"/>
        <w:u w:val="none"/>
        <w:shd w:val="clear" w:color="auto" w:fill="auto"/>
        <w:vertAlign w:val="baseline"/>
      </w:rPr>
    </w:lvl>
    <w:lvl w:ilvl="6">
      <w:start w:val="1"/>
      <w:numFmt w:val="decimal"/>
      <w:lvlText w:val="%7"/>
      <w:lvlJc w:val="left"/>
      <w:pPr>
        <w:ind w:left="4680" w:hanging="4680"/>
      </w:pPr>
      <w:rPr>
        <w:rFonts w:ascii="Arial" w:eastAsia="Arial" w:hAnsi="Arial" w:cs="Arial"/>
        <w:b w:val="0"/>
        <w:i w:val="0"/>
        <w:strike w:val="0"/>
        <w:color w:val="000000"/>
        <w:sz w:val="20"/>
        <w:szCs w:val="20"/>
        <w:u w:val="none"/>
        <w:shd w:val="clear" w:color="auto" w:fill="auto"/>
        <w:vertAlign w:val="baseline"/>
      </w:rPr>
    </w:lvl>
    <w:lvl w:ilvl="7">
      <w:start w:val="1"/>
      <w:numFmt w:val="lowerLetter"/>
      <w:lvlText w:val="%8"/>
      <w:lvlJc w:val="left"/>
      <w:pPr>
        <w:ind w:left="5400" w:hanging="5400"/>
      </w:pPr>
      <w:rPr>
        <w:rFonts w:ascii="Arial" w:eastAsia="Arial" w:hAnsi="Arial" w:cs="Arial"/>
        <w:b w:val="0"/>
        <w:i w:val="0"/>
        <w:strike w:val="0"/>
        <w:color w:val="000000"/>
        <w:sz w:val="20"/>
        <w:szCs w:val="20"/>
        <w:u w:val="none"/>
        <w:shd w:val="clear" w:color="auto" w:fill="auto"/>
        <w:vertAlign w:val="baseline"/>
      </w:rPr>
    </w:lvl>
    <w:lvl w:ilvl="8">
      <w:start w:val="1"/>
      <w:numFmt w:val="lowerRoman"/>
      <w:lvlText w:val="%9"/>
      <w:lvlJc w:val="left"/>
      <w:pPr>
        <w:ind w:left="6120" w:hanging="6120"/>
      </w:pPr>
      <w:rPr>
        <w:rFonts w:ascii="Arial" w:eastAsia="Arial" w:hAnsi="Arial" w:cs="Arial"/>
        <w:b w:val="0"/>
        <w:i w:val="0"/>
        <w:strike w:val="0"/>
        <w:color w:val="000000"/>
        <w:sz w:val="20"/>
        <w:szCs w:val="20"/>
        <w:u w:val="none"/>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ACA"/>
    <w:rsid w:val="00010CB3"/>
    <w:rsid w:val="000869DB"/>
    <w:rsid w:val="00092ACA"/>
    <w:rsid w:val="00491A71"/>
    <w:rsid w:val="005635C9"/>
    <w:rsid w:val="006A1CA9"/>
    <w:rsid w:val="009F1E78"/>
    <w:rsid w:val="00D10453"/>
    <w:rsid w:val="00D637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5DED30"/>
  <w15:docId w15:val="{7CFD8AC9-75C1-4F27-A30D-B3C27848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 w:eastAsia="en-IN" w:bidi="ar-SA"/>
      </w:rPr>
    </w:rPrDefault>
    <w:pPrDefault>
      <w:pPr>
        <w:spacing w:after="3" w:line="259" w:lineRule="auto"/>
        <w:ind w:right="29" w:firstLine="5"/>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157"/>
      <w:ind w:right="0" w:firstLine="0"/>
      <w:jc w:val="left"/>
      <w:outlineLvl w:val="0"/>
    </w:pPr>
    <w:rPr>
      <w:b/>
      <w:color w:val="000000"/>
      <w:sz w:val="24"/>
      <w:szCs w:val="24"/>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161"/>
      <w:ind w:left="70" w:right="0" w:hanging="10"/>
      <w:jc w:val="left"/>
      <w:outlineLvl w:val="1"/>
    </w:pPr>
    <w:rPr>
      <w:b/>
      <w:color w:val="000000"/>
      <w:sz w:val="22"/>
      <w:szCs w:val="22"/>
    </w:rPr>
  </w:style>
  <w:style w:type="paragraph" w:styleId="Heading3">
    <w:name w:val="heading 3"/>
    <w:basedOn w:val="Normal"/>
    <w:next w:val="Normal"/>
    <w:uiPriority w:val="9"/>
    <w:unhideWhenUsed/>
    <w:qFormat/>
    <w:pPr>
      <w:keepNext/>
      <w:keepLines/>
      <w:pBdr>
        <w:top w:val="nil"/>
        <w:left w:val="nil"/>
        <w:bottom w:val="nil"/>
        <w:right w:val="nil"/>
        <w:between w:val="nil"/>
      </w:pBdr>
      <w:ind w:left="1051" w:right="0" w:hanging="10"/>
      <w:jc w:val="center"/>
      <w:outlineLvl w:val="2"/>
    </w:pPr>
    <w:rPr>
      <w:color w:val="000000"/>
      <w:sz w:val="22"/>
      <w:szCs w:val="2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png"/><Relationship Id="rId21" Type="http://schemas.openxmlformats.org/officeDocument/2006/relationships/image" Target="media/image1.png"/><Relationship Id="rId42" Type="http://schemas.openxmlformats.org/officeDocument/2006/relationships/hyperlink" Target="https://www.sciencedirect.com/science/article/abs/pii/0030422084900392?via%3Dihub" TargetMode="External"/><Relationship Id="rId47" Type="http://schemas.openxmlformats.org/officeDocument/2006/relationships/hyperlink" Target="https://www.mayoclinic.org/health/common-warts/treatment-and-drugs" TargetMode="External"/><Relationship Id="rId63" Type="http://schemas.openxmlformats.org/officeDocument/2006/relationships/hyperlink" Target="https://scholar.google.com/scholar_lookup?journal=Virology&amp;title=A%20systematic%20review%20of%20the%20prevalence%20of%20mucosal%20and%20cutaneous%20human%20papillomavirus%20types&amp;author=D%20Bzhalava&amp;author=P%20Guan&amp;author=S%20Franceschi&amp;author=J%20Dillner&amp;author=G%20Clifford&amp;volume=445&amp;issue=1-2&amp;publication_year=2013&amp;pages=224-231&amp;pmid=23928291&amp;doi=10.1016/j.virol.2013.07.015&amp;" TargetMode="External"/><Relationship Id="rId68" Type="http://schemas.openxmlformats.org/officeDocument/2006/relationships/hyperlink" Target="https://doi.org/10.1111/j.1600-0714.1987.tb01491.x" TargetMode="External"/><Relationship Id="rId84" Type="http://schemas.openxmlformats.org/officeDocument/2006/relationships/hyperlink" Target="https://www.sciencedirect.com/science/article/abs/pii/0030422084900392?via%3Dihub" TargetMode="External"/><Relationship Id="rId89" Type="http://schemas.openxmlformats.org/officeDocument/2006/relationships/hyperlink" Target="https://pubmed.ncbi.nlm.nih.gov/11890031/" TargetMode="External"/><Relationship Id="rId112" Type="http://schemas.openxmlformats.org/officeDocument/2006/relationships/header" Target="header3.xml"/><Relationship Id="rId16" Type="http://schemas.openxmlformats.org/officeDocument/2006/relationships/hyperlink" Target="https://www.sciencedirect.com/science/article/abs/pii/0030422086902902?via%3Dihub" TargetMode="External"/><Relationship Id="rId107" Type="http://schemas.openxmlformats.org/officeDocument/2006/relationships/hyperlink" Target="https://onlinelibrary.wiley.com/doi/abs/10.1111/j.1600-0714.1986.tb00613.x" TargetMode="External"/><Relationship Id="rId11" Type="http://schemas.openxmlformats.org/officeDocument/2006/relationships/hyperlink" Target="https://journals.asm.org/doi/10.1128/jvi.24.1.108-120.1977" TargetMode="External"/><Relationship Id="rId32" Type="http://schemas.openxmlformats.org/officeDocument/2006/relationships/hyperlink" Target="https://www.sciencedirect.com/science/article/abs/pii/0030422086902902?via%3Dihub" TargetMode="External"/><Relationship Id="rId37" Type="http://schemas.openxmlformats.org/officeDocument/2006/relationships/hyperlink" Target="https://www.sciencedirect.com/science/article/pii/S0042682213004352?via%3Dihub" TargetMode="External"/><Relationship Id="rId53" Type="http://schemas.openxmlformats.org/officeDocument/2006/relationships/hyperlink" Target="https://onlinelibrary.wiley.com/doi/10.1046/j.1525-1470.2001.01951.x" TargetMode="External"/><Relationship Id="rId58" Type="http://schemas.openxmlformats.org/officeDocument/2006/relationships/hyperlink" Target="https://www.sciencedirect.com/science/article/pii/S0042682213004352?via%3Dihub" TargetMode="External"/><Relationship Id="rId74" Type="http://schemas.openxmlformats.org/officeDocument/2006/relationships/hyperlink" Target="https://www.sciencedirect.com/science/article/abs/pii/0030422086902902?via%3Dihub" TargetMode="External"/><Relationship Id="rId79" Type="http://schemas.openxmlformats.org/officeDocument/2006/relationships/hyperlink" Target="https://pmc.ncbi.nlm.nih.gov/articles/PMC1916006/" TargetMode="External"/><Relationship Id="rId102" Type="http://schemas.openxmlformats.org/officeDocument/2006/relationships/hyperlink" Target="https://onlinelibrary.wiley.com/authored-by/Newland/J.+R." TargetMode="External"/><Relationship Id="rId5" Type="http://schemas.openxmlformats.org/officeDocument/2006/relationships/footnotes" Target="footnotes.xml"/><Relationship Id="rId90" Type="http://schemas.openxmlformats.org/officeDocument/2006/relationships/hyperlink" Target="https://nyaspubs.onlinelibrary.wiley.com/doi/10.1111/j.1749-6632.1956.tb32134.x" TargetMode="External"/><Relationship Id="rId95" Type="http://schemas.openxmlformats.org/officeDocument/2006/relationships/hyperlink" Target="https://www.thelancet.com/journals/lancet/article/PIIS0140-6736(06)68439-0/fulltext" TargetMode="External"/><Relationship Id="rId22" Type="http://schemas.openxmlformats.org/officeDocument/2006/relationships/image" Target="media/image2.png"/><Relationship Id="rId27" Type="http://schemas.openxmlformats.org/officeDocument/2006/relationships/hyperlink" Target="https://pubmed.ncbi.nlm.nih.gov/11890031/" TargetMode="External"/><Relationship Id="rId43" Type="http://schemas.openxmlformats.org/officeDocument/2006/relationships/hyperlink" Target="https://onlinelibrary.wiley.com/doi/abs/10.1111/j.1600-0714.1986.tb00613.x" TargetMode="External"/><Relationship Id="rId48" Type="http://schemas.openxmlformats.org/officeDocument/2006/relationships/hyperlink" Target="https://www.mayoclinic.org/health/common-warts/treatment-and-drugs" TargetMode="External"/><Relationship Id="rId64" Type="http://schemas.openxmlformats.org/officeDocument/2006/relationships/hyperlink" Target="https://journals.asm.org/doi/10.1128/jvi.24.1.108-120.1977" TargetMode="External"/><Relationship Id="rId69" Type="http://schemas.openxmlformats.org/officeDocument/2006/relationships/hyperlink" Target="https://doi.org/10.1111/j.1600-0714.1987.tb01491.x" TargetMode="External"/><Relationship Id="rId113" Type="http://schemas.openxmlformats.org/officeDocument/2006/relationships/footer" Target="footer3.xml"/><Relationship Id="rId80" Type="http://schemas.openxmlformats.org/officeDocument/2006/relationships/hyperlink" Target="https://pubmed.ncbi.nlm.nih.gov/6282128/" TargetMode="External"/><Relationship Id="rId85" Type="http://schemas.openxmlformats.org/officeDocument/2006/relationships/hyperlink" Target="https://www.sciencedirect.com/science/article/abs/pii/0030422084900392?via%3Dihub" TargetMode="External"/><Relationship Id="rId12" Type="http://schemas.openxmlformats.org/officeDocument/2006/relationships/hyperlink" Target="https://journals.asm.org/doi/10.1128/jvi.24.1.108-120.1977" TargetMode="External"/><Relationship Id="rId17" Type="http://schemas.openxmlformats.org/officeDocument/2006/relationships/hyperlink" Target="https://pubmed.ncbi.nlm.nih.gov/6282128/" TargetMode="External"/><Relationship Id="rId33" Type="http://schemas.openxmlformats.org/officeDocument/2006/relationships/hyperlink" Target="https://linkinghub.elsevier.com/retrieve/pii/S0264410X12010808" TargetMode="External"/><Relationship Id="rId38" Type="http://schemas.openxmlformats.org/officeDocument/2006/relationships/hyperlink" Target="https://www.sciencedirect.com/science/article/pii/S0042682213004352?via%3Dihub" TargetMode="External"/><Relationship Id="rId59" Type="http://schemas.openxmlformats.org/officeDocument/2006/relationships/hyperlink" Target="https://www.sciencedirect.com/science/article/pii/S0042682213004352?via%3Dihub" TargetMode="External"/><Relationship Id="rId103" Type="http://schemas.openxmlformats.org/officeDocument/2006/relationships/hyperlink" Target="https://onlinelibrary.wiley.com/authored-by/Tessin/B.+A." TargetMode="External"/><Relationship Id="rId108" Type="http://schemas.openxmlformats.org/officeDocument/2006/relationships/header" Target="header1.xml"/><Relationship Id="rId54" Type="http://schemas.openxmlformats.org/officeDocument/2006/relationships/hyperlink" Target="https://onlinelibrary.wiley.com/doi/10.1046/j.1525-1470.2001.01951.x" TargetMode="External"/><Relationship Id="rId70" Type="http://schemas.openxmlformats.org/officeDocument/2006/relationships/hyperlink" Target="https://pubmed.ncbi.nlm.nih.gov/2821213/" TargetMode="External"/><Relationship Id="rId75" Type="http://schemas.openxmlformats.org/officeDocument/2006/relationships/hyperlink" Target="https://www.sciencedirect.com/science/article/abs/pii/0030422086902902?via%3Dihub" TargetMode="External"/><Relationship Id="rId91" Type="http://schemas.openxmlformats.org/officeDocument/2006/relationships/hyperlink" Target="https://nyaspubs.onlinelibrary.wiley.com/doi/10.1111/j.1749-6632.1956.tb32134.x" TargetMode="External"/><Relationship Id="rId96" Type="http://schemas.openxmlformats.org/officeDocument/2006/relationships/hyperlink" Target="https://pubmed.ncbi.nlm.nih.gov/1663188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ciencedirect.com/science/article/abs/pii/0030422086902902?via%3Dihub" TargetMode="External"/><Relationship Id="rId23" Type="http://schemas.openxmlformats.org/officeDocument/2006/relationships/image" Target="media/image3.png"/><Relationship Id="rId28" Type="http://schemas.openxmlformats.org/officeDocument/2006/relationships/hyperlink" Target="https://pubmed.ncbi.nlm.nih.gov/11890031/" TargetMode="External"/><Relationship Id="rId36" Type="http://schemas.openxmlformats.org/officeDocument/2006/relationships/hyperlink" Target="https://pubmed.ncbi.nlm.nih.gov/6282128/" TargetMode="External"/><Relationship Id="rId49" Type="http://schemas.openxmlformats.org/officeDocument/2006/relationships/hyperlink" Target="https://onlinelibrary.wiley.com/doi/10.1046/j.1525-1470.2001.01951.x" TargetMode="External"/><Relationship Id="rId57" Type="http://schemas.openxmlformats.org/officeDocument/2006/relationships/hyperlink" Target="https://linkinghub.elsevier.com/retrieve/pii/S0264410X12010808" TargetMode="External"/><Relationship Id="rId106" Type="http://schemas.openxmlformats.org/officeDocument/2006/relationships/hyperlink" Target="https://doi.org/10.1111/j.1600-0714.1986.tb00613.x" TargetMode="External"/><Relationship Id="rId114" Type="http://schemas.openxmlformats.org/officeDocument/2006/relationships/fontTable" Target="fontTable.xml"/><Relationship Id="rId10" Type="http://schemas.openxmlformats.org/officeDocument/2006/relationships/hyperlink" Target="https://www.sciencedirect.com/science/article/pii/S0042682213004352?via%3Dihub" TargetMode="External"/><Relationship Id="rId31" Type="http://schemas.openxmlformats.org/officeDocument/2006/relationships/hyperlink" Target="https://www.sciencedirect.com/science/article/abs/pii/0030422086902902?via%3Dihub" TargetMode="External"/><Relationship Id="rId44" Type="http://schemas.openxmlformats.org/officeDocument/2006/relationships/hyperlink" Target="https://www.thelancet.com/journals/lancet/article/PIIS0140-6736(06)68439-0/fulltext" TargetMode="External"/><Relationship Id="rId52" Type="http://schemas.openxmlformats.org/officeDocument/2006/relationships/hyperlink" Target="https://onlinelibrary.wiley.com/doi/10.1046/j.1525-1470.2001.01951.x" TargetMode="External"/><Relationship Id="rId60" Type="http://schemas.openxmlformats.org/officeDocument/2006/relationships/hyperlink" Target="https://pubmed.ncbi.nlm.nih.gov/23928291/" TargetMode="External"/><Relationship Id="rId65" Type="http://schemas.openxmlformats.org/officeDocument/2006/relationships/hyperlink" Target="https://journals.asm.org/doi/10.1128/jvi.24.1.108-120.1977" TargetMode="External"/><Relationship Id="rId73" Type="http://schemas.openxmlformats.org/officeDocument/2006/relationships/hyperlink" Target="https://scholar.google.com/scholar_lookup?journal=J%20Oral%20Pathol&amp;title=Demonstration%20of%20human%20papillomavirus%20DNA%20in%20oral%20condyloma%20acuminatum&amp;author=LR%20Eversole&amp;author=PJ%20Laipis&amp;author=P%20Merrell&amp;author=E%20Choi&amp;volume=16&amp;issue=5&amp;publication_year=1987&amp;pages=266-272&amp;pmid=2821213&amp;doi=10.1111/j.1600-0714.1987.tb01491.x&amp;" TargetMode="External"/><Relationship Id="rId78" Type="http://schemas.openxmlformats.org/officeDocument/2006/relationships/hyperlink" Target="https://pmc.ncbi.nlm.nih.gov/articles/PMC1916006/" TargetMode="External"/><Relationship Id="rId81" Type="http://schemas.openxmlformats.org/officeDocument/2006/relationships/hyperlink" Target="https://pubmed.ncbi.nlm.nih.gov/6282128/" TargetMode="External"/><Relationship Id="rId86" Type="http://schemas.openxmlformats.org/officeDocument/2006/relationships/hyperlink" Target="https://pubmed.ncbi.nlm.nih.gov/6594661/" TargetMode="External"/><Relationship Id="rId94" Type="http://schemas.openxmlformats.org/officeDocument/2006/relationships/hyperlink" Target="https://www.thelancet.com/journals/lancet/article/PIIS0140-6736(06)68439-0/fulltext" TargetMode="External"/><Relationship Id="rId99" Type="http://schemas.openxmlformats.org/officeDocument/2006/relationships/hyperlink" Target="https://onlinelibrary.wiley.com/doi/10.1046/j.1525-1470.2001.01951.x" TargetMode="External"/><Relationship Id="rId101" Type="http://schemas.openxmlformats.org/officeDocument/2006/relationships/hyperlink" Target="https://onlinelibrary.wiley.com/authored-by/Adler%E2%80%90Storthz/K." TargetMode="External"/><Relationship Id="rId4" Type="http://schemas.openxmlformats.org/officeDocument/2006/relationships/webSettings" Target="webSettings.xml"/><Relationship Id="rId9" Type="http://schemas.openxmlformats.org/officeDocument/2006/relationships/hyperlink" Target="https://www.sciencedirect.com/science/article/pii/S0042682213004352?via%3Dihub" TargetMode="External"/><Relationship Id="rId13" Type="http://schemas.openxmlformats.org/officeDocument/2006/relationships/hyperlink" Target="https://doi.org/10.1111/j.1600-0714.1987.tb01491.x" TargetMode="External"/><Relationship Id="rId18" Type="http://schemas.openxmlformats.org/officeDocument/2006/relationships/hyperlink" Target="https://pubmed.ncbi.nlm.nih.gov/6282128/" TargetMode="External"/><Relationship Id="rId39" Type="http://schemas.openxmlformats.org/officeDocument/2006/relationships/hyperlink" Target="https://journals.asm.org/doi/10.1128/jvi.24.1.108-120.1977" TargetMode="External"/><Relationship Id="rId109" Type="http://schemas.openxmlformats.org/officeDocument/2006/relationships/header" Target="header2.xml"/><Relationship Id="rId34" Type="http://schemas.openxmlformats.org/officeDocument/2006/relationships/hyperlink" Target="https://linkinghub.elsevier.com/retrieve/pii/S0264410X12010808" TargetMode="External"/><Relationship Id="rId50" Type="http://schemas.openxmlformats.org/officeDocument/2006/relationships/hyperlink" Target="https://onlinelibrary.wiley.com/doi/10.1046/j.1525-1470.2001.01951.x" TargetMode="External"/><Relationship Id="rId55" Type="http://schemas.openxmlformats.org/officeDocument/2006/relationships/hyperlink" Target="https://onlinelibrary.wiley.com/doi/10.1046/j.1525-1470.2001.01951.x" TargetMode="External"/><Relationship Id="rId76" Type="http://schemas.openxmlformats.org/officeDocument/2006/relationships/hyperlink" Target="https://pubmed.ncbi.nlm.nih.gov/3464913/" TargetMode="External"/><Relationship Id="rId97" Type="http://schemas.openxmlformats.org/officeDocument/2006/relationships/hyperlink" Target="https://pubmed.ncbi.nlm.nih.gov/16631880/" TargetMode="External"/><Relationship Id="rId104" Type="http://schemas.openxmlformats.org/officeDocument/2006/relationships/hyperlink" Target="https://onlinelibrary.wiley.com/authored-by/Yeudall/W.+A." TargetMode="External"/><Relationship Id="rId7" Type="http://schemas.openxmlformats.org/officeDocument/2006/relationships/hyperlink" Target="https://linkinghub.elsevier.com/retrieve/pii/S0264410X12010808" TargetMode="External"/><Relationship Id="rId71" Type="http://schemas.openxmlformats.org/officeDocument/2006/relationships/hyperlink" Target="https://pubmed.ncbi.nlm.nih.gov/2821213/" TargetMode="External"/><Relationship Id="rId92" Type="http://schemas.openxmlformats.org/officeDocument/2006/relationships/hyperlink" Target="https://pubmed.ncbi.nlm.nih.gov/13314471/" TargetMode="External"/><Relationship Id="rId2" Type="http://schemas.openxmlformats.org/officeDocument/2006/relationships/styles" Target="styles.xml"/><Relationship Id="rId29" Type="http://schemas.openxmlformats.org/officeDocument/2006/relationships/hyperlink" Target="https://nyaspubs.onlinelibrary.wiley.com/doi/10.1111/j.1749-6632.1956.tb32134.x" TargetMode="External"/><Relationship Id="rId24" Type="http://schemas.openxmlformats.org/officeDocument/2006/relationships/image" Target="media/image4.png"/><Relationship Id="rId40" Type="http://schemas.openxmlformats.org/officeDocument/2006/relationships/hyperlink" Target="https://journals.asm.org/doi/10.1128/jvi.24.1.108-120.1977" TargetMode="External"/><Relationship Id="rId45" Type="http://schemas.openxmlformats.org/officeDocument/2006/relationships/hyperlink" Target="https://www.thelancet.com/journals/lancet/article/PIIS0140-6736(06)68439-0/fulltext" TargetMode="External"/><Relationship Id="rId66" Type="http://schemas.openxmlformats.org/officeDocument/2006/relationships/hyperlink" Target="https://pubmed.ncbi.nlm.nih.gov/198572/https://pubmed.ncbi.nlm.nih.gov/6257792/" TargetMode="External"/><Relationship Id="rId87" Type="http://schemas.openxmlformats.org/officeDocument/2006/relationships/hyperlink" Target="https://pubmed.ncbi.nlm.nih.gov/6594661/" TargetMode="External"/><Relationship Id="rId110" Type="http://schemas.openxmlformats.org/officeDocument/2006/relationships/footer" Target="footer1.xml"/><Relationship Id="rId115" Type="http://schemas.openxmlformats.org/officeDocument/2006/relationships/theme" Target="theme/theme1.xml"/><Relationship Id="rId61" Type="http://schemas.openxmlformats.org/officeDocument/2006/relationships/hyperlink" Target="https://pubmed.ncbi.nlm.nih.gov/23928291/" TargetMode="External"/><Relationship Id="rId82" Type="http://schemas.openxmlformats.org/officeDocument/2006/relationships/hyperlink" Target="https://scholar.google.com/scholar_lookup?journal=Am%20J%20Pathol&amp;title=Frequency%20and%20distribution%20of%20papillomavirus%20structural%20antigens%20in%20verrucae,%20multiple%20papillomas%20and%20condylomata%20of%20the%20oral%20cavity&amp;author=AB%20Jenson&amp;author=WD%20Lancaster&amp;author=D%20Hartmann&amp;author=EL%20Shaffer&amp;volume=107&amp;publication_year=1982&amp;pages=212-218&amp;pmid=6282128&amp;" TargetMode="External"/><Relationship Id="rId19" Type="http://schemas.openxmlformats.org/officeDocument/2006/relationships/hyperlink" Target="https://www.sciencedirect.com/science/article/abs/pii/0030422084900392?via%3Dihub" TargetMode="External"/><Relationship Id="rId14" Type="http://schemas.openxmlformats.org/officeDocument/2006/relationships/hyperlink" Target="https://doi.org/10.1111/j.1600-0714.1987.tb01491.x" TargetMode="External"/><Relationship Id="rId30" Type="http://schemas.openxmlformats.org/officeDocument/2006/relationships/hyperlink" Target="https://nyaspubs.onlinelibrary.wiley.com/doi/10.1111/j.1749-6632.1956.tb32134.x" TargetMode="External"/><Relationship Id="rId35" Type="http://schemas.openxmlformats.org/officeDocument/2006/relationships/hyperlink" Target="https://pubmed.ncbi.nlm.nih.gov/6282128/" TargetMode="External"/><Relationship Id="rId56" Type="http://schemas.openxmlformats.org/officeDocument/2006/relationships/hyperlink" Target="https://linkinghub.elsevier.com/retrieve/pii/S0264410X12010808" TargetMode="External"/><Relationship Id="rId77" Type="http://schemas.openxmlformats.org/officeDocument/2006/relationships/hyperlink" Target="https://pubmed.ncbi.nlm.nih.gov/3464913/" TargetMode="External"/><Relationship Id="rId100" Type="http://schemas.openxmlformats.org/officeDocument/2006/relationships/hyperlink" Target="https://onlinelibrary.wiley.com/doi/10.1046/j.1525-1470.2001.01951.x" TargetMode="External"/><Relationship Id="rId105" Type="http://schemas.openxmlformats.org/officeDocument/2006/relationships/hyperlink" Target="https://onlinelibrary.wiley.com/authored-by/Shillitoe/E.+J." TargetMode="External"/><Relationship Id="rId8" Type="http://schemas.openxmlformats.org/officeDocument/2006/relationships/hyperlink" Target="https://linkinghub.elsevier.com/retrieve/pii/S0264410X12010808" TargetMode="External"/><Relationship Id="rId51" Type="http://schemas.openxmlformats.org/officeDocument/2006/relationships/hyperlink" Target="https://www.mayoclinic.org/health/common-warts/treatment-and-drugs" TargetMode="External"/><Relationship Id="rId72" Type="http://schemas.openxmlformats.org/officeDocument/2006/relationships/hyperlink" Target="https://scholar.google.com/scholar_lookup?journal=J%20Oral%20Pathol&amp;title=Demonstration%20of%20human%20papillomavirus%20DNA%20in%20oral%20condyloma%20acuminatum&amp;author=LR%20Eversole&amp;author=PJ%20Laipis&amp;author=P%20Merrell&amp;author=E%20Choi&amp;volume=16&amp;issue=5&amp;publication_year=1987&amp;pages=266-272&amp;pmid=2821213&amp;doi=10.1111/j.1600-0714.1987.tb01491.x&amp;" TargetMode="External"/><Relationship Id="rId93" Type="http://schemas.openxmlformats.org/officeDocument/2006/relationships/hyperlink" Target="https://pubmed.ncbi.nlm.nih.gov/13314471/" TargetMode="External"/><Relationship Id="rId98" Type="http://schemas.openxmlformats.org/officeDocument/2006/relationships/hyperlink" Target="https://link.springer.com/article/10.1007/s12663-010-0097-5" TargetMode="External"/><Relationship Id="rId3" Type="http://schemas.openxmlformats.org/officeDocument/2006/relationships/settings" Target="settings.xml"/><Relationship Id="rId25" Type="http://schemas.openxmlformats.org/officeDocument/2006/relationships/image" Target="media/image5.png"/><Relationship Id="rId46" Type="http://schemas.openxmlformats.org/officeDocument/2006/relationships/hyperlink" Target="https://www.mayoclinic.org/health/common-warts/treatment-and-drugs" TargetMode="External"/><Relationship Id="rId67" Type="http://schemas.openxmlformats.org/officeDocument/2006/relationships/hyperlink" Target="https://pubmed.ncbi.nlm.nih.gov/198572/https://pubmed.ncbi.nlm.nih.gov/6257792/" TargetMode="External"/><Relationship Id="rId20" Type="http://schemas.openxmlformats.org/officeDocument/2006/relationships/hyperlink" Target="https://www.sciencedirect.com/science/article/abs/pii/0030422084900392?via%3Dihub" TargetMode="External"/><Relationship Id="rId41" Type="http://schemas.openxmlformats.org/officeDocument/2006/relationships/hyperlink" Target="https://www.sciencedirect.com/science/article/abs/pii/0030422084900392?via%3Dihub" TargetMode="External"/><Relationship Id="rId62" Type="http://schemas.openxmlformats.org/officeDocument/2006/relationships/hyperlink" Target="https://scholar.google.com/scholar_lookup?journal=Virology&amp;title=A%20systematic%20review%20of%20the%20prevalence%20of%20mucosal%20and%20cutaneous%20human%20papillomavirus%20types&amp;author=D%20Bzhalava&amp;author=P%20Guan&amp;author=S%20Franceschi&amp;author=J%20Dillner&amp;author=G%20Clifford&amp;volume=445&amp;issue=1-2&amp;publication_year=2013&amp;pages=224-231&amp;pmid=23928291&amp;doi=10.1016/j.virol.2013.07.015&amp;" TargetMode="External"/><Relationship Id="rId83" Type="http://schemas.openxmlformats.org/officeDocument/2006/relationships/hyperlink" Target="https://scholar.google.com/scholar_lookup?journal=Am%20J%20Pathol&amp;title=Frequency%20and%20distribution%20of%20papillomavirus%20structural%20antigens%20in%20verrucae,%20multiple%20papillomas%20and%20condylomata%20of%20the%20oral%20cavity&amp;author=AB%20Jenson&amp;author=WD%20Lancaster&amp;author=D%20Hartmann&amp;author=EL%20Shaffer&amp;volume=107&amp;publication_year=1982&amp;pages=212-218&amp;pmid=6282128&amp;" TargetMode="External"/><Relationship Id="rId88" Type="http://schemas.openxmlformats.org/officeDocument/2006/relationships/hyperlink" Target="https://pubmed.ncbi.nlm.nih.gov/11890031/" TargetMode="External"/><Relationship Id="rId11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3080</Words>
  <Characters>17562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1183</cp:lastModifiedBy>
  <cp:revision>6</cp:revision>
  <dcterms:created xsi:type="dcterms:W3CDTF">2025-09-27T09:55:00Z</dcterms:created>
  <dcterms:modified xsi:type="dcterms:W3CDTF">2025-10-06T06:31:00Z</dcterms:modified>
</cp:coreProperties>
</file>