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30FAF" w14:textId="77777777" w:rsidR="00575CDB" w:rsidRDefault="00575CDB" w:rsidP="00575CDB">
      <w:pPr>
        <w:pStyle w:val="Author"/>
        <w:spacing w:line="240" w:lineRule="auto"/>
        <w:jc w:val="left"/>
        <w:rPr>
          <w:rFonts w:ascii="Arial" w:hAnsi="Arial" w:cs="Arial"/>
          <w:kern w:val="28"/>
          <w:sz w:val="36"/>
          <w:u w:val="single"/>
        </w:rPr>
      </w:pPr>
      <w:r w:rsidRPr="00575CDB">
        <w:rPr>
          <w:rFonts w:ascii="Arial" w:hAnsi="Arial" w:cs="Arial"/>
          <w:kern w:val="28"/>
          <w:sz w:val="36"/>
          <w:u w:val="single"/>
        </w:rPr>
        <w:t xml:space="preserve">Original Research Article </w:t>
      </w:r>
    </w:p>
    <w:p w14:paraId="5098BC17" w14:textId="77777777" w:rsidR="005873AA" w:rsidRPr="00575CDB" w:rsidRDefault="005873AA" w:rsidP="00575CDB">
      <w:pPr>
        <w:pStyle w:val="Author"/>
        <w:spacing w:line="240" w:lineRule="auto"/>
        <w:jc w:val="left"/>
        <w:rPr>
          <w:rFonts w:ascii="Arial" w:hAnsi="Arial" w:cs="Arial"/>
          <w:kern w:val="28"/>
          <w:sz w:val="36"/>
          <w:u w:val="single"/>
        </w:rPr>
      </w:pPr>
    </w:p>
    <w:p w14:paraId="710BC5AF" w14:textId="340C6673" w:rsidR="00163BC4" w:rsidRPr="00163BC4" w:rsidRDefault="00A161F3" w:rsidP="00441B6F">
      <w:pPr>
        <w:pStyle w:val="Author"/>
        <w:spacing w:line="240" w:lineRule="auto"/>
        <w:rPr>
          <w:rFonts w:ascii="Arial" w:hAnsi="Arial" w:cs="Arial"/>
          <w:bCs/>
          <w:iCs/>
          <w:kern w:val="28"/>
          <w:sz w:val="36"/>
        </w:rPr>
      </w:pPr>
      <w:r>
        <w:rPr>
          <w:rFonts w:ascii="Arial" w:hAnsi="Arial" w:cs="Arial"/>
          <w:bCs/>
          <w:iCs/>
          <w:kern w:val="28"/>
          <w:sz w:val="36"/>
        </w:rPr>
        <w:t>Fractionation and</w:t>
      </w:r>
      <w:r w:rsidR="008C5FFD">
        <w:rPr>
          <w:rFonts w:ascii="Arial" w:hAnsi="Arial" w:cs="Arial"/>
          <w:bCs/>
          <w:iCs/>
          <w:kern w:val="28"/>
          <w:sz w:val="36"/>
        </w:rPr>
        <w:t xml:space="preserve"> </w:t>
      </w:r>
      <w:r>
        <w:rPr>
          <w:rFonts w:ascii="Arial" w:hAnsi="Arial" w:cs="Arial"/>
          <w:bCs/>
          <w:iCs/>
          <w:kern w:val="28"/>
          <w:sz w:val="36"/>
        </w:rPr>
        <w:t>availability of calcium and boron in lateritic soils of Kerala, India</w:t>
      </w:r>
    </w:p>
    <w:p w14:paraId="4FC8F01A" w14:textId="77777777" w:rsidR="00790ADA" w:rsidRDefault="00790ADA" w:rsidP="00441B6F">
      <w:pPr>
        <w:pStyle w:val="Affiliation"/>
        <w:spacing w:after="0" w:line="240" w:lineRule="auto"/>
        <w:jc w:val="both"/>
        <w:rPr>
          <w:rFonts w:ascii="Arial" w:hAnsi="Arial" w:cs="Arial"/>
        </w:rPr>
      </w:pPr>
    </w:p>
    <w:p w14:paraId="57E3CB71" w14:textId="77777777" w:rsidR="00611DC9" w:rsidRDefault="00611DC9" w:rsidP="00441B6F">
      <w:pPr>
        <w:pStyle w:val="Affiliation"/>
        <w:spacing w:after="0" w:line="240" w:lineRule="auto"/>
        <w:jc w:val="both"/>
        <w:rPr>
          <w:rFonts w:ascii="Arial" w:hAnsi="Arial" w:cs="Arial"/>
          <w:b/>
          <w:bCs/>
        </w:rPr>
      </w:pPr>
    </w:p>
    <w:p w14:paraId="6AAFEB03" w14:textId="77777777" w:rsidR="002C57D2" w:rsidRPr="00FB3A86" w:rsidRDefault="002C57D2" w:rsidP="00441B6F">
      <w:pPr>
        <w:pStyle w:val="Affiliation"/>
        <w:spacing w:after="0" w:line="240" w:lineRule="auto"/>
        <w:jc w:val="both"/>
        <w:rPr>
          <w:rFonts w:ascii="Arial" w:hAnsi="Arial" w:cs="Arial"/>
        </w:rPr>
      </w:pPr>
    </w:p>
    <w:p w14:paraId="79D7BC8F" w14:textId="77777777" w:rsidR="00B01FCD" w:rsidRPr="00FB3A86" w:rsidRDefault="007564C2" w:rsidP="00441B6F">
      <w:pPr>
        <w:pStyle w:val="Copyright"/>
        <w:spacing w:after="0" w:line="240" w:lineRule="auto"/>
        <w:jc w:val="both"/>
        <w:rPr>
          <w:rFonts w:ascii="Arial" w:hAnsi="Arial" w:cs="Arial"/>
        </w:rPr>
        <w:sectPr w:rsidR="00B01FCD" w:rsidRPr="00FB3A86" w:rsidSect="00C7596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81B8C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469BE6C" w14:textId="53B2D883" w:rsidR="00B01FCD" w:rsidRDefault="00B01FCD" w:rsidP="00441B6F">
      <w:pPr>
        <w:pStyle w:val="AbstHead"/>
        <w:spacing w:after="0"/>
        <w:jc w:val="both"/>
        <w:rPr>
          <w:rFonts w:ascii="Arial" w:hAnsi="Arial" w:cs="Arial"/>
        </w:rPr>
      </w:pPr>
      <w:r w:rsidRPr="00FB3A86">
        <w:rPr>
          <w:rFonts w:ascii="Arial" w:hAnsi="Arial" w:cs="Arial"/>
        </w:rPr>
        <w:t>ABSTRACT</w:t>
      </w:r>
    </w:p>
    <w:p w14:paraId="47BB14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B54CF0" w14:textId="77777777" w:rsidTr="001E44FE">
        <w:tc>
          <w:tcPr>
            <w:tcW w:w="9576" w:type="dxa"/>
            <w:shd w:val="clear" w:color="auto" w:fill="F2F2F2"/>
          </w:tcPr>
          <w:p w14:paraId="4ABA2129" w14:textId="122C3F79" w:rsidR="002E6A4A" w:rsidRPr="00311FA4" w:rsidRDefault="00311FA4" w:rsidP="002E6A4A">
            <w:pPr>
              <w:pStyle w:val="Body"/>
              <w:spacing w:after="0"/>
              <w:rPr>
                <w:rFonts w:ascii="Arial" w:eastAsia="Calibri" w:hAnsi="Arial" w:cs="Arial"/>
                <w:szCs w:val="22"/>
              </w:rPr>
            </w:pPr>
            <w:r w:rsidRPr="00311FA4">
              <w:rPr>
                <w:rFonts w:ascii="Arial" w:eastAsia="Calibri" w:hAnsi="Arial" w:cs="Arial"/>
                <w:szCs w:val="22"/>
              </w:rPr>
              <w:t xml:space="preserve">This study investigated the fractionation patterns of calcium and boron in lateritic soils across four </w:t>
            </w:r>
            <w:proofErr w:type="spellStart"/>
            <w:r w:rsidRPr="00311FA4">
              <w:rPr>
                <w:rFonts w:ascii="Arial" w:eastAsia="Calibri" w:hAnsi="Arial" w:cs="Arial"/>
                <w:szCs w:val="22"/>
              </w:rPr>
              <w:t>agro</w:t>
            </w:r>
            <w:proofErr w:type="spellEnd"/>
            <w:r w:rsidRPr="00311FA4">
              <w:rPr>
                <w:rFonts w:ascii="Arial" w:eastAsia="Calibri" w:hAnsi="Arial" w:cs="Arial"/>
                <w:szCs w:val="22"/>
              </w:rPr>
              <w:t xml:space="preserve">-ecological units of Kerala to assess their availability in relation to soil properties. The laboratory-based fractionation study with sequential extraction procedures was conducted at the Department of Soil Science and Agricultural Chemistry, College of Agriculture, Kerala Agricultural University, </w:t>
            </w:r>
            <w:proofErr w:type="spellStart"/>
            <w:r w:rsidRPr="00311FA4">
              <w:rPr>
                <w:rFonts w:ascii="Arial" w:eastAsia="Calibri" w:hAnsi="Arial" w:cs="Arial"/>
                <w:szCs w:val="22"/>
              </w:rPr>
              <w:t>Vellanikkara</w:t>
            </w:r>
            <w:proofErr w:type="spellEnd"/>
            <w:r w:rsidRPr="00311FA4">
              <w:rPr>
                <w:rFonts w:ascii="Arial" w:eastAsia="Calibri" w:hAnsi="Arial" w:cs="Arial"/>
                <w:szCs w:val="22"/>
              </w:rPr>
              <w:t xml:space="preserve">, between 2024 and 2025. Forty soil samples from four lateritic </w:t>
            </w:r>
            <w:proofErr w:type="spellStart"/>
            <w:r w:rsidRPr="00311FA4">
              <w:rPr>
                <w:rFonts w:ascii="Arial" w:eastAsia="Calibri" w:hAnsi="Arial" w:cs="Arial"/>
                <w:szCs w:val="22"/>
              </w:rPr>
              <w:t>agro</w:t>
            </w:r>
            <w:proofErr w:type="spellEnd"/>
            <w:r w:rsidRPr="00311FA4">
              <w:rPr>
                <w:rFonts w:ascii="Arial" w:eastAsia="Calibri" w:hAnsi="Arial" w:cs="Arial"/>
                <w:szCs w:val="22"/>
              </w:rPr>
              <w:t xml:space="preserve">-ecological units (AEU 8, 9, 10, and 11) of Kerala were analyzed. Calcium was fractionated using </w:t>
            </w:r>
            <w:proofErr w:type="spellStart"/>
            <w:r w:rsidRPr="00311FA4">
              <w:rPr>
                <w:rFonts w:ascii="Arial" w:eastAsia="Calibri" w:hAnsi="Arial" w:cs="Arial"/>
                <w:szCs w:val="22"/>
              </w:rPr>
              <w:t>Mokwunye</w:t>
            </w:r>
            <w:proofErr w:type="spellEnd"/>
            <w:r w:rsidRPr="00311FA4">
              <w:rPr>
                <w:rFonts w:ascii="Arial" w:eastAsia="Calibri" w:hAnsi="Arial" w:cs="Arial"/>
                <w:szCs w:val="22"/>
              </w:rPr>
              <w:t xml:space="preserve"> and </w:t>
            </w:r>
            <w:proofErr w:type="spellStart"/>
            <w:r w:rsidRPr="00311FA4">
              <w:rPr>
                <w:rFonts w:ascii="Arial" w:eastAsia="Calibri" w:hAnsi="Arial" w:cs="Arial"/>
                <w:szCs w:val="22"/>
              </w:rPr>
              <w:t>Melsted</w:t>
            </w:r>
            <w:proofErr w:type="spellEnd"/>
            <w:r w:rsidRPr="00311FA4">
              <w:rPr>
                <w:rFonts w:ascii="Arial" w:eastAsia="Calibri" w:hAnsi="Arial" w:cs="Arial"/>
                <w:szCs w:val="22"/>
              </w:rPr>
              <w:t xml:space="preserve"> (1972) method into water-soluble, exchangeable, organic complexed, acid soluble, and mineral-bound forms. Boron was fractionated following Datta et al. (2002) into readily soluble, specifically adsorbed, oxide-bound, organically bound, and residual forms. Correlation analysis was performed between fractions and soil properties. Calcium fractions ranged from 3.57 to 11.33 mg kg</w:t>
            </w:r>
            <w:r w:rsidRPr="00311FA4">
              <w:rPr>
                <w:rFonts w:ascii="Cambria Math" w:eastAsia="Calibri" w:hAnsi="Cambria Math" w:cs="Cambria Math"/>
                <w:szCs w:val="22"/>
              </w:rPr>
              <w:t>⁻</w:t>
            </w:r>
            <w:r w:rsidRPr="00311FA4">
              <w:rPr>
                <w:rFonts w:ascii="Arial" w:eastAsia="Calibri" w:hAnsi="Arial" w:cs="Arial"/>
                <w:szCs w:val="22"/>
              </w:rPr>
              <w:t>¹ for water-soluble, 298.71 to 1895.43 mg kg</w:t>
            </w:r>
            <w:r w:rsidRPr="00311FA4">
              <w:rPr>
                <w:rFonts w:ascii="Cambria Math" w:eastAsia="Calibri" w:hAnsi="Cambria Math" w:cs="Cambria Math"/>
                <w:szCs w:val="22"/>
              </w:rPr>
              <w:t>⁻</w:t>
            </w:r>
            <w:r w:rsidRPr="00311FA4">
              <w:rPr>
                <w:rFonts w:ascii="Arial" w:eastAsia="Calibri" w:hAnsi="Arial" w:cs="Arial"/>
                <w:szCs w:val="22"/>
              </w:rPr>
              <w:t>¹ for exchangeable, 18.59 to 268.53 mg kg</w:t>
            </w:r>
            <w:r w:rsidRPr="00311FA4">
              <w:rPr>
                <w:rFonts w:ascii="Cambria Math" w:eastAsia="Calibri" w:hAnsi="Cambria Math" w:cs="Cambria Math"/>
                <w:szCs w:val="22"/>
              </w:rPr>
              <w:t>⁻</w:t>
            </w:r>
            <w:r w:rsidRPr="00311FA4">
              <w:rPr>
                <w:rFonts w:ascii="Arial" w:eastAsia="Calibri" w:hAnsi="Arial" w:cs="Arial"/>
                <w:szCs w:val="22"/>
              </w:rPr>
              <w:t>¹ for organic complexed, 68.74 to 195.98 mg kg</w:t>
            </w:r>
            <w:r w:rsidRPr="00311FA4">
              <w:rPr>
                <w:rFonts w:ascii="Cambria Math" w:eastAsia="Calibri" w:hAnsi="Cambria Math" w:cs="Cambria Math"/>
                <w:szCs w:val="22"/>
              </w:rPr>
              <w:t>⁻</w:t>
            </w:r>
            <w:r w:rsidRPr="00311FA4">
              <w:rPr>
                <w:rFonts w:ascii="Arial" w:eastAsia="Calibri" w:hAnsi="Arial" w:cs="Arial"/>
                <w:szCs w:val="22"/>
              </w:rPr>
              <w:t>¹ for acid soluble, and 89.64 to 635.01 mg kg</w:t>
            </w:r>
            <w:r w:rsidRPr="00311FA4">
              <w:rPr>
                <w:rFonts w:ascii="Cambria Math" w:eastAsia="Calibri" w:hAnsi="Cambria Math" w:cs="Cambria Math"/>
                <w:szCs w:val="22"/>
              </w:rPr>
              <w:t>⁻</w:t>
            </w:r>
            <w:r w:rsidRPr="00311FA4">
              <w:rPr>
                <w:rFonts w:ascii="Arial" w:eastAsia="Calibri" w:hAnsi="Arial" w:cs="Arial"/>
                <w:szCs w:val="22"/>
              </w:rPr>
              <w:t>¹ for mineral calcium. Total calcium varied from 348.33 to 3425.44 mg kg</w:t>
            </w:r>
            <w:r w:rsidRPr="00311FA4">
              <w:rPr>
                <w:rFonts w:ascii="Cambria Math" w:eastAsia="Calibri" w:hAnsi="Cambria Math" w:cs="Cambria Math"/>
                <w:szCs w:val="22"/>
              </w:rPr>
              <w:t>⁻</w:t>
            </w:r>
            <w:r w:rsidRPr="00311FA4">
              <w:rPr>
                <w:rFonts w:ascii="Arial" w:eastAsia="Calibri" w:hAnsi="Arial" w:cs="Arial"/>
                <w:szCs w:val="22"/>
              </w:rPr>
              <w:t>¹ across AEUs. The contribution of calcium fractions followed the order: Ex. Ca &gt; Min-Ca &gt; Ac-s. Ca &gt; Or-c Ca &gt; WS. Ca. Boron fractions ranged from 0.41 to 1.86 mg kg</w:t>
            </w:r>
            <w:r w:rsidRPr="00311FA4">
              <w:rPr>
                <w:rFonts w:ascii="Cambria Math" w:eastAsia="Calibri" w:hAnsi="Cambria Math" w:cs="Cambria Math"/>
                <w:szCs w:val="22"/>
              </w:rPr>
              <w:t>⁻</w:t>
            </w:r>
            <w:r w:rsidRPr="00311FA4">
              <w:rPr>
                <w:rFonts w:ascii="Arial" w:eastAsia="Calibri" w:hAnsi="Arial" w:cs="Arial"/>
                <w:szCs w:val="22"/>
              </w:rPr>
              <w:t>¹ for readily soluble, 0.12 to 1.83 mg kg</w:t>
            </w:r>
            <w:r w:rsidRPr="00311FA4">
              <w:rPr>
                <w:rFonts w:ascii="Cambria Math" w:eastAsia="Calibri" w:hAnsi="Cambria Math" w:cs="Cambria Math"/>
                <w:szCs w:val="22"/>
              </w:rPr>
              <w:t>⁻</w:t>
            </w:r>
            <w:r w:rsidRPr="00311FA4">
              <w:rPr>
                <w:rFonts w:ascii="Arial" w:eastAsia="Calibri" w:hAnsi="Arial" w:cs="Arial"/>
                <w:szCs w:val="22"/>
              </w:rPr>
              <w:t>¹ for specifically adsorbed, 0.05 to 0.59 mg kg</w:t>
            </w:r>
            <w:r w:rsidRPr="00311FA4">
              <w:rPr>
                <w:rFonts w:ascii="Cambria Math" w:eastAsia="Calibri" w:hAnsi="Cambria Math" w:cs="Cambria Math"/>
                <w:szCs w:val="22"/>
              </w:rPr>
              <w:t>⁻</w:t>
            </w:r>
            <w:r w:rsidRPr="00311FA4">
              <w:rPr>
                <w:rFonts w:ascii="Arial" w:eastAsia="Calibri" w:hAnsi="Arial" w:cs="Arial"/>
                <w:szCs w:val="22"/>
              </w:rPr>
              <w:t>¹ for oxide-bound, 0.41 to 2.87 mg kg</w:t>
            </w:r>
            <w:r w:rsidRPr="00311FA4">
              <w:rPr>
                <w:rFonts w:ascii="Cambria Math" w:eastAsia="Calibri" w:hAnsi="Cambria Math" w:cs="Cambria Math"/>
                <w:szCs w:val="22"/>
              </w:rPr>
              <w:t>⁻</w:t>
            </w:r>
            <w:r w:rsidRPr="00311FA4">
              <w:rPr>
                <w:rFonts w:ascii="Arial" w:eastAsia="Calibri" w:hAnsi="Arial" w:cs="Arial"/>
                <w:szCs w:val="22"/>
              </w:rPr>
              <w:t>¹ for organically bound, and 44.42 to 90.23 mg kg</w:t>
            </w:r>
            <w:r w:rsidRPr="00311FA4">
              <w:rPr>
                <w:rFonts w:ascii="Cambria Math" w:eastAsia="Calibri" w:hAnsi="Cambria Math" w:cs="Cambria Math"/>
                <w:szCs w:val="22"/>
              </w:rPr>
              <w:t>⁻</w:t>
            </w:r>
            <w:r w:rsidRPr="00311FA4">
              <w:rPr>
                <w:rFonts w:ascii="Arial" w:eastAsia="Calibri" w:hAnsi="Arial" w:cs="Arial"/>
                <w:szCs w:val="22"/>
              </w:rPr>
              <w:t>¹ for residual boron. Residual boron constituted the largest pool (54.98-60.08 mg kg</w:t>
            </w:r>
            <w:r w:rsidRPr="00311FA4">
              <w:rPr>
                <w:rFonts w:ascii="Cambria Math" w:eastAsia="Calibri" w:hAnsi="Cambria Math" w:cs="Cambria Math"/>
                <w:szCs w:val="22"/>
              </w:rPr>
              <w:t>⁻</w:t>
            </w:r>
            <w:r w:rsidRPr="00311FA4">
              <w:rPr>
                <w:rFonts w:ascii="Arial" w:eastAsia="Calibri" w:hAnsi="Arial" w:cs="Arial"/>
                <w:szCs w:val="22"/>
              </w:rPr>
              <w:t>¹ across AEUs). All calcium fractions showed highly significant positive intercorrelations (P &lt; .001). Available boron fractions (RS-B, SA-B, OX-B, OR-B) exhibited strong negative correlations with soil pH (r = -0.78 to -0.97, P &lt; .001) and positive correlations with available iron (r = 0.72 to 0.91, P &lt; .001) and exchangeable aluminum (r = 0.74 to 0.92, P &lt; .001). A distinct antagonistic relationship was observed between calcium and available boron fractions, with exchangeable calcium showing the strongest negative correlation with all available boron forms (r = -0.60 to -0.76, P &lt; .001). Conversely, residual boron and total boron exhibited highly significant positive correlations with all calcium fractions (r = 0.52 to 0.83, P &lt; .001). The dominance of exchangeable and mineral-bound calcium fractions indicates moderate calcium availability in Kerala lateritic soils. The predominance of residual boron fraction with strong pH-dependent availability suggests potential risk of boron deficiency under acidic conditions typical of lateritic soils. The strong negative correlations between calcium and available boron fractions reveal significant Ca-B antagonism, necessitating balanced fertilization strategies including integrated organic matter management and split application of amendments. Soil pH, organic carbon, clay content, and exchangeable aluminum emerge as key factors governing calcium and boron fractionation patterns. These findings provide a scientific basis for developing AEU-specific nutrient management recommendations for lateritic soils of Kerala.</w:t>
            </w:r>
          </w:p>
          <w:p w14:paraId="2F1E266F" w14:textId="414991E4" w:rsidR="00505F06" w:rsidRPr="00BA1B01" w:rsidRDefault="008C5FFD" w:rsidP="00441B6F">
            <w:pPr>
              <w:pStyle w:val="Body"/>
              <w:spacing w:after="0"/>
              <w:rPr>
                <w:rFonts w:ascii="Arial" w:eastAsia="Calibri" w:hAnsi="Arial" w:cs="Arial"/>
                <w:szCs w:val="22"/>
              </w:rPr>
            </w:pPr>
            <w:r>
              <w:rPr>
                <w:rFonts w:ascii="Arial" w:eastAsia="Calibri" w:hAnsi="Arial" w:cs="Arial"/>
                <w:szCs w:val="22"/>
              </w:rPr>
              <w:t xml:space="preserve"> </w:t>
            </w:r>
          </w:p>
        </w:tc>
      </w:tr>
    </w:tbl>
    <w:p w14:paraId="70555A24" w14:textId="77777777" w:rsidR="00636EB2" w:rsidRDefault="00636EB2" w:rsidP="00441B6F">
      <w:pPr>
        <w:pStyle w:val="Body"/>
        <w:spacing w:after="0"/>
        <w:rPr>
          <w:rFonts w:ascii="Arial" w:hAnsi="Arial" w:cs="Arial"/>
          <w:i/>
        </w:rPr>
      </w:pPr>
    </w:p>
    <w:p w14:paraId="157017CF" w14:textId="578B5441" w:rsidR="00A24E7E" w:rsidRDefault="00A24E7E" w:rsidP="00441B6F">
      <w:pPr>
        <w:pStyle w:val="Body"/>
        <w:spacing w:after="0"/>
        <w:rPr>
          <w:rFonts w:ascii="Arial" w:hAnsi="Arial" w:cs="Arial"/>
          <w:i/>
        </w:rPr>
      </w:pPr>
      <w:r>
        <w:rPr>
          <w:rFonts w:ascii="Arial" w:hAnsi="Arial" w:cs="Arial"/>
          <w:i/>
        </w:rPr>
        <w:lastRenderedPageBreak/>
        <w:t xml:space="preserve">Keywords: </w:t>
      </w:r>
      <w:r w:rsidR="002E6A4A" w:rsidRPr="002E6A4A">
        <w:rPr>
          <w:rFonts w:ascii="Arial" w:hAnsi="Arial" w:cs="Arial"/>
          <w:i/>
        </w:rPr>
        <w:t xml:space="preserve">Lateritic soils, calcium fractionation, boron speciation, sequential extraction, bioavailability, </w:t>
      </w:r>
      <w:proofErr w:type="spellStart"/>
      <w:r w:rsidR="002E6A4A" w:rsidRPr="002E6A4A">
        <w:rPr>
          <w:rFonts w:ascii="Arial" w:hAnsi="Arial" w:cs="Arial"/>
          <w:i/>
        </w:rPr>
        <w:t>agro</w:t>
      </w:r>
      <w:proofErr w:type="spellEnd"/>
      <w:r w:rsidR="002E6A4A" w:rsidRPr="002E6A4A">
        <w:rPr>
          <w:rFonts w:ascii="Arial" w:hAnsi="Arial" w:cs="Arial"/>
          <w:i/>
        </w:rPr>
        <w:t>-ecological units, Kerala, Ca-B interactions</w:t>
      </w:r>
    </w:p>
    <w:p w14:paraId="084E1614" w14:textId="77777777" w:rsidR="00790ADA" w:rsidRDefault="00790ADA" w:rsidP="00441B6F">
      <w:pPr>
        <w:pStyle w:val="Body"/>
        <w:spacing w:after="0"/>
        <w:rPr>
          <w:rFonts w:ascii="Arial" w:hAnsi="Arial" w:cs="Arial"/>
          <w:i/>
        </w:rPr>
      </w:pPr>
    </w:p>
    <w:p w14:paraId="0DDFCB24" w14:textId="5EA1590D" w:rsidR="00790ADA" w:rsidRPr="00FB3A86" w:rsidRDefault="00B01FCD" w:rsidP="00441B6F">
      <w:pPr>
        <w:pStyle w:val="AbstHead"/>
        <w:spacing w:after="0"/>
        <w:jc w:val="both"/>
        <w:rPr>
          <w:rFonts w:ascii="Arial" w:hAnsi="Arial" w:cs="Arial"/>
        </w:rPr>
      </w:pPr>
      <w:r w:rsidRPr="00FB3A86">
        <w:rPr>
          <w:rFonts w:ascii="Arial" w:hAnsi="Arial" w:cs="Arial"/>
        </w:rPr>
        <w:t>INTRODUCTION</w:t>
      </w:r>
    </w:p>
    <w:p w14:paraId="3F55D7C2" w14:textId="77777777" w:rsidR="0020602A" w:rsidRPr="00301335" w:rsidRDefault="0020602A" w:rsidP="0020602A">
      <w:pPr>
        <w:pStyle w:val="Body"/>
        <w:spacing w:after="0"/>
        <w:rPr>
          <w:rFonts w:ascii="Arial" w:hAnsi="Arial" w:cs="Arial"/>
        </w:rPr>
      </w:pPr>
      <w:r w:rsidRPr="00301335">
        <w:rPr>
          <w:rFonts w:ascii="Arial" w:hAnsi="Arial" w:cs="Arial"/>
        </w:rPr>
        <w:t xml:space="preserve">Lateritic soils are characterized by highly weathered conditions under humid tropical climates, occurring in nearly 70 percent of Kerala’s geographic area. These soils are formed through the laterization process, which involves the intensive leaching of bases and desilication, followed by enrichment with iron and </w:t>
      </w:r>
      <w:proofErr w:type="spellStart"/>
      <w:r w:rsidRPr="00301335">
        <w:rPr>
          <w:rFonts w:ascii="Arial" w:hAnsi="Arial" w:cs="Arial"/>
        </w:rPr>
        <w:t>aluminium</w:t>
      </w:r>
      <w:proofErr w:type="spellEnd"/>
      <w:r w:rsidRPr="00301335">
        <w:rPr>
          <w:rFonts w:ascii="Arial" w:hAnsi="Arial" w:cs="Arial"/>
        </w:rPr>
        <w:t xml:space="preserve"> oxides, leading to </w:t>
      </w:r>
      <w:proofErr w:type="spellStart"/>
      <w:r w:rsidRPr="00301335">
        <w:rPr>
          <w:rFonts w:ascii="Arial" w:hAnsi="Arial" w:cs="Arial"/>
        </w:rPr>
        <w:t>physico</w:t>
      </w:r>
      <w:proofErr w:type="spellEnd"/>
      <w:r w:rsidRPr="00301335">
        <w:rPr>
          <w:rFonts w:ascii="Arial" w:hAnsi="Arial" w:cs="Arial"/>
        </w:rPr>
        <w:t>-chemical characteristics that limit their fertility and productivity. The gravelly texture, acidic pH, and low nutrient retention capacity make lateritic soils poor in essential plant nutrients (Ghosh, 2019).</w:t>
      </w:r>
    </w:p>
    <w:p w14:paraId="5B42FD33" w14:textId="58A64532" w:rsidR="0020602A" w:rsidRPr="00301335" w:rsidRDefault="0020602A" w:rsidP="0020602A">
      <w:pPr>
        <w:jc w:val="both"/>
        <w:rPr>
          <w:rFonts w:ascii="Arial" w:hAnsi="Arial" w:cs="Arial"/>
        </w:rPr>
      </w:pPr>
      <w:r w:rsidRPr="00301335">
        <w:rPr>
          <w:rFonts w:ascii="Arial" w:hAnsi="Arial" w:cs="Arial"/>
        </w:rPr>
        <w:t xml:space="preserve">Calcium and boron are essential plant nutrients that play critical roles in growth and development. Calcium is required for cell wall formation, membrane integrity, and enzyme activation (White &amp; Broadley, 2003), while boron is essential for cell wall synthesis, membrane function, sugar transport, and reproductive development (Marschner, 2011). Both nutrients are particularly important in maintaining cell wall structure and function (Blevins &amp; Lukaszewski, 1998). In lateritic soils, the acidic nature and high </w:t>
      </w:r>
      <w:proofErr w:type="spellStart"/>
      <w:r w:rsidRPr="00301335">
        <w:rPr>
          <w:rFonts w:ascii="Arial" w:hAnsi="Arial" w:cs="Arial"/>
        </w:rPr>
        <w:t>aluminium</w:t>
      </w:r>
      <w:proofErr w:type="spellEnd"/>
      <w:r w:rsidRPr="00301335">
        <w:rPr>
          <w:rFonts w:ascii="Arial" w:hAnsi="Arial" w:cs="Arial"/>
        </w:rPr>
        <w:t xml:space="preserve"> saturation levels adversely affect calcium availability (Wong et al., 1990). </w:t>
      </w:r>
      <w:r w:rsidR="007E7949">
        <w:rPr>
          <w:rFonts w:ascii="Arial" w:hAnsi="Arial" w:cs="Arial"/>
        </w:rPr>
        <w:t>“</w:t>
      </w:r>
      <w:r w:rsidRPr="00301335">
        <w:rPr>
          <w:rFonts w:ascii="Arial" w:hAnsi="Arial" w:cs="Arial"/>
        </w:rPr>
        <w:t xml:space="preserve">Conversely, boron can be strongly adsorbed to iron and </w:t>
      </w:r>
      <w:proofErr w:type="spellStart"/>
      <w:r w:rsidRPr="00301335">
        <w:rPr>
          <w:rFonts w:ascii="Arial" w:hAnsi="Arial" w:cs="Arial"/>
        </w:rPr>
        <w:t>aluminium</w:t>
      </w:r>
      <w:proofErr w:type="spellEnd"/>
      <w:r w:rsidRPr="00301335">
        <w:rPr>
          <w:rFonts w:ascii="Arial" w:hAnsi="Arial" w:cs="Arial"/>
        </w:rPr>
        <w:t xml:space="preserve"> oxides, thereby reducing its bioavailability</w:t>
      </w:r>
      <w:r w:rsidR="007E7949">
        <w:rPr>
          <w:rFonts w:ascii="Arial" w:hAnsi="Arial" w:cs="Arial"/>
        </w:rPr>
        <w:t>”</w:t>
      </w:r>
      <w:r w:rsidRPr="00301335">
        <w:rPr>
          <w:rFonts w:ascii="Arial" w:hAnsi="Arial" w:cs="Arial"/>
        </w:rPr>
        <w:t xml:space="preserve"> (Goldberg, 1997). Calcium deficiency causes tissue necrosis, stunted growth, and physiological disorders such as blossom end rot (Saure, 2001), while boron deficiency leads to death of growing points, poor fruit set, and reduced fertility (</w:t>
      </w:r>
      <w:proofErr w:type="spellStart"/>
      <w:r w:rsidRPr="00301335">
        <w:rPr>
          <w:rFonts w:ascii="Arial" w:hAnsi="Arial" w:cs="Arial"/>
        </w:rPr>
        <w:t>Shorrocks</w:t>
      </w:r>
      <w:proofErr w:type="spellEnd"/>
      <w:r w:rsidRPr="00301335">
        <w:rPr>
          <w:rFonts w:ascii="Arial" w:hAnsi="Arial" w:cs="Arial"/>
        </w:rPr>
        <w:t>, 1997). The interaction between calcium and boron is complex, involving both synergistic effects in cell wall metabolism and antagonistic relationships in nutrient uptake (</w:t>
      </w:r>
      <w:proofErr w:type="spellStart"/>
      <w:r w:rsidRPr="00301335">
        <w:rPr>
          <w:rFonts w:ascii="Arial" w:hAnsi="Arial" w:cs="Arial"/>
        </w:rPr>
        <w:t>Cakmak</w:t>
      </w:r>
      <w:proofErr w:type="spellEnd"/>
      <w:r w:rsidRPr="00301335">
        <w:rPr>
          <w:rFonts w:ascii="Arial" w:hAnsi="Arial" w:cs="Arial"/>
        </w:rPr>
        <w:t xml:space="preserve"> &amp; </w:t>
      </w:r>
      <w:proofErr w:type="spellStart"/>
      <w:r w:rsidRPr="00301335">
        <w:rPr>
          <w:rFonts w:ascii="Arial" w:hAnsi="Arial" w:cs="Arial"/>
        </w:rPr>
        <w:t>Römheld</w:t>
      </w:r>
      <w:proofErr w:type="spellEnd"/>
      <w:r w:rsidRPr="00301335">
        <w:rPr>
          <w:rFonts w:ascii="Arial" w:hAnsi="Arial" w:cs="Arial"/>
        </w:rPr>
        <w:t>, 1997).</w:t>
      </w:r>
    </w:p>
    <w:p w14:paraId="33F8718F" w14:textId="4512E3F7" w:rsidR="0020602A" w:rsidRPr="00301335" w:rsidRDefault="007E7949" w:rsidP="0020602A">
      <w:pPr>
        <w:jc w:val="both"/>
        <w:rPr>
          <w:rFonts w:ascii="Arial" w:hAnsi="Arial" w:cs="Arial"/>
        </w:rPr>
      </w:pPr>
      <w:r>
        <w:rPr>
          <w:rFonts w:ascii="Arial" w:hAnsi="Arial" w:cs="Arial"/>
        </w:rPr>
        <w:t>“</w:t>
      </w:r>
      <w:r w:rsidR="0020602A" w:rsidRPr="00301335">
        <w:rPr>
          <w:rFonts w:ascii="Arial" w:hAnsi="Arial" w:cs="Arial"/>
        </w:rPr>
        <w:t>Total nutrient content provides limited information about plant availability. Nutrients exist in various chemical forms with different accessibility. Sequential fractionation procedures partition nutrients into operationally defined fractions representing water-soluble, exchangeable, organic complexed, acid soluble, and mineral-bound forms for calcium</w:t>
      </w:r>
      <w:r>
        <w:rPr>
          <w:rFonts w:ascii="Arial" w:hAnsi="Arial" w:cs="Arial"/>
        </w:rPr>
        <w:t>”</w:t>
      </w:r>
      <w:r w:rsidR="0020602A" w:rsidRPr="00301335">
        <w:rPr>
          <w:rFonts w:ascii="Arial" w:hAnsi="Arial" w:cs="Arial"/>
        </w:rPr>
        <w:t xml:space="preserve"> (</w:t>
      </w:r>
      <w:proofErr w:type="spellStart"/>
      <w:r w:rsidR="0020602A" w:rsidRPr="00301335">
        <w:rPr>
          <w:rFonts w:ascii="Arial" w:hAnsi="Arial" w:cs="Arial"/>
        </w:rPr>
        <w:t>Mokwunye</w:t>
      </w:r>
      <w:proofErr w:type="spellEnd"/>
      <w:r w:rsidR="0020602A" w:rsidRPr="00301335">
        <w:rPr>
          <w:rFonts w:ascii="Arial" w:hAnsi="Arial" w:cs="Arial"/>
        </w:rPr>
        <w:t xml:space="preserve"> &amp; </w:t>
      </w:r>
      <w:proofErr w:type="spellStart"/>
      <w:r w:rsidR="0020602A" w:rsidRPr="00301335">
        <w:rPr>
          <w:rFonts w:ascii="Arial" w:hAnsi="Arial" w:cs="Arial"/>
        </w:rPr>
        <w:t>Melsted</w:t>
      </w:r>
      <w:proofErr w:type="spellEnd"/>
      <w:r w:rsidR="0020602A" w:rsidRPr="00301335">
        <w:rPr>
          <w:rFonts w:ascii="Arial" w:hAnsi="Arial" w:cs="Arial"/>
        </w:rPr>
        <w:t>, 1972), and readily soluble, specifically adsorbed, oxide-bound, organically bound, and residual forms for boron (Hou et al., 1994, 1996). These fractions differ in their availability, with water-soluble and exchangeable forms being readily available while mineral-bound and residual forms remain largely unavailable (Shuman, 1991). Fractionation studies provide insights into nutrient dynamics, transformation processes, and factors governing availability (McLaren &amp; Cameron, 1996).</w:t>
      </w:r>
    </w:p>
    <w:p w14:paraId="5D29413B" w14:textId="77777777" w:rsidR="0020602A" w:rsidRPr="00301335" w:rsidRDefault="0020602A" w:rsidP="0020602A">
      <w:pPr>
        <w:jc w:val="both"/>
        <w:rPr>
          <w:rFonts w:ascii="Arial" w:hAnsi="Arial" w:cs="Arial"/>
        </w:rPr>
      </w:pPr>
      <w:r w:rsidRPr="00301335">
        <w:rPr>
          <w:rFonts w:ascii="Arial" w:hAnsi="Arial" w:cs="Arial"/>
        </w:rPr>
        <w:t xml:space="preserve">Kerala has been divided into </w:t>
      </w:r>
      <w:proofErr w:type="spellStart"/>
      <w:r w:rsidRPr="00301335">
        <w:rPr>
          <w:rFonts w:ascii="Arial" w:hAnsi="Arial" w:cs="Arial"/>
        </w:rPr>
        <w:t>agro</w:t>
      </w:r>
      <w:proofErr w:type="spellEnd"/>
      <w:r w:rsidRPr="00301335">
        <w:rPr>
          <w:rFonts w:ascii="Arial" w:hAnsi="Arial" w:cs="Arial"/>
        </w:rPr>
        <w:t xml:space="preserve">-ecological units based on physiography, climate, soil characteristics, and land use patterns. Lateritic soils occur across several </w:t>
      </w:r>
      <w:proofErr w:type="spellStart"/>
      <w:r w:rsidRPr="00301335">
        <w:rPr>
          <w:rFonts w:ascii="Arial" w:hAnsi="Arial" w:cs="Arial"/>
        </w:rPr>
        <w:t>agro</w:t>
      </w:r>
      <w:proofErr w:type="spellEnd"/>
      <w:r w:rsidRPr="00301335">
        <w:rPr>
          <w:rFonts w:ascii="Arial" w:hAnsi="Arial" w:cs="Arial"/>
        </w:rPr>
        <w:t xml:space="preserve">-ecological units, exhibiting considerable variability in properties due to differences in parent material, weathering intensity, and environmental conditions. This spatial variability necessitates </w:t>
      </w:r>
      <w:proofErr w:type="spellStart"/>
      <w:r w:rsidRPr="00301335">
        <w:rPr>
          <w:rFonts w:ascii="Arial" w:hAnsi="Arial" w:cs="Arial"/>
        </w:rPr>
        <w:t>agro</w:t>
      </w:r>
      <w:proofErr w:type="spellEnd"/>
      <w:r w:rsidRPr="00301335">
        <w:rPr>
          <w:rFonts w:ascii="Arial" w:hAnsi="Arial" w:cs="Arial"/>
        </w:rPr>
        <w:t>-ecological unit-specific characterization to develop location-specific nutrient management recommendations (</w:t>
      </w:r>
      <w:proofErr w:type="spellStart"/>
      <w:r w:rsidRPr="00301335">
        <w:rPr>
          <w:rFonts w:ascii="Arial" w:hAnsi="Arial" w:cs="Arial"/>
        </w:rPr>
        <w:t>Gajbhiye</w:t>
      </w:r>
      <w:proofErr w:type="spellEnd"/>
      <w:r w:rsidRPr="00301335">
        <w:rPr>
          <w:rFonts w:ascii="Arial" w:hAnsi="Arial" w:cs="Arial"/>
        </w:rPr>
        <w:t xml:space="preserve"> &amp; Mandal, 2000).</w:t>
      </w:r>
    </w:p>
    <w:p w14:paraId="12B85CD0" w14:textId="77777777" w:rsidR="0020602A" w:rsidRPr="00301335" w:rsidRDefault="0020602A" w:rsidP="0020602A">
      <w:pPr>
        <w:jc w:val="both"/>
        <w:rPr>
          <w:rFonts w:ascii="Arial" w:hAnsi="Arial" w:cs="Arial"/>
        </w:rPr>
      </w:pPr>
      <w:r w:rsidRPr="00301335">
        <w:rPr>
          <w:rFonts w:ascii="Arial" w:hAnsi="Arial" w:cs="Arial"/>
        </w:rPr>
        <w:t xml:space="preserve">Despite the importance of calcium and boron in crop nutrition and the prevalence of lateritic soils in Kerala, comprehensive fractionation studies across different </w:t>
      </w:r>
      <w:proofErr w:type="spellStart"/>
      <w:r w:rsidRPr="00301335">
        <w:rPr>
          <w:rFonts w:ascii="Arial" w:hAnsi="Arial" w:cs="Arial"/>
        </w:rPr>
        <w:t>agro</w:t>
      </w:r>
      <w:proofErr w:type="spellEnd"/>
      <w:r w:rsidRPr="00301335">
        <w:rPr>
          <w:rFonts w:ascii="Arial" w:hAnsi="Arial" w:cs="Arial"/>
        </w:rPr>
        <w:t>-ecological units remain limited. Most assessments have focused on total or extractable contents without investigating distribution among chemical fractions (Singh, 2008). Understanding fractionation patterns is critical for identifying bioavailable pools, dominant chemical forms, nutrient transformation processes, and developing targeted management strategies.</w:t>
      </w:r>
    </w:p>
    <w:p w14:paraId="1F981E3D" w14:textId="45CD4C03" w:rsidR="001126CE" w:rsidRPr="001126CE" w:rsidRDefault="0020602A" w:rsidP="0020602A">
      <w:pPr>
        <w:pStyle w:val="Body"/>
        <w:spacing w:after="0"/>
        <w:rPr>
          <w:rFonts w:ascii="Arial" w:hAnsi="Arial" w:cs="Arial"/>
        </w:rPr>
      </w:pPr>
      <w:r w:rsidRPr="00301335">
        <w:rPr>
          <w:rFonts w:ascii="Arial" w:hAnsi="Arial" w:cs="Arial"/>
        </w:rPr>
        <w:t xml:space="preserve">The present investigation was undertaken to determine the distribution of calcium and boron among different fractions in lateritic soils across four </w:t>
      </w:r>
      <w:proofErr w:type="spellStart"/>
      <w:r w:rsidRPr="00301335">
        <w:rPr>
          <w:rFonts w:ascii="Arial" w:hAnsi="Arial" w:cs="Arial"/>
        </w:rPr>
        <w:t>agro</w:t>
      </w:r>
      <w:proofErr w:type="spellEnd"/>
      <w:r w:rsidRPr="00301335">
        <w:rPr>
          <w:rFonts w:ascii="Arial" w:hAnsi="Arial" w:cs="Arial"/>
        </w:rPr>
        <w:t xml:space="preserve">-ecological units of Kerala, assess bioavailable pools, establish relationships between nutrient fractions and soil properties, examine calcium-boron interactions, and develop a comprehensive understanding of factors governing their availability to facilitate </w:t>
      </w:r>
      <w:proofErr w:type="spellStart"/>
      <w:r w:rsidRPr="00301335">
        <w:rPr>
          <w:rFonts w:ascii="Arial" w:hAnsi="Arial" w:cs="Arial"/>
        </w:rPr>
        <w:t>agro</w:t>
      </w:r>
      <w:proofErr w:type="spellEnd"/>
      <w:r w:rsidRPr="00301335">
        <w:rPr>
          <w:rFonts w:ascii="Arial" w:hAnsi="Arial" w:cs="Arial"/>
        </w:rPr>
        <w:t>-ecological unit-specific nutrient management recommendations.</w:t>
      </w:r>
    </w:p>
    <w:p w14:paraId="54FADC82" w14:textId="77777777" w:rsidR="00790ADA" w:rsidRPr="00FB3A86" w:rsidRDefault="00790ADA" w:rsidP="00441B6F">
      <w:pPr>
        <w:pStyle w:val="Body"/>
        <w:spacing w:after="0"/>
        <w:rPr>
          <w:rFonts w:ascii="Arial" w:hAnsi="Arial" w:cs="Arial"/>
        </w:rPr>
      </w:pPr>
    </w:p>
    <w:p w14:paraId="52DD85B6" w14:textId="71B5C38A" w:rsidR="00790ADA" w:rsidRPr="00FB3A86" w:rsidRDefault="00CD42D1" w:rsidP="00441B6F">
      <w:pPr>
        <w:pStyle w:val="AbstHead"/>
        <w:spacing w:after="0"/>
        <w:jc w:val="both"/>
        <w:rPr>
          <w:rFonts w:ascii="Arial" w:hAnsi="Arial" w:cs="Arial"/>
        </w:rPr>
      </w:pPr>
      <w:r>
        <w:rPr>
          <w:rFonts w:ascii="Arial" w:hAnsi="Arial" w:cs="Arial"/>
        </w:rPr>
        <w:lastRenderedPageBreak/>
        <w:t>Materials</w:t>
      </w:r>
      <w:r w:rsidR="00902823">
        <w:rPr>
          <w:rFonts w:ascii="Arial" w:hAnsi="Arial" w:cs="Arial"/>
        </w:rPr>
        <w:t xml:space="preserve"> and method</w:t>
      </w:r>
      <w:r w:rsidR="00000F8F">
        <w:rPr>
          <w:rFonts w:ascii="Arial" w:hAnsi="Arial" w:cs="Arial"/>
        </w:rPr>
        <w:t>s</w:t>
      </w:r>
    </w:p>
    <w:p w14:paraId="2026CCF8" w14:textId="466CF1F1" w:rsidR="00CD42D1" w:rsidRPr="00301335" w:rsidRDefault="00854EBF" w:rsidP="00854EBF">
      <w:pPr>
        <w:pStyle w:val="Body"/>
        <w:spacing w:after="0"/>
        <w:rPr>
          <w:rFonts w:ascii="Arial" w:hAnsi="Arial" w:cs="Arial"/>
          <w:b/>
          <w:bCs/>
        </w:rPr>
      </w:pPr>
      <w:r w:rsidRPr="00854EBF">
        <w:rPr>
          <w:rFonts w:ascii="Arial" w:hAnsi="Arial" w:cs="Arial"/>
          <w:b/>
          <w:bCs/>
        </w:rPr>
        <w:t>Study Area and Sampling</w:t>
      </w:r>
    </w:p>
    <w:p w14:paraId="74DA99E2" w14:textId="22703F2B" w:rsidR="00854EBF" w:rsidRDefault="00854EBF" w:rsidP="00854EBF">
      <w:pPr>
        <w:pStyle w:val="Body"/>
        <w:spacing w:after="0"/>
        <w:rPr>
          <w:rFonts w:ascii="Arial" w:hAnsi="Arial" w:cs="Arial"/>
        </w:rPr>
      </w:pPr>
      <w:r w:rsidRPr="00854EBF">
        <w:rPr>
          <w:rFonts w:ascii="Arial" w:hAnsi="Arial" w:cs="Arial"/>
        </w:rPr>
        <w:t xml:space="preserve">The study was conducted at the Department of Soil Science and Agricultural Chemistry, College of Agriculture, Kerala Agricultural University, </w:t>
      </w:r>
      <w:proofErr w:type="spellStart"/>
      <w:r w:rsidRPr="00854EBF">
        <w:rPr>
          <w:rFonts w:ascii="Arial" w:hAnsi="Arial" w:cs="Arial"/>
        </w:rPr>
        <w:t>Vellanikkara</w:t>
      </w:r>
      <w:proofErr w:type="spellEnd"/>
      <w:r w:rsidRPr="00854EBF">
        <w:rPr>
          <w:rFonts w:ascii="Arial" w:hAnsi="Arial" w:cs="Arial"/>
        </w:rPr>
        <w:t>, between 20</w:t>
      </w:r>
      <w:r>
        <w:rPr>
          <w:rFonts w:ascii="Arial" w:hAnsi="Arial" w:cs="Arial"/>
        </w:rPr>
        <w:t>24</w:t>
      </w:r>
      <w:r w:rsidRPr="00854EBF">
        <w:rPr>
          <w:rFonts w:ascii="Arial" w:hAnsi="Arial" w:cs="Arial"/>
        </w:rPr>
        <w:t xml:space="preserve"> and 2025. Forty soil samples were selected from four lateritic </w:t>
      </w:r>
      <w:proofErr w:type="spellStart"/>
      <w:r w:rsidRPr="00854EBF">
        <w:rPr>
          <w:rFonts w:ascii="Arial" w:hAnsi="Arial" w:cs="Arial"/>
        </w:rPr>
        <w:t>agro</w:t>
      </w:r>
      <w:proofErr w:type="spellEnd"/>
      <w:r w:rsidRPr="00854EBF">
        <w:rPr>
          <w:rFonts w:ascii="Arial" w:hAnsi="Arial" w:cs="Arial"/>
        </w:rPr>
        <w:t xml:space="preserve">-ecological units of Kerala: southern laterites (AEU 8), south central laterites (AEU 9), north central laterites (AEU 10), and northern laterites (AEU 11). Ten samples were selected from each AEU based on variations in pH, organic carbon content, texture, cation exchange capacity, and initial calcium and boron status to ensure representation of diverse soil conditions across the lateritic regions. </w:t>
      </w:r>
      <w:r w:rsidR="00CD42D1" w:rsidRPr="00CD42D1">
        <w:rPr>
          <w:rFonts w:ascii="Arial" w:hAnsi="Arial" w:cs="Arial"/>
        </w:rPr>
        <w:t>The geographical distribution of sampling locations across the four AEUs is presented in Fig. 1.</w:t>
      </w:r>
    </w:p>
    <w:p w14:paraId="13CA8C95" w14:textId="3A3026BC" w:rsidR="00CD42D1" w:rsidRDefault="00CD42D1" w:rsidP="00854EBF">
      <w:pPr>
        <w:pStyle w:val="Body"/>
        <w:spacing w:after="0"/>
        <w:rPr>
          <w:rFonts w:ascii="Arial" w:hAnsi="Arial" w:cs="Arial"/>
        </w:rPr>
      </w:pPr>
      <w:r>
        <w:rPr>
          <w:rFonts w:asciiTheme="majorBidi" w:hAnsiTheme="majorBidi" w:cstheme="majorBidi"/>
          <w:b/>
          <w:bCs/>
          <w:noProof/>
        </w:rPr>
        <w:drawing>
          <wp:inline distT="0" distB="0" distL="0" distR="0" wp14:anchorId="4810B7AB" wp14:editId="158A8C35">
            <wp:extent cx="5227320" cy="4017010"/>
            <wp:effectExtent l="0" t="0" r="0" b="0"/>
            <wp:docPr id="724539120"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39120" name="Picture 72453912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27320" cy="4017010"/>
                    </a:xfrm>
                    <a:prstGeom prst="rect">
                      <a:avLst/>
                    </a:prstGeom>
                  </pic:spPr>
                </pic:pic>
              </a:graphicData>
            </a:graphic>
          </wp:inline>
        </w:drawing>
      </w:r>
    </w:p>
    <w:p w14:paraId="6890F55B" w14:textId="6749CB2C" w:rsidR="00CD42D1" w:rsidRDefault="00CD42D1" w:rsidP="006E71EE">
      <w:pPr>
        <w:pStyle w:val="Body"/>
        <w:spacing w:after="0"/>
        <w:jc w:val="center"/>
        <w:rPr>
          <w:rFonts w:ascii="Arial" w:hAnsi="Arial" w:cs="Arial"/>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CD42D1">
        <w:rPr>
          <w:rFonts w:ascii="Arial" w:hAnsi="Arial" w:cs="Arial"/>
          <w:b/>
          <w:bCs/>
          <w:szCs w:val="22"/>
        </w:rPr>
        <w:t xml:space="preserve">Map showing sampling locations across four lateritic </w:t>
      </w:r>
      <w:proofErr w:type="spellStart"/>
      <w:r w:rsidRPr="00CD42D1">
        <w:rPr>
          <w:rFonts w:ascii="Arial" w:hAnsi="Arial" w:cs="Arial"/>
          <w:b/>
          <w:bCs/>
          <w:szCs w:val="22"/>
        </w:rPr>
        <w:t>agro</w:t>
      </w:r>
      <w:proofErr w:type="spellEnd"/>
      <w:r w:rsidRPr="00CD42D1">
        <w:rPr>
          <w:rFonts w:ascii="Arial" w:hAnsi="Arial" w:cs="Arial"/>
          <w:b/>
          <w:bCs/>
          <w:szCs w:val="22"/>
        </w:rPr>
        <w:t>-ecological units of Kerala</w:t>
      </w:r>
    </w:p>
    <w:p w14:paraId="67F4CB9B" w14:textId="77777777" w:rsidR="004678FF" w:rsidRPr="004678FF" w:rsidRDefault="004678FF" w:rsidP="00854EBF">
      <w:pPr>
        <w:pStyle w:val="Body"/>
        <w:spacing w:after="0"/>
        <w:rPr>
          <w:rFonts w:ascii="Arial" w:hAnsi="Arial" w:cs="Arial"/>
        </w:rPr>
      </w:pPr>
    </w:p>
    <w:p w14:paraId="014E5CFB" w14:textId="752B7DBC" w:rsidR="00854EBF" w:rsidRPr="00854EBF" w:rsidRDefault="00854EBF" w:rsidP="00854EBF">
      <w:pPr>
        <w:pStyle w:val="Body"/>
        <w:spacing w:after="0"/>
        <w:rPr>
          <w:rFonts w:ascii="Arial" w:hAnsi="Arial" w:cs="Arial"/>
          <w:b/>
          <w:bCs/>
        </w:rPr>
      </w:pPr>
      <w:r w:rsidRPr="00854EBF">
        <w:rPr>
          <w:rFonts w:ascii="Arial" w:hAnsi="Arial" w:cs="Arial"/>
          <w:b/>
          <w:bCs/>
        </w:rPr>
        <w:t>Soil Characterization</w:t>
      </w:r>
    </w:p>
    <w:p w14:paraId="3651AF9F" w14:textId="66D80692" w:rsidR="00854EBF" w:rsidRPr="00854EBF" w:rsidRDefault="00854EBF" w:rsidP="00854EBF">
      <w:pPr>
        <w:pStyle w:val="Body"/>
        <w:spacing w:after="0"/>
        <w:rPr>
          <w:rFonts w:ascii="Arial" w:hAnsi="Arial" w:cs="Arial"/>
        </w:rPr>
      </w:pPr>
      <w:r w:rsidRPr="00854EBF">
        <w:rPr>
          <w:rFonts w:ascii="Arial" w:hAnsi="Arial" w:cs="Arial"/>
        </w:rPr>
        <w:t xml:space="preserve">Soil samples were air-dried, ground, and passed through </w:t>
      </w:r>
      <w:r w:rsidR="004678FF">
        <w:rPr>
          <w:rFonts w:ascii="Arial" w:hAnsi="Arial" w:cs="Arial"/>
        </w:rPr>
        <w:t xml:space="preserve">a </w:t>
      </w:r>
      <w:r w:rsidRPr="00854EBF">
        <w:rPr>
          <w:rFonts w:ascii="Arial" w:hAnsi="Arial" w:cs="Arial"/>
        </w:rPr>
        <w:t xml:space="preserve">2 mm sieve for </w:t>
      </w:r>
      <w:proofErr w:type="spellStart"/>
      <w:r w:rsidRPr="00854EBF">
        <w:rPr>
          <w:rFonts w:ascii="Arial" w:hAnsi="Arial" w:cs="Arial"/>
        </w:rPr>
        <w:t>physico</w:t>
      </w:r>
      <w:proofErr w:type="spellEnd"/>
      <w:r w:rsidRPr="00854EBF">
        <w:rPr>
          <w:rFonts w:ascii="Arial" w:hAnsi="Arial" w:cs="Arial"/>
        </w:rPr>
        <w:t xml:space="preserve">-chemical analysis. Soil pH was determined in </w:t>
      </w:r>
      <w:r w:rsidR="004678FF">
        <w:rPr>
          <w:rFonts w:ascii="Arial" w:hAnsi="Arial" w:cs="Arial"/>
        </w:rPr>
        <w:t xml:space="preserve">a </w:t>
      </w:r>
      <w:r w:rsidRPr="00854EBF">
        <w:rPr>
          <w:rFonts w:ascii="Arial" w:hAnsi="Arial" w:cs="Arial"/>
        </w:rPr>
        <w:t xml:space="preserve">1:2.5 soil-water suspension using </w:t>
      </w:r>
      <w:r w:rsidR="004678FF">
        <w:rPr>
          <w:rFonts w:ascii="Arial" w:hAnsi="Arial" w:cs="Arial"/>
        </w:rPr>
        <w:t xml:space="preserve">a </w:t>
      </w:r>
      <w:r w:rsidRPr="00854EBF">
        <w:rPr>
          <w:rFonts w:ascii="Arial" w:hAnsi="Arial" w:cs="Arial"/>
        </w:rPr>
        <w:t>glass electrode pH meter (</w:t>
      </w:r>
      <w:r w:rsidR="00CD42D1">
        <w:rPr>
          <w:rFonts w:ascii="Arial" w:hAnsi="Arial" w:cs="Arial"/>
        </w:rPr>
        <w:t>Jackson, 19</w:t>
      </w:r>
      <w:r w:rsidR="00110891">
        <w:rPr>
          <w:rFonts w:ascii="Arial" w:hAnsi="Arial" w:cs="Arial"/>
        </w:rPr>
        <w:t>58</w:t>
      </w:r>
      <w:r w:rsidRPr="00854EBF">
        <w:rPr>
          <w:rFonts w:ascii="Arial" w:hAnsi="Arial" w:cs="Arial"/>
        </w:rPr>
        <w:t xml:space="preserve">). Electrical conductivity was measured in </w:t>
      </w:r>
      <w:r w:rsidR="004678FF">
        <w:rPr>
          <w:rFonts w:ascii="Arial" w:hAnsi="Arial" w:cs="Arial"/>
        </w:rPr>
        <w:t xml:space="preserve">a </w:t>
      </w:r>
      <w:r w:rsidRPr="00854EBF">
        <w:rPr>
          <w:rFonts w:ascii="Arial" w:hAnsi="Arial" w:cs="Arial"/>
        </w:rPr>
        <w:t xml:space="preserve">1:2.5 soil-water extract using </w:t>
      </w:r>
      <w:r w:rsidR="004678FF">
        <w:rPr>
          <w:rFonts w:ascii="Arial" w:hAnsi="Arial" w:cs="Arial"/>
        </w:rPr>
        <w:t xml:space="preserve">a </w:t>
      </w:r>
      <w:r w:rsidRPr="00854EBF">
        <w:rPr>
          <w:rFonts w:ascii="Arial" w:hAnsi="Arial" w:cs="Arial"/>
        </w:rPr>
        <w:t>conductivity meter (</w:t>
      </w:r>
      <w:r w:rsidR="00110891">
        <w:rPr>
          <w:rFonts w:ascii="Arial" w:hAnsi="Arial" w:cs="Arial"/>
        </w:rPr>
        <w:t>Jackson, 1958</w:t>
      </w:r>
      <w:r w:rsidRPr="00854EBF">
        <w:rPr>
          <w:rFonts w:ascii="Arial" w:hAnsi="Arial" w:cs="Arial"/>
        </w:rPr>
        <w:t xml:space="preserve">). Organic carbon was estimated by </w:t>
      </w:r>
      <w:r w:rsidR="004678FF">
        <w:rPr>
          <w:rFonts w:ascii="Arial" w:hAnsi="Arial" w:cs="Arial"/>
        </w:rPr>
        <w:t xml:space="preserve">the </w:t>
      </w:r>
      <w:r w:rsidRPr="00854EBF">
        <w:rPr>
          <w:rFonts w:ascii="Arial" w:hAnsi="Arial" w:cs="Arial"/>
        </w:rPr>
        <w:t xml:space="preserve">Walkley and Black wet oxidation method (Walkley and Black, 1934). Particle size distribution was determined by </w:t>
      </w:r>
      <w:r w:rsidR="00B82647">
        <w:rPr>
          <w:rFonts w:ascii="Arial" w:hAnsi="Arial" w:cs="Arial"/>
        </w:rPr>
        <w:t>the international</w:t>
      </w:r>
      <w:r w:rsidRPr="00854EBF">
        <w:rPr>
          <w:rFonts w:ascii="Arial" w:hAnsi="Arial" w:cs="Arial"/>
        </w:rPr>
        <w:t xml:space="preserve"> pipette method (</w:t>
      </w:r>
      <w:r w:rsidR="00B82647">
        <w:rPr>
          <w:rFonts w:ascii="Arial" w:hAnsi="Arial" w:cs="Arial"/>
        </w:rPr>
        <w:t xml:space="preserve">Robinson, </w:t>
      </w:r>
      <w:r w:rsidR="00860E0A">
        <w:rPr>
          <w:rFonts w:ascii="Arial" w:hAnsi="Arial" w:cs="Arial"/>
        </w:rPr>
        <w:t>2009</w:t>
      </w:r>
      <w:r w:rsidRPr="00854EBF">
        <w:rPr>
          <w:rFonts w:ascii="Arial" w:hAnsi="Arial" w:cs="Arial"/>
        </w:rPr>
        <w:t>)</w:t>
      </w:r>
      <w:r w:rsidR="004678FF">
        <w:rPr>
          <w:rFonts w:ascii="Arial" w:hAnsi="Arial" w:cs="Arial"/>
        </w:rPr>
        <w:t>,</w:t>
      </w:r>
      <w:r w:rsidRPr="00854EBF">
        <w:rPr>
          <w:rFonts w:ascii="Arial" w:hAnsi="Arial" w:cs="Arial"/>
        </w:rPr>
        <w:t xml:space="preserve"> and textural class </w:t>
      </w:r>
      <w:r w:rsidR="004678FF">
        <w:rPr>
          <w:rFonts w:ascii="Arial" w:hAnsi="Arial" w:cs="Arial"/>
        </w:rPr>
        <w:t xml:space="preserve">was </w:t>
      </w:r>
      <w:r w:rsidRPr="00854EBF">
        <w:rPr>
          <w:rFonts w:ascii="Arial" w:hAnsi="Arial" w:cs="Arial"/>
        </w:rPr>
        <w:t xml:space="preserve">assigned using </w:t>
      </w:r>
      <w:r w:rsidR="004678FF">
        <w:rPr>
          <w:rFonts w:ascii="Arial" w:hAnsi="Arial" w:cs="Arial"/>
        </w:rPr>
        <w:t xml:space="preserve">the </w:t>
      </w:r>
      <w:r w:rsidRPr="00854EBF">
        <w:rPr>
          <w:rFonts w:ascii="Arial" w:hAnsi="Arial" w:cs="Arial"/>
        </w:rPr>
        <w:t xml:space="preserve">USDA textural triangle. </w:t>
      </w:r>
      <w:r w:rsidR="004678FF">
        <w:rPr>
          <w:rFonts w:ascii="Arial" w:hAnsi="Arial" w:cs="Arial"/>
        </w:rPr>
        <w:t>Exchangeable cations and c</w:t>
      </w:r>
      <w:r w:rsidRPr="00854EBF">
        <w:rPr>
          <w:rFonts w:ascii="Arial" w:hAnsi="Arial" w:cs="Arial"/>
        </w:rPr>
        <w:t>ation exchange capacity</w:t>
      </w:r>
      <w:r w:rsidR="004678FF">
        <w:rPr>
          <w:rFonts w:ascii="Arial" w:hAnsi="Arial" w:cs="Arial"/>
        </w:rPr>
        <w:t xml:space="preserve"> (CEC)</w:t>
      </w:r>
      <w:r w:rsidRPr="00854EBF">
        <w:rPr>
          <w:rFonts w:ascii="Arial" w:hAnsi="Arial" w:cs="Arial"/>
        </w:rPr>
        <w:t xml:space="preserve"> </w:t>
      </w:r>
      <w:r w:rsidR="004678FF">
        <w:rPr>
          <w:rFonts w:ascii="Arial" w:hAnsi="Arial" w:cs="Arial"/>
        </w:rPr>
        <w:t>were</w:t>
      </w:r>
      <w:r w:rsidRPr="00854EBF">
        <w:rPr>
          <w:rFonts w:ascii="Arial" w:hAnsi="Arial" w:cs="Arial"/>
        </w:rPr>
        <w:t xml:space="preserve"> determined</w:t>
      </w:r>
      <w:r w:rsidR="00106CC9">
        <w:rPr>
          <w:rFonts w:ascii="Arial" w:hAnsi="Arial" w:cs="Arial"/>
        </w:rPr>
        <w:t xml:space="preserve"> by</w:t>
      </w:r>
      <w:r w:rsidRPr="00854EBF">
        <w:rPr>
          <w:rFonts w:ascii="Arial" w:hAnsi="Arial" w:cs="Arial"/>
        </w:rPr>
        <w:t xml:space="preserve"> </w:t>
      </w:r>
      <w:r w:rsidR="00B82647">
        <w:rPr>
          <w:rFonts w:ascii="Arial" w:hAnsi="Arial" w:cs="Arial"/>
        </w:rPr>
        <w:t>following the barium chloride compulsive exchange method (Hendershot and Duquette, 1986)</w:t>
      </w:r>
      <w:r w:rsidRPr="00854EBF">
        <w:rPr>
          <w:rFonts w:ascii="Arial" w:hAnsi="Arial" w:cs="Arial"/>
        </w:rPr>
        <w:t>. Available nitrogen was estimated by alkaline permanganate method (</w:t>
      </w:r>
      <w:r w:rsidR="00106CC9">
        <w:rPr>
          <w:rFonts w:ascii="Arial" w:hAnsi="Arial" w:cs="Arial"/>
        </w:rPr>
        <w:t>Subbiah and Asija, 1956</w:t>
      </w:r>
      <w:r w:rsidRPr="00854EBF">
        <w:rPr>
          <w:rFonts w:ascii="Arial" w:hAnsi="Arial" w:cs="Arial"/>
        </w:rPr>
        <w:t>). Available phosphorus was determined by Bray's method (</w:t>
      </w:r>
      <w:r w:rsidR="00106CC9">
        <w:rPr>
          <w:rFonts w:ascii="Arial" w:hAnsi="Arial" w:cs="Arial"/>
        </w:rPr>
        <w:t>Bray and Kurtz, 1945</w:t>
      </w:r>
      <w:r w:rsidRPr="00854EBF">
        <w:rPr>
          <w:rFonts w:ascii="Arial" w:hAnsi="Arial" w:cs="Arial"/>
        </w:rPr>
        <w:t xml:space="preserve">) and available potassium by neutral normal ammonium </w:t>
      </w:r>
      <w:r w:rsidRPr="00854EBF">
        <w:rPr>
          <w:rFonts w:ascii="Arial" w:hAnsi="Arial" w:cs="Arial"/>
        </w:rPr>
        <w:lastRenderedPageBreak/>
        <w:t>acetate extraction followed by flame photometry (</w:t>
      </w:r>
      <w:r w:rsidR="00106CC9">
        <w:rPr>
          <w:rFonts w:ascii="Arial" w:hAnsi="Arial" w:cs="Arial"/>
        </w:rPr>
        <w:t>Jackson, 1958</w:t>
      </w:r>
      <w:r w:rsidRPr="00854EBF">
        <w:rPr>
          <w:rFonts w:ascii="Arial" w:hAnsi="Arial" w:cs="Arial"/>
        </w:rPr>
        <w:t>). Available calcium and magnesium were extracted using neutral normal ammonium acetate and determined by atomic absorption spectrophotometry (</w:t>
      </w:r>
      <w:r w:rsidR="00580F1C" w:rsidRPr="00580F1C">
        <w:rPr>
          <w:rFonts w:ascii="Arial" w:hAnsi="Arial" w:cs="Arial"/>
        </w:rPr>
        <w:t>Jackson, 1958</w:t>
      </w:r>
      <w:r w:rsidRPr="00854EBF">
        <w:rPr>
          <w:rFonts w:ascii="Arial" w:hAnsi="Arial" w:cs="Arial"/>
        </w:rPr>
        <w:t xml:space="preserve">). Available boron was determined by </w:t>
      </w:r>
      <w:r w:rsidR="004678FF">
        <w:rPr>
          <w:rFonts w:ascii="Arial" w:hAnsi="Arial" w:cs="Arial"/>
        </w:rPr>
        <w:t xml:space="preserve">the </w:t>
      </w:r>
      <w:r w:rsidRPr="00854EBF">
        <w:rPr>
          <w:rFonts w:ascii="Arial" w:hAnsi="Arial" w:cs="Arial"/>
        </w:rPr>
        <w:t>hot water extraction method using azomethine-H reagent (</w:t>
      </w:r>
      <w:r w:rsidR="004678FF">
        <w:rPr>
          <w:rFonts w:ascii="Arial" w:hAnsi="Arial" w:cs="Arial"/>
        </w:rPr>
        <w:t>Berger and Truog, 1939</w:t>
      </w:r>
      <w:r w:rsidRPr="00854EBF">
        <w:rPr>
          <w:rFonts w:ascii="Arial" w:hAnsi="Arial" w:cs="Arial"/>
        </w:rPr>
        <w:t>). Available iron, manganese, copper, and zinc were extracted by DTPA extractant and determined by atomic absorption spectrophotometry (</w:t>
      </w:r>
      <w:r w:rsidR="004678FF">
        <w:rPr>
          <w:rFonts w:ascii="Arial" w:hAnsi="Arial" w:cs="Arial"/>
        </w:rPr>
        <w:t>Lindsay and Norvell, 1978</w:t>
      </w:r>
      <w:r w:rsidRPr="00854EBF">
        <w:rPr>
          <w:rFonts w:ascii="Arial" w:hAnsi="Arial" w:cs="Arial"/>
        </w:rPr>
        <w:t>).</w:t>
      </w:r>
    </w:p>
    <w:p w14:paraId="76CB4791" w14:textId="04379DDB" w:rsidR="00854EBF" w:rsidRPr="00854EBF" w:rsidRDefault="00854EBF" w:rsidP="00854EBF">
      <w:pPr>
        <w:pStyle w:val="Body"/>
        <w:spacing w:after="0"/>
        <w:rPr>
          <w:rFonts w:ascii="Arial" w:hAnsi="Arial" w:cs="Arial"/>
          <w:b/>
          <w:bCs/>
        </w:rPr>
      </w:pPr>
      <w:r w:rsidRPr="00854EBF">
        <w:rPr>
          <w:rFonts w:ascii="Arial" w:hAnsi="Arial" w:cs="Arial"/>
          <w:b/>
          <w:bCs/>
        </w:rPr>
        <w:t>Fractionation of Calcium</w:t>
      </w:r>
    </w:p>
    <w:p w14:paraId="6F85850D" w14:textId="08202E66" w:rsidR="00854EBF" w:rsidRPr="00854EBF" w:rsidRDefault="00854EBF" w:rsidP="00854EBF">
      <w:pPr>
        <w:pStyle w:val="Body"/>
        <w:spacing w:after="0"/>
        <w:rPr>
          <w:rFonts w:ascii="Arial" w:hAnsi="Arial" w:cs="Arial"/>
        </w:rPr>
      </w:pPr>
      <w:r w:rsidRPr="00854EBF">
        <w:rPr>
          <w:rFonts w:ascii="Arial" w:hAnsi="Arial" w:cs="Arial"/>
        </w:rPr>
        <w:t xml:space="preserve">Sequential extraction following </w:t>
      </w:r>
      <w:proofErr w:type="spellStart"/>
      <w:r w:rsidRPr="00854EBF">
        <w:rPr>
          <w:rFonts w:ascii="Arial" w:hAnsi="Arial" w:cs="Arial"/>
        </w:rPr>
        <w:t>Mokwunye</w:t>
      </w:r>
      <w:proofErr w:type="spellEnd"/>
      <w:r w:rsidRPr="00854EBF">
        <w:rPr>
          <w:rFonts w:ascii="Arial" w:hAnsi="Arial" w:cs="Arial"/>
        </w:rPr>
        <w:t xml:space="preserve"> and </w:t>
      </w:r>
      <w:proofErr w:type="spellStart"/>
      <w:r w:rsidRPr="00854EBF">
        <w:rPr>
          <w:rFonts w:ascii="Arial" w:hAnsi="Arial" w:cs="Arial"/>
        </w:rPr>
        <w:t>Melsted</w:t>
      </w:r>
      <w:proofErr w:type="spellEnd"/>
      <w:r w:rsidRPr="00854EBF">
        <w:rPr>
          <w:rFonts w:ascii="Arial" w:hAnsi="Arial" w:cs="Arial"/>
        </w:rPr>
        <w:t xml:space="preserve"> (1972)</w:t>
      </w:r>
      <w:r w:rsidR="004678FF">
        <w:rPr>
          <w:rFonts w:ascii="Arial" w:hAnsi="Arial" w:cs="Arial"/>
        </w:rPr>
        <w:t>,</w:t>
      </w:r>
      <w:r w:rsidRPr="00854EBF">
        <w:rPr>
          <w:rFonts w:ascii="Arial" w:hAnsi="Arial" w:cs="Arial"/>
        </w:rPr>
        <w:t xml:space="preserve"> with modifications</w:t>
      </w:r>
      <w:r w:rsidR="004678FF">
        <w:rPr>
          <w:rFonts w:ascii="Arial" w:hAnsi="Arial" w:cs="Arial"/>
        </w:rPr>
        <w:t>,</w:t>
      </w:r>
      <w:r w:rsidRPr="00854EBF">
        <w:rPr>
          <w:rFonts w:ascii="Arial" w:hAnsi="Arial" w:cs="Arial"/>
        </w:rPr>
        <w:t xml:space="preserve"> was employed to partition calcium into five fractions. Soil samples were ground and passed through </w:t>
      </w:r>
      <w:r w:rsidR="004678FF">
        <w:rPr>
          <w:rFonts w:ascii="Arial" w:hAnsi="Arial" w:cs="Arial"/>
        </w:rPr>
        <w:t xml:space="preserve">a </w:t>
      </w:r>
      <w:r w:rsidRPr="00854EBF">
        <w:rPr>
          <w:rFonts w:ascii="Arial" w:hAnsi="Arial" w:cs="Arial"/>
        </w:rPr>
        <w:t>0.417 mm sieve before analysis.</w:t>
      </w:r>
    </w:p>
    <w:p w14:paraId="704E3BD5" w14:textId="47B6B52E" w:rsidR="00854EBF" w:rsidRPr="00854EBF" w:rsidRDefault="00854EBF" w:rsidP="00854EBF">
      <w:pPr>
        <w:pStyle w:val="Body"/>
        <w:spacing w:after="0"/>
        <w:rPr>
          <w:rFonts w:ascii="Arial" w:hAnsi="Arial" w:cs="Arial"/>
        </w:rPr>
      </w:pPr>
      <w:r w:rsidRPr="00854EBF">
        <w:rPr>
          <w:rFonts w:ascii="Arial" w:hAnsi="Arial" w:cs="Arial"/>
          <w:b/>
          <w:bCs/>
        </w:rPr>
        <w:t>Water Soluble Calcium</w:t>
      </w:r>
    </w:p>
    <w:p w14:paraId="045A3AD1" w14:textId="4E1BF89A" w:rsidR="00854EBF" w:rsidRPr="00854EBF" w:rsidRDefault="00854EBF" w:rsidP="00854EBF">
      <w:pPr>
        <w:pStyle w:val="Body"/>
        <w:spacing w:after="0"/>
        <w:rPr>
          <w:rFonts w:ascii="Arial" w:hAnsi="Arial" w:cs="Arial"/>
        </w:rPr>
      </w:pPr>
      <w:r w:rsidRPr="00854EBF">
        <w:rPr>
          <w:rFonts w:ascii="Arial" w:hAnsi="Arial" w:cs="Arial"/>
        </w:rPr>
        <w:t xml:space="preserve">Five grams of soil was extracted with 25 ml </w:t>
      </w:r>
      <w:r w:rsidR="004678FF">
        <w:rPr>
          <w:rFonts w:ascii="Arial" w:hAnsi="Arial" w:cs="Arial"/>
        </w:rPr>
        <w:t xml:space="preserve">of </w:t>
      </w:r>
      <w:r w:rsidRPr="00854EBF">
        <w:rPr>
          <w:rFonts w:ascii="Arial" w:hAnsi="Arial" w:cs="Arial"/>
        </w:rPr>
        <w:t xml:space="preserve">distilled water by shaking for one hour, centrifuged at 2000 rpm for 10 minutes, and the extraction </w:t>
      </w:r>
      <w:r w:rsidR="004678FF">
        <w:rPr>
          <w:rFonts w:ascii="Arial" w:hAnsi="Arial" w:cs="Arial"/>
        </w:rPr>
        <w:t xml:space="preserve">was </w:t>
      </w:r>
      <w:r w:rsidRPr="00854EBF">
        <w:rPr>
          <w:rFonts w:ascii="Arial" w:hAnsi="Arial" w:cs="Arial"/>
        </w:rPr>
        <w:t xml:space="preserve">repeated until 100 ml </w:t>
      </w:r>
      <w:r w:rsidR="004678FF">
        <w:rPr>
          <w:rFonts w:ascii="Arial" w:hAnsi="Arial" w:cs="Arial"/>
        </w:rPr>
        <w:t xml:space="preserve">of </w:t>
      </w:r>
      <w:r w:rsidRPr="00854EBF">
        <w:rPr>
          <w:rFonts w:ascii="Arial" w:hAnsi="Arial" w:cs="Arial"/>
        </w:rPr>
        <w:t>extract was obtained.</w:t>
      </w:r>
    </w:p>
    <w:p w14:paraId="148F0EB6" w14:textId="2FFF39BE" w:rsidR="00854EBF" w:rsidRPr="00854EBF" w:rsidRDefault="00854EBF" w:rsidP="00854EBF">
      <w:pPr>
        <w:pStyle w:val="Body"/>
        <w:spacing w:after="0"/>
        <w:rPr>
          <w:rFonts w:ascii="Arial" w:hAnsi="Arial" w:cs="Arial"/>
        </w:rPr>
      </w:pPr>
      <w:r w:rsidRPr="00854EBF">
        <w:rPr>
          <w:rFonts w:ascii="Arial" w:hAnsi="Arial" w:cs="Arial"/>
          <w:b/>
          <w:bCs/>
        </w:rPr>
        <w:t>Exchangeable Calcium</w:t>
      </w:r>
    </w:p>
    <w:p w14:paraId="4F342B17" w14:textId="7B523B45" w:rsidR="00854EBF" w:rsidRPr="00854EBF" w:rsidRDefault="00854EBF" w:rsidP="00854EBF">
      <w:pPr>
        <w:pStyle w:val="Body"/>
        <w:spacing w:after="0"/>
        <w:rPr>
          <w:rFonts w:ascii="Arial" w:hAnsi="Arial" w:cs="Arial"/>
        </w:rPr>
      </w:pPr>
      <w:r w:rsidRPr="00854EBF">
        <w:rPr>
          <w:rFonts w:ascii="Arial" w:hAnsi="Arial" w:cs="Arial"/>
        </w:rPr>
        <w:t xml:space="preserve">One gram of soil was extracted with 20 ml of neutral 1 N </w:t>
      </w:r>
      <w:proofErr w:type="spellStart"/>
      <w:r w:rsidRPr="00854EBF">
        <w:rPr>
          <w:rFonts w:ascii="Arial" w:hAnsi="Arial" w:cs="Arial"/>
        </w:rPr>
        <w:t>NH</w:t>
      </w:r>
      <w:r w:rsidRPr="00854EBF">
        <w:rPr>
          <w:rFonts w:ascii="Cambria Math" w:hAnsi="Cambria Math" w:cs="Cambria Math"/>
        </w:rPr>
        <w:t>₄</w:t>
      </w:r>
      <w:r w:rsidRPr="00854EBF">
        <w:rPr>
          <w:rFonts w:ascii="Arial" w:hAnsi="Arial" w:cs="Arial"/>
        </w:rPr>
        <w:t>OAc</w:t>
      </w:r>
      <w:proofErr w:type="spellEnd"/>
      <w:r w:rsidRPr="00854EBF">
        <w:rPr>
          <w:rFonts w:ascii="Arial" w:hAnsi="Arial" w:cs="Arial"/>
        </w:rPr>
        <w:t xml:space="preserve"> by shaking for 40-60 minutes, </w:t>
      </w:r>
      <w:r w:rsidR="004678FF">
        <w:rPr>
          <w:rFonts w:ascii="Arial" w:hAnsi="Arial" w:cs="Arial"/>
        </w:rPr>
        <w:t>centrifuging</w:t>
      </w:r>
      <w:r w:rsidRPr="00854EBF">
        <w:rPr>
          <w:rFonts w:ascii="Arial" w:hAnsi="Arial" w:cs="Arial"/>
        </w:rPr>
        <w:t xml:space="preserve">, and </w:t>
      </w:r>
      <w:r w:rsidR="004678FF">
        <w:rPr>
          <w:rFonts w:ascii="Arial" w:hAnsi="Arial" w:cs="Arial"/>
        </w:rPr>
        <w:t>repeating</w:t>
      </w:r>
      <w:r w:rsidRPr="00854EBF">
        <w:rPr>
          <w:rFonts w:ascii="Arial" w:hAnsi="Arial" w:cs="Arial"/>
        </w:rPr>
        <w:t xml:space="preserve"> until 100 ml </w:t>
      </w:r>
      <w:r w:rsidR="004678FF">
        <w:rPr>
          <w:rFonts w:ascii="Arial" w:hAnsi="Arial" w:cs="Arial"/>
        </w:rPr>
        <w:t xml:space="preserve">of </w:t>
      </w:r>
      <w:r w:rsidRPr="00854EBF">
        <w:rPr>
          <w:rFonts w:ascii="Arial" w:hAnsi="Arial" w:cs="Arial"/>
        </w:rPr>
        <w:t>extract was collected.</w:t>
      </w:r>
    </w:p>
    <w:p w14:paraId="1F65FC6E" w14:textId="64DA4A72" w:rsidR="00854EBF" w:rsidRPr="00854EBF" w:rsidRDefault="00854EBF" w:rsidP="00854EBF">
      <w:pPr>
        <w:pStyle w:val="Body"/>
        <w:spacing w:after="0"/>
        <w:rPr>
          <w:rFonts w:ascii="Arial" w:hAnsi="Arial" w:cs="Arial"/>
        </w:rPr>
      </w:pPr>
      <w:r w:rsidRPr="00854EBF">
        <w:rPr>
          <w:rFonts w:ascii="Arial" w:hAnsi="Arial" w:cs="Arial"/>
          <w:b/>
          <w:bCs/>
        </w:rPr>
        <w:t>Organic Complexed Calcium</w:t>
      </w:r>
    </w:p>
    <w:p w14:paraId="2691D118" w14:textId="75830136" w:rsidR="00854EBF" w:rsidRPr="00854EBF" w:rsidRDefault="00854EBF" w:rsidP="00854EBF">
      <w:pPr>
        <w:pStyle w:val="Body"/>
        <w:spacing w:after="0"/>
        <w:rPr>
          <w:rFonts w:ascii="Arial" w:hAnsi="Arial" w:cs="Arial"/>
        </w:rPr>
      </w:pPr>
      <w:r w:rsidRPr="00854EBF">
        <w:rPr>
          <w:rFonts w:ascii="Arial" w:hAnsi="Arial" w:cs="Arial"/>
        </w:rPr>
        <w:t xml:space="preserve">The residue from </w:t>
      </w:r>
      <w:r w:rsidR="004678FF">
        <w:rPr>
          <w:rFonts w:ascii="Arial" w:hAnsi="Arial" w:cs="Arial"/>
        </w:rPr>
        <w:t xml:space="preserve">the </w:t>
      </w:r>
      <w:r w:rsidRPr="00854EBF">
        <w:rPr>
          <w:rFonts w:ascii="Arial" w:hAnsi="Arial" w:cs="Arial"/>
        </w:rPr>
        <w:t>exchangeable fraction was treated with 10 ml of 10 per cent H</w:t>
      </w:r>
      <w:r w:rsidRPr="00854EBF">
        <w:rPr>
          <w:rFonts w:ascii="Cambria Math" w:hAnsi="Cambria Math" w:cs="Cambria Math"/>
        </w:rPr>
        <w:t>₂</w:t>
      </w:r>
      <w:r w:rsidRPr="00854EBF">
        <w:rPr>
          <w:rFonts w:ascii="Arial" w:hAnsi="Arial" w:cs="Arial"/>
        </w:rPr>
        <w:t>O</w:t>
      </w:r>
      <w:r w:rsidRPr="00854EBF">
        <w:rPr>
          <w:rFonts w:ascii="Cambria Math" w:hAnsi="Cambria Math" w:cs="Cambria Math"/>
        </w:rPr>
        <w:t>₂</w:t>
      </w:r>
      <w:r w:rsidRPr="00854EBF">
        <w:rPr>
          <w:rFonts w:ascii="Arial" w:hAnsi="Arial" w:cs="Arial"/>
        </w:rPr>
        <w:t xml:space="preserve"> until foaming ceased, centrifuged, and washed with neutral 1 N </w:t>
      </w:r>
      <w:proofErr w:type="spellStart"/>
      <w:r w:rsidRPr="00854EBF">
        <w:rPr>
          <w:rFonts w:ascii="Arial" w:hAnsi="Arial" w:cs="Arial"/>
        </w:rPr>
        <w:t>NH</w:t>
      </w:r>
      <w:r w:rsidRPr="00854EBF">
        <w:rPr>
          <w:rFonts w:ascii="Cambria Math" w:hAnsi="Cambria Math" w:cs="Cambria Math"/>
        </w:rPr>
        <w:t>₄</w:t>
      </w:r>
      <w:r w:rsidRPr="00854EBF">
        <w:rPr>
          <w:rFonts w:ascii="Arial" w:hAnsi="Arial" w:cs="Arial"/>
        </w:rPr>
        <w:t>OAc</w:t>
      </w:r>
      <w:proofErr w:type="spellEnd"/>
      <w:r w:rsidRPr="00854EBF">
        <w:rPr>
          <w:rFonts w:ascii="Arial" w:hAnsi="Arial" w:cs="Arial"/>
        </w:rPr>
        <w:t xml:space="preserve"> until 100 ml was obtained.</w:t>
      </w:r>
    </w:p>
    <w:p w14:paraId="430F43FC" w14:textId="287F7622" w:rsidR="00854EBF" w:rsidRPr="00854EBF" w:rsidRDefault="004678FF" w:rsidP="00854EBF">
      <w:pPr>
        <w:pStyle w:val="Body"/>
        <w:spacing w:after="0"/>
        <w:rPr>
          <w:rFonts w:ascii="Arial" w:hAnsi="Arial" w:cs="Arial"/>
        </w:rPr>
      </w:pPr>
      <w:r>
        <w:rPr>
          <w:rFonts w:ascii="Arial" w:hAnsi="Arial" w:cs="Arial"/>
          <w:b/>
          <w:bCs/>
        </w:rPr>
        <w:t>Acid-Soluble</w:t>
      </w:r>
      <w:r w:rsidR="00854EBF" w:rsidRPr="00854EBF">
        <w:rPr>
          <w:rFonts w:ascii="Arial" w:hAnsi="Arial" w:cs="Arial"/>
          <w:b/>
          <w:bCs/>
        </w:rPr>
        <w:t xml:space="preserve"> Calcium</w:t>
      </w:r>
    </w:p>
    <w:p w14:paraId="3BAFF237" w14:textId="77777777" w:rsidR="00854EBF" w:rsidRPr="00854EBF" w:rsidRDefault="00854EBF" w:rsidP="00854EBF">
      <w:pPr>
        <w:pStyle w:val="Body"/>
        <w:spacing w:after="0"/>
        <w:rPr>
          <w:rFonts w:ascii="Arial" w:hAnsi="Arial" w:cs="Arial"/>
        </w:rPr>
      </w:pPr>
      <w:r w:rsidRPr="00854EBF">
        <w:rPr>
          <w:rFonts w:ascii="Arial" w:hAnsi="Arial" w:cs="Arial"/>
        </w:rPr>
        <w:t>The residue was treated with 30 ml of 1 N HNO</w:t>
      </w:r>
      <w:r w:rsidRPr="00854EBF">
        <w:rPr>
          <w:rFonts w:ascii="Cambria Math" w:hAnsi="Cambria Math" w:cs="Cambria Math"/>
        </w:rPr>
        <w:t>₃</w:t>
      </w:r>
      <w:r w:rsidRPr="00854EBF">
        <w:rPr>
          <w:rFonts w:ascii="Arial" w:hAnsi="Arial" w:cs="Arial"/>
        </w:rPr>
        <w:t>, boiled gently for 15 minutes, cooled, filtered, and washed with 0.2 N HNO</w:t>
      </w:r>
      <w:r w:rsidRPr="00854EBF">
        <w:rPr>
          <w:rFonts w:ascii="Cambria Math" w:hAnsi="Cambria Math" w:cs="Cambria Math"/>
        </w:rPr>
        <w:t>₃</w:t>
      </w:r>
      <w:r w:rsidRPr="00854EBF">
        <w:rPr>
          <w:rFonts w:ascii="Arial" w:hAnsi="Arial" w:cs="Arial"/>
        </w:rPr>
        <w:t xml:space="preserve"> to make 100 ml extract.</w:t>
      </w:r>
    </w:p>
    <w:p w14:paraId="67EBEF63" w14:textId="2E4F6012" w:rsidR="00854EBF" w:rsidRPr="00854EBF" w:rsidRDefault="00854EBF" w:rsidP="00854EBF">
      <w:pPr>
        <w:pStyle w:val="Body"/>
        <w:spacing w:after="0"/>
        <w:rPr>
          <w:rFonts w:ascii="Arial" w:hAnsi="Arial" w:cs="Arial"/>
        </w:rPr>
      </w:pPr>
      <w:r w:rsidRPr="00854EBF">
        <w:rPr>
          <w:rFonts w:ascii="Arial" w:hAnsi="Arial" w:cs="Arial"/>
          <w:b/>
          <w:bCs/>
        </w:rPr>
        <w:t>Mineral Calcium</w:t>
      </w:r>
    </w:p>
    <w:p w14:paraId="614B86C6" w14:textId="1DD6108B" w:rsidR="00854EBF" w:rsidRPr="00854EBF" w:rsidRDefault="00854EBF" w:rsidP="00854EBF">
      <w:pPr>
        <w:pStyle w:val="Body"/>
        <w:spacing w:after="0"/>
        <w:rPr>
          <w:rFonts w:ascii="Arial" w:hAnsi="Arial" w:cs="Arial"/>
        </w:rPr>
      </w:pPr>
      <w:r w:rsidRPr="00854EBF">
        <w:rPr>
          <w:rFonts w:ascii="Arial" w:hAnsi="Arial" w:cs="Arial"/>
        </w:rPr>
        <w:t>The residue with filter paper was digested with 25 ml of tri-acid mixture (HNO</w:t>
      </w:r>
      <w:r w:rsidRPr="00854EBF">
        <w:rPr>
          <w:rFonts w:ascii="Cambria Math" w:hAnsi="Cambria Math" w:cs="Cambria Math"/>
        </w:rPr>
        <w:t>₃</w:t>
      </w:r>
      <w:r w:rsidRPr="00854EBF">
        <w:rPr>
          <w:rFonts w:ascii="Arial" w:hAnsi="Arial" w:cs="Arial"/>
        </w:rPr>
        <w:t>:H</w:t>
      </w:r>
      <w:r w:rsidRPr="00854EBF">
        <w:rPr>
          <w:rFonts w:ascii="Cambria Math" w:hAnsi="Cambria Math" w:cs="Cambria Math"/>
        </w:rPr>
        <w:t>₃</w:t>
      </w:r>
      <w:r w:rsidRPr="00854EBF">
        <w:rPr>
          <w:rFonts w:ascii="Arial" w:hAnsi="Arial" w:cs="Arial"/>
        </w:rPr>
        <w:t>PO</w:t>
      </w:r>
      <w:proofErr w:type="gramStart"/>
      <w:r w:rsidRPr="00854EBF">
        <w:rPr>
          <w:rFonts w:ascii="Cambria Math" w:hAnsi="Cambria Math" w:cs="Cambria Math"/>
        </w:rPr>
        <w:t>₄</w:t>
      </w:r>
      <w:r w:rsidRPr="00854EBF">
        <w:rPr>
          <w:rFonts w:ascii="Arial" w:hAnsi="Arial" w:cs="Arial"/>
        </w:rPr>
        <w:t>:</w:t>
      </w:r>
      <w:proofErr w:type="spellStart"/>
      <w:r w:rsidRPr="00854EBF">
        <w:rPr>
          <w:rFonts w:ascii="Arial" w:hAnsi="Arial" w:cs="Arial"/>
        </w:rPr>
        <w:t>HClO</w:t>
      </w:r>
      <w:proofErr w:type="spellEnd"/>
      <w:proofErr w:type="gramEnd"/>
      <w:r w:rsidRPr="00854EBF">
        <w:rPr>
          <w:rFonts w:ascii="Cambria Math" w:hAnsi="Cambria Math" w:cs="Cambria Math"/>
        </w:rPr>
        <w:t>₄</w:t>
      </w:r>
      <w:r w:rsidRPr="00854EBF">
        <w:rPr>
          <w:rFonts w:ascii="Arial" w:hAnsi="Arial" w:cs="Arial"/>
        </w:rPr>
        <w:t xml:space="preserve"> in </w:t>
      </w:r>
      <w:r w:rsidR="004678FF">
        <w:rPr>
          <w:rFonts w:ascii="Arial" w:hAnsi="Arial" w:cs="Arial"/>
        </w:rPr>
        <w:t xml:space="preserve">a </w:t>
      </w:r>
      <w:r w:rsidRPr="00854EBF">
        <w:rPr>
          <w:rFonts w:ascii="Arial" w:hAnsi="Arial" w:cs="Arial"/>
        </w:rPr>
        <w:t>23:23:54 ratio) until complete digestion. After cooling, 5 ml of 5 N HCl was added</w:t>
      </w:r>
      <w:r w:rsidR="004678FF">
        <w:rPr>
          <w:rFonts w:ascii="Arial" w:hAnsi="Arial" w:cs="Arial"/>
        </w:rPr>
        <w:t>,</w:t>
      </w:r>
      <w:r w:rsidRPr="00854EBF">
        <w:rPr>
          <w:rFonts w:ascii="Arial" w:hAnsi="Arial" w:cs="Arial"/>
        </w:rPr>
        <w:t xml:space="preserve"> and </w:t>
      </w:r>
      <w:r w:rsidR="004678FF">
        <w:rPr>
          <w:rFonts w:ascii="Arial" w:hAnsi="Arial" w:cs="Arial"/>
        </w:rPr>
        <w:t xml:space="preserve">the </w:t>
      </w:r>
      <w:r w:rsidRPr="00854EBF">
        <w:rPr>
          <w:rFonts w:ascii="Arial" w:hAnsi="Arial" w:cs="Arial"/>
        </w:rPr>
        <w:t xml:space="preserve">volume </w:t>
      </w:r>
      <w:r w:rsidR="004678FF">
        <w:rPr>
          <w:rFonts w:ascii="Arial" w:hAnsi="Arial" w:cs="Arial"/>
        </w:rPr>
        <w:t xml:space="preserve">was </w:t>
      </w:r>
      <w:r w:rsidRPr="00854EBF">
        <w:rPr>
          <w:rFonts w:ascii="Arial" w:hAnsi="Arial" w:cs="Arial"/>
        </w:rPr>
        <w:t>made to 100 ml.</w:t>
      </w:r>
    </w:p>
    <w:p w14:paraId="297E43A8" w14:textId="036CB2EE" w:rsidR="00854EBF" w:rsidRPr="00854EBF" w:rsidRDefault="00854EBF" w:rsidP="00854EBF">
      <w:pPr>
        <w:pStyle w:val="Body"/>
        <w:spacing w:after="0"/>
        <w:rPr>
          <w:rFonts w:ascii="Arial" w:hAnsi="Arial" w:cs="Arial"/>
        </w:rPr>
      </w:pPr>
      <w:r w:rsidRPr="00854EBF">
        <w:rPr>
          <w:rFonts w:ascii="Arial" w:hAnsi="Arial" w:cs="Arial"/>
          <w:b/>
          <w:bCs/>
        </w:rPr>
        <w:t>Total Calcium</w:t>
      </w:r>
    </w:p>
    <w:p w14:paraId="6BF642D2" w14:textId="277FDB4D" w:rsidR="00854EBF" w:rsidRPr="00854EBF" w:rsidRDefault="00854EBF" w:rsidP="00854EBF">
      <w:pPr>
        <w:pStyle w:val="Body"/>
        <w:spacing w:after="0"/>
        <w:rPr>
          <w:rFonts w:ascii="Arial" w:hAnsi="Arial" w:cs="Arial"/>
        </w:rPr>
      </w:pPr>
      <w:r w:rsidRPr="00854EBF">
        <w:rPr>
          <w:rFonts w:ascii="Arial" w:hAnsi="Arial" w:cs="Arial"/>
        </w:rPr>
        <w:t xml:space="preserve">One gram of soil was digested with 25 ml of 70 per cent </w:t>
      </w:r>
      <w:proofErr w:type="spellStart"/>
      <w:r w:rsidRPr="00854EBF">
        <w:rPr>
          <w:rFonts w:ascii="Arial" w:hAnsi="Arial" w:cs="Arial"/>
        </w:rPr>
        <w:t>HClO</w:t>
      </w:r>
      <w:proofErr w:type="spellEnd"/>
      <w:r w:rsidRPr="00854EBF">
        <w:rPr>
          <w:rFonts w:ascii="Cambria Math" w:hAnsi="Cambria Math" w:cs="Cambria Math"/>
        </w:rPr>
        <w:t>₄</w:t>
      </w:r>
      <w:r w:rsidRPr="00854EBF">
        <w:rPr>
          <w:rFonts w:ascii="Arial" w:hAnsi="Arial" w:cs="Arial"/>
        </w:rPr>
        <w:t xml:space="preserve"> until </w:t>
      </w:r>
      <w:r w:rsidR="004678FF">
        <w:rPr>
          <w:rFonts w:ascii="Arial" w:hAnsi="Arial" w:cs="Arial"/>
        </w:rPr>
        <w:t xml:space="preserve">the </w:t>
      </w:r>
      <w:r w:rsidRPr="00854EBF">
        <w:rPr>
          <w:rFonts w:ascii="Arial" w:hAnsi="Arial" w:cs="Arial"/>
        </w:rPr>
        <w:t>appearance of white fumes and clear residue. After cooling, 5 ml of 5 N HCl was added</w:t>
      </w:r>
      <w:r w:rsidR="004678FF">
        <w:rPr>
          <w:rFonts w:ascii="Arial" w:hAnsi="Arial" w:cs="Arial"/>
        </w:rPr>
        <w:t>,</w:t>
      </w:r>
      <w:r w:rsidRPr="00854EBF">
        <w:rPr>
          <w:rFonts w:ascii="Arial" w:hAnsi="Arial" w:cs="Arial"/>
        </w:rPr>
        <w:t xml:space="preserve"> and </w:t>
      </w:r>
      <w:r w:rsidR="004678FF">
        <w:rPr>
          <w:rFonts w:ascii="Arial" w:hAnsi="Arial" w:cs="Arial"/>
        </w:rPr>
        <w:t xml:space="preserve">the </w:t>
      </w:r>
      <w:r w:rsidRPr="00854EBF">
        <w:rPr>
          <w:rFonts w:ascii="Arial" w:hAnsi="Arial" w:cs="Arial"/>
        </w:rPr>
        <w:t xml:space="preserve">volume </w:t>
      </w:r>
      <w:r w:rsidR="004678FF">
        <w:rPr>
          <w:rFonts w:ascii="Arial" w:hAnsi="Arial" w:cs="Arial"/>
        </w:rPr>
        <w:t xml:space="preserve">was </w:t>
      </w:r>
      <w:r w:rsidRPr="00854EBF">
        <w:rPr>
          <w:rFonts w:ascii="Arial" w:hAnsi="Arial" w:cs="Arial"/>
        </w:rPr>
        <w:t>made to 100 ml.</w:t>
      </w:r>
    </w:p>
    <w:p w14:paraId="616E545E" w14:textId="77777777" w:rsidR="00854EBF" w:rsidRPr="00854EBF" w:rsidRDefault="00854EBF" w:rsidP="00854EBF">
      <w:pPr>
        <w:pStyle w:val="Body"/>
        <w:spacing w:after="0"/>
        <w:rPr>
          <w:rFonts w:ascii="Arial" w:hAnsi="Arial" w:cs="Arial"/>
        </w:rPr>
      </w:pPr>
      <w:r w:rsidRPr="00854EBF">
        <w:rPr>
          <w:rFonts w:ascii="Arial" w:hAnsi="Arial" w:cs="Arial"/>
        </w:rPr>
        <w:t>All calcium determinations were performed using atomic absorption spectrophotometry with strontium (4000 ppm) added to suppress interference.</w:t>
      </w:r>
    </w:p>
    <w:p w14:paraId="60A79182" w14:textId="41DBBCFC" w:rsidR="00854EBF" w:rsidRPr="00854EBF" w:rsidRDefault="00854EBF" w:rsidP="00854EBF">
      <w:pPr>
        <w:pStyle w:val="Body"/>
        <w:spacing w:after="0"/>
        <w:rPr>
          <w:rFonts w:ascii="Arial" w:hAnsi="Arial" w:cs="Arial"/>
          <w:b/>
          <w:bCs/>
        </w:rPr>
      </w:pPr>
      <w:r w:rsidRPr="00854EBF">
        <w:rPr>
          <w:rFonts w:ascii="Arial" w:hAnsi="Arial" w:cs="Arial"/>
          <w:b/>
          <w:bCs/>
        </w:rPr>
        <w:t>Fractionation of Boron</w:t>
      </w:r>
    </w:p>
    <w:p w14:paraId="17860FA1" w14:textId="7C044BDE" w:rsidR="00854EBF" w:rsidRPr="00854EBF" w:rsidRDefault="00854EBF" w:rsidP="00854EBF">
      <w:pPr>
        <w:pStyle w:val="Body"/>
        <w:spacing w:after="0"/>
        <w:rPr>
          <w:rFonts w:ascii="Arial" w:hAnsi="Arial" w:cs="Arial"/>
        </w:rPr>
      </w:pPr>
      <w:r w:rsidRPr="00854EBF">
        <w:rPr>
          <w:rFonts w:ascii="Arial" w:hAnsi="Arial" w:cs="Arial"/>
        </w:rPr>
        <w:t xml:space="preserve">Sequential extraction following Datta et al. (2002) with modifications from Hou et al. (1994, 1996) was employed to partition boron into five fractions. Soil samples were ground and passed through </w:t>
      </w:r>
      <w:r w:rsidR="005E0F70">
        <w:rPr>
          <w:rFonts w:ascii="Arial" w:hAnsi="Arial" w:cs="Arial"/>
        </w:rPr>
        <w:t xml:space="preserve">a </w:t>
      </w:r>
      <w:r w:rsidRPr="00854EBF">
        <w:rPr>
          <w:rFonts w:ascii="Arial" w:hAnsi="Arial" w:cs="Arial"/>
        </w:rPr>
        <w:t>0.5 mm sieve.</w:t>
      </w:r>
    </w:p>
    <w:p w14:paraId="0D126071" w14:textId="732FD15F" w:rsidR="00854EBF" w:rsidRPr="00854EBF" w:rsidRDefault="00854EBF" w:rsidP="00854EBF">
      <w:pPr>
        <w:pStyle w:val="Body"/>
        <w:spacing w:after="0"/>
        <w:rPr>
          <w:rFonts w:ascii="Arial" w:hAnsi="Arial" w:cs="Arial"/>
        </w:rPr>
      </w:pPr>
      <w:r w:rsidRPr="00854EBF">
        <w:rPr>
          <w:rFonts w:ascii="Arial" w:hAnsi="Arial" w:cs="Arial"/>
          <w:b/>
          <w:bCs/>
        </w:rPr>
        <w:t>Readily Soluble Boron</w:t>
      </w:r>
    </w:p>
    <w:p w14:paraId="150A976F" w14:textId="7042431B" w:rsidR="00854EBF" w:rsidRPr="00854EBF" w:rsidRDefault="00854EBF" w:rsidP="00854EBF">
      <w:pPr>
        <w:pStyle w:val="Body"/>
        <w:spacing w:after="0"/>
        <w:rPr>
          <w:rFonts w:ascii="Arial" w:hAnsi="Arial" w:cs="Arial"/>
        </w:rPr>
      </w:pPr>
      <w:r w:rsidRPr="00854EBF">
        <w:rPr>
          <w:rFonts w:ascii="Arial" w:hAnsi="Arial" w:cs="Arial"/>
        </w:rPr>
        <w:t xml:space="preserve">Five grams of soil was extracted with 10 ml of 0.01 M </w:t>
      </w:r>
      <w:proofErr w:type="spellStart"/>
      <w:r w:rsidRPr="00854EBF">
        <w:rPr>
          <w:rFonts w:ascii="Arial" w:hAnsi="Arial" w:cs="Arial"/>
        </w:rPr>
        <w:t>CaCl</w:t>
      </w:r>
      <w:proofErr w:type="spellEnd"/>
      <w:r w:rsidRPr="00854EBF">
        <w:rPr>
          <w:rFonts w:ascii="Cambria Math" w:hAnsi="Cambria Math" w:cs="Cambria Math"/>
        </w:rPr>
        <w:t>₂</w:t>
      </w:r>
      <w:r w:rsidRPr="00854EBF">
        <w:rPr>
          <w:rFonts w:ascii="Arial" w:hAnsi="Arial" w:cs="Arial"/>
        </w:rPr>
        <w:t xml:space="preserve"> by shaking for 16 hours, centrifuged at 10,000 rpm for 30 minutes, and filtered. Boron was determined using </w:t>
      </w:r>
      <w:r w:rsidR="005E0F70">
        <w:rPr>
          <w:rFonts w:ascii="Arial" w:hAnsi="Arial" w:cs="Arial"/>
        </w:rPr>
        <w:t xml:space="preserve">the </w:t>
      </w:r>
      <w:r w:rsidRPr="00854EBF">
        <w:rPr>
          <w:rFonts w:ascii="Arial" w:hAnsi="Arial" w:cs="Arial"/>
        </w:rPr>
        <w:t>azomethine-H method.</w:t>
      </w:r>
    </w:p>
    <w:p w14:paraId="526042A2" w14:textId="12A931E1" w:rsidR="00854EBF" w:rsidRPr="00854EBF" w:rsidRDefault="00854EBF" w:rsidP="00854EBF">
      <w:pPr>
        <w:pStyle w:val="Body"/>
        <w:spacing w:after="0"/>
        <w:rPr>
          <w:rFonts w:ascii="Arial" w:hAnsi="Arial" w:cs="Arial"/>
        </w:rPr>
      </w:pPr>
      <w:proofErr w:type="gramStart"/>
      <w:r w:rsidRPr="00854EBF">
        <w:rPr>
          <w:rFonts w:ascii="Arial" w:hAnsi="Arial" w:cs="Arial"/>
          <w:b/>
          <w:bCs/>
        </w:rPr>
        <w:t>Specifically</w:t>
      </w:r>
      <w:proofErr w:type="gramEnd"/>
      <w:r w:rsidRPr="00854EBF">
        <w:rPr>
          <w:rFonts w:ascii="Arial" w:hAnsi="Arial" w:cs="Arial"/>
          <w:b/>
          <w:bCs/>
        </w:rPr>
        <w:t xml:space="preserve"> Adsorbed Boron</w:t>
      </w:r>
    </w:p>
    <w:p w14:paraId="51E91B5D" w14:textId="7AD28FF8" w:rsidR="00854EBF" w:rsidRPr="00854EBF" w:rsidRDefault="00854EBF" w:rsidP="00854EBF">
      <w:pPr>
        <w:pStyle w:val="Body"/>
        <w:spacing w:after="0"/>
        <w:rPr>
          <w:rFonts w:ascii="Arial" w:hAnsi="Arial" w:cs="Arial"/>
        </w:rPr>
      </w:pPr>
      <w:r w:rsidRPr="00854EBF">
        <w:rPr>
          <w:rFonts w:ascii="Arial" w:hAnsi="Arial" w:cs="Arial"/>
        </w:rPr>
        <w:t>The residue was extracted with 10 ml of KH</w:t>
      </w:r>
      <w:r w:rsidRPr="00854EBF">
        <w:rPr>
          <w:rFonts w:ascii="Cambria Math" w:hAnsi="Cambria Math" w:cs="Cambria Math"/>
        </w:rPr>
        <w:t>₂</w:t>
      </w:r>
      <w:r w:rsidRPr="00854EBF">
        <w:rPr>
          <w:rFonts w:ascii="Arial" w:hAnsi="Arial" w:cs="Arial"/>
        </w:rPr>
        <w:t>PO</w:t>
      </w:r>
      <w:r w:rsidRPr="00854EBF">
        <w:rPr>
          <w:rFonts w:ascii="Cambria Math" w:hAnsi="Cambria Math" w:cs="Cambria Math"/>
        </w:rPr>
        <w:t>₄</w:t>
      </w:r>
      <w:r w:rsidRPr="00854EBF">
        <w:rPr>
          <w:rFonts w:ascii="Arial" w:hAnsi="Arial" w:cs="Arial"/>
        </w:rPr>
        <w:t xml:space="preserve"> by shaking for one hour, centrifuged, </w:t>
      </w:r>
      <w:r w:rsidR="005E0F70">
        <w:rPr>
          <w:rFonts w:ascii="Arial" w:hAnsi="Arial" w:cs="Arial"/>
        </w:rPr>
        <w:t>filtering</w:t>
      </w:r>
      <w:r w:rsidRPr="00854EBF">
        <w:rPr>
          <w:rFonts w:ascii="Arial" w:hAnsi="Arial" w:cs="Arial"/>
        </w:rPr>
        <w:t xml:space="preserve">, and boron </w:t>
      </w:r>
      <w:r w:rsidR="005E0F70">
        <w:rPr>
          <w:rFonts w:ascii="Arial" w:hAnsi="Arial" w:cs="Arial"/>
        </w:rPr>
        <w:t xml:space="preserve">was </w:t>
      </w:r>
      <w:r w:rsidRPr="00854EBF">
        <w:rPr>
          <w:rFonts w:ascii="Arial" w:hAnsi="Arial" w:cs="Arial"/>
        </w:rPr>
        <w:t xml:space="preserve">determined using </w:t>
      </w:r>
      <w:r w:rsidR="005E0F70">
        <w:rPr>
          <w:rFonts w:ascii="Arial" w:hAnsi="Arial" w:cs="Arial"/>
        </w:rPr>
        <w:t xml:space="preserve">the </w:t>
      </w:r>
      <w:r w:rsidRPr="00854EBF">
        <w:rPr>
          <w:rFonts w:ascii="Arial" w:hAnsi="Arial" w:cs="Arial"/>
        </w:rPr>
        <w:t>azomethine-H method.</w:t>
      </w:r>
    </w:p>
    <w:p w14:paraId="76CBA8CE" w14:textId="3B78284E" w:rsidR="00854EBF" w:rsidRPr="00854EBF" w:rsidRDefault="005E0F70" w:rsidP="00854EBF">
      <w:pPr>
        <w:pStyle w:val="Body"/>
        <w:spacing w:after="0"/>
        <w:rPr>
          <w:rFonts w:ascii="Arial" w:hAnsi="Arial" w:cs="Arial"/>
        </w:rPr>
      </w:pPr>
      <w:r>
        <w:rPr>
          <w:rFonts w:ascii="Arial" w:hAnsi="Arial" w:cs="Arial"/>
          <w:b/>
          <w:bCs/>
        </w:rPr>
        <w:t>Oxide-Bound</w:t>
      </w:r>
      <w:r w:rsidR="00854EBF" w:rsidRPr="00854EBF">
        <w:rPr>
          <w:rFonts w:ascii="Arial" w:hAnsi="Arial" w:cs="Arial"/>
          <w:b/>
          <w:bCs/>
        </w:rPr>
        <w:t xml:space="preserve"> Boron</w:t>
      </w:r>
    </w:p>
    <w:p w14:paraId="7E17E7DC" w14:textId="5560D9FB" w:rsidR="00854EBF" w:rsidRPr="00854EBF" w:rsidRDefault="00854EBF" w:rsidP="00854EBF">
      <w:pPr>
        <w:pStyle w:val="Body"/>
        <w:spacing w:after="0"/>
        <w:rPr>
          <w:rFonts w:ascii="Arial" w:hAnsi="Arial" w:cs="Arial"/>
        </w:rPr>
      </w:pPr>
      <w:r w:rsidRPr="00854EBF">
        <w:rPr>
          <w:rFonts w:ascii="Arial" w:hAnsi="Arial" w:cs="Arial"/>
        </w:rPr>
        <w:t xml:space="preserve">The residue was extracted with 20 ml of 0.175 M ammonium oxalate (pH 3.25) by shaking for 4 hours. The colored extract was treated with NaOH and </w:t>
      </w:r>
      <w:proofErr w:type="spellStart"/>
      <w:r w:rsidRPr="00854EBF">
        <w:rPr>
          <w:rFonts w:ascii="Arial" w:hAnsi="Arial" w:cs="Arial"/>
        </w:rPr>
        <w:t>HClO</w:t>
      </w:r>
      <w:proofErr w:type="spellEnd"/>
      <w:r w:rsidRPr="00854EBF">
        <w:rPr>
          <w:rFonts w:ascii="Cambria Math" w:hAnsi="Cambria Math" w:cs="Cambria Math"/>
        </w:rPr>
        <w:t>₄</w:t>
      </w:r>
      <w:r w:rsidRPr="00854EBF">
        <w:rPr>
          <w:rFonts w:ascii="Arial" w:hAnsi="Arial" w:cs="Arial"/>
        </w:rPr>
        <w:t xml:space="preserve"> to eliminate color, and boron determined using </w:t>
      </w:r>
      <w:r w:rsidR="005E0F70">
        <w:rPr>
          <w:rFonts w:ascii="Arial" w:hAnsi="Arial" w:cs="Arial"/>
        </w:rPr>
        <w:t xml:space="preserve">the </w:t>
      </w:r>
      <w:r w:rsidRPr="00854EBF">
        <w:rPr>
          <w:rFonts w:ascii="Arial" w:hAnsi="Arial" w:cs="Arial"/>
        </w:rPr>
        <w:t>carmine method.</w:t>
      </w:r>
    </w:p>
    <w:p w14:paraId="7626DB07" w14:textId="5FD89AAB" w:rsidR="00854EBF" w:rsidRPr="00854EBF" w:rsidRDefault="00854EBF" w:rsidP="00854EBF">
      <w:pPr>
        <w:pStyle w:val="Body"/>
        <w:spacing w:after="0"/>
        <w:rPr>
          <w:rFonts w:ascii="Arial" w:hAnsi="Arial" w:cs="Arial"/>
        </w:rPr>
      </w:pPr>
      <w:r w:rsidRPr="00854EBF">
        <w:rPr>
          <w:rFonts w:ascii="Arial" w:hAnsi="Arial" w:cs="Arial"/>
          <w:b/>
          <w:bCs/>
        </w:rPr>
        <w:t>Organically Bound Boron</w:t>
      </w:r>
    </w:p>
    <w:p w14:paraId="4BADA257" w14:textId="61191DA2" w:rsidR="00854EBF" w:rsidRPr="00854EBF" w:rsidRDefault="00854EBF" w:rsidP="00854EBF">
      <w:pPr>
        <w:pStyle w:val="Body"/>
        <w:spacing w:after="0"/>
        <w:rPr>
          <w:rFonts w:ascii="Arial" w:hAnsi="Arial" w:cs="Arial"/>
        </w:rPr>
      </w:pPr>
      <w:r w:rsidRPr="00854EBF">
        <w:rPr>
          <w:rFonts w:ascii="Arial" w:hAnsi="Arial" w:cs="Arial"/>
        </w:rPr>
        <w:t xml:space="preserve">The residue was extracted with 20 ml of 0.5 M NaOH by shaking for 24 hours. The dark extract was treated with </w:t>
      </w:r>
      <w:proofErr w:type="spellStart"/>
      <w:r w:rsidRPr="00854EBF">
        <w:rPr>
          <w:rFonts w:ascii="Arial" w:hAnsi="Arial" w:cs="Arial"/>
        </w:rPr>
        <w:t>HClO</w:t>
      </w:r>
      <w:proofErr w:type="spellEnd"/>
      <w:r w:rsidRPr="00854EBF">
        <w:rPr>
          <w:rFonts w:ascii="Cambria Math" w:hAnsi="Cambria Math" w:cs="Cambria Math"/>
        </w:rPr>
        <w:t>₄</w:t>
      </w:r>
      <w:r w:rsidR="005E0F70">
        <w:rPr>
          <w:rFonts w:ascii="Cambria Math" w:hAnsi="Cambria Math" w:cs="Cambria Math"/>
        </w:rPr>
        <w:t>,</w:t>
      </w:r>
      <w:r w:rsidRPr="00854EBF">
        <w:rPr>
          <w:rFonts w:ascii="Arial" w:hAnsi="Arial" w:cs="Arial"/>
        </w:rPr>
        <w:t xml:space="preserve"> and boron determined using </w:t>
      </w:r>
      <w:r w:rsidR="005E0F70">
        <w:rPr>
          <w:rFonts w:ascii="Arial" w:hAnsi="Arial" w:cs="Arial"/>
        </w:rPr>
        <w:t xml:space="preserve">the </w:t>
      </w:r>
      <w:r w:rsidRPr="00854EBF">
        <w:rPr>
          <w:rFonts w:ascii="Arial" w:hAnsi="Arial" w:cs="Arial"/>
        </w:rPr>
        <w:t>carmine method.</w:t>
      </w:r>
    </w:p>
    <w:p w14:paraId="5F39B4C0" w14:textId="6E5A1B05" w:rsidR="00854EBF" w:rsidRPr="00854EBF" w:rsidRDefault="00854EBF" w:rsidP="00854EBF">
      <w:pPr>
        <w:pStyle w:val="Body"/>
        <w:spacing w:after="0"/>
        <w:rPr>
          <w:rFonts w:ascii="Arial" w:hAnsi="Arial" w:cs="Arial"/>
        </w:rPr>
      </w:pPr>
      <w:r w:rsidRPr="00854EBF">
        <w:rPr>
          <w:rFonts w:ascii="Arial" w:hAnsi="Arial" w:cs="Arial"/>
          <w:b/>
          <w:bCs/>
        </w:rPr>
        <w:t>Total Boron</w:t>
      </w:r>
    </w:p>
    <w:p w14:paraId="43D81F16" w14:textId="69888DCC" w:rsidR="00854EBF" w:rsidRPr="00854EBF" w:rsidRDefault="00854EBF" w:rsidP="00854EBF">
      <w:pPr>
        <w:pStyle w:val="Body"/>
        <w:spacing w:after="0"/>
        <w:rPr>
          <w:rFonts w:ascii="Arial" w:hAnsi="Arial" w:cs="Arial"/>
        </w:rPr>
      </w:pPr>
      <w:r w:rsidRPr="00854EBF">
        <w:rPr>
          <w:rFonts w:ascii="Arial" w:hAnsi="Arial" w:cs="Arial"/>
        </w:rPr>
        <w:lastRenderedPageBreak/>
        <w:t>Exactly 0.2 g of soil was pre-digested overnight with 3 ml freshly prepared aqua regia (HCl:</w:t>
      </w:r>
      <w:r w:rsidR="005E0F70">
        <w:rPr>
          <w:rFonts w:ascii="Arial" w:hAnsi="Arial" w:cs="Arial"/>
        </w:rPr>
        <w:t xml:space="preserve"> </w:t>
      </w:r>
      <w:r w:rsidRPr="00854EBF">
        <w:rPr>
          <w:rFonts w:ascii="Arial" w:hAnsi="Arial" w:cs="Arial"/>
        </w:rPr>
        <w:t>HNO</w:t>
      </w:r>
      <w:r w:rsidRPr="00854EBF">
        <w:rPr>
          <w:rFonts w:ascii="Cambria Math" w:hAnsi="Cambria Math" w:cs="Cambria Math"/>
        </w:rPr>
        <w:t>₃</w:t>
      </w:r>
      <w:r w:rsidRPr="00854EBF">
        <w:rPr>
          <w:rFonts w:ascii="Arial" w:hAnsi="Arial" w:cs="Arial"/>
        </w:rPr>
        <w:t xml:space="preserve"> in </w:t>
      </w:r>
      <w:r w:rsidR="005E0F70">
        <w:rPr>
          <w:rFonts w:ascii="Arial" w:hAnsi="Arial" w:cs="Arial"/>
        </w:rPr>
        <w:t xml:space="preserve">a </w:t>
      </w:r>
      <w:r w:rsidRPr="00854EBF">
        <w:rPr>
          <w:rFonts w:ascii="Arial" w:hAnsi="Arial" w:cs="Arial"/>
        </w:rPr>
        <w:t xml:space="preserve">3:1 ratio), then digested at 135°C for 2 hours until </w:t>
      </w:r>
      <w:r w:rsidR="005E0F70">
        <w:rPr>
          <w:rFonts w:ascii="Arial" w:hAnsi="Arial" w:cs="Arial"/>
        </w:rPr>
        <w:t xml:space="preserve">a </w:t>
      </w:r>
      <w:r w:rsidRPr="00854EBF">
        <w:rPr>
          <w:rFonts w:ascii="Arial" w:hAnsi="Arial" w:cs="Arial"/>
        </w:rPr>
        <w:t xml:space="preserve">white residue appeared. After cooling, the digest was diluted, filtered, and made to 50 ml. Boron was determined using </w:t>
      </w:r>
      <w:r w:rsidR="005E0F70">
        <w:rPr>
          <w:rFonts w:ascii="Arial" w:hAnsi="Arial" w:cs="Arial"/>
        </w:rPr>
        <w:t xml:space="preserve">the </w:t>
      </w:r>
      <w:r w:rsidRPr="00854EBF">
        <w:rPr>
          <w:rFonts w:ascii="Arial" w:hAnsi="Arial" w:cs="Arial"/>
        </w:rPr>
        <w:t>carmine method with absorbance measured at 585 nm.</w:t>
      </w:r>
    </w:p>
    <w:p w14:paraId="552D7A10" w14:textId="60EA5A6C" w:rsidR="00854EBF" w:rsidRPr="00854EBF" w:rsidRDefault="00854EBF" w:rsidP="00854EBF">
      <w:pPr>
        <w:pStyle w:val="Body"/>
        <w:spacing w:after="0"/>
        <w:rPr>
          <w:rFonts w:ascii="Arial" w:hAnsi="Arial" w:cs="Arial"/>
        </w:rPr>
      </w:pPr>
      <w:r w:rsidRPr="00854EBF">
        <w:rPr>
          <w:rFonts w:ascii="Arial" w:hAnsi="Arial" w:cs="Arial"/>
          <w:b/>
          <w:bCs/>
        </w:rPr>
        <w:t>Residual Boron</w:t>
      </w:r>
    </w:p>
    <w:p w14:paraId="4CB0A74E" w14:textId="77777777" w:rsidR="00854EBF" w:rsidRPr="00854EBF" w:rsidRDefault="00854EBF" w:rsidP="00854EBF">
      <w:pPr>
        <w:pStyle w:val="Body"/>
        <w:spacing w:after="0"/>
        <w:rPr>
          <w:rFonts w:ascii="Arial" w:hAnsi="Arial" w:cs="Arial"/>
        </w:rPr>
      </w:pPr>
      <w:r w:rsidRPr="00854EBF">
        <w:rPr>
          <w:rFonts w:ascii="Arial" w:hAnsi="Arial" w:cs="Arial"/>
        </w:rPr>
        <w:t>Calculated by subtracting the sum of readily soluble, specifically adsorbed, oxide-bound, and organically bound fractions from total boron.</w:t>
      </w:r>
    </w:p>
    <w:p w14:paraId="300F3FF7" w14:textId="3E7C2521" w:rsidR="00854EBF" w:rsidRPr="00854EBF" w:rsidRDefault="00854EBF" w:rsidP="00854EBF">
      <w:pPr>
        <w:pStyle w:val="Body"/>
        <w:spacing w:after="0"/>
        <w:rPr>
          <w:rFonts w:ascii="Arial" w:hAnsi="Arial" w:cs="Arial"/>
          <w:b/>
          <w:bCs/>
        </w:rPr>
      </w:pPr>
      <w:r w:rsidRPr="00854EBF">
        <w:rPr>
          <w:rFonts w:ascii="Arial" w:hAnsi="Arial" w:cs="Arial"/>
          <w:b/>
          <w:bCs/>
        </w:rPr>
        <w:t>Statistical Analysis</w:t>
      </w:r>
    </w:p>
    <w:p w14:paraId="070116B9" w14:textId="55A794D1" w:rsidR="00AA74E0" w:rsidRDefault="00854EBF" w:rsidP="00441B6F">
      <w:pPr>
        <w:pStyle w:val="Body"/>
        <w:spacing w:after="0"/>
        <w:rPr>
          <w:rFonts w:ascii="Arial" w:hAnsi="Arial" w:cs="Arial"/>
        </w:rPr>
      </w:pPr>
      <w:r w:rsidRPr="00854EBF">
        <w:rPr>
          <w:rFonts w:ascii="Arial" w:hAnsi="Arial" w:cs="Arial"/>
        </w:rPr>
        <w:t>Descriptive statistics</w:t>
      </w:r>
      <w:r w:rsidR="00BF0A52">
        <w:rPr>
          <w:rFonts w:ascii="Arial" w:hAnsi="Arial" w:cs="Arial"/>
        </w:rPr>
        <w:t xml:space="preserve"> </w:t>
      </w:r>
      <w:r w:rsidRPr="00854EBF">
        <w:rPr>
          <w:rFonts w:ascii="Arial" w:hAnsi="Arial" w:cs="Arial"/>
        </w:rPr>
        <w:t>were computed for all fractions. Pearson correlation analysis was performed to establish relationships between different fractions of calcium and boron, and between fractions and soil properties. Statistical analyses were conducted using appropriate software</w:t>
      </w:r>
      <w:r w:rsidR="005E0F70">
        <w:rPr>
          <w:rFonts w:ascii="Arial" w:hAnsi="Arial" w:cs="Arial"/>
        </w:rPr>
        <w:t>,</w:t>
      </w:r>
      <w:r w:rsidRPr="00854EBF">
        <w:rPr>
          <w:rFonts w:ascii="Arial" w:hAnsi="Arial" w:cs="Arial"/>
        </w:rPr>
        <w:t xml:space="preserve"> and significance was tested at P = .05, P = .01, and P = .001 levels.</w:t>
      </w:r>
    </w:p>
    <w:p w14:paraId="4FD16955" w14:textId="77777777" w:rsidR="00790ADA" w:rsidRPr="00FB3A86" w:rsidRDefault="00790ADA" w:rsidP="00441B6F">
      <w:pPr>
        <w:pStyle w:val="Body"/>
        <w:spacing w:after="0"/>
        <w:rPr>
          <w:rFonts w:ascii="Arial" w:hAnsi="Arial" w:cs="Arial"/>
        </w:rPr>
      </w:pPr>
    </w:p>
    <w:p w14:paraId="5FA2113E" w14:textId="7CA1FAEA" w:rsidR="00790ADA" w:rsidRDefault="00000F8F" w:rsidP="00441B6F">
      <w:pPr>
        <w:pStyle w:val="Head1"/>
        <w:spacing w:after="0"/>
        <w:jc w:val="both"/>
        <w:rPr>
          <w:rFonts w:ascii="Arial" w:hAnsi="Arial" w:cs="Arial"/>
        </w:rPr>
      </w:pPr>
      <w:r>
        <w:rPr>
          <w:rFonts w:ascii="Arial" w:hAnsi="Arial" w:cs="Arial"/>
        </w:rPr>
        <w:t>results and discussion</w:t>
      </w:r>
    </w:p>
    <w:p w14:paraId="2D7FE9DE" w14:textId="77777777" w:rsidR="00001E12" w:rsidRPr="00FB3A86" w:rsidRDefault="00001E12" w:rsidP="00441B6F">
      <w:pPr>
        <w:pStyle w:val="Head1"/>
        <w:spacing w:after="0"/>
        <w:jc w:val="both"/>
        <w:rPr>
          <w:rFonts w:ascii="Arial" w:hAnsi="Arial" w:cs="Arial"/>
        </w:rPr>
      </w:pPr>
    </w:p>
    <w:p w14:paraId="5619C159" w14:textId="70E25C3A" w:rsidR="00BF0A52" w:rsidRPr="00BF0A52" w:rsidRDefault="00BF0A52" w:rsidP="00BF0A52">
      <w:pPr>
        <w:pStyle w:val="Body"/>
        <w:spacing w:after="0"/>
        <w:rPr>
          <w:rFonts w:ascii="Arial" w:hAnsi="Arial" w:cs="Arial"/>
          <w:b/>
          <w:bCs/>
        </w:rPr>
      </w:pPr>
      <w:r w:rsidRPr="00BF0A52">
        <w:rPr>
          <w:rFonts w:ascii="Arial" w:hAnsi="Arial" w:cs="Arial"/>
          <w:b/>
          <w:bCs/>
        </w:rPr>
        <w:t>Calcium Fractionation in Lateritic Soils</w:t>
      </w:r>
    </w:p>
    <w:p w14:paraId="351B44B5" w14:textId="7FEF93F6" w:rsidR="00BF0A52" w:rsidRPr="00BF0A52" w:rsidRDefault="00301335" w:rsidP="00BF0A52">
      <w:pPr>
        <w:pStyle w:val="Body"/>
        <w:spacing w:after="0"/>
        <w:rPr>
          <w:rFonts w:ascii="Arial" w:hAnsi="Arial" w:cs="Arial"/>
        </w:rPr>
      </w:pPr>
      <w:r w:rsidRPr="00301335">
        <w:rPr>
          <w:rFonts w:ascii="Arial" w:hAnsi="Arial" w:cs="Arial"/>
        </w:rPr>
        <w:t xml:space="preserve">The distribution of calcium fractions across four lateritic </w:t>
      </w:r>
      <w:proofErr w:type="spellStart"/>
      <w:r w:rsidRPr="00301335">
        <w:rPr>
          <w:rFonts w:ascii="Arial" w:hAnsi="Arial" w:cs="Arial"/>
        </w:rPr>
        <w:t>agro</w:t>
      </w:r>
      <w:proofErr w:type="spellEnd"/>
      <w:r w:rsidRPr="00301335">
        <w:rPr>
          <w:rFonts w:ascii="Arial" w:hAnsi="Arial" w:cs="Arial"/>
        </w:rPr>
        <w:t xml:space="preserve">-ecological units of Kerala is presented in Table </w:t>
      </w:r>
      <w:r>
        <w:rPr>
          <w:rFonts w:ascii="Arial" w:hAnsi="Arial" w:cs="Arial"/>
        </w:rPr>
        <w:t>1</w:t>
      </w:r>
      <w:r w:rsidRPr="00301335">
        <w:rPr>
          <w:rFonts w:ascii="Arial" w:hAnsi="Arial" w:cs="Arial"/>
        </w:rPr>
        <w:t>. Exchangeable calcium emerged as the dominant fraction, accounting for 50-60% of total calcium, with mean values ranging from 703.89 to 907.96 mg kg</w:t>
      </w:r>
      <w:r w:rsidRPr="00301335">
        <w:rPr>
          <w:rFonts w:ascii="Cambria Math" w:hAnsi="Cambria Math" w:cs="Cambria Math"/>
        </w:rPr>
        <w:t>⁻</w:t>
      </w:r>
      <w:r w:rsidRPr="00301335">
        <w:rPr>
          <w:rFonts w:ascii="Arial" w:hAnsi="Arial" w:cs="Arial"/>
        </w:rPr>
        <w:t>¹ across AEUs. Water-soluble calcium constituted less than 1% of total calcium, reflecting limited immediately available pools susceptible to leaching under humid tropical conditions (Bhattacharyya et al., 2009). Organic complexed calcium ranged from 66.54 to 116.29 mg kg</w:t>
      </w:r>
      <w:r w:rsidRPr="00301335">
        <w:rPr>
          <w:rFonts w:ascii="Cambria Math" w:hAnsi="Cambria Math" w:cs="Cambria Math"/>
        </w:rPr>
        <w:t>⁻</w:t>
      </w:r>
      <w:r w:rsidRPr="00301335">
        <w:rPr>
          <w:rFonts w:ascii="Arial" w:hAnsi="Arial" w:cs="Arial"/>
        </w:rPr>
        <w:t>¹, with north central laterites showing the highest values, likely due to greater organic matter content (Sharma et al., 2017). Mineral calcium exhibited high spatial variability (CV 0.47-0.71), representing slowly available reserves occluded within oxide structures (Srinivasarao et al., 2009). Total calcium varied from 348.33 to 3425.44 mg kg</w:t>
      </w:r>
      <w:r w:rsidRPr="00301335">
        <w:rPr>
          <w:rFonts w:ascii="Cambria Math" w:hAnsi="Cambria Math" w:cs="Cambria Math"/>
        </w:rPr>
        <w:t>⁻</w:t>
      </w:r>
      <w:r w:rsidRPr="00301335">
        <w:rPr>
          <w:rFonts w:ascii="Arial" w:hAnsi="Arial" w:cs="Arial"/>
        </w:rPr>
        <w:t>¹, with the fractionation order: Ex Ca &gt; Min-Ca &gt; Ac-s Ca &gt; Or-c Ca &gt; WS Ca (Pal et al., 2001).</w:t>
      </w:r>
    </w:p>
    <w:p w14:paraId="4A705467" w14:textId="77777777" w:rsidR="00726CD6" w:rsidRDefault="00726CD6" w:rsidP="00BF0A52">
      <w:pPr>
        <w:pStyle w:val="Body"/>
        <w:spacing w:after="0"/>
        <w:rPr>
          <w:rFonts w:ascii="Arial" w:hAnsi="Arial" w:cs="Arial"/>
          <w:b/>
          <w:bCs/>
        </w:rPr>
      </w:pPr>
    </w:p>
    <w:p w14:paraId="5EDB5911" w14:textId="24424410" w:rsidR="00726CD6" w:rsidRPr="00BF0A52" w:rsidRDefault="00BF0A52" w:rsidP="00BF0A52">
      <w:pPr>
        <w:pStyle w:val="Body"/>
        <w:spacing w:after="0"/>
        <w:rPr>
          <w:rFonts w:ascii="Arial" w:hAnsi="Arial" w:cs="Arial"/>
          <w:b/>
          <w:bCs/>
        </w:rPr>
      </w:pPr>
      <w:r w:rsidRPr="00BF0A52">
        <w:rPr>
          <w:rFonts w:ascii="Arial" w:hAnsi="Arial" w:cs="Arial"/>
          <w:b/>
          <w:bCs/>
        </w:rPr>
        <w:t xml:space="preserve">Table </w:t>
      </w:r>
      <w:r w:rsidR="00726CD6">
        <w:rPr>
          <w:rFonts w:ascii="Arial" w:hAnsi="Arial" w:cs="Arial"/>
          <w:b/>
          <w:bCs/>
        </w:rPr>
        <w:t>1</w:t>
      </w:r>
      <w:r w:rsidRPr="00BF0A52">
        <w:rPr>
          <w:rFonts w:ascii="Arial" w:hAnsi="Arial" w:cs="Arial"/>
          <w:b/>
          <w:bCs/>
        </w:rPr>
        <w:t>. Mean calcium fractions (mg kg</w:t>
      </w:r>
      <w:r w:rsidRPr="00BF0A52">
        <w:rPr>
          <w:rFonts w:ascii="Cambria Math" w:hAnsi="Cambria Math" w:cs="Cambria Math"/>
          <w:b/>
          <w:bCs/>
        </w:rPr>
        <w:t>⁻</w:t>
      </w:r>
      <w:r w:rsidRPr="00BF0A52">
        <w:rPr>
          <w:rFonts w:ascii="Arial" w:hAnsi="Arial" w:cs="Arial"/>
          <w:b/>
          <w:bCs/>
        </w:rPr>
        <w:t>¹) across four lateritic AEUs</w:t>
      </w:r>
    </w:p>
    <w:tbl>
      <w:tblPr>
        <w:tblStyle w:val="TableGridLight"/>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977"/>
        <w:gridCol w:w="947"/>
        <w:gridCol w:w="1108"/>
        <w:gridCol w:w="1141"/>
        <w:gridCol w:w="1028"/>
        <w:gridCol w:w="1005"/>
      </w:tblGrid>
      <w:tr w:rsidR="0086633B" w:rsidRPr="00BF0A52" w14:paraId="448A2458" w14:textId="77777777" w:rsidTr="0086633B">
        <w:tc>
          <w:tcPr>
            <w:tcW w:w="1226" w:type="pct"/>
            <w:hideMark/>
          </w:tcPr>
          <w:p w14:paraId="72FCE2C6" w14:textId="77777777" w:rsidR="00BF0A52" w:rsidRPr="00BF0A52" w:rsidRDefault="00BF0A52" w:rsidP="00726CD6">
            <w:pPr>
              <w:pStyle w:val="Body"/>
              <w:jc w:val="center"/>
              <w:rPr>
                <w:rFonts w:ascii="Arial" w:hAnsi="Arial" w:cs="Arial"/>
                <w:b/>
                <w:bCs/>
              </w:rPr>
            </w:pPr>
            <w:r w:rsidRPr="00BF0A52">
              <w:rPr>
                <w:rFonts w:ascii="Arial" w:hAnsi="Arial" w:cs="Arial"/>
                <w:b/>
                <w:bCs/>
              </w:rPr>
              <w:t>AEU</w:t>
            </w:r>
          </w:p>
        </w:tc>
        <w:tc>
          <w:tcPr>
            <w:tcW w:w="594" w:type="pct"/>
            <w:hideMark/>
          </w:tcPr>
          <w:p w14:paraId="6A94B68B" w14:textId="77777777" w:rsidR="00BF0A52" w:rsidRPr="00BF0A52" w:rsidRDefault="00BF0A52" w:rsidP="00726CD6">
            <w:pPr>
              <w:pStyle w:val="Body"/>
              <w:jc w:val="center"/>
              <w:rPr>
                <w:rFonts w:ascii="Arial" w:hAnsi="Arial" w:cs="Arial"/>
                <w:b/>
                <w:bCs/>
              </w:rPr>
            </w:pPr>
            <w:r w:rsidRPr="00BF0A52">
              <w:rPr>
                <w:rFonts w:ascii="Arial" w:hAnsi="Arial" w:cs="Arial"/>
                <w:b/>
                <w:bCs/>
              </w:rPr>
              <w:t>WS Ca</w:t>
            </w:r>
          </w:p>
        </w:tc>
        <w:tc>
          <w:tcPr>
            <w:tcW w:w="576" w:type="pct"/>
            <w:hideMark/>
          </w:tcPr>
          <w:p w14:paraId="662BF2FF" w14:textId="77777777" w:rsidR="00BF0A52" w:rsidRPr="00BF0A52" w:rsidRDefault="00BF0A52" w:rsidP="00726CD6">
            <w:pPr>
              <w:pStyle w:val="Body"/>
              <w:jc w:val="center"/>
              <w:rPr>
                <w:rFonts w:ascii="Arial" w:hAnsi="Arial" w:cs="Arial"/>
                <w:b/>
                <w:bCs/>
              </w:rPr>
            </w:pPr>
            <w:r w:rsidRPr="00BF0A52">
              <w:rPr>
                <w:rFonts w:ascii="Arial" w:hAnsi="Arial" w:cs="Arial"/>
                <w:b/>
                <w:bCs/>
              </w:rPr>
              <w:t>Ex Ca</w:t>
            </w:r>
          </w:p>
        </w:tc>
        <w:tc>
          <w:tcPr>
            <w:tcW w:w="674" w:type="pct"/>
            <w:hideMark/>
          </w:tcPr>
          <w:p w14:paraId="3F160E2F" w14:textId="77777777" w:rsidR="00BF0A52" w:rsidRPr="00BF0A52" w:rsidRDefault="00BF0A52" w:rsidP="00726CD6">
            <w:pPr>
              <w:pStyle w:val="Body"/>
              <w:jc w:val="center"/>
              <w:rPr>
                <w:rFonts w:ascii="Arial" w:hAnsi="Arial" w:cs="Arial"/>
                <w:b/>
                <w:bCs/>
              </w:rPr>
            </w:pPr>
            <w:r w:rsidRPr="00BF0A52">
              <w:rPr>
                <w:rFonts w:ascii="Arial" w:hAnsi="Arial" w:cs="Arial"/>
                <w:b/>
                <w:bCs/>
              </w:rPr>
              <w:t>Or-c Ca</w:t>
            </w:r>
          </w:p>
        </w:tc>
        <w:tc>
          <w:tcPr>
            <w:tcW w:w="694" w:type="pct"/>
            <w:hideMark/>
          </w:tcPr>
          <w:p w14:paraId="4C2AE9FB" w14:textId="77777777" w:rsidR="00BF0A52" w:rsidRPr="00BF0A52" w:rsidRDefault="00BF0A52" w:rsidP="00726CD6">
            <w:pPr>
              <w:pStyle w:val="Body"/>
              <w:jc w:val="center"/>
              <w:rPr>
                <w:rFonts w:ascii="Arial" w:hAnsi="Arial" w:cs="Arial"/>
                <w:b/>
                <w:bCs/>
              </w:rPr>
            </w:pPr>
            <w:r w:rsidRPr="00BF0A52">
              <w:rPr>
                <w:rFonts w:ascii="Arial" w:hAnsi="Arial" w:cs="Arial"/>
                <w:b/>
                <w:bCs/>
              </w:rPr>
              <w:t>Ac-s Ca</w:t>
            </w:r>
          </w:p>
        </w:tc>
        <w:tc>
          <w:tcPr>
            <w:tcW w:w="625" w:type="pct"/>
            <w:hideMark/>
          </w:tcPr>
          <w:p w14:paraId="255F11E9" w14:textId="77777777" w:rsidR="00BF0A52" w:rsidRPr="00BF0A52" w:rsidRDefault="00BF0A52" w:rsidP="00726CD6">
            <w:pPr>
              <w:pStyle w:val="Body"/>
              <w:jc w:val="center"/>
              <w:rPr>
                <w:rFonts w:ascii="Arial" w:hAnsi="Arial" w:cs="Arial"/>
                <w:b/>
                <w:bCs/>
              </w:rPr>
            </w:pPr>
            <w:r w:rsidRPr="00BF0A52">
              <w:rPr>
                <w:rFonts w:ascii="Arial" w:hAnsi="Arial" w:cs="Arial"/>
                <w:b/>
                <w:bCs/>
              </w:rPr>
              <w:t>Min-Ca</w:t>
            </w:r>
          </w:p>
        </w:tc>
        <w:tc>
          <w:tcPr>
            <w:tcW w:w="611" w:type="pct"/>
            <w:hideMark/>
          </w:tcPr>
          <w:p w14:paraId="4B3ED54F" w14:textId="77777777" w:rsidR="00BF0A52" w:rsidRPr="00BF0A52" w:rsidRDefault="00BF0A52" w:rsidP="00726CD6">
            <w:pPr>
              <w:pStyle w:val="Body"/>
              <w:jc w:val="center"/>
              <w:rPr>
                <w:rFonts w:ascii="Arial" w:hAnsi="Arial" w:cs="Arial"/>
                <w:b/>
                <w:bCs/>
              </w:rPr>
            </w:pPr>
            <w:r w:rsidRPr="00BF0A52">
              <w:rPr>
                <w:rFonts w:ascii="Arial" w:hAnsi="Arial" w:cs="Arial"/>
                <w:b/>
                <w:bCs/>
              </w:rPr>
              <w:t>Total Ca</w:t>
            </w:r>
          </w:p>
        </w:tc>
      </w:tr>
      <w:tr w:rsidR="0086633B" w:rsidRPr="00BF0A52" w14:paraId="2C9DD1C0" w14:textId="77777777" w:rsidTr="0086633B">
        <w:tc>
          <w:tcPr>
            <w:tcW w:w="1226" w:type="pct"/>
            <w:hideMark/>
          </w:tcPr>
          <w:p w14:paraId="02A12C59" w14:textId="77777777" w:rsidR="00BF0A52" w:rsidRPr="00BF0A52" w:rsidRDefault="00BF0A52" w:rsidP="00726CD6">
            <w:pPr>
              <w:pStyle w:val="Body"/>
              <w:jc w:val="center"/>
              <w:rPr>
                <w:rFonts w:ascii="Arial" w:hAnsi="Arial" w:cs="Arial"/>
              </w:rPr>
            </w:pPr>
            <w:r w:rsidRPr="00BF0A52">
              <w:rPr>
                <w:rFonts w:ascii="Arial" w:hAnsi="Arial" w:cs="Arial"/>
                <w:b/>
                <w:bCs/>
              </w:rPr>
              <w:t>AEU 8</w:t>
            </w:r>
            <w:r w:rsidRPr="00BF0A52">
              <w:rPr>
                <w:rFonts w:ascii="Arial" w:hAnsi="Arial" w:cs="Arial"/>
              </w:rPr>
              <w:t xml:space="preserve"> (n=10)</w:t>
            </w:r>
          </w:p>
        </w:tc>
        <w:tc>
          <w:tcPr>
            <w:tcW w:w="594" w:type="pct"/>
            <w:hideMark/>
          </w:tcPr>
          <w:p w14:paraId="7C2F06C7" w14:textId="77777777" w:rsidR="00BF0A52" w:rsidRPr="00BF0A52" w:rsidRDefault="00BF0A52" w:rsidP="00726CD6">
            <w:pPr>
              <w:pStyle w:val="Body"/>
              <w:jc w:val="center"/>
              <w:rPr>
                <w:rFonts w:ascii="Arial" w:hAnsi="Arial" w:cs="Arial"/>
              </w:rPr>
            </w:pPr>
            <w:r w:rsidRPr="00BF0A52">
              <w:rPr>
                <w:rFonts w:ascii="Arial" w:hAnsi="Arial" w:cs="Arial"/>
              </w:rPr>
              <w:t>9.06</w:t>
            </w:r>
          </w:p>
        </w:tc>
        <w:tc>
          <w:tcPr>
            <w:tcW w:w="576" w:type="pct"/>
            <w:hideMark/>
          </w:tcPr>
          <w:p w14:paraId="33240631" w14:textId="77777777" w:rsidR="00BF0A52" w:rsidRPr="00BF0A52" w:rsidRDefault="00BF0A52" w:rsidP="00726CD6">
            <w:pPr>
              <w:pStyle w:val="Body"/>
              <w:jc w:val="center"/>
              <w:rPr>
                <w:rFonts w:ascii="Arial" w:hAnsi="Arial" w:cs="Arial"/>
              </w:rPr>
            </w:pPr>
            <w:r w:rsidRPr="00BF0A52">
              <w:rPr>
                <w:rFonts w:ascii="Arial" w:hAnsi="Arial" w:cs="Arial"/>
              </w:rPr>
              <w:t>835.61</w:t>
            </w:r>
          </w:p>
        </w:tc>
        <w:tc>
          <w:tcPr>
            <w:tcW w:w="674" w:type="pct"/>
            <w:hideMark/>
          </w:tcPr>
          <w:p w14:paraId="080E66FD" w14:textId="77777777" w:rsidR="00BF0A52" w:rsidRPr="00BF0A52" w:rsidRDefault="00BF0A52" w:rsidP="00726CD6">
            <w:pPr>
              <w:pStyle w:val="Body"/>
              <w:jc w:val="center"/>
              <w:rPr>
                <w:rFonts w:ascii="Arial" w:hAnsi="Arial" w:cs="Arial"/>
              </w:rPr>
            </w:pPr>
            <w:r w:rsidRPr="00BF0A52">
              <w:rPr>
                <w:rFonts w:ascii="Arial" w:hAnsi="Arial" w:cs="Arial"/>
              </w:rPr>
              <w:t>66.54</w:t>
            </w:r>
          </w:p>
        </w:tc>
        <w:tc>
          <w:tcPr>
            <w:tcW w:w="694" w:type="pct"/>
            <w:hideMark/>
          </w:tcPr>
          <w:p w14:paraId="2B919B94" w14:textId="77777777" w:rsidR="00BF0A52" w:rsidRPr="00BF0A52" w:rsidRDefault="00BF0A52" w:rsidP="00726CD6">
            <w:pPr>
              <w:pStyle w:val="Body"/>
              <w:jc w:val="center"/>
              <w:rPr>
                <w:rFonts w:ascii="Arial" w:hAnsi="Arial" w:cs="Arial"/>
              </w:rPr>
            </w:pPr>
            <w:r w:rsidRPr="00BF0A52">
              <w:rPr>
                <w:rFonts w:ascii="Arial" w:hAnsi="Arial" w:cs="Arial"/>
              </w:rPr>
              <w:t>117.11</w:t>
            </w:r>
          </w:p>
        </w:tc>
        <w:tc>
          <w:tcPr>
            <w:tcW w:w="625" w:type="pct"/>
            <w:hideMark/>
          </w:tcPr>
          <w:p w14:paraId="0C0A41EE" w14:textId="77777777" w:rsidR="00BF0A52" w:rsidRPr="00BF0A52" w:rsidRDefault="00BF0A52" w:rsidP="00726CD6">
            <w:pPr>
              <w:pStyle w:val="Body"/>
              <w:jc w:val="center"/>
              <w:rPr>
                <w:rFonts w:ascii="Arial" w:hAnsi="Arial" w:cs="Arial"/>
              </w:rPr>
            </w:pPr>
            <w:r w:rsidRPr="00BF0A52">
              <w:rPr>
                <w:rFonts w:ascii="Arial" w:hAnsi="Arial" w:cs="Arial"/>
              </w:rPr>
              <w:t>215.26</w:t>
            </w:r>
          </w:p>
        </w:tc>
        <w:tc>
          <w:tcPr>
            <w:tcW w:w="611" w:type="pct"/>
            <w:hideMark/>
          </w:tcPr>
          <w:p w14:paraId="008FEDAE" w14:textId="77777777" w:rsidR="00BF0A52" w:rsidRPr="00BF0A52" w:rsidRDefault="00BF0A52" w:rsidP="00726CD6">
            <w:pPr>
              <w:pStyle w:val="Body"/>
              <w:jc w:val="center"/>
              <w:rPr>
                <w:rFonts w:ascii="Arial" w:hAnsi="Arial" w:cs="Arial"/>
              </w:rPr>
            </w:pPr>
            <w:r w:rsidRPr="00BF0A52">
              <w:rPr>
                <w:rFonts w:ascii="Arial" w:hAnsi="Arial" w:cs="Arial"/>
              </w:rPr>
              <w:t>1287.68</w:t>
            </w:r>
          </w:p>
        </w:tc>
      </w:tr>
      <w:tr w:rsidR="0086633B" w:rsidRPr="00BF0A52" w14:paraId="03E654E2" w14:textId="77777777" w:rsidTr="0086633B">
        <w:tc>
          <w:tcPr>
            <w:tcW w:w="1226" w:type="pct"/>
            <w:hideMark/>
          </w:tcPr>
          <w:p w14:paraId="3D848CAA" w14:textId="77777777" w:rsidR="00BF0A52" w:rsidRPr="00BF0A52" w:rsidRDefault="00BF0A52" w:rsidP="00726CD6">
            <w:pPr>
              <w:pStyle w:val="Body"/>
              <w:jc w:val="center"/>
              <w:rPr>
                <w:rFonts w:ascii="Arial" w:hAnsi="Arial" w:cs="Arial"/>
              </w:rPr>
            </w:pPr>
            <w:r w:rsidRPr="00BF0A52">
              <w:rPr>
                <w:rFonts w:ascii="Arial" w:hAnsi="Arial" w:cs="Arial"/>
                <w:b/>
                <w:bCs/>
              </w:rPr>
              <w:t>AEU 9</w:t>
            </w:r>
            <w:r w:rsidRPr="00BF0A52">
              <w:rPr>
                <w:rFonts w:ascii="Arial" w:hAnsi="Arial" w:cs="Arial"/>
              </w:rPr>
              <w:t xml:space="preserve"> (n=10)</w:t>
            </w:r>
          </w:p>
        </w:tc>
        <w:tc>
          <w:tcPr>
            <w:tcW w:w="594" w:type="pct"/>
            <w:hideMark/>
          </w:tcPr>
          <w:p w14:paraId="211539E7" w14:textId="77777777" w:rsidR="00BF0A52" w:rsidRPr="00BF0A52" w:rsidRDefault="00BF0A52" w:rsidP="00726CD6">
            <w:pPr>
              <w:pStyle w:val="Body"/>
              <w:jc w:val="center"/>
              <w:rPr>
                <w:rFonts w:ascii="Arial" w:hAnsi="Arial" w:cs="Arial"/>
              </w:rPr>
            </w:pPr>
            <w:r w:rsidRPr="00BF0A52">
              <w:rPr>
                <w:rFonts w:ascii="Arial" w:hAnsi="Arial" w:cs="Arial"/>
              </w:rPr>
              <w:t>7.83</w:t>
            </w:r>
          </w:p>
        </w:tc>
        <w:tc>
          <w:tcPr>
            <w:tcW w:w="576" w:type="pct"/>
            <w:hideMark/>
          </w:tcPr>
          <w:p w14:paraId="465B1082" w14:textId="77777777" w:rsidR="00BF0A52" w:rsidRPr="00BF0A52" w:rsidRDefault="00BF0A52" w:rsidP="00726CD6">
            <w:pPr>
              <w:pStyle w:val="Body"/>
              <w:jc w:val="center"/>
              <w:rPr>
                <w:rFonts w:ascii="Arial" w:hAnsi="Arial" w:cs="Arial"/>
              </w:rPr>
            </w:pPr>
            <w:r w:rsidRPr="00BF0A52">
              <w:rPr>
                <w:rFonts w:ascii="Arial" w:hAnsi="Arial" w:cs="Arial"/>
              </w:rPr>
              <w:t>740.58</w:t>
            </w:r>
          </w:p>
        </w:tc>
        <w:tc>
          <w:tcPr>
            <w:tcW w:w="674" w:type="pct"/>
            <w:hideMark/>
          </w:tcPr>
          <w:p w14:paraId="2E9530E8" w14:textId="77777777" w:rsidR="00BF0A52" w:rsidRPr="00BF0A52" w:rsidRDefault="00BF0A52" w:rsidP="00726CD6">
            <w:pPr>
              <w:pStyle w:val="Body"/>
              <w:jc w:val="center"/>
              <w:rPr>
                <w:rFonts w:ascii="Arial" w:hAnsi="Arial" w:cs="Arial"/>
              </w:rPr>
            </w:pPr>
            <w:r w:rsidRPr="00BF0A52">
              <w:rPr>
                <w:rFonts w:ascii="Arial" w:hAnsi="Arial" w:cs="Arial"/>
              </w:rPr>
              <w:t>88.24</w:t>
            </w:r>
          </w:p>
        </w:tc>
        <w:tc>
          <w:tcPr>
            <w:tcW w:w="694" w:type="pct"/>
            <w:hideMark/>
          </w:tcPr>
          <w:p w14:paraId="2C81FA6A" w14:textId="77777777" w:rsidR="00BF0A52" w:rsidRPr="00BF0A52" w:rsidRDefault="00BF0A52" w:rsidP="00726CD6">
            <w:pPr>
              <w:pStyle w:val="Body"/>
              <w:jc w:val="center"/>
              <w:rPr>
                <w:rFonts w:ascii="Arial" w:hAnsi="Arial" w:cs="Arial"/>
              </w:rPr>
            </w:pPr>
            <w:r w:rsidRPr="00BF0A52">
              <w:rPr>
                <w:rFonts w:ascii="Arial" w:hAnsi="Arial" w:cs="Arial"/>
              </w:rPr>
              <w:t>113.58</w:t>
            </w:r>
          </w:p>
        </w:tc>
        <w:tc>
          <w:tcPr>
            <w:tcW w:w="625" w:type="pct"/>
            <w:hideMark/>
          </w:tcPr>
          <w:p w14:paraId="11708EF3" w14:textId="77777777" w:rsidR="00BF0A52" w:rsidRPr="00BF0A52" w:rsidRDefault="00BF0A52" w:rsidP="00726CD6">
            <w:pPr>
              <w:pStyle w:val="Body"/>
              <w:jc w:val="center"/>
              <w:rPr>
                <w:rFonts w:ascii="Arial" w:hAnsi="Arial" w:cs="Arial"/>
              </w:rPr>
            </w:pPr>
            <w:r w:rsidRPr="00BF0A52">
              <w:rPr>
                <w:rFonts w:ascii="Arial" w:hAnsi="Arial" w:cs="Arial"/>
              </w:rPr>
              <w:t>194.70</w:t>
            </w:r>
          </w:p>
        </w:tc>
        <w:tc>
          <w:tcPr>
            <w:tcW w:w="611" w:type="pct"/>
            <w:hideMark/>
          </w:tcPr>
          <w:p w14:paraId="2628BCF9" w14:textId="77777777" w:rsidR="00BF0A52" w:rsidRPr="00BF0A52" w:rsidRDefault="00BF0A52" w:rsidP="00726CD6">
            <w:pPr>
              <w:pStyle w:val="Body"/>
              <w:jc w:val="center"/>
              <w:rPr>
                <w:rFonts w:ascii="Arial" w:hAnsi="Arial" w:cs="Arial"/>
              </w:rPr>
            </w:pPr>
            <w:r w:rsidRPr="00BF0A52">
              <w:rPr>
                <w:rFonts w:ascii="Arial" w:hAnsi="Arial" w:cs="Arial"/>
              </w:rPr>
              <w:t>1369.96</w:t>
            </w:r>
          </w:p>
        </w:tc>
      </w:tr>
      <w:tr w:rsidR="0086633B" w:rsidRPr="00BF0A52" w14:paraId="385EF064" w14:textId="77777777" w:rsidTr="0086633B">
        <w:tc>
          <w:tcPr>
            <w:tcW w:w="1226" w:type="pct"/>
            <w:hideMark/>
          </w:tcPr>
          <w:p w14:paraId="36530CF6" w14:textId="77777777" w:rsidR="00BF0A52" w:rsidRPr="00BF0A52" w:rsidRDefault="00BF0A52" w:rsidP="00726CD6">
            <w:pPr>
              <w:pStyle w:val="Body"/>
              <w:jc w:val="center"/>
              <w:rPr>
                <w:rFonts w:ascii="Arial" w:hAnsi="Arial" w:cs="Arial"/>
              </w:rPr>
            </w:pPr>
            <w:r w:rsidRPr="00BF0A52">
              <w:rPr>
                <w:rFonts w:ascii="Arial" w:hAnsi="Arial" w:cs="Arial"/>
                <w:b/>
                <w:bCs/>
              </w:rPr>
              <w:t>AEU 10</w:t>
            </w:r>
            <w:r w:rsidRPr="00BF0A52">
              <w:rPr>
                <w:rFonts w:ascii="Arial" w:hAnsi="Arial" w:cs="Arial"/>
              </w:rPr>
              <w:t xml:space="preserve"> (n=10)</w:t>
            </w:r>
          </w:p>
        </w:tc>
        <w:tc>
          <w:tcPr>
            <w:tcW w:w="594" w:type="pct"/>
            <w:hideMark/>
          </w:tcPr>
          <w:p w14:paraId="2B250F50" w14:textId="77777777" w:rsidR="00BF0A52" w:rsidRPr="00BF0A52" w:rsidRDefault="00BF0A52" w:rsidP="00726CD6">
            <w:pPr>
              <w:pStyle w:val="Body"/>
              <w:jc w:val="center"/>
              <w:rPr>
                <w:rFonts w:ascii="Arial" w:hAnsi="Arial" w:cs="Arial"/>
              </w:rPr>
            </w:pPr>
            <w:r w:rsidRPr="00BF0A52">
              <w:rPr>
                <w:rFonts w:ascii="Arial" w:hAnsi="Arial" w:cs="Arial"/>
              </w:rPr>
              <w:t>9.67</w:t>
            </w:r>
          </w:p>
        </w:tc>
        <w:tc>
          <w:tcPr>
            <w:tcW w:w="576" w:type="pct"/>
            <w:hideMark/>
          </w:tcPr>
          <w:p w14:paraId="47C930A7" w14:textId="77777777" w:rsidR="00BF0A52" w:rsidRPr="00BF0A52" w:rsidRDefault="00BF0A52" w:rsidP="00726CD6">
            <w:pPr>
              <w:pStyle w:val="Body"/>
              <w:jc w:val="center"/>
              <w:rPr>
                <w:rFonts w:ascii="Arial" w:hAnsi="Arial" w:cs="Arial"/>
              </w:rPr>
            </w:pPr>
            <w:r w:rsidRPr="00BF0A52">
              <w:rPr>
                <w:rFonts w:ascii="Arial" w:hAnsi="Arial" w:cs="Arial"/>
              </w:rPr>
              <w:t>907.96</w:t>
            </w:r>
          </w:p>
        </w:tc>
        <w:tc>
          <w:tcPr>
            <w:tcW w:w="674" w:type="pct"/>
            <w:hideMark/>
          </w:tcPr>
          <w:p w14:paraId="0C5C402D" w14:textId="77777777" w:rsidR="00BF0A52" w:rsidRPr="00BF0A52" w:rsidRDefault="00BF0A52" w:rsidP="00726CD6">
            <w:pPr>
              <w:pStyle w:val="Body"/>
              <w:jc w:val="center"/>
              <w:rPr>
                <w:rFonts w:ascii="Arial" w:hAnsi="Arial" w:cs="Arial"/>
              </w:rPr>
            </w:pPr>
            <w:r w:rsidRPr="00BF0A52">
              <w:rPr>
                <w:rFonts w:ascii="Arial" w:hAnsi="Arial" w:cs="Arial"/>
              </w:rPr>
              <w:t>116.29</w:t>
            </w:r>
          </w:p>
        </w:tc>
        <w:tc>
          <w:tcPr>
            <w:tcW w:w="694" w:type="pct"/>
            <w:hideMark/>
          </w:tcPr>
          <w:p w14:paraId="4A16B917" w14:textId="77777777" w:rsidR="00BF0A52" w:rsidRPr="00BF0A52" w:rsidRDefault="00BF0A52" w:rsidP="00726CD6">
            <w:pPr>
              <w:pStyle w:val="Body"/>
              <w:jc w:val="center"/>
              <w:rPr>
                <w:rFonts w:ascii="Arial" w:hAnsi="Arial" w:cs="Arial"/>
              </w:rPr>
            </w:pPr>
            <w:r w:rsidRPr="00BF0A52">
              <w:rPr>
                <w:rFonts w:ascii="Arial" w:hAnsi="Arial" w:cs="Arial"/>
              </w:rPr>
              <w:t>127.22</w:t>
            </w:r>
          </w:p>
        </w:tc>
        <w:tc>
          <w:tcPr>
            <w:tcW w:w="625" w:type="pct"/>
            <w:hideMark/>
          </w:tcPr>
          <w:p w14:paraId="64C790C7" w14:textId="77777777" w:rsidR="00BF0A52" w:rsidRPr="00BF0A52" w:rsidRDefault="00BF0A52" w:rsidP="00726CD6">
            <w:pPr>
              <w:pStyle w:val="Body"/>
              <w:jc w:val="center"/>
              <w:rPr>
                <w:rFonts w:ascii="Arial" w:hAnsi="Arial" w:cs="Arial"/>
              </w:rPr>
            </w:pPr>
            <w:r w:rsidRPr="00BF0A52">
              <w:rPr>
                <w:rFonts w:ascii="Arial" w:hAnsi="Arial" w:cs="Arial"/>
              </w:rPr>
              <w:t>226.91</w:t>
            </w:r>
          </w:p>
        </w:tc>
        <w:tc>
          <w:tcPr>
            <w:tcW w:w="611" w:type="pct"/>
            <w:hideMark/>
          </w:tcPr>
          <w:p w14:paraId="570A11EF" w14:textId="77777777" w:rsidR="00BF0A52" w:rsidRPr="00BF0A52" w:rsidRDefault="00BF0A52" w:rsidP="00726CD6">
            <w:pPr>
              <w:pStyle w:val="Body"/>
              <w:jc w:val="center"/>
              <w:rPr>
                <w:rFonts w:ascii="Arial" w:hAnsi="Arial" w:cs="Arial"/>
              </w:rPr>
            </w:pPr>
            <w:r w:rsidRPr="00BF0A52">
              <w:rPr>
                <w:rFonts w:ascii="Arial" w:hAnsi="Arial" w:cs="Arial"/>
              </w:rPr>
              <w:t>1615.30</w:t>
            </w:r>
          </w:p>
        </w:tc>
      </w:tr>
      <w:tr w:rsidR="0086633B" w:rsidRPr="00BF0A52" w14:paraId="2B34BACC" w14:textId="77777777" w:rsidTr="0086633B">
        <w:tc>
          <w:tcPr>
            <w:tcW w:w="1226" w:type="pct"/>
            <w:hideMark/>
          </w:tcPr>
          <w:p w14:paraId="2D38FBC1" w14:textId="77777777" w:rsidR="00BF0A52" w:rsidRPr="00BF0A52" w:rsidRDefault="00BF0A52" w:rsidP="00726CD6">
            <w:pPr>
              <w:pStyle w:val="Body"/>
              <w:jc w:val="center"/>
              <w:rPr>
                <w:rFonts w:ascii="Arial" w:hAnsi="Arial" w:cs="Arial"/>
              </w:rPr>
            </w:pPr>
            <w:r w:rsidRPr="00BF0A52">
              <w:rPr>
                <w:rFonts w:ascii="Arial" w:hAnsi="Arial" w:cs="Arial"/>
                <w:b/>
                <w:bCs/>
              </w:rPr>
              <w:t>AEU 11</w:t>
            </w:r>
            <w:r w:rsidRPr="00BF0A52">
              <w:rPr>
                <w:rFonts w:ascii="Arial" w:hAnsi="Arial" w:cs="Arial"/>
              </w:rPr>
              <w:t xml:space="preserve"> (n=10)</w:t>
            </w:r>
          </w:p>
        </w:tc>
        <w:tc>
          <w:tcPr>
            <w:tcW w:w="594" w:type="pct"/>
            <w:hideMark/>
          </w:tcPr>
          <w:p w14:paraId="7E1EE344" w14:textId="77777777" w:rsidR="00BF0A52" w:rsidRPr="00BF0A52" w:rsidRDefault="00BF0A52" w:rsidP="00726CD6">
            <w:pPr>
              <w:pStyle w:val="Body"/>
              <w:jc w:val="center"/>
              <w:rPr>
                <w:rFonts w:ascii="Arial" w:hAnsi="Arial" w:cs="Arial"/>
              </w:rPr>
            </w:pPr>
            <w:r w:rsidRPr="00BF0A52">
              <w:rPr>
                <w:rFonts w:ascii="Arial" w:hAnsi="Arial" w:cs="Arial"/>
              </w:rPr>
              <w:t>9.43</w:t>
            </w:r>
          </w:p>
        </w:tc>
        <w:tc>
          <w:tcPr>
            <w:tcW w:w="576" w:type="pct"/>
            <w:hideMark/>
          </w:tcPr>
          <w:p w14:paraId="0201A4D6" w14:textId="77777777" w:rsidR="00BF0A52" w:rsidRPr="00BF0A52" w:rsidRDefault="00BF0A52" w:rsidP="00726CD6">
            <w:pPr>
              <w:pStyle w:val="Body"/>
              <w:jc w:val="center"/>
              <w:rPr>
                <w:rFonts w:ascii="Arial" w:hAnsi="Arial" w:cs="Arial"/>
              </w:rPr>
            </w:pPr>
            <w:r w:rsidRPr="00BF0A52">
              <w:rPr>
                <w:rFonts w:ascii="Arial" w:hAnsi="Arial" w:cs="Arial"/>
              </w:rPr>
              <w:t>703.89</w:t>
            </w:r>
          </w:p>
        </w:tc>
        <w:tc>
          <w:tcPr>
            <w:tcW w:w="674" w:type="pct"/>
            <w:hideMark/>
          </w:tcPr>
          <w:p w14:paraId="141D6669" w14:textId="77777777" w:rsidR="00BF0A52" w:rsidRPr="00BF0A52" w:rsidRDefault="00BF0A52" w:rsidP="00726CD6">
            <w:pPr>
              <w:pStyle w:val="Body"/>
              <w:jc w:val="center"/>
              <w:rPr>
                <w:rFonts w:ascii="Arial" w:hAnsi="Arial" w:cs="Arial"/>
              </w:rPr>
            </w:pPr>
            <w:r w:rsidRPr="00BF0A52">
              <w:rPr>
                <w:rFonts w:ascii="Arial" w:hAnsi="Arial" w:cs="Arial"/>
              </w:rPr>
              <w:t>78.65</w:t>
            </w:r>
          </w:p>
        </w:tc>
        <w:tc>
          <w:tcPr>
            <w:tcW w:w="694" w:type="pct"/>
            <w:hideMark/>
          </w:tcPr>
          <w:p w14:paraId="46EE7442" w14:textId="77777777" w:rsidR="00BF0A52" w:rsidRPr="00BF0A52" w:rsidRDefault="00BF0A52" w:rsidP="00726CD6">
            <w:pPr>
              <w:pStyle w:val="Body"/>
              <w:jc w:val="center"/>
              <w:rPr>
                <w:rFonts w:ascii="Arial" w:hAnsi="Arial" w:cs="Arial"/>
              </w:rPr>
            </w:pPr>
            <w:r w:rsidRPr="00BF0A52">
              <w:rPr>
                <w:rFonts w:ascii="Arial" w:hAnsi="Arial" w:cs="Arial"/>
              </w:rPr>
              <w:t>97.92</w:t>
            </w:r>
          </w:p>
        </w:tc>
        <w:tc>
          <w:tcPr>
            <w:tcW w:w="625" w:type="pct"/>
            <w:hideMark/>
          </w:tcPr>
          <w:p w14:paraId="44EED59A" w14:textId="77777777" w:rsidR="00BF0A52" w:rsidRPr="00BF0A52" w:rsidRDefault="00BF0A52" w:rsidP="00726CD6">
            <w:pPr>
              <w:pStyle w:val="Body"/>
              <w:jc w:val="center"/>
              <w:rPr>
                <w:rFonts w:ascii="Arial" w:hAnsi="Arial" w:cs="Arial"/>
              </w:rPr>
            </w:pPr>
            <w:r w:rsidRPr="00BF0A52">
              <w:rPr>
                <w:rFonts w:ascii="Arial" w:hAnsi="Arial" w:cs="Arial"/>
              </w:rPr>
              <w:t>148.46</w:t>
            </w:r>
          </w:p>
        </w:tc>
        <w:tc>
          <w:tcPr>
            <w:tcW w:w="611" w:type="pct"/>
            <w:hideMark/>
          </w:tcPr>
          <w:p w14:paraId="198555AE" w14:textId="77777777" w:rsidR="00BF0A52" w:rsidRPr="00BF0A52" w:rsidRDefault="00BF0A52" w:rsidP="00726CD6">
            <w:pPr>
              <w:pStyle w:val="Body"/>
              <w:jc w:val="center"/>
              <w:rPr>
                <w:rFonts w:ascii="Arial" w:hAnsi="Arial" w:cs="Arial"/>
              </w:rPr>
            </w:pPr>
            <w:r w:rsidRPr="00BF0A52">
              <w:rPr>
                <w:rFonts w:ascii="Arial" w:hAnsi="Arial" w:cs="Arial"/>
              </w:rPr>
              <w:t>1172.12</w:t>
            </w:r>
          </w:p>
        </w:tc>
      </w:tr>
    </w:tbl>
    <w:p w14:paraId="20EEDBA2" w14:textId="77777777" w:rsidR="00BF0A52" w:rsidRPr="00BF0A52" w:rsidRDefault="00BF0A52" w:rsidP="00BF0A52">
      <w:pPr>
        <w:pStyle w:val="Body"/>
        <w:spacing w:after="0"/>
        <w:rPr>
          <w:rFonts w:ascii="Arial" w:hAnsi="Arial" w:cs="Arial"/>
        </w:rPr>
      </w:pPr>
      <w:r w:rsidRPr="00BF0A52">
        <w:rPr>
          <w:rFonts w:ascii="Arial" w:hAnsi="Arial" w:cs="Arial"/>
          <w:i/>
          <w:iCs/>
        </w:rPr>
        <w:t>WS Ca: Water-soluble; Ex Ca: Exchangeable; Or-c Ca: Organic complexed; Ac-s Ca: Acid soluble; Min-Ca: Mineral calcium</w:t>
      </w:r>
    </w:p>
    <w:p w14:paraId="5BBFDA08" w14:textId="77777777" w:rsidR="00726CD6" w:rsidRDefault="00726CD6" w:rsidP="00BF0A52">
      <w:pPr>
        <w:pStyle w:val="Body"/>
        <w:spacing w:after="0"/>
        <w:rPr>
          <w:rFonts w:ascii="Arial" w:hAnsi="Arial" w:cs="Arial"/>
        </w:rPr>
      </w:pPr>
    </w:p>
    <w:p w14:paraId="066CA02F" w14:textId="75C0C021" w:rsidR="00BF0A52" w:rsidRDefault="00301335" w:rsidP="00BF0A52">
      <w:pPr>
        <w:pStyle w:val="Body"/>
        <w:spacing w:after="0"/>
        <w:rPr>
          <w:rFonts w:ascii="Arial" w:hAnsi="Arial" w:cs="Arial"/>
        </w:rPr>
      </w:pPr>
      <w:r w:rsidRPr="00301335">
        <w:rPr>
          <w:rFonts w:ascii="Arial" w:hAnsi="Arial" w:cs="Arial"/>
        </w:rPr>
        <w:t>All calcium fractions showed significant positive intercorrelations (Table</w:t>
      </w:r>
      <w:r>
        <w:rPr>
          <w:rFonts w:ascii="Arial" w:hAnsi="Arial" w:cs="Arial"/>
        </w:rPr>
        <w:t xml:space="preserve"> 2</w:t>
      </w:r>
      <w:r w:rsidRPr="00301335">
        <w:rPr>
          <w:rFonts w:ascii="Arial" w:hAnsi="Arial" w:cs="Arial"/>
        </w:rPr>
        <w:t xml:space="preserve">), indicating dynamic equilibrium among pools. Exchangeable calcium exhibited the strongest correlation with total calcium (r = 0.93, P &lt; .001), confirming its role as the primary determinant of overall calcium status (Sanyal &amp; De Datta, 1991). Soil pH, CEC, and organic carbon showed highly significant positive correlations with all calcium fractions, while exchangeable </w:t>
      </w:r>
      <w:proofErr w:type="spellStart"/>
      <w:r w:rsidRPr="00301335">
        <w:rPr>
          <w:rFonts w:ascii="Arial" w:hAnsi="Arial" w:cs="Arial"/>
        </w:rPr>
        <w:t>aluminium</w:t>
      </w:r>
      <w:proofErr w:type="spellEnd"/>
      <w:r>
        <w:rPr>
          <w:rFonts w:ascii="Arial" w:hAnsi="Arial" w:cs="Arial"/>
        </w:rPr>
        <w:t xml:space="preserve"> </w:t>
      </w:r>
      <w:r w:rsidRPr="00301335">
        <w:rPr>
          <w:rFonts w:ascii="Arial" w:hAnsi="Arial" w:cs="Arial"/>
        </w:rPr>
        <w:t xml:space="preserve">exhibited strong negative correlations (Table </w:t>
      </w:r>
      <w:r>
        <w:rPr>
          <w:rFonts w:ascii="Arial" w:hAnsi="Arial" w:cs="Arial"/>
        </w:rPr>
        <w:t>2</w:t>
      </w:r>
      <w:r w:rsidRPr="00301335">
        <w:rPr>
          <w:rFonts w:ascii="Arial" w:hAnsi="Arial" w:cs="Arial"/>
        </w:rPr>
        <w:t xml:space="preserve">), reflecting acidic soil conditions limiting calcium availability (Pal et al., 2000; Ritchey et al., 1982). The inverse relationship with exchangeable </w:t>
      </w:r>
      <w:proofErr w:type="spellStart"/>
      <w:r w:rsidRPr="00301335">
        <w:rPr>
          <w:rFonts w:ascii="Arial" w:hAnsi="Arial" w:cs="Arial"/>
        </w:rPr>
        <w:t>aluminium</w:t>
      </w:r>
      <w:proofErr w:type="spellEnd"/>
      <w:r w:rsidRPr="00301335">
        <w:rPr>
          <w:rFonts w:ascii="Arial" w:hAnsi="Arial" w:cs="Arial"/>
        </w:rPr>
        <w:t xml:space="preserve"> is characteristic of acid soils where </w:t>
      </w:r>
      <w:proofErr w:type="spellStart"/>
      <w:r w:rsidRPr="00301335">
        <w:rPr>
          <w:rFonts w:ascii="Arial" w:hAnsi="Arial" w:cs="Arial"/>
        </w:rPr>
        <w:t>aluminium</w:t>
      </w:r>
      <w:proofErr w:type="spellEnd"/>
      <w:r w:rsidRPr="00301335">
        <w:rPr>
          <w:rFonts w:ascii="Arial" w:hAnsi="Arial" w:cs="Arial"/>
        </w:rPr>
        <w:t xml:space="preserve"> occupies exchange sites, displacing calcium and reducing its availability (Mandal &amp; Mitra, 1982). The positive correlation with CEC reflects the fundamental role of cation exchange capacity in calcium retention (Razzaghi et. al., 2021).</w:t>
      </w:r>
    </w:p>
    <w:p w14:paraId="5D1D5720" w14:textId="77777777" w:rsidR="00301335" w:rsidRPr="00BF0A52" w:rsidRDefault="00301335" w:rsidP="00BF0A52">
      <w:pPr>
        <w:pStyle w:val="Body"/>
        <w:spacing w:after="0"/>
        <w:rPr>
          <w:rFonts w:ascii="Arial" w:hAnsi="Arial" w:cs="Arial"/>
        </w:rPr>
      </w:pPr>
    </w:p>
    <w:p w14:paraId="1049E5BF" w14:textId="5DA6D697"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726CD6">
        <w:rPr>
          <w:rFonts w:ascii="Arial" w:hAnsi="Arial" w:cs="Arial"/>
          <w:b/>
          <w:bCs/>
        </w:rPr>
        <w:t>2</w:t>
      </w:r>
      <w:r w:rsidRPr="00BF0A52">
        <w:rPr>
          <w:rFonts w:ascii="Arial" w:hAnsi="Arial" w:cs="Arial"/>
          <w:b/>
          <w:bCs/>
        </w:rPr>
        <w:t>. Key correlations of calcium fractions</w:t>
      </w:r>
    </w:p>
    <w:tbl>
      <w:tblPr>
        <w:tblStyle w:val="TableGridLight"/>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5"/>
        <w:gridCol w:w="1837"/>
        <w:gridCol w:w="1921"/>
        <w:gridCol w:w="1889"/>
      </w:tblGrid>
      <w:tr w:rsidR="00BF0A52" w:rsidRPr="00BF0A52" w14:paraId="56A40A73" w14:textId="77777777" w:rsidTr="0086633B">
        <w:tc>
          <w:tcPr>
            <w:tcW w:w="1566" w:type="pct"/>
            <w:hideMark/>
          </w:tcPr>
          <w:p w14:paraId="7DFF8C7A" w14:textId="77777777" w:rsidR="00BF0A52" w:rsidRPr="00BF0A52" w:rsidRDefault="00BF0A52" w:rsidP="00BF0A52">
            <w:pPr>
              <w:pStyle w:val="Body"/>
              <w:rPr>
                <w:rFonts w:ascii="Arial" w:hAnsi="Arial" w:cs="Arial"/>
                <w:b/>
                <w:bCs/>
              </w:rPr>
            </w:pPr>
            <w:r w:rsidRPr="00BF0A52">
              <w:rPr>
                <w:rFonts w:ascii="Arial" w:hAnsi="Arial" w:cs="Arial"/>
                <w:b/>
                <w:bCs/>
              </w:rPr>
              <w:t>Parameter</w:t>
            </w:r>
          </w:p>
        </w:tc>
        <w:tc>
          <w:tcPr>
            <w:tcW w:w="1117" w:type="pct"/>
            <w:hideMark/>
          </w:tcPr>
          <w:p w14:paraId="4FBD1815" w14:textId="77777777" w:rsidR="00BF0A52" w:rsidRPr="00BF0A52" w:rsidRDefault="00BF0A52" w:rsidP="00BF0A52">
            <w:pPr>
              <w:pStyle w:val="Body"/>
              <w:rPr>
                <w:rFonts w:ascii="Arial" w:hAnsi="Arial" w:cs="Arial"/>
                <w:b/>
                <w:bCs/>
              </w:rPr>
            </w:pPr>
            <w:r w:rsidRPr="00BF0A52">
              <w:rPr>
                <w:rFonts w:ascii="Arial" w:hAnsi="Arial" w:cs="Arial"/>
                <w:b/>
                <w:bCs/>
              </w:rPr>
              <w:t>Ex Ca</w:t>
            </w:r>
          </w:p>
        </w:tc>
        <w:tc>
          <w:tcPr>
            <w:tcW w:w="1168" w:type="pct"/>
            <w:hideMark/>
          </w:tcPr>
          <w:p w14:paraId="2451CFE6" w14:textId="77777777" w:rsidR="00BF0A52" w:rsidRPr="00BF0A52" w:rsidRDefault="00BF0A52" w:rsidP="00BF0A52">
            <w:pPr>
              <w:pStyle w:val="Body"/>
              <w:rPr>
                <w:rFonts w:ascii="Arial" w:hAnsi="Arial" w:cs="Arial"/>
                <w:b/>
                <w:bCs/>
              </w:rPr>
            </w:pPr>
            <w:r w:rsidRPr="00BF0A52">
              <w:rPr>
                <w:rFonts w:ascii="Arial" w:hAnsi="Arial" w:cs="Arial"/>
                <w:b/>
                <w:bCs/>
              </w:rPr>
              <w:t>Or-c Ca</w:t>
            </w:r>
          </w:p>
        </w:tc>
        <w:tc>
          <w:tcPr>
            <w:tcW w:w="1149" w:type="pct"/>
            <w:hideMark/>
          </w:tcPr>
          <w:p w14:paraId="71A15E1A" w14:textId="77777777" w:rsidR="00BF0A52" w:rsidRPr="00BF0A52" w:rsidRDefault="00BF0A52" w:rsidP="00BF0A52">
            <w:pPr>
              <w:pStyle w:val="Body"/>
              <w:rPr>
                <w:rFonts w:ascii="Arial" w:hAnsi="Arial" w:cs="Arial"/>
                <w:b/>
                <w:bCs/>
              </w:rPr>
            </w:pPr>
            <w:r w:rsidRPr="00BF0A52">
              <w:rPr>
                <w:rFonts w:ascii="Arial" w:hAnsi="Arial" w:cs="Arial"/>
                <w:b/>
                <w:bCs/>
              </w:rPr>
              <w:t>Total Ca</w:t>
            </w:r>
          </w:p>
        </w:tc>
      </w:tr>
      <w:tr w:rsidR="00BF0A52" w:rsidRPr="00BF0A52" w14:paraId="79662254" w14:textId="77777777" w:rsidTr="0086633B">
        <w:tc>
          <w:tcPr>
            <w:tcW w:w="1566" w:type="pct"/>
            <w:hideMark/>
          </w:tcPr>
          <w:p w14:paraId="6E31B31E" w14:textId="77777777" w:rsidR="00BF0A52" w:rsidRPr="00BF0A52" w:rsidRDefault="00BF0A52" w:rsidP="00BF0A52">
            <w:pPr>
              <w:pStyle w:val="Body"/>
              <w:rPr>
                <w:rFonts w:ascii="Arial" w:hAnsi="Arial" w:cs="Arial"/>
              </w:rPr>
            </w:pPr>
            <w:r w:rsidRPr="00BF0A52">
              <w:rPr>
                <w:rFonts w:ascii="Arial" w:hAnsi="Arial" w:cs="Arial"/>
                <w:b/>
                <w:bCs/>
              </w:rPr>
              <w:t>pH</w:t>
            </w:r>
          </w:p>
        </w:tc>
        <w:tc>
          <w:tcPr>
            <w:tcW w:w="1117" w:type="pct"/>
            <w:hideMark/>
          </w:tcPr>
          <w:p w14:paraId="03B181D5" w14:textId="77777777" w:rsidR="00BF0A52" w:rsidRPr="00BF0A52" w:rsidRDefault="00BF0A52" w:rsidP="00BF0A52">
            <w:pPr>
              <w:pStyle w:val="Body"/>
              <w:rPr>
                <w:rFonts w:ascii="Arial" w:hAnsi="Arial" w:cs="Arial"/>
              </w:rPr>
            </w:pPr>
            <w:r w:rsidRPr="00BF0A52">
              <w:rPr>
                <w:rFonts w:ascii="Arial" w:hAnsi="Arial" w:cs="Arial"/>
              </w:rPr>
              <w:t>0.81***</w:t>
            </w:r>
          </w:p>
        </w:tc>
        <w:tc>
          <w:tcPr>
            <w:tcW w:w="1168" w:type="pct"/>
            <w:hideMark/>
          </w:tcPr>
          <w:p w14:paraId="4BCE8CA3" w14:textId="77777777" w:rsidR="00BF0A52" w:rsidRPr="00BF0A52" w:rsidRDefault="00BF0A52" w:rsidP="00BF0A52">
            <w:pPr>
              <w:pStyle w:val="Body"/>
              <w:rPr>
                <w:rFonts w:ascii="Arial" w:hAnsi="Arial" w:cs="Arial"/>
              </w:rPr>
            </w:pPr>
            <w:r w:rsidRPr="00BF0A52">
              <w:rPr>
                <w:rFonts w:ascii="Arial" w:hAnsi="Arial" w:cs="Arial"/>
              </w:rPr>
              <w:t>0.47**</w:t>
            </w:r>
          </w:p>
        </w:tc>
        <w:tc>
          <w:tcPr>
            <w:tcW w:w="1149" w:type="pct"/>
            <w:hideMark/>
          </w:tcPr>
          <w:p w14:paraId="4DF63543" w14:textId="77777777" w:rsidR="00BF0A52" w:rsidRPr="00BF0A52" w:rsidRDefault="00BF0A52" w:rsidP="00BF0A52">
            <w:pPr>
              <w:pStyle w:val="Body"/>
              <w:rPr>
                <w:rFonts w:ascii="Arial" w:hAnsi="Arial" w:cs="Arial"/>
              </w:rPr>
            </w:pPr>
            <w:r w:rsidRPr="00BF0A52">
              <w:rPr>
                <w:rFonts w:ascii="Arial" w:hAnsi="Arial" w:cs="Arial"/>
              </w:rPr>
              <w:t>0.64***</w:t>
            </w:r>
          </w:p>
        </w:tc>
      </w:tr>
      <w:tr w:rsidR="00BF0A52" w:rsidRPr="00BF0A52" w14:paraId="78503A25" w14:textId="77777777" w:rsidTr="0086633B">
        <w:tc>
          <w:tcPr>
            <w:tcW w:w="1566" w:type="pct"/>
            <w:hideMark/>
          </w:tcPr>
          <w:p w14:paraId="5E3FEC4C" w14:textId="77777777" w:rsidR="00BF0A52" w:rsidRPr="00BF0A52" w:rsidRDefault="00BF0A52" w:rsidP="00BF0A52">
            <w:pPr>
              <w:pStyle w:val="Body"/>
              <w:rPr>
                <w:rFonts w:ascii="Arial" w:hAnsi="Arial" w:cs="Arial"/>
              </w:rPr>
            </w:pPr>
            <w:r w:rsidRPr="00BF0A52">
              <w:rPr>
                <w:rFonts w:ascii="Arial" w:hAnsi="Arial" w:cs="Arial"/>
                <w:b/>
                <w:bCs/>
              </w:rPr>
              <w:t>CEC</w:t>
            </w:r>
          </w:p>
        </w:tc>
        <w:tc>
          <w:tcPr>
            <w:tcW w:w="1117" w:type="pct"/>
            <w:hideMark/>
          </w:tcPr>
          <w:p w14:paraId="5558FC25" w14:textId="77777777" w:rsidR="00BF0A52" w:rsidRPr="00BF0A52" w:rsidRDefault="00BF0A52" w:rsidP="00BF0A52">
            <w:pPr>
              <w:pStyle w:val="Body"/>
              <w:rPr>
                <w:rFonts w:ascii="Arial" w:hAnsi="Arial" w:cs="Arial"/>
              </w:rPr>
            </w:pPr>
            <w:r w:rsidRPr="00BF0A52">
              <w:rPr>
                <w:rFonts w:ascii="Arial" w:hAnsi="Arial" w:cs="Arial"/>
              </w:rPr>
              <w:t>0.88***</w:t>
            </w:r>
          </w:p>
        </w:tc>
        <w:tc>
          <w:tcPr>
            <w:tcW w:w="1168" w:type="pct"/>
            <w:hideMark/>
          </w:tcPr>
          <w:p w14:paraId="51CDFDCB" w14:textId="77777777" w:rsidR="00BF0A52" w:rsidRPr="00BF0A52" w:rsidRDefault="00BF0A52" w:rsidP="00BF0A52">
            <w:pPr>
              <w:pStyle w:val="Body"/>
              <w:rPr>
                <w:rFonts w:ascii="Arial" w:hAnsi="Arial" w:cs="Arial"/>
              </w:rPr>
            </w:pPr>
            <w:r w:rsidRPr="00BF0A52">
              <w:rPr>
                <w:rFonts w:ascii="Arial" w:hAnsi="Arial" w:cs="Arial"/>
              </w:rPr>
              <w:t>0.93***</w:t>
            </w:r>
          </w:p>
        </w:tc>
        <w:tc>
          <w:tcPr>
            <w:tcW w:w="1149" w:type="pct"/>
            <w:hideMark/>
          </w:tcPr>
          <w:p w14:paraId="668E333B" w14:textId="77777777" w:rsidR="00BF0A52" w:rsidRPr="00BF0A52" w:rsidRDefault="00BF0A52" w:rsidP="00BF0A52">
            <w:pPr>
              <w:pStyle w:val="Body"/>
              <w:rPr>
                <w:rFonts w:ascii="Arial" w:hAnsi="Arial" w:cs="Arial"/>
              </w:rPr>
            </w:pPr>
            <w:r w:rsidRPr="00BF0A52">
              <w:rPr>
                <w:rFonts w:ascii="Arial" w:hAnsi="Arial" w:cs="Arial"/>
              </w:rPr>
              <w:t>0.95***</w:t>
            </w:r>
          </w:p>
        </w:tc>
      </w:tr>
      <w:tr w:rsidR="00BF0A52" w:rsidRPr="00BF0A52" w14:paraId="43D04EAC" w14:textId="77777777" w:rsidTr="0086633B">
        <w:tc>
          <w:tcPr>
            <w:tcW w:w="1566" w:type="pct"/>
            <w:hideMark/>
          </w:tcPr>
          <w:p w14:paraId="38D383DF" w14:textId="77777777" w:rsidR="00BF0A52" w:rsidRPr="00BF0A52" w:rsidRDefault="00BF0A52" w:rsidP="00BF0A52">
            <w:pPr>
              <w:pStyle w:val="Body"/>
              <w:rPr>
                <w:rFonts w:ascii="Arial" w:hAnsi="Arial" w:cs="Arial"/>
              </w:rPr>
            </w:pPr>
            <w:r w:rsidRPr="00BF0A52">
              <w:rPr>
                <w:rFonts w:ascii="Arial" w:hAnsi="Arial" w:cs="Arial"/>
                <w:b/>
                <w:bCs/>
              </w:rPr>
              <w:t>OC</w:t>
            </w:r>
          </w:p>
        </w:tc>
        <w:tc>
          <w:tcPr>
            <w:tcW w:w="1117" w:type="pct"/>
            <w:hideMark/>
          </w:tcPr>
          <w:p w14:paraId="2576C12E" w14:textId="77777777" w:rsidR="00BF0A52" w:rsidRPr="00BF0A52" w:rsidRDefault="00BF0A52" w:rsidP="00BF0A52">
            <w:pPr>
              <w:pStyle w:val="Body"/>
              <w:rPr>
                <w:rFonts w:ascii="Arial" w:hAnsi="Arial" w:cs="Arial"/>
              </w:rPr>
            </w:pPr>
            <w:r w:rsidRPr="00BF0A52">
              <w:rPr>
                <w:rFonts w:ascii="Arial" w:hAnsi="Arial" w:cs="Arial"/>
              </w:rPr>
              <w:t>0.56***</w:t>
            </w:r>
          </w:p>
        </w:tc>
        <w:tc>
          <w:tcPr>
            <w:tcW w:w="1168" w:type="pct"/>
            <w:hideMark/>
          </w:tcPr>
          <w:p w14:paraId="57DDB9E8" w14:textId="77777777" w:rsidR="00BF0A52" w:rsidRPr="00BF0A52" w:rsidRDefault="00BF0A52" w:rsidP="00BF0A52">
            <w:pPr>
              <w:pStyle w:val="Body"/>
              <w:rPr>
                <w:rFonts w:ascii="Arial" w:hAnsi="Arial" w:cs="Arial"/>
              </w:rPr>
            </w:pPr>
            <w:r w:rsidRPr="00BF0A52">
              <w:rPr>
                <w:rFonts w:ascii="Arial" w:hAnsi="Arial" w:cs="Arial"/>
              </w:rPr>
              <w:t>0.84***</w:t>
            </w:r>
          </w:p>
        </w:tc>
        <w:tc>
          <w:tcPr>
            <w:tcW w:w="1149" w:type="pct"/>
            <w:hideMark/>
          </w:tcPr>
          <w:p w14:paraId="7031DBF6" w14:textId="77777777" w:rsidR="00BF0A52" w:rsidRPr="00BF0A52" w:rsidRDefault="00BF0A52" w:rsidP="00BF0A52">
            <w:pPr>
              <w:pStyle w:val="Body"/>
              <w:rPr>
                <w:rFonts w:ascii="Arial" w:hAnsi="Arial" w:cs="Arial"/>
              </w:rPr>
            </w:pPr>
            <w:r w:rsidRPr="00BF0A52">
              <w:rPr>
                <w:rFonts w:ascii="Arial" w:hAnsi="Arial" w:cs="Arial"/>
              </w:rPr>
              <w:t>0.68***</w:t>
            </w:r>
          </w:p>
        </w:tc>
      </w:tr>
      <w:tr w:rsidR="00BF0A52" w:rsidRPr="00BF0A52" w14:paraId="3AE8485F" w14:textId="77777777" w:rsidTr="0086633B">
        <w:tc>
          <w:tcPr>
            <w:tcW w:w="1566" w:type="pct"/>
            <w:hideMark/>
          </w:tcPr>
          <w:p w14:paraId="29670250" w14:textId="77777777" w:rsidR="00BF0A52" w:rsidRPr="00BF0A52" w:rsidRDefault="00BF0A52" w:rsidP="00BF0A52">
            <w:pPr>
              <w:pStyle w:val="Body"/>
              <w:rPr>
                <w:rFonts w:ascii="Arial" w:hAnsi="Arial" w:cs="Arial"/>
              </w:rPr>
            </w:pPr>
            <w:r w:rsidRPr="00BF0A52">
              <w:rPr>
                <w:rFonts w:ascii="Arial" w:hAnsi="Arial" w:cs="Arial"/>
                <w:b/>
                <w:bCs/>
              </w:rPr>
              <w:t>Ex. Al</w:t>
            </w:r>
          </w:p>
        </w:tc>
        <w:tc>
          <w:tcPr>
            <w:tcW w:w="1117" w:type="pct"/>
            <w:hideMark/>
          </w:tcPr>
          <w:p w14:paraId="6FD08B21" w14:textId="77777777" w:rsidR="00BF0A52" w:rsidRPr="00BF0A52" w:rsidRDefault="00BF0A52" w:rsidP="00BF0A52">
            <w:pPr>
              <w:pStyle w:val="Body"/>
              <w:rPr>
                <w:rFonts w:ascii="Arial" w:hAnsi="Arial" w:cs="Arial"/>
              </w:rPr>
            </w:pPr>
            <w:r w:rsidRPr="00BF0A52">
              <w:rPr>
                <w:rFonts w:ascii="Arial" w:hAnsi="Arial" w:cs="Arial"/>
              </w:rPr>
              <w:t>-0.76***</w:t>
            </w:r>
          </w:p>
        </w:tc>
        <w:tc>
          <w:tcPr>
            <w:tcW w:w="1168" w:type="pct"/>
            <w:hideMark/>
          </w:tcPr>
          <w:p w14:paraId="2E76698D" w14:textId="77777777" w:rsidR="00BF0A52" w:rsidRPr="00BF0A52" w:rsidRDefault="00BF0A52" w:rsidP="00BF0A52">
            <w:pPr>
              <w:pStyle w:val="Body"/>
              <w:rPr>
                <w:rFonts w:ascii="Arial" w:hAnsi="Arial" w:cs="Arial"/>
              </w:rPr>
            </w:pPr>
            <w:r w:rsidRPr="00BF0A52">
              <w:rPr>
                <w:rFonts w:ascii="Arial" w:hAnsi="Arial" w:cs="Arial"/>
              </w:rPr>
              <w:t>-0.46**</w:t>
            </w:r>
          </w:p>
        </w:tc>
        <w:tc>
          <w:tcPr>
            <w:tcW w:w="1149" w:type="pct"/>
            <w:hideMark/>
          </w:tcPr>
          <w:p w14:paraId="0FBC03BE" w14:textId="77777777" w:rsidR="00BF0A52" w:rsidRPr="00BF0A52" w:rsidRDefault="00BF0A52" w:rsidP="00BF0A52">
            <w:pPr>
              <w:pStyle w:val="Body"/>
              <w:rPr>
                <w:rFonts w:ascii="Arial" w:hAnsi="Arial" w:cs="Arial"/>
              </w:rPr>
            </w:pPr>
            <w:r w:rsidRPr="00BF0A52">
              <w:rPr>
                <w:rFonts w:ascii="Arial" w:hAnsi="Arial" w:cs="Arial"/>
              </w:rPr>
              <w:t>-0.64***</w:t>
            </w:r>
          </w:p>
        </w:tc>
      </w:tr>
      <w:tr w:rsidR="00BF0A52" w:rsidRPr="00BF0A52" w14:paraId="177B2314" w14:textId="77777777" w:rsidTr="0086633B">
        <w:tc>
          <w:tcPr>
            <w:tcW w:w="1566" w:type="pct"/>
            <w:hideMark/>
          </w:tcPr>
          <w:p w14:paraId="7C2D2EC3" w14:textId="77777777" w:rsidR="00BF0A52" w:rsidRPr="00BF0A52" w:rsidRDefault="00BF0A52" w:rsidP="00BF0A52">
            <w:pPr>
              <w:pStyle w:val="Body"/>
              <w:rPr>
                <w:rFonts w:ascii="Arial" w:hAnsi="Arial" w:cs="Arial"/>
              </w:rPr>
            </w:pPr>
            <w:r w:rsidRPr="00BF0A52">
              <w:rPr>
                <w:rFonts w:ascii="Arial" w:hAnsi="Arial" w:cs="Arial"/>
                <w:b/>
                <w:bCs/>
              </w:rPr>
              <w:t>Clay</w:t>
            </w:r>
          </w:p>
        </w:tc>
        <w:tc>
          <w:tcPr>
            <w:tcW w:w="1117" w:type="pct"/>
            <w:hideMark/>
          </w:tcPr>
          <w:p w14:paraId="6C67EF44" w14:textId="77777777" w:rsidR="00BF0A52" w:rsidRPr="00BF0A52" w:rsidRDefault="00BF0A52" w:rsidP="00BF0A52">
            <w:pPr>
              <w:pStyle w:val="Body"/>
              <w:rPr>
                <w:rFonts w:ascii="Arial" w:hAnsi="Arial" w:cs="Arial"/>
              </w:rPr>
            </w:pPr>
            <w:r w:rsidRPr="00BF0A52">
              <w:rPr>
                <w:rFonts w:ascii="Arial" w:hAnsi="Arial" w:cs="Arial"/>
              </w:rPr>
              <w:t>0.58***</w:t>
            </w:r>
          </w:p>
        </w:tc>
        <w:tc>
          <w:tcPr>
            <w:tcW w:w="1168" w:type="pct"/>
            <w:hideMark/>
          </w:tcPr>
          <w:p w14:paraId="6A52EA6D" w14:textId="77777777" w:rsidR="00BF0A52" w:rsidRPr="00BF0A52" w:rsidRDefault="00BF0A52" w:rsidP="00BF0A52">
            <w:pPr>
              <w:pStyle w:val="Body"/>
              <w:rPr>
                <w:rFonts w:ascii="Arial" w:hAnsi="Arial" w:cs="Arial"/>
              </w:rPr>
            </w:pPr>
            <w:r w:rsidRPr="00BF0A52">
              <w:rPr>
                <w:rFonts w:ascii="Arial" w:hAnsi="Arial" w:cs="Arial"/>
              </w:rPr>
              <w:t>0.73***</w:t>
            </w:r>
          </w:p>
        </w:tc>
        <w:tc>
          <w:tcPr>
            <w:tcW w:w="1149" w:type="pct"/>
            <w:hideMark/>
          </w:tcPr>
          <w:p w14:paraId="09F85901" w14:textId="77777777" w:rsidR="00BF0A52" w:rsidRPr="00BF0A52" w:rsidRDefault="00BF0A52" w:rsidP="00BF0A52">
            <w:pPr>
              <w:pStyle w:val="Body"/>
              <w:rPr>
                <w:rFonts w:ascii="Arial" w:hAnsi="Arial" w:cs="Arial"/>
              </w:rPr>
            </w:pPr>
            <w:r w:rsidRPr="00BF0A52">
              <w:rPr>
                <w:rFonts w:ascii="Arial" w:hAnsi="Arial" w:cs="Arial"/>
              </w:rPr>
              <w:t>0.66***</w:t>
            </w:r>
          </w:p>
        </w:tc>
      </w:tr>
    </w:tbl>
    <w:p w14:paraId="69FD7414" w14:textId="77777777" w:rsidR="00BF0A52" w:rsidRDefault="00BF0A52" w:rsidP="00BF0A52">
      <w:pPr>
        <w:pStyle w:val="Body"/>
        <w:spacing w:after="0"/>
        <w:rPr>
          <w:rFonts w:ascii="Arial" w:hAnsi="Arial" w:cs="Arial"/>
          <w:i/>
          <w:iCs/>
        </w:rPr>
      </w:pPr>
      <w:r w:rsidRPr="00BF0A52">
        <w:rPr>
          <w:rFonts w:ascii="Arial" w:hAnsi="Arial" w:cs="Arial"/>
          <w:i/>
          <w:iCs/>
        </w:rPr>
        <w:t xml:space="preserve">*** P &lt; .001, ** P &lt; .01; OC: Organic carbon; CEC: Cation exchange capacity; Ex. Al: Exchangeable </w:t>
      </w:r>
      <w:proofErr w:type="spellStart"/>
      <w:r w:rsidRPr="00BF0A52">
        <w:rPr>
          <w:rFonts w:ascii="Arial" w:hAnsi="Arial" w:cs="Arial"/>
          <w:i/>
          <w:iCs/>
        </w:rPr>
        <w:t>aluminium</w:t>
      </w:r>
      <w:proofErr w:type="spellEnd"/>
    </w:p>
    <w:p w14:paraId="40E8F865" w14:textId="77777777" w:rsidR="00BF0A52" w:rsidRPr="00BF0A52" w:rsidRDefault="00BF0A52" w:rsidP="00BF0A52">
      <w:pPr>
        <w:pStyle w:val="Body"/>
        <w:spacing w:after="0"/>
        <w:rPr>
          <w:rFonts w:ascii="Arial" w:hAnsi="Arial" w:cs="Arial"/>
        </w:rPr>
      </w:pPr>
    </w:p>
    <w:p w14:paraId="3B5B1DD9" w14:textId="153DCC3F" w:rsidR="00BF0A52" w:rsidRPr="00BF0A52" w:rsidRDefault="00BF0A52" w:rsidP="00BF0A52">
      <w:pPr>
        <w:pStyle w:val="Body"/>
        <w:spacing w:after="0"/>
        <w:rPr>
          <w:rFonts w:ascii="Arial" w:hAnsi="Arial" w:cs="Arial"/>
          <w:b/>
          <w:bCs/>
        </w:rPr>
      </w:pPr>
      <w:r w:rsidRPr="00BF0A52">
        <w:rPr>
          <w:rFonts w:ascii="Arial" w:hAnsi="Arial" w:cs="Arial"/>
          <w:b/>
          <w:bCs/>
        </w:rPr>
        <w:t>Boron Fractionation in Lateritic Soils</w:t>
      </w:r>
    </w:p>
    <w:p w14:paraId="3194EDF7" w14:textId="2BF5DC47" w:rsidR="00BF0A52" w:rsidRDefault="00301335" w:rsidP="00BF0A52">
      <w:pPr>
        <w:pStyle w:val="Body"/>
        <w:spacing w:after="0"/>
        <w:rPr>
          <w:rFonts w:ascii="Arial" w:hAnsi="Arial" w:cs="Arial"/>
        </w:rPr>
      </w:pPr>
      <w:r w:rsidRPr="00301335">
        <w:rPr>
          <w:rFonts w:ascii="Arial" w:hAnsi="Arial" w:cs="Arial"/>
        </w:rPr>
        <w:t>Boron fractionation revealed a strikingly different pattern, with residual boron dominating (&gt;90% of total), ranging from 54.98 to 60.08 mg kg</w:t>
      </w:r>
      <w:r w:rsidRPr="00301335">
        <w:rPr>
          <w:rFonts w:ascii="Cambria Math" w:hAnsi="Cambria Math" w:cs="Cambria Math"/>
        </w:rPr>
        <w:t>⁻</w:t>
      </w:r>
      <w:r w:rsidRPr="00301335">
        <w:rPr>
          <w:rFonts w:ascii="Arial" w:hAnsi="Arial" w:cs="Arial"/>
        </w:rPr>
        <w:t xml:space="preserve">¹ across AEUs (Table </w:t>
      </w:r>
      <w:r>
        <w:rPr>
          <w:rFonts w:ascii="Arial" w:hAnsi="Arial" w:cs="Arial"/>
        </w:rPr>
        <w:t>3</w:t>
      </w:r>
      <w:r w:rsidRPr="00301335">
        <w:rPr>
          <w:rFonts w:ascii="Arial" w:hAnsi="Arial" w:cs="Arial"/>
        </w:rPr>
        <w:t xml:space="preserve">). </w:t>
      </w:r>
      <w:r w:rsidR="007E7949">
        <w:rPr>
          <w:rFonts w:ascii="Arial" w:hAnsi="Arial" w:cs="Arial"/>
        </w:rPr>
        <w:t>“</w:t>
      </w:r>
      <w:r w:rsidRPr="00301335">
        <w:rPr>
          <w:rFonts w:ascii="Arial" w:hAnsi="Arial" w:cs="Arial"/>
        </w:rPr>
        <w:t>Available fractions (readily soluble, specifically adsorbed, oxide-bound, and organically bound) collectively constituted less than 10% of total boron. Readily soluble boron ranged from 0.90 to 1.06 mg kg</w:t>
      </w:r>
      <w:r w:rsidRPr="00301335">
        <w:rPr>
          <w:rFonts w:ascii="Cambria Math" w:hAnsi="Cambria Math" w:cs="Cambria Math"/>
        </w:rPr>
        <w:t>⁻</w:t>
      </w:r>
      <w:r w:rsidRPr="00301335">
        <w:rPr>
          <w:rFonts w:ascii="Arial" w:hAnsi="Arial" w:cs="Arial"/>
        </w:rPr>
        <w:t>¹, representing the immediately available pool highly susceptible to leaching</w:t>
      </w:r>
      <w:r w:rsidR="007E7949">
        <w:rPr>
          <w:rFonts w:ascii="Arial" w:hAnsi="Arial" w:cs="Arial"/>
        </w:rPr>
        <w:t>”</w:t>
      </w:r>
      <w:bookmarkStart w:id="0" w:name="_GoBack"/>
      <w:bookmarkEnd w:id="0"/>
      <w:r w:rsidRPr="00301335">
        <w:rPr>
          <w:rFonts w:ascii="Arial" w:hAnsi="Arial" w:cs="Arial"/>
        </w:rPr>
        <w:t xml:space="preserve"> (Gupta et al., 1985). Total boron (48.75-91.94 mg kg</w:t>
      </w:r>
      <w:r w:rsidRPr="00301335">
        <w:rPr>
          <w:rFonts w:ascii="Cambria Math" w:hAnsi="Cambria Math" w:cs="Cambria Math"/>
        </w:rPr>
        <w:t>⁻</w:t>
      </w:r>
      <w:r w:rsidRPr="00301335">
        <w:rPr>
          <w:rFonts w:ascii="Arial" w:hAnsi="Arial" w:cs="Arial"/>
        </w:rPr>
        <w:t>¹) showed relatively uniform distribution across AEUs compared to calcium. The predominance of residual boron indicates strong fixation in unavailable forms, explaining why boron deficiency can occur despite adequate total boron content (Goldberg, 1997; Hou et al., 1996</w:t>
      </w:r>
      <w:r w:rsidR="004E41DA">
        <w:rPr>
          <w:rFonts w:ascii="Arial" w:hAnsi="Arial" w:cs="Arial"/>
        </w:rPr>
        <w:t>; Kumar et al., 2018</w:t>
      </w:r>
      <w:r w:rsidRPr="00301335">
        <w:rPr>
          <w:rFonts w:ascii="Arial" w:hAnsi="Arial" w:cs="Arial"/>
        </w:rPr>
        <w:t>).</w:t>
      </w:r>
    </w:p>
    <w:p w14:paraId="4057E554" w14:textId="77777777" w:rsidR="00726CD6" w:rsidRPr="00BF0A52" w:rsidRDefault="00726CD6" w:rsidP="00BF0A52">
      <w:pPr>
        <w:pStyle w:val="Body"/>
        <w:spacing w:after="0"/>
        <w:rPr>
          <w:rFonts w:ascii="Arial" w:hAnsi="Arial" w:cs="Arial"/>
        </w:rPr>
      </w:pPr>
    </w:p>
    <w:p w14:paraId="3979F84B" w14:textId="352BCFBD"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726CD6">
        <w:rPr>
          <w:rFonts w:ascii="Arial" w:hAnsi="Arial" w:cs="Arial"/>
          <w:b/>
          <w:bCs/>
        </w:rPr>
        <w:t>3</w:t>
      </w:r>
      <w:r w:rsidRPr="00BF0A52">
        <w:rPr>
          <w:rFonts w:ascii="Arial" w:hAnsi="Arial" w:cs="Arial"/>
          <w:b/>
          <w:bCs/>
        </w:rPr>
        <w:t>. Mean boron fractions (mg kg</w:t>
      </w:r>
      <w:r w:rsidRPr="00BF0A52">
        <w:rPr>
          <w:rFonts w:ascii="Cambria Math" w:hAnsi="Cambria Math" w:cs="Cambria Math"/>
          <w:b/>
          <w:bCs/>
        </w:rPr>
        <w:t>⁻</w:t>
      </w:r>
      <w:r w:rsidRPr="00BF0A52">
        <w:rPr>
          <w:rFonts w:ascii="Arial" w:hAnsi="Arial" w:cs="Arial"/>
          <w:b/>
          <w:bCs/>
        </w:rPr>
        <w:t>¹) across four lateritic AEUs</w:t>
      </w:r>
    </w:p>
    <w:tbl>
      <w:tblPr>
        <w:tblStyle w:val="TableGridLight"/>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1015"/>
        <w:gridCol w:w="1015"/>
        <w:gridCol w:w="1057"/>
        <w:gridCol w:w="1274"/>
        <w:gridCol w:w="1181"/>
      </w:tblGrid>
      <w:tr w:rsidR="0086633B" w:rsidRPr="00BF0A52" w14:paraId="1D71159F" w14:textId="77777777" w:rsidTr="0086633B">
        <w:tc>
          <w:tcPr>
            <w:tcW w:w="1630" w:type="pct"/>
            <w:hideMark/>
          </w:tcPr>
          <w:p w14:paraId="17372DBD" w14:textId="77777777" w:rsidR="00BF0A52" w:rsidRPr="00BF0A52" w:rsidRDefault="00BF0A52" w:rsidP="00BF0A52">
            <w:pPr>
              <w:pStyle w:val="Body"/>
              <w:rPr>
                <w:rFonts w:ascii="Arial" w:hAnsi="Arial" w:cs="Arial"/>
                <w:b/>
                <w:bCs/>
              </w:rPr>
            </w:pPr>
            <w:r w:rsidRPr="00BF0A52">
              <w:rPr>
                <w:rFonts w:ascii="Arial" w:hAnsi="Arial" w:cs="Arial"/>
                <w:b/>
                <w:bCs/>
              </w:rPr>
              <w:t>AEU</w:t>
            </w:r>
          </w:p>
        </w:tc>
        <w:tc>
          <w:tcPr>
            <w:tcW w:w="617" w:type="pct"/>
            <w:hideMark/>
          </w:tcPr>
          <w:p w14:paraId="3AE272FE" w14:textId="77777777" w:rsidR="00BF0A52" w:rsidRPr="00BF0A52" w:rsidRDefault="00BF0A52" w:rsidP="00BF0A52">
            <w:pPr>
              <w:pStyle w:val="Body"/>
              <w:rPr>
                <w:rFonts w:ascii="Arial" w:hAnsi="Arial" w:cs="Arial"/>
                <w:b/>
                <w:bCs/>
              </w:rPr>
            </w:pPr>
            <w:r w:rsidRPr="00BF0A52">
              <w:rPr>
                <w:rFonts w:ascii="Arial" w:hAnsi="Arial" w:cs="Arial"/>
                <w:b/>
                <w:bCs/>
              </w:rPr>
              <w:t>RS-B</w:t>
            </w:r>
          </w:p>
        </w:tc>
        <w:tc>
          <w:tcPr>
            <w:tcW w:w="617" w:type="pct"/>
            <w:hideMark/>
          </w:tcPr>
          <w:p w14:paraId="1C62511E" w14:textId="77777777" w:rsidR="00BF0A52" w:rsidRPr="00BF0A52" w:rsidRDefault="00BF0A52" w:rsidP="00BF0A52">
            <w:pPr>
              <w:pStyle w:val="Body"/>
              <w:rPr>
                <w:rFonts w:ascii="Arial" w:hAnsi="Arial" w:cs="Arial"/>
                <w:b/>
                <w:bCs/>
              </w:rPr>
            </w:pPr>
            <w:r w:rsidRPr="00BF0A52">
              <w:rPr>
                <w:rFonts w:ascii="Arial" w:hAnsi="Arial" w:cs="Arial"/>
                <w:b/>
                <w:bCs/>
              </w:rPr>
              <w:t>SA-B</w:t>
            </w:r>
          </w:p>
        </w:tc>
        <w:tc>
          <w:tcPr>
            <w:tcW w:w="643" w:type="pct"/>
            <w:hideMark/>
          </w:tcPr>
          <w:p w14:paraId="02CEB362" w14:textId="77777777" w:rsidR="00BF0A52" w:rsidRPr="00BF0A52" w:rsidRDefault="00BF0A52" w:rsidP="00BF0A52">
            <w:pPr>
              <w:pStyle w:val="Body"/>
              <w:rPr>
                <w:rFonts w:ascii="Arial" w:hAnsi="Arial" w:cs="Arial"/>
                <w:b/>
                <w:bCs/>
              </w:rPr>
            </w:pPr>
            <w:r w:rsidRPr="00BF0A52">
              <w:rPr>
                <w:rFonts w:ascii="Arial" w:hAnsi="Arial" w:cs="Arial"/>
                <w:b/>
                <w:bCs/>
              </w:rPr>
              <w:t>OR-B</w:t>
            </w:r>
          </w:p>
        </w:tc>
        <w:tc>
          <w:tcPr>
            <w:tcW w:w="775" w:type="pct"/>
            <w:hideMark/>
          </w:tcPr>
          <w:p w14:paraId="4EC47504" w14:textId="77777777" w:rsidR="00BF0A52" w:rsidRPr="00BF0A52" w:rsidRDefault="00BF0A52" w:rsidP="00BF0A52">
            <w:pPr>
              <w:pStyle w:val="Body"/>
              <w:rPr>
                <w:rFonts w:ascii="Arial" w:hAnsi="Arial" w:cs="Arial"/>
                <w:b/>
                <w:bCs/>
              </w:rPr>
            </w:pPr>
            <w:r w:rsidRPr="00BF0A52">
              <w:rPr>
                <w:rFonts w:ascii="Arial" w:hAnsi="Arial" w:cs="Arial"/>
                <w:b/>
                <w:bCs/>
              </w:rPr>
              <w:t>RES-B</w:t>
            </w:r>
          </w:p>
        </w:tc>
        <w:tc>
          <w:tcPr>
            <w:tcW w:w="718" w:type="pct"/>
            <w:hideMark/>
          </w:tcPr>
          <w:p w14:paraId="61CA000E" w14:textId="77777777" w:rsidR="00BF0A52" w:rsidRPr="00BF0A52" w:rsidRDefault="00BF0A52" w:rsidP="00BF0A52">
            <w:pPr>
              <w:pStyle w:val="Body"/>
              <w:rPr>
                <w:rFonts w:ascii="Arial" w:hAnsi="Arial" w:cs="Arial"/>
                <w:b/>
                <w:bCs/>
              </w:rPr>
            </w:pPr>
            <w:r w:rsidRPr="00BF0A52">
              <w:rPr>
                <w:rFonts w:ascii="Arial" w:hAnsi="Arial" w:cs="Arial"/>
                <w:b/>
                <w:bCs/>
              </w:rPr>
              <w:t>Total B</w:t>
            </w:r>
          </w:p>
        </w:tc>
      </w:tr>
      <w:tr w:rsidR="0086633B" w:rsidRPr="00BF0A52" w14:paraId="2891D107" w14:textId="77777777" w:rsidTr="0086633B">
        <w:tc>
          <w:tcPr>
            <w:tcW w:w="1630" w:type="pct"/>
            <w:hideMark/>
          </w:tcPr>
          <w:p w14:paraId="165723E5" w14:textId="77777777" w:rsidR="00BF0A52" w:rsidRPr="00BF0A52" w:rsidRDefault="00BF0A52" w:rsidP="00BF0A52">
            <w:pPr>
              <w:pStyle w:val="Body"/>
              <w:rPr>
                <w:rFonts w:ascii="Arial" w:hAnsi="Arial" w:cs="Arial"/>
              </w:rPr>
            </w:pPr>
            <w:r w:rsidRPr="00BF0A52">
              <w:rPr>
                <w:rFonts w:ascii="Arial" w:hAnsi="Arial" w:cs="Arial"/>
                <w:b/>
                <w:bCs/>
              </w:rPr>
              <w:t>AEU 8</w:t>
            </w:r>
            <w:r w:rsidRPr="00BF0A52">
              <w:rPr>
                <w:rFonts w:ascii="Arial" w:hAnsi="Arial" w:cs="Arial"/>
              </w:rPr>
              <w:t xml:space="preserve"> (n=10)</w:t>
            </w:r>
          </w:p>
        </w:tc>
        <w:tc>
          <w:tcPr>
            <w:tcW w:w="617" w:type="pct"/>
            <w:hideMark/>
          </w:tcPr>
          <w:p w14:paraId="2808C556" w14:textId="77777777" w:rsidR="00BF0A52" w:rsidRPr="00BF0A52" w:rsidRDefault="00BF0A52" w:rsidP="00BF0A52">
            <w:pPr>
              <w:pStyle w:val="Body"/>
              <w:rPr>
                <w:rFonts w:ascii="Arial" w:hAnsi="Arial" w:cs="Arial"/>
              </w:rPr>
            </w:pPr>
            <w:r w:rsidRPr="00BF0A52">
              <w:rPr>
                <w:rFonts w:ascii="Arial" w:hAnsi="Arial" w:cs="Arial"/>
              </w:rPr>
              <w:t>0.96</w:t>
            </w:r>
          </w:p>
        </w:tc>
        <w:tc>
          <w:tcPr>
            <w:tcW w:w="617" w:type="pct"/>
            <w:hideMark/>
          </w:tcPr>
          <w:p w14:paraId="7387301B" w14:textId="77777777" w:rsidR="00BF0A52" w:rsidRPr="00BF0A52" w:rsidRDefault="00BF0A52" w:rsidP="00BF0A52">
            <w:pPr>
              <w:pStyle w:val="Body"/>
              <w:rPr>
                <w:rFonts w:ascii="Arial" w:hAnsi="Arial" w:cs="Arial"/>
              </w:rPr>
            </w:pPr>
            <w:r w:rsidRPr="00BF0A52">
              <w:rPr>
                <w:rFonts w:ascii="Arial" w:hAnsi="Arial" w:cs="Arial"/>
              </w:rPr>
              <w:t>0.66</w:t>
            </w:r>
          </w:p>
        </w:tc>
        <w:tc>
          <w:tcPr>
            <w:tcW w:w="643" w:type="pct"/>
            <w:hideMark/>
          </w:tcPr>
          <w:p w14:paraId="244D8108" w14:textId="77777777" w:rsidR="00BF0A52" w:rsidRPr="00BF0A52" w:rsidRDefault="00BF0A52" w:rsidP="00BF0A52">
            <w:pPr>
              <w:pStyle w:val="Body"/>
              <w:rPr>
                <w:rFonts w:ascii="Arial" w:hAnsi="Arial" w:cs="Arial"/>
              </w:rPr>
            </w:pPr>
            <w:r w:rsidRPr="00BF0A52">
              <w:rPr>
                <w:rFonts w:ascii="Arial" w:hAnsi="Arial" w:cs="Arial"/>
              </w:rPr>
              <w:t>1.12</w:t>
            </w:r>
          </w:p>
        </w:tc>
        <w:tc>
          <w:tcPr>
            <w:tcW w:w="775" w:type="pct"/>
            <w:hideMark/>
          </w:tcPr>
          <w:p w14:paraId="4C5BE83F" w14:textId="77777777" w:rsidR="00BF0A52" w:rsidRPr="00BF0A52" w:rsidRDefault="00BF0A52" w:rsidP="00BF0A52">
            <w:pPr>
              <w:pStyle w:val="Body"/>
              <w:rPr>
                <w:rFonts w:ascii="Arial" w:hAnsi="Arial" w:cs="Arial"/>
              </w:rPr>
            </w:pPr>
            <w:r w:rsidRPr="00BF0A52">
              <w:rPr>
                <w:rFonts w:ascii="Arial" w:hAnsi="Arial" w:cs="Arial"/>
              </w:rPr>
              <w:t>54.98</w:t>
            </w:r>
          </w:p>
        </w:tc>
        <w:tc>
          <w:tcPr>
            <w:tcW w:w="718" w:type="pct"/>
            <w:hideMark/>
          </w:tcPr>
          <w:p w14:paraId="7CE998A4" w14:textId="77777777" w:rsidR="00BF0A52" w:rsidRPr="00BF0A52" w:rsidRDefault="00BF0A52" w:rsidP="00BF0A52">
            <w:pPr>
              <w:pStyle w:val="Body"/>
              <w:rPr>
                <w:rFonts w:ascii="Arial" w:hAnsi="Arial" w:cs="Arial"/>
              </w:rPr>
            </w:pPr>
            <w:r w:rsidRPr="00BF0A52">
              <w:rPr>
                <w:rFonts w:ascii="Arial" w:hAnsi="Arial" w:cs="Arial"/>
              </w:rPr>
              <w:t>58.03</w:t>
            </w:r>
          </w:p>
        </w:tc>
      </w:tr>
      <w:tr w:rsidR="0086633B" w:rsidRPr="00BF0A52" w14:paraId="1C72F5CA" w14:textId="77777777" w:rsidTr="0086633B">
        <w:tc>
          <w:tcPr>
            <w:tcW w:w="1630" w:type="pct"/>
            <w:hideMark/>
          </w:tcPr>
          <w:p w14:paraId="7D0CC059" w14:textId="77777777" w:rsidR="00BF0A52" w:rsidRPr="00BF0A52" w:rsidRDefault="00BF0A52" w:rsidP="00BF0A52">
            <w:pPr>
              <w:pStyle w:val="Body"/>
              <w:rPr>
                <w:rFonts w:ascii="Arial" w:hAnsi="Arial" w:cs="Arial"/>
              </w:rPr>
            </w:pPr>
            <w:r w:rsidRPr="00BF0A52">
              <w:rPr>
                <w:rFonts w:ascii="Arial" w:hAnsi="Arial" w:cs="Arial"/>
                <w:b/>
                <w:bCs/>
              </w:rPr>
              <w:t>AEU 9</w:t>
            </w:r>
            <w:r w:rsidRPr="00BF0A52">
              <w:rPr>
                <w:rFonts w:ascii="Arial" w:hAnsi="Arial" w:cs="Arial"/>
              </w:rPr>
              <w:t xml:space="preserve"> (n=10)</w:t>
            </w:r>
          </w:p>
        </w:tc>
        <w:tc>
          <w:tcPr>
            <w:tcW w:w="617" w:type="pct"/>
            <w:hideMark/>
          </w:tcPr>
          <w:p w14:paraId="6D3C091F" w14:textId="77777777" w:rsidR="00BF0A52" w:rsidRPr="00BF0A52" w:rsidRDefault="00BF0A52" w:rsidP="00BF0A52">
            <w:pPr>
              <w:pStyle w:val="Body"/>
              <w:rPr>
                <w:rFonts w:ascii="Arial" w:hAnsi="Arial" w:cs="Arial"/>
              </w:rPr>
            </w:pPr>
            <w:r w:rsidRPr="00BF0A52">
              <w:rPr>
                <w:rFonts w:ascii="Arial" w:hAnsi="Arial" w:cs="Arial"/>
              </w:rPr>
              <w:t>1.06</w:t>
            </w:r>
          </w:p>
        </w:tc>
        <w:tc>
          <w:tcPr>
            <w:tcW w:w="617" w:type="pct"/>
            <w:hideMark/>
          </w:tcPr>
          <w:p w14:paraId="3336CE98" w14:textId="77777777" w:rsidR="00BF0A52" w:rsidRPr="00BF0A52" w:rsidRDefault="00BF0A52" w:rsidP="00BF0A52">
            <w:pPr>
              <w:pStyle w:val="Body"/>
              <w:rPr>
                <w:rFonts w:ascii="Arial" w:hAnsi="Arial" w:cs="Arial"/>
              </w:rPr>
            </w:pPr>
            <w:r w:rsidRPr="00BF0A52">
              <w:rPr>
                <w:rFonts w:ascii="Arial" w:hAnsi="Arial" w:cs="Arial"/>
              </w:rPr>
              <w:t>0.79</w:t>
            </w:r>
          </w:p>
        </w:tc>
        <w:tc>
          <w:tcPr>
            <w:tcW w:w="643" w:type="pct"/>
            <w:hideMark/>
          </w:tcPr>
          <w:p w14:paraId="58A05916" w14:textId="77777777" w:rsidR="00BF0A52" w:rsidRPr="00BF0A52" w:rsidRDefault="00BF0A52" w:rsidP="00BF0A52">
            <w:pPr>
              <w:pStyle w:val="Body"/>
              <w:rPr>
                <w:rFonts w:ascii="Arial" w:hAnsi="Arial" w:cs="Arial"/>
              </w:rPr>
            </w:pPr>
            <w:r w:rsidRPr="00BF0A52">
              <w:rPr>
                <w:rFonts w:ascii="Arial" w:hAnsi="Arial" w:cs="Arial"/>
              </w:rPr>
              <w:t>1.45</w:t>
            </w:r>
          </w:p>
        </w:tc>
        <w:tc>
          <w:tcPr>
            <w:tcW w:w="775" w:type="pct"/>
            <w:hideMark/>
          </w:tcPr>
          <w:p w14:paraId="1A867FDB" w14:textId="77777777" w:rsidR="00BF0A52" w:rsidRPr="00BF0A52" w:rsidRDefault="00BF0A52" w:rsidP="00BF0A52">
            <w:pPr>
              <w:pStyle w:val="Body"/>
              <w:rPr>
                <w:rFonts w:ascii="Arial" w:hAnsi="Arial" w:cs="Arial"/>
              </w:rPr>
            </w:pPr>
            <w:r w:rsidRPr="00BF0A52">
              <w:rPr>
                <w:rFonts w:ascii="Arial" w:hAnsi="Arial" w:cs="Arial"/>
              </w:rPr>
              <w:t>57.65</w:t>
            </w:r>
          </w:p>
        </w:tc>
        <w:tc>
          <w:tcPr>
            <w:tcW w:w="718" w:type="pct"/>
            <w:hideMark/>
          </w:tcPr>
          <w:p w14:paraId="34E3A663" w14:textId="77777777" w:rsidR="00BF0A52" w:rsidRPr="00BF0A52" w:rsidRDefault="00BF0A52" w:rsidP="00BF0A52">
            <w:pPr>
              <w:pStyle w:val="Body"/>
              <w:rPr>
                <w:rFonts w:ascii="Arial" w:hAnsi="Arial" w:cs="Arial"/>
              </w:rPr>
            </w:pPr>
            <w:r w:rsidRPr="00BF0A52">
              <w:rPr>
                <w:rFonts w:ascii="Arial" w:hAnsi="Arial" w:cs="Arial"/>
              </w:rPr>
              <w:t>61.31</w:t>
            </w:r>
          </w:p>
        </w:tc>
      </w:tr>
      <w:tr w:rsidR="0086633B" w:rsidRPr="00BF0A52" w14:paraId="29C0398F" w14:textId="77777777" w:rsidTr="0086633B">
        <w:tc>
          <w:tcPr>
            <w:tcW w:w="1630" w:type="pct"/>
            <w:hideMark/>
          </w:tcPr>
          <w:p w14:paraId="014C075A" w14:textId="77777777" w:rsidR="00BF0A52" w:rsidRPr="00BF0A52" w:rsidRDefault="00BF0A52" w:rsidP="00BF0A52">
            <w:pPr>
              <w:pStyle w:val="Body"/>
              <w:rPr>
                <w:rFonts w:ascii="Arial" w:hAnsi="Arial" w:cs="Arial"/>
              </w:rPr>
            </w:pPr>
            <w:r w:rsidRPr="00BF0A52">
              <w:rPr>
                <w:rFonts w:ascii="Arial" w:hAnsi="Arial" w:cs="Arial"/>
                <w:b/>
                <w:bCs/>
              </w:rPr>
              <w:t>AEU 10</w:t>
            </w:r>
            <w:r w:rsidRPr="00BF0A52">
              <w:rPr>
                <w:rFonts w:ascii="Arial" w:hAnsi="Arial" w:cs="Arial"/>
              </w:rPr>
              <w:t xml:space="preserve"> (n=10)</w:t>
            </w:r>
          </w:p>
        </w:tc>
        <w:tc>
          <w:tcPr>
            <w:tcW w:w="617" w:type="pct"/>
            <w:hideMark/>
          </w:tcPr>
          <w:p w14:paraId="5CC2A750" w14:textId="77777777" w:rsidR="00BF0A52" w:rsidRPr="00BF0A52" w:rsidRDefault="00BF0A52" w:rsidP="00BF0A52">
            <w:pPr>
              <w:pStyle w:val="Body"/>
              <w:rPr>
                <w:rFonts w:ascii="Arial" w:hAnsi="Arial" w:cs="Arial"/>
              </w:rPr>
            </w:pPr>
            <w:r w:rsidRPr="00BF0A52">
              <w:rPr>
                <w:rFonts w:ascii="Arial" w:hAnsi="Arial" w:cs="Arial"/>
              </w:rPr>
              <w:t>0.93</w:t>
            </w:r>
          </w:p>
        </w:tc>
        <w:tc>
          <w:tcPr>
            <w:tcW w:w="617" w:type="pct"/>
            <w:hideMark/>
          </w:tcPr>
          <w:p w14:paraId="32999AEE" w14:textId="77777777" w:rsidR="00BF0A52" w:rsidRPr="00BF0A52" w:rsidRDefault="00BF0A52" w:rsidP="00BF0A52">
            <w:pPr>
              <w:pStyle w:val="Body"/>
              <w:rPr>
                <w:rFonts w:ascii="Arial" w:hAnsi="Arial" w:cs="Arial"/>
              </w:rPr>
            </w:pPr>
            <w:r w:rsidRPr="00BF0A52">
              <w:rPr>
                <w:rFonts w:ascii="Arial" w:hAnsi="Arial" w:cs="Arial"/>
              </w:rPr>
              <w:t>0.66</w:t>
            </w:r>
          </w:p>
        </w:tc>
        <w:tc>
          <w:tcPr>
            <w:tcW w:w="643" w:type="pct"/>
            <w:hideMark/>
          </w:tcPr>
          <w:p w14:paraId="49D96CDC" w14:textId="77777777" w:rsidR="00BF0A52" w:rsidRPr="00BF0A52" w:rsidRDefault="00BF0A52" w:rsidP="00BF0A52">
            <w:pPr>
              <w:pStyle w:val="Body"/>
              <w:rPr>
                <w:rFonts w:ascii="Arial" w:hAnsi="Arial" w:cs="Arial"/>
              </w:rPr>
            </w:pPr>
            <w:r w:rsidRPr="00BF0A52">
              <w:rPr>
                <w:rFonts w:ascii="Arial" w:hAnsi="Arial" w:cs="Arial"/>
              </w:rPr>
              <w:t>1.12</w:t>
            </w:r>
          </w:p>
        </w:tc>
        <w:tc>
          <w:tcPr>
            <w:tcW w:w="775" w:type="pct"/>
            <w:hideMark/>
          </w:tcPr>
          <w:p w14:paraId="353209F1" w14:textId="77777777" w:rsidR="00BF0A52" w:rsidRPr="00BF0A52" w:rsidRDefault="00BF0A52" w:rsidP="00BF0A52">
            <w:pPr>
              <w:pStyle w:val="Body"/>
              <w:rPr>
                <w:rFonts w:ascii="Arial" w:hAnsi="Arial" w:cs="Arial"/>
              </w:rPr>
            </w:pPr>
            <w:r w:rsidRPr="00BF0A52">
              <w:rPr>
                <w:rFonts w:ascii="Arial" w:hAnsi="Arial" w:cs="Arial"/>
              </w:rPr>
              <w:t>59.26</w:t>
            </w:r>
          </w:p>
        </w:tc>
        <w:tc>
          <w:tcPr>
            <w:tcW w:w="718" w:type="pct"/>
            <w:hideMark/>
          </w:tcPr>
          <w:p w14:paraId="5BB42A1B" w14:textId="77777777" w:rsidR="00BF0A52" w:rsidRPr="00BF0A52" w:rsidRDefault="00BF0A52" w:rsidP="00BF0A52">
            <w:pPr>
              <w:pStyle w:val="Body"/>
              <w:rPr>
                <w:rFonts w:ascii="Arial" w:hAnsi="Arial" w:cs="Arial"/>
              </w:rPr>
            </w:pPr>
            <w:r w:rsidRPr="00BF0A52">
              <w:rPr>
                <w:rFonts w:ascii="Arial" w:hAnsi="Arial" w:cs="Arial"/>
              </w:rPr>
              <w:t>62.26</w:t>
            </w:r>
          </w:p>
        </w:tc>
      </w:tr>
      <w:tr w:rsidR="0086633B" w:rsidRPr="00BF0A52" w14:paraId="0F9218A6" w14:textId="77777777" w:rsidTr="0086633B">
        <w:tc>
          <w:tcPr>
            <w:tcW w:w="1630" w:type="pct"/>
            <w:hideMark/>
          </w:tcPr>
          <w:p w14:paraId="4E6CDE11" w14:textId="77777777" w:rsidR="00BF0A52" w:rsidRPr="00BF0A52" w:rsidRDefault="00BF0A52" w:rsidP="00BF0A52">
            <w:pPr>
              <w:pStyle w:val="Body"/>
              <w:rPr>
                <w:rFonts w:ascii="Arial" w:hAnsi="Arial" w:cs="Arial"/>
              </w:rPr>
            </w:pPr>
            <w:r w:rsidRPr="00BF0A52">
              <w:rPr>
                <w:rFonts w:ascii="Arial" w:hAnsi="Arial" w:cs="Arial"/>
                <w:b/>
                <w:bCs/>
              </w:rPr>
              <w:t>AEU 11</w:t>
            </w:r>
            <w:r w:rsidRPr="00BF0A52">
              <w:rPr>
                <w:rFonts w:ascii="Arial" w:hAnsi="Arial" w:cs="Arial"/>
              </w:rPr>
              <w:t xml:space="preserve"> (n=10)</w:t>
            </w:r>
          </w:p>
        </w:tc>
        <w:tc>
          <w:tcPr>
            <w:tcW w:w="617" w:type="pct"/>
            <w:hideMark/>
          </w:tcPr>
          <w:p w14:paraId="41901814" w14:textId="77777777" w:rsidR="00BF0A52" w:rsidRPr="00BF0A52" w:rsidRDefault="00BF0A52" w:rsidP="00BF0A52">
            <w:pPr>
              <w:pStyle w:val="Body"/>
              <w:rPr>
                <w:rFonts w:ascii="Arial" w:hAnsi="Arial" w:cs="Arial"/>
              </w:rPr>
            </w:pPr>
            <w:r w:rsidRPr="00BF0A52">
              <w:rPr>
                <w:rFonts w:ascii="Arial" w:hAnsi="Arial" w:cs="Arial"/>
              </w:rPr>
              <w:t>0.90</w:t>
            </w:r>
          </w:p>
        </w:tc>
        <w:tc>
          <w:tcPr>
            <w:tcW w:w="617" w:type="pct"/>
            <w:hideMark/>
          </w:tcPr>
          <w:p w14:paraId="4FF8924E" w14:textId="77777777" w:rsidR="00BF0A52" w:rsidRPr="00BF0A52" w:rsidRDefault="00BF0A52" w:rsidP="00BF0A52">
            <w:pPr>
              <w:pStyle w:val="Body"/>
              <w:rPr>
                <w:rFonts w:ascii="Arial" w:hAnsi="Arial" w:cs="Arial"/>
              </w:rPr>
            </w:pPr>
            <w:r w:rsidRPr="00BF0A52">
              <w:rPr>
                <w:rFonts w:ascii="Arial" w:hAnsi="Arial" w:cs="Arial"/>
              </w:rPr>
              <w:t>0.75</w:t>
            </w:r>
          </w:p>
        </w:tc>
        <w:tc>
          <w:tcPr>
            <w:tcW w:w="643" w:type="pct"/>
            <w:hideMark/>
          </w:tcPr>
          <w:p w14:paraId="0E11886A" w14:textId="77777777" w:rsidR="00BF0A52" w:rsidRPr="00BF0A52" w:rsidRDefault="00BF0A52" w:rsidP="00BF0A52">
            <w:pPr>
              <w:pStyle w:val="Body"/>
              <w:rPr>
                <w:rFonts w:ascii="Arial" w:hAnsi="Arial" w:cs="Arial"/>
              </w:rPr>
            </w:pPr>
            <w:r w:rsidRPr="00BF0A52">
              <w:rPr>
                <w:rFonts w:ascii="Arial" w:hAnsi="Arial" w:cs="Arial"/>
              </w:rPr>
              <w:t>1.17</w:t>
            </w:r>
          </w:p>
        </w:tc>
        <w:tc>
          <w:tcPr>
            <w:tcW w:w="775" w:type="pct"/>
            <w:hideMark/>
          </w:tcPr>
          <w:p w14:paraId="51AB0853" w14:textId="77777777" w:rsidR="00BF0A52" w:rsidRPr="00BF0A52" w:rsidRDefault="00BF0A52" w:rsidP="00BF0A52">
            <w:pPr>
              <w:pStyle w:val="Body"/>
              <w:rPr>
                <w:rFonts w:ascii="Arial" w:hAnsi="Arial" w:cs="Arial"/>
              </w:rPr>
            </w:pPr>
            <w:r w:rsidRPr="00BF0A52">
              <w:rPr>
                <w:rFonts w:ascii="Arial" w:hAnsi="Arial" w:cs="Arial"/>
              </w:rPr>
              <w:t>60.08</w:t>
            </w:r>
          </w:p>
        </w:tc>
        <w:tc>
          <w:tcPr>
            <w:tcW w:w="718" w:type="pct"/>
            <w:hideMark/>
          </w:tcPr>
          <w:p w14:paraId="296B2C60" w14:textId="77777777" w:rsidR="00BF0A52" w:rsidRPr="00BF0A52" w:rsidRDefault="00BF0A52" w:rsidP="00BF0A52">
            <w:pPr>
              <w:pStyle w:val="Body"/>
              <w:rPr>
                <w:rFonts w:ascii="Arial" w:hAnsi="Arial" w:cs="Arial"/>
              </w:rPr>
            </w:pPr>
            <w:r w:rsidRPr="00BF0A52">
              <w:rPr>
                <w:rFonts w:ascii="Arial" w:hAnsi="Arial" w:cs="Arial"/>
              </w:rPr>
              <w:t>63.16</w:t>
            </w:r>
          </w:p>
        </w:tc>
      </w:tr>
    </w:tbl>
    <w:p w14:paraId="72C84D80" w14:textId="77777777" w:rsidR="00BF0A52" w:rsidRDefault="00BF0A52" w:rsidP="00BF0A52">
      <w:pPr>
        <w:pStyle w:val="Body"/>
        <w:spacing w:after="0"/>
        <w:rPr>
          <w:rFonts w:ascii="Arial" w:hAnsi="Arial" w:cs="Arial"/>
          <w:i/>
          <w:iCs/>
        </w:rPr>
      </w:pPr>
      <w:r w:rsidRPr="00BF0A52">
        <w:rPr>
          <w:rFonts w:ascii="Arial" w:hAnsi="Arial" w:cs="Arial"/>
          <w:i/>
          <w:iCs/>
        </w:rPr>
        <w:t xml:space="preserve">RS-B: Readily soluble; SA-B: </w:t>
      </w:r>
      <w:proofErr w:type="gramStart"/>
      <w:r w:rsidRPr="00BF0A52">
        <w:rPr>
          <w:rFonts w:ascii="Arial" w:hAnsi="Arial" w:cs="Arial"/>
          <w:i/>
          <w:iCs/>
        </w:rPr>
        <w:t>Specifically</w:t>
      </w:r>
      <w:proofErr w:type="gramEnd"/>
      <w:r w:rsidRPr="00BF0A52">
        <w:rPr>
          <w:rFonts w:ascii="Arial" w:hAnsi="Arial" w:cs="Arial"/>
          <w:i/>
          <w:iCs/>
        </w:rPr>
        <w:t xml:space="preserve"> adsorbed; OR-B: Organically bound; RES-B: Residual boron</w:t>
      </w:r>
    </w:p>
    <w:p w14:paraId="3370336F" w14:textId="77777777" w:rsidR="00BF0A52" w:rsidRPr="00BF0A52" w:rsidRDefault="00BF0A52" w:rsidP="00BF0A52">
      <w:pPr>
        <w:pStyle w:val="Body"/>
        <w:spacing w:after="0"/>
        <w:rPr>
          <w:rFonts w:ascii="Arial" w:hAnsi="Arial" w:cs="Arial"/>
        </w:rPr>
      </w:pPr>
    </w:p>
    <w:p w14:paraId="0952265B" w14:textId="2C7156CE" w:rsidR="00BF0A52" w:rsidRDefault="00301335" w:rsidP="00BF0A52">
      <w:pPr>
        <w:pStyle w:val="Body"/>
        <w:spacing w:after="0"/>
        <w:rPr>
          <w:rFonts w:ascii="Arial" w:hAnsi="Arial" w:cs="Arial"/>
        </w:rPr>
      </w:pPr>
      <w:r w:rsidRPr="00301335">
        <w:rPr>
          <w:rFonts w:ascii="Arial" w:hAnsi="Arial" w:cs="Arial"/>
        </w:rPr>
        <w:t xml:space="preserve">Residual boron showed extremely strong correlation with total boron (r = 0.99, P &lt; .001) but no correlation with available fractions, indicating limited transformation between unavailable and available pools (Das et al., 2023). Soil pH exhibited highly significant negative correlations with all available boron fractions (r = -0.78 to -0.97, P &lt; .001) (Table </w:t>
      </w:r>
      <w:r>
        <w:rPr>
          <w:rFonts w:ascii="Arial" w:hAnsi="Arial" w:cs="Arial"/>
        </w:rPr>
        <w:t>4</w:t>
      </w:r>
      <w:r w:rsidRPr="00301335">
        <w:rPr>
          <w:rFonts w:ascii="Arial" w:hAnsi="Arial" w:cs="Arial"/>
        </w:rPr>
        <w:t>), reflecting pH-dependent boron chemistry where acidic conditions favor uncharged boric acid formation, enhancing availability (Keren &amp; Bingham, 1985; Xu et al., 2001). Conversely, residual boron showed strong positive correlations with organic carbon (r = 0.96, P &lt; .001) and clay content (r = 0.86, P &lt; .001), indicating enhanced retention in fine-textured, organic matter-rich soils (</w:t>
      </w:r>
      <w:proofErr w:type="spellStart"/>
      <w:r w:rsidRPr="00301335">
        <w:rPr>
          <w:rFonts w:ascii="Arial" w:hAnsi="Arial" w:cs="Arial"/>
        </w:rPr>
        <w:t>Communar</w:t>
      </w:r>
      <w:proofErr w:type="spellEnd"/>
      <w:r w:rsidRPr="00301335">
        <w:rPr>
          <w:rFonts w:ascii="Arial" w:hAnsi="Arial" w:cs="Arial"/>
        </w:rPr>
        <w:t xml:space="preserve"> &amp; Keren, 2006; Goldberg &amp; Forster, 1991).</w:t>
      </w:r>
    </w:p>
    <w:p w14:paraId="2587557E" w14:textId="77777777" w:rsidR="00301335" w:rsidRPr="00BF0A52" w:rsidRDefault="00301335" w:rsidP="00BF0A52">
      <w:pPr>
        <w:pStyle w:val="Body"/>
        <w:spacing w:after="0"/>
        <w:rPr>
          <w:rFonts w:ascii="Arial" w:hAnsi="Arial" w:cs="Arial"/>
        </w:rPr>
      </w:pPr>
    </w:p>
    <w:p w14:paraId="2F963877" w14:textId="66EE311E" w:rsidR="00BF0A52" w:rsidRPr="00BF0A52" w:rsidRDefault="00BF0A52" w:rsidP="00BF0A52">
      <w:pPr>
        <w:pStyle w:val="Body"/>
        <w:spacing w:after="0"/>
        <w:rPr>
          <w:rFonts w:ascii="Arial" w:hAnsi="Arial" w:cs="Arial"/>
        </w:rPr>
      </w:pPr>
      <w:r w:rsidRPr="00BF0A52">
        <w:rPr>
          <w:rFonts w:ascii="Arial" w:hAnsi="Arial" w:cs="Arial"/>
          <w:b/>
          <w:bCs/>
        </w:rPr>
        <w:lastRenderedPageBreak/>
        <w:t xml:space="preserve">Table </w:t>
      </w:r>
      <w:r w:rsidR="00726CD6">
        <w:rPr>
          <w:rFonts w:ascii="Arial" w:hAnsi="Arial" w:cs="Arial"/>
          <w:b/>
          <w:bCs/>
        </w:rPr>
        <w:t>4</w:t>
      </w:r>
      <w:r w:rsidRPr="00BF0A52">
        <w:rPr>
          <w:rFonts w:ascii="Arial" w:hAnsi="Arial" w:cs="Arial"/>
          <w:b/>
          <w:bCs/>
        </w:rPr>
        <w:t>. Key correlations of boron fractions with soil properties</w:t>
      </w:r>
    </w:p>
    <w:tbl>
      <w:tblPr>
        <w:tblStyle w:val="TableGridLight"/>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592"/>
        <w:gridCol w:w="1592"/>
        <w:gridCol w:w="1444"/>
        <w:gridCol w:w="1363"/>
      </w:tblGrid>
      <w:tr w:rsidR="00BF0A52" w:rsidRPr="00BF0A52" w14:paraId="59E892B5" w14:textId="77777777" w:rsidTr="0086633B">
        <w:tc>
          <w:tcPr>
            <w:tcW w:w="1357" w:type="pct"/>
            <w:hideMark/>
          </w:tcPr>
          <w:p w14:paraId="31010B0B" w14:textId="77777777" w:rsidR="00BF0A52" w:rsidRPr="00BF0A52" w:rsidRDefault="00BF0A52" w:rsidP="00BF0A52">
            <w:pPr>
              <w:pStyle w:val="Body"/>
              <w:rPr>
                <w:rFonts w:ascii="Arial" w:hAnsi="Arial" w:cs="Arial"/>
                <w:b/>
                <w:bCs/>
              </w:rPr>
            </w:pPr>
            <w:r w:rsidRPr="00BF0A52">
              <w:rPr>
                <w:rFonts w:ascii="Arial" w:hAnsi="Arial" w:cs="Arial"/>
                <w:b/>
                <w:bCs/>
              </w:rPr>
              <w:t>Parameter</w:t>
            </w:r>
          </w:p>
        </w:tc>
        <w:tc>
          <w:tcPr>
            <w:tcW w:w="968" w:type="pct"/>
            <w:hideMark/>
          </w:tcPr>
          <w:p w14:paraId="1011685C" w14:textId="77777777" w:rsidR="00BF0A52" w:rsidRPr="00BF0A52" w:rsidRDefault="00BF0A52" w:rsidP="00BF0A52">
            <w:pPr>
              <w:pStyle w:val="Body"/>
              <w:rPr>
                <w:rFonts w:ascii="Arial" w:hAnsi="Arial" w:cs="Arial"/>
                <w:b/>
                <w:bCs/>
              </w:rPr>
            </w:pPr>
            <w:r w:rsidRPr="00BF0A52">
              <w:rPr>
                <w:rFonts w:ascii="Arial" w:hAnsi="Arial" w:cs="Arial"/>
                <w:b/>
                <w:bCs/>
              </w:rPr>
              <w:t>RS-B</w:t>
            </w:r>
          </w:p>
        </w:tc>
        <w:tc>
          <w:tcPr>
            <w:tcW w:w="968" w:type="pct"/>
            <w:hideMark/>
          </w:tcPr>
          <w:p w14:paraId="06DD5037" w14:textId="77777777" w:rsidR="00BF0A52" w:rsidRPr="00BF0A52" w:rsidRDefault="00BF0A52" w:rsidP="00BF0A52">
            <w:pPr>
              <w:pStyle w:val="Body"/>
              <w:rPr>
                <w:rFonts w:ascii="Arial" w:hAnsi="Arial" w:cs="Arial"/>
                <w:b/>
                <w:bCs/>
              </w:rPr>
            </w:pPr>
            <w:r w:rsidRPr="00BF0A52">
              <w:rPr>
                <w:rFonts w:ascii="Arial" w:hAnsi="Arial" w:cs="Arial"/>
                <w:b/>
                <w:bCs/>
              </w:rPr>
              <w:t>SA-B</w:t>
            </w:r>
          </w:p>
        </w:tc>
        <w:tc>
          <w:tcPr>
            <w:tcW w:w="878" w:type="pct"/>
            <w:hideMark/>
          </w:tcPr>
          <w:p w14:paraId="735B09B2" w14:textId="77777777" w:rsidR="00BF0A52" w:rsidRPr="00BF0A52" w:rsidRDefault="00BF0A52" w:rsidP="00BF0A52">
            <w:pPr>
              <w:pStyle w:val="Body"/>
              <w:rPr>
                <w:rFonts w:ascii="Arial" w:hAnsi="Arial" w:cs="Arial"/>
                <w:b/>
                <w:bCs/>
              </w:rPr>
            </w:pPr>
            <w:r w:rsidRPr="00BF0A52">
              <w:rPr>
                <w:rFonts w:ascii="Arial" w:hAnsi="Arial" w:cs="Arial"/>
                <w:b/>
                <w:bCs/>
              </w:rPr>
              <w:t>RES-B</w:t>
            </w:r>
          </w:p>
        </w:tc>
        <w:tc>
          <w:tcPr>
            <w:tcW w:w="829" w:type="pct"/>
            <w:hideMark/>
          </w:tcPr>
          <w:p w14:paraId="068FE8F4" w14:textId="77777777" w:rsidR="00BF0A52" w:rsidRPr="00BF0A52" w:rsidRDefault="00BF0A52" w:rsidP="00BF0A52">
            <w:pPr>
              <w:pStyle w:val="Body"/>
              <w:rPr>
                <w:rFonts w:ascii="Arial" w:hAnsi="Arial" w:cs="Arial"/>
                <w:b/>
                <w:bCs/>
              </w:rPr>
            </w:pPr>
            <w:r w:rsidRPr="00BF0A52">
              <w:rPr>
                <w:rFonts w:ascii="Arial" w:hAnsi="Arial" w:cs="Arial"/>
                <w:b/>
                <w:bCs/>
              </w:rPr>
              <w:t>Total B</w:t>
            </w:r>
          </w:p>
        </w:tc>
      </w:tr>
      <w:tr w:rsidR="00BF0A52" w:rsidRPr="00BF0A52" w14:paraId="681924C4" w14:textId="77777777" w:rsidTr="0086633B">
        <w:tc>
          <w:tcPr>
            <w:tcW w:w="1357" w:type="pct"/>
            <w:hideMark/>
          </w:tcPr>
          <w:p w14:paraId="4A512130" w14:textId="77777777" w:rsidR="00BF0A52" w:rsidRPr="00BF0A52" w:rsidRDefault="00BF0A52" w:rsidP="00BF0A52">
            <w:pPr>
              <w:pStyle w:val="Body"/>
              <w:rPr>
                <w:rFonts w:ascii="Arial" w:hAnsi="Arial" w:cs="Arial"/>
              </w:rPr>
            </w:pPr>
            <w:r w:rsidRPr="00BF0A52">
              <w:rPr>
                <w:rFonts w:ascii="Arial" w:hAnsi="Arial" w:cs="Arial"/>
                <w:b/>
                <w:bCs/>
              </w:rPr>
              <w:t>pH</w:t>
            </w:r>
          </w:p>
        </w:tc>
        <w:tc>
          <w:tcPr>
            <w:tcW w:w="968" w:type="pct"/>
            <w:hideMark/>
          </w:tcPr>
          <w:p w14:paraId="25731CCF" w14:textId="77777777" w:rsidR="00BF0A52" w:rsidRPr="00BF0A52" w:rsidRDefault="00BF0A52" w:rsidP="00BF0A52">
            <w:pPr>
              <w:pStyle w:val="Body"/>
              <w:rPr>
                <w:rFonts w:ascii="Arial" w:hAnsi="Arial" w:cs="Arial"/>
              </w:rPr>
            </w:pPr>
            <w:r w:rsidRPr="00BF0A52">
              <w:rPr>
                <w:rFonts w:ascii="Arial" w:hAnsi="Arial" w:cs="Arial"/>
              </w:rPr>
              <w:t>-0.78***</w:t>
            </w:r>
          </w:p>
        </w:tc>
        <w:tc>
          <w:tcPr>
            <w:tcW w:w="968" w:type="pct"/>
            <w:hideMark/>
          </w:tcPr>
          <w:p w14:paraId="4C24FA07" w14:textId="77777777" w:rsidR="00BF0A52" w:rsidRPr="00BF0A52" w:rsidRDefault="00BF0A52" w:rsidP="00BF0A52">
            <w:pPr>
              <w:pStyle w:val="Body"/>
              <w:rPr>
                <w:rFonts w:ascii="Arial" w:hAnsi="Arial" w:cs="Arial"/>
              </w:rPr>
            </w:pPr>
            <w:r w:rsidRPr="00BF0A52">
              <w:rPr>
                <w:rFonts w:ascii="Arial" w:hAnsi="Arial" w:cs="Arial"/>
              </w:rPr>
              <w:t>-0.95***</w:t>
            </w:r>
          </w:p>
        </w:tc>
        <w:tc>
          <w:tcPr>
            <w:tcW w:w="878" w:type="pct"/>
            <w:hideMark/>
          </w:tcPr>
          <w:p w14:paraId="4198CDA9" w14:textId="77777777" w:rsidR="00BF0A52" w:rsidRPr="00BF0A52" w:rsidRDefault="00BF0A52" w:rsidP="00BF0A52">
            <w:pPr>
              <w:pStyle w:val="Body"/>
              <w:rPr>
                <w:rFonts w:ascii="Arial" w:hAnsi="Arial" w:cs="Arial"/>
              </w:rPr>
            </w:pPr>
            <w:r w:rsidRPr="00BF0A52">
              <w:rPr>
                <w:rFonts w:ascii="Arial" w:hAnsi="Arial" w:cs="Arial"/>
              </w:rPr>
              <w:t>NS</w:t>
            </w:r>
          </w:p>
        </w:tc>
        <w:tc>
          <w:tcPr>
            <w:tcW w:w="829" w:type="pct"/>
            <w:hideMark/>
          </w:tcPr>
          <w:p w14:paraId="1E16B48C"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09CA58A5" w14:textId="77777777" w:rsidTr="0086633B">
        <w:tc>
          <w:tcPr>
            <w:tcW w:w="1357" w:type="pct"/>
            <w:hideMark/>
          </w:tcPr>
          <w:p w14:paraId="27A45F1A" w14:textId="77777777" w:rsidR="00BF0A52" w:rsidRPr="00BF0A52" w:rsidRDefault="00BF0A52" w:rsidP="00BF0A52">
            <w:pPr>
              <w:pStyle w:val="Body"/>
              <w:rPr>
                <w:rFonts w:ascii="Arial" w:hAnsi="Arial" w:cs="Arial"/>
              </w:rPr>
            </w:pPr>
            <w:r w:rsidRPr="00BF0A52">
              <w:rPr>
                <w:rFonts w:ascii="Arial" w:hAnsi="Arial" w:cs="Arial"/>
                <w:b/>
                <w:bCs/>
              </w:rPr>
              <w:t>OC</w:t>
            </w:r>
          </w:p>
        </w:tc>
        <w:tc>
          <w:tcPr>
            <w:tcW w:w="968" w:type="pct"/>
            <w:hideMark/>
          </w:tcPr>
          <w:p w14:paraId="67E13180" w14:textId="77777777" w:rsidR="00BF0A52" w:rsidRPr="00BF0A52" w:rsidRDefault="00BF0A52" w:rsidP="00BF0A52">
            <w:pPr>
              <w:pStyle w:val="Body"/>
              <w:rPr>
                <w:rFonts w:ascii="Arial" w:hAnsi="Arial" w:cs="Arial"/>
              </w:rPr>
            </w:pPr>
            <w:r w:rsidRPr="00BF0A52">
              <w:rPr>
                <w:rFonts w:ascii="Arial" w:hAnsi="Arial" w:cs="Arial"/>
              </w:rPr>
              <w:t>NS</w:t>
            </w:r>
          </w:p>
        </w:tc>
        <w:tc>
          <w:tcPr>
            <w:tcW w:w="968" w:type="pct"/>
            <w:hideMark/>
          </w:tcPr>
          <w:p w14:paraId="4534D929" w14:textId="77777777" w:rsidR="00BF0A52" w:rsidRPr="00BF0A52" w:rsidRDefault="00BF0A52" w:rsidP="00BF0A52">
            <w:pPr>
              <w:pStyle w:val="Body"/>
              <w:rPr>
                <w:rFonts w:ascii="Arial" w:hAnsi="Arial" w:cs="Arial"/>
              </w:rPr>
            </w:pPr>
            <w:r w:rsidRPr="00BF0A52">
              <w:rPr>
                <w:rFonts w:ascii="Arial" w:hAnsi="Arial" w:cs="Arial"/>
              </w:rPr>
              <w:t>NS</w:t>
            </w:r>
          </w:p>
        </w:tc>
        <w:tc>
          <w:tcPr>
            <w:tcW w:w="878" w:type="pct"/>
            <w:hideMark/>
          </w:tcPr>
          <w:p w14:paraId="177BD5AF" w14:textId="77777777" w:rsidR="00BF0A52" w:rsidRPr="00BF0A52" w:rsidRDefault="00BF0A52" w:rsidP="00BF0A52">
            <w:pPr>
              <w:pStyle w:val="Body"/>
              <w:rPr>
                <w:rFonts w:ascii="Arial" w:hAnsi="Arial" w:cs="Arial"/>
              </w:rPr>
            </w:pPr>
            <w:r w:rsidRPr="00BF0A52">
              <w:rPr>
                <w:rFonts w:ascii="Arial" w:hAnsi="Arial" w:cs="Arial"/>
              </w:rPr>
              <w:t>0.96***</w:t>
            </w:r>
          </w:p>
        </w:tc>
        <w:tc>
          <w:tcPr>
            <w:tcW w:w="829" w:type="pct"/>
            <w:hideMark/>
          </w:tcPr>
          <w:p w14:paraId="04C1619C" w14:textId="77777777" w:rsidR="00BF0A52" w:rsidRPr="00BF0A52" w:rsidRDefault="00BF0A52" w:rsidP="00BF0A52">
            <w:pPr>
              <w:pStyle w:val="Body"/>
              <w:rPr>
                <w:rFonts w:ascii="Arial" w:hAnsi="Arial" w:cs="Arial"/>
              </w:rPr>
            </w:pPr>
            <w:r w:rsidRPr="00BF0A52">
              <w:rPr>
                <w:rFonts w:ascii="Arial" w:hAnsi="Arial" w:cs="Arial"/>
              </w:rPr>
              <w:t>0.96***</w:t>
            </w:r>
          </w:p>
        </w:tc>
      </w:tr>
      <w:tr w:rsidR="00BF0A52" w:rsidRPr="00BF0A52" w14:paraId="075CE468" w14:textId="77777777" w:rsidTr="0086633B">
        <w:tc>
          <w:tcPr>
            <w:tcW w:w="1357" w:type="pct"/>
            <w:hideMark/>
          </w:tcPr>
          <w:p w14:paraId="32B7638C" w14:textId="77777777" w:rsidR="00BF0A52" w:rsidRPr="00BF0A52" w:rsidRDefault="00BF0A52" w:rsidP="00BF0A52">
            <w:pPr>
              <w:pStyle w:val="Body"/>
              <w:rPr>
                <w:rFonts w:ascii="Arial" w:hAnsi="Arial" w:cs="Arial"/>
              </w:rPr>
            </w:pPr>
            <w:r w:rsidRPr="00BF0A52">
              <w:rPr>
                <w:rFonts w:ascii="Arial" w:hAnsi="Arial" w:cs="Arial"/>
                <w:b/>
                <w:bCs/>
              </w:rPr>
              <w:t>CEC</w:t>
            </w:r>
          </w:p>
        </w:tc>
        <w:tc>
          <w:tcPr>
            <w:tcW w:w="968" w:type="pct"/>
            <w:hideMark/>
          </w:tcPr>
          <w:p w14:paraId="4072AEC7" w14:textId="77777777" w:rsidR="00BF0A52" w:rsidRPr="00BF0A52" w:rsidRDefault="00BF0A52" w:rsidP="00BF0A52">
            <w:pPr>
              <w:pStyle w:val="Body"/>
              <w:rPr>
                <w:rFonts w:ascii="Arial" w:hAnsi="Arial" w:cs="Arial"/>
              </w:rPr>
            </w:pPr>
            <w:r w:rsidRPr="00BF0A52">
              <w:rPr>
                <w:rFonts w:ascii="Arial" w:hAnsi="Arial" w:cs="Arial"/>
              </w:rPr>
              <w:t>-0.32*</w:t>
            </w:r>
          </w:p>
        </w:tc>
        <w:tc>
          <w:tcPr>
            <w:tcW w:w="968" w:type="pct"/>
            <w:hideMark/>
          </w:tcPr>
          <w:p w14:paraId="0AA7D59F" w14:textId="77777777" w:rsidR="00BF0A52" w:rsidRPr="00BF0A52" w:rsidRDefault="00BF0A52" w:rsidP="00BF0A52">
            <w:pPr>
              <w:pStyle w:val="Body"/>
              <w:rPr>
                <w:rFonts w:ascii="Arial" w:hAnsi="Arial" w:cs="Arial"/>
              </w:rPr>
            </w:pPr>
            <w:r w:rsidRPr="00BF0A52">
              <w:rPr>
                <w:rFonts w:ascii="Arial" w:hAnsi="Arial" w:cs="Arial"/>
              </w:rPr>
              <w:t>-0.43**</w:t>
            </w:r>
          </w:p>
        </w:tc>
        <w:tc>
          <w:tcPr>
            <w:tcW w:w="878" w:type="pct"/>
            <w:hideMark/>
          </w:tcPr>
          <w:p w14:paraId="63BAF99E" w14:textId="77777777" w:rsidR="00BF0A52" w:rsidRPr="00BF0A52" w:rsidRDefault="00BF0A52" w:rsidP="00BF0A52">
            <w:pPr>
              <w:pStyle w:val="Body"/>
              <w:rPr>
                <w:rFonts w:ascii="Arial" w:hAnsi="Arial" w:cs="Arial"/>
              </w:rPr>
            </w:pPr>
            <w:r w:rsidRPr="00BF0A52">
              <w:rPr>
                <w:rFonts w:ascii="Arial" w:hAnsi="Arial" w:cs="Arial"/>
              </w:rPr>
              <w:t>0.68***</w:t>
            </w:r>
          </w:p>
        </w:tc>
        <w:tc>
          <w:tcPr>
            <w:tcW w:w="829" w:type="pct"/>
            <w:hideMark/>
          </w:tcPr>
          <w:p w14:paraId="17071FD5" w14:textId="77777777" w:rsidR="00BF0A52" w:rsidRPr="00BF0A52" w:rsidRDefault="00BF0A52" w:rsidP="00BF0A52">
            <w:pPr>
              <w:pStyle w:val="Body"/>
              <w:rPr>
                <w:rFonts w:ascii="Arial" w:hAnsi="Arial" w:cs="Arial"/>
              </w:rPr>
            </w:pPr>
            <w:r w:rsidRPr="00BF0A52">
              <w:rPr>
                <w:rFonts w:ascii="Arial" w:hAnsi="Arial" w:cs="Arial"/>
              </w:rPr>
              <w:t>0.65***</w:t>
            </w:r>
          </w:p>
        </w:tc>
      </w:tr>
      <w:tr w:rsidR="00BF0A52" w:rsidRPr="00BF0A52" w14:paraId="0EEF8BE3" w14:textId="77777777" w:rsidTr="0086633B">
        <w:tc>
          <w:tcPr>
            <w:tcW w:w="1357" w:type="pct"/>
            <w:hideMark/>
          </w:tcPr>
          <w:p w14:paraId="11B31BD6" w14:textId="77777777" w:rsidR="00BF0A52" w:rsidRPr="00BF0A52" w:rsidRDefault="00BF0A52" w:rsidP="00BF0A52">
            <w:pPr>
              <w:pStyle w:val="Body"/>
              <w:rPr>
                <w:rFonts w:ascii="Arial" w:hAnsi="Arial" w:cs="Arial"/>
              </w:rPr>
            </w:pPr>
            <w:r w:rsidRPr="00BF0A52">
              <w:rPr>
                <w:rFonts w:ascii="Arial" w:hAnsi="Arial" w:cs="Arial"/>
                <w:b/>
                <w:bCs/>
              </w:rPr>
              <w:t>Av. Fe</w:t>
            </w:r>
          </w:p>
        </w:tc>
        <w:tc>
          <w:tcPr>
            <w:tcW w:w="968" w:type="pct"/>
            <w:hideMark/>
          </w:tcPr>
          <w:p w14:paraId="1F3FA11C" w14:textId="77777777" w:rsidR="00BF0A52" w:rsidRPr="00BF0A52" w:rsidRDefault="00BF0A52" w:rsidP="00BF0A52">
            <w:pPr>
              <w:pStyle w:val="Body"/>
              <w:rPr>
                <w:rFonts w:ascii="Arial" w:hAnsi="Arial" w:cs="Arial"/>
              </w:rPr>
            </w:pPr>
            <w:r w:rsidRPr="00BF0A52">
              <w:rPr>
                <w:rFonts w:ascii="Arial" w:hAnsi="Arial" w:cs="Arial"/>
              </w:rPr>
              <w:t>0.72***</w:t>
            </w:r>
          </w:p>
        </w:tc>
        <w:tc>
          <w:tcPr>
            <w:tcW w:w="968" w:type="pct"/>
            <w:hideMark/>
          </w:tcPr>
          <w:p w14:paraId="671463C5" w14:textId="77777777" w:rsidR="00BF0A52" w:rsidRPr="00BF0A52" w:rsidRDefault="00BF0A52" w:rsidP="00BF0A52">
            <w:pPr>
              <w:pStyle w:val="Body"/>
              <w:rPr>
                <w:rFonts w:ascii="Arial" w:hAnsi="Arial" w:cs="Arial"/>
              </w:rPr>
            </w:pPr>
            <w:r w:rsidRPr="00BF0A52">
              <w:rPr>
                <w:rFonts w:ascii="Arial" w:hAnsi="Arial" w:cs="Arial"/>
              </w:rPr>
              <w:t>0.89***</w:t>
            </w:r>
          </w:p>
        </w:tc>
        <w:tc>
          <w:tcPr>
            <w:tcW w:w="878" w:type="pct"/>
            <w:hideMark/>
          </w:tcPr>
          <w:p w14:paraId="14446A0A" w14:textId="77777777" w:rsidR="00BF0A52" w:rsidRPr="00BF0A52" w:rsidRDefault="00BF0A52" w:rsidP="00BF0A52">
            <w:pPr>
              <w:pStyle w:val="Body"/>
              <w:rPr>
                <w:rFonts w:ascii="Arial" w:hAnsi="Arial" w:cs="Arial"/>
              </w:rPr>
            </w:pPr>
            <w:r w:rsidRPr="00BF0A52">
              <w:rPr>
                <w:rFonts w:ascii="Arial" w:hAnsi="Arial" w:cs="Arial"/>
              </w:rPr>
              <w:t>NS</w:t>
            </w:r>
          </w:p>
        </w:tc>
        <w:tc>
          <w:tcPr>
            <w:tcW w:w="829" w:type="pct"/>
            <w:hideMark/>
          </w:tcPr>
          <w:p w14:paraId="1FA4C392"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67280ADC" w14:textId="77777777" w:rsidTr="0086633B">
        <w:tc>
          <w:tcPr>
            <w:tcW w:w="1357" w:type="pct"/>
            <w:hideMark/>
          </w:tcPr>
          <w:p w14:paraId="16D640C2" w14:textId="77777777" w:rsidR="00BF0A52" w:rsidRPr="00BF0A52" w:rsidRDefault="00BF0A52" w:rsidP="00BF0A52">
            <w:pPr>
              <w:pStyle w:val="Body"/>
              <w:rPr>
                <w:rFonts w:ascii="Arial" w:hAnsi="Arial" w:cs="Arial"/>
              </w:rPr>
            </w:pPr>
            <w:r w:rsidRPr="00BF0A52">
              <w:rPr>
                <w:rFonts w:ascii="Arial" w:hAnsi="Arial" w:cs="Arial"/>
                <w:b/>
                <w:bCs/>
              </w:rPr>
              <w:t>Ex. Al</w:t>
            </w:r>
          </w:p>
        </w:tc>
        <w:tc>
          <w:tcPr>
            <w:tcW w:w="968" w:type="pct"/>
            <w:hideMark/>
          </w:tcPr>
          <w:p w14:paraId="347F1C48" w14:textId="77777777" w:rsidR="00BF0A52" w:rsidRPr="00BF0A52" w:rsidRDefault="00BF0A52" w:rsidP="00BF0A52">
            <w:pPr>
              <w:pStyle w:val="Body"/>
              <w:rPr>
                <w:rFonts w:ascii="Arial" w:hAnsi="Arial" w:cs="Arial"/>
              </w:rPr>
            </w:pPr>
            <w:r w:rsidRPr="00BF0A52">
              <w:rPr>
                <w:rFonts w:ascii="Arial" w:hAnsi="Arial" w:cs="Arial"/>
              </w:rPr>
              <w:t>0.74***</w:t>
            </w:r>
          </w:p>
        </w:tc>
        <w:tc>
          <w:tcPr>
            <w:tcW w:w="968" w:type="pct"/>
            <w:hideMark/>
          </w:tcPr>
          <w:p w14:paraId="0B6CCCC7" w14:textId="77777777" w:rsidR="00BF0A52" w:rsidRPr="00BF0A52" w:rsidRDefault="00BF0A52" w:rsidP="00BF0A52">
            <w:pPr>
              <w:pStyle w:val="Body"/>
              <w:rPr>
                <w:rFonts w:ascii="Arial" w:hAnsi="Arial" w:cs="Arial"/>
              </w:rPr>
            </w:pPr>
            <w:r w:rsidRPr="00BF0A52">
              <w:rPr>
                <w:rFonts w:ascii="Arial" w:hAnsi="Arial" w:cs="Arial"/>
              </w:rPr>
              <w:t>0.92***</w:t>
            </w:r>
          </w:p>
        </w:tc>
        <w:tc>
          <w:tcPr>
            <w:tcW w:w="878" w:type="pct"/>
            <w:hideMark/>
          </w:tcPr>
          <w:p w14:paraId="67F8A0DE" w14:textId="77777777" w:rsidR="00BF0A52" w:rsidRPr="00BF0A52" w:rsidRDefault="00BF0A52" w:rsidP="00BF0A52">
            <w:pPr>
              <w:pStyle w:val="Body"/>
              <w:rPr>
                <w:rFonts w:ascii="Arial" w:hAnsi="Arial" w:cs="Arial"/>
              </w:rPr>
            </w:pPr>
            <w:r w:rsidRPr="00BF0A52">
              <w:rPr>
                <w:rFonts w:ascii="Arial" w:hAnsi="Arial" w:cs="Arial"/>
              </w:rPr>
              <w:t>NS</w:t>
            </w:r>
          </w:p>
        </w:tc>
        <w:tc>
          <w:tcPr>
            <w:tcW w:w="829" w:type="pct"/>
            <w:hideMark/>
          </w:tcPr>
          <w:p w14:paraId="484055CA" w14:textId="77777777" w:rsidR="00BF0A52" w:rsidRPr="00BF0A52" w:rsidRDefault="00BF0A52" w:rsidP="00BF0A52">
            <w:pPr>
              <w:pStyle w:val="Body"/>
              <w:rPr>
                <w:rFonts w:ascii="Arial" w:hAnsi="Arial" w:cs="Arial"/>
              </w:rPr>
            </w:pPr>
            <w:r w:rsidRPr="00BF0A52">
              <w:rPr>
                <w:rFonts w:ascii="Arial" w:hAnsi="Arial" w:cs="Arial"/>
              </w:rPr>
              <w:t>NS</w:t>
            </w:r>
          </w:p>
        </w:tc>
      </w:tr>
      <w:tr w:rsidR="00BF0A52" w:rsidRPr="00BF0A52" w14:paraId="0E08F3C0" w14:textId="77777777" w:rsidTr="0086633B">
        <w:tc>
          <w:tcPr>
            <w:tcW w:w="1357" w:type="pct"/>
            <w:hideMark/>
          </w:tcPr>
          <w:p w14:paraId="06358A05" w14:textId="77777777" w:rsidR="00BF0A52" w:rsidRPr="00BF0A52" w:rsidRDefault="00BF0A52" w:rsidP="00BF0A52">
            <w:pPr>
              <w:pStyle w:val="Body"/>
              <w:rPr>
                <w:rFonts w:ascii="Arial" w:hAnsi="Arial" w:cs="Arial"/>
              </w:rPr>
            </w:pPr>
            <w:r w:rsidRPr="00BF0A52">
              <w:rPr>
                <w:rFonts w:ascii="Arial" w:hAnsi="Arial" w:cs="Arial"/>
                <w:b/>
                <w:bCs/>
              </w:rPr>
              <w:t>Clay</w:t>
            </w:r>
          </w:p>
        </w:tc>
        <w:tc>
          <w:tcPr>
            <w:tcW w:w="968" w:type="pct"/>
            <w:hideMark/>
          </w:tcPr>
          <w:p w14:paraId="4EFC8B1A" w14:textId="77777777" w:rsidR="00BF0A52" w:rsidRPr="00BF0A52" w:rsidRDefault="00BF0A52" w:rsidP="00BF0A52">
            <w:pPr>
              <w:pStyle w:val="Body"/>
              <w:rPr>
                <w:rFonts w:ascii="Arial" w:hAnsi="Arial" w:cs="Arial"/>
              </w:rPr>
            </w:pPr>
            <w:r w:rsidRPr="00BF0A52">
              <w:rPr>
                <w:rFonts w:ascii="Arial" w:hAnsi="Arial" w:cs="Arial"/>
              </w:rPr>
              <w:t>NS</w:t>
            </w:r>
          </w:p>
        </w:tc>
        <w:tc>
          <w:tcPr>
            <w:tcW w:w="968" w:type="pct"/>
            <w:hideMark/>
          </w:tcPr>
          <w:p w14:paraId="49714182" w14:textId="77777777" w:rsidR="00BF0A52" w:rsidRPr="00BF0A52" w:rsidRDefault="00BF0A52" w:rsidP="00BF0A52">
            <w:pPr>
              <w:pStyle w:val="Body"/>
              <w:rPr>
                <w:rFonts w:ascii="Arial" w:hAnsi="Arial" w:cs="Arial"/>
              </w:rPr>
            </w:pPr>
            <w:r w:rsidRPr="00BF0A52">
              <w:rPr>
                <w:rFonts w:ascii="Arial" w:hAnsi="Arial" w:cs="Arial"/>
              </w:rPr>
              <w:t>NS</w:t>
            </w:r>
          </w:p>
        </w:tc>
        <w:tc>
          <w:tcPr>
            <w:tcW w:w="878" w:type="pct"/>
            <w:hideMark/>
          </w:tcPr>
          <w:p w14:paraId="18EAE2A2" w14:textId="77777777" w:rsidR="00BF0A52" w:rsidRPr="00BF0A52" w:rsidRDefault="00BF0A52" w:rsidP="00BF0A52">
            <w:pPr>
              <w:pStyle w:val="Body"/>
              <w:rPr>
                <w:rFonts w:ascii="Arial" w:hAnsi="Arial" w:cs="Arial"/>
              </w:rPr>
            </w:pPr>
            <w:r w:rsidRPr="00BF0A52">
              <w:rPr>
                <w:rFonts w:ascii="Arial" w:hAnsi="Arial" w:cs="Arial"/>
              </w:rPr>
              <w:t>0.86***</w:t>
            </w:r>
          </w:p>
        </w:tc>
        <w:tc>
          <w:tcPr>
            <w:tcW w:w="829" w:type="pct"/>
            <w:hideMark/>
          </w:tcPr>
          <w:p w14:paraId="0605227E" w14:textId="77777777" w:rsidR="00BF0A52" w:rsidRPr="00BF0A52" w:rsidRDefault="00BF0A52" w:rsidP="00BF0A52">
            <w:pPr>
              <w:pStyle w:val="Body"/>
              <w:rPr>
                <w:rFonts w:ascii="Arial" w:hAnsi="Arial" w:cs="Arial"/>
              </w:rPr>
            </w:pPr>
            <w:r w:rsidRPr="00BF0A52">
              <w:rPr>
                <w:rFonts w:ascii="Arial" w:hAnsi="Arial" w:cs="Arial"/>
              </w:rPr>
              <w:t>0.86***</w:t>
            </w:r>
          </w:p>
        </w:tc>
      </w:tr>
    </w:tbl>
    <w:p w14:paraId="087BB42A" w14:textId="77777777" w:rsidR="00BF0A52" w:rsidRPr="00BF0A52" w:rsidRDefault="00BF0A52" w:rsidP="00BF0A52">
      <w:pPr>
        <w:pStyle w:val="Body"/>
        <w:spacing w:after="0"/>
        <w:rPr>
          <w:rFonts w:ascii="Arial" w:hAnsi="Arial" w:cs="Arial"/>
        </w:rPr>
      </w:pPr>
      <w:r w:rsidRPr="00BF0A52">
        <w:rPr>
          <w:rFonts w:ascii="Arial" w:hAnsi="Arial" w:cs="Arial"/>
          <w:i/>
          <w:iCs/>
        </w:rPr>
        <w:t xml:space="preserve">*** P &lt; .001, ** P &lt; .01, * P &lt; .05; NS: Not significant; OC: Organic carbon; CEC: Cation exchange capacity; Av. Fe: Available iron; Ex. Al: Exchangeable </w:t>
      </w:r>
      <w:proofErr w:type="spellStart"/>
      <w:r w:rsidRPr="00BF0A52">
        <w:rPr>
          <w:rFonts w:ascii="Arial" w:hAnsi="Arial" w:cs="Arial"/>
          <w:i/>
          <w:iCs/>
        </w:rPr>
        <w:t>aluminium</w:t>
      </w:r>
      <w:proofErr w:type="spellEnd"/>
    </w:p>
    <w:p w14:paraId="36DD68FD" w14:textId="77777777" w:rsidR="00726CD6" w:rsidRDefault="00726CD6" w:rsidP="00BF0A52">
      <w:pPr>
        <w:pStyle w:val="Body"/>
        <w:spacing w:after="0"/>
        <w:rPr>
          <w:rFonts w:ascii="Arial" w:hAnsi="Arial" w:cs="Arial"/>
          <w:b/>
          <w:bCs/>
        </w:rPr>
      </w:pPr>
    </w:p>
    <w:p w14:paraId="0CBB7791" w14:textId="5FCE66DA" w:rsidR="00BF0A52" w:rsidRPr="00BF0A52" w:rsidRDefault="00BF0A52" w:rsidP="00BF0A52">
      <w:pPr>
        <w:pStyle w:val="Body"/>
        <w:spacing w:after="0"/>
        <w:rPr>
          <w:rFonts w:ascii="Arial" w:hAnsi="Arial" w:cs="Arial"/>
          <w:b/>
          <w:bCs/>
        </w:rPr>
      </w:pPr>
      <w:r w:rsidRPr="00BF0A52">
        <w:rPr>
          <w:rFonts w:ascii="Arial" w:hAnsi="Arial" w:cs="Arial"/>
          <w:b/>
          <w:bCs/>
        </w:rPr>
        <w:t>Calcium-Boron Interactions</w:t>
      </w:r>
    </w:p>
    <w:p w14:paraId="0EE6B405" w14:textId="038C4322" w:rsidR="00BF0A52" w:rsidRDefault="00301335" w:rsidP="00BF0A52">
      <w:pPr>
        <w:pStyle w:val="Body"/>
        <w:spacing w:after="0"/>
        <w:rPr>
          <w:rFonts w:ascii="Arial" w:hAnsi="Arial" w:cs="Arial"/>
        </w:rPr>
      </w:pPr>
      <w:r w:rsidRPr="00301335">
        <w:rPr>
          <w:rFonts w:ascii="Arial" w:hAnsi="Arial" w:cs="Arial"/>
        </w:rPr>
        <w:t xml:space="preserve">Significant antagonistic relationships were observed between calcium and boron fractions (Table </w:t>
      </w:r>
      <w:r>
        <w:rPr>
          <w:rFonts w:ascii="Arial" w:hAnsi="Arial" w:cs="Arial"/>
        </w:rPr>
        <w:t>5</w:t>
      </w:r>
      <w:r w:rsidRPr="00301335">
        <w:rPr>
          <w:rFonts w:ascii="Arial" w:hAnsi="Arial" w:cs="Arial"/>
        </w:rPr>
        <w:t xml:space="preserve">). Exchangeable calcium showed the strongest negative correlations with all available boron fractions (r = -0.60 to -0.76, P &lt; .001), operating through multiple mechanisms: formation of insoluble calcium borate complexes, competitive adsorption on soil colloids, pH-mediated effects, and physiological antagonism at plant uptake level (Okazaki &amp; Chao, 1968; Ruiz et al., 1998). In striking contrast, residual boron exhibited highly significant positive correlations with all calcium fractions (r = 0.59 to 0.83, P &lt; .001), with the strongest correlation observed with organic complexed calcium (r = 0.83, P &lt; .001), suggesting common retention mechanisms involving organic matter and oxides (Goldberg &amp; </w:t>
      </w:r>
      <w:proofErr w:type="spellStart"/>
      <w:r w:rsidRPr="00301335">
        <w:rPr>
          <w:rFonts w:ascii="Arial" w:hAnsi="Arial" w:cs="Arial"/>
        </w:rPr>
        <w:t>Glaubig</w:t>
      </w:r>
      <w:proofErr w:type="spellEnd"/>
      <w:r w:rsidRPr="00301335">
        <w:rPr>
          <w:rFonts w:ascii="Arial" w:hAnsi="Arial" w:cs="Arial"/>
        </w:rPr>
        <w:t xml:space="preserve">, 1986; </w:t>
      </w:r>
      <w:proofErr w:type="spellStart"/>
      <w:r w:rsidRPr="00301335">
        <w:rPr>
          <w:rFonts w:ascii="Arial" w:hAnsi="Arial" w:cs="Arial"/>
        </w:rPr>
        <w:t>Yermiyahu</w:t>
      </w:r>
      <w:proofErr w:type="spellEnd"/>
      <w:r w:rsidRPr="00301335">
        <w:rPr>
          <w:rFonts w:ascii="Arial" w:hAnsi="Arial" w:cs="Arial"/>
        </w:rPr>
        <w:t xml:space="preserve"> et al., 1995).</w:t>
      </w:r>
    </w:p>
    <w:p w14:paraId="52A24BE9" w14:textId="311A8731" w:rsidR="00301335" w:rsidRDefault="00301335" w:rsidP="00BF0A52">
      <w:pPr>
        <w:pStyle w:val="Body"/>
        <w:spacing w:after="0"/>
        <w:rPr>
          <w:rFonts w:ascii="Arial" w:hAnsi="Arial" w:cs="Arial"/>
        </w:rPr>
      </w:pPr>
      <w:r w:rsidRPr="00301335">
        <w:rPr>
          <w:rFonts w:ascii="Arial" w:hAnsi="Arial" w:cs="Arial"/>
        </w:rPr>
        <w:t xml:space="preserve">The contrasting correlations—negative with available boron but positive with residual and total boron—create complex management scenarios. Liming to correct calcium deficiency may inadvertently reduce boron availability through direct antagonism, pH increase, and enhanced fixation (Bingham et al., 1964; </w:t>
      </w:r>
      <w:proofErr w:type="spellStart"/>
      <w:r w:rsidRPr="00301335">
        <w:rPr>
          <w:rFonts w:ascii="Arial" w:hAnsi="Arial" w:cs="Arial"/>
        </w:rPr>
        <w:t>Elrashidi</w:t>
      </w:r>
      <w:proofErr w:type="spellEnd"/>
      <w:r w:rsidRPr="00301335">
        <w:rPr>
          <w:rFonts w:ascii="Arial" w:hAnsi="Arial" w:cs="Arial"/>
        </w:rPr>
        <w:t xml:space="preserve"> &amp; O'Connor, 1982). This necessitates integrated calcium-boron management strategies, with boron supplementation recommended as an integral component of liming programs, particularly in intensively managed systems (Gupta, 1993; </w:t>
      </w:r>
      <w:proofErr w:type="spellStart"/>
      <w:r w:rsidRPr="00301335">
        <w:rPr>
          <w:rFonts w:ascii="Arial" w:hAnsi="Arial" w:cs="Arial"/>
        </w:rPr>
        <w:t>Shorrocks</w:t>
      </w:r>
      <w:proofErr w:type="spellEnd"/>
      <w:r w:rsidRPr="00301335">
        <w:rPr>
          <w:rFonts w:ascii="Arial" w:hAnsi="Arial" w:cs="Arial"/>
        </w:rPr>
        <w:t>, 1997).</w:t>
      </w:r>
    </w:p>
    <w:p w14:paraId="4394DC16" w14:textId="5445500D" w:rsidR="00BF0A52" w:rsidRPr="00BF0A52" w:rsidRDefault="00BF0A52" w:rsidP="00BF0A52">
      <w:pPr>
        <w:pStyle w:val="Body"/>
        <w:spacing w:after="0"/>
        <w:rPr>
          <w:rFonts w:ascii="Arial" w:hAnsi="Arial" w:cs="Arial"/>
        </w:rPr>
      </w:pPr>
      <w:r w:rsidRPr="00BF0A52">
        <w:rPr>
          <w:rFonts w:ascii="Arial" w:hAnsi="Arial" w:cs="Arial"/>
          <w:b/>
          <w:bCs/>
        </w:rPr>
        <w:t xml:space="preserve">Table </w:t>
      </w:r>
      <w:r w:rsidR="00301335">
        <w:rPr>
          <w:rFonts w:ascii="Arial" w:hAnsi="Arial" w:cs="Arial"/>
          <w:b/>
          <w:bCs/>
        </w:rPr>
        <w:t>5</w:t>
      </w:r>
      <w:r w:rsidRPr="00BF0A52">
        <w:rPr>
          <w:rFonts w:ascii="Arial" w:hAnsi="Arial" w:cs="Arial"/>
          <w:b/>
          <w:bCs/>
        </w:rPr>
        <w:t>. Correlations between calcium and boron fractions</w:t>
      </w:r>
    </w:p>
    <w:tbl>
      <w:tblPr>
        <w:tblStyle w:val="TableGridLight"/>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831"/>
        <w:gridCol w:w="1916"/>
        <w:gridCol w:w="1881"/>
      </w:tblGrid>
      <w:tr w:rsidR="00BF0A52" w:rsidRPr="00BF0A52" w14:paraId="35CD1374" w14:textId="77777777" w:rsidTr="0086633B">
        <w:tc>
          <w:tcPr>
            <w:tcW w:w="1577" w:type="pct"/>
            <w:hideMark/>
          </w:tcPr>
          <w:p w14:paraId="40CC21A4" w14:textId="77777777" w:rsidR="00BF0A52" w:rsidRPr="00BF0A52" w:rsidRDefault="00BF0A52" w:rsidP="00BF0A52">
            <w:pPr>
              <w:pStyle w:val="Body"/>
              <w:rPr>
                <w:rFonts w:ascii="Arial" w:hAnsi="Arial" w:cs="Arial"/>
                <w:b/>
                <w:bCs/>
              </w:rPr>
            </w:pPr>
            <w:r w:rsidRPr="00BF0A52">
              <w:rPr>
                <w:rFonts w:ascii="Arial" w:hAnsi="Arial" w:cs="Arial"/>
                <w:b/>
                <w:bCs/>
              </w:rPr>
              <w:t>B Fraction</w:t>
            </w:r>
          </w:p>
        </w:tc>
        <w:tc>
          <w:tcPr>
            <w:tcW w:w="1113" w:type="pct"/>
            <w:hideMark/>
          </w:tcPr>
          <w:p w14:paraId="72336EC3" w14:textId="77777777" w:rsidR="00BF0A52" w:rsidRPr="00BF0A52" w:rsidRDefault="00BF0A52" w:rsidP="00BF0A52">
            <w:pPr>
              <w:pStyle w:val="Body"/>
              <w:rPr>
                <w:rFonts w:ascii="Arial" w:hAnsi="Arial" w:cs="Arial"/>
                <w:b/>
                <w:bCs/>
              </w:rPr>
            </w:pPr>
            <w:r w:rsidRPr="00BF0A52">
              <w:rPr>
                <w:rFonts w:ascii="Arial" w:hAnsi="Arial" w:cs="Arial"/>
                <w:b/>
                <w:bCs/>
              </w:rPr>
              <w:t>Ex Ca</w:t>
            </w:r>
          </w:p>
        </w:tc>
        <w:tc>
          <w:tcPr>
            <w:tcW w:w="1165" w:type="pct"/>
            <w:hideMark/>
          </w:tcPr>
          <w:p w14:paraId="3A2D150B" w14:textId="77777777" w:rsidR="00BF0A52" w:rsidRPr="00BF0A52" w:rsidRDefault="00BF0A52" w:rsidP="00BF0A52">
            <w:pPr>
              <w:pStyle w:val="Body"/>
              <w:rPr>
                <w:rFonts w:ascii="Arial" w:hAnsi="Arial" w:cs="Arial"/>
                <w:b/>
                <w:bCs/>
              </w:rPr>
            </w:pPr>
            <w:r w:rsidRPr="00BF0A52">
              <w:rPr>
                <w:rFonts w:ascii="Arial" w:hAnsi="Arial" w:cs="Arial"/>
                <w:b/>
                <w:bCs/>
              </w:rPr>
              <w:t>Or-c Ca</w:t>
            </w:r>
          </w:p>
        </w:tc>
        <w:tc>
          <w:tcPr>
            <w:tcW w:w="1144" w:type="pct"/>
            <w:hideMark/>
          </w:tcPr>
          <w:p w14:paraId="6E8D178B" w14:textId="77777777" w:rsidR="00BF0A52" w:rsidRPr="00BF0A52" w:rsidRDefault="00BF0A52" w:rsidP="00BF0A52">
            <w:pPr>
              <w:pStyle w:val="Body"/>
              <w:rPr>
                <w:rFonts w:ascii="Arial" w:hAnsi="Arial" w:cs="Arial"/>
                <w:b/>
                <w:bCs/>
              </w:rPr>
            </w:pPr>
            <w:r w:rsidRPr="00BF0A52">
              <w:rPr>
                <w:rFonts w:ascii="Arial" w:hAnsi="Arial" w:cs="Arial"/>
                <w:b/>
                <w:bCs/>
              </w:rPr>
              <w:t>Total Ca</w:t>
            </w:r>
          </w:p>
        </w:tc>
      </w:tr>
      <w:tr w:rsidR="00BF0A52" w:rsidRPr="00BF0A52" w14:paraId="28ABB8BB" w14:textId="77777777" w:rsidTr="0086633B">
        <w:tc>
          <w:tcPr>
            <w:tcW w:w="1577" w:type="pct"/>
            <w:hideMark/>
          </w:tcPr>
          <w:p w14:paraId="1770089C" w14:textId="77777777" w:rsidR="00BF0A52" w:rsidRPr="00BF0A52" w:rsidRDefault="00BF0A52" w:rsidP="00BF0A52">
            <w:pPr>
              <w:pStyle w:val="Body"/>
              <w:rPr>
                <w:rFonts w:ascii="Arial" w:hAnsi="Arial" w:cs="Arial"/>
              </w:rPr>
            </w:pPr>
            <w:r w:rsidRPr="00BF0A52">
              <w:rPr>
                <w:rFonts w:ascii="Arial" w:hAnsi="Arial" w:cs="Arial"/>
                <w:b/>
                <w:bCs/>
              </w:rPr>
              <w:t>RS-B</w:t>
            </w:r>
          </w:p>
        </w:tc>
        <w:tc>
          <w:tcPr>
            <w:tcW w:w="1113" w:type="pct"/>
            <w:hideMark/>
          </w:tcPr>
          <w:p w14:paraId="4006F661" w14:textId="77777777" w:rsidR="00BF0A52" w:rsidRPr="00BF0A52" w:rsidRDefault="00BF0A52" w:rsidP="00BF0A52">
            <w:pPr>
              <w:pStyle w:val="Body"/>
              <w:rPr>
                <w:rFonts w:ascii="Arial" w:hAnsi="Arial" w:cs="Arial"/>
              </w:rPr>
            </w:pPr>
            <w:r w:rsidRPr="00BF0A52">
              <w:rPr>
                <w:rFonts w:ascii="Arial" w:hAnsi="Arial" w:cs="Arial"/>
              </w:rPr>
              <w:t>-0.60***</w:t>
            </w:r>
          </w:p>
        </w:tc>
        <w:tc>
          <w:tcPr>
            <w:tcW w:w="1165" w:type="pct"/>
            <w:hideMark/>
          </w:tcPr>
          <w:p w14:paraId="6626B96F" w14:textId="77777777" w:rsidR="00BF0A52" w:rsidRPr="00BF0A52" w:rsidRDefault="00BF0A52" w:rsidP="00BF0A52">
            <w:pPr>
              <w:pStyle w:val="Body"/>
              <w:rPr>
                <w:rFonts w:ascii="Arial" w:hAnsi="Arial" w:cs="Arial"/>
              </w:rPr>
            </w:pPr>
            <w:r w:rsidRPr="00BF0A52">
              <w:rPr>
                <w:rFonts w:ascii="Arial" w:hAnsi="Arial" w:cs="Arial"/>
              </w:rPr>
              <w:t>-0.32*</w:t>
            </w:r>
          </w:p>
        </w:tc>
        <w:tc>
          <w:tcPr>
            <w:tcW w:w="1144" w:type="pct"/>
            <w:hideMark/>
          </w:tcPr>
          <w:p w14:paraId="76A4BB20" w14:textId="77777777" w:rsidR="00BF0A52" w:rsidRPr="00BF0A52" w:rsidRDefault="00BF0A52" w:rsidP="00BF0A52">
            <w:pPr>
              <w:pStyle w:val="Body"/>
              <w:rPr>
                <w:rFonts w:ascii="Arial" w:hAnsi="Arial" w:cs="Arial"/>
              </w:rPr>
            </w:pPr>
            <w:r w:rsidRPr="00BF0A52">
              <w:rPr>
                <w:rFonts w:ascii="Arial" w:hAnsi="Arial" w:cs="Arial"/>
              </w:rPr>
              <w:t>-0.44**</w:t>
            </w:r>
          </w:p>
        </w:tc>
      </w:tr>
      <w:tr w:rsidR="00BF0A52" w:rsidRPr="00BF0A52" w14:paraId="0D152143" w14:textId="77777777" w:rsidTr="0086633B">
        <w:tc>
          <w:tcPr>
            <w:tcW w:w="1577" w:type="pct"/>
            <w:hideMark/>
          </w:tcPr>
          <w:p w14:paraId="5EDAAC62" w14:textId="77777777" w:rsidR="00BF0A52" w:rsidRPr="00BF0A52" w:rsidRDefault="00BF0A52" w:rsidP="00BF0A52">
            <w:pPr>
              <w:pStyle w:val="Body"/>
              <w:rPr>
                <w:rFonts w:ascii="Arial" w:hAnsi="Arial" w:cs="Arial"/>
              </w:rPr>
            </w:pPr>
            <w:r w:rsidRPr="00BF0A52">
              <w:rPr>
                <w:rFonts w:ascii="Arial" w:hAnsi="Arial" w:cs="Arial"/>
                <w:b/>
                <w:bCs/>
              </w:rPr>
              <w:t>SA-B</w:t>
            </w:r>
          </w:p>
        </w:tc>
        <w:tc>
          <w:tcPr>
            <w:tcW w:w="1113" w:type="pct"/>
            <w:hideMark/>
          </w:tcPr>
          <w:p w14:paraId="06140C43" w14:textId="77777777" w:rsidR="00BF0A52" w:rsidRPr="00BF0A52" w:rsidRDefault="00BF0A52" w:rsidP="00BF0A52">
            <w:pPr>
              <w:pStyle w:val="Body"/>
              <w:rPr>
                <w:rFonts w:ascii="Arial" w:hAnsi="Arial" w:cs="Arial"/>
              </w:rPr>
            </w:pPr>
            <w:r w:rsidRPr="00BF0A52">
              <w:rPr>
                <w:rFonts w:ascii="Arial" w:hAnsi="Arial" w:cs="Arial"/>
              </w:rPr>
              <w:t>-0.75***</w:t>
            </w:r>
          </w:p>
        </w:tc>
        <w:tc>
          <w:tcPr>
            <w:tcW w:w="1165" w:type="pct"/>
            <w:hideMark/>
          </w:tcPr>
          <w:p w14:paraId="4A2725F4" w14:textId="77777777" w:rsidR="00BF0A52" w:rsidRPr="00BF0A52" w:rsidRDefault="00BF0A52" w:rsidP="00BF0A52">
            <w:pPr>
              <w:pStyle w:val="Body"/>
              <w:rPr>
                <w:rFonts w:ascii="Arial" w:hAnsi="Arial" w:cs="Arial"/>
              </w:rPr>
            </w:pPr>
            <w:r w:rsidRPr="00BF0A52">
              <w:rPr>
                <w:rFonts w:ascii="Arial" w:hAnsi="Arial" w:cs="Arial"/>
              </w:rPr>
              <w:t>-0.42**</w:t>
            </w:r>
          </w:p>
        </w:tc>
        <w:tc>
          <w:tcPr>
            <w:tcW w:w="1144" w:type="pct"/>
            <w:hideMark/>
          </w:tcPr>
          <w:p w14:paraId="5AE7E3A5" w14:textId="77777777" w:rsidR="00BF0A52" w:rsidRPr="00BF0A52" w:rsidRDefault="00BF0A52" w:rsidP="00BF0A52">
            <w:pPr>
              <w:pStyle w:val="Body"/>
              <w:rPr>
                <w:rFonts w:ascii="Arial" w:hAnsi="Arial" w:cs="Arial"/>
              </w:rPr>
            </w:pPr>
            <w:r w:rsidRPr="00BF0A52">
              <w:rPr>
                <w:rFonts w:ascii="Arial" w:hAnsi="Arial" w:cs="Arial"/>
              </w:rPr>
              <w:t>-0.58***</w:t>
            </w:r>
          </w:p>
        </w:tc>
      </w:tr>
      <w:tr w:rsidR="00BF0A52" w:rsidRPr="00BF0A52" w14:paraId="4FCEA1FC" w14:textId="77777777" w:rsidTr="0086633B">
        <w:tc>
          <w:tcPr>
            <w:tcW w:w="1577" w:type="pct"/>
            <w:hideMark/>
          </w:tcPr>
          <w:p w14:paraId="7EA9C587" w14:textId="77777777" w:rsidR="00BF0A52" w:rsidRPr="00BF0A52" w:rsidRDefault="00BF0A52" w:rsidP="00BF0A52">
            <w:pPr>
              <w:pStyle w:val="Body"/>
              <w:rPr>
                <w:rFonts w:ascii="Arial" w:hAnsi="Arial" w:cs="Arial"/>
              </w:rPr>
            </w:pPr>
            <w:r w:rsidRPr="00BF0A52">
              <w:rPr>
                <w:rFonts w:ascii="Arial" w:hAnsi="Arial" w:cs="Arial"/>
                <w:b/>
                <w:bCs/>
              </w:rPr>
              <w:t>OR-B</w:t>
            </w:r>
          </w:p>
        </w:tc>
        <w:tc>
          <w:tcPr>
            <w:tcW w:w="1113" w:type="pct"/>
            <w:hideMark/>
          </w:tcPr>
          <w:p w14:paraId="520BC31A" w14:textId="77777777" w:rsidR="00BF0A52" w:rsidRPr="00BF0A52" w:rsidRDefault="00BF0A52" w:rsidP="00BF0A52">
            <w:pPr>
              <w:pStyle w:val="Body"/>
              <w:rPr>
                <w:rFonts w:ascii="Arial" w:hAnsi="Arial" w:cs="Arial"/>
              </w:rPr>
            </w:pPr>
            <w:r w:rsidRPr="00BF0A52">
              <w:rPr>
                <w:rFonts w:ascii="Arial" w:hAnsi="Arial" w:cs="Arial"/>
              </w:rPr>
              <w:t>-0.76***</w:t>
            </w:r>
          </w:p>
        </w:tc>
        <w:tc>
          <w:tcPr>
            <w:tcW w:w="1165" w:type="pct"/>
            <w:hideMark/>
          </w:tcPr>
          <w:p w14:paraId="2848AE6A" w14:textId="77777777" w:rsidR="00BF0A52" w:rsidRPr="00BF0A52" w:rsidRDefault="00BF0A52" w:rsidP="00BF0A52">
            <w:pPr>
              <w:pStyle w:val="Body"/>
              <w:rPr>
                <w:rFonts w:ascii="Arial" w:hAnsi="Arial" w:cs="Arial"/>
              </w:rPr>
            </w:pPr>
            <w:r w:rsidRPr="00BF0A52">
              <w:rPr>
                <w:rFonts w:ascii="Arial" w:hAnsi="Arial" w:cs="Arial"/>
              </w:rPr>
              <w:t>-0.45**</w:t>
            </w:r>
          </w:p>
        </w:tc>
        <w:tc>
          <w:tcPr>
            <w:tcW w:w="1144" w:type="pct"/>
            <w:hideMark/>
          </w:tcPr>
          <w:p w14:paraId="0757D68D" w14:textId="77777777" w:rsidR="00BF0A52" w:rsidRPr="00BF0A52" w:rsidRDefault="00BF0A52" w:rsidP="00BF0A52">
            <w:pPr>
              <w:pStyle w:val="Body"/>
              <w:rPr>
                <w:rFonts w:ascii="Arial" w:hAnsi="Arial" w:cs="Arial"/>
              </w:rPr>
            </w:pPr>
            <w:r w:rsidRPr="00BF0A52">
              <w:rPr>
                <w:rFonts w:ascii="Arial" w:hAnsi="Arial" w:cs="Arial"/>
              </w:rPr>
              <w:t>-0.60***</w:t>
            </w:r>
          </w:p>
        </w:tc>
      </w:tr>
      <w:tr w:rsidR="00BF0A52" w:rsidRPr="00BF0A52" w14:paraId="4D7C89A2" w14:textId="77777777" w:rsidTr="0086633B">
        <w:tc>
          <w:tcPr>
            <w:tcW w:w="1577" w:type="pct"/>
            <w:hideMark/>
          </w:tcPr>
          <w:p w14:paraId="45291451" w14:textId="77777777" w:rsidR="00BF0A52" w:rsidRPr="00BF0A52" w:rsidRDefault="00BF0A52" w:rsidP="00BF0A52">
            <w:pPr>
              <w:pStyle w:val="Body"/>
              <w:rPr>
                <w:rFonts w:ascii="Arial" w:hAnsi="Arial" w:cs="Arial"/>
              </w:rPr>
            </w:pPr>
            <w:r w:rsidRPr="00BF0A52">
              <w:rPr>
                <w:rFonts w:ascii="Arial" w:hAnsi="Arial" w:cs="Arial"/>
                <w:b/>
                <w:bCs/>
              </w:rPr>
              <w:t>RES-B</w:t>
            </w:r>
          </w:p>
        </w:tc>
        <w:tc>
          <w:tcPr>
            <w:tcW w:w="1113" w:type="pct"/>
            <w:hideMark/>
          </w:tcPr>
          <w:p w14:paraId="53FD441C" w14:textId="77777777" w:rsidR="00BF0A52" w:rsidRPr="00BF0A52" w:rsidRDefault="00BF0A52" w:rsidP="00BF0A52">
            <w:pPr>
              <w:pStyle w:val="Body"/>
              <w:rPr>
                <w:rFonts w:ascii="Arial" w:hAnsi="Arial" w:cs="Arial"/>
              </w:rPr>
            </w:pPr>
            <w:r w:rsidRPr="00BF0A52">
              <w:rPr>
                <w:rFonts w:ascii="Arial" w:hAnsi="Arial" w:cs="Arial"/>
              </w:rPr>
              <w:t>0.60***</w:t>
            </w:r>
          </w:p>
        </w:tc>
        <w:tc>
          <w:tcPr>
            <w:tcW w:w="1165" w:type="pct"/>
            <w:hideMark/>
          </w:tcPr>
          <w:p w14:paraId="362ADA76" w14:textId="77777777" w:rsidR="00BF0A52" w:rsidRPr="00BF0A52" w:rsidRDefault="00BF0A52" w:rsidP="00BF0A52">
            <w:pPr>
              <w:pStyle w:val="Body"/>
              <w:rPr>
                <w:rFonts w:ascii="Arial" w:hAnsi="Arial" w:cs="Arial"/>
              </w:rPr>
            </w:pPr>
            <w:r w:rsidRPr="00BF0A52">
              <w:rPr>
                <w:rFonts w:ascii="Arial" w:hAnsi="Arial" w:cs="Arial"/>
              </w:rPr>
              <w:t>0.83***</w:t>
            </w:r>
          </w:p>
        </w:tc>
        <w:tc>
          <w:tcPr>
            <w:tcW w:w="1144" w:type="pct"/>
            <w:hideMark/>
          </w:tcPr>
          <w:p w14:paraId="250BB71D" w14:textId="77777777" w:rsidR="00BF0A52" w:rsidRPr="00BF0A52" w:rsidRDefault="00BF0A52" w:rsidP="00BF0A52">
            <w:pPr>
              <w:pStyle w:val="Body"/>
              <w:rPr>
                <w:rFonts w:ascii="Arial" w:hAnsi="Arial" w:cs="Arial"/>
              </w:rPr>
            </w:pPr>
            <w:r w:rsidRPr="00BF0A52">
              <w:rPr>
                <w:rFonts w:ascii="Arial" w:hAnsi="Arial" w:cs="Arial"/>
              </w:rPr>
              <w:t>0.68***</w:t>
            </w:r>
          </w:p>
        </w:tc>
      </w:tr>
      <w:tr w:rsidR="00BF0A52" w:rsidRPr="00BF0A52" w14:paraId="79D32C61" w14:textId="77777777" w:rsidTr="0086633B">
        <w:tc>
          <w:tcPr>
            <w:tcW w:w="1577" w:type="pct"/>
            <w:hideMark/>
          </w:tcPr>
          <w:p w14:paraId="3DB8EB3C" w14:textId="77777777" w:rsidR="00BF0A52" w:rsidRPr="00BF0A52" w:rsidRDefault="00BF0A52" w:rsidP="00BF0A52">
            <w:pPr>
              <w:pStyle w:val="Body"/>
              <w:rPr>
                <w:rFonts w:ascii="Arial" w:hAnsi="Arial" w:cs="Arial"/>
              </w:rPr>
            </w:pPr>
            <w:r w:rsidRPr="00BF0A52">
              <w:rPr>
                <w:rFonts w:ascii="Arial" w:hAnsi="Arial" w:cs="Arial"/>
                <w:b/>
                <w:bCs/>
              </w:rPr>
              <w:t>Total B</w:t>
            </w:r>
          </w:p>
        </w:tc>
        <w:tc>
          <w:tcPr>
            <w:tcW w:w="1113" w:type="pct"/>
            <w:hideMark/>
          </w:tcPr>
          <w:p w14:paraId="7A253F66" w14:textId="77777777" w:rsidR="00BF0A52" w:rsidRPr="00BF0A52" w:rsidRDefault="00BF0A52" w:rsidP="00BF0A52">
            <w:pPr>
              <w:pStyle w:val="Body"/>
              <w:rPr>
                <w:rFonts w:ascii="Arial" w:hAnsi="Arial" w:cs="Arial"/>
              </w:rPr>
            </w:pPr>
            <w:r w:rsidRPr="00BF0A52">
              <w:rPr>
                <w:rFonts w:ascii="Arial" w:hAnsi="Arial" w:cs="Arial"/>
              </w:rPr>
              <w:t>0.52***</w:t>
            </w:r>
          </w:p>
        </w:tc>
        <w:tc>
          <w:tcPr>
            <w:tcW w:w="1165" w:type="pct"/>
            <w:hideMark/>
          </w:tcPr>
          <w:p w14:paraId="01FE2DC2" w14:textId="77777777" w:rsidR="00BF0A52" w:rsidRPr="00BF0A52" w:rsidRDefault="00BF0A52" w:rsidP="00BF0A52">
            <w:pPr>
              <w:pStyle w:val="Body"/>
              <w:rPr>
                <w:rFonts w:ascii="Arial" w:hAnsi="Arial" w:cs="Arial"/>
              </w:rPr>
            </w:pPr>
            <w:r w:rsidRPr="00BF0A52">
              <w:rPr>
                <w:rFonts w:ascii="Arial" w:hAnsi="Arial" w:cs="Arial"/>
              </w:rPr>
              <w:t>0.79***</w:t>
            </w:r>
          </w:p>
        </w:tc>
        <w:tc>
          <w:tcPr>
            <w:tcW w:w="1144" w:type="pct"/>
            <w:hideMark/>
          </w:tcPr>
          <w:p w14:paraId="0F2E2F24" w14:textId="77777777" w:rsidR="00BF0A52" w:rsidRPr="00BF0A52" w:rsidRDefault="00BF0A52" w:rsidP="00BF0A52">
            <w:pPr>
              <w:pStyle w:val="Body"/>
              <w:rPr>
                <w:rFonts w:ascii="Arial" w:hAnsi="Arial" w:cs="Arial"/>
              </w:rPr>
            </w:pPr>
            <w:r w:rsidRPr="00BF0A52">
              <w:rPr>
                <w:rFonts w:ascii="Arial" w:hAnsi="Arial" w:cs="Arial"/>
              </w:rPr>
              <w:t>0.62***</w:t>
            </w:r>
          </w:p>
        </w:tc>
      </w:tr>
    </w:tbl>
    <w:p w14:paraId="3A9F3B79" w14:textId="15792514" w:rsidR="00790ADA" w:rsidRPr="0086633B" w:rsidRDefault="00BF0A52" w:rsidP="00441B6F">
      <w:pPr>
        <w:pStyle w:val="Body"/>
        <w:spacing w:after="0"/>
        <w:rPr>
          <w:rFonts w:ascii="Arial" w:hAnsi="Arial" w:cs="Arial"/>
          <w:i/>
          <w:iCs/>
        </w:rPr>
      </w:pPr>
      <w:r w:rsidRPr="00BF0A52">
        <w:rPr>
          <w:rFonts w:ascii="Arial" w:hAnsi="Arial" w:cs="Arial"/>
          <w:i/>
          <w:iCs/>
        </w:rPr>
        <w:t>*** P &lt; .001, ** P &lt; .01, * P &lt; .05; Ex Ca: Exchangeable calcium; Or-c Ca: Organic complexed calcium</w:t>
      </w:r>
    </w:p>
    <w:p w14:paraId="2903A8A1" w14:textId="7FA9982E" w:rsidR="00790ADA" w:rsidRPr="00FB3A86" w:rsidRDefault="00B01FCD" w:rsidP="00441B6F">
      <w:pPr>
        <w:pStyle w:val="ConcHead"/>
        <w:spacing w:after="0"/>
        <w:jc w:val="both"/>
        <w:rPr>
          <w:rFonts w:ascii="Arial" w:hAnsi="Arial" w:cs="Arial"/>
        </w:rPr>
      </w:pPr>
      <w:r w:rsidRPr="00FB3A86">
        <w:rPr>
          <w:rFonts w:ascii="Arial" w:hAnsi="Arial" w:cs="Arial"/>
        </w:rPr>
        <w:lastRenderedPageBreak/>
        <w:t>Conclusion</w:t>
      </w:r>
    </w:p>
    <w:p w14:paraId="0C68E974" w14:textId="6D0ED3FD" w:rsidR="00B01FCD" w:rsidRDefault="006B52E0" w:rsidP="007A6A0E">
      <w:pPr>
        <w:pStyle w:val="Body"/>
        <w:spacing w:after="0"/>
        <w:rPr>
          <w:rFonts w:ascii="Arial" w:hAnsi="Arial" w:cs="Arial"/>
        </w:rPr>
      </w:pPr>
      <w:r w:rsidRPr="006B52E0">
        <w:rPr>
          <w:rFonts w:ascii="Arial" w:hAnsi="Arial" w:cs="Arial"/>
        </w:rPr>
        <w:t xml:space="preserve">This fractionation study of calcium and boron in lateritic soils across four </w:t>
      </w:r>
      <w:proofErr w:type="spellStart"/>
      <w:r w:rsidRPr="006B52E0">
        <w:rPr>
          <w:rFonts w:ascii="Arial" w:hAnsi="Arial" w:cs="Arial"/>
        </w:rPr>
        <w:t>agro</w:t>
      </w:r>
      <w:proofErr w:type="spellEnd"/>
      <w:r w:rsidRPr="006B52E0">
        <w:rPr>
          <w:rFonts w:ascii="Arial" w:hAnsi="Arial" w:cs="Arial"/>
        </w:rPr>
        <w:t>-ecological units of Kerala revealed that exchangeable calcium dominated the calcium pool (50-60% of total), while boron was predominantly locked in residual forms (&gt;90%), with soil pH, CEC, and organic carbon as key governing factors. Strong calcium-boron antagonism was evident, with exchangeable calcium showing significant negative correlations with all available boron fractions, necessitating integrated management strategies where liming programs use split applications and boron fertilization is synchronized with lime application to prevent induced deficiencies. Future research should establish critical calcium-boron ratios for major crops and develop AEU-specific nutrient management recommendations for sustainable agricultural intensification in Kerala's lateritic regions.</w:t>
      </w:r>
    </w:p>
    <w:p w14:paraId="3E9B9AC5" w14:textId="77777777" w:rsidR="007A6A0E" w:rsidRDefault="007A6A0E" w:rsidP="007A6A0E">
      <w:pPr>
        <w:pStyle w:val="Body"/>
        <w:spacing w:after="0"/>
        <w:rPr>
          <w:rFonts w:ascii="Arial" w:hAnsi="Arial" w:cs="Arial"/>
        </w:rPr>
      </w:pPr>
    </w:p>
    <w:p w14:paraId="549CDF28" w14:textId="77777777" w:rsidR="007A6A0E" w:rsidRDefault="007A6A0E" w:rsidP="007A6A0E">
      <w:pPr>
        <w:pStyle w:val="Body"/>
        <w:spacing w:after="0"/>
        <w:rPr>
          <w:rFonts w:ascii="Arial" w:hAnsi="Arial" w:cs="Arial"/>
          <w:b/>
          <w:bCs/>
          <w:sz w:val="22"/>
          <w:szCs w:val="22"/>
        </w:rPr>
      </w:pPr>
      <w:r w:rsidRPr="007A6A0E">
        <w:rPr>
          <w:rFonts w:ascii="Arial" w:hAnsi="Arial" w:cs="Arial"/>
          <w:b/>
          <w:bCs/>
          <w:sz w:val="22"/>
          <w:szCs w:val="22"/>
        </w:rPr>
        <w:t>DISCLAIMER (ARTIFICIAL INTELLIGENCE)</w:t>
      </w:r>
    </w:p>
    <w:p w14:paraId="55D3C2FB" w14:textId="40A532E1" w:rsidR="00506CE8" w:rsidRDefault="007A6A0E" w:rsidP="007A6A0E">
      <w:pPr>
        <w:pStyle w:val="Body"/>
        <w:spacing w:after="0"/>
        <w:rPr>
          <w:rFonts w:ascii="Arial" w:hAnsi="Arial" w:cs="Arial"/>
        </w:rPr>
      </w:pPr>
      <w:r w:rsidRPr="007A6A0E">
        <w:rPr>
          <w:rFonts w:ascii="Arial" w:hAnsi="Arial" w:cs="Arial"/>
        </w:rPr>
        <w:t xml:space="preserve">Author(s) hereby </w:t>
      </w:r>
      <w:r w:rsidR="0086633B" w:rsidRPr="007A6A0E">
        <w:rPr>
          <w:rFonts w:ascii="Arial" w:hAnsi="Arial" w:cs="Arial"/>
        </w:rPr>
        <w:t>declares</w:t>
      </w:r>
      <w:r w:rsidRPr="007A6A0E">
        <w:rPr>
          <w:rFonts w:ascii="Arial" w:hAnsi="Arial" w:cs="Arial"/>
        </w:rPr>
        <w:t xml:space="preserve"> that NO generative AI</w:t>
      </w:r>
      <w:r>
        <w:rPr>
          <w:rFonts w:ascii="Arial" w:hAnsi="Arial" w:cs="Arial"/>
        </w:rPr>
        <w:t xml:space="preserve"> </w:t>
      </w:r>
      <w:r w:rsidRPr="007A6A0E">
        <w:rPr>
          <w:rFonts w:ascii="Arial" w:hAnsi="Arial" w:cs="Arial"/>
        </w:rPr>
        <w:t>technologies such as Large Language Models</w:t>
      </w:r>
      <w:r>
        <w:rPr>
          <w:rFonts w:ascii="Arial" w:hAnsi="Arial" w:cs="Arial"/>
        </w:rPr>
        <w:t xml:space="preserve"> </w:t>
      </w:r>
      <w:r w:rsidRPr="007A6A0E">
        <w:rPr>
          <w:rFonts w:ascii="Arial" w:hAnsi="Arial" w:cs="Arial"/>
        </w:rPr>
        <w:t>(</w:t>
      </w:r>
      <w:proofErr w:type="spellStart"/>
      <w:r w:rsidRPr="007A6A0E">
        <w:rPr>
          <w:rFonts w:ascii="Arial" w:hAnsi="Arial" w:cs="Arial"/>
        </w:rPr>
        <w:t>ChatGPT</w:t>
      </w:r>
      <w:proofErr w:type="spellEnd"/>
      <w:r w:rsidRPr="007A6A0E">
        <w:rPr>
          <w:rFonts w:ascii="Arial" w:hAnsi="Arial" w:cs="Arial"/>
        </w:rPr>
        <w:t xml:space="preserve">, COPILOT, </w:t>
      </w:r>
      <w:proofErr w:type="spellStart"/>
      <w:r w:rsidRPr="007A6A0E">
        <w:rPr>
          <w:rFonts w:ascii="Arial" w:hAnsi="Arial" w:cs="Arial"/>
        </w:rPr>
        <w:t>etc</w:t>
      </w:r>
      <w:proofErr w:type="spellEnd"/>
      <w:r w:rsidRPr="007A6A0E">
        <w:rPr>
          <w:rFonts w:ascii="Arial" w:hAnsi="Arial" w:cs="Arial"/>
        </w:rPr>
        <w:t>) and text-to-image</w:t>
      </w:r>
      <w:r>
        <w:rPr>
          <w:rFonts w:ascii="Arial" w:hAnsi="Arial" w:cs="Arial"/>
        </w:rPr>
        <w:t xml:space="preserve"> </w:t>
      </w:r>
      <w:r w:rsidRPr="007A6A0E">
        <w:rPr>
          <w:rFonts w:ascii="Arial" w:hAnsi="Arial" w:cs="Arial"/>
        </w:rPr>
        <w:t>generators have been used during writing or</w:t>
      </w:r>
      <w:r>
        <w:rPr>
          <w:rFonts w:ascii="Arial" w:hAnsi="Arial" w:cs="Arial"/>
        </w:rPr>
        <w:t xml:space="preserve"> </w:t>
      </w:r>
      <w:r w:rsidRPr="007A6A0E">
        <w:rPr>
          <w:rFonts w:ascii="Arial" w:hAnsi="Arial" w:cs="Arial"/>
        </w:rPr>
        <w:t>editing of this manuscript.</w:t>
      </w:r>
    </w:p>
    <w:p w14:paraId="2CD7E99A" w14:textId="77777777" w:rsidR="004E6457" w:rsidRDefault="004E6457" w:rsidP="007A6A0E">
      <w:pPr>
        <w:pStyle w:val="Body"/>
        <w:spacing w:after="0"/>
        <w:rPr>
          <w:rFonts w:ascii="Arial" w:hAnsi="Arial" w:cs="Arial"/>
        </w:rPr>
      </w:pPr>
    </w:p>
    <w:p w14:paraId="0E7F30DB" w14:textId="6D92D657" w:rsidR="004E6457" w:rsidRPr="004E6457" w:rsidRDefault="004E6457" w:rsidP="004E6457">
      <w:pPr>
        <w:pStyle w:val="ReferHead"/>
        <w:spacing w:after="0"/>
        <w:jc w:val="both"/>
        <w:rPr>
          <w:rFonts w:ascii="Arial" w:hAnsi="Arial" w:cs="Arial"/>
          <w:bCs/>
        </w:rPr>
      </w:pPr>
      <w:r w:rsidRPr="00786D36">
        <w:rPr>
          <w:rFonts w:ascii="Arial" w:hAnsi="Arial" w:cs="Arial"/>
          <w:bCs/>
        </w:rPr>
        <w:t>Competing interests</w:t>
      </w:r>
    </w:p>
    <w:p w14:paraId="3574A3EC" w14:textId="2546E1D3" w:rsidR="00CD20C2" w:rsidRPr="004E6457" w:rsidRDefault="004E6457" w:rsidP="004E6457">
      <w:pPr>
        <w:pStyle w:val="Body"/>
        <w:spacing w:after="0"/>
        <w:rPr>
          <w:rFonts w:ascii="Arial" w:hAnsi="Arial" w:cs="Arial"/>
        </w:rPr>
      </w:pPr>
      <w:r w:rsidRPr="007A6A0E">
        <w:rPr>
          <w:rFonts w:ascii="Arial" w:hAnsi="Arial" w:cs="Arial"/>
        </w:rPr>
        <w:t>Authors have declared that they have no known</w:t>
      </w:r>
      <w:r>
        <w:rPr>
          <w:rFonts w:ascii="Arial" w:hAnsi="Arial" w:cs="Arial"/>
        </w:rPr>
        <w:t xml:space="preserve"> </w:t>
      </w:r>
      <w:r w:rsidRPr="007A6A0E">
        <w:rPr>
          <w:rFonts w:ascii="Arial" w:hAnsi="Arial" w:cs="Arial"/>
        </w:rPr>
        <w:t>competing financial interests or non-financial</w:t>
      </w:r>
      <w:r>
        <w:rPr>
          <w:rFonts w:ascii="Arial" w:hAnsi="Arial" w:cs="Arial"/>
        </w:rPr>
        <w:t xml:space="preserve"> </w:t>
      </w:r>
      <w:r w:rsidRPr="007A6A0E">
        <w:rPr>
          <w:rFonts w:ascii="Arial" w:hAnsi="Arial" w:cs="Arial"/>
        </w:rPr>
        <w:t>interests or personal relationships that could</w:t>
      </w:r>
      <w:r>
        <w:rPr>
          <w:rFonts w:ascii="Arial" w:hAnsi="Arial" w:cs="Arial"/>
        </w:rPr>
        <w:t xml:space="preserve"> </w:t>
      </w:r>
      <w:r w:rsidRPr="007A6A0E">
        <w:rPr>
          <w:rFonts w:ascii="Arial" w:hAnsi="Arial" w:cs="Arial"/>
        </w:rPr>
        <w:t>have appeared to influence the work reported in this pape</w:t>
      </w:r>
      <w:r>
        <w:rPr>
          <w:rFonts w:ascii="Arial" w:hAnsi="Arial" w:cs="Arial"/>
        </w:rPr>
        <w:t>r.</w:t>
      </w:r>
    </w:p>
    <w:p w14:paraId="015FF64A"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5978255C" w14:textId="77777777" w:rsidR="00790ADA" w:rsidRPr="00FB3A86" w:rsidRDefault="00790ADA" w:rsidP="00441B6F">
      <w:pPr>
        <w:pStyle w:val="ReferHead"/>
        <w:spacing w:after="0"/>
        <w:jc w:val="both"/>
        <w:rPr>
          <w:rFonts w:ascii="Arial" w:hAnsi="Arial" w:cs="Arial"/>
        </w:rPr>
      </w:pPr>
    </w:p>
    <w:p w14:paraId="1EE6CB40" w14:textId="71BF2D21" w:rsidR="006541F7" w:rsidRPr="006541F7" w:rsidRDefault="0055204B" w:rsidP="006541F7">
      <w:pPr>
        <w:pStyle w:val="Appendix"/>
        <w:jc w:val="both"/>
        <w:rPr>
          <w:b w:val="0"/>
          <w:caps w:val="0"/>
          <w:sz w:val="20"/>
        </w:rPr>
      </w:pPr>
      <w:r w:rsidRPr="0055204B">
        <w:rPr>
          <w:b w:val="0"/>
          <w:caps w:val="0"/>
          <w:sz w:val="20"/>
        </w:rPr>
        <w:t xml:space="preserve">Berger, K. C., &amp; Truog, E. (1939). Boron determination in soil and plant. </w:t>
      </w:r>
      <w:r w:rsidRPr="0055204B">
        <w:rPr>
          <w:b w:val="0"/>
          <w:i/>
          <w:iCs/>
          <w:caps w:val="0"/>
          <w:sz w:val="20"/>
        </w:rPr>
        <w:t>Industrial and Engineering Chemistry Analytical Edition</w:t>
      </w:r>
      <w:r w:rsidRPr="0055204B">
        <w:rPr>
          <w:b w:val="0"/>
          <w:caps w:val="0"/>
          <w:sz w:val="20"/>
        </w:rPr>
        <w:t>, 11, 540-542.</w:t>
      </w:r>
    </w:p>
    <w:p w14:paraId="171023A7" w14:textId="4AC9D520" w:rsidR="006541F7" w:rsidRPr="006541F7" w:rsidRDefault="0055204B" w:rsidP="006541F7">
      <w:pPr>
        <w:pStyle w:val="Appendix"/>
        <w:jc w:val="both"/>
        <w:rPr>
          <w:b w:val="0"/>
          <w:caps w:val="0"/>
          <w:sz w:val="20"/>
        </w:rPr>
      </w:pPr>
      <w:r w:rsidRPr="0055204B">
        <w:rPr>
          <w:b w:val="0"/>
          <w:caps w:val="0"/>
          <w:sz w:val="20"/>
        </w:rPr>
        <w:t>Bingham, F. T., Page, A. L., &amp; Sims, J. R. (1964). Retention of Cu and Zn by H</w:t>
      </w:r>
      <w:r w:rsidRPr="0055204B">
        <w:rPr>
          <w:rFonts w:ascii="Cambria Math" w:hAnsi="Cambria Math" w:cs="Cambria Math"/>
          <w:b w:val="0"/>
          <w:caps w:val="0"/>
          <w:sz w:val="20"/>
        </w:rPr>
        <w:t>‐</w:t>
      </w:r>
      <w:r w:rsidRPr="0055204B">
        <w:rPr>
          <w:b w:val="0"/>
          <w:caps w:val="0"/>
          <w:sz w:val="20"/>
        </w:rPr>
        <w:t xml:space="preserve">montmorillonite. </w:t>
      </w:r>
      <w:r w:rsidRPr="0055204B">
        <w:rPr>
          <w:b w:val="0"/>
          <w:i/>
          <w:iCs/>
          <w:caps w:val="0"/>
          <w:sz w:val="20"/>
        </w:rPr>
        <w:t>Soil Science Society of America Journal</w:t>
      </w:r>
      <w:r w:rsidRPr="0055204B">
        <w:rPr>
          <w:b w:val="0"/>
          <w:caps w:val="0"/>
          <w:sz w:val="20"/>
        </w:rPr>
        <w:t>, 28(3), 351-354.</w:t>
      </w:r>
    </w:p>
    <w:p w14:paraId="6134897E" w14:textId="147BDFEB" w:rsidR="006541F7" w:rsidRPr="006541F7" w:rsidRDefault="0055204B" w:rsidP="006541F7">
      <w:pPr>
        <w:pStyle w:val="Appendix"/>
        <w:jc w:val="both"/>
        <w:rPr>
          <w:b w:val="0"/>
          <w:caps w:val="0"/>
          <w:sz w:val="20"/>
        </w:rPr>
      </w:pPr>
      <w:r w:rsidRPr="0055204B">
        <w:rPr>
          <w:b w:val="0"/>
          <w:caps w:val="0"/>
          <w:sz w:val="20"/>
        </w:rPr>
        <w:t xml:space="preserve">Bhattacharyya, T., Sarkar, D., Sehgal, J. L., </w:t>
      </w:r>
      <w:proofErr w:type="spellStart"/>
      <w:r w:rsidRPr="0055204B">
        <w:rPr>
          <w:b w:val="0"/>
          <w:caps w:val="0"/>
          <w:sz w:val="20"/>
        </w:rPr>
        <w:t>Velayutham</w:t>
      </w:r>
      <w:proofErr w:type="spellEnd"/>
      <w:r w:rsidRPr="0055204B">
        <w:rPr>
          <w:b w:val="0"/>
          <w:caps w:val="0"/>
          <w:sz w:val="20"/>
        </w:rPr>
        <w:t xml:space="preserve">, M., Gajbhiye, K. S., Nagar, A. P., &amp; </w:t>
      </w:r>
      <w:proofErr w:type="spellStart"/>
      <w:r w:rsidRPr="0055204B">
        <w:rPr>
          <w:b w:val="0"/>
          <w:caps w:val="0"/>
          <w:sz w:val="20"/>
        </w:rPr>
        <w:t>Nimkhedkar</w:t>
      </w:r>
      <w:proofErr w:type="spellEnd"/>
      <w:r w:rsidRPr="0055204B">
        <w:rPr>
          <w:b w:val="0"/>
          <w:caps w:val="0"/>
          <w:sz w:val="20"/>
        </w:rPr>
        <w:t>, S. S. (2009). Soil taxonomic database of India and the states (1: 250,000 scale). NBSSLUP Publication, 143.</w:t>
      </w:r>
    </w:p>
    <w:p w14:paraId="378BA015" w14:textId="21C9C6FC" w:rsidR="006541F7" w:rsidRPr="006541F7" w:rsidRDefault="0055204B" w:rsidP="006541F7">
      <w:pPr>
        <w:pStyle w:val="Appendix"/>
        <w:jc w:val="both"/>
        <w:rPr>
          <w:b w:val="0"/>
          <w:caps w:val="0"/>
          <w:sz w:val="20"/>
        </w:rPr>
      </w:pPr>
      <w:r w:rsidRPr="0055204B">
        <w:rPr>
          <w:b w:val="0"/>
          <w:caps w:val="0"/>
          <w:sz w:val="20"/>
        </w:rPr>
        <w:t xml:space="preserve">Blevins, D. G., &amp; Lukaszewski, K. M. (1998). Boron in plant structure and function. </w:t>
      </w:r>
      <w:r w:rsidRPr="0055204B">
        <w:rPr>
          <w:b w:val="0"/>
          <w:i/>
          <w:iCs/>
          <w:caps w:val="0"/>
          <w:sz w:val="20"/>
        </w:rPr>
        <w:t>Annual Review of Plant Biology</w:t>
      </w:r>
      <w:r w:rsidRPr="0055204B">
        <w:rPr>
          <w:b w:val="0"/>
          <w:caps w:val="0"/>
          <w:sz w:val="20"/>
        </w:rPr>
        <w:t>, 49(1), 481-500.</w:t>
      </w:r>
    </w:p>
    <w:p w14:paraId="02892265" w14:textId="5F86781C" w:rsidR="006541F7" w:rsidRPr="006541F7" w:rsidRDefault="0055204B" w:rsidP="006541F7">
      <w:pPr>
        <w:pStyle w:val="Appendix"/>
        <w:jc w:val="both"/>
        <w:rPr>
          <w:b w:val="0"/>
          <w:caps w:val="0"/>
          <w:sz w:val="20"/>
        </w:rPr>
      </w:pPr>
      <w:r w:rsidRPr="0055204B">
        <w:rPr>
          <w:b w:val="0"/>
          <w:caps w:val="0"/>
          <w:sz w:val="20"/>
        </w:rPr>
        <w:t xml:space="preserve">Bray, R. H., &amp; Kurtz, L. T. (1945). Determining total, organic and available forms of phosphate in soils. </w:t>
      </w:r>
      <w:r w:rsidRPr="0055204B">
        <w:rPr>
          <w:b w:val="0"/>
          <w:i/>
          <w:iCs/>
          <w:caps w:val="0"/>
          <w:sz w:val="20"/>
        </w:rPr>
        <w:t>Soil Science</w:t>
      </w:r>
      <w:r w:rsidRPr="0055204B">
        <w:rPr>
          <w:b w:val="0"/>
          <w:caps w:val="0"/>
          <w:sz w:val="20"/>
        </w:rPr>
        <w:t>, 59, 39-45.</w:t>
      </w:r>
    </w:p>
    <w:p w14:paraId="61F92B38" w14:textId="64C07867" w:rsidR="006541F7" w:rsidRPr="006541F7" w:rsidRDefault="0055204B" w:rsidP="006541F7">
      <w:pPr>
        <w:pStyle w:val="Appendix"/>
        <w:jc w:val="both"/>
        <w:rPr>
          <w:b w:val="0"/>
          <w:caps w:val="0"/>
          <w:sz w:val="20"/>
        </w:rPr>
      </w:pPr>
      <w:r w:rsidRPr="0055204B">
        <w:rPr>
          <w:b w:val="0"/>
          <w:caps w:val="0"/>
          <w:sz w:val="20"/>
        </w:rPr>
        <w:t xml:space="preserve">Cakmak, I., &amp; </w:t>
      </w:r>
      <w:proofErr w:type="spellStart"/>
      <w:r w:rsidRPr="0055204B">
        <w:rPr>
          <w:b w:val="0"/>
          <w:caps w:val="0"/>
          <w:sz w:val="20"/>
        </w:rPr>
        <w:t>Römheld</w:t>
      </w:r>
      <w:proofErr w:type="spellEnd"/>
      <w:r w:rsidRPr="0055204B">
        <w:rPr>
          <w:b w:val="0"/>
          <w:caps w:val="0"/>
          <w:sz w:val="20"/>
        </w:rPr>
        <w:t xml:space="preserve">, V. (1997). Boron deficiency-induced impairments of cellular functions in plants. </w:t>
      </w:r>
      <w:r w:rsidRPr="0055204B">
        <w:rPr>
          <w:b w:val="0"/>
          <w:i/>
          <w:iCs/>
          <w:caps w:val="0"/>
          <w:sz w:val="20"/>
        </w:rPr>
        <w:t>Plant and Soil</w:t>
      </w:r>
      <w:r w:rsidRPr="0055204B">
        <w:rPr>
          <w:b w:val="0"/>
          <w:caps w:val="0"/>
          <w:sz w:val="20"/>
        </w:rPr>
        <w:t>, 193(1), 71-83.</w:t>
      </w:r>
    </w:p>
    <w:p w14:paraId="2EFBFBD5" w14:textId="362B9F5D" w:rsidR="006541F7" w:rsidRPr="006541F7" w:rsidRDefault="0055204B" w:rsidP="006541F7">
      <w:pPr>
        <w:pStyle w:val="Appendix"/>
        <w:jc w:val="both"/>
        <w:rPr>
          <w:b w:val="0"/>
          <w:caps w:val="0"/>
          <w:sz w:val="20"/>
        </w:rPr>
      </w:pPr>
      <w:proofErr w:type="spellStart"/>
      <w:r w:rsidRPr="0055204B">
        <w:rPr>
          <w:b w:val="0"/>
          <w:caps w:val="0"/>
          <w:sz w:val="20"/>
        </w:rPr>
        <w:t>Communar</w:t>
      </w:r>
      <w:proofErr w:type="spellEnd"/>
      <w:r w:rsidRPr="0055204B">
        <w:rPr>
          <w:b w:val="0"/>
          <w:caps w:val="0"/>
          <w:sz w:val="20"/>
        </w:rPr>
        <w:t>, G., &amp; Keren, R. (2006). Rate</w:t>
      </w:r>
      <w:r w:rsidRPr="0055204B">
        <w:rPr>
          <w:rFonts w:ascii="Cambria Math" w:hAnsi="Cambria Math" w:cs="Cambria Math"/>
          <w:b w:val="0"/>
          <w:caps w:val="0"/>
          <w:sz w:val="20"/>
        </w:rPr>
        <w:t>‐</w:t>
      </w:r>
      <w:r w:rsidRPr="0055204B">
        <w:rPr>
          <w:b w:val="0"/>
          <w:caps w:val="0"/>
          <w:sz w:val="20"/>
        </w:rPr>
        <w:t xml:space="preserve">limited boron transport in soils: The effect of soil texture and solution </w:t>
      </w:r>
      <w:proofErr w:type="spellStart"/>
      <w:r w:rsidRPr="0055204B">
        <w:rPr>
          <w:b w:val="0"/>
          <w:caps w:val="0"/>
          <w:sz w:val="20"/>
        </w:rPr>
        <w:t>pH.</w:t>
      </w:r>
      <w:proofErr w:type="spellEnd"/>
      <w:r w:rsidRPr="0055204B">
        <w:rPr>
          <w:b w:val="0"/>
          <w:caps w:val="0"/>
          <w:sz w:val="20"/>
        </w:rPr>
        <w:t xml:space="preserve"> </w:t>
      </w:r>
      <w:r w:rsidRPr="0055204B">
        <w:rPr>
          <w:b w:val="0"/>
          <w:i/>
          <w:iCs/>
          <w:caps w:val="0"/>
          <w:sz w:val="20"/>
        </w:rPr>
        <w:t>Soil Science Society of America Journal</w:t>
      </w:r>
      <w:r w:rsidRPr="0055204B">
        <w:rPr>
          <w:b w:val="0"/>
          <w:caps w:val="0"/>
          <w:sz w:val="20"/>
        </w:rPr>
        <w:t>, 70(3), 882-892.</w:t>
      </w:r>
    </w:p>
    <w:p w14:paraId="13F8E7DC" w14:textId="77970022" w:rsidR="006541F7" w:rsidRDefault="0055204B" w:rsidP="006541F7">
      <w:pPr>
        <w:pStyle w:val="Appendix"/>
        <w:jc w:val="both"/>
        <w:rPr>
          <w:b w:val="0"/>
          <w:caps w:val="0"/>
          <w:sz w:val="20"/>
        </w:rPr>
      </w:pPr>
      <w:r w:rsidRPr="0055204B">
        <w:rPr>
          <w:b w:val="0"/>
          <w:caps w:val="0"/>
          <w:sz w:val="20"/>
        </w:rPr>
        <w:t xml:space="preserve">Das, R., Kumar, R., Sarkar, D., Das, S., Pradhan, A. K., Das, D., ... &amp; Mandal, B. (2023). Boron fractions and its availability in soils of the Indo-Gangetic plains. </w:t>
      </w:r>
      <w:r w:rsidRPr="0055204B">
        <w:rPr>
          <w:b w:val="0"/>
          <w:i/>
          <w:iCs/>
          <w:caps w:val="0"/>
          <w:sz w:val="20"/>
        </w:rPr>
        <w:t>Catena</w:t>
      </w:r>
      <w:r w:rsidRPr="0055204B">
        <w:rPr>
          <w:b w:val="0"/>
          <w:caps w:val="0"/>
          <w:sz w:val="20"/>
        </w:rPr>
        <w:t>, 222, 106877.</w:t>
      </w:r>
    </w:p>
    <w:p w14:paraId="51C74627" w14:textId="05DEB47F" w:rsidR="00860E0A" w:rsidRPr="006541F7" w:rsidRDefault="0055204B" w:rsidP="006541F7">
      <w:pPr>
        <w:pStyle w:val="Appendix"/>
        <w:jc w:val="both"/>
        <w:rPr>
          <w:b w:val="0"/>
          <w:caps w:val="0"/>
          <w:sz w:val="20"/>
        </w:rPr>
      </w:pPr>
      <w:r w:rsidRPr="0055204B">
        <w:rPr>
          <w:b w:val="0"/>
          <w:caps w:val="0"/>
          <w:sz w:val="20"/>
        </w:rPr>
        <w:t xml:space="preserve">Datta, S. P., Rattan, R. K., &amp; Chandra, S. (2002). Fractionation and colorimetric determination of boron in soils. </w:t>
      </w:r>
      <w:r w:rsidRPr="0055204B">
        <w:rPr>
          <w:b w:val="0"/>
          <w:i/>
          <w:iCs/>
          <w:caps w:val="0"/>
          <w:sz w:val="20"/>
        </w:rPr>
        <w:t>Journal of Plant Nutrition and Soil Science</w:t>
      </w:r>
      <w:r w:rsidRPr="0055204B">
        <w:rPr>
          <w:b w:val="0"/>
          <w:caps w:val="0"/>
          <w:sz w:val="20"/>
        </w:rPr>
        <w:t>, 165(2), 179-184.</w:t>
      </w:r>
    </w:p>
    <w:p w14:paraId="4EE38F5B" w14:textId="57FC70A3" w:rsidR="006541F7" w:rsidRPr="006541F7" w:rsidRDefault="0055204B" w:rsidP="006541F7">
      <w:pPr>
        <w:pStyle w:val="Appendix"/>
        <w:jc w:val="both"/>
        <w:rPr>
          <w:b w:val="0"/>
          <w:caps w:val="0"/>
          <w:sz w:val="20"/>
        </w:rPr>
      </w:pPr>
      <w:r w:rsidRPr="0055204B">
        <w:rPr>
          <w:b w:val="0"/>
          <w:caps w:val="0"/>
          <w:sz w:val="20"/>
        </w:rPr>
        <w:t xml:space="preserve">Elrashidi, M. A., &amp; O'Connor, G. A. (1982). Boron sorption and desorption in soils. </w:t>
      </w:r>
      <w:r w:rsidRPr="0055204B">
        <w:rPr>
          <w:b w:val="0"/>
          <w:i/>
          <w:iCs/>
          <w:caps w:val="0"/>
          <w:sz w:val="20"/>
        </w:rPr>
        <w:t>Soil Science Society of America Journal</w:t>
      </w:r>
      <w:r w:rsidRPr="0055204B">
        <w:rPr>
          <w:b w:val="0"/>
          <w:caps w:val="0"/>
          <w:sz w:val="20"/>
        </w:rPr>
        <w:t>, 46(1), 27-31.</w:t>
      </w:r>
    </w:p>
    <w:p w14:paraId="0AFF64E3" w14:textId="4B79D7BC" w:rsidR="006541F7" w:rsidRDefault="0055204B" w:rsidP="006541F7">
      <w:pPr>
        <w:pStyle w:val="Appendix"/>
        <w:jc w:val="both"/>
        <w:rPr>
          <w:b w:val="0"/>
          <w:caps w:val="0"/>
          <w:sz w:val="20"/>
        </w:rPr>
      </w:pPr>
      <w:proofErr w:type="spellStart"/>
      <w:r w:rsidRPr="0055204B">
        <w:rPr>
          <w:b w:val="0"/>
          <w:caps w:val="0"/>
          <w:sz w:val="20"/>
        </w:rPr>
        <w:t>Gajbhiye</w:t>
      </w:r>
      <w:proofErr w:type="spellEnd"/>
      <w:r w:rsidRPr="0055204B">
        <w:rPr>
          <w:b w:val="0"/>
          <w:caps w:val="0"/>
          <w:sz w:val="20"/>
        </w:rPr>
        <w:t xml:space="preserve">, K. S., &amp; Mandal, C. (2000). </w:t>
      </w:r>
      <w:proofErr w:type="spellStart"/>
      <w:r w:rsidRPr="0055204B">
        <w:rPr>
          <w:b w:val="0"/>
          <w:caps w:val="0"/>
          <w:sz w:val="20"/>
        </w:rPr>
        <w:t>Agro</w:t>
      </w:r>
      <w:proofErr w:type="spellEnd"/>
      <w:r w:rsidRPr="0055204B">
        <w:rPr>
          <w:b w:val="0"/>
          <w:caps w:val="0"/>
          <w:sz w:val="20"/>
        </w:rPr>
        <w:t>-ecological zones, their soil resource and cropping systems. In: Status of Farm Mechanization in India (pp. 1-32).</w:t>
      </w:r>
    </w:p>
    <w:p w14:paraId="556CD44F" w14:textId="32B32478" w:rsidR="0055204B" w:rsidRPr="006541F7" w:rsidRDefault="0055204B" w:rsidP="006541F7">
      <w:pPr>
        <w:pStyle w:val="Appendix"/>
        <w:jc w:val="both"/>
        <w:rPr>
          <w:b w:val="0"/>
          <w:caps w:val="0"/>
          <w:sz w:val="20"/>
        </w:rPr>
      </w:pPr>
      <w:r w:rsidRPr="0055204B">
        <w:rPr>
          <w:b w:val="0"/>
          <w:caps w:val="0"/>
          <w:sz w:val="20"/>
        </w:rPr>
        <w:t xml:space="preserve">Ghosh, G. K. (2019). Red and lateritic soils and </w:t>
      </w:r>
      <w:proofErr w:type="spellStart"/>
      <w:r w:rsidRPr="0055204B">
        <w:rPr>
          <w:b w:val="0"/>
          <w:caps w:val="0"/>
          <w:sz w:val="20"/>
        </w:rPr>
        <w:t>agri</w:t>
      </w:r>
      <w:proofErr w:type="spellEnd"/>
      <w:r w:rsidRPr="0055204B">
        <w:rPr>
          <w:b w:val="0"/>
          <w:caps w:val="0"/>
          <w:sz w:val="20"/>
        </w:rPr>
        <w:t xml:space="preserve">-productivity: issues and strategies. </w:t>
      </w:r>
      <w:r w:rsidRPr="0055204B">
        <w:rPr>
          <w:b w:val="0"/>
          <w:i/>
          <w:iCs/>
          <w:caps w:val="0"/>
          <w:sz w:val="20"/>
        </w:rPr>
        <w:t>Journal of the Indian Society of Soil Science</w:t>
      </w:r>
      <w:r w:rsidRPr="0055204B">
        <w:rPr>
          <w:b w:val="0"/>
          <w:caps w:val="0"/>
          <w:sz w:val="20"/>
        </w:rPr>
        <w:t>, 67(4),</w:t>
      </w:r>
      <w:r>
        <w:rPr>
          <w:b w:val="0"/>
          <w:caps w:val="0"/>
          <w:sz w:val="20"/>
        </w:rPr>
        <w:t xml:space="preserve"> </w:t>
      </w:r>
      <w:r w:rsidRPr="0055204B">
        <w:rPr>
          <w:b w:val="0"/>
          <w:caps w:val="0"/>
          <w:sz w:val="20"/>
        </w:rPr>
        <w:t>104-121.</w:t>
      </w:r>
    </w:p>
    <w:p w14:paraId="02CE0F3E" w14:textId="3D519416" w:rsidR="006541F7" w:rsidRPr="006541F7" w:rsidRDefault="0055204B" w:rsidP="006541F7">
      <w:pPr>
        <w:pStyle w:val="Appendix"/>
        <w:jc w:val="both"/>
        <w:rPr>
          <w:b w:val="0"/>
          <w:caps w:val="0"/>
          <w:sz w:val="20"/>
        </w:rPr>
      </w:pPr>
      <w:r w:rsidRPr="0055204B">
        <w:rPr>
          <w:b w:val="0"/>
          <w:caps w:val="0"/>
          <w:sz w:val="20"/>
        </w:rPr>
        <w:t xml:space="preserve">Goldberg, S. (1997). Reactions of boron with soils. </w:t>
      </w:r>
      <w:r w:rsidRPr="0055204B">
        <w:rPr>
          <w:b w:val="0"/>
          <w:i/>
          <w:iCs/>
          <w:caps w:val="0"/>
          <w:sz w:val="20"/>
        </w:rPr>
        <w:t>Plant and Soil</w:t>
      </w:r>
      <w:r w:rsidRPr="0055204B">
        <w:rPr>
          <w:b w:val="0"/>
          <w:caps w:val="0"/>
          <w:sz w:val="20"/>
        </w:rPr>
        <w:t>, 193(1), 35-48.</w:t>
      </w:r>
    </w:p>
    <w:p w14:paraId="362B6889" w14:textId="3A5233D3" w:rsidR="006541F7" w:rsidRPr="006541F7" w:rsidRDefault="0055204B" w:rsidP="006541F7">
      <w:pPr>
        <w:pStyle w:val="Appendix"/>
        <w:jc w:val="both"/>
        <w:rPr>
          <w:b w:val="0"/>
          <w:caps w:val="0"/>
          <w:sz w:val="20"/>
        </w:rPr>
      </w:pPr>
      <w:r w:rsidRPr="0055204B">
        <w:rPr>
          <w:b w:val="0"/>
          <w:caps w:val="0"/>
          <w:sz w:val="20"/>
        </w:rPr>
        <w:t xml:space="preserve">Goldberg, S., &amp; Forster, H. S. (1991). Boron sorption on calcareous soils and reference calcites. </w:t>
      </w:r>
      <w:r w:rsidRPr="0055204B">
        <w:rPr>
          <w:b w:val="0"/>
          <w:i/>
          <w:iCs/>
          <w:caps w:val="0"/>
          <w:sz w:val="20"/>
        </w:rPr>
        <w:t>Soil Science</w:t>
      </w:r>
      <w:r w:rsidRPr="0055204B">
        <w:rPr>
          <w:b w:val="0"/>
          <w:caps w:val="0"/>
          <w:sz w:val="20"/>
        </w:rPr>
        <w:t>, 152(4), 304-310.</w:t>
      </w:r>
    </w:p>
    <w:p w14:paraId="12489F3C" w14:textId="4465FC0B" w:rsidR="006541F7" w:rsidRPr="006541F7" w:rsidRDefault="0055204B" w:rsidP="006541F7">
      <w:pPr>
        <w:pStyle w:val="Appendix"/>
        <w:jc w:val="both"/>
        <w:rPr>
          <w:b w:val="0"/>
          <w:caps w:val="0"/>
          <w:sz w:val="20"/>
        </w:rPr>
      </w:pPr>
      <w:r w:rsidRPr="0055204B">
        <w:rPr>
          <w:b w:val="0"/>
          <w:caps w:val="0"/>
          <w:sz w:val="20"/>
        </w:rPr>
        <w:t xml:space="preserve">Goldberg, S., &amp; </w:t>
      </w:r>
      <w:proofErr w:type="spellStart"/>
      <w:r w:rsidRPr="0055204B">
        <w:rPr>
          <w:b w:val="0"/>
          <w:caps w:val="0"/>
          <w:sz w:val="20"/>
        </w:rPr>
        <w:t>Glaubig</w:t>
      </w:r>
      <w:proofErr w:type="spellEnd"/>
      <w:r w:rsidRPr="0055204B">
        <w:rPr>
          <w:b w:val="0"/>
          <w:caps w:val="0"/>
          <w:sz w:val="20"/>
        </w:rPr>
        <w:t xml:space="preserve">, R. A. (1986). Boron adsorption on California soils. </w:t>
      </w:r>
      <w:r w:rsidRPr="0055204B">
        <w:rPr>
          <w:b w:val="0"/>
          <w:i/>
          <w:iCs/>
          <w:caps w:val="0"/>
          <w:sz w:val="20"/>
        </w:rPr>
        <w:t>Soil Science Society of America Journal</w:t>
      </w:r>
      <w:r w:rsidRPr="0055204B">
        <w:rPr>
          <w:b w:val="0"/>
          <w:caps w:val="0"/>
          <w:sz w:val="20"/>
        </w:rPr>
        <w:t>, 50(5), 1173-1176.</w:t>
      </w:r>
    </w:p>
    <w:p w14:paraId="071181FD" w14:textId="45B09C27" w:rsidR="006541F7" w:rsidRPr="006541F7" w:rsidRDefault="0055204B" w:rsidP="006541F7">
      <w:pPr>
        <w:pStyle w:val="Appendix"/>
        <w:jc w:val="both"/>
        <w:rPr>
          <w:b w:val="0"/>
          <w:caps w:val="0"/>
          <w:sz w:val="20"/>
        </w:rPr>
      </w:pPr>
      <w:r w:rsidRPr="0055204B">
        <w:rPr>
          <w:b w:val="0"/>
          <w:caps w:val="0"/>
          <w:sz w:val="20"/>
        </w:rPr>
        <w:t>Gupta, U. C. (1993). Factors affecting boron uptake by plants. In: Boron and Its Role in Crop Production (pp. 87-123). CRC Press, Boca Raton.</w:t>
      </w:r>
    </w:p>
    <w:p w14:paraId="45B47B6F" w14:textId="62D7BBFD" w:rsidR="006541F7" w:rsidRPr="006541F7" w:rsidRDefault="0055204B" w:rsidP="006541F7">
      <w:pPr>
        <w:pStyle w:val="Appendix"/>
        <w:jc w:val="both"/>
        <w:rPr>
          <w:b w:val="0"/>
          <w:caps w:val="0"/>
          <w:sz w:val="20"/>
        </w:rPr>
      </w:pPr>
      <w:r w:rsidRPr="0055204B">
        <w:rPr>
          <w:b w:val="0"/>
          <w:caps w:val="0"/>
          <w:sz w:val="20"/>
        </w:rPr>
        <w:t xml:space="preserve">Gupta, U. C., Jame, Y. W., Campbell, C. A., Leyshon, A. J., &amp; </w:t>
      </w:r>
      <w:proofErr w:type="spellStart"/>
      <w:r w:rsidRPr="0055204B">
        <w:rPr>
          <w:b w:val="0"/>
          <w:caps w:val="0"/>
          <w:sz w:val="20"/>
        </w:rPr>
        <w:t>Nicholaichuk</w:t>
      </w:r>
      <w:proofErr w:type="spellEnd"/>
      <w:r w:rsidRPr="0055204B">
        <w:rPr>
          <w:b w:val="0"/>
          <w:caps w:val="0"/>
          <w:sz w:val="20"/>
        </w:rPr>
        <w:t xml:space="preserve">, W. (1985). Boron toxicity and deficiency: a review. </w:t>
      </w:r>
      <w:r w:rsidRPr="0055204B">
        <w:rPr>
          <w:b w:val="0"/>
          <w:i/>
          <w:iCs/>
          <w:caps w:val="0"/>
          <w:sz w:val="20"/>
        </w:rPr>
        <w:t>Canadian Journal of Soil Science</w:t>
      </w:r>
      <w:r w:rsidRPr="0055204B">
        <w:rPr>
          <w:b w:val="0"/>
          <w:caps w:val="0"/>
          <w:sz w:val="20"/>
        </w:rPr>
        <w:t>, 65(3), 381-409.</w:t>
      </w:r>
    </w:p>
    <w:p w14:paraId="37F037D4" w14:textId="09B9827D" w:rsidR="006541F7" w:rsidRPr="006541F7" w:rsidRDefault="0055204B" w:rsidP="006541F7">
      <w:pPr>
        <w:pStyle w:val="Appendix"/>
        <w:jc w:val="both"/>
        <w:rPr>
          <w:b w:val="0"/>
          <w:caps w:val="0"/>
          <w:sz w:val="20"/>
        </w:rPr>
      </w:pPr>
      <w:r w:rsidRPr="0055204B">
        <w:rPr>
          <w:b w:val="0"/>
          <w:caps w:val="0"/>
          <w:sz w:val="20"/>
        </w:rPr>
        <w:lastRenderedPageBreak/>
        <w:t xml:space="preserve">Hendershot, W. H., &amp; Duquette, M. (1986). A simplified barium chloride method for determining cation exchange capacity and exchangeable cations. </w:t>
      </w:r>
      <w:r w:rsidRPr="0055204B">
        <w:rPr>
          <w:b w:val="0"/>
          <w:i/>
          <w:iCs/>
          <w:caps w:val="0"/>
          <w:sz w:val="20"/>
        </w:rPr>
        <w:t>Soil Science Society of America Journal</w:t>
      </w:r>
      <w:r w:rsidRPr="0055204B">
        <w:rPr>
          <w:b w:val="0"/>
          <w:caps w:val="0"/>
          <w:sz w:val="20"/>
        </w:rPr>
        <w:t>, 50, 605-608.</w:t>
      </w:r>
    </w:p>
    <w:p w14:paraId="159A8614" w14:textId="0902B44F" w:rsidR="006541F7" w:rsidRPr="006541F7" w:rsidRDefault="0055204B" w:rsidP="006541F7">
      <w:pPr>
        <w:pStyle w:val="Appendix"/>
        <w:jc w:val="both"/>
        <w:rPr>
          <w:b w:val="0"/>
          <w:caps w:val="0"/>
          <w:sz w:val="20"/>
        </w:rPr>
      </w:pPr>
      <w:r w:rsidRPr="0055204B">
        <w:rPr>
          <w:b w:val="0"/>
          <w:caps w:val="0"/>
          <w:sz w:val="20"/>
        </w:rPr>
        <w:t xml:space="preserve">Hou, J., Evans, L. J., &amp; Spiers, G. A. (1994). Boron fractionation in soils. </w:t>
      </w:r>
      <w:r w:rsidRPr="0055204B">
        <w:rPr>
          <w:b w:val="0"/>
          <w:i/>
          <w:iCs/>
          <w:caps w:val="0"/>
          <w:sz w:val="20"/>
        </w:rPr>
        <w:t>Communications in Soil Science and Plant Analysis</w:t>
      </w:r>
      <w:r w:rsidRPr="0055204B">
        <w:rPr>
          <w:b w:val="0"/>
          <w:caps w:val="0"/>
          <w:sz w:val="20"/>
        </w:rPr>
        <w:t>, 25(9-10), 1841-1853.</w:t>
      </w:r>
    </w:p>
    <w:p w14:paraId="64165A5F" w14:textId="42555203" w:rsidR="006541F7" w:rsidRPr="006541F7" w:rsidRDefault="0055204B" w:rsidP="006541F7">
      <w:pPr>
        <w:pStyle w:val="Appendix"/>
        <w:jc w:val="both"/>
        <w:rPr>
          <w:b w:val="0"/>
          <w:caps w:val="0"/>
          <w:sz w:val="20"/>
        </w:rPr>
      </w:pPr>
      <w:r w:rsidRPr="0055204B">
        <w:rPr>
          <w:b w:val="0"/>
          <w:caps w:val="0"/>
          <w:sz w:val="20"/>
        </w:rPr>
        <w:t xml:space="preserve">Hou, J., Evans, L. J., &amp; Spiers, G. A. (1996). Chemical fractionation of soil boron: I. Method development. </w:t>
      </w:r>
      <w:r w:rsidRPr="0055204B">
        <w:rPr>
          <w:b w:val="0"/>
          <w:i/>
          <w:iCs/>
          <w:caps w:val="0"/>
          <w:sz w:val="20"/>
        </w:rPr>
        <w:t>Canadian Journal of Soil Science</w:t>
      </w:r>
      <w:r w:rsidRPr="0055204B">
        <w:rPr>
          <w:b w:val="0"/>
          <w:caps w:val="0"/>
          <w:sz w:val="20"/>
        </w:rPr>
        <w:t>, 76(4), 485-491.</w:t>
      </w:r>
    </w:p>
    <w:p w14:paraId="4895D5B0" w14:textId="5AF4C5C6" w:rsidR="006541F7" w:rsidRPr="006541F7" w:rsidRDefault="0055204B" w:rsidP="006541F7">
      <w:pPr>
        <w:pStyle w:val="Appendix"/>
        <w:jc w:val="both"/>
        <w:rPr>
          <w:b w:val="0"/>
          <w:caps w:val="0"/>
          <w:sz w:val="20"/>
        </w:rPr>
      </w:pPr>
      <w:r w:rsidRPr="0055204B">
        <w:rPr>
          <w:b w:val="0"/>
          <w:caps w:val="0"/>
          <w:sz w:val="20"/>
        </w:rPr>
        <w:t xml:space="preserve">Jackson, M. L. (1958). </w:t>
      </w:r>
      <w:r w:rsidRPr="0055204B">
        <w:rPr>
          <w:b w:val="0"/>
          <w:i/>
          <w:iCs/>
          <w:caps w:val="0"/>
          <w:sz w:val="20"/>
        </w:rPr>
        <w:t>Soil Chemical Analysis</w:t>
      </w:r>
      <w:r w:rsidRPr="0055204B">
        <w:rPr>
          <w:b w:val="0"/>
          <w:caps w:val="0"/>
          <w:sz w:val="20"/>
        </w:rPr>
        <w:t>. Prentice Hall of India, New Delhi, 498p.</w:t>
      </w:r>
    </w:p>
    <w:p w14:paraId="37339F59" w14:textId="6BE9749D" w:rsidR="006541F7" w:rsidRDefault="0055204B" w:rsidP="006541F7">
      <w:pPr>
        <w:pStyle w:val="Appendix"/>
        <w:jc w:val="both"/>
        <w:rPr>
          <w:b w:val="0"/>
          <w:caps w:val="0"/>
          <w:sz w:val="20"/>
        </w:rPr>
      </w:pPr>
      <w:r w:rsidRPr="0055204B">
        <w:rPr>
          <w:b w:val="0"/>
          <w:caps w:val="0"/>
          <w:sz w:val="20"/>
        </w:rPr>
        <w:t xml:space="preserve">Keren, R., &amp; Bingham, F. T. (1985). Boron in water, soils, and plants. </w:t>
      </w:r>
      <w:r w:rsidRPr="0055204B">
        <w:rPr>
          <w:b w:val="0"/>
          <w:i/>
          <w:iCs/>
          <w:caps w:val="0"/>
          <w:sz w:val="20"/>
        </w:rPr>
        <w:t>Advances in Soil Science</w:t>
      </w:r>
      <w:r w:rsidRPr="0055204B">
        <w:rPr>
          <w:b w:val="0"/>
          <w:caps w:val="0"/>
          <w:sz w:val="20"/>
        </w:rPr>
        <w:t>, 1, 229-276.</w:t>
      </w:r>
    </w:p>
    <w:p w14:paraId="525DE333" w14:textId="48A774F6" w:rsidR="00860E0A" w:rsidRPr="006541F7" w:rsidRDefault="0055204B" w:rsidP="006541F7">
      <w:pPr>
        <w:pStyle w:val="Appendix"/>
        <w:jc w:val="both"/>
        <w:rPr>
          <w:b w:val="0"/>
          <w:caps w:val="0"/>
          <w:sz w:val="20"/>
        </w:rPr>
      </w:pPr>
      <w:r w:rsidRPr="0055204B">
        <w:rPr>
          <w:b w:val="0"/>
          <w:caps w:val="0"/>
          <w:sz w:val="20"/>
        </w:rPr>
        <w:t xml:space="preserve">Kumar, A., </w:t>
      </w:r>
      <w:proofErr w:type="spellStart"/>
      <w:r w:rsidRPr="0055204B">
        <w:rPr>
          <w:b w:val="0"/>
          <w:caps w:val="0"/>
          <w:sz w:val="20"/>
        </w:rPr>
        <w:t>Denre</w:t>
      </w:r>
      <w:proofErr w:type="spellEnd"/>
      <w:r w:rsidRPr="0055204B">
        <w:rPr>
          <w:b w:val="0"/>
          <w:caps w:val="0"/>
          <w:sz w:val="20"/>
        </w:rPr>
        <w:t xml:space="preserve">, M., &amp; Prasad, R. (2018). Critical limit of boron for maize (Zea mays L.) in red and lateritic soil of Jharkhand, India. </w:t>
      </w:r>
      <w:r w:rsidRPr="0055204B">
        <w:rPr>
          <w:b w:val="0"/>
          <w:i/>
          <w:iCs/>
          <w:caps w:val="0"/>
          <w:sz w:val="20"/>
        </w:rPr>
        <w:t>Communications in Soil Science and Plant Analysis</w:t>
      </w:r>
      <w:r w:rsidRPr="0055204B">
        <w:rPr>
          <w:b w:val="0"/>
          <w:caps w:val="0"/>
          <w:sz w:val="20"/>
        </w:rPr>
        <w:t>, 49(22), 2802-2813.</w:t>
      </w:r>
    </w:p>
    <w:p w14:paraId="5274EE13" w14:textId="7324D9EF" w:rsidR="006541F7" w:rsidRPr="006541F7" w:rsidRDefault="0055204B" w:rsidP="006541F7">
      <w:pPr>
        <w:pStyle w:val="Appendix"/>
        <w:jc w:val="both"/>
        <w:rPr>
          <w:b w:val="0"/>
          <w:caps w:val="0"/>
          <w:sz w:val="20"/>
        </w:rPr>
      </w:pPr>
      <w:r w:rsidRPr="0055204B">
        <w:rPr>
          <w:b w:val="0"/>
          <w:caps w:val="0"/>
          <w:sz w:val="20"/>
        </w:rPr>
        <w:t xml:space="preserve">Lindsay, W. L., &amp; Norvell, W. A. (1978). Development of a DTPA soil test for zinc, iron, manganese, and copper. </w:t>
      </w:r>
      <w:r w:rsidRPr="0055204B">
        <w:rPr>
          <w:b w:val="0"/>
          <w:i/>
          <w:iCs/>
          <w:caps w:val="0"/>
          <w:sz w:val="20"/>
        </w:rPr>
        <w:t>Soil Science Society of America Journal</w:t>
      </w:r>
      <w:r w:rsidRPr="0055204B">
        <w:rPr>
          <w:b w:val="0"/>
          <w:caps w:val="0"/>
          <w:sz w:val="20"/>
        </w:rPr>
        <w:t>, 42(3), 421-428.</w:t>
      </w:r>
    </w:p>
    <w:p w14:paraId="6ADE3973" w14:textId="3F653A0C" w:rsidR="006541F7" w:rsidRPr="006541F7" w:rsidRDefault="0055204B" w:rsidP="006541F7">
      <w:pPr>
        <w:pStyle w:val="Appendix"/>
        <w:jc w:val="both"/>
        <w:rPr>
          <w:b w:val="0"/>
          <w:caps w:val="0"/>
          <w:sz w:val="20"/>
        </w:rPr>
      </w:pPr>
      <w:r w:rsidRPr="0055204B">
        <w:rPr>
          <w:b w:val="0"/>
          <w:caps w:val="0"/>
          <w:sz w:val="20"/>
        </w:rPr>
        <w:t xml:space="preserve">Mandal, L. N., &amp; Mitra, R. R. (1982). Transformation of iron and manganese in rice soils under different moisture regimes and organic matter applications. </w:t>
      </w:r>
      <w:r w:rsidRPr="0055204B">
        <w:rPr>
          <w:b w:val="0"/>
          <w:i/>
          <w:iCs/>
          <w:caps w:val="0"/>
          <w:sz w:val="20"/>
        </w:rPr>
        <w:t>Plant and Soil</w:t>
      </w:r>
      <w:r w:rsidRPr="0055204B">
        <w:rPr>
          <w:b w:val="0"/>
          <w:caps w:val="0"/>
          <w:sz w:val="20"/>
        </w:rPr>
        <w:t>, 69(1), 45-56.</w:t>
      </w:r>
    </w:p>
    <w:p w14:paraId="6A4ED5DA" w14:textId="406919F2" w:rsidR="006541F7" w:rsidRPr="006541F7" w:rsidRDefault="0055204B" w:rsidP="006541F7">
      <w:pPr>
        <w:pStyle w:val="Appendix"/>
        <w:jc w:val="both"/>
        <w:rPr>
          <w:b w:val="0"/>
          <w:caps w:val="0"/>
          <w:sz w:val="20"/>
        </w:rPr>
      </w:pPr>
      <w:r w:rsidRPr="0055204B">
        <w:rPr>
          <w:b w:val="0"/>
          <w:caps w:val="0"/>
          <w:sz w:val="20"/>
        </w:rPr>
        <w:t xml:space="preserve">Marschner, H. (Ed.). (2011). </w:t>
      </w:r>
      <w:r w:rsidRPr="0055204B">
        <w:rPr>
          <w:b w:val="0"/>
          <w:i/>
          <w:iCs/>
          <w:caps w:val="0"/>
          <w:sz w:val="20"/>
        </w:rPr>
        <w:t>Marschner's Mineral Nutrition of Higher Plants</w:t>
      </w:r>
      <w:r w:rsidRPr="0055204B">
        <w:rPr>
          <w:b w:val="0"/>
          <w:caps w:val="0"/>
          <w:sz w:val="20"/>
        </w:rPr>
        <w:t xml:space="preserve"> (3rd ed.). Academic Press.</w:t>
      </w:r>
    </w:p>
    <w:p w14:paraId="6D6F0DBE" w14:textId="10541E6A" w:rsidR="006541F7" w:rsidRPr="006541F7" w:rsidRDefault="0055204B" w:rsidP="006541F7">
      <w:pPr>
        <w:pStyle w:val="Appendix"/>
        <w:jc w:val="both"/>
        <w:rPr>
          <w:b w:val="0"/>
          <w:caps w:val="0"/>
          <w:sz w:val="20"/>
        </w:rPr>
      </w:pPr>
      <w:r w:rsidRPr="0055204B">
        <w:rPr>
          <w:b w:val="0"/>
          <w:caps w:val="0"/>
          <w:sz w:val="20"/>
        </w:rPr>
        <w:t xml:space="preserve">McLaren, R. G., &amp; Cameron, K. C. (1996). </w:t>
      </w:r>
      <w:r w:rsidRPr="0055204B">
        <w:rPr>
          <w:b w:val="0"/>
          <w:i/>
          <w:iCs/>
          <w:caps w:val="0"/>
          <w:sz w:val="20"/>
        </w:rPr>
        <w:t>Soil Science: Sustainable Production and Environmental Protection</w:t>
      </w:r>
      <w:r w:rsidRPr="0055204B">
        <w:rPr>
          <w:b w:val="0"/>
          <w:caps w:val="0"/>
          <w:sz w:val="20"/>
        </w:rPr>
        <w:t xml:space="preserve"> (2nd ed.).</w:t>
      </w:r>
    </w:p>
    <w:p w14:paraId="586F3466" w14:textId="315345DB" w:rsidR="006541F7" w:rsidRPr="006541F7" w:rsidRDefault="0055204B" w:rsidP="006541F7">
      <w:pPr>
        <w:pStyle w:val="Appendix"/>
        <w:jc w:val="both"/>
        <w:rPr>
          <w:b w:val="0"/>
          <w:caps w:val="0"/>
          <w:sz w:val="20"/>
        </w:rPr>
      </w:pPr>
      <w:proofErr w:type="spellStart"/>
      <w:r w:rsidRPr="0055204B">
        <w:rPr>
          <w:b w:val="0"/>
          <w:caps w:val="0"/>
          <w:sz w:val="20"/>
        </w:rPr>
        <w:t>Mokwunye</w:t>
      </w:r>
      <w:proofErr w:type="spellEnd"/>
      <w:r w:rsidRPr="0055204B">
        <w:rPr>
          <w:b w:val="0"/>
          <w:caps w:val="0"/>
          <w:sz w:val="20"/>
        </w:rPr>
        <w:t xml:space="preserve">, A. U., &amp; Melsted, S. W. (1972). Magnesium forms in selected temperate and tropical soils. </w:t>
      </w:r>
      <w:r w:rsidRPr="0055204B">
        <w:rPr>
          <w:b w:val="0"/>
          <w:i/>
          <w:iCs/>
          <w:caps w:val="0"/>
          <w:sz w:val="20"/>
        </w:rPr>
        <w:t>Soil Science Society of America Journal</w:t>
      </w:r>
      <w:r w:rsidRPr="0055204B">
        <w:rPr>
          <w:b w:val="0"/>
          <w:caps w:val="0"/>
          <w:sz w:val="20"/>
        </w:rPr>
        <w:t>, 36(5), 762-764.</w:t>
      </w:r>
    </w:p>
    <w:p w14:paraId="3D3A08FE" w14:textId="430498EC" w:rsidR="006541F7" w:rsidRDefault="0055204B" w:rsidP="006541F7">
      <w:pPr>
        <w:pStyle w:val="Appendix"/>
        <w:jc w:val="both"/>
        <w:rPr>
          <w:b w:val="0"/>
          <w:caps w:val="0"/>
          <w:sz w:val="20"/>
        </w:rPr>
      </w:pPr>
      <w:r w:rsidRPr="0055204B">
        <w:rPr>
          <w:b w:val="0"/>
          <w:caps w:val="0"/>
          <w:sz w:val="20"/>
        </w:rPr>
        <w:t xml:space="preserve">Okazaki, E., &amp; Chao, T. T. (1968). Boron adsorption and desorption by some Hawaiian soils. </w:t>
      </w:r>
      <w:r w:rsidRPr="0055204B">
        <w:rPr>
          <w:b w:val="0"/>
          <w:i/>
          <w:iCs/>
          <w:caps w:val="0"/>
          <w:sz w:val="20"/>
        </w:rPr>
        <w:t>Soil Science</w:t>
      </w:r>
      <w:r w:rsidRPr="0055204B">
        <w:rPr>
          <w:b w:val="0"/>
          <w:caps w:val="0"/>
          <w:sz w:val="20"/>
        </w:rPr>
        <w:t>, 105(4), 255-259.</w:t>
      </w:r>
    </w:p>
    <w:p w14:paraId="2669E8D9" w14:textId="77777777" w:rsidR="0055204B" w:rsidRPr="006541F7" w:rsidRDefault="0055204B" w:rsidP="006541F7">
      <w:pPr>
        <w:pStyle w:val="Appendix"/>
        <w:jc w:val="both"/>
        <w:rPr>
          <w:b w:val="0"/>
          <w:caps w:val="0"/>
          <w:sz w:val="20"/>
        </w:rPr>
      </w:pPr>
    </w:p>
    <w:p w14:paraId="7677CD3D" w14:textId="5B9DC16F" w:rsidR="006541F7" w:rsidRDefault="0055204B" w:rsidP="006541F7">
      <w:pPr>
        <w:pStyle w:val="Appendix"/>
        <w:jc w:val="both"/>
        <w:rPr>
          <w:b w:val="0"/>
          <w:caps w:val="0"/>
          <w:sz w:val="20"/>
        </w:rPr>
      </w:pPr>
      <w:r w:rsidRPr="0055204B">
        <w:rPr>
          <w:b w:val="0"/>
          <w:caps w:val="0"/>
          <w:sz w:val="20"/>
        </w:rPr>
        <w:t xml:space="preserve">Pal, D. K., </w:t>
      </w:r>
      <w:proofErr w:type="spellStart"/>
      <w:r w:rsidRPr="0055204B">
        <w:rPr>
          <w:b w:val="0"/>
          <w:caps w:val="0"/>
          <w:sz w:val="20"/>
        </w:rPr>
        <w:t>Dasog</w:t>
      </w:r>
      <w:proofErr w:type="spellEnd"/>
      <w:r w:rsidRPr="0055204B">
        <w:rPr>
          <w:b w:val="0"/>
          <w:caps w:val="0"/>
          <w:sz w:val="20"/>
        </w:rPr>
        <w:t>, G. S., Vadivelu, S., Ahuja, R. L., &amp; Bhattacharyya, T. (2000). Secondary calcium carbonate in soils of arid and semi-arid regions of India. In: Global Climate Change and Pedogenic Carbonates (pp. 149-185).</w:t>
      </w:r>
    </w:p>
    <w:p w14:paraId="333222E6" w14:textId="786CB2C5" w:rsidR="0055204B" w:rsidRPr="006541F7" w:rsidRDefault="0055204B" w:rsidP="006541F7">
      <w:pPr>
        <w:pStyle w:val="Appendix"/>
        <w:jc w:val="both"/>
        <w:rPr>
          <w:b w:val="0"/>
          <w:caps w:val="0"/>
          <w:sz w:val="20"/>
        </w:rPr>
      </w:pPr>
      <w:r w:rsidRPr="0055204B">
        <w:rPr>
          <w:b w:val="0"/>
          <w:caps w:val="0"/>
          <w:sz w:val="20"/>
        </w:rPr>
        <w:t xml:space="preserve">Pal, D. K., Srivastava, P., &amp; Bhattacharyya, T. (2001). Clay illuviation in calcareous soils of the semiarid part of the Indo-Gangetic Plains, India. </w:t>
      </w:r>
      <w:proofErr w:type="spellStart"/>
      <w:r w:rsidRPr="0055204B">
        <w:rPr>
          <w:b w:val="0"/>
          <w:i/>
          <w:iCs/>
          <w:caps w:val="0"/>
          <w:sz w:val="20"/>
        </w:rPr>
        <w:t>Geoderma</w:t>
      </w:r>
      <w:proofErr w:type="spellEnd"/>
      <w:r w:rsidRPr="0055204B">
        <w:rPr>
          <w:b w:val="0"/>
          <w:caps w:val="0"/>
          <w:sz w:val="20"/>
        </w:rPr>
        <w:t>, 115(3-4), 177-192.</w:t>
      </w:r>
    </w:p>
    <w:p w14:paraId="6D099C9C" w14:textId="7690597E" w:rsidR="006541F7" w:rsidRPr="006541F7" w:rsidRDefault="0055204B" w:rsidP="006541F7">
      <w:pPr>
        <w:pStyle w:val="Appendix"/>
        <w:jc w:val="both"/>
        <w:rPr>
          <w:b w:val="0"/>
          <w:caps w:val="0"/>
          <w:sz w:val="20"/>
        </w:rPr>
      </w:pPr>
      <w:r w:rsidRPr="0055204B">
        <w:rPr>
          <w:b w:val="0"/>
          <w:caps w:val="0"/>
          <w:sz w:val="20"/>
        </w:rPr>
        <w:t xml:space="preserve">Razzaghi, F., Arthur, E., &amp; Moosavi, A. A. (2021). Evaluating models to estimate cation exchange capacity of calcareous soils. </w:t>
      </w:r>
      <w:proofErr w:type="spellStart"/>
      <w:r w:rsidRPr="0055204B">
        <w:rPr>
          <w:b w:val="0"/>
          <w:i/>
          <w:iCs/>
          <w:caps w:val="0"/>
          <w:sz w:val="20"/>
        </w:rPr>
        <w:t>Geoderma</w:t>
      </w:r>
      <w:proofErr w:type="spellEnd"/>
      <w:r w:rsidRPr="0055204B">
        <w:rPr>
          <w:b w:val="0"/>
          <w:caps w:val="0"/>
          <w:sz w:val="20"/>
        </w:rPr>
        <w:t>, 400, 115221.</w:t>
      </w:r>
    </w:p>
    <w:p w14:paraId="24CA0BD4" w14:textId="552AA23A" w:rsidR="006541F7" w:rsidRPr="006541F7" w:rsidRDefault="0055204B" w:rsidP="006541F7">
      <w:pPr>
        <w:pStyle w:val="Appendix"/>
        <w:jc w:val="both"/>
        <w:rPr>
          <w:b w:val="0"/>
          <w:caps w:val="0"/>
          <w:sz w:val="20"/>
        </w:rPr>
      </w:pPr>
      <w:r w:rsidRPr="0055204B">
        <w:rPr>
          <w:b w:val="0"/>
          <w:caps w:val="0"/>
          <w:sz w:val="20"/>
        </w:rPr>
        <w:t xml:space="preserve">Ritchey, K. D., Silva, J. E., &amp; Costa, U. F. (1982). Calcium deficiency in clayey B horizons of savanna </w:t>
      </w:r>
      <w:proofErr w:type="spellStart"/>
      <w:r w:rsidRPr="0055204B">
        <w:rPr>
          <w:b w:val="0"/>
          <w:caps w:val="0"/>
          <w:sz w:val="20"/>
        </w:rPr>
        <w:t>oxisols</w:t>
      </w:r>
      <w:proofErr w:type="spellEnd"/>
      <w:r w:rsidRPr="0055204B">
        <w:rPr>
          <w:b w:val="0"/>
          <w:caps w:val="0"/>
          <w:sz w:val="20"/>
        </w:rPr>
        <w:t xml:space="preserve">. </w:t>
      </w:r>
      <w:r w:rsidRPr="0055204B">
        <w:rPr>
          <w:b w:val="0"/>
          <w:i/>
          <w:iCs/>
          <w:caps w:val="0"/>
          <w:sz w:val="20"/>
        </w:rPr>
        <w:t>Soil Science</w:t>
      </w:r>
      <w:r w:rsidRPr="0055204B">
        <w:rPr>
          <w:b w:val="0"/>
          <w:caps w:val="0"/>
          <w:sz w:val="20"/>
        </w:rPr>
        <w:t>, 133(6), 378-382.</w:t>
      </w:r>
    </w:p>
    <w:p w14:paraId="763480EE" w14:textId="6B965309" w:rsidR="006541F7" w:rsidRPr="006541F7" w:rsidRDefault="0055204B" w:rsidP="006541F7">
      <w:pPr>
        <w:pStyle w:val="Appendix"/>
        <w:jc w:val="both"/>
        <w:rPr>
          <w:b w:val="0"/>
          <w:caps w:val="0"/>
          <w:sz w:val="20"/>
        </w:rPr>
      </w:pPr>
      <w:r w:rsidRPr="0055204B">
        <w:rPr>
          <w:b w:val="0"/>
          <w:caps w:val="0"/>
          <w:sz w:val="20"/>
        </w:rPr>
        <w:lastRenderedPageBreak/>
        <w:t xml:space="preserve">Robinson, G. W. (1922). A new method for the mechanical analysis of soils and other dispersions. </w:t>
      </w:r>
      <w:r w:rsidRPr="0055204B">
        <w:rPr>
          <w:b w:val="0"/>
          <w:i/>
          <w:iCs/>
          <w:caps w:val="0"/>
          <w:sz w:val="20"/>
        </w:rPr>
        <w:t>Journal of Agricultural Science</w:t>
      </w:r>
      <w:r w:rsidRPr="0055204B">
        <w:rPr>
          <w:b w:val="0"/>
          <w:caps w:val="0"/>
          <w:sz w:val="20"/>
        </w:rPr>
        <w:t>, 12, 306-321.</w:t>
      </w:r>
    </w:p>
    <w:p w14:paraId="57431E26" w14:textId="0F4B2D23" w:rsidR="006541F7" w:rsidRPr="006541F7" w:rsidRDefault="0055204B" w:rsidP="006541F7">
      <w:pPr>
        <w:pStyle w:val="Appendix"/>
        <w:jc w:val="both"/>
        <w:rPr>
          <w:b w:val="0"/>
          <w:caps w:val="0"/>
          <w:sz w:val="20"/>
        </w:rPr>
      </w:pPr>
      <w:r w:rsidRPr="0055204B">
        <w:rPr>
          <w:b w:val="0"/>
          <w:caps w:val="0"/>
          <w:sz w:val="20"/>
        </w:rPr>
        <w:t xml:space="preserve">Ruiz, J. M., </w:t>
      </w:r>
      <w:proofErr w:type="spellStart"/>
      <w:r w:rsidRPr="0055204B">
        <w:rPr>
          <w:b w:val="0"/>
          <w:caps w:val="0"/>
          <w:sz w:val="20"/>
        </w:rPr>
        <w:t>Bretones</w:t>
      </w:r>
      <w:proofErr w:type="spellEnd"/>
      <w:r w:rsidRPr="0055204B">
        <w:rPr>
          <w:b w:val="0"/>
          <w:caps w:val="0"/>
          <w:sz w:val="20"/>
        </w:rPr>
        <w:t xml:space="preserve">, G., </w:t>
      </w:r>
      <w:proofErr w:type="spellStart"/>
      <w:r w:rsidRPr="0055204B">
        <w:rPr>
          <w:b w:val="0"/>
          <w:caps w:val="0"/>
          <w:sz w:val="20"/>
        </w:rPr>
        <w:t>Baghour</w:t>
      </w:r>
      <w:proofErr w:type="spellEnd"/>
      <w:r w:rsidRPr="0055204B">
        <w:rPr>
          <w:b w:val="0"/>
          <w:caps w:val="0"/>
          <w:sz w:val="20"/>
        </w:rPr>
        <w:t xml:space="preserve">, M., Ragala, L., </w:t>
      </w:r>
      <w:proofErr w:type="spellStart"/>
      <w:r w:rsidRPr="0055204B">
        <w:rPr>
          <w:b w:val="0"/>
          <w:caps w:val="0"/>
          <w:sz w:val="20"/>
        </w:rPr>
        <w:t>Belakbir</w:t>
      </w:r>
      <w:proofErr w:type="spellEnd"/>
      <w:r w:rsidRPr="0055204B">
        <w:rPr>
          <w:b w:val="0"/>
          <w:caps w:val="0"/>
          <w:sz w:val="20"/>
        </w:rPr>
        <w:t xml:space="preserve">, A., &amp; Romero, L. (1998). Relationship between boron and phenolic metabolism in tobacco leaves. </w:t>
      </w:r>
      <w:r w:rsidRPr="0055204B">
        <w:rPr>
          <w:b w:val="0"/>
          <w:i/>
          <w:iCs/>
          <w:caps w:val="0"/>
          <w:sz w:val="20"/>
        </w:rPr>
        <w:t>Phytochemistry</w:t>
      </w:r>
      <w:r w:rsidRPr="0055204B">
        <w:rPr>
          <w:b w:val="0"/>
          <w:caps w:val="0"/>
          <w:sz w:val="20"/>
        </w:rPr>
        <w:t>, 48(2), 269-272.</w:t>
      </w:r>
    </w:p>
    <w:p w14:paraId="44E88307" w14:textId="59508BD5" w:rsidR="006541F7" w:rsidRPr="006541F7" w:rsidRDefault="0055204B" w:rsidP="006541F7">
      <w:pPr>
        <w:pStyle w:val="Appendix"/>
        <w:jc w:val="both"/>
        <w:rPr>
          <w:b w:val="0"/>
          <w:caps w:val="0"/>
          <w:sz w:val="20"/>
        </w:rPr>
      </w:pPr>
      <w:r w:rsidRPr="0055204B">
        <w:rPr>
          <w:b w:val="0"/>
          <w:caps w:val="0"/>
          <w:sz w:val="20"/>
        </w:rPr>
        <w:t xml:space="preserve">Sanyal, S. K., &amp; De Datta, S. K. (1991). Chemistry of phosphorus transformations in soil. </w:t>
      </w:r>
      <w:r w:rsidRPr="0055204B">
        <w:rPr>
          <w:b w:val="0"/>
          <w:i/>
          <w:iCs/>
          <w:caps w:val="0"/>
          <w:sz w:val="20"/>
        </w:rPr>
        <w:t>Advances in Soil Science</w:t>
      </w:r>
      <w:r w:rsidRPr="0055204B">
        <w:rPr>
          <w:b w:val="0"/>
          <w:caps w:val="0"/>
          <w:sz w:val="20"/>
        </w:rPr>
        <w:t>, 16, 1-120.</w:t>
      </w:r>
    </w:p>
    <w:p w14:paraId="26F77A9D" w14:textId="40618CF2" w:rsidR="006541F7" w:rsidRPr="006541F7" w:rsidRDefault="0055204B" w:rsidP="006541F7">
      <w:pPr>
        <w:pStyle w:val="Appendix"/>
        <w:jc w:val="both"/>
        <w:rPr>
          <w:b w:val="0"/>
          <w:caps w:val="0"/>
          <w:sz w:val="20"/>
        </w:rPr>
      </w:pPr>
      <w:r w:rsidRPr="0055204B">
        <w:rPr>
          <w:b w:val="0"/>
          <w:caps w:val="0"/>
          <w:sz w:val="20"/>
        </w:rPr>
        <w:t xml:space="preserve">Saure, M. C. (2001). Blossom-end rot of tomato (Lycopersicon esculentum Mill.)—a calcium-or a stress-related disorder? </w:t>
      </w:r>
      <w:r w:rsidRPr="0055204B">
        <w:rPr>
          <w:b w:val="0"/>
          <w:i/>
          <w:iCs/>
          <w:caps w:val="0"/>
          <w:sz w:val="20"/>
        </w:rPr>
        <w:t xml:space="preserve">Scientia </w:t>
      </w:r>
      <w:proofErr w:type="spellStart"/>
      <w:r w:rsidRPr="0055204B">
        <w:rPr>
          <w:b w:val="0"/>
          <w:i/>
          <w:iCs/>
          <w:caps w:val="0"/>
          <w:sz w:val="20"/>
        </w:rPr>
        <w:t>Horticulturae</w:t>
      </w:r>
      <w:proofErr w:type="spellEnd"/>
      <w:r w:rsidRPr="0055204B">
        <w:rPr>
          <w:b w:val="0"/>
          <w:caps w:val="0"/>
          <w:sz w:val="20"/>
        </w:rPr>
        <w:t>, 90(3-4), 193-208.</w:t>
      </w:r>
    </w:p>
    <w:p w14:paraId="7F278F0E" w14:textId="2ED5FF6D" w:rsidR="006541F7" w:rsidRPr="006541F7" w:rsidRDefault="0055204B" w:rsidP="006541F7">
      <w:pPr>
        <w:pStyle w:val="Appendix"/>
        <w:jc w:val="both"/>
        <w:rPr>
          <w:b w:val="0"/>
          <w:caps w:val="0"/>
          <w:sz w:val="20"/>
        </w:rPr>
      </w:pPr>
      <w:r w:rsidRPr="0055204B">
        <w:rPr>
          <w:b w:val="0"/>
          <w:caps w:val="0"/>
          <w:sz w:val="20"/>
        </w:rPr>
        <w:t xml:space="preserve">Sharma, P., Laor, Y., Raviv, M., Medina, S., Saadi, I., </w:t>
      </w:r>
      <w:proofErr w:type="spellStart"/>
      <w:r w:rsidRPr="0055204B">
        <w:rPr>
          <w:b w:val="0"/>
          <w:caps w:val="0"/>
          <w:sz w:val="20"/>
        </w:rPr>
        <w:t>Krasnovsky</w:t>
      </w:r>
      <w:proofErr w:type="spellEnd"/>
      <w:r w:rsidRPr="0055204B">
        <w:rPr>
          <w:b w:val="0"/>
          <w:caps w:val="0"/>
          <w:sz w:val="20"/>
        </w:rPr>
        <w:t>, A.,</w:t>
      </w:r>
      <w:r>
        <w:rPr>
          <w:b w:val="0"/>
          <w:caps w:val="0"/>
          <w:sz w:val="20"/>
        </w:rPr>
        <w:t xml:space="preserve"> </w:t>
      </w:r>
      <w:r w:rsidRPr="0055204B">
        <w:rPr>
          <w:b w:val="0"/>
          <w:caps w:val="0"/>
          <w:sz w:val="20"/>
        </w:rPr>
        <w:t xml:space="preserve">&amp; </w:t>
      </w:r>
      <w:proofErr w:type="spellStart"/>
      <w:r w:rsidRPr="0055204B">
        <w:rPr>
          <w:b w:val="0"/>
          <w:caps w:val="0"/>
          <w:sz w:val="20"/>
        </w:rPr>
        <w:t>Borisover</w:t>
      </w:r>
      <w:proofErr w:type="spellEnd"/>
      <w:r w:rsidRPr="0055204B">
        <w:rPr>
          <w:b w:val="0"/>
          <w:caps w:val="0"/>
          <w:sz w:val="20"/>
        </w:rPr>
        <w:t xml:space="preserve">, M. (2017). Compositional characteristics of organic matter and its water-extractable components across a profile of organically managed soil. </w:t>
      </w:r>
      <w:proofErr w:type="spellStart"/>
      <w:r w:rsidRPr="0055204B">
        <w:rPr>
          <w:b w:val="0"/>
          <w:i/>
          <w:iCs/>
          <w:caps w:val="0"/>
          <w:sz w:val="20"/>
        </w:rPr>
        <w:t>Geoderma</w:t>
      </w:r>
      <w:proofErr w:type="spellEnd"/>
      <w:r w:rsidRPr="0055204B">
        <w:rPr>
          <w:b w:val="0"/>
          <w:caps w:val="0"/>
          <w:sz w:val="20"/>
        </w:rPr>
        <w:t>, 286, 73-82.</w:t>
      </w:r>
    </w:p>
    <w:p w14:paraId="2BA80ADE" w14:textId="65238028" w:rsidR="006541F7" w:rsidRPr="006541F7" w:rsidRDefault="004E41DA" w:rsidP="006541F7">
      <w:pPr>
        <w:pStyle w:val="Appendix"/>
        <w:jc w:val="both"/>
        <w:rPr>
          <w:b w:val="0"/>
          <w:caps w:val="0"/>
          <w:sz w:val="20"/>
        </w:rPr>
      </w:pPr>
      <w:proofErr w:type="spellStart"/>
      <w:r w:rsidRPr="004E41DA">
        <w:rPr>
          <w:b w:val="0"/>
          <w:caps w:val="0"/>
          <w:sz w:val="20"/>
        </w:rPr>
        <w:t>Shorrocks</w:t>
      </w:r>
      <w:proofErr w:type="spellEnd"/>
      <w:r w:rsidRPr="004E41DA">
        <w:rPr>
          <w:b w:val="0"/>
          <w:caps w:val="0"/>
          <w:sz w:val="20"/>
        </w:rPr>
        <w:t xml:space="preserve">, V. M. (1997). The occurrence and correction of boron deficiency. </w:t>
      </w:r>
      <w:r w:rsidRPr="004E41DA">
        <w:rPr>
          <w:b w:val="0"/>
          <w:i/>
          <w:iCs/>
          <w:caps w:val="0"/>
          <w:sz w:val="20"/>
        </w:rPr>
        <w:t>Plant and Soil</w:t>
      </w:r>
      <w:r w:rsidRPr="004E41DA">
        <w:rPr>
          <w:b w:val="0"/>
          <w:caps w:val="0"/>
          <w:sz w:val="20"/>
        </w:rPr>
        <w:t>, 193(1), 121-148.</w:t>
      </w:r>
    </w:p>
    <w:p w14:paraId="68B5A702" w14:textId="39E62EC8" w:rsidR="006541F7" w:rsidRPr="006541F7" w:rsidRDefault="004E41DA" w:rsidP="006541F7">
      <w:pPr>
        <w:pStyle w:val="Appendix"/>
        <w:jc w:val="both"/>
        <w:rPr>
          <w:b w:val="0"/>
          <w:caps w:val="0"/>
          <w:sz w:val="20"/>
        </w:rPr>
      </w:pPr>
      <w:r w:rsidRPr="004E41DA">
        <w:rPr>
          <w:b w:val="0"/>
          <w:caps w:val="0"/>
          <w:sz w:val="20"/>
        </w:rPr>
        <w:t>Shuman, L. M. (1991). Chemical forms of micronutrients in soils. In: Micronutrients in Agriculture (pp. 113-144). SSSA Book Series No. 4.</w:t>
      </w:r>
    </w:p>
    <w:p w14:paraId="1BD4F90E" w14:textId="382BDCC8" w:rsidR="006541F7" w:rsidRPr="006541F7" w:rsidRDefault="004E41DA" w:rsidP="006541F7">
      <w:pPr>
        <w:pStyle w:val="Appendix"/>
        <w:jc w:val="both"/>
        <w:rPr>
          <w:b w:val="0"/>
          <w:caps w:val="0"/>
          <w:sz w:val="20"/>
        </w:rPr>
      </w:pPr>
      <w:r w:rsidRPr="004E41DA">
        <w:rPr>
          <w:b w:val="0"/>
          <w:caps w:val="0"/>
          <w:sz w:val="20"/>
        </w:rPr>
        <w:t>Singh, M. V. (2008). Micronutrient deficiencies in crops and soils in India. In: Micronutrient Deficiencies in Global Crop Production (pp. 93-125). Springer, Dordrecht.</w:t>
      </w:r>
    </w:p>
    <w:p w14:paraId="54635531" w14:textId="4A542F27" w:rsidR="006541F7" w:rsidRPr="006541F7" w:rsidRDefault="004E41DA" w:rsidP="006541F7">
      <w:pPr>
        <w:pStyle w:val="Appendix"/>
        <w:jc w:val="both"/>
        <w:rPr>
          <w:b w:val="0"/>
          <w:caps w:val="0"/>
          <w:sz w:val="20"/>
        </w:rPr>
      </w:pPr>
      <w:r w:rsidRPr="004E41DA">
        <w:rPr>
          <w:b w:val="0"/>
          <w:caps w:val="0"/>
          <w:sz w:val="20"/>
        </w:rPr>
        <w:t xml:space="preserve">Srinivasarao, C., Vittal, K. P. R., </w:t>
      </w:r>
      <w:proofErr w:type="spellStart"/>
      <w:r w:rsidRPr="004E41DA">
        <w:rPr>
          <w:b w:val="0"/>
          <w:caps w:val="0"/>
          <w:sz w:val="20"/>
        </w:rPr>
        <w:t>Venkateswarlu</w:t>
      </w:r>
      <w:proofErr w:type="spellEnd"/>
      <w:r w:rsidRPr="004E41DA">
        <w:rPr>
          <w:b w:val="0"/>
          <w:caps w:val="0"/>
          <w:sz w:val="20"/>
        </w:rPr>
        <w:t xml:space="preserve">, B., Wani, S. P., </w:t>
      </w:r>
      <w:proofErr w:type="spellStart"/>
      <w:r w:rsidRPr="004E41DA">
        <w:rPr>
          <w:b w:val="0"/>
          <w:caps w:val="0"/>
          <w:sz w:val="20"/>
        </w:rPr>
        <w:t>Sahrawat</w:t>
      </w:r>
      <w:proofErr w:type="spellEnd"/>
      <w:r w:rsidRPr="004E41DA">
        <w:rPr>
          <w:b w:val="0"/>
          <w:caps w:val="0"/>
          <w:sz w:val="20"/>
        </w:rPr>
        <w:t xml:space="preserve">, K. L., Marimuthu, S., &amp; Kundu, S. (2009). Carbon stocks in different soil types under diverse rainfed production systems in tropical India. </w:t>
      </w:r>
      <w:r w:rsidRPr="004E41DA">
        <w:rPr>
          <w:b w:val="0"/>
          <w:i/>
          <w:iCs/>
          <w:caps w:val="0"/>
          <w:sz w:val="20"/>
        </w:rPr>
        <w:t>Communications in Soil Science and Plant Analysis</w:t>
      </w:r>
      <w:r w:rsidRPr="004E41DA">
        <w:rPr>
          <w:b w:val="0"/>
          <w:caps w:val="0"/>
          <w:sz w:val="20"/>
        </w:rPr>
        <w:t>, 40(15-16), 2338-2356.</w:t>
      </w:r>
    </w:p>
    <w:p w14:paraId="01C8211B" w14:textId="716866AE" w:rsidR="006541F7" w:rsidRPr="006541F7" w:rsidRDefault="004E41DA" w:rsidP="006541F7">
      <w:pPr>
        <w:pStyle w:val="Appendix"/>
        <w:jc w:val="both"/>
        <w:rPr>
          <w:b w:val="0"/>
          <w:caps w:val="0"/>
          <w:sz w:val="20"/>
        </w:rPr>
      </w:pPr>
      <w:r w:rsidRPr="004E41DA">
        <w:rPr>
          <w:b w:val="0"/>
          <w:caps w:val="0"/>
          <w:sz w:val="20"/>
        </w:rPr>
        <w:t xml:space="preserve">Subbiah, B. V., &amp; Asija, G. L. (1956). A rapid procedure for the estimation of available nitrogen in soil. </w:t>
      </w:r>
      <w:r w:rsidRPr="004E41DA">
        <w:rPr>
          <w:b w:val="0"/>
          <w:i/>
          <w:iCs/>
          <w:caps w:val="0"/>
          <w:sz w:val="20"/>
        </w:rPr>
        <w:t>Current Science</w:t>
      </w:r>
      <w:r w:rsidRPr="004E41DA">
        <w:rPr>
          <w:b w:val="0"/>
          <w:caps w:val="0"/>
          <w:sz w:val="20"/>
        </w:rPr>
        <w:t>, 25, 258-260.</w:t>
      </w:r>
    </w:p>
    <w:p w14:paraId="75AAB64A" w14:textId="2F0AAECB" w:rsidR="006541F7" w:rsidRPr="006541F7" w:rsidRDefault="004E41DA" w:rsidP="006541F7">
      <w:pPr>
        <w:pStyle w:val="Appendix"/>
        <w:jc w:val="both"/>
        <w:rPr>
          <w:b w:val="0"/>
          <w:caps w:val="0"/>
          <w:sz w:val="20"/>
        </w:rPr>
      </w:pPr>
      <w:r w:rsidRPr="004E41DA">
        <w:rPr>
          <w:b w:val="0"/>
          <w:caps w:val="0"/>
          <w:sz w:val="20"/>
        </w:rPr>
        <w:t xml:space="preserve">Walkley, A. J., &amp; Black, I. A. (1934). Estimation of soil organic carbon by chromic acid titration method. </w:t>
      </w:r>
      <w:r w:rsidRPr="004E41DA">
        <w:rPr>
          <w:b w:val="0"/>
          <w:i/>
          <w:iCs/>
          <w:caps w:val="0"/>
          <w:sz w:val="20"/>
        </w:rPr>
        <w:t>Soil Science</w:t>
      </w:r>
      <w:r w:rsidRPr="004E41DA">
        <w:rPr>
          <w:b w:val="0"/>
          <w:caps w:val="0"/>
          <w:sz w:val="20"/>
        </w:rPr>
        <w:t>, 31, 29-38.</w:t>
      </w:r>
    </w:p>
    <w:p w14:paraId="3120188B" w14:textId="77777777" w:rsidR="006541F7" w:rsidRPr="006541F7" w:rsidRDefault="006541F7" w:rsidP="006541F7">
      <w:pPr>
        <w:pStyle w:val="Appendix"/>
        <w:jc w:val="both"/>
        <w:rPr>
          <w:b w:val="0"/>
          <w:caps w:val="0"/>
          <w:sz w:val="20"/>
        </w:rPr>
      </w:pPr>
      <w:r w:rsidRPr="006541F7">
        <w:rPr>
          <w:b w:val="0"/>
          <w:caps w:val="0"/>
          <w:sz w:val="20"/>
        </w:rPr>
        <w:t>White, P. J., &amp; Broadley, M. R. (2003). Calcium in plants. Annals of botany, 92(4), 487-511.</w:t>
      </w:r>
    </w:p>
    <w:p w14:paraId="375A4704" w14:textId="3CF8112E" w:rsidR="006541F7" w:rsidRPr="006541F7" w:rsidRDefault="004E41DA" w:rsidP="006541F7">
      <w:pPr>
        <w:pStyle w:val="Appendix"/>
        <w:jc w:val="both"/>
        <w:rPr>
          <w:b w:val="0"/>
          <w:caps w:val="0"/>
          <w:sz w:val="20"/>
        </w:rPr>
      </w:pPr>
      <w:r w:rsidRPr="004E41DA">
        <w:rPr>
          <w:b w:val="0"/>
          <w:caps w:val="0"/>
          <w:sz w:val="20"/>
        </w:rPr>
        <w:t xml:space="preserve">Wong, M. T. F., Hughes, R., &amp; Rowell, D. L. (1990). Retarded leaching of nitrate in acid soils from the tropics: measurement of the effective anion exchange capacity. </w:t>
      </w:r>
      <w:r w:rsidRPr="004E41DA">
        <w:rPr>
          <w:b w:val="0"/>
          <w:i/>
          <w:iCs/>
          <w:caps w:val="0"/>
          <w:sz w:val="20"/>
        </w:rPr>
        <w:t>Journal of Soil Science</w:t>
      </w:r>
      <w:r w:rsidRPr="004E41DA">
        <w:rPr>
          <w:b w:val="0"/>
          <w:caps w:val="0"/>
          <w:sz w:val="20"/>
        </w:rPr>
        <w:t>, 41(4), 655-663.</w:t>
      </w:r>
    </w:p>
    <w:p w14:paraId="1D6338FA" w14:textId="4EF131E7" w:rsidR="006541F7" w:rsidRPr="006541F7" w:rsidRDefault="004E41DA" w:rsidP="006541F7">
      <w:pPr>
        <w:pStyle w:val="Appendix"/>
        <w:jc w:val="both"/>
        <w:rPr>
          <w:b w:val="0"/>
          <w:caps w:val="0"/>
          <w:sz w:val="20"/>
        </w:rPr>
      </w:pPr>
      <w:r w:rsidRPr="004E41DA">
        <w:rPr>
          <w:b w:val="0"/>
          <w:caps w:val="0"/>
          <w:sz w:val="20"/>
        </w:rPr>
        <w:t xml:space="preserve">Xu, J. M., Wang, K., Bell, R. W., Yang, Y. A., &amp; Huang, L. B. (2001). Soil boron fractions and their relationship to soil properties. </w:t>
      </w:r>
      <w:r w:rsidRPr="004E41DA">
        <w:rPr>
          <w:b w:val="0"/>
          <w:i/>
          <w:iCs/>
          <w:caps w:val="0"/>
          <w:sz w:val="20"/>
        </w:rPr>
        <w:t>Soil Science Society of America Journal</w:t>
      </w:r>
      <w:r w:rsidRPr="004E41DA">
        <w:rPr>
          <w:b w:val="0"/>
          <w:caps w:val="0"/>
          <w:sz w:val="20"/>
        </w:rPr>
        <w:t>, 65(1), 133-138.</w:t>
      </w:r>
    </w:p>
    <w:p w14:paraId="4CADA8ED" w14:textId="028D7E1B" w:rsidR="004D4277" w:rsidRPr="00FB3A86" w:rsidRDefault="006541F7" w:rsidP="006541F7">
      <w:pPr>
        <w:pStyle w:val="Appendix"/>
        <w:spacing w:after="0"/>
        <w:jc w:val="both"/>
        <w:rPr>
          <w:rFonts w:ascii="Arial" w:hAnsi="Arial" w:cs="Arial"/>
          <w:b w:val="0"/>
        </w:rPr>
        <w:sectPr w:rsidR="004D4277" w:rsidRPr="00FB3A86" w:rsidSect="00C7596A">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6541F7">
        <w:rPr>
          <w:b w:val="0"/>
          <w:caps w:val="0"/>
          <w:sz w:val="20"/>
        </w:rPr>
        <w:t xml:space="preserve">Yermiyahu, U., Keren, R., &amp; Chen, Y. (1995). Boron sorption by soil in the presence of composted organic matter. </w:t>
      </w:r>
      <w:r w:rsidRPr="004E41DA">
        <w:rPr>
          <w:b w:val="0"/>
          <w:i/>
          <w:iCs/>
          <w:caps w:val="0"/>
          <w:sz w:val="20"/>
        </w:rPr>
        <w:t>Soil Science Society of America Journal</w:t>
      </w:r>
      <w:r w:rsidRPr="006541F7">
        <w:rPr>
          <w:b w:val="0"/>
          <w:caps w:val="0"/>
          <w:sz w:val="20"/>
        </w:rPr>
        <w:t>, 59(2), 405-409.</w:t>
      </w:r>
    </w:p>
    <w:p w14:paraId="3D365F32" w14:textId="77777777" w:rsidR="00B01FCD" w:rsidRPr="00FB3A86" w:rsidRDefault="00B01FCD" w:rsidP="00441B6F">
      <w:pPr>
        <w:pStyle w:val="Appendix"/>
        <w:spacing w:after="0"/>
        <w:jc w:val="both"/>
        <w:rPr>
          <w:rFonts w:ascii="Arial" w:hAnsi="Arial" w:cs="Arial"/>
          <w:b w:val="0"/>
        </w:rPr>
      </w:pPr>
    </w:p>
    <w:sectPr w:rsidR="00B01FCD" w:rsidRPr="00FB3A86" w:rsidSect="00C759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408D9" w14:textId="77777777" w:rsidR="007564C2" w:rsidRDefault="007564C2" w:rsidP="00C37E61">
      <w:r>
        <w:separator/>
      </w:r>
    </w:p>
  </w:endnote>
  <w:endnote w:type="continuationSeparator" w:id="0">
    <w:p w14:paraId="1129D878" w14:textId="77777777" w:rsidR="007564C2" w:rsidRDefault="007564C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4E558" w14:textId="77777777" w:rsidR="00C7596A" w:rsidRDefault="00C75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F856" w14:textId="77777777" w:rsidR="00C7596A" w:rsidRDefault="00C75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3537E" w14:textId="2FFC83A4" w:rsidR="00754C9A" w:rsidRPr="00C7596A" w:rsidRDefault="00754C9A" w:rsidP="00C759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2DA9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354EC" w14:textId="77777777" w:rsidR="007564C2" w:rsidRDefault="007564C2" w:rsidP="00C37E61">
      <w:r>
        <w:separator/>
      </w:r>
    </w:p>
  </w:footnote>
  <w:footnote w:type="continuationSeparator" w:id="0">
    <w:p w14:paraId="35E5D69E" w14:textId="77777777" w:rsidR="007564C2" w:rsidRDefault="007564C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FADA" w14:textId="208AEE33" w:rsidR="00C7596A" w:rsidRDefault="007564C2">
    <w:pPr>
      <w:pStyle w:val="Header"/>
    </w:pPr>
    <w:r>
      <w:rPr>
        <w:noProof/>
      </w:rPr>
      <w:pict w14:anchorId="42A3C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4ACD" w14:textId="353B3865" w:rsidR="00C7596A" w:rsidRDefault="007564C2">
    <w:pPr>
      <w:pStyle w:val="Header"/>
    </w:pPr>
    <w:r>
      <w:rPr>
        <w:noProof/>
      </w:rPr>
      <w:pict w14:anchorId="73203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F5744" w14:textId="76F3D145" w:rsidR="00296529" w:rsidRPr="00296529" w:rsidRDefault="007564C2" w:rsidP="00296529">
    <w:pPr>
      <w:ind w:left="2160"/>
      <w:jc w:val="center"/>
      <w:rPr>
        <w:rFonts w:ascii="Times New Roman" w:eastAsia="Calibri" w:hAnsi="Times New Roman"/>
        <w:i/>
        <w:sz w:val="18"/>
        <w:szCs w:val="22"/>
      </w:rPr>
    </w:pPr>
    <w:r>
      <w:rPr>
        <w:noProof/>
      </w:rPr>
      <w:pict w14:anchorId="2B36F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93C8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83DA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6A9A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CC0F7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F5D4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F7C2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9908C" w14:textId="1D8D917E" w:rsidR="00C7596A" w:rsidRDefault="007564C2">
    <w:pPr>
      <w:pStyle w:val="Header"/>
    </w:pPr>
    <w:r>
      <w:rPr>
        <w:noProof/>
      </w:rPr>
      <w:pict w14:anchorId="5A482A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A93B9" w14:textId="4E0551BA" w:rsidR="00C7596A" w:rsidRDefault="007564C2">
    <w:pPr>
      <w:pStyle w:val="Header"/>
    </w:pPr>
    <w:r>
      <w:rPr>
        <w:noProof/>
      </w:rPr>
      <w:pict w14:anchorId="03AE3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ECBC5" w14:textId="79446662" w:rsidR="00C7596A" w:rsidRDefault="007564C2">
    <w:pPr>
      <w:pStyle w:val="Header"/>
    </w:pPr>
    <w:r>
      <w:rPr>
        <w:noProof/>
      </w:rPr>
      <w:pict w14:anchorId="33665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026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12"/>
    <w:rsid w:val="00030174"/>
    <w:rsid w:val="0004579C"/>
    <w:rsid w:val="000A47FA"/>
    <w:rsid w:val="000A65D3"/>
    <w:rsid w:val="000B1E33"/>
    <w:rsid w:val="000D689F"/>
    <w:rsid w:val="000E2FFA"/>
    <w:rsid w:val="000E7B7B"/>
    <w:rsid w:val="000E7D62"/>
    <w:rsid w:val="000F11BC"/>
    <w:rsid w:val="00103357"/>
    <w:rsid w:val="00106CC9"/>
    <w:rsid w:val="00110891"/>
    <w:rsid w:val="001126CE"/>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02A"/>
    <w:rsid w:val="002160E2"/>
    <w:rsid w:val="00231920"/>
    <w:rsid w:val="0023195C"/>
    <w:rsid w:val="0024282C"/>
    <w:rsid w:val="002460DC"/>
    <w:rsid w:val="00250985"/>
    <w:rsid w:val="002556F6"/>
    <w:rsid w:val="00265997"/>
    <w:rsid w:val="00283105"/>
    <w:rsid w:val="00284C4C"/>
    <w:rsid w:val="00287E68"/>
    <w:rsid w:val="00296529"/>
    <w:rsid w:val="002B27FB"/>
    <w:rsid w:val="002B685A"/>
    <w:rsid w:val="002C57D2"/>
    <w:rsid w:val="002E0D56"/>
    <w:rsid w:val="002E6A4A"/>
    <w:rsid w:val="00301335"/>
    <w:rsid w:val="00311FA4"/>
    <w:rsid w:val="00315186"/>
    <w:rsid w:val="0033343E"/>
    <w:rsid w:val="003512C2"/>
    <w:rsid w:val="00371FB6"/>
    <w:rsid w:val="003763C1"/>
    <w:rsid w:val="00376BBE"/>
    <w:rsid w:val="0039224F"/>
    <w:rsid w:val="00396AAD"/>
    <w:rsid w:val="003A43A4"/>
    <w:rsid w:val="003A7E18"/>
    <w:rsid w:val="003B50D5"/>
    <w:rsid w:val="003C4C86"/>
    <w:rsid w:val="003C6258"/>
    <w:rsid w:val="003E2904"/>
    <w:rsid w:val="00401927"/>
    <w:rsid w:val="0041027F"/>
    <w:rsid w:val="00412475"/>
    <w:rsid w:val="00423789"/>
    <w:rsid w:val="00440F43"/>
    <w:rsid w:val="00441B6F"/>
    <w:rsid w:val="00446221"/>
    <w:rsid w:val="00450E62"/>
    <w:rsid w:val="004539DB"/>
    <w:rsid w:val="004658B0"/>
    <w:rsid w:val="004678FF"/>
    <w:rsid w:val="00471A80"/>
    <w:rsid w:val="004D305E"/>
    <w:rsid w:val="004D4277"/>
    <w:rsid w:val="004D7798"/>
    <w:rsid w:val="004E41DA"/>
    <w:rsid w:val="004E6457"/>
    <w:rsid w:val="00502516"/>
    <w:rsid w:val="00505F06"/>
    <w:rsid w:val="00506828"/>
    <w:rsid w:val="00506CE8"/>
    <w:rsid w:val="0053056E"/>
    <w:rsid w:val="0055204B"/>
    <w:rsid w:val="00554FDA"/>
    <w:rsid w:val="00575CDB"/>
    <w:rsid w:val="00580F1C"/>
    <w:rsid w:val="005873AA"/>
    <w:rsid w:val="0059648E"/>
    <w:rsid w:val="005C784C"/>
    <w:rsid w:val="005D17F6"/>
    <w:rsid w:val="005E0F70"/>
    <w:rsid w:val="005E5539"/>
    <w:rsid w:val="00602BF5"/>
    <w:rsid w:val="00611DC9"/>
    <w:rsid w:val="00617FDD"/>
    <w:rsid w:val="00633614"/>
    <w:rsid w:val="00633F68"/>
    <w:rsid w:val="00635803"/>
    <w:rsid w:val="00636EB2"/>
    <w:rsid w:val="006375B8"/>
    <w:rsid w:val="006541F7"/>
    <w:rsid w:val="00664F3C"/>
    <w:rsid w:val="0066510A"/>
    <w:rsid w:val="00673F9F"/>
    <w:rsid w:val="00686953"/>
    <w:rsid w:val="00687DEA"/>
    <w:rsid w:val="00687E67"/>
    <w:rsid w:val="006967F7"/>
    <w:rsid w:val="006A250C"/>
    <w:rsid w:val="006B21D3"/>
    <w:rsid w:val="006B52E0"/>
    <w:rsid w:val="006B57D0"/>
    <w:rsid w:val="006C7095"/>
    <w:rsid w:val="006D30FF"/>
    <w:rsid w:val="006D6940"/>
    <w:rsid w:val="006E71EE"/>
    <w:rsid w:val="006F11EC"/>
    <w:rsid w:val="006F75BF"/>
    <w:rsid w:val="0070082C"/>
    <w:rsid w:val="00726CD6"/>
    <w:rsid w:val="007369E6"/>
    <w:rsid w:val="00746E59"/>
    <w:rsid w:val="00754C9A"/>
    <w:rsid w:val="0075599A"/>
    <w:rsid w:val="007564C2"/>
    <w:rsid w:val="00761D52"/>
    <w:rsid w:val="0077749E"/>
    <w:rsid w:val="0078567C"/>
    <w:rsid w:val="00790ADA"/>
    <w:rsid w:val="007A6A0E"/>
    <w:rsid w:val="007D2288"/>
    <w:rsid w:val="007E088F"/>
    <w:rsid w:val="007E7949"/>
    <w:rsid w:val="007F7B32"/>
    <w:rsid w:val="00804BC2"/>
    <w:rsid w:val="008066CF"/>
    <w:rsid w:val="0081431A"/>
    <w:rsid w:val="0083216F"/>
    <w:rsid w:val="00854EBF"/>
    <w:rsid w:val="00860000"/>
    <w:rsid w:val="00860E0A"/>
    <w:rsid w:val="00860EEB"/>
    <w:rsid w:val="00861CE4"/>
    <w:rsid w:val="00863BD3"/>
    <w:rsid w:val="008641ED"/>
    <w:rsid w:val="0086633B"/>
    <w:rsid w:val="00866D66"/>
    <w:rsid w:val="008671C6"/>
    <w:rsid w:val="00875803"/>
    <w:rsid w:val="00886740"/>
    <w:rsid w:val="008B459E"/>
    <w:rsid w:val="008C5FFD"/>
    <w:rsid w:val="008E13AE"/>
    <w:rsid w:val="008E1506"/>
    <w:rsid w:val="008E710C"/>
    <w:rsid w:val="008F69D6"/>
    <w:rsid w:val="00902823"/>
    <w:rsid w:val="00915CA6"/>
    <w:rsid w:val="00927834"/>
    <w:rsid w:val="00945EB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1F3"/>
    <w:rsid w:val="00A24E7E"/>
    <w:rsid w:val="00A258C3"/>
    <w:rsid w:val="00A347C0"/>
    <w:rsid w:val="00A51431"/>
    <w:rsid w:val="00A539AD"/>
    <w:rsid w:val="00A94063"/>
    <w:rsid w:val="00AA6219"/>
    <w:rsid w:val="00AA74E0"/>
    <w:rsid w:val="00AB703F"/>
    <w:rsid w:val="00AC6BB8"/>
    <w:rsid w:val="00AE008F"/>
    <w:rsid w:val="00AE313E"/>
    <w:rsid w:val="00B01FCD"/>
    <w:rsid w:val="00B1776C"/>
    <w:rsid w:val="00B52583"/>
    <w:rsid w:val="00B52896"/>
    <w:rsid w:val="00B82647"/>
    <w:rsid w:val="00B92861"/>
    <w:rsid w:val="00B95236"/>
    <w:rsid w:val="00B96BD9"/>
    <w:rsid w:val="00BA1B01"/>
    <w:rsid w:val="00BA2641"/>
    <w:rsid w:val="00BB37AA"/>
    <w:rsid w:val="00BC53A0"/>
    <w:rsid w:val="00BE62AD"/>
    <w:rsid w:val="00BF0A52"/>
    <w:rsid w:val="00BF121F"/>
    <w:rsid w:val="00BF1F80"/>
    <w:rsid w:val="00C166EF"/>
    <w:rsid w:val="00C17EB0"/>
    <w:rsid w:val="00C27F5F"/>
    <w:rsid w:val="00C30A0F"/>
    <w:rsid w:val="00C37E61"/>
    <w:rsid w:val="00C70F1B"/>
    <w:rsid w:val="00C71A47"/>
    <w:rsid w:val="00C7464C"/>
    <w:rsid w:val="00C7596A"/>
    <w:rsid w:val="00C85588"/>
    <w:rsid w:val="00C8791C"/>
    <w:rsid w:val="00CD20C2"/>
    <w:rsid w:val="00CD42D1"/>
    <w:rsid w:val="00CD6755"/>
    <w:rsid w:val="00CD6856"/>
    <w:rsid w:val="00CE0089"/>
    <w:rsid w:val="00CE793C"/>
    <w:rsid w:val="00CF193C"/>
    <w:rsid w:val="00D173F1"/>
    <w:rsid w:val="00D74CB0"/>
    <w:rsid w:val="00D8295D"/>
    <w:rsid w:val="00DC2A65"/>
    <w:rsid w:val="00DE15F0"/>
    <w:rsid w:val="00DE5663"/>
    <w:rsid w:val="00DE78AA"/>
    <w:rsid w:val="00DF7294"/>
    <w:rsid w:val="00E053D0"/>
    <w:rsid w:val="00E06181"/>
    <w:rsid w:val="00E15994"/>
    <w:rsid w:val="00E3114E"/>
    <w:rsid w:val="00E31A70"/>
    <w:rsid w:val="00E35B02"/>
    <w:rsid w:val="00E433F5"/>
    <w:rsid w:val="00E66496"/>
    <w:rsid w:val="00E66B35"/>
    <w:rsid w:val="00E66E10"/>
    <w:rsid w:val="00E769F6"/>
    <w:rsid w:val="00E8407C"/>
    <w:rsid w:val="00E84F3C"/>
    <w:rsid w:val="00E911E1"/>
    <w:rsid w:val="00EA012C"/>
    <w:rsid w:val="00EC6A55"/>
    <w:rsid w:val="00ED0288"/>
    <w:rsid w:val="00EE52CB"/>
    <w:rsid w:val="00EF292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AC21F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F292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0602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EF292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0602A"/>
    <w:rPr>
      <w:rFonts w:asciiTheme="majorHAnsi" w:eastAsiaTheme="majorEastAsia" w:hAnsiTheme="majorHAnsi" w:cstheme="majorBidi"/>
      <w:color w:val="243F60" w:themeColor="accent1" w:themeShade="7F"/>
      <w:sz w:val="24"/>
      <w:szCs w:val="24"/>
    </w:rPr>
  </w:style>
  <w:style w:type="table" w:styleId="TableGridLight">
    <w:name w:val="Grid Table Light"/>
    <w:basedOn w:val="TableNormal"/>
    <w:uiPriority w:val="40"/>
    <w:rsid w:val="008663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2F4F7-47AC-4159-9430-B66D054D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424</TotalTime>
  <Pages>11</Pages>
  <Words>4402</Words>
  <Characters>25094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42</cp:revision>
  <cp:lastPrinted>1999-07-06T11:00:00Z</cp:lastPrinted>
  <dcterms:created xsi:type="dcterms:W3CDTF">2014-10-25T14:34:00Z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239452b0-be5c-429f-b9f5-da65930f7896</vt:lpwstr>
  </property>
</Properties>
</file>