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108CD" w14:textId="24F126B2" w:rsidR="001427FF" w:rsidRPr="001427FF" w:rsidRDefault="007C5EA1" w:rsidP="00134079">
      <w:pPr>
        <w:pStyle w:val="BodyText"/>
        <w:spacing w:line="360" w:lineRule="auto"/>
        <w:jc w:val="right"/>
        <w:rPr>
          <w:rFonts w:ascii="Arial" w:hAnsi="Arial" w:cs="Arial"/>
          <w:sz w:val="36"/>
          <w:szCs w:val="36"/>
        </w:rPr>
      </w:pPr>
      <w:bookmarkStart w:id="0" w:name="_Toc141752895"/>
      <w:bookmarkStart w:id="1" w:name="_Toc143711497"/>
      <w:bookmarkStart w:id="2" w:name="_Toc143715351"/>
      <w:r>
        <w:rPr>
          <w:rFonts w:ascii="Arial" w:eastAsiaTheme="majorEastAsia" w:hAnsi="Arial" w:cs="Arial"/>
          <w:b/>
          <w:bCs/>
          <w:sz w:val="36"/>
          <w:szCs w:val="36"/>
        </w:rPr>
        <w:t xml:space="preserve">A </w:t>
      </w:r>
      <w:r w:rsidR="001427FF" w:rsidRPr="001427FF">
        <w:rPr>
          <w:rFonts w:ascii="Arial" w:eastAsiaTheme="majorEastAsia" w:hAnsi="Arial" w:cs="Arial"/>
          <w:b/>
          <w:bCs/>
          <w:sz w:val="36"/>
          <w:szCs w:val="36"/>
        </w:rPr>
        <w:t xml:space="preserve">Review on the Management of Shallot Black Mold </w:t>
      </w:r>
      <w:r w:rsidR="001455EC">
        <w:rPr>
          <w:rFonts w:ascii="Arial" w:eastAsiaTheme="majorEastAsia" w:hAnsi="Arial" w:cs="Arial"/>
          <w:b/>
          <w:bCs/>
          <w:sz w:val="36"/>
          <w:szCs w:val="36"/>
        </w:rPr>
        <w:t>c</w:t>
      </w:r>
      <w:r w:rsidR="001427FF" w:rsidRPr="001427FF">
        <w:rPr>
          <w:rFonts w:ascii="Arial" w:eastAsiaTheme="majorEastAsia" w:hAnsi="Arial" w:cs="Arial"/>
          <w:b/>
          <w:bCs/>
          <w:sz w:val="36"/>
          <w:szCs w:val="36"/>
        </w:rPr>
        <w:t xml:space="preserve">aused </w:t>
      </w:r>
      <w:r w:rsidR="001455EC">
        <w:rPr>
          <w:rFonts w:ascii="Arial" w:eastAsiaTheme="majorEastAsia" w:hAnsi="Arial" w:cs="Arial"/>
          <w:b/>
          <w:bCs/>
          <w:sz w:val="36"/>
          <w:szCs w:val="36"/>
        </w:rPr>
        <w:t>b</w:t>
      </w:r>
      <w:r w:rsidR="001427FF" w:rsidRPr="001427FF">
        <w:rPr>
          <w:rFonts w:ascii="Arial" w:eastAsiaTheme="majorEastAsia" w:hAnsi="Arial" w:cs="Arial"/>
          <w:b/>
          <w:bCs/>
          <w:sz w:val="36"/>
          <w:szCs w:val="36"/>
        </w:rPr>
        <w:t xml:space="preserve">y </w:t>
      </w:r>
      <w:r w:rsidR="001427FF" w:rsidRPr="001427FF">
        <w:rPr>
          <w:rFonts w:ascii="Arial" w:eastAsiaTheme="majorEastAsia" w:hAnsi="Arial" w:cs="Arial"/>
          <w:b/>
          <w:bCs/>
          <w:i/>
          <w:iCs/>
          <w:sz w:val="36"/>
          <w:szCs w:val="36"/>
        </w:rPr>
        <w:t>Aspergillus</w:t>
      </w:r>
      <w:r w:rsidR="001427FF" w:rsidRPr="001427FF">
        <w:rPr>
          <w:rFonts w:ascii="Arial" w:eastAsiaTheme="majorEastAsia" w:hAnsi="Arial" w:cs="Arial"/>
          <w:b/>
          <w:bCs/>
          <w:sz w:val="36"/>
          <w:szCs w:val="36"/>
        </w:rPr>
        <w:t xml:space="preserve"> </w:t>
      </w:r>
      <w:proofErr w:type="spellStart"/>
      <w:r w:rsidR="001455EC">
        <w:rPr>
          <w:rFonts w:ascii="Arial" w:eastAsiaTheme="majorEastAsia" w:hAnsi="Arial" w:cs="Arial"/>
          <w:b/>
          <w:bCs/>
          <w:i/>
          <w:iCs/>
          <w:sz w:val="36"/>
          <w:szCs w:val="36"/>
        </w:rPr>
        <w:t>n</w:t>
      </w:r>
      <w:r w:rsidR="001427FF" w:rsidRPr="001427FF">
        <w:rPr>
          <w:rFonts w:ascii="Arial" w:eastAsiaTheme="majorEastAsia" w:hAnsi="Arial" w:cs="Arial"/>
          <w:b/>
          <w:bCs/>
          <w:i/>
          <w:iCs/>
          <w:sz w:val="36"/>
          <w:szCs w:val="36"/>
        </w:rPr>
        <w:t>iger</w:t>
      </w:r>
      <w:proofErr w:type="spellEnd"/>
      <w:r w:rsidR="001427FF" w:rsidRPr="001427FF">
        <w:rPr>
          <w:rFonts w:ascii="Arial" w:eastAsiaTheme="majorEastAsia" w:hAnsi="Arial" w:cs="Arial"/>
          <w:b/>
          <w:bCs/>
          <w:sz w:val="36"/>
          <w:szCs w:val="36"/>
        </w:rPr>
        <w:t xml:space="preserve"> (Van </w:t>
      </w:r>
      <w:proofErr w:type="spellStart"/>
      <w:r w:rsidR="001427FF" w:rsidRPr="001427FF">
        <w:rPr>
          <w:rFonts w:ascii="Arial" w:eastAsiaTheme="majorEastAsia" w:hAnsi="Arial" w:cs="Arial"/>
          <w:b/>
          <w:bCs/>
          <w:sz w:val="36"/>
          <w:szCs w:val="36"/>
        </w:rPr>
        <w:t>Tieghem</w:t>
      </w:r>
      <w:proofErr w:type="spellEnd"/>
      <w:r w:rsidR="001427FF" w:rsidRPr="001427FF">
        <w:rPr>
          <w:rFonts w:ascii="Arial" w:eastAsiaTheme="majorEastAsia" w:hAnsi="Arial" w:cs="Arial"/>
          <w:b/>
          <w:bCs/>
          <w:sz w:val="36"/>
          <w:szCs w:val="36"/>
        </w:rPr>
        <w:t xml:space="preserve">) </w:t>
      </w:r>
      <w:bookmarkEnd w:id="0"/>
      <w:bookmarkEnd w:id="1"/>
      <w:bookmarkEnd w:id="2"/>
    </w:p>
    <w:p w14:paraId="699D2470" w14:textId="77777777" w:rsidR="00A258C3" w:rsidRPr="00790ADA" w:rsidRDefault="00A258C3" w:rsidP="00134079">
      <w:pPr>
        <w:pStyle w:val="Author"/>
        <w:spacing w:line="240" w:lineRule="auto"/>
        <w:rPr>
          <w:rFonts w:ascii="Arial" w:hAnsi="Arial" w:cs="Arial"/>
          <w:sz w:val="36"/>
        </w:rPr>
      </w:pPr>
    </w:p>
    <w:p w14:paraId="2839EFFD" w14:textId="4A404C3D" w:rsidR="00B01FCD" w:rsidRPr="00FB3A86" w:rsidRDefault="005F32F1" w:rsidP="00B93642">
      <w:pPr>
        <w:jc w:val="right"/>
        <w:rPr>
          <w:rFonts w:ascii="Arial" w:hAnsi="Arial" w:cs="Arial"/>
        </w:rPr>
        <w:sectPr w:rsidR="00B01FCD" w:rsidRPr="00FB3A86" w:rsidSect="000D68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ab/>
      </w:r>
    </w:p>
    <w:p w14:paraId="51B881C5" w14:textId="776A39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5739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3EA1853" w14:textId="77777777" w:rsidTr="001E44FE">
        <w:tc>
          <w:tcPr>
            <w:tcW w:w="9576" w:type="dxa"/>
            <w:shd w:val="clear" w:color="auto" w:fill="F2F2F2"/>
          </w:tcPr>
          <w:p w14:paraId="2A4C15B9" w14:textId="1D898E5A" w:rsidR="00505F06" w:rsidRPr="001427FF" w:rsidRDefault="005F32F1" w:rsidP="001427FF">
            <w:pPr>
              <w:pStyle w:val="BodyText"/>
              <w:spacing w:line="360" w:lineRule="auto"/>
              <w:jc w:val="both"/>
              <w:rPr>
                <w:rFonts w:ascii="Arial" w:hAnsi="Arial" w:cs="Arial"/>
                <w:sz w:val="22"/>
                <w:szCs w:val="22"/>
              </w:rPr>
            </w:pPr>
            <w:r w:rsidRPr="001427FF">
              <w:rPr>
                <w:rFonts w:ascii="Arial" w:hAnsi="Arial" w:cs="Arial"/>
                <w:sz w:val="22"/>
                <w:szCs w:val="22"/>
              </w:rPr>
              <w:t xml:space="preserve">Black mold disease, caused by </w:t>
            </w:r>
            <w:r w:rsidRPr="001427FF">
              <w:rPr>
                <w:rFonts w:ascii="Arial" w:hAnsi="Arial" w:cs="Arial"/>
                <w:i/>
                <w:iCs/>
                <w:sz w:val="22"/>
                <w:szCs w:val="22"/>
              </w:rPr>
              <w:t xml:space="preserve">Aspergillus </w:t>
            </w:r>
            <w:proofErr w:type="spellStart"/>
            <w:r w:rsidRPr="001427FF">
              <w:rPr>
                <w:rFonts w:ascii="Arial" w:hAnsi="Arial" w:cs="Arial"/>
                <w:i/>
                <w:iCs/>
                <w:sz w:val="22"/>
                <w:szCs w:val="22"/>
              </w:rPr>
              <w:t>niger</w:t>
            </w:r>
            <w:proofErr w:type="spellEnd"/>
            <w:r w:rsidRPr="001427FF">
              <w:rPr>
                <w:rFonts w:ascii="Arial" w:hAnsi="Arial" w:cs="Arial"/>
                <w:sz w:val="22"/>
                <w:szCs w:val="22"/>
              </w:rPr>
              <w:t>, is a major post-harvest constraint in shallot (</w:t>
            </w:r>
            <w:r w:rsidRPr="001427FF">
              <w:rPr>
                <w:rFonts w:ascii="Arial" w:hAnsi="Arial" w:cs="Arial"/>
                <w:i/>
                <w:iCs/>
                <w:sz w:val="22"/>
                <w:szCs w:val="22"/>
              </w:rPr>
              <w:t>Allium cepa</w:t>
            </w:r>
            <w:r w:rsidRPr="001427FF">
              <w:rPr>
                <w:rFonts w:ascii="Arial" w:hAnsi="Arial" w:cs="Arial"/>
                <w:sz w:val="22"/>
                <w:szCs w:val="22"/>
              </w:rPr>
              <w:t xml:space="preserve"> var. </w:t>
            </w:r>
            <w:r w:rsidRPr="001427FF">
              <w:rPr>
                <w:rFonts w:ascii="Arial" w:hAnsi="Arial" w:cs="Arial"/>
                <w:i/>
                <w:iCs/>
                <w:sz w:val="22"/>
                <w:szCs w:val="22"/>
              </w:rPr>
              <w:t>aggregatum</w:t>
            </w:r>
            <w:r w:rsidRPr="001427FF">
              <w:rPr>
                <w:rFonts w:ascii="Arial" w:hAnsi="Arial" w:cs="Arial"/>
                <w:sz w:val="22"/>
                <w:szCs w:val="22"/>
              </w:rPr>
              <w:t xml:space="preserve">) production, leading to significant economic losses under storage conditions. In Ghana, where shallot cultivation provides both nutritional and economic benefits to smallholder farmers, the disease threatens food security, marketability, and farmer livelihoods. Conventional management relies heavily on synthetic fungicides; however, their overuse raises concerns regarding environmental safety, human health, and fungicide resistance. This review synthesizes current knowledge on the biology, and epidemiology, of </w:t>
            </w:r>
            <w:r w:rsidRPr="001427FF">
              <w:rPr>
                <w:rFonts w:ascii="Arial" w:hAnsi="Arial" w:cs="Arial"/>
                <w:i/>
                <w:iCs/>
                <w:sz w:val="22"/>
                <w:szCs w:val="22"/>
              </w:rPr>
              <w:t xml:space="preserve">A. </w:t>
            </w:r>
            <w:proofErr w:type="spellStart"/>
            <w:r w:rsidRPr="001427FF">
              <w:rPr>
                <w:rFonts w:ascii="Arial" w:hAnsi="Arial" w:cs="Arial"/>
                <w:i/>
                <w:iCs/>
                <w:sz w:val="22"/>
                <w:szCs w:val="22"/>
              </w:rPr>
              <w:t>niger</w:t>
            </w:r>
            <w:proofErr w:type="spellEnd"/>
            <w:r w:rsidRPr="001427FF">
              <w:rPr>
                <w:rFonts w:ascii="Arial" w:hAnsi="Arial" w:cs="Arial"/>
                <w:sz w:val="22"/>
                <w:szCs w:val="22"/>
              </w:rPr>
              <w:t xml:space="preserve">, while critically assessing integrated management strategies for black </w:t>
            </w:r>
            <w:proofErr w:type="spellStart"/>
            <w:r w:rsidRPr="001427FF">
              <w:rPr>
                <w:rFonts w:ascii="Arial" w:hAnsi="Arial" w:cs="Arial"/>
                <w:sz w:val="22"/>
                <w:szCs w:val="22"/>
              </w:rPr>
              <w:t>mould</w:t>
            </w:r>
            <w:proofErr w:type="spellEnd"/>
            <w:r w:rsidRPr="001427FF">
              <w:rPr>
                <w:rFonts w:ascii="Arial" w:hAnsi="Arial" w:cs="Arial"/>
                <w:sz w:val="22"/>
                <w:szCs w:val="22"/>
              </w:rPr>
              <w:t xml:space="preserve">. Cultural practices, biological agents such as </w:t>
            </w:r>
            <w:r w:rsidRPr="001427FF">
              <w:rPr>
                <w:rFonts w:ascii="Arial" w:hAnsi="Arial" w:cs="Arial"/>
                <w:i/>
                <w:iCs/>
                <w:sz w:val="22"/>
                <w:szCs w:val="22"/>
              </w:rPr>
              <w:t xml:space="preserve">Trichoderma </w:t>
            </w:r>
            <w:proofErr w:type="spellStart"/>
            <w:r w:rsidRPr="001427FF">
              <w:rPr>
                <w:rFonts w:ascii="Arial" w:hAnsi="Arial" w:cs="Arial"/>
                <w:i/>
                <w:iCs/>
                <w:sz w:val="22"/>
                <w:szCs w:val="22"/>
              </w:rPr>
              <w:t>harzianum</w:t>
            </w:r>
            <w:proofErr w:type="spellEnd"/>
            <w:r w:rsidRPr="001427FF">
              <w:rPr>
                <w:rFonts w:ascii="Arial" w:hAnsi="Arial" w:cs="Arial"/>
                <w:sz w:val="22"/>
                <w:szCs w:val="22"/>
              </w:rPr>
              <w:t>, and the use of plant-derived extracts (e.g., garlic, clove, neem, and pomegranate) have shown promising antifungal potential as sustainable alternatives.</w:t>
            </w:r>
          </w:p>
        </w:tc>
      </w:tr>
    </w:tbl>
    <w:p w14:paraId="06B3F1E3" w14:textId="77777777" w:rsidR="00636EB2" w:rsidRDefault="00636EB2" w:rsidP="00441B6F">
      <w:pPr>
        <w:pStyle w:val="Body"/>
        <w:spacing w:after="0"/>
        <w:rPr>
          <w:rFonts w:ascii="Arial" w:hAnsi="Arial" w:cs="Arial"/>
          <w:i/>
        </w:rPr>
      </w:pPr>
    </w:p>
    <w:p w14:paraId="278E38D8" w14:textId="07BE6CC0" w:rsidR="0024282C" w:rsidRPr="00AB4672" w:rsidRDefault="00A24E7E" w:rsidP="00441B6F">
      <w:pPr>
        <w:pStyle w:val="Body"/>
        <w:spacing w:after="0"/>
        <w:rPr>
          <w:rFonts w:ascii="Arial" w:hAnsi="Arial" w:cs="Arial"/>
          <w:i/>
        </w:rPr>
      </w:pPr>
      <w:r>
        <w:rPr>
          <w:rFonts w:ascii="Arial" w:hAnsi="Arial" w:cs="Arial"/>
          <w:i/>
        </w:rPr>
        <w:t xml:space="preserve">Keywords: </w:t>
      </w:r>
      <w:r w:rsidR="001427FF">
        <w:rPr>
          <w:rFonts w:ascii="Arial" w:hAnsi="Arial" w:cs="Arial"/>
          <w:i/>
        </w:rPr>
        <w:t>Shallot bulb, Black mold, Economic loss, Integrated Management Strategies, Phytochemicals, Biological agents</w:t>
      </w:r>
    </w:p>
    <w:p w14:paraId="16277EC7" w14:textId="77777777" w:rsidR="00505F06" w:rsidRPr="00A24E7E" w:rsidRDefault="00505F06" w:rsidP="00441B6F">
      <w:pPr>
        <w:pStyle w:val="Body"/>
        <w:spacing w:after="0"/>
        <w:rPr>
          <w:rFonts w:ascii="Arial" w:hAnsi="Arial" w:cs="Arial"/>
          <w:i/>
        </w:rPr>
      </w:pPr>
    </w:p>
    <w:p w14:paraId="043756A3" w14:textId="242A3851" w:rsidR="007F7B32" w:rsidRDefault="00B01FCD" w:rsidP="00C84870">
      <w:pPr>
        <w:pStyle w:val="Heading1"/>
      </w:pPr>
      <w:r w:rsidRPr="00FB3A86">
        <w:t>INTRODUCTION</w:t>
      </w:r>
      <w:r w:rsidR="007F7B32">
        <w:t xml:space="preserve"> </w:t>
      </w:r>
    </w:p>
    <w:p w14:paraId="5A03637C" w14:textId="77777777" w:rsidR="00790ADA" w:rsidRPr="00FB3A86" w:rsidRDefault="00790ADA" w:rsidP="00441B6F">
      <w:pPr>
        <w:pStyle w:val="AbstHead"/>
        <w:spacing w:after="0"/>
        <w:jc w:val="both"/>
        <w:rPr>
          <w:rFonts w:ascii="Arial" w:hAnsi="Arial" w:cs="Arial"/>
        </w:rPr>
      </w:pPr>
    </w:p>
    <w:p w14:paraId="677225F5" w14:textId="77777777" w:rsidR="00EE207F" w:rsidRPr="00C10C85" w:rsidRDefault="00EE207F" w:rsidP="00EE207F">
      <w:pPr>
        <w:pStyle w:val="BodyText"/>
        <w:widowControl w:val="0"/>
        <w:autoSpaceDE w:val="0"/>
        <w:autoSpaceDN w:val="0"/>
        <w:spacing w:after="0" w:line="360" w:lineRule="auto"/>
        <w:jc w:val="both"/>
        <w:rPr>
          <w:rFonts w:ascii="Arial" w:hAnsi="Arial" w:cs="Arial"/>
        </w:rPr>
      </w:pPr>
      <w:r w:rsidRPr="00C10C85">
        <w:rPr>
          <w:rFonts w:ascii="Arial" w:hAnsi="Arial" w:cs="Arial"/>
        </w:rPr>
        <w:t>Shallot (</w:t>
      </w:r>
      <w:r w:rsidRPr="00C10C85">
        <w:rPr>
          <w:rFonts w:ascii="Arial" w:hAnsi="Arial" w:cs="Arial"/>
          <w:i/>
          <w:iCs/>
        </w:rPr>
        <w:t>Allium cepa var. aggregatum</w:t>
      </w:r>
      <w:r w:rsidRPr="00C10C85">
        <w:rPr>
          <w:rFonts w:ascii="Arial" w:hAnsi="Arial" w:cs="Arial"/>
        </w:rPr>
        <w:t xml:space="preserve">) is a high-value vegetable crop of significant nutritional and economic importance, particularly for smallholder farmers in Ghana (Benjamin </w:t>
      </w:r>
      <w:r w:rsidRPr="00C10C85">
        <w:rPr>
          <w:rFonts w:ascii="Arial" w:hAnsi="Arial" w:cs="Arial"/>
          <w:i/>
          <w:iCs/>
        </w:rPr>
        <w:t>et al</w:t>
      </w:r>
      <w:r w:rsidRPr="00C10C85">
        <w:rPr>
          <w:rFonts w:ascii="Arial" w:hAnsi="Arial" w:cs="Arial"/>
        </w:rPr>
        <w:t xml:space="preserve">., 2017). Its cultivation contributes to food security, income generation, and rural livelihoods. However, the sustainability of shallot production is severely threatened by post-harvest diseases, with black mold caused by the fungus </w:t>
      </w:r>
      <w:r w:rsidRPr="00C10C85">
        <w:rPr>
          <w:rFonts w:ascii="Arial" w:hAnsi="Arial" w:cs="Arial"/>
          <w:i/>
          <w:iCs/>
        </w:rPr>
        <w:t xml:space="preserve">Aspergillus </w:t>
      </w:r>
      <w:proofErr w:type="spellStart"/>
      <w:r w:rsidRPr="00C10C85">
        <w:rPr>
          <w:rFonts w:ascii="Arial" w:hAnsi="Arial" w:cs="Arial"/>
          <w:i/>
          <w:iCs/>
        </w:rPr>
        <w:t>niger</w:t>
      </w:r>
      <w:proofErr w:type="spellEnd"/>
      <w:r w:rsidRPr="00C10C85">
        <w:rPr>
          <w:rFonts w:ascii="Arial" w:hAnsi="Arial" w:cs="Arial"/>
        </w:rPr>
        <w:t xml:space="preserve"> being a predominant constraint (Kumar </w:t>
      </w:r>
      <w:r w:rsidRPr="00C10C85">
        <w:rPr>
          <w:rFonts w:ascii="Arial" w:hAnsi="Arial" w:cs="Arial"/>
          <w:i/>
          <w:iCs/>
        </w:rPr>
        <w:t>et al</w:t>
      </w:r>
      <w:r w:rsidRPr="00C10C85">
        <w:rPr>
          <w:rFonts w:ascii="Arial" w:hAnsi="Arial" w:cs="Arial"/>
        </w:rPr>
        <w:t>., 2018). This pathogen leads to substantial qualitative and quantitative losses, with studies reporting that pests and diseases can cause between 24-100% loss in shallots during storage (</w:t>
      </w:r>
      <w:proofErr w:type="spellStart"/>
      <w:r w:rsidRPr="00C10C85">
        <w:rPr>
          <w:rFonts w:ascii="Arial" w:hAnsi="Arial" w:cs="Arial"/>
        </w:rPr>
        <w:t>Herlina</w:t>
      </w:r>
      <w:proofErr w:type="spellEnd"/>
      <w:r w:rsidRPr="00C10C85">
        <w:rPr>
          <w:rFonts w:ascii="Arial" w:hAnsi="Arial" w:cs="Arial"/>
        </w:rPr>
        <w:t xml:space="preserve"> </w:t>
      </w:r>
      <w:r w:rsidRPr="00C10C85">
        <w:rPr>
          <w:rFonts w:ascii="Arial" w:hAnsi="Arial" w:cs="Arial"/>
          <w:i/>
          <w:iCs/>
        </w:rPr>
        <w:t>et al</w:t>
      </w:r>
      <w:r w:rsidRPr="00C10C85">
        <w:rPr>
          <w:rFonts w:ascii="Arial" w:hAnsi="Arial" w:cs="Arial"/>
        </w:rPr>
        <w:t xml:space="preserve">., 2019; </w:t>
      </w:r>
      <w:proofErr w:type="spellStart"/>
      <w:r w:rsidRPr="00C10C85">
        <w:rPr>
          <w:rFonts w:ascii="Arial" w:hAnsi="Arial" w:cs="Arial"/>
        </w:rPr>
        <w:t>Safitri</w:t>
      </w:r>
      <w:proofErr w:type="spellEnd"/>
      <w:r w:rsidRPr="00C10C85">
        <w:rPr>
          <w:rFonts w:ascii="Arial" w:hAnsi="Arial" w:cs="Arial"/>
        </w:rPr>
        <w:t xml:space="preserve"> </w:t>
      </w:r>
      <w:r w:rsidRPr="00C10C85">
        <w:rPr>
          <w:rFonts w:ascii="Arial" w:hAnsi="Arial" w:cs="Arial"/>
          <w:i/>
          <w:iCs/>
        </w:rPr>
        <w:t>et al.</w:t>
      </w:r>
      <w:r w:rsidRPr="00C10C85">
        <w:rPr>
          <w:rFonts w:ascii="Arial" w:hAnsi="Arial" w:cs="Arial"/>
        </w:rPr>
        <w:t xml:space="preserve">, 2019; </w:t>
      </w:r>
      <w:proofErr w:type="spellStart"/>
      <w:r w:rsidRPr="00C10C85">
        <w:rPr>
          <w:rFonts w:ascii="Arial" w:hAnsi="Arial" w:cs="Arial"/>
        </w:rPr>
        <w:t>Supyani</w:t>
      </w:r>
      <w:proofErr w:type="spellEnd"/>
      <w:r w:rsidRPr="00C10C85">
        <w:rPr>
          <w:rFonts w:ascii="Arial" w:hAnsi="Arial" w:cs="Arial"/>
        </w:rPr>
        <w:t xml:space="preserve"> </w:t>
      </w:r>
      <w:r w:rsidRPr="00C10C85">
        <w:rPr>
          <w:rFonts w:ascii="Arial" w:hAnsi="Arial" w:cs="Arial"/>
          <w:i/>
          <w:iCs/>
        </w:rPr>
        <w:t>et al</w:t>
      </w:r>
      <w:r w:rsidRPr="00C10C85">
        <w:rPr>
          <w:rFonts w:ascii="Arial" w:hAnsi="Arial" w:cs="Arial"/>
        </w:rPr>
        <w:t xml:space="preserve">., 2021), thereby </w:t>
      </w:r>
      <w:r w:rsidRPr="00C10C85">
        <w:rPr>
          <w:rFonts w:ascii="Arial" w:hAnsi="Arial" w:cs="Arial"/>
        </w:rPr>
        <w:lastRenderedPageBreak/>
        <w:t>directly impacting farmer revenues and food availability.</w:t>
      </w:r>
    </w:p>
    <w:p w14:paraId="7111268B" w14:textId="77777777" w:rsidR="00EE207F" w:rsidRPr="00C10C85" w:rsidRDefault="00EE207F" w:rsidP="00AE42F3">
      <w:pPr>
        <w:pStyle w:val="BodyText"/>
        <w:widowControl w:val="0"/>
        <w:autoSpaceDE w:val="0"/>
        <w:autoSpaceDN w:val="0"/>
        <w:spacing w:after="0" w:line="360" w:lineRule="auto"/>
        <w:ind w:firstLine="720"/>
        <w:jc w:val="both"/>
        <w:rPr>
          <w:rFonts w:ascii="Arial" w:hAnsi="Arial" w:cs="Arial"/>
        </w:rPr>
      </w:pPr>
      <w:r w:rsidRPr="00C10C85">
        <w:rPr>
          <w:rFonts w:ascii="Arial" w:hAnsi="Arial" w:cs="Arial"/>
        </w:rPr>
        <w:t>The conventional management of black mold has heavily relied on the application of synthetic fungicides (Anadani and Vanthana, 2017). While often effective, their continuous use poses significant challenges, including the development of fungicide resistance and potentially harmful chemical residues on produce, which may be harmful to consumers (Prajapati and Patil, 2016a). These concerns have spurred the global search for safer, sustainable, and eco-friendly alternatives for disease management.</w:t>
      </w:r>
    </w:p>
    <w:p w14:paraId="41CC012E" w14:textId="1DFDA54F" w:rsidR="00EE207F" w:rsidRPr="00C10C85" w:rsidRDefault="00EE207F" w:rsidP="00E367A7">
      <w:pPr>
        <w:pStyle w:val="BodyText"/>
        <w:spacing w:line="360" w:lineRule="auto"/>
        <w:ind w:firstLine="720"/>
        <w:jc w:val="both"/>
        <w:rPr>
          <w:rFonts w:ascii="Arial" w:hAnsi="Arial" w:cs="Arial"/>
        </w:rPr>
      </w:pPr>
      <w:r w:rsidRPr="00C10C85">
        <w:rPr>
          <w:rFonts w:ascii="Arial" w:hAnsi="Arial" w:cs="Arial"/>
        </w:rPr>
        <w:t xml:space="preserve">In this context, integrated approaches that combine cultural practices, biological control agents like </w:t>
      </w:r>
      <w:r w:rsidRPr="00C10C85">
        <w:rPr>
          <w:rFonts w:ascii="Arial" w:hAnsi="Arial" w:cs="Arial"/>
          <w:i/>
          <w:iCs/>
        </w:rPr>
        <w:t xml:space="preserve">Trichoderma </w:t>
      </w:r>
      <w:proofErr w:type="spellStart"/>
      <w:r w:rsidRPr="00C10C85">
        <w:rPr>
          <w:rFonts w:ascii="Arial" w:hAnsi="Arial" w:cs="Arial"/>
          <w:i/>
          <w:iCs/>
        </w:rPr>
        <w:t>harzianum</w:t>
      </w:r>
      <w:proofErr w:type="spellEnd"/>
      <w:r w:rsidRPr="00C10C85">
        <w:rPr>
          <w:rFonts w:ascii="Arial" w:hAnsi="Arial" w:cs="Arial"/>
        </w:rPr>
        <w:t xml:space="preserve"> (</w:t>
      </w:r>
      <w:proofErr w:type="spellStart"/>
      <w:r w:rsidRPr="00C10C85">
        <w:rPr>
          <w:rFonts w:ascii="Arial" w:hAnsi="Arial" w:cs="Arial"/>
        </w:rPr>
        <w:t>Nuray</w:t>
      </w:r>
      <w:proofErr w:type="spellEnd"/>
      <w:r w:rsidRPr="00C10C85">
        <w:rPr>
          <w:rFonts w:ascii="Arial" w:hAnsi="Arial" w:cs="Arial"/>
        </w:rPr>
        <w:t xml:space="preserve"> and </w:t>
      </w:r>
      <w:proofErr w:type="spellStart"/>
      <w:r w:rsidRPr="00C10C85">
        <w:rPr>
          <w:rFonts w:ascii="Arial" w:hAnsi="Arial" w:cs="Arial"/>
        </w:rPr>
        <w:t>Levent</w:t>
      </w:r>
      <w:proofErr w:type="spellEnd"/>
      <w:r w:rsidRPr="00C10C85">
        <w:rPr>
          <w:rFonts w:ascii="Arial" w:hAnsi="Arial" w:cs="Arial"/>
        </w:rPr>
        <w:t>, 2014), and botanical pesticides offer a promising pathway. Notably, plant-derived extracts from sources such as garlic, clove, and neem, and their constituent phytochemicals such as phenolics, flavonoids, terpenoids, and alkaloids have demonstrated potent antifungal properties against a range of pathogens (</w:t>
      </w:r>
      <w:proofErr w:type="spellStart"/>
      <w:r w:rsidRPr="00C10C85">
        <w:rPr>
          <w:rFonts w:ascii="Arial" w:hAnsi="Arial" w:cs="Arial"/>
        </w:rPr>
        <w:t>Mierziak</w:t>
      </w:r>
      <w:proofErr w:type="spellEnd"/>
      <w:r w:rsidRPr="00C10C85">
        <w:rPr>
          <w:rFonts w:ascii="Arial" w:hAnsi="Arial" w:cs="Arial"/>
        </w:rPr>
        <w:t xml:space="preserve"> </w:t>
      </w:r>
      <w:r w:rsidRPr="00C10C85">
        <w:rPr>
          <w:rFonts w:ascii="Arial" w:hAnsi="Arial" w:cs="Arial"/>
          <w:i/>
          <w:iCs/>
        </w:rPr>
        <w:t>et al</w:t>
      </w:r>
      <w:r w:rsidRPr="00C10C85">
        <w:rPr>
          <w:rFonts w:ascii="Arial" w:hAnsi="Arial" w:cs="Arial"/>
        </w:rPr>
        <w:t xml:space="preserve">., 2014; Bhattacharyya </w:t>
      </w:r>
      <w:r w:rsidRPr="00C10C85">
        <w:rPr>
          <w:rFonts w:ascii="Arial" w:hAnsi="Arial" w:cs="Arial"/>
          <w:i/>
          <w:iCs/>
        </w:rPr>
        <w:t>et al</w:t>
      </w:r>
      <w:r w:rsidRPr="00C10C85">
        <w:rPr>
          <w:rFonts w:ascii="Arial" w:hAnsi="Arial" w:cs="Arial"/>
        </w:rPr>
        <w:t xml:space="preserve">., 2018; Khalid </w:t>
      </w:r>
      <w:r w:rsidRPr="00C10C85">
        <w:rPr>
          <w:rFonts w:ascii="Arial" w:hAnsi="Arial" w:cs="Arial"/>
          <w:i/>
          <w:iCs/>
        </w:rPr>
        <w:t>et al</w:t>
      </w:r>
      <w:r w:rsidRPr="00C10C85">
        <w:rPr>
          <w:rFonts w:ascii="Arial" w:hAnsi="Arial" w:cs="Arial"/>
        </w:rPr>
        <w:t xml:space="preserve">., 2019). This review, therefore, aims to synthesize current knowledge on the biology and epidemiology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and to critically evaluate sustainable strategies for managing black mold in shallots. It places a specific emphasis on the potential of botanicals and their active compounds as effective biocontrol agents, highlighting their role in reducing dependence on synthetic chemicals and promoting a more resilient and sustainable shallot production system in Ghana and beyond.</w:t>
      </w:r>
    </w:p>
    <w:p w14:paraId="1BF59FDD" w14:textId="1F1B6E24" w:rsidR="00EE207F" w:rsidRPr="00C84870" w:rsidRDefault="00C84870" w:rsidP="00910D0A">
      <w:pPr>
        <w:pStyle w:val="Heading1"/>
      </w:pPr>
      <w:r>
        <w:t xml:space="preserve"> </w:t>
      </w:r>
      <w:r w:rsidR="001455EC">
        <w:t>Economic and Nutritional Importance of Shallot</w:t>
      </w:r>
    </w:p>
    <w:p w14:paraId="39029E34" w14:textId="77777777" w:rsidR="00EE207F" w:rsidRPr="00C10C85" w:rsidRDefault="00EE207F" w:rsidP="00E367A7">
      <w:pPr>
        <w:pStyle w:val="BodyText"/>
        <w:spacing w:line="360" w:lineRule="auto"/>
        <w:jc w:val="both"/>
        <w:rPr>
          <w:rFonts w:ascii="Arial" w:hAnsi="Arial" w:cs="Arial"/>
        </w:rPr>
      </w:pPr>
      <w:r w:rsidRPr="00C10C85">
        <w:rPr>
          <w:rFonts w:ascii="Arial" w:hAnsi="Arial" w:cs="Arial"/>
        </w:rPr>
        <w:t xml:space="preserve">Shallots are a type of Allium, which is a genus of perennial bulbous plants in the family </w:t>
      </w:r>
      <w:r w:rsidRPr="00C10C85">
        <w:rPr>
          <w:rFonts w:ascii="Arial" w:hAnsi="Arial" w:cs="Arial"/>
          <w:i/>
          <w:iCs/>
        </w:rPr>
        <w:t>Amaryllidaceae</w:t>
      </w:r>
      <w:r w:rsidRPr="00C10C85">
        <w:rPr>
          <w:rFonts w:ascii="Arial" w:hAnsi="Arial" w:cs="Arial"/>
        </w:rPr>
        <w:t>. They are closely related to onions (</w:t>
      </w:r>
      <w:r w:rsidRPr="00C10C85">
        <w:rPr>
          <w:rFonts w:ascii="Arial" w:hAnsi="Arial" w:cs="Arial"/>
          <w:i/>
          <w:iCs/>
        </w:rPr>
        <w:t>Allium cepa</w:t>
      </w:r>
      <w:r w:rsidRPr="00C10C85">
        <w:rPr>
          <w:rFonts w:ascii="Arial" w:hAnsi="Arial" w:cs="Arial"/>
        </w:rPr>
        <w:t>), garlic (</w:t>
      </w:r>
      <w:r w:rsidRPr="00C10C85">
        <w:rPr>
          <w:rFonts w:ascii="Arial" w:hAnsi="Arial" w:cs="Arial"/>
          <w:i/>
          <w:iCs/>
        </w:rPr>
        <w:t>Allium sativum</w:t>
      </w:r>
      <w:r w:rsidRPr="00C10C85">
        <w:rPr>
          <w:rFonts w:ascii="Arial" w:hAnsi="Arial" w:cs="Arial"/>
        </w:rPr>
        <w:t>), and leeks (</w:t>
      </w:r>
      <w:r w:rsidRPr="00C10C85">
        <w:rPr>
          <w:rFonts w:ascii="Arial" w:hAnsi="Arial" w:cs="Arial"/>
          <w:i/>
          <w:iCs/>
        </w:rPr>
        <w:t xml:space="preserve">Allium </w:t>
      </w:r>
      <w:proofErr w:type="spellStart"/>
      <w:r w:rsidRPr="00C10C85">
        <w:rPr>
          <w:rFonts w:ascii="Arial" w:hAnsi="Arial" w:cs="Arial"/>
          <w:i/>
          <w:iCs/>
        </w:rPr>
        <w:t>ampeloprasum</w:t>
      </w:r>
      <w:proofErr w:type="spellEnd"/>
      <w:r w:rsidRPr="00C10C85">
        <w:rPr>
          <w:rFonts w:ascii="Arial" w:hAnsi="Arial" w:cs="Arial"/>
        </w:rPr>
        <w:t xml:space="preserve"> var. </w:t>
      </w:r>
      <w:r w:rsidRPr="00C10C85">
        <w:rPr>
          <w:rFonts w:ascii="Arial" w:hAnsi="Arial" w:cs="Arial"/>
          <w:i/>
          <w:iCs/>
        </w:rPr>
        <w:t>porrum</w:t>
      </w:r>
      <w:r w:rsidRPr="00C10C85">
        <w:rPr>
          <w:rFonts w:ascii="Arial" w:hAnsi="Arial" w:cs="Arial"/>
        </w:rPr>
        <w:t>). Shallots (</w:t>
      </w:r>
      <w:r w:rsidRPr="00C10C85">
        <w:rPr>
          <w:rFonts w:ascii="Arial" w:hAnsi="Arial" w:cs="Arial"/>
          <w:i/>
          <w:iCs/>
        </w:rPr>
        <w:t>Allium cepa</w:t>
      </w:r>
      <w:r w:rsidRPr="00C10C85">
        <w:rPr>
          <w:rFonts w:ascii="Arial" w:hAnsi="Arial" w:cs="Arial"/>
        </w:rPr>
        <w:t xml:space="preserve"> var. </w:t>
      </w:r>
      <w:r w:rsidRPr="00C10C85">
        <w:rPr>
          <w:rFonts w:ascii="Arial" w:hAnsi="Arial" w:cs="Arial"/>
          <w:i/>
          <w:iCs/>
        </w:rPr>
        <w:t>aggregatum</w:t>
      </w:r>
      <w:r w:rsidRPr="00C10C85">
        <w:rPr>
          <w:rFonts w:ascii="Arial" w:hAnsi="Arial" w:cs="Arial"/>
        </w:rPr>
        <w:t xml:space="preserve">) are a smaller and milder variety of onion, with a sweeter and more delicate </w:t>
      </w:r>
      <w:proofErr w:type="spellStart"/>
      <w:r w:rsidRPr="00C10C85">
        <w:rPr>
          <w:rFonts w:ascii="Arial" w:hAnsi="Arial" w:cs="Arial"/>
        </w:rPr>
        <w:t>flavour</w:t>
      </w:r>
      <w:proofErr w:type="spellEnd"/>
      <w:r w:rsidRPr="00C10C85">
        <w:rPr>
          <w:rFonts w:ascii="Arial" w:hAnsi="Arial" w:cs="Arial"/>
        </w:rPr>
        <w:t xml:space="preserve"> than onion. They are characterized by their elongated bulbs that are composed of a cluster of small bulbs, called "cloves," which are covered in a thin, papery skin. Their bulbs are usually between 2 and 5 centimeters in diameter and can be white, yellow, or red in color </w:t>
      </w:r>
      <w:r w:rsidRPr="00C10C85">
        <w:rPr>
          <w:rFonts w:ascii="Arial" w:hAnsi="Arial" w:cs="Arial"/>
        </w:rPr>
        <w:fldChar w:fldCharType="begin" w:fldLock="1"/>
      </w:r>
      <w:r w:rsidRPr="00C10C85">
        <w:rPr>
          <w:rFonts w:ascii="Arial" w:hAnsi="Arial" w:cs="Arial"/>
        </w:rPr>
        <w:instrText>ADDIN CSL_CITATION {"citationItems":[{"id":"ITEM-1","itemData":{"author":[{"dropping-particle":"","family":"Miller","given":"Laura","non-dropping-particle":"","parse-names":false,"suffix":""}],"container-title":"Gardening","id":"ITEM-1","issued":{"date-parts":[["2022"]]},"title":"Tips For Growing Shallots That Are Disease And Pest Free Shallots","type":"entry-encyclopedia"},"uris":["http://www.mendeley.com/documents/?uuid=965bc0ce-e647-44ad-a6fe-6f3062b92aa8"]}],"mendeley":{"formattedCitation":"(Miller, 2022)","plainTextFormattedCitation":"(Miller, 2022)","previouslyFormattedCitation":"(Miller,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rPr>
        <w:t>(Miller, 2022)</w:t>
      </w:r>
      <w:r w:rsidRPr="00C10C85">
        <w:rPr>
          <w:rFonts w:ascii="Arial" w:hAnsi="Arial" w:cs="Arial"/>
        </w:rPr>
        <w:fldChar w:fldCharType="end"/>
      </w:r>
      <w:r w:rsidRPr="00C10C85">
        <w:rPr>
          <w:rFonts w:ascii="Arial" w:hAnsi="Arial" w:cs="Arial"/>
        </w:rPr>
        <w:t xml:space="preserve">. In terms of cultivation, shallots prefer well-drained soil and full sun exposure, They can be grown from seeds or from sets, which are small bulbs that are planted in the soil, shallot production in Ghana is mainly concentrated in the southern part of the country, particularly in the Ashanti, Greater Accra, Eastern, and Volta regions </w:t>
      </w:r>
      <w:r w:rsidRPr="00C10C85">
        <w:rPr>
          <w:rFonts w:ascii="Arial" w:hAnsi="Arial" w:cs="Arial"/>
        </w:rPr>
        <w:fldChar w:fldCharType="begin" w:fldLock="1"/>
      </w:r>
      <w:r w:rsidRPr="00C10C85">
        <w:rPr>
          <w:rFonts w:ascii="Arial" w:hAnsi="Arial" w:cs="Arial"/>
        </w:rPr>
        <w:instrText>ADDIN CSL_CITATION {"citationItems":[{"id":"ITEM-1","itemData":{"DOI":"10.1007/BF02860697","ISSN":"1874-9364","author":[{"dropping-particle":"","family":"Sinnadurai","given":"Suppiah","non-dropping-particle":"","parse-names":false,"suffix":""}],"container-title":"Economic Botany","id":"ITEM-1","issue":"4","issued":{"date-parts":[["1973"]]},"page":"438-441","title":"Shallot farming in Ghana","type":"article-journal","volume":"27"},"uris":["http://www.mendeley.com/documents/?uuid=3a3bd777-8530-454b-badf-76ba5f8b1fe0"]},{"id":"ITEM-2","itemData":{"abstract":"The study was carried out to determine the present status of the shallot (Allium ascalonicum L.) farming enterprise in Ghana. The Keta Municipality was selected as the study area because it is a major shallot growing area within the dry coastal equatorial climate with an average annual rainfall of less than 1000 mm. A multistage sampling technique was used to select the respondents for the study while interview schedules were used for data collection on characteristics of shallot farmers. The data were analysed with SPSS version 21 using descriptive statistics such as frequencies and percentages. The study shows that a large majority (67%) of shallot farmers were males whilst 33% were females. Mono-cropping is the type of farming system used by the farmers with organic and inorganic fertilizers as the main source of plant nutrients. To attract more farmers into shallot farming in Ghana, it is important that, Non-Governmental Organizations (NGOs) and other stakeholders including government and the Ministry of Food and Agriculture should help create the enabling environment that will ensure that the menace of pests and diseases are minimized and prices of shallot are regulated. The production of shallot is considered to be lucrative but fluctuating local market prices, pests, diseases, and lack of capital are the major limitations of the enterprise.","author":[{"dropping-particle":"","family":"Benjamin Yao","given":"Folitse","non-dropping-particle":"","parse-names":false,"suffix":""},{"dropping-particle":"","family":"Grace","given":"Obeng-koranteng","non-dropping-particle":"","parse-names":false,"suffix":""},{"dropping-particle":"","family":"Simon Kwame","given":"Osei","non-dropping-particle":"","parse-names":false,"suffix":""},{"dropping-particle":"","family":"Lucy Payne","given":"Dzandu","non-dropping-particle":"","parse-names":false,"suffix":""}],"container-title":"Agricultural Communications","id":"ITEM-2","issue":"2","issued":{"date-parts":[["2017"]]},"page":"8-16","title":"The Present Status of Shallot (Allium ascalonicum L.) Farming Enterprise in Ghana: The Case of Keta Municipality","type":"article-journal","volume":"5"},"uris":["http://www.mendeley.com/documents/?uuid=173b14a2-b487-481c-9d9b-89635e6f7900"]}],"mendeley":{"formattedCitation":"(Benjamin Yao et al., 2017; Sinnadurai, 1973)","manualFormatting":"( Sinnadurai, 1973;Benjamin et al., 2017)","plainTextFormattedCitation":"(Benjamin Yao et al., 2017; Sinnadurai, 1973)","previouslyFormattedCitation":"(Benjamin Yao et al., 2017; Sinnadurai, 1973)"},"properties":{"noteIndex":0},"schema":"https://github.com/citation-style-language/schema/raw/master/csl-citation.json"}</w:instrText>
      </w:r>
      <w:r w:rsidRPr="00C10C85">
        <w:rPr>
          <w:rFonts w:ascii="Arial" w:hAnsi="Arial" w:cs="Arial"/>
        </w:rPr>
        <w:fldChar w:fldCharType="separate"/>
      </w:r>
      <w:r w:rsidRPr="00C10C85">
        <w:rPr>
          <w:rFonts w:ascii="Arial" w:hAnsi="Arial" w:cs="Arial"/>
        </w:rPr>
        <w:t xml:space="preserve">(Benjamin </w:t>
      </w:r>
      <w:r w:rsidRPr="00C10C85">
        <w:rPr>
          <w:rFonts w:ascii="Arial" w:hAnsi="Arial" w:cs="Arial"/>
          <w:i/>
          <w:iCs/>
        </w:rPr>
        <w:t>et al.</w:t>
      </w:r>
      <w:r w:rsidRPr="00C10C85">
        <w:rPr>
          <w:rFonts w:ascii="Arial" w:hAnsi="Arial" w:cs="Arial"/>
        </w:rPr>
        <w:t>, 2017)</w:t>
      </w:r>
      <w:r w:rsidRPr="00C10C85">
        <w:rPr>
          <w:rFonts w:ascii="Arial" w:hAnsi="Arial" w:cs="Arial"/>
        </w:rPr>
        <w:fldChar w:fldCharType="end"/>
      </w:r>
      <w:r w:rsidRPr="00C10C85">
        <w:rPr>
          <w:rFonts w:ascii="Arial" w:hAnsi="Arial" w:cs="Arial"/>
        </w:rPr>
        <w:t>.</w:t>
      </w:r>
    </w:p>
    <w:p w14:paraId="347BFE38" w14:textId="77777777" w:rsidR="00EE207F" w:rsidRDefault="00EE207F" w:rsidP="00E367A7">
      <w:pPr>
        <w:pStyle w:val="BodyText"/>
        <w:spacing w:line="360" w:lineRule="auto"/>
        <w:ind w:firstLine="720"/>
        <w:jc w:val="both"/>
        <w:rPr>
          <w:rFonts w:ascii="Arial" w:hAnsi="Arial" w:cs="Arial"/>
        </w:rPr>
      </w:pPr>
      <w:r w:rsidRPr="00C10C85">
        <w:rPr>
          <w:rFonts w:ascii="Arial" w:hAnsi="Arial" w:cs="Arial"/>
        </w:rPr>
        <w:t xml:space="preserve">Shallot production in Ghana faces several challenges, including poor soil fertility, inadequate irrigation, pests and diseases, and lack of access to credit and markets </w:t>
      </w:r>
      <w:r w:rsidRPr="00C10C85">
        <w:rPr>
          <w:rFonts w:ascii="Arial" w:hAnsi="Arial" w:cs="Arial"/>
        </w:rPr>
        <w:fldChar w:fldCharType="begin" w:fldLock="1"/>
      </w:r>
      <w:r w:rsidRPr="00C10C85">
        <w:rPr>
          <w:rFonts w:ascii="Arial" w:hAnsi="Arial" w:cs="Arial"/>
        </w:rPr>
        <w:instrText>ADDIN CSL_CITATION {"citationItems":[{"id":"ITEM-1","itemData":{"DOI":"10.1007/BF02860697","ISSN":"1874-9364","author":[{"dropping-particle":"","family":"Sinnadurai","given":"Suppiah","non-dropping-particle":"","parse-names":false,"suffix":""}],"container-title":"Economic Botany","id":"ITEM-1","issue":"4","issued":{"date-parts":[["1973"]]},"page":"438-441","title":"Shallot farming in Ghana","type":"article-journal","volume":"27"},"uris":["http://www.mendeley.com/documents/?uuid=3a3bd777-8530-454b-badf-76ba5f8b1fe0"]},{"id":"ITEM-2","itemData":{"DOI":"10.56687/9781529226072-014","author":[{"dropping-particle":"","family":"Yeboah","given":"Thomas","non-dropping-particle":"","parse-names":false,"suffix":""},{"dropping-particle":"","family":"Egyir","given":"Irene","non-dropping-particle":"","parse-names":false,"suffix":""}],"container-title":"Children’s Work in African Agriculture","id":"ITEM-2","issued":{"date-parts":[["2023"]]},"page":"233-250","title":"Children’s Work in Shallot Production on the Keta Peninsula, South-Eastern Ghana","type":"article-journal"},"uris":["http://www.mendeley.com/documents/?uuid=b5d4b7cf-9756-4833-b202-d1b43a477fb4"]}],"mendeley":{"formattedCitation":"(Sinnadurai, 1973; Yeboah &amp; Egyir, 2023)","manualFormatting":"(Yeboah and Egyir, 2023)","plainTextFormattedCitation":"(Sinnadurai, 1973; Yeboah &amp; Egyir, 2023)","previouslyFormattedCitation":"(Sinnadurai, 1973; Yeboah &amp; Egyir, 2023)"},"properties":{"noteIndex":0},"schema":"https://github.com/citation-style-language/schema/raw/master/csl-citation.json"}</w:instrText>
      </w:r>
      <w:r w:rsidRPr="00C10C85">
        <w:rPr>
          <w:rFonts w:ascii="Arial" w:hAnsi="Arial" w:cs="Arial"/>
        </w:rPr>
        <w:fldChar w:fldCharType="separate"/>
      </w:r>
      <w:r w:rsidRPr="00C10C85">
        <w:rPr>
          <w:rFonts w:ascii="Arial" w:hAnsi="Arial" w:cs="Arial"/>
        </w:rPr>
        <w:t>(Yeboah and Egyir, 2023)</w:t>
      </w:r>
      <w:r w:rsidRPr="00C10C85">
        <w:rPr>
          <w:rFonts w:ascii="Arial" w:hAnsi="Arial" w:cs="Arial"/>
        </w:rPr>
        <w:fldChar w:fldCharType="end"/>
      </w:r>
      <w:r w:rsidRPr="00C10C85">
        <w:rPr>
          <w:rFonts w:ascii="Arial" w:hAnsi="Arial" w:cs="Arial"/>
        </w:rPr>
        <w:t>. In recent years, there has been an increasing demand for shallots in Ghana and other West African countries, driven by changing consumer preferences and the growing popularity of local cuisines</w:t>
      </w:r>
      <w:r w:rsidRPr="00C10C85">
        <w:rPr>
          <w:rFonts w:ascii="Arial" w:hAnsi="Arial" w:cs="Arial"/>
        </w:rPr>
        <w:fldChar w:fldCharType="begin" w:fldLock="1"/>
      </w:r>
      <w:r w:rsidRPr="00C10C85">
        <w:rPr>
          <w:rFonts w:ascii="Arial" w:hAnsi="Arial" w:cs="Arial"/>
        </w:rPr>
        <w:instrText>ADDIN CSL_CITATION {"citationItems":[{"id":"ITEM-1","itemData":{"DOI":"10.1007/BF02860697","ISSN":"1874-9364","author":[{"dropping-particle":"","family":"Sinnadurai","given":"Suppiah","non-dropping-particle":"","parse-names":false,"suffix":""}],"container-title":"Economic Botany","id":"ITEM-1","issue":"4","issued":{"date-parts":[["1973"]]},"page":"438-441","title":"Shallot farming in Ghana","type":"article-journal","volume":"27"},"uris":["http://www.mendeley.com/documents/?uuid=3a3bd777-8530-454b-badf-76ba5f8b1fe0"]},{"id":"ITEM-2","itemData":{"abstract":"The study was carried out to determine the present status of the shallot (Allium ascalonicum L.) farming enterprise in Ghana. The Keta Municipality was selected as the study area because it is a major shallot growing area within the dry coastal equatorial climate with an average annual rainfall of less than 1000 mm. A multistage sampling technique was used to select the respondents for the study while interview schedules were used for data collection on characteristics of shallot farmers. The data were analysed with SPSS version 21 using descriptive statistics such as frequencies and percentages. The study shows that a large majority (67%) of shallot farmers were males whilst 33% were females. Mono-cropping is the type of farming system used by the farmers with organic and inorganic fertilizers as the main source of plant nutrients. To attract more farmers into shallot farming in Ghana, it is important that, Non-Governmental Organizations (NGOs) and other stakeholders including government and the Ministry of Food and Agriculture should help create the enabling environment that will ensure that the menace of pests and diseases are minimized and prices of shallot are regulated. The production of shallot is considered to be lucrative but fluctuating local market prices, pests, diseases, and lack of capital are the major limitations of the enterprise.","author":[{"dropping-particle":"","family":"Benjamin Yao","given":"Folitse","non-dropping-particle":"","parse-names":false,"suffix":""},{"dropping-particle":"","family":"Grace","given":"Obeng-koranteng","non-dropping-particle":"","parse-names":false,"suffix":""},{"dropping-particle":"","family":"Simon Kwame","given":"Osei","non-dropping-particle":"","parse-names":false,"suffix":""},{"dropping-particle":"","family":"Lucy Payne","given":"Dzandu","non-dropping-particle":"","parse-names":false,"suffix":""}],"container-title":"Agricultural Communications","id":"ITEM-2","issue":"2","issued":{"date-parts":[["2017"]]},"page":"8-16","title":"The Present Status of Shallot (Allium ascalonicum L.) Farming Enterprise in Ghana: The Case of Keta Municipality","type":"article-journal","volume":"5"},"uris":["http://www.mendeley.com/documents/?uuid=173b14a2-b487-481c-9d9b-89635e6f7900"]}],"mendeley":{"formattedCitation":"(Benjamin Yao et al., 2017; Sinnadurai, 1973)","manualFormatting":" (Grundy et al., 2016; Benjamin et al., 2017)","plainTextFormattedCitation":"(Benjamin Yao et al., 2017; Sinnadurai, 1973)","previouslyFormattedCitation":"(Benjamin Yao et al., 2017; Sinnadurai, 1973)"},"properties":{"noteIndex":0},"schema":"https://github.com/citation-style-language/schema/raw/master/csl-citation.json"}</w:instrText>
      </w:r>
      <w:r w:rsidRPr="00C10C85">
        <w:rPr>
          <w:rFonts w:ascii="Arial" w:hAnsi="Arial" w:cs="Arial"/>
        </w:rPr>
        <w:fldChar w:fldCharType="separate"/>
      </w:r>
      <w:r w:rsidRPr="00C10C85">
        <w:rPr>
          <w:rFonts w:ascii="Arial" w:hAnsi="Arial" w:cs="Arial"/>
        </w:rPr>
        <w:t xml:space="preserve"> (Grundy </w:t>
      </w:r>
      <w:r w:rsidRPr="00C10C85">
        <w:rPr>
          <w:rFonts w:ascii="Arial" w:hAnsi="Arial" w:cs="Arial"/>
          <w:i/>
          <w:iCs/>
        </w:rPr>
        <w:t>et al</w:t>
      </w:r>
      <w:r w:rsidRPr="00C10C85">
        <w:rPr>
          <w:rFonts w:ascii="Arial" w:hAnsi="Arial" w:cs="Arial"/>
        </w:rPr>
        <w:t xml:space="preserve">., 2016; Benjamin </w:t>
      </w:r>
      <w:r w:rsidRPr="00C10C85">
        <w:rPr>
          <w:rFonts w:ascii="Arial" w:hAnsi="Arial" w:cs="Arial"/>
          <w:i/>
          <w:iCs/>
        </w:rPr>
        <w:t>et al</w:t>
      </w:r>
      <w:r w:rsidRPr="00C10C85">
        <w:rPr>
          <w:rFonts w:ascii="Arial" w:hAnsi="Arial" w:cs="Arial"/>
        </w:rPr>
        <w:t>., 2017)</w:t>
      </w:r>
      <w:r w:rsidRPr="00C10C85">
        <w:rPr>
          <w:rFonts w:ascii="Arial" w:hAnsi="Arial" w:cs="Arial"/>
        </w:rPr>
        <w:fldChar w:fldCharType="end"/>
      </w:r>
      <w:r w:rsidRPr="00C10C85">
        <w:rPr>
          <w:rFonts w:ascii="Arial" w:hAnsi="Arial" w:cs="Arial"/>
        </w:rPr>
        <w:t xml:space="preserve">. This trend presents </w:t>
      </w:r>
      <w:r w:rsidRPr="00C10C85">
        <w:rPr>
          <w:rFonts w:ascii="Arial" w:hAnsi="Arial" w:cs="Arial"/>
        </w:rPr>
        <w:lastRenderedPageBreak/>
        <w:t>an opportunity for Ghanaian farmers to increase their incomes and improve their livelihoods through the production and sale of shallots.</w:t>
      </w:r>
    </w:p>
    <w:p w14:paraId="480BE772" w14:textId="77777777" w:rsidR="00AE42F3" w:rsidRPr="00C10C85" w:rsidRDefault="00AE42F3" w:rsidP="00AE42F3">
      <w:pPr>
        <w:pStyle w:val="BodyText"/>
        <w:spacing w:line="360" w:lineRule="auto"/>
        <w:ind w:firstLine="720"/>
        <w:rPr>
          <w:rFonts w:ascii="Arial" w:hAnsi="Arial" w:cs="Arial"/>
        </w:rPr>
      </w:pPr>
    </w:p>
    <w:p w14:paraId="13D46F35" w14:textId="13D424C1" w:rsidR="00EE207F" w:rsidRPr="00C10C85" w:rsidRDefault="00EE207F" w:rsidP="00910D0A">
      <w:pPr>
        <w:pStyle w:val="Heading2"/>
        <w:rPr>
          <w:rFonts w:eastAsia="Times New Roman"/>
        </w:rPr>
      </w:pPr>
      <w:bookmarkStart w:id="3" w:name="_Toc160641959"/>
      <w:r w:rsidRPr="00C10C85">
        <w:rPr>
          <w:rFonts w:eastAsia="Times New Roman"/>
        </w:rPr>
        <w:t>Economic and Nutritional importance of shallot</w:t>
      </w:r>
      <w:bookmarkEnd w:id="3"/>
      <w:r w:rsidRPr="00C10C85">
        <w:rPr>
          <w:rFonts w:eastAsia="Times New Roman"/>
        </w:rPr>
        <w:t xml:space="preserve"> </w:t>
      </w:r>
    </w:p>
    <w:p w14:paraId="57BAF4F5" w14:textId="77777777" w:rsidR="00EE207F" w:rsidRPr="00C10C85" w:rsidRDefault="00EE207F" w:rsidP="00E367A7">
      <w:pPr>
        <w:pStyle w:val="BodyText"/>
        <w:spacing w:line="360" w:lineRule="auto"/>
        <w:jc w:val="both"/>
        <w:rPr>
          <w:rFonts w:ascii="Arial" w:hAnsi="Arial" w:cs="Arial"/>
        </w:rPr>
      </w:pPr>
      <w:r w:rsidRPr="00C10C85">
        <w:rPr>
          <w:rFonts w:ascii="Arial" w:hAnsi="Arial" w:cs="Arial"/>
        </w:rPr>
        <w:t xml:space="preserve">Shallots are important ingredients in cooking due to their unique </w:t>
      </w:r>
      <w:proofErr w:type="spellStart"/>
      <w:r w:rsidRPr="00C10C85">
        <w:rPr>
          <w:rFonts w:ascii="Arial" w:hAnsi="Arial" w:cs="Arial"/>
        </w:rPr>
        <w:t>flavour</w:t>
      </w:r>
      <w:proofErr w:type="spellEnd"/>
      <w:r w:rsidRPr="00C10C85">
        <w:rPr>
          <w:rFonts w:ascii="Arial" w:hAnsi="Arial" w:cs="Arial"/>
        </w:rPr>
        <w:t xml:space="preserve"> and nutritional benefits. High levels of anti-oxidants in shallots, like quercetin, have been linked to a number of health benefits including lowering the risk of cancer and heart disease </w:t>
      </w:r>
      <w:r w:rsidRPr="00C10C85">
        <w:rPr>
          <w:rFonts w:ascii="Arial" w:hAnsi="Arial" w:cs="Arial"/>
        </w:rPr>
        <w:fldChar w:fldCharType="begin" w:fldLock="1"/>
      </w:r>
      <w:r w:rsidRPr="00C10C85">
        <w:rPr>
          <w:rFonts w:ascii="Arial" w:hAnsi="Arial" w:cs="Arial"/>
        </w:rPr>
        <w:instrText>ADDIN CSL_CITATION {"citationItems":[{"id":"ITEM-1","itemData":{"author":[{"dropping-particle":"","family":"Panoff","given":"Lauren","non-dropping-particle":"","parse-names":false,"suffix":""}],"container-title":"Healthline","id":"ITEM-1","issued":{"date-parts":[["2019"]]},"title":"What Are Shallots? Nutrition, Benefits, and Substitutes Medically reviewed","type":"entry-encyclopedia"},"uris":["http://www.mendeley.com/documents/?uuid=b4978ab3-39a4-4166-8845-d07122c41eb2"]}],"mendeley":{"formattedCitation":"(Panoff, 2019)","plainTextFormattedCitation":"(Panoff, 2019)","previouslyFormattedCitation":"(Panoff, 2019)"},"properties":{"noteIndex":0},"schema":"https://github.com/citation-style-language/schema/raw/master/csl-citation.json"}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(Panoff, 2019)</w:t>
      </w:r>
      <w:r w:rsidRPr="00C10C85">
        <w:rPr>
          <w:rFonts w:ascii="Arial" w:hAnsi="Arial" w:cs="Arial"/>
        </w:rPr>
        <w:fldChar w:fldCharType="end"/>
      </w:r>
      <w:r w:rsidRPr="00C10C85">
        <w:rPr>
          <w:rFonts w:ascii="Arial" w:hAnsi="Arial" w:cs="Arial"/>
        </w:rPr>
        <w:t>.</w:t>
      </w:r>
    </w:p>
    <w:p w14:paraId="3A543764" w14:textId="77777777" w:rsidR="00EE207F" w:rsidRPr="00C10C85" w:rsidRDefault="00EE207F" w:rsidP="00E367A7">
      <w:pPr>
        <w:pStyle w:val="BodyText"/>
        <w:spacing w:line="360" w:lineRule="auto"/>
        <w:ind w:firstLine="720"/>
        <w:jc w:val="both"/>
        <w:rPr>
          <w:rFonts w:ascii="Arial" w:hAnsi="Arial" w:cs="Arial"/>
        </w:rPr>
      </w:pPr>
      <w:r w:rsidRPr="00C10C85">
        <w:rPr>
          <w:rFonts w:ascii="Arial" w:hAnsi="Arial" w:cs="Arial"/>
        </w:rPr>
        <w:t xml:space="preserve">In addition, shallots are a significant source of minerals including potassium and iron in addition to vitamins A and C. In culinary applications, shallots are often used in French cuisine as a </w:t>
      </w:r>
      <w:proofErr w:type="spellStart"/>
      <w:r w:rsidRPr="00C10C85">
        <w:rPr>
          <w:rFonts w:ascii="Arial" w:hAnsi="Arial" w:cs="Arial"/>
        </w:rPr>
        <w:t>flavouring</w:t>
      </w:r>
      <w:proofErr w:type="spellEnd"/>
      <w:r w:rsidRPr="00C10C85">
        <w:rPr>
          <w:rFonts w:ascii="Arial" w:hAnsi="Arial" w:cs="Arial"/>
        </w:rPr>
        <w:t xml:space="preserve"> agent in sauces, soups, and stews. They are also a common ingredient in Asian cuisine, particularly in Thai and Indonesian dishes. Over all, shallots play a significant role in both cooking and health, making them a valuable ingredient to have in one's pantry.</w:t>
      </w:r>
    </w:p>
    <w:p w14:paraId="4BDDCFBE" w14:textId="77777777" w:rsidR="00EE207F" w:rsidRPr="00C10C85" w:rsidRDefault="00EE207F" w:rsidP="00E367A7">
      <w:pPr>
        <w:pStyle w:val="BodyText"/>
        <w:spacing w:line="360" w:lineRule="auto"/>
        <w:jc w:val="both"/>
        <w:rPr>
          <w:rFonts w:ascii="Arial" w:hAnsi="Arial" w:cs="Arial"/>
        </w:rPr>
      </w:pPr>
      <w:r w:rsidRPr="00C10C85">
        <w:rPr>
          <w:rFonts w:ascii="Arial" w:hAnsi="Arial" w:cs="Arial"/>
        </w:rPr>
        <w:t>The production is an important economic activity in Ghana, providing employment opportunities and contributing to the country's food security and export earnings. Shallot cultivation in Ghana is mainly carried out by smallholder farmers, who grow the crop as a cash crop or for household consumption (</w:t>
      </w:r>
      <w:proofErr w:type="spellStart"/>
      <w:r w:rsidRPr="00C10C85">
        <w:rPr>
          <w:rFonts w:ascii="Arial" w:hAnsi="Arial" w:cs="Arial"/>
        </w:rPr>
        <w:t>Folitse</w:t>
      </w:r>
      <w:proofErr w:type="spellEnd"/>
      <w:r w:rsidRPr="00C10C85">
        <w:rPr>
          <w:rFonts w:ascii="Arial" w:hAnsi="Arial" w:cs="Arial"/>
        </w:rPr>
        <w:t xml:space="preserve"> </w:t>
      </w:r>
      <w:r w:rsidRPr="00C10C85">
        <w:rPr>
          <w:rFonts w:ascii="Arial" w:hAnsi="Arial" w:cs="Arial"/>
          <w:i/>
          <w:iCs/>
        </w:rPr>
        <w:t>et al.,</w:t>
      </w:r>
      <w:r w:rsidRPr="00C10C85">
        <w:rPr>
          <w:rFonts w:ascii="Arial" w:hAnsi="Arial" w:cs="Arial"/>
        </w:rPr>
        <w:t xml:space="preserve"> 2018). Shallot production has significant economic benefits for farmers in Ghana, as the crop has a high market value probably due to its culinary and medicinal uses </w:t>
      </w:r>
      <w:r w:rsidRPr="00C10C85">
        <w:rPr>
          <w:rFonts w:ascii="Arial" w:hAnsi="Arial" w:cs="Arial"/>
        </w:rPr>
        <w:fldChar w:fldCharType="begin" w:fldLock="1"/>
      </w:r>
      <w:r w:rsidRPr="00C10C85">
        <w:rPr>
          <w:rFonts w:ascii="Arial" w:hAnsi="Arial" w:cs="Arial"/>
        </w:rPr>
        <w:instrText>ADDIN CSL_CITATION {"citationItems":[{"id":"ITEM-1","itemData":{"DOI":"10.5897/jmpr2019.6836","abstract":"Shallot is a horticultural commodity belonging to spice vegetables. Shallot (Allium ascalonicum L.) is a perennial crop which is grown as an annual for its cluster of small cloves and bulbs. Persian shallot also is native and endemic of Iran and grows as a wild plant across Zagross mountains at high elevations. Shallot is an important source of carbohydrate, vitamin A, B, and C. Phenolic compound in Shallot consist of gallic acid, apigenin, eriodictyol, quercetin, isoquercetin, rutin, kaempferol, catechin and tannic acid. The most important health benefits of shallots are reduction of cancer risk, improve heart health, aid detoxification, help control diabetes, improve brain health, help to fight obesity and treat allergies, boost bone health, maintain vision health, boost immunity, improve skin health, increase abdominal health and keep hair healthy. The dominants medicinal properties of Persian shallot is it antibiotic, hypolipidemic, anticancer, antioxidant, hypoglycemic, kidney protective and hepatoprotective properties. This review article allowed verifying shallots as sources of compounds with valuable nutritional and bioactive properties with great ability for incorporation into foods with functional properties. Also, treatment with natural herbal medicine like shallot as non-synthetic drug is recommended. Key words: Medicinal properties, nutritive components, shallot. &amp;nbsp;","author":[{"dropping-particle":"","family":"Wenli","given":"Sun","non-dropping-particle":"","parse-names":false,"suffix":""},{"dropping-particle":"","family":"Mohamad","given":"Hesam Shahrajabian","non-dropping-particle":"","parse-names":false,"suffix":""},{"dropping-particle":"","family":"Qi","given":"Cheng","non-dropping-particle":"","parse-names":false,"suffix":""}],"container-title":"Journal of Medicinal Plants Research","id":"ITEM-1","issue":"18","issued":{"date-parts":[["2019"]]},"page":"452-457","title":"The insight and survey on medicinal properties and nutritive components of Shallot","type":"article-journal","volume":"13"},"uris":["http://www.mendeley.com/documents/?uuid=ddd42dc5-9928-4bb2-b145-3ecdad3d9595"]}],"mendeley":{"formattedCitation":"(Wenli et al., 2019)","plainTextFormattedCitation":"(Wenli et al., 2019)","previouslyFormattedCitation":"(Wenli et al., 2019)"},"properties":{"noteIndex":0},"schema":"https://github.com/citation-style-language/schema/raw/master/csl-citation.json"}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(Wenli </w:t>
      </w:r>
      <w:r w:rsidRPr="00C10C85">
        <w:rPr>
          <w:rFonts w:ascii="Arial" w:hAnsi="Arial" w:cs="Arial"/>
          <w:i/>
          <w:iCs/>
          <w:noProof/>
        </w:rPr>
        <w:t>et al</w:t>
      </w:r>
      <w:r w:rsidRPr="00C10C85">
        <w:rPr>
          <w:rFonts w:ascii="Arial" w:hAnsi="Arial" w:cs="Arial"/>
          <w:noProof/>
        </w:rPr>
        <w:t>., 2019)</w:t>
      </w:r>
      <w:r w:rsidRPr="00C10C85">
        <w:rPr>
          <w:rFonts w:ascii="Arial" w:hAnsi="Arial" w:cs="Arial"/>
        </w:rPr>
        <w:fldChar w:fldCharType="end"/>
      </w:r>
      <w:r w:rsidRPr="00C10C85">
        <w:rPr>
          <w:rFonts w:ascii="Arial" w:hAnsi="Arial" w:cs="Arial"/>
        </w:rPr>
        <w:t>. Additionally, shallot production provides employment opportunities for both farm and non-farm workers, contributing to poverty reduction and rural development in the country.</w:t>
      </w:r>
    </w:p>
    <w:p w14:paraId="177792C1" w14:textId="0DCC96F1" w:rsidR="00EE207F" w:rsidRPr="00910D0A" w:rsidRDefault="00EE207F" w:rsidP="001455EC">
      <w:pPr>
        <w:pStyle w:val="Heading1"/>
      </w:pPr>
      <w:bookmarkStart w:id="4" w:name="_Toc160641960"/>
      <w:r w:rsidRPr="00910D0A">
        <w:t xml:space="preserve">Constraint of </w:t>
      </w:r>
      <w:r w:rsidR="00910D0A">
        <w:t>S</w:t>
      </w:r>
      <w:r w:rsidRPr="00910D0A">
        <w:t xml:space="preserve">hallot </w:t>
      </w:r>
      <w:r w:rsidR="00910D0A">
        <w:t>P</w:t>
      </w:r>
      <w:r w:rsidRPr="00910D0A">
        <w:t>roduction in Ghana</w:t>
      </w:r>
      <w:bookmarkEnd w:id="4"/>
    </w:p>
    <w:p w14:paraId="6145AAB6" w14:textId="7CF8ED6D" w:rsidR="00EE207F" w:rsidRPr="00C10C85" w:rsidRDefault="00EE207F" w:rsidP="00EE207F">
      <w:pPr>
        <w:pStyle w:val="BodyText"/>
        <w:spacing w:line="360" w:lineRule="auto"/>
        <w:rPr>
          <w:rFonts w:ascii="Arial" w:hAnsi="Arial" w:cs="Arial"/>
        </w:rPr>
      </w:pPr>
      <w:r w:rsidRPr="00C10C85">
        <w:rPr>
          <w:rFonts w:ascii="Arial" w:hAnsi="Arial" w:cs="Arial"/>
        </w:rPr>
        <w:t>There are several constraints to shallot production in Ghana, which limit the potential of the industry. Lack of improved and high-yielding varieties, inadequate irrigation facilities, poor post-harvest handling and storage, limited access to credit and finance, limited access to markets are some challenges facing shallot production. In Ghana, production is also constrained by pest and disease problems, including fungal diseases such as black mold, leaf spot and purple blotch, as well as insect pests like onion thrips and onion maggot (</w:t>
      </w:r>
      <w:r w:rsidRPr="00C10C85">
        <w:rPr>
          <w:rFonts w:ascii="Arial" w:hAnsi="Arial" w:cs="Arial"/>
        </w:rPr>
        <w:fldChar w:fldCharType="begin" w:fldLock="1"/>
      </w:r>
      <w:r w:rsidRPr="00C10C85">
        <w:rPr>
          <w:rFonts w:ascii="Arial" w:hAnsi="Arial" w:cs="Arial"/>
        </w:rPr>
        <w:instrText>ADDIN CSL_CITATION {"citationItems":[{"id":"ITEM-1","itemData":{"DOI":"10.1007/BF02860697","ISSN":"1874-9364","author":[{"dropping-particle":"","family":"Sinnadurai","given":"Suppiah","non-dropping-particle":"","parse-names":false,"suffix":""}],"container-title":"Economic Botany","id":"ITEM-1","issue":"4","issued":{"date-parts":[["1973"]]},"page":"438-441","title":"Shallot farming in Ghana","type":"article-journal","volume":"27"},"uris":["http://www.mendeley.com/documents/?uuid=3a3bd777-8530-454b-badf-76ba5f8b1fe0"]},{"id":"ITEM-2","itemData":{"author":[{"dropping-particle":"","family":"ADZRAKU","given":"MILDRED EDINAM","non-dropping-particle":"","parse-names":false,"suffix":""}],"id":"ITEM-2","issued":{"date-parts":[["2017"]]},"page":"1-182","title":"Assessing the Role of Small Scale Irrigation Vegetable","type":"article-journal"},"uris":["http://www.mendeley.com/documents/?uuid=8c5fb173-ee60-4296-89df-925bb17d3264"]},{"id":"ITEM-3","itemData":{"abstract":"The study was carried out to determine the present status of the shallot (Allium ascalonicum L.) farming enterprise in Ghana. The Keta Municipality was selected as the study area because it is a major shallot growing area within the dry coastal equatorial climate with an average annual rainfall of less than 1000 mm. A multistage sampling technique was used to select the respondents for the study while interview schedules were used for data collection on characteristics of shallot farmers. The data were analysed with SPSS version 21 using descriptive statistics such as frequencies and percentages. The study shows that a large majority (67%) of shallot farmers were males whilst 33% were females. Mono-cropping is the type of farming system used by the farmers with organic and inorganic fertilizers as the main source of plant nutrients. To attract more farmers into shallot farming in Ghana, it is important that, Non-Governmental Organizations (NGOs) and other stakeholders including government and the Ministry of Food and Agriculture should help create the enabling environment that will ensure that the menace of pests and diseases are minimized and prices of shallot are regulated. The production of shallot is considered to be lucrative but fluctuating local market prices, pests, diseases, and lack of capital are the major limitations of the enterprise.","author":[{"dropping-particle":"","family":"Benjamin Yao","given":"Folitse","non-dropping-particle":"","parse-names":false,"suffix":""},{"dropping-particle":"","family":"Grace","given":"Obeng-koranteng","non-dropping-particle":"","parse-names":false,"suffix":""},{"dropping-particle":"","family":"Simon Kwame","given":"Osei","non-dropping-particle":"","parse-names":false,"suffix":""},{"dropping-particle":"","family":"Lucy Payne","given":"Dzandu","non-dropping-particle":"","parse-names":false,"suffix":""}],"container-title":"Agricultural Communications","id":"ITEM-3","issue":"2","issued":{"date-parts":[["2017"]]},"page":"8-16","title":"The Present Status of Shallot (Allium ascalonicum L.) Farming Enterprise in Ghana: The Case of Keta Municipality","type":"article-journal","volume":"5"},"uris":["http://www.mendeley.com/documents/?uuid=173b14a2-b487-481c-9d9b-89635e6f7900"]},{"id":"ITEM-4","itemData":{"DOI":"10.4172/2329-8863.10005","author":[{"dropping-particle":"","family":"Zeleke","given":"Awoke Ali","non-dropping-particle":"","parse-names":false,"suffix":""}],"id":"ITEM-4","issued":{"date-parts":[["0"]]},"page":"5-7","title":"Advances in Crop Science and Technology Shallot Production Status in Ethiopia : A Research Review","type":"article-journal"},"uris":["http://www.mendeley.com/documents/?uuid=76e210b9-b3a9-45ac-9775-868ed3355f9e"]}],"mendeley":{"formattedCitation":"(ADZRAKU, 2017; Benjamin Yao et al., 2017; Sinnadurai, 1973; Zeleke, n.d.)","manualFormatting":"Adzraku, 2017; Benjamin et al., 2017; Sinnadurai, 1973; Zeleke,2023","plainTextFormattedCitation":"(ADZRAKU, 2017; Benjamin Yao et al., 2017; Sinnadurai, 1973; Zeleke, n.d.)","previouslyFormattedCitation":"(ADZRAKU, 2017; Benjamin Yao et al., 2017; Sinnadurai, 1973; Zeleke, n.d.)"},"properties":{"noteIndex":0},"schema":"https://github.com/citation-style-language/schema/raw/master/csl-citation.json"}</w:instrText>
      </w:r>
      <w:r w:rsidRPr="00C10C85">
        <w:rPr>
          <w:rFonts w:ascii="Arial" w:hAnsi="Arial" w:cs="Arial"/>
        </w:rPr>
        <w:fldChar w:fldCharType="separate"/>
      </w:r>
      <w:r w:rsidRPr="00C10C85">
        <w:rPr>
          <w:rFonts w:ascii="Arial" w:hAnsi="Arial" w:cs="Arial"/>
        </w:rPr>
        <w:t xml:space="preserve">Adzraku, 2017; Benjamin </w:t>
      </w:r>
      <w:r w:rsidRPr="00C10C85">
        <w:rPr>
          <w:rFonts w:ascii="Arial" w:hAnsi="Arial" w:cs="Arial"/>
          <w:i/>
          <w:iCs/>
        </w:rPr>
        <w:t>et al</w:t>
      </w:r>
      <w:r w:rsidRPr="00C10C85">
        <w:rPr>
          <w:rFonts w:ascii="Arial" w:hAnsi="Arial" w:cs="Arial"/>
        </w:rPr>
        <w:t>., 2017; Zeleke,2023</w:t>
      </w:r>
      <w:r w:rsidRPr="00C10C85">
        <w:rPr>
          <w:rFonts w:ascii="Arial" w:hAnsi="Arial" w:cs="Arial"/>
        </w:rPr>
        <w:fldChar w:fldCharType="end"/>
      </w:r>
      <w:r w:rsidRPr="00C10C85">
        <w:rPr>
          <w:rFonts w:ascii="Arial" w:hAnsi="Arial" w:cs="Arial"/>
        </w:rPr>
        <w:t>).</w:t>
      </w:r>
    </w:p>
    <w:p w14:paraId="48B2F596" w14:textId="13663F48" w:rsidR="00EE207F" w:rsidRPr="00C10C85" w:rsidRDefault="00EE207F" w:rsidP="001455EC">
      <w:pPr>
        <w:pStyle w:val="Heading2"/>
        <w:rPr>
          <w:i/>
        </w:rPr>
      </w:pPr>
      <w:bookmarkStart w:id="5" w:name="_Toc160641961"/>
      <w:r w:rsidRPr="00C10C85">
        <w:t xml:space="preserve">Pest and </w:t>
      </w:r>
      <w:r w:rsidR="00606EF7">
        <w:t>D</w:t>
      </w:r>
      <w:r w:rsidRPr="00C10C85">
        <w:t xml:space="preserve">iseases of </w:t>
      </w:r>
      <w:r w:rsidR="00606EF7">
        <w:t>S</w:t>
      </w:r>
      <w:r w:rsidRPr="00C10C85">
        <w:t xml:space="preserve">tored </w:t>
      </w:r>
      <w:r w:rsidR="00606EF7">
        <w:t>S</w:t>
      </w:r>
      <w:r w:rsidRPr="00C10C85">
        <w:t xml:space="preserve">hallot </w:t>
      </w:r>
      <w:r w:rsidR="00606EF7">
        <w:t>B</w:t>
      </w:r>
      <w:r w:rsidRPr="00C10C85">
        <w:t>ulbs</w:t>
      </w:r>
      <w:bookmarkEnd w:id="5"/>
      <w:r w:rsidR="001455EC">
        <w:t xml:space="preserve"> in Storage </w:t>
      </w:r>
    </w:p>
    <w:p w14:paraId="148463CC" w14:textId="77777777" w:rsidR="00EE207F" w:rsidRPr="00C10C85" w:rsidRDefault="00EE207F" w:rsidP="00E367A7">
      <w:pPr>
        <w:pStyle w:val="BodyText"/>
        <w:spacing w:line="360" w:lineRule="auto"/>
        <w:jc w:val="both"/>
        <w:rPr>
          <w:rFonts w:ascii="Arial" w:hAnsi="Arial" w:cs="Arial"/>
          <w:shd w:val="clear" w:color="auto" w:fill="FFFFFF"/>
        </w:rPr>
      </w:pPr>
      <w:r w:rsidRPr="00C10C85">
        <w:rPr>
          <w:rFonts w:ascii="Arial" w:hAnsi="Arial" w:cs="Arial"/>
          <w:shd w:val="clear" w:color="auto" w:fill="FFFFFF"/>
        </w:rPr>
        <w:t>Pests and diseases can have significant impacts on the quality and quantity of shallots in storage in Ghana. Some of the pests that can affect shallots in storage include onion maggots, thrips, and spider mites, these pests can cause damage to the shallots, reducing their quality and nutritional value, and making them susceptible to diseases such as botrytis and Fusarium</w:t>
      </w:r>
      <w:r w:rsidRPr="00C10C85">
        <w:rPr>
          <w:rFonts w:ascii="Arial" w:hAnsi="Arial" w:cs="Arial"/>
          <w:shd w:val="clear" w:color="auto" w:fill="FFFFFF"/>
        </w:rPr>
        <w:fldChar w:fldCharType="begin" w:fldLock="1"/>
      </w:r>
      <w:r w:rsidRPr="00C10C85">
        <w:rPr>
          <w:rFonts w:ascii="Arial" w:hAnsi="Arial" w:cs="Arial"/>
          <w:shd w:val="clear" w:color="auto" w:fill="FFFFFF"/>
        </w:rPr>
        <w:instrText>ADDIN CSL_CITATION {"citationItems":[{"id":"ITEM-1","itemData":{"author":[{"dropping-particle":"","family":"Miller","given":"Laura","non-dropping-particle":"","parse-names":false,"suffix":""}],"container-title":"Gardening","id":"ITEM-1","issued":{"date-parts":[["2022"]]},"title":"Tips For Growing Shallots That Are Disease And Pest Free Shallots","type":"entry-encyclopedia"},"uris":["http://www.mendeley.com/documents/?uuid=965bc0ce-e647-44ad-a6fe-6f3062b92aa8"]}],"mendeley":{"formattedCitation":"(Miller, 2022)","plainTextFormattedCitation":"(Miller, 2022)","previouslyFormattedCitation":"(Miller, 2022)"},"properties":{"noteIndex":0},"schema":"https://github.com/citation-style-language/schema/raw/master/csl-citation.json"}</w:instrText>
      </w:r>
      <w:r w:rsidRPr="00C10C85">
        <w:rPr>
          <w:rFonts w:ascii="Arial" w:hAnsi="Arial" w:cs="Arial"/>
          <w:shd w:val="clear" w:color="auto" w:fill="FFFFFF"/>
        </w:rPr>
        <w:fldChar w:fldCharType="separate"/>
      </w:r>
      <w:r w:rsidRPr="00C10C85">
        <w:rPr>
          <w:rFonts w:ascii="Arial" w:hAnsi="Arial" w:cs="Arial"/>
          <w:noProof/>
          <w:shd w:val="clear" w:color="auto" w:fill="FFFFFF"/>
        </w:rPr>
        <w:t>(Miller, 2022)</w:t>
      </w:r>
      <w:r w:rsidRPr="00C10C85">
        <w:rPr>
          <w:rFonts w:ascii="Arial" w:hAnsi="Arial" w:cs="Arial"/>
          <w:shd w:val="clear" w:color="auto" w:fill="FFFFFF"/>
        </w:rPr>
        <w:fldChar w:fldCharType="end"/>
      </w:r>
      <w:r w:rsidRPr="00C10C85">
        <w:rPr>
          <w:rFonts w:ascii="Arial" w:hAnsi="Arial" w:cs="Arial"/>
          <w:shd w:val="clear" w:color="auto" w:fill="FFFFFF"/>
        </w:rPr>
        <w:t>. Several studies (</w:t>
      </w:r>
      <w:proofErr w:type="spellStart"/>
      <w:r w:rsidRPr="00C10C85">
        <w:rPr>
          <w:rFonts w:ascii="Arial" w:hAnsi="Arial" w:cs="Arial"/>
          <w:shd w:val="clear" w:color="auto" w:fill="FFFFFF"/>
        </w:rPr>
        <w:t>Herlina</w:t>
      </w:r>
      <w:proofErr w:type="spellEnd"/>
      <w:r w:rsidRPr="00C10C85">
        <w:rPr>
          <w:rFonts w:ascii="Arial" w:hAnsi="Arial" w:cs="Arial"/>
          <w:shd w:val="clear" w:color="auto" w:fill="FFFFFF"/>
        </w:rPr>
        <w:t xml:space="preserve"> </w:t>
      </w:r>
      <w:r w:rsidRPr="00C10C85">
        <w:rPr>
          <w:rFonts w:ascii="Arial" w:hAnsi="Arial" w:cs="Arial"/>
          <w:i/>
          <w:iCs/>
          <w:shd w:val="clear" w:color="auto" w:fill="FFFFFF"/>
        </w:rPr>
        <w:t>et al.,</w:t>
      </w:r>
      <w:r w:rsidRPr="00C10C85">
        <w:rPr>
          <w:rFonts w:ascii="Arial" w:hAnsi="Arial" w:cs="Arial"/>
          <w:shd w:val="clear" w:color="auto" w:fill="FFFFFF"/>
        </w:rPr>
        <w:t xml:space="preserve"> 2019; </w:t>
      </w:r>
      <w:proofErr w:type="spellStart"/>
      <w:r w:rsidRPr="00C10C85">
        <w:rPr>
          <w:rFonts w:ascii="Arial" w:hAnsi="Arial" w:cs="Arial"/>
          <w:shd w:val="clear" w:color="auto" w:fill="FFFFFF"/>
        </w:rPr>
        <w:t>Safitri</w:t>
      </w:r>
      <w:proofErr w:type="spellEnd"/>
      <w:r w:rsidRPr="00C10C85">
        <w:rPr>
          <w:rFonts w:ascii="Arial" w:hAnsi="Arial" w:cs="Arial"/>
          <w:shd w:val="clear" w:color="auto" w:fill="FFFFFF"/>
        </w:rPr>
        <w:t xml:space="preserve"> </w:t>
      </w:r>
      <w:r w:rsidRPr="00C10C85">
        <w:rPr>
          <w:rFonts w:ascii="Arial" w:hAnsi="Arial" w:cs="Arial"/>
          <w:i/>
          <w:iCs/>
          <w:shd w:val="clear" w:color="auto" w:fill="FFFFFF"/>
        </w:rPr>
        <w:t>et al.,</w:t>
      </w:r>
      <w:r w:rsidRPr="00C10C85">
        <w:rPr>
          <w:rFonts w:ascii="Arial" w:hAnsi="Arial" w:cs="Arial"/>
          <w:shd w:val="clear" w:color="auto" w:fill="FFFFFF"/>
        </w:rPr>
        <w:t xml:space="preserve"> 2019; </w:t>
      </w:r>
      <w:proofErr w:type="spellStart"/>
      <w:r w:rsidRPr="00C10C85">
        <w:rPr>
          <w:rFonts w:ascii="Arial" w:hAnsi="Arial" w:cs="Arial"/>
          <w:shd w:val="clear" w:color="auto" w:fill="FFFFFF"/>
        </w:rPr>
        <w:t>Supyani</w:t>
      </w:r>
      <w:proofErr w:type="spellEnd"/>
      <w:r w:rsidRPr="00C10C85">
        <w:rPr>
          <w:rFonts w:ascii="Arial" w:hAnsi="Arial" w:cs="Arial"/>
          <w:shd w:val="clear" w:color="auto" w:fill="FFFFFF"/>
        </w:rPr>
        <w:t xml:space="preserve"> </w:t>
      </w:r>
      <w:r w:rsidRPr="00C10C85">
        <w:rPr>
          <w:rFonts w:ascii="Arial" w:hAnsi="Arial" w:cs="Arial"/>
          <w:i/>
          <w:iCs/>
          <w:shd w:val="clear" w:color="auto" w:fill="FFFFFF"/>
        </w:rPr>
        <w:t xml:space="preserve">et </w:t>
      </w:r>
      <w:r w:rsidRPr="00C10C85">
        <w:rPr>
          <w:rFonts w:ascii="Arial" w:hAnsi="Arial" w:cs="Arial"/>
          <w:i/>
          <w:iCs/>
          <w:shd w:val="clear" w:color="auto" w:fill="FFFFFF"/>
        </w:rPr>
        <w:lastRenderedPageBreak/>
        <w:t xml:space="preserve">al., </w:t>
      </w:r>
      <w:r w:rsidRPr="00C10C85">
        <w:rPr>
          <w:rFonts w:ascii="Arial" w:hAnsi="Arial" w:cs="Arial"/>
          <w:shd w:val="clear" w:color="auto" w:fill="FFFFFF"/>
        </w:rPr>
        <w:t>2021) have reported that pests and diseases cause between 24-100 % loss in shallots during storage.</w:t>
      </w:r>
    </w:p>
    <w:p w14:paraId="35F53697" w14:textId="77777777" w:rsidR="00EE207F" w:rsidRPr="00C10C85" w:rsidRDefault="00EE207F" w:rsidP="00E367A7">
      <w:pPr>
        <w:pStyle w:val="BodyText"/>
        <w:spacing w:line="360" w:lineRule="auto"/>
        <w:ind w:firstLine="720"/>
        <w:jc w:val="both"/>
        <w:rPr>
          <w:rFonts w:ascii="Arial" w:hAnsi="Arial" w:cs="Arial"/>
        </w:rPr>
      </w:pPr>
      <w:r w:rsidRPr="00C10C85">
        <w:rPr>
          <w:rFonts w:ascii="Arial" w:hAnsi="Arial" w:cs="Arial"/>
        </w:rPr>
        <w:t xml:space="preserve">Shallot is an important crop that is susceptible to a variety of insect pests. Some of the major insect pests of shallot include the onion </w:t>
      </w:r>
      <w:proofErr w:type="spellStart"/>
      <w:r w:rsidRPr="00C10C85">
        <w:rPr>
          <w:rFonts w:ascii="Arial" w:hAnsi="Arial" w:cs="Arial"/>
        </w:rPr>
        <w:t>thrips</w:t>
      </w:r>
      <w:proofErr w:type="spellEnd"/>
      <w:r w:rsidRPr="00C10C85">
        <w:rPr>
          <w:rFonts w:ascii="Arial" w:hAnsi="Arial" w:cs="Arial"/>
        </w:rPr>
        <w:t xml:space="preserve"> (</w:t>
      </w:r>
      <w:proofErr w:type="spellStart"/>
      <w:r w:rsidRPr="00C10C85">
        <w:rPr>
          <w:rFonts w:ascii="Arial" w:hAnsi="Arial" w:cs="Arial"/>
          <w:i/>
          <w:iCs/>
        </w:rPr>
        <w:t>Thrips</w:t>
      </w:r>
      <w:proofErr w:type="spellEnd"/>
      <w:r w:rsidRPr="00C10C85">
        <w:rPr>
          <w:rFonts w:ascii="Arial" w:hAnsi="Arial" w:cs="Arial"/>
          <w:i/>
          <w:iCs/>
        </w:rPr>
        <w:t xml:space="preserve"> </w:t>
      </w:r>
      <w:proofErr w:type="spellStart"/>
      <w:r w:rsidRPr="00C10C85">
        <w:rPr>
          <w:rFonts w:ascii="Arial" w:hAnsi="Arial" w:cs="Arial"/>
          <w:i/>
          <w:iCs/>
        </w:rPr>
        <w:t>tabaci</w:t>
      </w:r>
      <w:proofErr w:type="spellEnd"/>
      <w:r w:rsidRPr="00C10C85">
        <w:rPr>
          <w:rFonts w:ascii="Arial" w:hAnsi="Arial" w:cs="Arial"/>
        </w:rPr>
        <w:t>), onion maggot (</w:t>
      </w:r>
      <w:r w:rsidRPr="00C10C85">
        <w:rPr>
          <w:rFonts w:ascii="Arial" w:hAnsi="Arial" w:cs="Arial"/>
          <w:i/>
          <w:iCs/>
        </w:rPr>
        <w:t xml:space="preserve">Delia </w:t>
      </w:r>
      <w:proofErr w:type="spellStart"/>
      <w:r w:rsidRPr="00C10C85">
        <w:rPr>
          <w:rFonts w:ascii="Arial" w:hAnsi="Arial" w:cs="Arial"/>
          <w:i/>
          <w:iCs/>
        </w:rPr>
        <w:t>antiqua</w:t>
      </w:r>
      <w:proofErr w:type="spellEnd"/>
      <w:r w:rsidRPr="00C10C85">
        <w:rPr>
          <w:rFonts w:ascii="Arial" w:hAnsi="Arial" w:cs="Arial"/>
        </w:rPr>
        <w:t>), cutworms (</w:t>
      </w:r>
      <w:proofErr w:type="spellStart"/>
      <w:r w:rsidRPr="00C10C85">
        <w:rPr>
          <w:rFonts w:ascii="Arial" w:hAnsi="Arial" w:cs="Arial"/>
          <w:i/>
          <w:iCs/>
        </w:rPr>
        <w:t>Agrotis</w:t>
      </w:r>
      <w:proofErr w:type="spellEnd"/>
      <w:r w:rsidRPr="00C10C85">
        <w:rPr>
          <w:rFonts w:ascii="Arial" w:hAnsi="Arial" w:cs="Arial"/>
        </w:rPr>
        <w:t xml:space="preserve"> spp.), and aphids (</w:t>
      </w:r>
      <w:r w:rsidRPr="00C10C85">
        <w:rPr>
          <w:rFonts w:ascii="Arial" w:hAnsi="Arial" w:cs="Arial"/>
          <w:i/>
          <w:iCs/>
        </w:rPr>
        <w:t>Aphis</w:t>
      </w:r>
      <w:r w:rsidRPr="00C10C85">
        <w:rPr>
          <w:rFonts w:ascii="Arial" w:hAnsi="Arial" w:cs="Arial"/>
        </w:rPr>
        <w:t xml:space="preserve"> spp.)</w:t>
      </w:r>
      <w:r w:rsidRPr="00C10C85">
        <w:rPr>
          <w:rFonts w:ascii="Arial" w:hAnsi="Arial" w:cs="Arial"/>
        </w:rPr>
        <w:fldChar w:fldCharType="begin" w:fldLock="1"/>
      </w:r>
      <w:r w:rsidRPr="00C10C85">
        <w:rPr>
          <w:rFonts w:ascii="Arial" w:hAnsi="Arial" w:cs="Arial"/>
        </w:rPr>
        <w:instrText>ADDIN CSL_CITATION {"citationItems":[{"id":"ITEM-1","itemData":{"DOI":"https://doi.org/10.1533/9781845691717","abstract":"HVolume 3 2006, Pages Handbook of Herbs and Spicesh, India Available online 27 March 2014. .3.365","author":[{"dropping-particle":"","family":"K.R.M. Swamy","given":"R. Veere Gowda","non-dropping-particle":"","parse-names":false,"suffix":""}],"container-title":"Handbook of Herbs and Spices","id":"ITEM-1","issued":{"date-parts":[["2014"]]},"number-of-pages":"365-389","publisher":"Woodhead Publishing Series in Food Science, Technology and Nutrition","publisher-place":"Indian","title":"22 - Leek and shallot","type":"book","volume":"3"},"uris":["http://www.mendeley.com/documents/?uuid=8a5fdf4c-c0f2-4222-858a-1a045eae8fcb"]},{"id":"ITEM-2","itemData":{"author":[{"dropping-particle":"","family":"Miller","given":"Laura","non-dropping-particle":"","parse-names":false,"suffix":""}],"container-title":"Gardening","id":"ITEM-2","issued":{"date-parts":[["2022"]]},"title":"Tips For Growing Shallots That Are Disease And Pest Free Shallots","type":"entry-encyclopedia"},"uris":["http://www.mendeley.com/documents/?uuid=965bc0ce-e647-44ad-a6fe-6f3062b92aa8"]}],"mendeley":{"formattedCitation":"(K.R.M. Swamy, 2014; Miller, 2022)","manualFormatting":"(Swamy and Gowda, 2014; Miller, 2022)","plainTextFormattedCitation":"(K.R.M. Swamy, 2014; Miller, 2022)","previouslyFormattedCitation":"(K.R.M. Swamy, 2014; Miller,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(Swamy and Gowda, 2014; Miller, 2022)</w:t>
      </w:r>
      <w:r w:rsidRPr="00C10C85">
        <w:rPr>
          <w:rFonts w:ascii="Arial" w:hAnsi="Arial" w:cs="Arial"/>
        </w:rPr>
        <w:fldChar w:fldCharType="end"/>
      </w:r>
      <w:r w:rsidRPr="00C10C85">
        <w:rPr>
          <w:rFonts w:ascii="Arial" w:hAnsi="Arial" w:cs="Arial"/>
        </w:rPr>
        <w:t>.</w:t>
      </w:r>
    </w:p>
    <w:p w14:paraId="1B3C2283" w14:textId="283C07A5" w:rsidR="00EE207F" w:rsidRPr="00C10C85" w:rsidRDefault="00EE207F" w:rsidP="001455EC">
      <w:pPr>
        <w:pStyle w:val="Heading2"/>
      </w:pPr>
      <w:bookmarkStart w:id="6" w:name="_Toc160641962"/>
      <w:r w:rsidRPr="00C10C85">
        <w:t>Diseases</w:t>
      </w:r>
      <w:bookmarkEnd w:id="6"/>
    </w:p>
    <w:p w14:paraId="6D04C564" w14:textId="77777777" w:rsidR="00EE207F" w:rsidRPr="00C10C85" w:rsidRDefault="00EE207F" w:rsidP="00E367A7">
      <w:pPr>
        <w:pStyle w:val="BodyText"/>
        <w:spacing w:line="360" w:lineRule="auto"/>
        <w:jc w:val="both"/>
        <w:rPr>
          <w:rFonts w:ascii="Arial" w:hAnsi="Arial" w:cs="Arial"/>
        </w:rPr>
      </w:pPr>
      <w:r w:rsidRPr="00C10C85">
        <w:rPr>
          <w:rFonts w:ascii="Arial" w:hAnsi="Arial" w:cs="Arial"/>
        </w:rPr>
        <w:t xml:space="preserve">Stored shallots can be affected by a variety of diseases, which can lead to significant losses for growers and distributors. Some of the common diseases of stored shallots as reported by </w:t>
      </w:r>
      <w:r w:rsidRPr="00C10C85">
        <w:rPr>
          <w:rFonts w:ascii="Arial" w:hAnsi="Arial" w:cs="Arial"/>
        </w:rPr>
        <w:fldChar w:fldCharType="begin" w:fldLock="1"/>
      </w:r>
      <w:r w:rsidRPr="00C10C85">
        <w:rPr>
          <w:rFonts w:ascii="Arial" w:hAnsi="Arial" w:cs="Arial"/>
        </w:rPr>
        <w:instrText>ADDIN CSL_CITATION {"citationItems":[{"id":"ITEM-1","itemData":{"author":[{"dropping-particle":"","family":"Agrios","given":"George N.","non-dropping-particle":"","parse-names":false,"suffix":""}],"edition":"fifth","id":"ITEM-1","issued":{"date-parts":[["2005"]]},"number-of-pages":"669-673","title":"Plant Pathology","type":"book"},"uris":["http://www.mendeley.com/documents/?uuid=dae1e080-e371-47ff-9024-14a02b5507e1"]}],"mendeley":{"formattedCitation":"(Agrios, 2005)","plainTextFormattedCitation":"(Agrios, 2005)","previouslyFormattedCitation":"(Agrios, 2005)"},"properties":{"noteIndex":0},"schema":"https://github.com/citation-style-language/schema/raw/master/csl-citation.json"}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(Agrios, 2005)</w:t>
      </w:r>
      <w:r w:rsidRPr="00C10C85">
        <w:rPr>
          <w:rFonts w:ascii="Arial" w:hAnsi="Arial" w:cs="Arial"/>
        </w:rPr>
        <w:fldChar w:fldCharType="end"/>
      </w:r>
      <w:r w:rsidRPr="00C10C85">
        <w:rPr>
          <w:rFonts w:ascii="Arial" w:hAnsi="Arial" w:cs="Arial"/>
        </w:rPr>
        <w:t xml:space="preserve"> are discussed below;</w:t>
      </w:r>
    </w:p>
    <w:p w14:paraId="6B158A4E" w14:textId="77777777" w:rsidR="00EE207F" w:rsidRPr="00C10C85" w:rsidRDefault="00EE207F" w:rsidP="00E367A7">
      <w:pPr>
        <w:pStyle w:val="BodyText"/>
        <w:widowControl w:val="0"/>
        <w:numPr>
          <w:ilvl w:val="0"/>
          <w:numId w:val="31"/>
        </w:numPr>
        <w:autoSpaceDE w:val="0"/>
        <w:autoSpaceDN w:val="0"/>
        <w:spacing w:after="0" w:line="360" w:lineRule="auto"/>
        <w:jc w:val="both"/>
        <w:rPr>
          <w:rFonts w:ascii="Arial" w:hAnsi="Arial" w:cs="Arial"/>
        </w:rPr>
      </w:pPr>
      <w:r w:rsidRPr="00C10C85">
        <w:rPr>
          <w:rFonts w:ascii="Arial" w:hAnsi="Arial" w:cs="Arial"/>
          <w:i/>
          <w:iCs/>
        </w:rPr>
        <w:t>Basal rot</w:t>
      </w:r>
      <w:r w:rsidRPr="00C10C85">
        <w:rPr>
          <w:rFonts w:ascii="Arial" w:hAnsi="Arial" w:cs="Arial"/>
        </w:rPr>
        <w:t xml:space="preserve">: It is a serious disease of stored shallots that is caused by the fungus </w:t>
      </w:r>
      <w:r w:rsidRPr="00C10C85">
        <w:rPr>
          <w:rFonts w:ascii="Arial" w:hAnsi="Arial" w:cs="Arial"/>
          <w:i/>
          <w:iCs/>
        </w:rPr>
        <w:t xml:space="preserve">Fusarium </w:t>
      </w:r>
      <w:proofErr w:type="spellStart"/>
      <w:r w:rsidRPr="00C10C85">
        <w:rPr>
          <w:rFonts w:ascii="Arial" w:hAnsi="Arial" w:cs="Arial"/>
          <w:i/>
          <w:iCs/>
        </w:rPr>
        <w:t>oxysporum</w:t>
      </w:r>
      <w:proofErr w:type="spellEnd"/>
      <w:r w:rsidRPr="00C10C85">
        <w:rPr>
          <w:rFonts w:ascii="Arial" w:hAnsi="Arial" w:cs="Arial"/>
          <w:i/>
          <w:iCs/>
        </w:rPr>
        <w:t xml:space="preserve"> </w:t>
      </w:r>
      <w:proofErr w:type="spellStart"/>
      <w:r w:rsidRPr="00C10C85">
        <w:rPr>
          <w:rFonts w:ascii="Arial" w:hAnsi="Arial" w:cs="Arial"/>
        </w:rPr>
        <w:t>f.sp</w:t>
      </w:r>
      <w:proofErr w:type="spellEnd"/>
      <w:r w:rsidRPr="00C10C85">
        <w:rPr>
          <w:rFonts w:ascii="Arial" w:hAnsi="Arial" w:cs="Arial"/>
          <w:i/>
          <w:iCs/>
        </w:rPr>
        <w:t xml:space="preserve">. </w:t>
      </w:r>
      <w:proofErr w:type="spellStart"/>
      <w:r w:rsidRPr="00C10C85">
        <w:rPr>
          <w:rFonts w:ascii="Arial" w:hAnsi="Arial" w:cs="Arial"/>
          <w:i/>
          <w:iCs/>
        </w:rPr>
        <w:t>cepae</w:t>
      </w:r>
      <w:proofErr w:type="spellEnd"/>
      <w:r w:rsidRPr="00C10C85">
        <w:rPr>
          <w:rFonts w:ascii="Arial" w:hAnsi="Arial" w:cs="Arial"/>
        </w:rPr>
        <w:t>. The disease can cause the crop to completely fail by decaying the basal plate and outer scales.</w:t>
      </w:r>
    </w:p>
    <w:p w14:paraId="3467D1A4" w14:textId="77777777" w:rsidR="00EE207F" w:rsidRPr="00C10C85" w:rsidRDefault="00EE207F" w:rsidP="00E367A7">
      <w:pPr>
        <w:pStyle w:val="BodyText"/>
        <w:widowControl w:val="0"/>
        <w:numPr>
          <w:ilvl w:val="0"/>
          <w:numId w:val="31"/>
        </w:numPr>
        <w:autoSpaceDE w:val="0"/>
        <w:autoSpaceDN w:val="0"/>
        <w:spacing w:after="0" w:line="360" w:lineRule="auto"/>
        <w:jc w:val="both"/>
        <w:rPr>
          <w:rFonts w:ascii="Arial" w:hAnsi="Arial" w:cs="Arial"/>
        </w:rPr>
      </w:pPr>
      <w:r w:rsidRPr="00C10C85">
        <w:rPr>
          <w:rFonts w:ascii="Arial" w:hAnsi="Arial" w:cs="Arial"/>
          <w:i/>
          <w:iCs/>
        </w:rPr>
        <w:t xml:space="preserve">Black </w:t>
      </w:r>
      <w:proofErr w:type="spellStart"/>
      <w:r w:rsidRPr="00C10C85">
        <w:rPr>
          <w:rFonts w:ascii="Arial" w:hAnsi="Arial" w:cs="Arial"/>
          <w:i/>
          <w:iCs/>
        </w:rPr>
        <w:t>mould</w:t>
      </w:r>
      <w:proofErr w:type="spellEnd"/>
      <w:r w:rsidRPr="00C10C85">
        <w:rPr>
          <w:rFonts w:ascii="Arial" w:hAnsi="Arial" w:cs="Arial"/>
        </w:rPr>
        <w:t xml:space="preserve">: It can occur in shallots that have been injured or are in poor condition when they are being preserved and are caused by the fungus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The fungus produces black spores, which can contaminate the entire crop.</w:t>
      </w:r>
    </w:p>
    <w:p w14:paraId="0DE24B6F" w14:textId="77777777" w:rsidR="00EE207F" w:rsidRPr="00C10C85" w:rsidRDefault="00EE207F" w:rsidP="00E367A7">
      <w:pPr>
        <w:pStyle w:val="BodyText"/>
        <w:widowControl w:val="0"/>
        <w:numPr>
          <w:ilvl w:val="0"/>
          <w:numId w:val="31"/>
        </w:numPr>
        <w:autoSpaceDE w:val="0"/>
        <w:autoSpaceDN w:val="0"/>
        <w:spacing w:after="0" w:line="360" w:lineRule="auto"/>
        <w:jc w:val="both"/>
        <w:rPr>
          <w:rFonts w:ascii="Arial" w:hAnsi="Arial" w:cs="Arial"/>
        </w:rPr>
      </w:pPr>
      <w:r w:rsidRPr="00C10C85">
        <w:rPr>
          <w:rFonts w:ascii="Arial" w:hAnsi="Arial" w:cs="Arial"/>
          <w:i/>
          <w:iCs/>
        </w:rPr>
        <w:t xml:space="preserve">Blue </w:t>
      </w:r>
      <w:proofErr w:type="spellStart"/>
      <w:r w:rsidRPr="00C10C85">
        <w:rPr>
          <w:rFonts w:ascii="Arial" w:hAnsi="Arial" w:cs="Arial"/>
          <w:i/>
          <w:iCs/>
        </w:rPr>
        <w:t>mould</w:t>
      </w:r>
      <w:proofErr w:type="spellEnd"/>
      <w:r w:rsidRPr="00C10C85">
        <w:rPr>
          <w:rFonts w:ascii="Arial" w:hAnsi="Arial" w:cs="Arial"/>
        </w:rPr>
        <w:t xml:space="preserve">: it is caused by the fungus </w:t>
      </w:r>
      <w:r w:rsidRPr="00C10C85">
        <w:rPr>
          <w:rFonts w:ascii="Arial" w:hAnsi="Arial" w:cs="Arial"/>
          <w:i/>
          <w:iCs/>
        </w:rPr>
        <w:t>Penicillium hirsutum</w:t>
      </w:r>
      <w:r w:rsidRPr="00C10C85">
        <w:rPr>
          <w:rFonts w:ascii="Arial" w:hAnsi="Arial" w:cs="Arial"/>
        </w:rPr>
        <w:t xml:space="preserve"> and can occur in stored shallots that have been damaged or are in poor condition. The fungus produces a blue-green </w:t>
      </w:r>
      <w:proofErr w:type="spellStart"/>
      <w:r w:rsidRPr="00C10C85">
        <w:rPr>
          <w:rFonts w:ascii="Arial" w:hAnsi="Arial" w:cs="Arial"/>
        </w:rPr>
        <w:t>mould</w:t>
      </w:r>
      <w:proofErr w:type="spellEnd"/>
      <w:r w:rsidRPr="00C10C85">
        <w:rPr>
          <w:rFonts w:ascii="Arial" w:hAnsi="Arial" w:cs="Arial"/>
        </w:rPr>
        <w:t>, which can spread rapidly throughout the crop.</w:t>
      </w:r>
    </w:p>
    <w:p w14:paraId="3D74A669" w14:textId="77777777" w:rsidR="00EE207F" w:rsidRPr="00C10C85" w:rsidRDefault="00EE207F" w:rsidP="00E367A7">
      <w:pPr>
        <w:pStyle w:val="BodyText"/>
        <w:widowControl w:val="0"/>
        <w:numPr>
          <w:ilvl w:val="0"/>
          <w:numId w:val="31"/>
        </w:numPr>
        <w:autoSpaceDE w:val="0"/>
        <w:autoSpaceDN w:val="0"/>
        <w:spacing w:after="0" w:line="360" w:lineRule="auto"/>
        <w:jc w:val="both"/>
        <w:rPr>
          <w:rFonts w:ascii="Arial" w:hAnsi="Arial" w:cs="Arial"/>
        </w:rPr>
      </w:pPr>
      <w:r w:rsidRPr="00C10C85">
        <w:rPr>
          <w:rFonts w:ascii="Arial" w:hAnsi="Arial" w:cs="Arial"/>
          <w:i/>
          <w:iCs/>
        </w:rPr>
        <w:t>Neck rot</w:t>
      </w:r>
      <w:r w:rsidRPr="00C10C85">
        <w:rPr>
          <w:rFonts w:ascii="Arial" w:hAnsi="Arial" w:cs="Arial"/>
        </w:rPr>
        <w:t xml:space="preserve">: it is caused by the fungus </w:t>
      </w:r>
      <w:r w:rsidRPr="00C10C85">
        <w:rPr>
          <w:rFonts w:ascii="Arial" w:hAnsi="Arial" w:cs="Arial"/>
          <w:i/>
          <w:iCs/>
        </w:rPr>
        <w:t xml:space="preserve">Botrytis </w:t>
      </w:r>
      <w:proofErr w:type="spellStart"/>
      <w:r w:rsidRPr="00C10C85">
        <w:rPr>
          <w:rFonts w:ascii="Arial" w:hAnsi="Arial" w:cs="Arial"/>
          <w:i/>
          <w:iCs/>
        </w:rPr>
        <w:t>allii</w:t>
      </w:r>
      <w:proofErr w:type="spellEnd"/>
      <w:r w:rsidRPr="00C10C85">
        <w:rPr>
          <w:rFonts w:ascii="Arial" w:hAnsi="Arial" w:cs="Arial"/>
        </w:rPr>
        <w:t xml:space="preserve"> and can occur in stored shallots that have been damaged or are in poor condition. The fungus causes a soft rot of the neck and upper part of the bulb, which can result in significant losses.</w:t>
      </w:r>
    </w:p>
    <w:p w14:paraId="3F20CFC1" w14:textId="72503F2B" w:rsidR="00EE207F" w:rsidRPr="00C10C85" w:rsidRDefault="00EE207F" w:rsidP="00606EF7">
      <w:pPr>
        <w:pStyle w:val="Heading2"/>
      </w:pPr>
      <w:bookmarkStart w:id="7" w:name="_Toc160641963"/>
      <w:r w:rsidRPr="00C10C85">
        <w:t>Black mold disease of shallot</w:t>
      </w:r>
      <w:bookmarkEnd w:id="7"/>
    </w:p>
    <w:p w14:paraId="68CEEF22" w14:textId="0B51AB43" w:rsidR="00EE207F" w:rsidRPr="00C10C85" w:rsidRDefault="00EE207F" w:rsidP="00E367A7">
      <w:pPr>
        <w:pStyle w:val="BodyText"/>
        <w:spacing w:line="360" w:lineRule="auto"/>
        <w:jc w:val="both"/>
        <w:rPr>
          <w:rFonts w:ascii="Arial" w:hAnsi="Arial" w:cs="Arial"/>
        </w:rPr>
      </w:pPr>
      <w:r w:rsidRPr="00C10C85">
        <w:rPr>
          <w:rFonts w:ascii="Arial" w:hAnsi="Arial" w:cs="Arial"/>
          <w:i/>
          <w:iCs/>
        </w:rPr>
        <w:t>A</w:t>
      </w:r>
      <w:r w:rsidR="001455EC">
        <w:rPr>
          <w:rFonts w:ascii="Arial" w:hAnsi="Arial" w:cs="Arial"/>
          <w:i/>
          <w:iCs/>
        </w:rPr>
        <w:t>spergillus</w:t>
      </w:r>
      <w:r w:rsidRPr="00C10C85">
        <w:rPr>
          <w:rFonts w:ascii="Arial" w:hAnsi="Arial" w:cs="Arial"/>
          <w:i/>
          <w:iCs/>
        </w:rPr>
        <w:t xml:space="preserve"> </w:t>
      </w:r>
      <w:proofErr w:type="spellStart"/>
      <w:r w:rsidRPr="00C10C85">
        <w:rPr>
          <w:rFonts w:ascii="Arial" w:hAnsi="Arial" w:cs="Arial"/>
          <w:i/>
          <w:iCs/>
        </w:rPr>
        <w:t>niger</w:t>
      </w:r>
      <w:proofErr w:type="spellEnd"/>
      <w:r w:rsidRPr="00C10C85">
        <w:rPr>
          <w:rFonts w:ascii="Arial" w:hAnsi="Arial" w:cs="Arial"/>
        </w:rPr>
        <w:t xml:space="preserve"> is the pathogen that causes black mold of shallot bulbs. Infected seed bulbs can also spread the fungus, which affects the outer scales of the bulb and releases black spores that give the affected region a black appearance. The fungus can persist in soil and plant waste for a long time</w:t>
      </w:r>
      <w:r w:rsidR="001455EC">
        <w:rPr>
          <w:rFonts w:ascii="Arial" w:hAnsi="Arial" w:cs="Arial"/>
        </w:rPr>
        <w:t xml:space="preserve"> </w:t>
      </w:r>
      <w:r w:rsidRPr="00C10C85">
        <w:rPr>
          <w:rFonts w:ascii="Arial" w:hAnsi="Arial" w:cs="Arial"/>
        </w:rPr>
        <w:fldChar w:fldCharType="begin" w:fldLock="1"/>
      </w:r>
      <w:r w:rsidRPr="00C10C85">
        <w:rPr>
          <w:rFonts w:ascii="Arial" w:hAnsi="Arial" w:cs="Arial"/>
        </w:rPr>
        <w:instrText>ADDIN CSL_CITATION {"citationItems":[{"id":"ITEM-1","itemData":{"author":[{"dropping-particle":"","family":"Singh","given":"Shubham","non-dropping-particle":"","parse-names":false,"suffix":""},{"dropping-particle":"","family":"Singh","given":"Abhilash","non-dropping-particle":"","parse-names":false,"suffix":""},{"dropping-particle":"","family":"Singh","given":"Sateesh Pratap","non-dropping-particle":"","parse-names":false,"suffix":""},{"dropping-particle":"","family":"Kumar","given":"Siddharth","non-dropping-particle":"","parse-names":false,"suffix":""}],"id":"ITEM-1","issued":{"date-parts":[["2022"]]},"page":"63-66","title":"Important Diseases of Allium crops","type":"article-journal"},"uris":["http://www.mendeley.com/documents/?uuid=9aeb77f6-d13f-40e4-a08b-b3f2e46fe1d3","http://www.mendeley.com/documents/?uuid=9b2f5f5b-e0a6-4f6a-9bb2-a773183dfb57","http://www.mendeley.com/documents/?uuid=6c68c147-e9f1-410f-ada2-c2bd5a288cfc","http://www.mendeley.com/documents/?uuid=1196bc3c-efd7-4f97-b1ee-541014dabd32"]}],"mendeley":{"formattedCitation":"(S. Singh et al., 2022)","manualFormatting":"(Singh et al., 2022)","plainTextFormattedCitation":"(S. Singh et al., 2022)","previouslyFormattedCitation":"(S. Singh et al.,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(Singh </w:t>
      </w:r>
      <w:r w:rsidRPr="00C10C85">
        <w:rPr>
          <w:rFonts w:ascii="Arial" w:hAnsi="Arial" w:cs="Arial"/>
          <w:i/>
          <w:iCs/>
          <w:noProof/>
        </w:rPr>
        <w:t xml:space="preserve">et al., </w:t>
      </w:r>
      <w:r w:rsidRPr="00C10C85">
        <w:rPr>
          <w:rFonts w:ascii="Arial" w:hAnsi="Arial" w:cs="Arial"/>
          <w:noProof/>
        </w:rPr>
        <w:t>2022)</w:t>
      </w:r>
      <w:r w:rsidRPr="00C10C85">
        <w:rPr>
          <w:rFonts w:ascii="Arial" w:hAnsi="Arial" w:cs="Arial"/>
        </w:rPr>
        <w:fldChar w:fldCharType="end"/>
      </w:r>
      <w:r w:rsidRPr="00C10C85">
        <w:rPr>
          <w:rFonts w:ascii="Arial" w:hAnsi="Arial" w:cs="Arial"/>
        </w:rPr>
        <w:t>. For infection to happen, free moisture must remain on the bulb’s surface for at least six hours</w:t>
      </w:r>
      <w:r w:rsidR="001455EC">
        <w:rPr>
          <w:rFonts w:ascii="Arial" w:hAnsi="Arial" w:cs="Arial"/>
        </w:rPr>
        <w:t xml:space="preserve"> t</w:t>
      </w:r>
      <w:r w:rsidRPr="00C10C85">
        <w:rPr>
          <w:rFonts w:ascii="Arial" w:hAnsi="Arial" w:cs="Arial"/>
        </w:rPr>
        <w:t xml:space="preserve">he infected bulbs show no signs of the infection. After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infection, soft rot bacteria may develop</w:t>
      </w:r>
      <w:r w:rsidR="001455EC">
        <w:rPr>
          <w:rFonts w:ascii="Arial" w:hAnsi="Arial" w:cs="Arial"/>
        </w:rPr>
        <w:t xml:space="preserve"> as seco</w:t>
      </w:r>
      <w:r w:rsidR="00812D0D">
        <w:rPr>
          <w:rFonts w:ascii="Arial" w:hAnsi="Arial" w:cs="Arial"/>
        </w:rPr>
        <w:t>n</w:t>
      </w:r>
      <w:r w:rsidR="001455EC">
        <w:rPr>
          <w:rFonts w:ascii="Arial" w:hAnsi="Arial" w:cs="Arial"/>
        </w:rPr>
        <w:t>d</w:t>
      </w:r>
      <w:r w:rsidR="00812D0D">
        <w:rPr>
          <w:rFonts w:ascii="Arial" w:hAnsi="Arial" w:cs="Arial"/>
        </w:rPr>
        <w:t>a</w:t>
      </w:r>
      <w:r w:rsidR="001455EC">
        <w:rPr>
          <w:rFonts w:ascii="Arial" w:hAnsi="Arial" w:cs="Arial"/>
        </w:rPr>
        <w:t xml:space="preserve">ry </w:t>
      </w:r>
      <w:proofErr w:type="spellStart"/>
      <w:r w:rsidR="001455EC">
        <w:rPr>
          <w:rFonts w:ascii="Arial" w:hAnsi="Arial" w:cs="Arial"/>
        </w:rPr>
        <w:t>i</w:t>
      </w:r>
      <w:r w:rsidR="00812D0D">
        <w:rPr>
          <w:rFonts w:ascii="Arial" w:hAnsi="Arial" w:cs="Arial"/>
        </w:rPr>
        <w:t>nvadors</w:t>
      </w:r>
      <w:proofErr w:type="spellEnd"/>
      <w:r w:rsidRPr="00C10C85">
        <w:rPr>
          <w:rFonts w:ascii="Arial" w:hAnsi="Arial" w:cs="Arial"/>
        </w:rPr>
        <w:t xml:space="preserve"> (Pramod </w:t>
      </w:r>
      <w:r w:rsidRPr="00C10C85">
        <w:rPr>
          <w:rFonts w:ascii="Arial" w:hAnsi="Arial" w:cs="Arial"/>
          <w:i/>
          <w:iCs/>
        </w:rPr>
        <w:t>et al.,</w:t>
      </w:r>
      <w:r w:rsidRPr="00C10C85">
        <w:rPr>
          <w:rFonts w:ascii="Arial" w:hAnsi="Arial" w:cs="Arial"/>
        </w:rPr>
        <w:t xml:space="preserve"> 2022).</w:t>
      </w:r>
    </w:p>
    <w:p w14:paraId="0225F8C7" w14:textId="47AF35DF" w:rsidR="00EE207F" w:rsidRPr="00C10C85" w:rsidRDefault="00EE207F" w:rsidP="00812D0D">
      <w:pPr>
        <w:pStyle w:val="Heading2"/>
      </w:pPr>
      <w:bookmarkStart w:id="8" w:name="_Toc144288518"/>
      <w:r w:rsidRPr="00C10C85">
        <w:t>Symptoms of the black mold of shallot</w:t>
      </w:r>
      <w:bookmarkEnd w:id="8"/>
    </w:p>
    <w:p w14:paraId="0C957CC2" w14:textId="3AEC2179" w:rsidR="00AE42F3" w:rsidRDefault="00EE207F" w:rsidP="00E367A7">
      <w:pPr>
        <w:spacing w:line="360" w:lineRule="auto"/>
        <w:rPr>
          <w:rFonts w:ascii="Arial" w:hAnsi="Arial" w:cs="Arial"/>
          <w:b/>
          <w:bCs/>
        </w:rPr>
      </w:pPr>
      <w:r w:rsidRPr="00C10C85">
        <w:rPr>
          <w:rFonts w:ascii="Arial" w:hAnsi="Arial" w:cs="Arial"/>
        </w:rPr>
        <w:t xml:space="preserve">According to BBC-Gardener (2020), </w:t>
      </w:r>
      <w:r w:rsidR="00812D0D">
        <w:rPr>
          <w:rFonts w:ascii="Arial" w:hAnsi="Arial" w:cs="Arial"/>
        </w:rPr>
        <w:t>s</w:t>
      </w:r>
      <w:r w:rsidRPr="00C10C85">
        <w:rPr>
          <w:rFonts w:ascii="Arial" w:hAnsi="Arial" w:cs="Arial"/>
        </w:rPr>
        <w:t xml:space="preserve">ymptoms of black mold disease in shallot bulbs include black, powdery mold on the surface of the bulbs, the mold is often accompanied by a sour smell, and infected bulbs may feel soft or spongy to the touch, the fungus can also cause the shallot bulbs to rot, leading to the development of sunken, dark spots on the surface of the </w:t>
      </w:r>
      <w:r w:rsidRPr="00C10C85">
        <w:rPr>
          <w:rFonts w:ascii="Arial" w:hAnsi="Arial" w:cs="Arial"/>
        </w:rPr>
        <w:lastRenderedPageBreak/>
        <w:t>bulbs. Black mold can also affect stored shallots, causing a range of symptoms. Some common symptoms of black mold on stored shallots include: Softening and rotting of the shallot bulbs, formation of black or dark green mold on the surface of the shallot bulbs, musty or moldy smell emanating from the stored shallots</w:t>
      </w:r>
      <w:r w:rsidR="00812D0D">
        <w:rPr>
          <w:rFonts w:ascii="Arial" w:hAnsi="Arial" w:cs="Arial"/>
        </w:rPr>
        <w:t>.</w:t>
      </w:r>
      <w:r w:rsidRPr="00C10C85">
        <w:rPr>
          <w:rFonts w:ascii="Arial" w:hAnsi="Arial" w:cs="Arial"/>
        </w:rPr>
        <w:t xml:space="preserve"> Presence of spores on the surface of the shallot bulbs, loss of </w:t>
      </w:r>
      <w:proofErr w:type="spellStart"/>
      <w:r w:rsidRPr="00C10C85">
        <w:rPr>
          <w:rFonts w:ascii="Arial" w:hAnsi="Arial" w:cs="Arial"/>
        </w:rPr>
        <w:t>flavour</w:t>
      </w:r>
      <w:proofErr w:type="spellEnd"/>
      <w:r w:rsidRPr="00C10C85">
        <w:rPr>
          <w:rFonts w:ascii="Arial" w:hAnsi="Arial" w:cs="Arial"/>
        </w:rPr>
        <w:t xml:space="preserve"> and texture in the shallots (Kumar </w:t>
      </w:r>
      <w:r w:rsidRPr="00C10C85">
        <w:rPr>
          <w:rFonts w:ascii="Arial" w:hAnsi="Arial" w:cs="Arial"/>
          <w:i/>
          <w:iCs/>
        </w:rPr>
        <w:t>et al.,</w:t>
      </w:r>
      <w:r w:rsidRPr="00C10C85">
        <w:rPr>
          <w:rFonts w:ascii="Arial" w:hAnsi="Arial" w:cs="Arial"/>
        </w:rPr>
        <w:t xml:space="preserve"> 2018).</w:t>
      </w:r>
      <w:bookmarkStart w:id="9" w:name="_Toc144288519"/>
      <w:bookmarkStart w:id="10" w:name="_Hlk209169025"/>
    </w:p>
    <w:p w14:paraId="0BA98492" w14:textId="09E40B63" w:rsidR="00EE207F" w:rsidRPr="00C10C85" w:rsidRDefault="00EE207F" w:rsidP="00812D0D">
      <w:pPr>
        <w:pStyle w:val="Heading2"/>
      </w:pPr>
      <w:r w:rsidRPr="00C10C85">
        <w:t xml:space="preserve">Disease cycle and epidemiology of black </w:t>
      </w:r>
      <w:proofErr w:type="spellStart"/>
      <w:r w:rsidRPr="00C10C85">
        <w:t>mould</w:t>
      </w:r>
      <w:proofErr w:type="spellEnd"/>
      <w:r w:rsidRPr="00C10C85">
        <w:t xml:space="preserve"> of shallot</w:t>
      </w:r>
      <w:bookmarkEnd w:id="9"/>
    </w:p>
    <w:bookmarkEnd w:id="10"/>
    <w:p w14:paraId="014F7926" w14:textId="0D252DF8" w:rsidR="00EE207F" w:rsidRPr="00C10C85" w:rsidRDefault="00EE207F" w:rsidP="00E367A7">
      <w:pPr>
        <w:pStyle w:val="BodyText"/>
        <w:spacing w:line="360" w:lineRule="auto"/>
        <w:jc w:val="both"/>
        <w:rPr>
          <w:rFonts w:ascii="Arial" w:hAnsi="Arial" w:cs="Arial"/>
        </w:rPr>
      </w:pPr>
      <w:r w:rsidRPr="00C10C85">
        <w:rPr>
          <w:rFonts w:ascii="Arial" w:hAnsi="Arial" w:cs="Arial"/>
        </w:rPr>
        <w:t xml:space="preserve">Three stages constitute the black mold of shallot disease cycle that caused by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infection, colonization, and sporulation.</w:t>
      </w:r>
    </w:p>
    <w:p w14:paraId="60E76027" w14:textId="7AEC6EDB" w:rsidR="00EE207F" w:rsidRDefault="00C10C85" w:rsidP="00EE207F">
      <w:pPr>
        <w:pStyle w:val="BodyText"/>
        <w:spacing w:line="360" w:lineRule="auto"/>
      </w:pPr>
      <w:r>
        <w:rPr>
          <w:noProof/>
        </w:rPr>
        <mc:AlternateContent>
          <mc:Choice Requires="wps">
            <w:drawing>
              <wp:anchor distT="45720" distB="45720" distL="114300" distR="114300" simplePos="0" relativeHeight="251659264" behindDoc="0" locked="0" layoutInCell="1" allowOverlap="1" wp14:anchorId="31A7EE45" wp14:editId="57E0A596">
                <wp:simplePos x="0" y="0"/>
                <wp:positionH relativeFrom="page">
                  <wp:posOffset>1190625</wp:posOffset>
                </wp:positionH>
                <wp:positionV relativeFrom="paragraph">
                  <wp:posOffset>0</wp:posOffset>
                </wp:positionV>
                <wp:extent cx="6219825" cy="4524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524375"/>
                        </a:xfrm>
                        <a:prstGeom prst="rect">
                          <a:avLst/>
                        </a:prstGeom>
                        <a:solidFill>
                          <a:srgbClr val="FFFFFF"/>
                        </a:solidFill>
                        <a:ln w="9525">
                          <a:noFill/>
                          <a:miter lim="800000"/>
                          <a:headEnd/>
                          <a:tailEnd/>
                        </a:ln>
                      </wps:spPr>
                      <wps:txbx>
                        <w:txbxContent>
                          <w:p w14:paraId="5C916B46" w14:textId="73A2CD5E" w:rsidR="00EE207F" w:rsidRDefault="00525158" w:rsidP="00EE207F">
                            <w:r>
                              <w:rPr>
                                <w:noProof/>
                              </w:rPr>
                              <w:drawing>
                                <wp:inline distT="0" distB="0" distL="0" distR="0" wp14:anchorId="47AD85C3" wp14:editId="1455F115">
                                  <wp:extent cx="6024718" cy="3838575"/>
                                  <wp:effectExtent l="0" t="0" r="0" b="0"/>
                                  <wp:docPr id="1645677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55526" name="Picture 1208955526"/>
                                          <pic:cNvPicPr/>
                                        </pic:nvPicPr>
                                        <pic:blipFill rotWithShape="1">
                                          <a:blip r:embed="rId14">
                                            <a:extLst>
                                              <a:ext uri="{28A0092B-C50C-407E-A947-70E740481C1C}">
                                                <a14:useLocalDpi xmlns:a14="http://schemas.microsoft.com/office/drawing/2010/main" val="0"/>
                                              </a:ext>
                                            </a:extLst>
                                          </a:blip>
                                          <a:srcRect t="5605" b="5511"/>
                                          <a:stretch>
                                            <a:fillRect/>
                                          </a:stretch>
                                        </pic:blipFill>
                                        <pic:spPr bwMode="auto">
                                          <a:xfrm>
                                            <a:off x="0" y="0"/>
                                            <a:ext cx="6031791" cy="3843081"/>
                                          </a:xfrm>
                                          <a:prstGeom prst="rect">
                                            <a:avLst/>
                                          </a:prstGeom>
                                          <a:ln>
                                            <a:noFill/>
                                          </a:ln>
                                          <a:extLst>
                                            <a:ext uri="{53640926-AAD7-44D8-BBD7-CCE9431645EC}">
                                              <a14:shadowObscured xmlns:a14="http://schemas.microsoft.com/office/drawing/2010/main"/>
                                            </a:ext>
                                          </a:extLst>
                                        </pic:spPr>
                                      </pic:pic>
                                    </a:graphicData>
                                  </a:graphic>
                                </wp:inline>
                              </w:drawing>
                            </w:r>
                          </w:p>
                          <w:p w14:paraId="45C04F09" w14:textId="57A8D6B6" w:rsidR="00B70CED" w:rsidRDefault="00B70CED" w:rsidP="00EE20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A7EE45" id="_x0000_t202" coordsize="21600,21600" o:spt="202" path="m,l,21600r21600,l21600,xe">
                <v:stroke joinstyle="miter"/>
                <v:path gradientshapeok="t" o:connecttype="rect"/>
              </v:shapetype>
              <v:shape id="Text Box 2" o:spid="_x0000_s1026" type="#_x0000_t202" style="position:absolute;margin-left:93.75pt;margin-top:0;width:489.75pt;height:356.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" stroked="f">
                <v:textbox>
                  <w:txbxContent>
                    <w:p w14:paraId="5C916B46" w14:textId="73A2CD5E" w:rsidR="00EE207F" w:rsidRDefault="00525158" w:rsidP="00EE207F">
                      <w:r>
                        <w:rPr>
                          <w:noProof/>
                        </w:rPr>
                        <w:drawing>
                          <wp:inline distT="0" distB="0" distL="0" distR="0" wp14:anchorId="47AD85C3" wp14:editId="1455F115">
                            <wp:extent cx="6024718" cy="3838575"/>
                            <wp:effectExtent l="0" t="0" r="0" b="0"/>
                            <wp:docPr id="1645677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55526" name="Picture 1208955526"/>
                                    <pic:cNvPicPr/>
                                  </pic:nvPicPr>
                                  <pic:blipFill rotWithShape="1">
                                    <a:blip r:embed="rId15">
                                      <a:extLst>
                                        <a:ext uri="{28A0092B-C50C-407E-A947-70E740481C1C}">
                                          <a14:useLocalDpi xmlns:a14="http://schemas.microsoft.com/office/drawing/2010/main" val="0"/>
                                        </a:ext>
                                      </a:extLst>
                                    </a:blip>
                                    <a:srcRect t="5605" b="5511"/>
                                    <a:stretch>
                                      <a:fillRect/>
                                    </a:stretch>
                                  </pic:blipFill>
                                  <pic:spPr bwMode="auto">
                                    <a:xfrm>
                                      <a:off x="0" y="0"/>
                                      <a:ext cx="6031791" cy="3843081"/>
                                    </a:xfrm>
                                    <a:prstGeom prst="rect">
                                      <a:avLst/>
                                    </a:prstGeom>
                                    <a:ln>
                                      <a:noFill/>
                                    </a:ln>
                                    <a:extLst>
                                      <a:ext uri="{53640926-AAD7-44D8-BBD7-CCE9431645EC}">
                                        <a14:shadowObscured xmlns:a14="http://schemas.microsoft.com/office/drawing/2010/main"/>
                                      </a:ext>
                                    </a:extLst>
                                  </pic:spPr>
                                </pic:pic>
                              </a:graphicData>
                            </a:graphic>
                          </wp:inline>
                        </w:drawing>
                      </w:r>
                    </w:p>
                    <w:p w14:paraId="45C04F09" w14:textId="57A8D6B6" w:rsidR="00B70CED" w:rsidRDefault="00B70CED" w:rsidP="00EE207F"/>
                  </w:txbxContent>
                </v:textbox>
                <w10:wrap type="square" anchorx="page"/>
              </v:shape>
            </w:pict>
          </mc:Fallback>
        </mc:AlternateContent>
      </w:r>
      <w:r>
        <w:rPr>
          <w:noProof/>
        </w:rPr>
        <mc:AlternateContent>
          <mc:Choice Requires="wps">
            <w:drawing>
              <wp:anchor distT="0" distB="0" distL="114300" distR="114300" simplePos="0" relativeHeight="251667456" behindDoc="0" locked="0" layoutInCell="1" allowOverlap="1" wp14:anchorId="59EF0D94" wp14:editId="0116EF3B">
                <wp:simplePos x="0" y="0"/>
                <wp:positionH relativeFrom="column">
                  <wp:posOffset>215265</wp:posOffset>
                </wp:positionH>
                <wp:positionV relativeFrom="paragraph">
                  <wp:posOffset>3943350</wp:posOffset>
                </wp:positionV>
                <wp:extent cx="4333875" cy="276225"/>
                <wp:effectExtent l="0" t="0" r="9525" b="9525"/>
                <wp:wrapNone/>
                <wp:docPr id="1278507893" name="Text Box 6"/>
                <wp:cNvGraphicFramePr/>
                <a:graphic xmlns:a="http://schemas.openxmlformats.org/drawingml/2006/main">
                  <a:graphicData uri="http://schemas.microsoft.com/office/word/2010/wordprocessingShape">
                    <wps:wsp>
                      <wps:cNvSpPr txBox="1"/>
                      <wps:spPr>
                        <a:xfrm>
                          <a:off x="0" y="0"/>
                          <a:ext cx="4333875" cy="276225"/>
                        </a:xfrm>
                        <a:prstGeom prst="rect">
                          <a:avLst/>
                        </a:prstGeom>
                        <a:solidFill>
                          <a:schemeClr val="lt1"/>
                        </a:solidFill>
                        <a:ln w="6350">
                          <a:noFill/>
                        </a:ln>
                      </wps:spPr>
                      <wps:txbx>
                        <w:txbxContent>
                          <w:p w14:paraId="3AB82143" w14:textId="2097E1E8" w:rsidR="00B70CED" w:rsidRPr="00C10C85" w:rsidRDefault="00B70CED" w:rsidP="00B70CED">
                            <w:pPr>
                              <w:spacing w:line="360" w:lineRule="auto"/>
                              <w:jc w:val="both"/>
                              <w:rPr>
                                <w:rFonts w:ascii="Arial" w:hAnsi="Arial" w:cs="Arial"/>
                                <w:b/>
                                <w:bCs/>
                                <w:szCs w:val="24"/>
                              </w:rPr>
                            </w:pPr>
                            <w:r w:rsidRPr="00C10C85">
                              <w:rPr>
                                <w:rFonts w:ascii="Arial" w:hAnsi="Arial" w:cs="Arial"/>
                                <w:b/>
                                <w:bCs/>
                                <w:szCs w:val="24"/>
                              </w:rPr>
                              <w:t>Figure 1. Disease cycle and epidemiology of black mold of shallot</w:t>
                            </w:r>
                          </w:p>
                          <w:p w14:paraId="31E83459" w14:textId="77777777" w:rsidR="00B70CED" w:rsidRDefault="00B70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EF0D94" id="Text Box 6" o:spid="_x0000_s1027" type="#_x0000_t202" style="position:absolute;margin-left:16.95pt;margin-top:310.5pt;width:341.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" fillcolor="white [3201]" stroked="f" strokeweight=".5pt">
                <v:textbox>
                  <w:txbxContent>
                    <w:p w14:paraId="3AB82143" w14:textId="2097E1E8" w:rsidR="00B70CED" w:rsidRPr="00C10C85" w:rsidRDefault="00B70CED" w:rsidP="00B70CED">
                      <w:pPr>
                        <w:spacing w:line="360" w:lineRule="auto"/>
                        <w:jc w:val="both"/>
                        <w:rPr>
                          <w:rFonts w:ascii="Arial" w:hAnsi="Arial" w:cs="Arial"/>
                          <w:b/>
                          <w:bCs/>
                          <w:szCs w:val="24"/>
                        </w:rPr>
                      </w:pPr>
                      <w:r w:rsidRPr="00C10C85">
                        <w:rPr>
                          <w:rFonts w:ascii="Arial" w:hAnsi="Arial" w:cs="Arial"/>
                          <w:b/>
                          <w:bCs/>
                          <w:szCs w:val="24"/>
                        </w:rPr>
                        <w:t>Figure 1. Disease cycle and epidemiology of black mold of shallot</w:t>
                      </w:r>
                    </w:p>
                    <w:p w14:paraId="31E83459" w14:textId="77777777" w:rsidR="00B70CED" w:rsidRDefault="00B70CED"/>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92459EC" wp14:editId="139FD535">
                <wp:simplePos x="0" y="0"/>
                <wp:positionH relativeFrom="column">
                  <wp:posOffset>1554480</wp:posOffset>
                </wp:positionH>
                <wp:positionV relativeFrom="paragraph">
                  <wp:posOffset>4257675</wp:posOffset>
                </wp:positionV>
                <wp:extent cx="2809875" cy="228600"/>
                <wp:effectExtent l="0" t="0" r="9525" b="0"/>
                <wp:wrapNone/>
                <wp:docPr id="448908028" name="Text Box 5"/>
                <wp:cNvGraphicFramePr/>
                <a:graphic xmlns:a="http://schemas.openxmlformats.org/drawingml/2006/main">
                  <a:graphicData uri="http://schemas.microsoft.com/office/word/2010/wordprocessingShape">
                    <wps:wsp>
                      <wps:cNvSpPr txBox="1"/>
                      <wps:spPr>
                        <a:xfrm>
                          <a:off x="0" y="0"/>
                          <a:ext cx="2809875" cy="228600"/>
                        </a:xfrm>
                        <a:prstGeom prst="rect">
                          <a:avLst/>
                        </a:prstGeom>
                        <a:solidFill>
                          <a:schemeClr val="lt1"/>
                        </a:solidFill>
                        <a:ln w="6350">
                          <a:noFill/>
                        </a:ln>
                      </wps:spPr>
                      <wps:txbx>
                        <w:txbxContent>
                          <w:p w14:paraId="47B155B0" w14:textId="77777777" w:rsidR="00B70CED" w:rsidRPr="00846F66" w:rsidRDefault="00B70CED" w:rsidP="00B70CED">
                            <w:pPr>
                              <w:rPr>
                                <w:rFonts w:ascii="Arial" w:hAnsi="Arial" w:cs="Arial"/>
                                <w:i/>
                                <w:iCs/>
                                <w:sz w:val="16"/>
                                <w:szCs w:val="16"/>
                              </w:rPr>
                            </w:pPr>
                            <w:r w:rsidRPr="00846F66">
                              <w:rPr>
                                <w:rFonts w:ascii="Arial" w:hAnsi="Arial" w:cs="Arial"/>
                                <w:i/>
                                <w:iCs/>
                                <w:sz w:val="16"/>
                                <w:szCs w:val="16"/>
                              </w:rPr>
                              <w:t>Source: Laboratory pictures during research</w:t>
                            </w:r>
                          </w:p>
                          <w:p w14:paraId="24E968D0" w14:textId="77777777" w:rsidR="00B70CED" w:rsidRPr="00846F66" w:rsidRDefault="00B70CE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2459EC" id="Text Box 5" o:spid="_x0000_s1028" type="#_x0000_t202" style="position:absolute;margin-left:122.4pt;margin-top:335.25pt;width:221.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" fillcolor="white [3201]" stroked="f" strokeweight=".5pt">
                <v:textbox>
                  <w:txbxContent>
                    <w:p w14:paraId="47B155B0" w14:textId="77777777" w:rsidR="00B70CED" w:rsidRPr="00846F66" w:rsidRDefault="00B70CED" w:rsidP="00B70CED">
                      <w:pPr>
                        <w:rPr>
                          <w:rFonts w:ascii="Arial" w:hAnsi="Arial" w:cs="Arial"/>
                          <w:i/>
                          <w:iCs/>
                          <w:sz w:val="16"/>
                          <w:szCs w:val="16"/>
                        </w:rPr>
                      </w:pPr>
                      <w:r w:rsidRPr="00846F66">
                        <w:rPr>
                          <w:rFonts w:ascii="Arial" w:hAnsi="Arial" w:cs="Arial"/>
                          <w:i/>
                          <w:iCs/>
                          <w:sz w:val="16"/>
                          <w:szCs w:val="16"/>
                        </w:rPr>
                        <w:t>Source: Laboratory pictures during research</w:t>
                      </w:r>
                    </w:p>
                    <w:p w14:paraId="24E968D0" w14:textId="77777777" w:rsidR="00B70CED" w:rsidRPr="00846F66" w:rsidRDefault="00B70CED">
                      <w:pPr>
                        <w:rPr>
                          <w:sz w:val="16"/>
                          <w:szCs w:val="16"/>
                        </w:rPr>
                      </w:pPr>
                    </w:p>
                  </w:txbxContent>
                </v:textbox>
              </v:shape>
            </w:pict>
          </mc:Fallback>
        </mc:AlternateContent>
      </w:r>
    </w:p>
    <w:p w14:paraId="5407367A" w14:textId="31C52EE4" w:rsidR="00EE207F" w:rsidRPr="00C10C85" w:rsidRDefault="00EE207F" w:rsidP="00E367A7">
      <w:pPr>
        <w:pStyle w:val="BodyText"/>
        <w:spacing w:line="360" w:lineRule="auto"/>
        <w:jc w:val="both"/>
        <w:rPr>
          <w:rFonts w:ascii="Arial" w:hAnsi="Arial" w:cs="Arial"/>
        </w:rPr>
      </w:pPr>
      <w:r w:rsidRPr="00C10C85">
        <w:rPr>
          <w:rFonts w:ascii="Arial" w:hAnsi="Arial" w:cs="Arial"/>
        </w:rPr>
        <w:t>The epidemiology of black mold of shallot is influenced by several factors, including the presence of inoculum in the soil, environmental factors like humidity and temperature, and cultural practices such as irrigation and fertilization. The disease is most common in areas with warm, humid climates and in fields where shallot is grown continuously.</w:t>
      </w:r>
    </w:p>
    <w:p w14:paraId="33C1C69B" w14:textId="77777777" w:rsidR="00EE207F" w:rsidRPr="00C10C85" w:rsidRDefault="00EE207F" w:rsidP="00492E89">
      <w:pPr>
        <w:pStyle w:val="Heading1"/>
      </w:pPr>
      <w:bookmarkStart w:id="11" w:name="_Toc160641965"/>
      <w:r w:rsidRPr="00C10C85">
        <w:lastRenderedPageBreak/>
        <w:t xml:space="preserve">The pathogen Aspergillus </w:t>
      </w:r>
      <w:proofErr w:type="spellStart"/>
      <w:r w:rsidRPr="00C10C85">
        <w:t>niger</w:t>
      </w:r>
      <w:bookmarkEnd w:id="11"/>
      <w:proofErr w:type="spellEnd"/>
    </w:p>
    <w:p w14:paraId="2BECEB72" w14:textId="7743DA25" w:rsidR="00EE207F" w:rsidRPr="00C10C85" w:rsidRDefault="00EE207F" w:rsidP="00E367A7">
      <w:pPr>
        <w:pStyle w:val="BodyText"/>
        <w:spacing w:line="360" w:lineRule="auto"/>
        <w:jc w:val="both"/>
        <w:rPr>
          <w:rFonts w:ascii="Arial" w:hAnsi="Arial" w:cs="Arial"/>
        </w:rPr>
      </w:pPr>
      <w:r w:rsidRPr="00C10C85">
        <w:rPr>
          <w:rFonts w:ascii="Arial" w:hAnsi="Arial" w:cs="Arial"/>
          <w:i/>
          <w:iCs/>
        </w:rPr>
        <w:t>A</w:t>
      </w:r>
      <w:r w:rsidR="00492E89">
        <w:rPr>
          <w:rFonts w:ascii="Arial" w:hAnsi="Arial" w:cs="Arial"/>
          <w:i/>
          <w:iCs/>
        </w:rPr>
        <w:t>spergillus</w:t>
      </w:r>
      <w:r w:rsidRPr="00C10C85">
        <w:rPr>
          <w:rFonts w:ascii="Arial" w:hAnsi="Arial" w:cs="Arial"/>
          <w:i/>
          <w:iCs/>
        </w:rPr>
        <w:t xml:space="preserve"> </w:t>
      </w:r>
      <w:proofErr w:type="spellStart"/>
      <w:r w:rsidRPr="00C10C85">
        <w:rPr>
          <w:rFonts w:ascii="Arial" w:hAnsi="Arial" w:cs="Arial"/>
          <w:i/>
          <w:iCs/>
        </w:rPr>
        <w:t>niger</w:t>
      </w:r>
      <w:proofErr w:type="spellEnd"/>
      <w:r w:rsidRPr="00C10C85">
        <w:rPr>
          <w:rFonts w:ascii="Arial" w:hAnsi="Arial" w:cs="Arial"/>
        </w:rPr>
        <w:t xml:space="preserve"> is a common saprophytic filamentous fungus belonging to the family </w:t>
      </w:r>
      <w:proofErr w:type="spellStart"/>
      <w:r w:rsidRPr="00C10C85">
        <w:rPr>
          <w:rFonts w:ascii="Arial" w:hAnsi="Arial" w:cs="Arial"/>
          <w:i/>
          <w:iCs/>
        </w:rPr>
        <w:t>Aspergillaceae</w:t>
      </w:r>
      <w:proofErr w:type="spellEnd"/>
      <w:r w:rsidRPr="00C10C85">
        <w:rPr>
          <w:rFonts w:ascii="Arial" w:hAnsi="Arial" w:cs="Arial"/>
        </w:rPr>
        <w:t xml:space="preserve">, which is ubiquitous in nature and can be found in soil, air, and water </w:t>
      </w:r>
      <w:r w:rsidRPr="00C10C85">
        <w:rPr>
          <w:rFonts w:ascii="Arial" w:hAnsi="Arial" w:cs="Arial"/>
        </w:rPr>
        <w:fldChar w:fldCharType="begin" w:fldLock="1"/>
      </w:r>
      <w:r w:rsidRPr="00C10C85">
        <w:rPr>
          <w:rFonts w:ascii="Arial" w:hAnsi="Arial" w:cs="Arial"/>
        </w:rPr>
        <w:instrText>ADDIN CSL_CITATION {"citationItems":[{"id":"ITEM-1","itemData":{"DOI":"10.3114/sim0006","ISSN":"01660616","abstract":"The genus Aspergillus represents a diverse group of fungi that are among the most abundant fungi in the world. Germination of a spore can lead to a vegetative mycelium that colonizes a substrate. The hyphae within the mycelium are highly heterogeneous with respect to gene expression, growth, and secretion. Aspergilli can reproduce both asexually and sexually. To this end, conidiophores and ascocarps are produced that form conidia and ascospores, respectively. This review describes the molecular mechanisms underlying growth and development of Aspergillus. © CBS-KNAW Fungal Biodiversity Centre, P.O. Box 85167, 3508 AD Utrecht, The Netherlands.","author":[{"dropping-particle":"","family":"Krijgsheld","given":"P.","non-dropping-particle":"","parse-names":false,"suffix":""},{"dropping-particle":"","family":"Bleichrodt","given":"R.","non-dropping-particle":"","parse-names":false,"suffix":""},{"dropping-particle":"","family":"Veluw","given":"G. J.","non-dropping-particle":"van","parse-names":false,"suffix":""},{"dropping-particle":"","family":"Wang","given":"F.","non-dropping-particle":"","parse-names":false,"suffix":""},{"dropping-particle":"","family":"Müller","given":"W. H.","non-dropping-particle":"","parse-names":false,"suffix":""},{"dropping-particle":"","family":"Dijksterhuis","given":"J.","non-dropping-particle":"","parse-names":false,"suffix":""},{"dropping-particle":"","family":"Wösten","given":"H. A.B.","non-dropping-particle":"","parse-names":false,"suffix":""}],"container-title":"Studies in Mycology","id":"ITEM-1","issued":{"date-parts":[["2013"]]},"page":"1-29","publisher":"CBS-KNAW Fungal Biodiversity Centre","title":"Development in aspergillus","type":"article-journal","volume":"74"},"uris":["http://www.mendeley.com/documents/?uuid=49e61561-3550-4f56-afa1-df3992122921"]},{"id":"ITEM-2","itemData":{"author":[{"dropping-particle":"","family":"Lanette Sobel","given":"","non-dropping-particle":"","parse-names":false,"suffix":""}],"container-title":"Bugwood wiki","id":"ITEM-2","issued":{"date-parts":[["2014"]]},"title":"Aspergillus niger","type":"entry-encyclopedia"},"uris":["http://www.mendeley.com/documents/?uuid=382c2e92-856d-491d-ba76-56d6c46e9b84"]},{"id":"ITEM-3","itemData":{"DOI":"10.1111/1751-7915.12367","ISSN":"17517915","PMID":"27273822","abstract":"Fungi of the genus Aspergillus are widespread in the environment. Some Aspergillus species, most commonly Aspergillus fumigatus, may lead to a variety of allergic reactions and life-threatening systemic infections in humans. Invasive aspergillosis occurs primarily in patients with severe immunodeficiency, and has dramatically increased in recent years. There are several factors at play that contribute to aspergillosis, including both fungus and host-related factors such as strain virulence and host pulmonary structure/immune status, respectively. The environmental tenacity of Aspergilllus, its dominance in diverse microbial communities/habitats, and its ability to navigate the ecophysiological and biophysical challenges of host infection are attributable, in large part, to a robust stress-tolerance biology and exceptional capacity to generate cell-available energy. Aspects of its stress metabolism, ecology, interactions with diverse animal hosts, clinical presentations and treatment regimens have been well-studied over the past years. Here, we synthesize these findings in relation to the way in which some Aspergillus species have become successful opportunistic pathogens of human- and other animal hosts. We focus on the biophysical capabilities of Aspergillus pathogens, key aspects of their ecophysiology and the flexibility to undergo a sexual cycle or form cryptic species. Additionally, recent advances in diagnosis of the disease are discussed as well as implications in relation to questions that have yet to be resolved.","author":[{"dropping-particle":"","family":"Paulussen","given":"Caroline","non-dropping-particle":"","parse-names":false,"suffix":""},{"dropping-particle":"","family":"Hallsworth","given":"John E.","non-dropping-particle":"","parse-names":false,"suffix":""},{"dropping-particle":"","family":"Álvarez-Pérez","given":"Sergio","non-dropping-particle":"","parse-names":false,"suffix":""},{"dropping-particle":"","family":"Nierman","given":"William C.","non-dropping-particle":"","parse-names":false,"suffix":""},{"dropping-particle":"","family":"Hamill","given":"Philip G.","non-dropping-particle":"","parse-names":false,"suffix":""},{"dropping-particle":"","family":"Blain","given":"David","non-dropping-particle":"","parse-names":false,"suffix":""},{"dropping-particle":"","family":"Rediers","given":"Hans","non-dropping-particle":"","parse-names":false,"suffix":""},{"dropping-particle":"","family":"Lievens","given":"Bart","non-dropping-particle":"","parse-names":false,"suffix":""}],"container-title":"Microbial Biotechnology","id":"ITEM-3","issue":"2","issued":{"date-parts":[["2017"]]},"page":"296-322","title":"Ecology of aspergillosis: insights into the pathogenic potency of Aspergillus fumigatus and some other Aspergillus species","type":"article-journal","volume":"10"},"uris":["http://www.mendeley.com/documents/?uuid=01597bb0-0652-4d87-8712-da78a5ad69ea"]}],"mendeley":{"formattedCitation":"(Krijgsheld et al., 2013; Lanette Sobel, 2014; Paulussen et al., 2017)","manualFormatting":"(Krijgsheld et al., 2013; Lanette, 2014; Paulussen et al., 2017)","plainTextFormattedCitation":"(Krijgsheld et al., 2013; Lanette Sobel, 2014; Paulussen et al., 2017)","previouslyFormattedCitation":"(Krijgsheld et al., 2013; Lanette Sobel, 2014; Paulussen et al., 2017)"},"properties":{"noteIndex":0},"schema":"https://github.com/citation-style-language/schema/raw/master/csl-citation.json"}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(Krijgsheld </w:t>
      </w:r>
      <w:r w:rsidRPr="00C10C85">
        <w:rPr>
          <w:rFonts w:ascii="Arial" w:hAnsi="Arial" w:cs="Arial"/>
          <w:i/>
          <w:iCs/>
          <w:noProof/>
        </w:rPr>
        <w:t>et al.,</w:t>
      </w:r>
      <w:r w:rsidRPr="00C10C85">
        <w:rPr>
          <w:rFonts w:ascii="Arial" w:hAnsi="Arial" w:cs="Arial"/>
          <w:noProof/>
        </w:rPr>
        <w:t xml:space="preserve"> 2013; Lanette, 2014; Paulussen </w:t>
      </w:r>
      <w:r w:rsidRPr="00C10C85">
        <w:rPr>
          <w:rFonts w:ascii="Arial" w:hAnsi="Arial" w:cs="Arial"/>
          <w:i/>
          <w:iCs/>
          <w:noProof/>
        </w:rPr>
        <w:t>et al.,</w:t>
      </w:r>
      <w:r w:rsidRPr="00C10C85">
        <w:rPr>
          <w:rFonts w:ascii="Arial" w:hAnsi="Arial" w:cs="Arial"/>
          <w:noProof/>
        </w:rPr>
        <w:t xml:space="preserve"> 2017)</w:t>
      </w:r>
      <w:r w:rsidRPr="00C10C85">
        <w:rPr>
          <w:rFonts w:ascii="Arial" w:hAnsi="Arial" w:cs="Arial"/>
        </w:rPr>
        <w:fldChar w:fldCharType="end"/>
      </w:r>
      <w:r w:rsidRPr="00C10C85">
        <w:rPr>
          <w:rFonts w:ascii="Arial" w:hAnsi="Arial" w:cs="Arial"/>
        </w:rPr>
        <w:t xml:space="preserve">. It is a well-known organism for its ability to produce a vast array of secreted enzymes, including amylases, pectinases, and proteases, which can be utilized for industrial processes such as food and beverage production, paper and pulp industries, and biofuel production </w:t>
      </w:r>
      <w:r w:rsidRPr="00C10C85">
        <w:rPr>
          <w:rFonts w:ascii="Arial" w:hAnsi="Arial" w:cs="Arial"/>
        </w:rPr>
        <w:fldChar w:fldCharType="begin" w:fldLock="1"/>
      </w:r>
      <w:r w:rsidRPr="00C10C85">
        <w:rPr>
          <w:rFonts w:ascii="Arial" w:hAnsi="Arial" w:cs="Arial"/>
        </w:rPr>
        <w:instrText>ADDIN CSL_CITATION {"citationItems":[{"id":"ITEM-1","itemData":{"DOI":"10.1186/s40694-018-0054-5","ISSN":"20543085","abstract":"In 1917, a food chemist named James Currie made a promising discovery: any strain of the filamentous mould Aspergillus niger would produce high concentrations of citric acid when grown in sugar medium. This tricarboxylic acid, which we now know is an intermediate of the Krebs cycle, had previously been extracted from citrus fruits for applications in food and beverage production. Two years after Currie’s discovery, industrial-level production using A. niger began, the biochemical fermentation industry started to flourish, and industrial biotechnology was born. A century later, citric acid production using this mould is a multi-billion dollar industry, with A. niger additionally producing a diverse range of proteins, enzymes and secondary metabolites. In this review, we assess main developments in the field of A. niger biology over the last 100 years and highlight scientific breakthroughs and discoveries which were influential for both basic and applied fungal research in and outside the A. niger community. We give special focus to two developments of the last decade: systems biology and genome editing. We also summarize the current international A. niger research community, and end by speculating on the future of fundamental research on this fascinating fungus and its exploitation in industrial biotechnology.","author":[{"dropping-particle":"","family":"Cairns","given":"Timothy C.","non-dropping-particle":"","parse-names":false,"suffix":""},{"dropping-particle":"","family":"Nai","given":"Corrado","non-dropping-particle":"","parse-names":false,"suffix":""},{"dropping-particle":"","family":"Meyer","given":"Vera","non-dropping-particle":"","parse-names":false,"suffix":""}],"container-title":"Fungal Biology and Biotechnology","id":"ITEM-1","issue":"1","issued":{"date-parts":[["2018"]]},"page":"1-14","publisher":"BioMed Central","title":"How a fungus shapes biotechnology: 100 years of aspergillus niger research","type":"article-journal","volume":"5"},"uris":["http://www.mendeley.com/documents/?uuid=2d457223-cbf4-43f5-b2a4-5367e7255c35"]},{"id":"ITEM-2","itemData":{"DOI":"10.4061/2011/487093","ISSN":"20900406","abstract":"A fungal isolate with capability to grow in keratinous substrate as only source of carbon and nitrogen was identified as Aspergillus niger using the sequencing of the ITS region of the rDNA. This strain produced a slightly acid keratinase and an acid protease during cultivation in feather meal. The peak of keratinolytic activity occurred in 48 h and the maximum proteolytic activity in 96 h. These enzymes were partly characterized as serine protease and aspartic protease, respectively. The effects of feather meal concentration and initial pH on enzyme production were evaluated using a central composite design combined with response surface methodology. The optimal conditions were determined as pH 5.0 for protease and 7.8 for keratinase and 20 g/L of feather meal, showing that both models were predictive. Production of keratinases by A. niger is a less-exploited field that might represent a novel and promising biotechnological application for this microorganism. Copyright © 2011 Fernanda Cortez Lopes et al.","author":[{"dropping-particle":"","family":"Lopes","given":"Fernanda Cortez","non-dropping-particle":"","parse-names":false,"suffix":""},{"dropping-particle":"","family":"Silva","given":"Lucas André Dedavid E.","non-dropping-particle":"","parse-names":false,"suffix":""},{"dropping-particle":"","family":"Tichota","given":"Deise Michele","non-dropping-particle":"","parse-names":false,"suffix":""},{"dropping-particle":"","family":"Daroit","given":"Daniel Joner","non-dropping-particle":"","parse-names":false,"suffix":""},{"dropping-particle":"","family":"Velho","given":"Renata Voltolini","non-dropping-particle":"","parse-names":false,"suffix":""},{"dropping-particle":"","family":"Pereira","given":"Jamile Queiroz","non-dropping-particle":"","parse-names":false,"suffix":""},{"dropping-particle":"","family":"Corrêa","given":"Ana Paula Folmer","non-dropping-particle":"","parse-names":false,"suffix":""},{"dropping-particle":"","family":"Brandelli","given":"Adriano","non-dropping-particle":"","parse-names":false,"suffix":""}],"container-title":"Enzyme Research","id":"ITEM-2","issue":"1","issued":{"date-parts":[["2011"]]},"title":"Production of proteolytic enzymes by a keratin-degrading aspergillus niger","type":"article-journal","volume":"2011"},"uris":["http://www.mendeley.com/documents/?uuid=84e4e7a8-e1c7-4653-a25b-f58c07b7dd53"]},{"id":"ITEM-3","itemData":{"DOI":"10.1007/s13205-021-03086-y","ISBN":"0123456789","ISSN":"21905738","abstract":"Agro-industrial wastes provide potential sources of carbon for production of fungal enzymes applied for various biotechnological applications. In this study, 23 strains of Aspergillus niger were systematically investigated for their capability on production of carbohydrate-processing enzymes used in industries. The strains were grown on glucose or selected agricultural wastes comprising varied chemical compositions as the sole carbon source. As a control, glucose induced basal activities of amylase, pectinase, and xylanase in only a few strains, while the CMCase, β-glucanase, and invertase activities were detected only when the carbon source was switched to the agro-industrial biomass. According to one-way ANOVA analysis, banana peels containing lignocellulosic components with high pectin and starch contents with its easily digestible nature, were found to be the best carbon source for inducing production of most target enzymes, while the cellulose-rich sugarcane bagasse efficiently promoted maximal levels of β-glucanase and xylanase activities. The starch fiber-rich cassava pulp also effectively supported the activities of amylase and most other enzymes, but at relatively lower levels compared to those obtained with banana peel. The A. niger TL11 strain was considered the most potent strain for production of all target enzymes with the CMCase, xylanase, pectinase, β-glucanase, amylase, and invertase activities of 76.15, 601.59, 160.89, 409.20, 426.73, and 1186.94 U/mL, respectively. The results provide insights into the efficiency of various carbon sources with different chemical compositions on inducing the target enzymes as well as the dissimilarity of A. niger strains on the production of different carbohydrate-processing enzymes.","author":[{"dropping-particle":"","family":"Laothanachareon","given":"Thanaporn","non-dropping-particle":"","parse-names":false,"suffix":""},{"dropping-particle":"","family":"Bunterngsook","given":"Benjarat","non-dropping-particle":"","parse-names":false,"suffix":""},{"dropping-particle":"","family":"Champreda","given":"Verawat","non-dropping-particle":"","parse-names":false,"suffix":""}],"container-title":"3 Biotech","id":"ITEM-3","issue":"1","issued":{"date-parts":[["2022"]]},"page":"1-16","publisher":"Springer International Publishing","title":"Profiling multi-enzyme activities of Aspergillus niger strains growing on various agro-industrial residues","type":"article-journal","volume":"12"},"uris":["http://www.mendeley.com/documents/?uuid=3f61582b-fdc0-44b8-84cd-af2fe72d7c76"]},{"id":"ITEM-4","itemData":{"DOI":"10.1186/s43141-021-00145-y","ISBN":"4314102100145","ISSN":"20905920","abstract":"Background: This work aims to study the optimal conditions of the fermentation culture medium used for the production of extracellular enzymes (amylase, cellulase, lipase, and protease) from previously isolated Aspergillus niger strains in date by-products. Results: The five most powerful isolates selected based on the zone of degradation formed on Petri plates by the substrate were subjected to the quantitative evaluation of their enzymatic production. All five strains showed almost similar API-ZYM profiles, with minor variations observed at the level of some specific enzyme expression. The production of cellulase and amylase was depending on pH and incubation temperatures. ASP2 strain demonstrated the high production rate of amylase (at pH 5 and 30 °C) and cellulase (at pH 6 and 30 °C) for 96 h of incubation. Conclusion: The A. niger showed the ability to produce several extracellular enzymes and can be used in the valorization of different agroindustrial residues.","author":[{"dropping-particle":"","family":"Bellaouchi","given":"Reda","non-dropping-particle":"","parse-names":false,"suffix":""},{"dropping-particle":"","family":"Abouloifa","given":"Houssam","non-dropping-particle":"","parse-names":false,"suffix":""},{"dropping-particle":"","family":"Rokni","given":"Yahya","non-dropping-particle":"","parse-names":false,"suffix":""},{"dropping-particle":"","family":"Hasnaoui","given":"Amina","non-dropping-particle":"","parse-names":false,"suffix":""},{"dropping-particle":"","family":"Ghabbour","given":"Nabil","non-dropping-particle"</w:instrText>
      </w:r>
      <w:r w:rsidRPr="002500B2">
        <w:rPr>
          <w:rFonts w:ascii="Arial" w:hAnsi="Arial" w:cs="Arial"/>
          <w:lang w:val="nl-BE"/>
        </w:rPr>
        <w:instrText>:"","parse-names":false,"suffix":""},{"dropping-particle":"","family":"Hakkou","given":"Abdelkader","non-dropping-particle":"","parse-names":false,"suffix":""},{"dropping-particle":"","family":"Bechchari","given":"Abdelmajid","non-dropping-particle":"","parse-names":false,"suffix":""},{"dropping-particle":"","family":"Asehraou","given":"Abdeslam","non-dropping-particle":"","parse-names":false,"suffix":""}],"container-title":"Journal of Genetic Engineering and Biotechnology","id":"ITEM-4","issue":"1","issued":{"date-parts":[["2021"]]},"publisher":"Journal of Genetic Engineering and Biotechnology","title":"Characterization and optimization of extracellular enzymes production by Aspergillus niger strains isolated from date by-products","type":"article-journal","volume":"19"},"uris":["http://www.mendeley.com/documents/?uuid=a242aa19-3290-4545-9fbe-a6acf35a5c63"]}],"mendeley":{"formattedCitation":"(Bellaouchi et al., 2021; Cairns et al., 2018; Laothanachareon et al., 2022; Lopes et al., 2011)","manualFormatting":"(Lopes et al., 2011; Cairns et al., 2018; Bellaouchi et al., 2021; Laothanachareon et al., 2022)","plainTextFormattedCitation":"(Bellaouchi et al., 2021; Cairns et al., 2018; Laothanachareon et al., 2022; Lopes et al., 2011)","previouslyFormattedCitation":"(Bellaouchi et al., 2021; Cairns et al., 2018; Laothanachareon et al., 2022; Lopes et al., 2011)"},"properties":{"noteIndex":0},"schema":"https://github.com/citation-style-language/schema/raw/master/csl-citation.json"}</w:instrText>
      </w:r>
      <w:r w:rsidRPr="00C10C85">
        <w:rPr>
          <w:rFonts w:ascii="Arial" w:hAnsi="Arial" w:cs="Arial"/>
        </w:rPr>
        <w:fldChar w:fldCharType="separate"/>
      </w:r>
      <w:r w:rsidRPr="002500B2">
        <w:rPr>
          <w:rFonts w:ascii="Arial" w:hAnsi="Arial" w:cs="Arial"/>
          <w:noProof/>
          <w:lang w:val="nl-BE"/>
        </w:rPr>
        <w:t xml:space="preserve">(Lopes </w:t>
      </w:r>
      <w:r w:rsidRPr="002500B2">
        <w:rPr>
          <w:rFonts w:ascii="Arial" w:hAnsi="Arial" w:cs="Arial"/>
          <w:i/>
          <w:iCs/>
          <w:noProof/>
          <w:lang w:val="nl-BE"/>
        </w:rPr>
        <w:t xml:space="preserve">et al., </w:t>
      </w:r>
      <w:r w:rsidRPr="002500B2">
        <w:rPr>
          <w:rFonts w:ascii="Arial" w:hAnsi="Arial" w:cs="Arial"/>
          <w:noProof/>
          <w:lang w:val="nl-BE"/>
        </w:rPr>
        <w:t xml:space="preserve">2011; Cairns </w:t>
      </w:r>
      <w:r w:rsidRPr="002500B2">
        <w:rPr>
          <w:rFonts w:ascii="Arial" w:hAnsi="Arial" w:cs="Arial"/>
          <w:i/>
          <w:iCs/>
          <w:noProof/>
          <w:lang w:val="nl-BE"/>
        </w:rPr>
        <w:t>et al.,</w:t>
      </w:r>
      <w:r w:rsidRPr="002500B2">
        <w:rPr>
          <w:rFonts w:ascii="Arial" w:hAnsi="Arial" w:cs="Arial"/>
          <w:noProof/>
          <w:lang w:val="nl-BE"/>
        </w:rPr>
        <w:t xml:space="preserve"> 2018; Bellaouchi </w:t>
      </w:r>
      <w:r w:rsidRPr="002500B2">
        <w:rPr>
          <w:rFonts w:ascii="Arial" w:hAnsi="Arial" w:cs="Arial"/>
          <w:i/>
          <w:iCs/>
          <w:noProof/>
          <w:lang w:val="nl-BE"/>
        </w:rPr>
        <w:t xml:space="preserve">et al., </w:t>
      </w:r>
      <w:r w:rsidRPr="002500B2">
        <w:rPr>
          <w:rFonts w:ascii="Arial" w:hAnsi="Arial" w:cs="Arial"/>
          <w:noProof/>
          <w:lang w:val="nl-BE"/>
        </w:rPr>
        <w:t xml:space="preserve">2021; Laothanachareon </w:t>
      </w:r>
      <w:r w:rsidRPr="002500B2">
        <w:rPr>
          <w:rFonts w:ascii="Arial" w:hAnsi="Arial" w:cs="Arial"/>
          <w:i/>
          <w:iCs/>
          <w:noProof/>
          <w:lang w:val="nl-BE"/>
        </w:rPr>
        <w:t xml:space="preserve">et al., </w:t>
      </w:r>
      <w:r w:rsidRPr="002500B2">
        <w:rPr>
          <w:rFonts w:ascii="Arial" w:hAnsi="Arial" w:cs="Arial"/>
          <w:noProof/>
          <w:lang w:val="nl-BE"/>
        </w:rPr>
        <w:t>2022)</w:t>
      </w:r>
      <w:r w:rsidRPr="00C10C85">
        <w:rPr>
          <w:rFonts w:ascii="Arial" w:hAnsi="Arial" w:cs="Arial"/>
        </w:rPr>
        <w:fldChar w:fldCharType="end"/>
      </w:r>
      <w:r w:rsidRPr="002500B2">
        <w:rPr>
          <w:rFonts w:ascii="Arial" w:hAnsi="Arial" w:cs="Arial"/>
          <w:lang w:val="nl-BE"/>
        </w:rPr>
        <w:t xml:space="preserve">. </w:t>
      </w:r>
      <w:r w:rsidRPr="00C10C85">
        <w:rPr>
          <w:rFonts w:ascii="Arial" w:hAnsi="Arial" w:cs="Arial"/>
        </w:rPr>
        <w:t xml:space="preserve">In the fermentation, food, and beverage industries,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is frequently utilized to produce glucoamylases, which accelerate the saccharification of partly processed starch. </w:t>
      </w:r>
      <w:r w:rsidRPr="00C10C85">
        <w:rPr>
          <w:rFonts w:ascii="Arial" w:hAnsi="Arial" w:cs="Arial"/>
        </w:rPr>
        <w:fldChar w:fldCharType="begin" w:fldLock="1"/>
      </w:r>
      <w:r w:rsidRPr="00C10C85">
        <w:rPr>
          <w:rFonts w:ascii="Arial" w:hAnsi="Arial" w:cs="Arial"/>
        </w:rPr>
        <w:instrText>ADDIN CSL_CITATION {"citationItems":[{"id":"ITEM-1","itemData":{"DOI":"10.4061/2011/487093","ISSN":"20900406","abstract":"A fungal isolate with capability to grow in keratinous substrate as only source of carbon and nitrogen was identified as Aspergillus niger using the sequencing of the ITS region of the rDNA. This strain produced a slightly acid keratinase and an acid protease during cultivation in feather meal. The peak of keratinolytic activity occurred in 48 h and the maximum proteolytic activity in 96 h. These enzymes were partly characterized as serine protease and aspartic protease, respectively. The effects of feather meal concentration and initial pH on enzyme production were evaluated using a central composite design combined with response surface methodology. The optimal conditions were determined as pH 5.0 for protease and 7.8 for keratinase and 20 g/L of feather meal, showing that both models were predictive. Production of keratinases by A. niger is a less-exploited field that might represent a novel and promising biotechnological application for this microorganism. Copyright © 2011 Fernanda Cortez Lopes et al.","author":[{"dropping-particle":"","family":"Lopes","given":"Fernanda Cortez","non-dropping-particle":"","parse-names":false,"suffix":""},{"dropping-particle":"","family":"Silva","given":"Lucas André Dedavid E.","non-dropping-particle":"","parse-names":false,"suffix":""},{"dropping-particle":"","family":"Tichota","given":"Deise Michele","non-dropping-particle":"","parse-names":false,"suffix":""},{"dropping-particle":"","family":"Daroit","given":"Daniel Joner","non-dropping-particle":"","parse-names":false,"suffix":""},{"dropping-particle":"","family":"Velho","given":"Renata Voltolini","non-dropping-particle":"","parse-names":false,"suffix":""},{"dropping-particle":"","family":"Pereira","given":"Jamile Queiroz","non-dropping-particle":"","parse-names":false,"suffix":""},{"dropping-particle":"","family":"Corrêa","given":"Ana Paula Folmer","non-dropping-particle":"","parse-names":false,"suffix":""},{"dropping-particle":"","family":"Brandelli","given":"Adriano","non-dropping-particle":"","parse-names":false,"suffix":""}],"container-title":"Enzyme Research","id":"ITEM-1","issue":"1","issued":{"date-parts":[["2011"]]},"title":"Production of proteolytic enzymes by a keratin-degrading aspergillus niger","type":"article-journal","volume":"2011"},"uris":["http://www.mendeley.com/documents/?uuid=84e4e7a8-e1c7-4653-a25b-f58c07b7dd53"]}],"mendeley":{"formattedCitation":"(Lopes et al., 2011)","plainTextFormattedCitation":"(Lopes et al., 2011)","previouslyFormattedCitation":"(Lopes et al., 2011)"},"properties":{"noteIndex":0},"schema":"https://github.com/citation-style-language/schema/raw/master/csl-citation.json"}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(Lopes </w:t>
      </w:r>
      <w:r w:rsidRPr="00C10C85">
        <w:rPr>
          <w:rFonts w:ascii="Arial" w:hAnsi="Arial" w:cs="Arial"/>
          <w:i/>
          <w:iCs/>
          <w:noProof/>
        </w:rPr>
        <w:t>et al.</w:t>
      </w:r>
      <w:r w:rsidRPr="00C10C85">
        <w:rPr>
          <w:rFonts w:ascii="Arial" w:hAnsi="Arial" w:cs="Arial"/>
          <w:noProof/>
        </w:rPr>
        <w:t>, 2011)</w:t>
      </w:r>
      <w:r w:rsidRPr="00C10C85">
        <w:rPr>
          <w:rFonts w:ascii="Arial" w:hAnsi="Arial" w:cs="Arial"/>
        </w:rPr>
        <w:fldChar w:fldCharType="end"/>
      </w:r>
      <w:r w:rsidRPr="00C10C85">
        <w:rPr>
          <w:rFonts w:ascii="Arial" w:hAnsi="Arial" w:cs="Arial"/>
        </w:rPr>
        <w:t xml:space="preserve">. Moreover,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has a high tolerance to low pH and can thrive at a range of temperatures, making it highly versatile for industrial processes </w:t>
      </w:r>
      <w:r w:rsidRPr="00C10C85">
        <w:rPr>
          <w:rFonts w:ascii="Arial" w:hAnsi="Arial" w:cs="Arial"/>
        </w:rPr>
        <w:fldChar w:fldCharType="begin" w:fldLock="1"/>
      </w:r>
      <w:r w:rsidRPr="00C10C85">
        <w:rPr>
          <w:rFonts w:ascii="Arial" w:hAnsi="Arial" w:cs="Arial"/>
        </w:rPr>
        <w:instrText>ADDIN CSL_CITATION {"citationItems":[{"id":"ITEM-1","itemData":{"DOI":"https://doi.org/10.1016/bs.aambs.2017.03.001","author":[{"dropping-particle":"","family":"Hee-Soo Park, Sang-Cheol Jun, Kap-Hoon Han, Seung-Beom Hong","given":"Jae-Hyuk Yu","non-dropping-particle":"","parse-names":false,"suffix":""}],"chapter-number":"Chapter Th","container-title":"Advances in Applied Microbiology","id":"ITEM-1","issued":{"date-parts":[["2017"]]},"page":"161-202","publisher":"Elsevier","title":"Diversity, Application, and Synthetic Biology of Industrially Important Aspergillus Fungi","type":"chapter","volume":"100"},"uris":["http://www.mendeley.com/documents/?uuid=b65f87b0-c648-4f31-a659-f2eb3133a020"]},{"id":"ITEM-2","itemData":{"DOI":"https://doi.org/10.1016/j.biotechadv.2020.107630","author":[{"dropping-particle":"","family":"Cen Li , Jingwen Zhou , Guocheng Du , Jian Chen , Shunji Takahashi","given":"Song Liu","non-dropping-particle":"","parse-names":false,"suffix":""}],"container-title":"Biotechnology Advances, Elsevier","id":"ITEM-2","issue":"107630","issued":{"date-parts":[["2020"]]},"title":"Developing Aspergillus niger as a cell factory for food enzyme production","type":"article-journal","volume":"44"},"uris":["http://www.mendeley.com/documents/?uuid=c0884462-1828-434b-9241-e21c5b3451b3"]}],"mendeley":{"formattedCitation":"(Cen Li , Jingwen Zhou , Guocheng Du , Jian Chen , Shunji Takahashi, 2020; Hee-Soo Park, Sang-Cheol Jun, Kap-Hoon Han, Seung-Beom Hong, 2017)","manualFormatting":"( Hee-Soo et al., 2017; Cen et al., 2020)","plainTextFormattedCitation":"(Cen Li , Jingwen Zhou , Guocheng Du , Jian Chen , Shunji Takahashi, 2020; Hee-Soo Park, Sang-Cheol Jun, Kap-Hoon Han, Seung-Beom Hong, 2017)","previouslyFormattedCitation":"(Cen Li , Jingwen Zhou , Guocheng Du , Jian Chen , Shunji Takahashi, 2020; Hee-Soo Park, Sang-Cheol Jun, Kap-Hoon Han, Seung-Beom Hong, 2017)"},"properties":{"noteIndex":0},"schema":"https://github.com/citation-style-language/schema/raw/master/csl-citation.json"}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 Hee-Soo </w:t>
      </w:r>
      <w:r w:rsidRPr="00C10C85">
        <w:rPr>
          <w:rFonts w:ascii="Arial" w:hAnsi="Arial" w:cs="Arial"/>
          <w:i/>
          <w:iCs/>
          <w:noProof/>
        </w:rPr>
        <w:t>et al.,</w:t>
      </w:r>
      <w:r w:rsidRPr="00C10C85">
        <w:rPr>
          <w:rFonts w:ascii="Arial" w:hAnsi="Arial" w:cs="Arial"/>
          <w:noProof/>
        </w:rPr>
        <w:t xml:space="preserve"> 2017; Cen </w:t>
      </w:r>
      <w:r w:rsidRPr="00C10C85">
        <w:rPr>
          <w:rFonts w:ascii="Arial" w:hAnsi="Arial" w:cs="Arial"/>
          <w:i/>
          <w:iCs/>
          <w:noProof/>
        </w:rPr>
        <w:t xml:space="preserve">et al., </w:t>
      </w:r>
      <w:r w:rsidRPr="00C10C85">
        <w:rPr>
          <w:rFonts w:ascii="Arial" w:hAnsi="Arial" w:cs="Arial"/>
          <w:noProof/>
        </w:rPr>
        <w:t>2020)</w:t>
      </w:r>
      <w:r w:rsidRPr="00C10C85">
        <w:rPr>
          <w:rFonts w:ascii="Arial" w:hAnsi="Arial" w:cs="Arial"/>
        </w:rPr>
        <w:fldChar w:fldCharType="end"/>
      </w:r>
      <w:r w:rsidRPr="00C10C85">
        <w:rPr>
          <w:rFonts w:ascii="Arial" w:hAnsi="Arial" w:cs="Arial"/>
        </w:rPr>
        <w:t>.</w:t>
      </w:r>
      <w:r w:rsidR="00492E89">
        <w:rPr>
          <w:rFonts w:ascii="Arial" w:hAnsi="Arial" w:cs="Arial"/>
        </w:rPr>
        <w:t xml:space="preserve"> </w:t>
      </w:r>
      <w:r w:rsidRPr="00C10C85">
        <w:rPr>
          <w:rFonts w:ascii="Arial" w:hAnsi="Arial" w:cs="Arial"/>
          <w:i/>
          <w:iCs/>
        </w:rPr>
        <w:t>A</w:t>
      </w:r>
      <w:r w:rsidR="00492E89">
        <w:rPr>
          <w:rFonts w:ascii="Arial" w:hAnsi="Arial" w:cs="Arial"/>
          <w:i/>
          <w:iCs/>
        </w:rPr>
        <w:t>spergillus</w:t>
      </w:r>
      <w:r w:rsidRPr="00C10C85">
        <w:rPr>
          <w:rFonts w:ascii="Arial" w:hAnsi="Arial" w:cs="Arial"/>
          <w:i/>
          <w:iCs/>
        </w:rPr>
        <w:t xml:space="preserve"> </w:t>
      </w:r>
      <w:proofErr w:type="spellStart"/>
      <w:r w:rsidRPr="00C10C85">
        <w:rPr>
          <w:rFonts w:ascii="Arial" w:hAnsi="Arial" w:cs="Arial"/>
          <w:i/>
          <w:iCs/>
        </w:rPr>
        <w:t>niger</w:t>
      </w:r>
      <w:proofErr w:type="spellEnd"/>
      <w:r w:rsidRPr="00C10C85">
        <w:rPr>
          <w:rFonts w:ascii="Arial" w:hAnsi="Arial" w:cs="Arial"/>
        </w:rPr>
        <w:t xml:space="preserve"> is a significant pathogen that can cause diseases in both plants and humans. </w:t>
      </w:r>
    </w:p>
    <w:p w14:paraId="3B1144AA" w14:textId="3B4FAC9C" w:rsidR="00EE207F" w:rsidRPr="002500B2" w:rsidRDefault="00EE207F" w:rsidP="00E367A7">
      <w:pPr>
        <w:pStyle w:val="BodyText"/>
        <w:spacing w:line="360" w:lineRule="auto"/>
        <w:ind w:firstLine="720"/>
        <w:jc w:val="both"/>
        <w:rPr>
          <w:rFonts w:ascii="Arial" w:hAnsi="Arial" w:cs="Arial"/>
          <w:lang w:val="nl-BE"/>
        </w:rPr>
      </w:pPr>
      <w:r w:rsidRPr="00C10C85">
        <w:rPr>
          <w:rFonts w:ascii="Arial" w:hAnsi="Arial" w:cs="Arial"/>
        </w:rPr>
        <w:t xml:space="preserve">In humans,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causes fungal infections, particularly in immunocompromised individuals. These infections can range from skin and nail infections to severe diseases such as aspergillosis, which can spread from the lungs to other organs </w:t>
      </w:r>
      <w:r w:rsidRPr="00C10C85">
        <w:rPr>
          <w:rFonts w:ascii="Arial" w:hAnsi="Arial" w:cs="Arial"/>
        </w:rPr>
        <w:fldChar w:fldCharType="begin" w:fldLock="1"/>
      </w:r>
      <w:r w:rsidRPr="00C10C85">
        <w:rPr>
          <w:rFonts w:ascii="Arial" w:hAnsi="Arial" w:cs="Arial"/>
        </w:rPr>
        <w:instrText>ADDIN CSL_CITATION {"citationItems":[{"id":"ITEM-1","itemData":{"DOI":"10.1099/jmm.0.018309-0","ISSN":"00222615","PMID":"20299503","abstract":"Infections due to Aspergillus species cause significant morbidity and mortality. Most are attributed to Aspergillus fumigatus, followed by Aspergillus flavus and Aspergillus terreus. Aspergillus niger is a mould that is rarely reported as a cause of pneumonia. A 72-year-old female with chronic obstructive pulmonary disease and temporal arteritis being treated with steroids long term presented with haemoptysis and pleuritic chest pain. Chest radiography revealed areas of heterogeneous consolidation with cavitation in the right upper lobe of the lung. Induced bacterial sputum cultures, and acid-fast smears and cultures were negative. Fungal sputum cultures grew A. niger. The patient clinically improved on a combination therapy of empiric antibacterials and voriconazole, followed by voriconazole monotherapy. After 4 weeks of voriconazole therapy, however, repeat chest computed tomography scanning showed a significant progression of the infection and near-complete necrosis of the right upper lobe of the lung. Serum voriconazole levels were low-normal (1.0 μg ml -1, normal range for the assay 0.5-6.0 μg ml-1). A. niger was again recovered from bronchoalveolar lavage specimens. A right upper lobectomy was performed, and lung tissue cultures grew A. niger. Furthermore, the lung histopathology showed acute and organizing pneumonia, fungal hyphae and oxalate crystallosis, confirming the diagnosis of invasive A. niger infection. A. niger, unlike A. fumigatus and A. flavus, is less commonly considered a cause of invasive aspergillosis (IA). The finding of calcium oxalate crystals in histopathology specimens is classic for A. niger infection and can be helpful in making a diagnosis even in the absence of conidia. Therapeutic drug monitoring may be useful in optimizing the treatment of IA given the wide variations in the oral bioavailability of voriconazole. © 2010 SGM.","author":[{"dropping-particle":"","family":"Person","given":"A. K.","non-dropping-particle":"","parse-names":false,"suffix":""},{"dropping-particle":"","family":"Chudgar","given":"S. M.","non-dropping-particle":"","parse-names":false,"suffix":""},{"dropping-particle":"","family":"Norton","given":"B. L.","non-dropping-particle":"","parse-names":false,"suffix":""},{"dropping-particle":"","family":"Tong","given":"B. C.","non-dropping-particle":"","parse-names":false,"suffix":""},{"dropping-particle":"","family":"Stout","given":"J. E.","non-dropping-particle":"","parse-names":false,"suffix":""}],"container-title":"Journal of Medical Microbiology","id":"ITEM-1","issue":"7","issued":{"date-parts":[["2010"]]},"page":"834-838","title":"Aspergillus niger: An unusual cause of invasive pulmonary aspergillosis","type":"article-journal","volume":"59"},"uris":["http://www.mendeley.com/documents/?uuid=91cff1a7-74b1-4704-a01d-75cfd9b92392"]}],"mendeley":{"formattedCitation":"(Person et al., 2010)","plainTextFormattedCitation":"(Person et al., 2010)","previouslyFormattedCitation":"(Person et al., 2010)"},"properties":{"noteIndex":0},"schema":"https://github.com/citation-style-language/schema/raw/master/csl-citation.json"}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(Person </w:t>
      </w:r>
      <w:r w:rsidRPr="00C10C85">
        <w:rPr>
          <w:rFonts w:ascii="Arial" w:hAnsi="Arial" w:cs="Arial"/>
          <w:i/>
          <w:iCs/>
          <w:noProof/>
        </w:rPr>
        <w:t>et al</w:t>
      </w:r>
      <w:r w:rsidRPr="00C10C85">
        <w:rPr>
          <w:rFonts w:ascii="Arial" w:hAnsi="Arial" w:cs="Arial"/>
          <w:noProof/>
        </w:rPr>
        <w:t>., 2010)</w:t>
      </w:r>
      <w:r w:rsidRPr="00C10C85">
        <w:rPr>
          <w:rFonts w:ascii="Arial" w:hAnsi="Arial" w:cs="Arial"/>
        </w:rPr>
        <w:fldChar w:fldCharType="end"/>
      </w:r>
      <w:r w:rsidRPr="00C10C85">
        <w:rPr>
          <w:rFonts w:ascii="Arial" w:hAnsi="Arial" w:cs="Arial"/>
        </w:rPr>
        <w:t xml:space="preserve">. </w:t>
      </w:r>
      <w:r w:rsidRPr="00C10C85">
        <w:rPr>
          <w:rFonts w:ascii="Arial" w:hAnsi="Arial" w:cs="Arial"/>
          <w:i/>
          <w:iCs/>
        </w:rPr>
        <w:t>A</w:t>
      </w:r>
      <w:r w:rsidR="00492E89">
        <w:rPr>
          <w:rFonts w:ascii="Arial" w:hAnsi="Arial" w:cs="Arial"/>
          <w:i/>
          <w:iCs/>
        </w:rPr>
        <w:t>spergillus</w:t>
      </w:r>
      <w:r w:rsidRPr="00C10C85">
        <w:rPr>
          <w:rFonts w:ascii="Arial" w:hAnsi="Arial" w:cs="Arial"/>
          <w:i/>
          <w:iCs/>
        </w:rPr>
        <w:t xml:space="preserve"> </w:t>
      </w:r>
      <w:proofErr w:type="spellStart"/>
      <w:r w:rsidRPr="00C10C85">
        <w:rPr>
          <w:rFonts w:ascii="Arial" w:hAnsi="Arial" w:cs="Arial"/>
          <w:i/>
          <w:iCs/>
        </w:rPr>
        <w:t>niger</w:t>
      </w:r>
      <w:proofErr w:type="spellEnd"/>
      <w:r w:rsidRPr="00C10C85">
        <w:rPr>
          <w:rFonts w:ascii="Arial" w:hAnsi="Arial" w:cs="Arial"/>
        </w:rPr>
        <w:t xml:space="preserve"> primarily causes respiratory infections, particularly in individuals with weakened immune systems. The fungus may colonize the lungs and enter the body mostly by inhalation of spores, which can cause aspergillosis. In extreme cases, the infection might spread across organs, causing systemic aspergillosis, which is frequently deadly in those with weakened immune systems. The symptoms of aspergillosis vary based on the kind of infection but can include fever, cough, chest discomfort, and trouble breathing </w:t>
      </w:r>
      <w:r w:rsidRPr="00C10C85">
        <w:rPr>
          <w:rFonts w:ascii="Arial" w:hAnsi="Arial" w:cs="Arial"/>
        </w:rPr>
        <w:fldChar w:fldCharType="begin" w:fldLock="1"/>
      </w:r>
      <w:r w:rsidRPr="00C10C85">
        <w:rPr>
          <w:rFonts w:ascii="Arial" w:hAnsi="Arial" w:cs="Arial"/>
        </w:rPr>
        <w:instrText>ADDIN CSL_CITATION {"citationItems":[{"id":"ITEM-1","itemData":{"author":[{"dropping-particle":"","family":"Georg Maschmeyer, Antje Haas","given":"Oliver A. Cornely","non-dropping-particle":"","parse-names":false,"suffix":""}],"container-title":"Springer Link","id":"ITEM-1","issued":{"date-parts":[["2012"]]},"page":"1567–1601","title":"Invasive Aspergillosis Epidemiology, Diagnosis and Management in Immunocompromised Patients","type":"article-journal","volume":"67"},"uris":["http://www.mendeley.com/documents/?uuid=13765955-3c75-42a4-8b32-b672a0161806"]},{"id":"ITEM-2","itemData":{"DOI":"10.1136/thoraxjnl-2014-206291","ISSN":"14683296","PMID":"25354514","abstract":"The clinical presentation of Aspergillus lung disease is determined by the interaction between fungus and host. Invasive aspergillosis develops in severely immunocompromised patients, including those with neutropenia, and increasingly in the non-neutropenic host, including lung transplant recipients, the critically ill patients and patients on steroids. A high index of suspicion is required in patients without the classical risk factors as early presentation is usually silent and nonspecific, pyrexia uncommon and timely treatment is crucial for survival. Invasive aspergillosis has also been diagnosed in normal hosts after massive exposure to fungal spores. Chronic pulmonary aspergillosis affects patients without obvious immune compromise, but with an underlying lung condition such as COPD or sarcoidosis, prior or concurrent TB or non-tuberculous mycobacterial disease. Aspergillus bronchitis may be responsible for persistent respiratory symptoms in patients with Aspergillus detected repeatedly in sputum without evidence of parenchymal Aspergillus disease, especially in patients with bronchiectasis and cystic fibrosis. Allergic bronchopulmonary aspergillosis affects patients with asthma and cystic fibrosis, and is important to recognise as permanent lung or airways damage may accrue if untreated. Changes in the classification of Aspergillus allergic lung disease have been proposed recently. Cases of extrinsic allergic alveolitis and chronic pulmonary aspergillosis have been observed after Aspergillus exposure. Asymptomatic colonisation of the respiratory tract needs close monitoring as it can lead to clinical disease especially with ongoing immunosuppression. The various syndromes should be viewed as a semicontinuous spectrum of disease and one form may evolve into another depending on the degree of ongoing immunosuppression.","author":[{"dropping-particle":"","family":"Kosmidis","given":"Chris","non-dropping-particle":"","parse-names":false,"suffix":""},{"dropping-particle":"","family":"Denning","given":"David W.","non-dropping-particle":"","parse-names":false,"suffix":""}],"container-title":"Thorax","id":"ITEM-2","issue":"3","issued":{"date-parts":[["2015"]]},"page":"270-277","title":"The clinical spectrum of pulmonary aspergillosis","type":"article-journal","volume":"70"},"uris":["http://www.mendeley.com/documents/?uuid=acfe1312-0e27-45f2-a6db-dbf067dc5f33"]},{"id":"ITEM-3","itemData":{"DOI":"10.3390/microorganisms10081630","ISSN":"20762607","abstract":"Coinfections between severe acute respiratory syndrome coronavirus 2 (SARS-CoV-2) and other respiratory pathogens such as Aspergillus have become challenging, as well as being associated with high morbidity and mortality in patients with COVID-19. Aspergillus niger is a common environmental mold. Before the emergence of COVID-19, it was considered a very rare cause of invasive pulmonary aspergillosis (IPA), occurring mainly in immunocompromised patients. The aim of this study was to describe a very rare case of IPA caused by A. niger found in the oral cavity of a mechanically ventilated COVID-19 patient. A. niger detected in the gingival pocket was diagnosed earlier than in the bronchial lavage, and without treatment, passed into the lungs of the patient, causing serious complications. The swab from the oral cavity of mechanically ventilated COVID-19 patients can be a predictor of the subsequent severity of inflammatory lesions and the development of suspected IPA.","author":[{"dropping-particle":"","family":"Fiema","given":"Mateusz","non-dropping-particle":"","parse-names":false,"suffix":""},{"dropping-particle":"","family":"Wlodarczyk","given":"Aleksandra","non-dropping-particle":"","parse-names":false,"suffix":""},{"dropping-particle":"","family":"Wojkowska-Mach","given":"Jadwiga","non-dropping-particle":"","parse-names":false,"suffix":""},{"dropping-particle":"","family":"Garlicki","given":"Jaroslaw","non-dropping-particle":"","parse-names":false,"suffix":""},{"dropping-particle":"","family":"Gregorczyk-Maga","given":"Iwona","non-dropping-particle":"","parse-names":false,"suffix":""}],"container-title":"Microorganisms","id":"ITEM-3","issue":"8","issued":{"date-parts":[["2022"]]},"title":"Atypical Presentation of Aspergillus niger Infection in the Oral Cavity as a Prediction of Invasive Pulmonary Aspergillosis in a Patient with COVID-19: Case Report and Literature Review","type":"article-journal","volume":"10"},"uris":["http://www.mendeley.com/documents/?uuid=b372603d-fd77-4d47-a17e-06a59065d1be"]},{"id":"ITEM-4","itemData":{"DOI":"10.1016/j.rmcr.2022.101641","ISSN":"22130071","abstract":"A 59-year-old woman complaining of wet cough, hemoptysis, slight fever, anorexia, and malaise was admitted to hospital with suspected lobar pneumonia. She received treatment for myocardial infarction and deep venous thrombosis caused by familial protein C deficiency. Rapid deterioration due to respiratory failure occurred despite intensive care with broad-spectrum antibiotics. At a later date, sputum examination revealed the presence of Aspergillus niger. Based on clinical and autopsy findings, she was diagnosed with acute respiratory failure due to pulmonary aspergillosis with acute fibrinous and organizing pneumonia. This is the first reported case of pulmonary aspergillosis with acute fibrinous and organizing pneumonia complicated by calcium oxalate resulting from Aspergillus niger infection, leading to severe inflammation and tissue injury in the lungs.","author":[{"dropping-particle":"","family":"Okamura","given":"Ken","non-dropping-particle":"","parse-names":false,"suffix":""},{"dropping-particle":"","family":"Noro","given":"Rintaro","non-dropping-particle":"","parse-names":false,"suffix":""},{"dropping-particle":"","family":"Fujita","given":"Kazue","non-dropping-particle":"","parse-names":false,"suffix":""},{"dropping-particle":"","family":"Kure","given":"Shoko","non-dropping-particle":"","parse-names":false,"suffix":""},{"dropping-particle":"","family":"Kunugi","given":"Shinobu","non-dropping-particle":"","parse-names":false,"suffix":""},{"dropping-particle":"","family":"Takano","given":"Hitoshi","non-dropping-particle":"","parse-names":false,"suffix":""},{"dropping-particle":"","family":"Miyashita","given":"Ryota","non-dropping-particle":"","parse-names":false,"suffix":""},{"dropping-particle":"","family":"Tozuka","given":"Takehiro","non-dropping-particle":"","parse-names":false,"suffix":""},{"dropping-particle":"","family":"Tanaka","given":"Toru","non-dropping-particle":"","parse-names":false,"suffix":""},{"dropping-particle":"","family":"Sugano","given":"Teppei","non-dropping-particle":"","parse-names":false,"suffix":""},{"dropping-particle":"","family":"Sakurai","given":"Yumi","non-dropping-particle":"","parse-names":false,"suffix":""},{"dropping-particle":"","family":"Suzuki","given":"Ayana","non-dropping-particle":"","parse-names":false,"suffix":""},{"dropping-particle":"","family":"Suga","given":"Miyuri","non-dropping-particle":"","parse-names":false,"suffix":""},{"dropping-particle":"","family":"Hayashi","given":"Anna","non-dropping-particle":"","parse-names":false,"suffix":""},{"dropping-particle":"","family":"Saito","given":"Yo</w:instrText>
      </w:r>
      <w:r w:rsidRPr="002500B2">
        <w:rPr>
          <w:rFonts w:ascii="Arial" w:hAnsi="Arial" w:cs="Arial"/>
          <w:lang w:val="nl-BE"/>
        </w:rPr>
        <w:instrText>shinobu","non-dropping-particle":"","parse-names":false,"suffix":""},{"dropping-particle":"","family":"Kubota","given":"Kaoru","non-dropping-particle":"","parse-names":false,"suffix":""},{"dropping-particle":"","family":"Seike","given":"Masahiro","non-dropping-particle":"","parse-names":false,"suffix":""},{"dropping-particle":"","family":"Gemma","given":"Akihiko","non-dropping-particle":"","parse-names":false,"suffix":""}],"container-title":"Respiratory Medicine Case Reports","id":"ITEM-4","issue":"February","issued":{"date-parts":[["2022"]]},"page":"101641","publisher":"Elsevier Ltd","title":"Acute respiratory failure due to Aspergillus niger infection with acute fibrinous and organazing pneumonia: A case report","type":"article-journal","volume":"37"},"uris":["http://www.mendeley.com/documents/?uuid=9afbe51c-b0e2-4195-8134-16a737a6ecfa"]}],"mendeley":{"formattedCitation":"(Fiema et al., 2022; Georg Maschmeyer, Antje Haas, 2012; Kosmidis &amp; Denning, 2015; Okamura et al., 2022)","manualFormatting":"( Georg et al., 2012; Kosmidis and Denning, 2015; Fiema et al., 2022; Okamura et al., 2022)","plainTextFormattedCitation":"(Fiema et al., 2022; Georg Maschmeyer, Antje Haas, 2012; Kosmidis &amp; Denning, 2015; Okamura et al., 2022)","previouslyFormattedCitation":"(Fiema et al., 2022; Georg Maschmeyer, Antje Haas, 2012; Kosmidis &amp; Denning, 2015; Okamura et al., 2022)"},"properties":{"noteIndex":0},"schema":"https://github.com/citation-style-language/schema/raw/master/csl-citation.json"}</w:instrText>
      </w:r>
      <w:r w:rsidRPr="00C10C85">
        <w:rPr>
          <w:rFonts w:ascii="Arial" w:hAnsi="Arial" w:cs="Arial"/>
        </w:rPr>
        <w:fldChar w:fldCharType="separate"/>
      </w:r>
      <w:r w:rsidRPr="002500B2">
        <w:rPr>
          <w:rFonts w:ascii="Arial" w:hAnsi="Arial" w:cs="Arial"/>
          <w:noProof/>
          <w:lang w:val="nl-BE"/>
        </w:rPr>
        <w:t xml:space="preserve">( Georg </w:t>
      </w:r>
      <w:r w:rsidRPr="002500B2">
        <w:rPr>
          <w:rFonts w:ascii="Arial" w:hAnsi="Arial" w:cs="Arial"/>
          <w:i/>
          <w:iCs/>
          <w:noProof/>
          <w:lang w:val="nl-BE"/>
        </w:rPr>
        <w:t>et al.,</w:t>
      </w:r>
      <w:r w:rsidRPr="002500B2">
        <w:rPr>
          <w:rFonts w:ascii="Arial" w:hAnsi="Arial" w:cs="Arial"/>
          <w:noProof/>
          <w:lang w:val="nl-BE"/>
        </w:rPr>
        <w:t xml:space="preserve"> 2012; Kosmidis and Denning, 2015; Fiema </w:t>
      </w:r>
      <w:r w:rsidRPr="002500B2">
        <w:rPr>
          <w:rFonts w:ascii="Arial" w:hAnsi="Arial" w:cs="Arial"/>
          <w:i/>
          <w:iCs/>
          <w:noProof/>
          <w:lang w:val="nl-BE"/>
        </w:rPr>
        <w:t>et al.,</w:t>
      </w:r>
      <w:r w:rsidRPr="002500B2">
        <w:rPr>
          <w:rFonts w:ascii="Arial" w:hAnsi="Arial" w:cs="Arial"/>
          <w:noProof/>
          <w:lang w:val="nl-BE"/>
        </w:rPr>
        <w:t xml:space="preserve"> 2022; Okamura </w:t>
      </w:r>
      <w:r w:rsidRPr="002500B2">
        <w:rPr>
          <w:rFonts w:ascii="Arial" w:hAnsi="Arial" w:cs="Arial"/>
          <w:i/>
          <w:iCs/>
          <w:noProof/>
          <w:lang w:val="nl-BE"/>
        </w:rPr>
        <w:t xml:space="preserve">et al., </w:t>
      </w:r>
      <w:r w:rsidRPr="002500B2">
        <w:rPr>
          <w:rFonts w:ascii="Arial" w:hAnsi="Arial" w:cs="Arial"/>
          <w:noProof/>
          <w:lang w:val="nl-BE"/>
        </w:rPr>
        <w:t>2022)</w:t>
      </w:r>
      <w:r w:rsidRPr="00C10C85">
        <w:rPr>
          <w:rFonts w:ascii="Arial" w:hAnsi="Arial" w:cs="Arial"/>
        </w:rPr>
        <w:fldChar w:fldCharType="end"/>
      </w:r>
      <w:r w:rsidRPr="002500B2">
        <w:rPr>
          <w:rFonts w:ascii="Arial" w:hAnsi="Arial" w:cs="Arial"/>
          <w:lang w:val="nl-BE"/>
        </w:rPr>
        <w:t>.</w:t>
      </w:r>
    </w:p>
    <w:p w14:paraId="2083F5D7" w14:textId="75520956" w:rsidR="00EE207F" w:rsidRPr="00C10C85" w:rsidRDefault="00EE207F" w:rsidP="00E367A7">
      <w:pPr>
        <w:pStyle w:val="BodyText"/>
        <w:spacing w:line="360" w:lineRule="auto"/>
        <w:ind w:firstLine="720"/>
        <w:jc w:val="both"/>
        <w:rPr>
          <w:rFonts w:ascii="Arial" w:hAnsi="Arial" w:cs="Arial"/>
        </w:rPr>
      </w:pPr>
      <w:r w:rsidRPr="002500B2">
        <w:rPr>
          <w:rFonts w:ascii="Arial" w:hAnsi="Arial" w:cs="Arial"/>
          <w:lang w:val="nl-BE"/>
        </w:rPr>
        <w:t xml:space="preserve"> </w:t>
      </w:r>
      <w:r w:rsidRPr="00C10C85">
        <w:rPr>
          <w:rFonts w:ascii="Arial" w:hAnsi="Arial" w:cs="Arial"/>
        </w:rPr>
        <w:t xml:space="preserve">In plants,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infects fruits, vegetables, and crops, leading to significant economic losses in agriculture </w:t>
      </w:r>
      <w:r w:rsidRPr="00C10C85">
        <w:rPr>
          <w:rFonts w:ascii="Arial" w:hAnsi="Arial" w:cs="Arial"/>
        </w:rPr>
        <w:fldChar w:fldCharType="begin" w:fldLock="1"/>
      </w:r>
      <w:r w:rsidRPr="00C10C85">
        <w:rPr>
          <w:rFonts w:ascii="Arial" w:hAnsi="Arial" w:cs="Arial"/>
        </w:rPr>
        <w:instrText>ADDIN CSL_CITATION {"citationItems":[{"id":"ITEM-1","itemData":{"DOI":"10.3390/toxins15070406","abstract":"The jujube is one of the most popular fruits in China because of its delicious taste and high nutritional value. It has a long history of usage as an important food or traditional medicine. However, the jujube is easily infected by fungi, which causes economic losses and threatens human health. When the jujube was infected by Aspergillus niger (H1), the changes in nutritional qualities were determined, such as the content of total acid, vitamin C, reducing sugar, etc. In addition, the ability of A. niger (H1) to produce ochratoxin A (OTA) in different inoculation times and culture media was evaluated, and the content of OTA in jujubes was also analyzed. After jujubes were infected by A. niger (H1), the total acid, and vitamin C contents increased, while the total phenol content decreased, and the reducing sugar content increased after an initial decrease. Although A. niger (H1) infection caused the jujubes to rot and affected its quality, OTA had not been detected. This research provides a theoretical foundation for maximizing edible safety and evaluating the losses caused by fungal disease in jujubes.","author":[{"dropping-particle":"","family":"Xin","given":"Xueyan","non-dropping-particle":"","parse-names":false,"suffix":""},{"dropping-particle":"","family":"Nan","given":"Mina","non-dropping-particle":"","parse-names":false,"suffix":""},{"dropping-particle":"","family":"Bi","given":"Yang","non-dropping-particle":"","parse-names":false,"suffix":""},{"dropping-particle":"","family":"Xue","given":"Huali","non-dropping-particle":"","parse-names":false,"suffix":""},{"dropping-particle":"","family":"Zhang","given":"Yuan","non-dropping-particle":"","parse-names":false,"suffix":""},{"dropping-particle":"","family":"Wang","given":"Jiajie","non-dropping-particle":"","parse-names":false,"suffix":""},{"dropping-particle":"","family":"Lu","given":"Zhiwei","non-dropping-particle":"","parse-names":false,"suffix":""}],"container-title":"Toxins","id":"ITEM-1","issue":"7","issued":{"date-parts":[["2023"]]},"page":"406","title":"Effects of Aspergillus niger Infection on the Quality of Jujube and Ochratoxin A Cumulative Effect","type":"article-journal","volume":"15"},"uris":["http://www.mendeley.com/documents/?uuid=83507ea4-48fe-4d61-a05a-51cfd691c5ba"]}],"mendeley":{"formattedCitation":"(Xin et al., 2023)","plainTextFormattedCitation":"(Xin et al., 2023)","previouslyFormattedCitation":"(Xin et al., 2023)"},"properties":{"noteIndex":0},"schema":"https://github.com/citation-style-language/schema/raw/master/csl-citation.json"}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(Xin </w:t>
      </w:r>
      <w:r w:rsidRPr="00C10C85">
        <w:rPr>
          <w:rFonts w:ascii="Arial" w:hAnsi="Arial" w:cs="Arial"/>
          <w:i/>
          <w:iCs/>
          <w:noProof/>
        </w:rPr>
        <w:t xml:space="preserve">et al., </w:t>
      </w:r>
      <w:r w:rsidRPr="00C10C85">
        <w:rPr>
          <w:rFonts w:ascii="Arial" w:hAnsi="Arial" w:cs="Arial"/>
          <w:noProof/>
        </w:rPr>
        <w:t>2023)</w:t>
      </w:r>
      <w:r w:rsidRPr="00C10C85">
        <w:rPr>
          <w:rFonts w:ascii="Arial" w:hAnsi="Arial" w:cs="Arial"/>
        </w:rPr>
        <w:fldChar w:fldCharType="end"/>
      </w:r>
      <w:r w:rsidRPr="00C10C85">
        <w:rPr>
          <w:rFonts w:ascii="Arial" w:hAnsi="Arial" w:cs="Arial"/>
        </w:rPr>
        <w:t xml:space="preserve">. </w:t>
      </w:r>
      <w:r w:rsidRPr="00C10C85">
        <w:rPr>
          <w:rFonts w:ascii="Arial" w:hAnsi="Arial" w:cs="Arial"/>
          <w:i/>
          <w:iCs/>
        </w:rPr>
        <w:t>A</w:t>
      </w:r>
      <w:r w:rsidR="00492E89">
        <w:rPr>
          <w:rFonts w:ascii="Arial" w:hAnsi="Arial" w:cs="Arial"/>
          <w:i/>
          <w:iCs/>
        </w:rPr>
        <w:t>spergillus</w:t>
      </w:r>
      <w:r w:rsidRPr="00C10C85">
        <w:rPr>
          <w:rFonts w:ascii="Arial" w:hAnsi="Arial" w:cs="Arial"/>
          <w:i/>
          <w:iCs/>
        </w:rPr>
        <w:t xml:space="preserve"> </w:t>
      </w:r>
      <w:proofErr w:type="spellStart"/>
      <w:r w:rsidRPr="00C10C85">
        <w:rPr>
          <w:rFonts w:ascii="Arial" w:hAnsi="Arial" w:cs="Arial"/>
          <w:i/>
          <w:iCs/>
        </w:rPr>
        <w:t>niger</w:t>
      </w:r>
      <w:proofErr w:type="spellEnd"/>
      <w:r w:rsidRPr="00C10C85">
        <w:rPr>
          <w:rFonts w:ascii="Arial" w:hAnsi="Arial" w:cs="Arial"/>
        </w:rPr>
        <w:t xml:space="preserve"> produces a range of toxins such as ochratoxin A, patulin, and </w:t>
      </w:r>
      <w:proofErr w:type="spellStart"/>
      <w:r w:rsidRPr="00C10C85">
        <w:rPr>
          <w:rFonts w:ascii="Arial" w:hAnsi="Arial" w:cs="Arial"/>
        </w:rPr>
        <w:t>fumonisin</w:t>
      </w:r>
      <w:proofErr w:type="spellEnd"/>
      <w:r w:rsidRPr="00C10C85">
        <w:rPr>
          <w:rFonts w:ascii="Arial" w:hAnsi="Arial" w:cs="Arial"/>
        </w:rPr>
        <w:t xml:space="preserve">, which can contaminate food, posing a risk to human health </w:t>
      </w:r>
      <w:r w:rsidRPr="00C10C85">
        <w:rPr>
          <w:rFonts w:ascii="Arial" w:hAnsi="Arial" w:cs="Arial"/>
        </w:rPr>
        <w:fldChar w:fldCharType="begin" w:fldLock="1"/>
      </w:r>
      <w:r w:rsidRPr="00C10C85">
        <w:rPr>
          <w:rFonts w:ascii="Arial" w:hAnsi="Arial" w:cs="Arial"/>
        </w:rPr>
        <w:instrText>ADDIN CSL_CITATION {"citationItems":[{"id":"ITEM-1","itemData":{"DOI":"10.3390/toxins2040399","ISSN":"20726651","PMID":"22069592","abstract":"The black spored fungi of the subgenera Circumdata, the section Nigri (=Aspergillus niger group) is reviewed relative to their production of mycotoxins and their effects on plants as pathogens. Molecular methods have revealed more than 18 cryptic species, of which several have been characterized as potential mycotoxin producers. Others are defined as benign relative to their ability to produce mycotoxins. However, these characterizations are based on in vitro culture and toxins production. Several can produce the ochratoxins that are toxic to livestock, poultry, and humans. The black aspergilli produce rots of grapes, maize, and numerous other fruits and grain and they are generally viewed as post-harvest pathogens. Data are review to suggest that black aspergilli, as so many others, are symptomless endophytes. These fungi and their mycotoxins contaminate several major grains, foodstuffs, and products made from them such as wine, and coffee. Evidence is presented that the black aspergilli are producers of other classes of mycotoxins such as the fumonisins, which are known carcinogenic and known prior investigations as being produced by the Fusarium species. Three species are identified in U.S. maize and peanuts as symptomless endophytes, which suggests the potential for concern as pathogens and as food safety hazards. © 2010 by the authors; licensee Molecular Diversity Preservation International, Basel, Switzerland.","author":[{"dropping-particle":"","family":"Palencia","given":"Edwin R.","non-dropping-particle":"","parse-names":false,"suffix":""},{"dropping-particle":"","family":"Hinton","given":"Dorothy M.","non-dropping-particle":"","parse-names":false,"suffix":""},{"dropping-particle":"","family":"Bacon","given":"Charles W.","non-dropping-particle":"","parse-names":false,"suffix":""}],"container-title":"Toxins","id":"ITEM-1","issue":"4","issued":{"date-parts":[["2010"]]},"page":"399-416","title":"The black Aspergillus species of maize and peanuts and their potential for mycotoxin production","type":"article-journal","volume":"2"},"uris":["http://www.mendeley.com/documents/?uuid=d701f969-f252-4a91-9e00-00634ef14231"]},{"id":"ITEM-2","itemData":{"DOI":"10.3390/toxins15070406","abstract":"The jujube is one of the most popular fruits in China because of its delicious taste and high nutritional value. It has a long history of usage as an important food or traditional medicine. However, the jujube is easily infected by fungi, which causes economic losses and threatens human health. When the jujube was infected by Aspergillus niger (H1), the changes in nutritional qualities were determined, such as the content of total acid, vitamin C, reducing sugar, etc. In addition, the ability of A. niger (H1) to produce ochratoxin A (OTA) in different inoculation times and culture media was evaluated, and the content of OTA in jujubes was also analyzed. After jujubes were infected by A. niger (H1), the total acid, and vitamin C contents increased, while the total phenol content decreased, and the reducing sugar content increased after an initial decrease. Although A. niger (H1) infection caused the jujubes to rot and affected its quality, OTA had not been detected. This research provides a theoretical foundation for maximizing edible safety and evaluating the losses caused by fungal disease in jujubes.","author":[{"dropping-particle":"","family":"Xin","given":"Xueyan","non-dropping-particle":"","parse-names":false,"suffix":""},{"dropping-particle":"","family":"Nan","given":"Mina","non-dropping-particle":"","parse-names":false,"suffix":""},{"dropping-particle":"","family":"Bi","given":"Yang","non-dropping-particle":"","parse-names":false,"suffix":""},{"dropping-particle":"","family":"Xue","given":"Huali","non-dropping-particle":"","parse-names":false,"suffix":""},{"dropping-particle":"","family":"Zhang","given":"Yuan","non-dropping-particle":"","parse-names":false,"suffix":""},{"dropping-particle":"","family":"Wang","given":"Jiajie","non-dropping-particle":"","parse-names":false,"suffix":""},{"dropping-particle":"","family":"Lu","given":"Zhiwei","non-dropping-particle":"","parse-names":false,"suffix":""}],"container-title":"Toxins","id":"ITEM-2","issue":"7","issued":{"date-parts":[["2023"]]},"page":"406","title":"Effects of Aspergillus niger Infection on the Quality of Jujube and Ochratoxin A Cumulative Effect","type":"article-journal","volume":"15"},"uris":["http://www.mendeley.com/documents/?uuid=83507ea4-48fe-4d61-a05a-51cfd691c5ba"]}],"mendeley":{"formattedCitation":"(Palencia et al., 2010; Xin et al., 2023)","plainTextFormattedCitation":"(Palencia et al., 2010; Xin et al., 2023)","previouslyFormattedCitation":"(Palencia et al., 2010; Xin et al., 2023)"},"properties":{"noteIndex":0},"schema":"https://github.com/citation-style-language/schema/raw/master/csl-citation.json"}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(Palencia </w:t>
      </w:r>
      <w:r w:rsidRPr="00C10C85">
        <w:rPr>
          <w:rFonts w:ascii="Arial" w:hAnsi="Arial" w:cs="Arial"/>
          <w:i/>
          <w:iCs/>
          <w:noProof/>
        </w:rPr>
        <w:t>et al</w:t>
      </w:r>
      <w:r w:rsidRPr="00C10C85">
        <w:rPr>
          <w:rFonts w:ascii="Arial" w:hAnsi="Arial" w:cs="Arial"/>
          <w:noProof/>
        </w:rPr>
        <w:t xml:space="preserve">., 2010; Xin </w:t>
      </w:r>
      <w:r w:rsidRPr="00C10C85">
        <w:rPr>
          <w:rFonts w:ascii="Arial" w:hAnsi="Arial" w:cs="Arial"/>
          <w:i/>
          <w:iCs/>
          <w:noProof/>
        </w:rPr>
        <w:t>et al.</w:t>
      </w:r>
      <w:r w:rsidRPr="00C10C85">
        <w:rPr>
          <w:rFonts w:ascii="Arial" w:hAnsi="Arial" w:cs="Arial"/>
          <w:noProof/>
        </w:rPr>
        <w:t>, 2023)</w:t>
      </w:r>
      <w:r w:rsidRPr="00C10C85">
        <w:rPr>
          <w:rFonts w:ascii="Arial" w:hAnsi="Arial" w:cs="Arial"/>
        </w:rPr>
        <w:fldChar w:fldCharType="end"/>
      </w:r>
      <w:r w:rsidRPr="00C10C85">
        <w:rPr>
          <w:rFonts w:ascii="Arial" w:hAnsi="Arial" w:cs="Arial"/>
        </w:rPr>
        <w:t xml:space="preserve">. These toxins are produced by the fungus during the infection process, and their accumulation in plant tissues can cause illness or death in humans, livestock, and wildlife </w:t>
      </w:r>
      <w:r w:rsidRPr="00C10C85">
        <w:rPr>
          <w:rFonts w:ascii="Arial" w:hAnsi="Arial" w:cs="Arial"/>
        </w:rPr>
        <w:fldChar w:fldCharType="begin" w:fldLock="1"/>
      </w:r>
      <w:r w:rsidRPr="00C10C85">
        <w:rPr>
          <w:rFonts w:ascii="Arial" w:hAnsi="Arial" w:cs="Arial"/>
        </w:rPr>
        <w:instrText>ADDIN CSL_CITATION {"citationItems":[{"id":"ITEM-1","itemData":{"DOI":"10.3390/toxins2040399","ISSN":"20726651","PMID":"22069592","abstract":"The black spored fungi of the subgenera Circumdata, the section Nigri (=Aspergillus niger group) is reviewed relative to their production of mycotoxins and their effects on plants as pathogens. Molecular methods have revealed more than 18 cryptic species, of which several have been characterized as potential mycotoxin producers. Others are defined as benign relative to their ability to produce mycotoxins. However, these characterizations are based on in vitro culture and toxins production. Several can produce the ochratoxins that are toxic to livestock, poultry, and humans. The black aspergilli produce rots of grapes, maize, and numerous other fruits and grain and they are generally viewed as post-harvest pathogens. Data are review to suggest that black aspergilli, as so many others, are symptomless endophytes. These fungi and their mycotoxins contaminate several major grains, foodstuffs, and products made from them such as wine, and coffee. Evidence is presented that the black aspergilli are producers of other classes of mycotoxins such as the fumonisins, which are known carcinogenic and known prior investigations as being produced by the Fusarium species. Three species are identified in U.S. maize and peanuts as symptomless endophytes, which suggests the potential for concern as pathogens and as food safety hazards. © 2010 by the authors; licensee Molecular Diversity Preservation International, Basel, Switzerland.","author":[{"dropping-particle":"","family":"Palencia","given":"Edwin R.","non-dropping-particle":"","parse-names":false,"suffix":""},{"dropping-particle":"","family":"Hinton","given":"Dorothy M.","non-dropping-particle":"","parse-names":false,"suffix":""},{"dropping-particle":"","family":"Bacon","given":"Charles W.","non-dropping-particle":"","parse-names":false,"suffix":""}],"container-title":"Toxins","id":"ITEM-1","issue":"4","issued":{"date-parts":[["2010"]]},"page":"399-416","title":"The black Aspergillus species of maize and peanuts and their potential for mycotoxin production","type":"article-journal","volume":"2"},"uris":["http://www.mendeley.com/documents/?uuid=d701f969-f252-4a91-9e00-00634ef14231"]},{"id":"ITEM-2","itemData":{"author":[{"dropping-particle":"","family":"Jasmine","given":"Zamora","non-dropping-particle":"","parse-names":false,"suffix":""}],"container-title":"A Program at the Evergreen State College","id":"ITEM-2","issued":{"date-parts":[["2014"]]},"title":"The Fungal Kingdom","type":"entry-encyclopedia"},"uris":["http://www.mendeley.com/documents/?uuid=defa758c-cb99-448e-9fa6-7d3e0c3158cd"]},{"id":"ITEM-3","itemData":{"DOI":"10.3390/toxins15070406","abstract":"The jujube is one of the most popular fruits in China because of its delicious taste and high nutritional value. It has a long history of usage as an important food or traditional medicine. However, the jujube is easily infected by fungi, which causes economic losses and threatens human health. When the jujube was infected by Aspergillus niger (H1), the changes in nutritional qualities were determined, such as the content of total acid, vitamin C, reducing sugar, etc. In addition, the ability of A. niger (H1) to produce ochratoxin A (OTA) in different inoculation times and culture media was evaluated, and the content of OTA in jujubes was also analyzed. After jujubes were infected by A. niger (H1), the total acid, and vitamin C contents increased, while the total phenol content decreased, and the reducing sugar content increased after an initial decrease. Although A. niger (H1) infection caused the jujubes to rot and affected its quality, OTA had not been detected. This research provides a theoretical foundation for maximizing edible safety and evaluating the losses caused by fungal disease in jujubes.","author":[{"dropping-particle":"","family":"Xin","given":"Xueyan","non-dropping-particle":"","parse-names":false,"suffix":""},{"dropping-particle":"","family":"Nan","given":"Mina","non-dropping-particle":"","parse-names":false,"suffix":""},{"dropping-particle":"","family":"Bi","given":"Yang","non-dropping-particle":"","parse-names":false,"suffix":""},{"dropping-particle":"","family":"Xue","given":"Huali","non-dropping-particle":"","parse-names":false,"suffix":""},{"dropping-particle":"","family":"Zhang","given":"Yuan","non-dropping-particle":"","parse-names":false,"suffix":""},{"dropping-particle":"","family":"Wang","given":"Jiajie","non-dropping-particle":"","parse-names":false,"suffix":""},{"dropping-particle":"","family":"Lu","given":"Zhiwei","non-dropping-particle":"","parse-names":false,"suffix":""}],"container-title":"Toxins","id":"ITEM-3","issue":"7","issued":{"date-parts":[["2023"]]},"page":"406","title":"Effects of Aspergillus niger Infection on the Quality of Jujube and Ochratoxin A Cumulative Effect","type":"article-journal","volume":"15"},"uris":["http://www.mendeley.com/documents/?uuid=83507ea4-48fe-4d61-a05a-51cfd691c5ba"]}],"mendeley":{"formattedCitation":"(Jasmine, 2014; Palencia et al., 2010; Xin et al., 2023)","manualFormatting":"(Palencia et al., 2010; Jasmine, 2014; Xin et al., 2023)","plainTextFormattedCitation":"(Jasmine, 2014; Palencia et al., 2010; Xin et al., 2023)","previouslyFormattedCitation":"(Jasmine, 2014; Palencia et al., 2010; Xin et al., 2023)"},"properties":{"noteIndex":0},"schema":"https://github.com/citation-style-language/schema/raw/master/csl-citation.json"}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(Palencia </w:t>
      </w:r>
      <w:r w:rsidRPr="00C10C85">
        <w:rPr>
          <w:rFonts w:ascii="Arial" w:hAnsi="Arial" w:cs="Arial"/>
          <w:i/>
          <w:iCs/>
          <w:noProof/>
        </w:rPr>
        <w:t xml:space="preserve">et al., </w:t>
      </w:r>
      <w:r w:rsidRPr="00C10C85">
        <w:rPr>
          <w:rFonts w:ascii="Arial" w:hAnsi="Arial" w:cs="Arial"/>
          <w:noProof/>
        </w:rPr>
        <w:t xml:space="preserve">2010; Jasmine, 2014; Xin </w:t>
      </w:r>
      <w:r w:rsidRPr="00C10C85">
        <w:rPr>
          <w:rFonts w:ascii="Arial" w:hAnsi="Arial" w:cs="Arial"/>
          <w:i/>
          <w:iCs/>
          <w:noProof/>
        </w:rPr>
        <w:t>et al.,</w:t>
      </w:r>
      <w:r w:rsidRPr="00C10C85">
        <w:rPr>
          <w:rFonts w:ascii="Arial" w:hAnsi="Arial" w:cs="Arial"/>
          <w:noProof/>
        </w:rPr>
        <w:t xml:space="preserve"> 2023)</w:t>
      </w:r>
      <w:r w:rsidRPr="00C10C85">
        <w:rPr>
          <w:rFonts w:ascii="Arial" w:hAnsi="Arial" w:cs="Arial"/>
        </w:rPr>
        <w:fldChar w:fldCharType="end"/>
      </w:r>
      <w:r w:rsidRPr="00C10C85">
        <w:rPr>
          <w:rFonts w:ascii="Arial" w:hAnsi="Arial" w:cs="Arial"/>
        </w:rPr>
        <w:t xml:space="preserve">. For example, ochratoxin A is a carcinogenic mycotoxin that can affect the kidneys, while patulin can cause nausea, vomiting, and diarrhea (Xin </w:t>
      </w:r>
      <w:r w:rsidRPr="00C10C85">
        <w:rPr>
          <w:rFonts w:ascii="Arial" w:hAnsi="Arial" w:cs="Arial"/>
          <w:i/>
          <w:iCs/>
        </w:rPr>
        <w:t>et al.,</w:t>
      </w:r>
      <w:r w:rsidRPr="00C10C85">
        <w:rPr>
          <w:rFonts w:ascii="Arial" w:hAnsi="Arial" w:cs="Arial"/>
        </w:rPr>
        <w:t xml:space="preserve"> 2023). </w:t>
      </w:r>
    </w:p>
    <w:p w14:paraId="017B08E9" w14:textId="0BC8586D" w:rsidR="00EE207F" w:rsidRPr="00C10C85" w:rsidRDefault="00EE207F" w:rsidP="00E367A7">
      <w:pPr>
        <w:pStyle w:val="BodyText"/>
        <w:spacing w:line="360" w:lineRule="auto"/>
        <w:ind w:firstLine="720"/>
        <w:jc w:val="both"/>
        <w:rPr>
          <w:rFonts w:ascii="Arial" w:hAnsi="Arial" w:cs="Arial"/>
        </w:rPr>
      </w:pPr>
      <w:r w:rsidRPr="00C10C85">
        <w:rPr>
          <w:rFonts w:ascii="Arial" w:hAnsi="Arial" w:cs="Arial"/>
        </w:rPr>
        <w:t xml:space="preserve">Therefore, the presence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in food and feed should be minimized to prevent the risk of human and animal exposure to these toxins. </w:t>
      </w:r>
      <w:r w:rsidRPr="00C10C85">
        <w:rPr>
          <w:rFonts w:ascii="Arial" w:hAnsi="Arial" w:cs="Arial"/>
          <w:i/>
          <w:iCs/>
        </w:rPr>
        <w:t>A</w:t>
      </w:r>
      <w:r w:rsidR="00D5741B">
        <w:rPr>
          <w:rFonts w:ascii="Arial" w:hAnsi="Arial" w:cs="Arial"/>
          <w:i/>
          <w:iCs/>
        </w:rPr>
        <w:t>spergillus</w:t>
      </w:r>
      <w:r w:rsidRPr="00C10C85">
        <w:rPr>
          <w:rFonts w:ascii="Arial" w:hAnsi="Arial" w:cs="Arial"/>
          <w:i/>
          <w:iCs/>
        </w:rPr>
        <w:t xml:space="preserve"> </w:t>
      </w:r>
      <w:proofErr w:type="spellStart"/>
      <w:r w:rsidRPr="00C10C85">
        <w:rPr>
          <w:rFonts w:ascii="Arial" w:hAnsi="Arial" w:cs="Arial"/>
          <w:i/>
          <w:iCs/>
        </w:rPr>
        <w:t>niger</w:t>
      </w:r>
      <w:proofErr w:type="spellEnd"/>
      <w:r w:rsidRPr="00C10C85">
        <w:rPr>
          <w:rFonts w:ascii="Arial" w:hAnsi="Arial" w:cs="Arial"/>
        </w:rPr>
        <w:t xml:space="preserve"> can cause post-harvest decay in various crops, including shallots, and can lead to reduced bulb quality and storage life, the colonization of shallot bulbs by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can lead to the production of enzymes </w:t>
      </w:r>
      <w:r w:rsidRPr="00C10C85">
        <w:rPr>
          <w:rFonts w:ascii="Arial" w:hAnsi="Arial" w:cs="Arial"/>
        </w:rPr>
        <w:lastRenderedPageBreak/>
        <w:t>that degrade the bulb tissue and changes in the bulb's chemical composition</w:t>
      </w:r>
      <w:r w:rsidRPr="00C10C85">
        <w:rPr>
          <w:rFonts w:ascii="Arial" w:hAnsi="Arial" w:cs="Arial"/>
        </w:rPr>
        <w:fldChar w:fldCharType="begin" w:fldLock="1"/>
      </w:r>
      <w:r w:rsidRPr="00C10C85">
        <w:rPr>
          <w:rFonts w:ascii="Arial" w:hAnsi="Arial" w:cs="Arial"/>
        </w:rPr>
        <w:instrText>ADDIN CSL_CITATION {"citationItems":[{"id":"ITEM-1","itemData":{"DOI":"10.1186/s40694-018-0054-5","ISSN":"20543085","abstract":"In 1917, a food chemist named James Currie made a promising discovery: any strain of the filamentous mould Aspergillus niger would produce high concentrations of citric acid when grown in sugar medium. This tricarboxylic acid, which we now know is an intermediate of the Krebs cycle, had previously been extracted from citrus fruits for applications in food and beverage production. Two years after Currie’s discovery, industrial-level production using A. niger began, the biochemical fermentation industry started to flourish, and industrial biotechnology was born. A century later, citric acid production using this mould is a multi-billion dollar industry, with A. niger additionally producing a diverse range of proteins, enzymes and secondary metabolites. In this review, we assess main developments in the field of A. niger biology over the last 100 years and highlight scientific breakthroughs and discoveries which were influential for both basic and applied fungal research in and outside the A. niger community. We give special focus to two developments of the last decade: systems biology and genome editing. We also summarize the current international A. niger research community, and end by speculating on the future of fundamental research on this fascinating fungus and its exploitation in industrial biotechnology.","author":[{"dropping-particle":"","family":"Cairns","given":"Timothy C.","non-dropping-particle":"","parse-names":false,"suffix":""},{"dropping-particle":"","family":"Nai","given":"Corrado","non-dropping-particle":"","parse-names":false,"suffix":""},{"dropping-particle":"","family":"Meyer","given":"Vera","non-dropping-particle":"","parse-names":false,"suffix":""}],"container-title":"Fungal Biology and Biotechnology","id":"ITEM-1","issue":"1","issued":{"date-parts":[["2018"]]},"page":"1-14","publisher":"BioMed Central","title":"How a fungus shapes biotechnology: 100 years of aspergillus niger research","type":"article-journal","volume":"5"},"uris":["http://www.mendeley.com/documents/?uuid=2d457223-cbf4-43f5-b2a4-5367e7255c35"]}],"mendeley":{"formattedCitation":"(Cairns et al., 2018)","plainTextFormattedCitation":"(Cairns et al., 2018)","previouslyFormattedCitation":"(Cairns et al., 2018)"},"properties":{"noteIndex":0},"schema":"https://github.com/citation-style-language/schema/raw/master/csl-citation.json"}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(Cairns </w:t>
      </w:r>
      <w:r w:rsidRPr="00C10C85">
        <w:rPr>
          <w:rFonts w:ascii="Arial" w:hAnsi="Arial" w:cs="Arial"/>
          <w:i/>
          <w:iCs/>
          <w:noProof/>
        </w:rPr>
        <w:t>et al.</w:t>
      </w:r>
      <w:r w:rsidRPr="00C10C85">
        <w:rPr>
          <w:rFonts w:ascii="Arial" w:hAnsi="Arial" w:cs="Arial"/>
          <w:noProof/>
        </w:rPr>
        <w:t>, 2018)</w:t>
      </w:r>
      <w:r w:rsidRPr="00C10C85">
        <w:rPr>
          <w:rFonts w:ascii="Arial" w:hAnsi="Arial" w:cs="Arial"/>
        </w:rPr>
        <w:fldChar w:fldCharType="end"/>
      </w:r>
      <w:r w:rsidRPr="00C10C85">
        <w:rPr>
          <w:rFonts w:ascii="Arial" w:hAnsi="Arial" w:cs="Arial"/>
        </w:rPr>
        <w:t>.</w:t>
      </w:r>
    </w:p>
    <w:p w14:paraId="681170EA" w14:textId="06C183CE" w:rsidR="00EE207F" w:rsidRPr="00C10C85" w:rsidRDefault="00EE207F" w:rsidP="00D5741B">
      <w:pPr>
        <w:pStyle w:val="Heading2"/>
      </w:pPr>
      <w:bookmarkStart w:id="12" w:name="_Toc144288522"/>
      <w:r w:rsidRPr="00C10C85">
        <w:t xml:space="preserve">Identification of Aspergillus </w:t>
      </w:r>
      <w:proofErr w:type="spellStart"/>
      <w:r w:rsidRPr="00C10C85">
        <w:t>niger</w:t>
      </w:r>
      <w:bookmarkEnd w:id="12"/>
      <w:proofErr w:type="spellEnd"/>
    </w:p>
    <w:p w14:paraId="0025A98A" w14:textId="77777777" w:rsidR="00EE207F" w:rsidRPr="00C10C85" w:rsidRDefault="00EE207F" w:rsidP="00E367A7">
      <w:pPr>
        <w:pStyle w:val="BodyText"/>
        <w:spacing w:line="360" w:lineRule="auto"/>
        <w:jc w:val="both"/>
        <w:rPr>
          <w:rFonts w:ascii="Arial" w:hAnsi="Arial" w:cs="Arial"/>
        </w:rPr>
      </w:pPr>
      <w:r w:rsidRPr="00C10C85">
        <w:rPr>
          <w:rFonts w:ascii="Arial" w:hAnsi="Arial" w:cs="Arial"/>
        </w:rPr>
        <w:t xml:space="preserve">Researchers have investigated the cultural, morphological, and microscopic characteristics of A. </w:t>
      </w:r>
      <w:proofErr w:type="spellStart"/>
      <w:r w:rsidRPr="00C10C85">
        <w:rPr>
          <w:rFonts w:ascii="Arial" w:hAnsi="Arial" w:cs="Arial"/>
        </w:rPr>
        <w:t>niger</w:t>
      </w:r>
      <w:proofErr w:type="spellEnd"/>
      <w:r w:rsidRPr="00C10C85">
        <w:rPr>
          <w:rFonts w:ascii="Arial" w:hAnsi="Arial" w:cs="Arial"/>
        </w:rPr>
        <w:t xml:space="preserve"> in great detail Here are some key findings:</w:t>
      </w:r>
    </w:p>
    <w:p w14:paraId="3FE5BA9F" w14:textId="45A55E02" w:rsidR="00EE207F" w:rsidRPr="00C10C85" w:rsidRDefault="00EE207F" w:rsidP="00D5741B">
      <w:pPr>
        <w:pStyle w:val="Heading2"/>
      </w:pPr>
      <w:r w:rsidRPr="00C10C85">
        <w:t>Cultural and Morphological Features</w:t>
      </w:r>
    </w:p>
    <w:p w14:paraId="6B353509" w14:textId="22762619" w:rsidR="00EE207F" w:rsidRPr="00C10C85" w:rsidRDefault="00EE207F" w:rsidP="00E367A7">
      <w:pPr>
        <w:pStyle w:val="BodyText"/>
        <w:spacing w:line="360" w:lineRule="auto"/>
        <w:jc w:val="both"/>
        <w:rPr>
          <w:rFonts w:ascii="Arial" w:hAnsi="Arial" w:cs="Arial"/>
          <w:b/>
          <w:bCs/>
          <w:color w:val="C0504D" w:themeColor="accent2"/>
        </w:rPr>
      </w:pPr>
      <w:r w:rsidRPr="00C10C85">
        <w:rPr>
          <w:rFonts w:ascii="Arial" w:hAnsi="Arial" w:cs="Arial"/>
          <w:i/>
          <w:iCs/>
        </w:rPr>
        <w:t>A</w:t>
      </w:r>
      <w:r w:rsidR="006501C4">
        <w:rPr>
          <w:rFonts w:ascii="Arial" w:hAnsi="Arial" w:cs="Arial"/>
          <w:i/>
          <w:iCs/>
        </w:rPr>
        <w:t>spergillus</w:t>
      </w:r>
      <w:r w:rsidRPr="00C10C85">
        <w:rPr>
          <w:rFonts w:ascii="Arial" w:hAnsi="Arial" w:cs="Arial"/>
          <w:i/>
          <w:iCs/>
        </w:rPr>
        <w:t xml:space="preserve"> </w:t>
      </w:r>
      <w:proofErr w:type="spellStart"/>
      <w:r w:rsidRPr="00C10C85">
        <w:rPr>
          <w:rFonts w:ascii="Arial" w:hAnsi="Arial" w:cs="Arial"/>
          <w:i/>
          <w:iCs/>
        </w:rPr>
        <w:t>niger</w:t>
      </w:r>
      <w:proofErr w:type="spellEnd"/>
      <w:r w:rsidRPr="00C10C85">
        <w:rPr>
          <w:rFonts w:ascii="Arial" w:hAnsi="Arial" w:cs="Arial"/>
        </w:rPr>
        <w:t xml:space="preserve"> colonies are large and black or dark brown in color, often with a powdery or velvety texture. A variety of substrates, such as fruits, vegetables, cereals, and dairy products are suitable for the fungus to grow on. The septate hyphae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are primarily yellow in color. It produces carbon black or extremely dark brown spores from biseriate phialides, which distinguishes it from other </w:t>
      </w:r>
      <w:r w:rsidRPr="00C10C85">
        <w:rPr>
          <w:rFonts w:ascii="Arial" w:hAnsi="Arial" w:cs="Arial"/>
          <w:i/>
          <w:iCs/>
        </w:rPr>
        <w:t>Aspergillus</w:t>
      </w:r>
      <w:r w:rsidRPr="00C10C85">
        <w:rPr>
          <w:rFonts w:ascii="Arial" w:hAnsi="Arial" w:cs="Arial"/>
        </w:rPr>
        <w:t xml:space="preserve"> </w:t>
      </w:r>
      <w:r w:rsidRPr="00C10C85">
        <w:rPr>
          <w:rFonts w:ascii="Arial" w:hAnsi="Arial" w:cs="Arial"/>
          <w:i/>
          <w:iCs/>
        </w:rPr>
        <w:t>species</w:t>
      </w:r>
      <w:r w:rsidRPr="00C10C85">
        <w:rPr>
          <w:rFonts w:ascii="Arial" w:hAnsi="Arial" w:cs="Arial"/>
        </w:rPr>
        <w:t xml:space="preserve">. The conidial heads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are globose and dark brown in color, dividing into columns as the fungus ages. The conidia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are smooth, black, and spherical or ellipsoidal in shape (</w:t>
      </w:r>
      <w:r w:rsidRPr="00C10C85">
        <w:rPr>
          <w:rFonts w:ascii="Arial" w:hAnsi="Arial" w:cs="Arial"/>
          <w:noProof/>
        </w:rPr>
        <w:t xml:space="preserve">Cairns </w:t>
      </w:r>
      <w:r w:rsidRPr="00C10C85">
        <w:rPr>
          <w:rFonts w:ascii="Arial" w:hAnsi="Arial" w:cs="Arial"/>
          <w:i/>
          <w:iCs/>
          <w:noProof/>
        </w:rPr>
        <w:t>et al.,</w:t>
      </w:r>
      <w:r w:rsidRPr="00C10C85">
        <w:rPr>
          <w:rFonts w:ascii="Arial" w:hAnsi="Arial" w:cs="Arial"/>
          <w:noProof/>
        </w:rPr>
        <w:t xml:space="preserve"> 2022)</w:t>
      </w:r>
      <w:r w:rsidRPr="00C10C85">
        <w:rPr>
          <w:rFonts w:ascii="Arial" w:hAnsi="Arial" w:cs="Arial"/>
        </w:rPr>
        <w:t xml:space="preserve">. </w:t>
      </w:r>
    </w:p>
    <w:p w14:paraId="7340893C" w14:textId="77777777" w:rsidR="00EE207F" w:rsidRPr="00C10C85" w:rsidRDefault="00EE207F" w:rsidP="006501C4">
      <w:pPr>
        <w:pStyle w:val="Heading2"/>
      </w:pPr>
      <w:r w:rsidRPr="00C10C85">
        <w:t>Microscopic Features</w:t>
      </w:r>
    </w:p>
    <w:p w14:paraId="0DDDC374" w14:textId="613261FD" w:rsidR="00EE207F" w:rsidRPr="00C10C85" w:rsidRDefault="00EE207F" w:rsidP="00E367A7">
      <w:pPr>
        <w:pStyle w:val="BodyText"/>
        <w:spacing w:line="360" w:lineRule="auto"/>
        <w:jc w:val="both"/>
        <w:rPr>
          <w:rFonts w:ascii="Arial" w:hAnsi="Arial" w:cs="Arial"/>
          <w:b/>
          <w:bCs/>
          <w:color w:val="C0504D" w:themeColor="accent2"/>
        </w:rPr>
      </w:pPr>
      <w:r w:rsidRPr="00C10C85">
        <w:rPr>
          <w:rStyle w:val="BodyTextChar"/>
          <w:rFonts w:ascii="Arial" w:eastAsiaTheme="minorHAnsi" w:hAnsi="Arial" w:cs="Arial"/>
          <w:i/>
          <w:iCs/>
        </w:rPr>
        <w:t>A</w:t>
      </w:r>
      <w:r w:rsidR="006501C4">
        <w:rPr>
          <w:rStyle w:val="BodyTextChar"/>
          <w:rFonts w:ascii="Arial" w:eastAsiaTheme="minorHAnsi" w:hAnsi="Arial" w:cs="Arial"/>
          <w:i/>
          <w:iCs/>
        </w:rPr>
        <w:t xml:space="preserve">spergillus </w:t>
      </w:r>
      <w:proofErr w:type="spellStart"/>
      <w:r w:rsidRPr="00C10C85">
        <w:rPr>
          <w:rStyle w:val="BodyTextChar"/>
          <w:rFonts w:ascii="Arial" w:eastAsiaTheme="minorHAnsi" w:hAnsi="Arial" w:cs="Arial"/>
          <w:i/>
          <w:iCs/>
        </w:rPr>
        <w:t>niger</w:t>
      </w:r>
      <w:proofErr w:type="spellEnd"/>
      <w:r w:rsidRPr="00C10C85">
        <w:rPr>
          <w:rStyle w:val="BodyTextChar"/>
          <w:rFonts w:ascii="Arial" w:eastAsiaTheme="minorHAnsi" w:hAnsi="Arial" w:cs="Arial"/>
        </w:rPr>
        <w:t xml:space="preserve"> can be distinguished microscopically by the presence of large, round or oval vesicles at the tips of the conidiophores. The hyphae of </w:t>
      </w:r>
      <w:r w:rsidRPr="00C10C85">
        <w:rPr>
          <w:rStyle w:val="BodyTextChar"/>
          <w:rFonts w:ascii="Arial" w:eastAsiaTheme="minorHAnsi" w:hAnsi="Arial" w:cs="Arial"/>
          <w:i/>
          <w:iCs/>
        </w:rPr>
        <w:t xml:space="preserve">A. </w:t>
      </w:r>
      <w:proofErr w:type="spellStart"/>
      <w:r w:rsidRPr="00C10C85">
        <w:rPr>
          <w:rStyle w:val="BodyTextChar"/>
          <w:rFonts w:ascii="Arial" w:eastAsiaTheme="minorHAnsi" w:hAnsi="Arial" w:cs="Arial"/>
          <w:i/>
          <w:iCs/>
        </w:rPr>
        <w:t>niger</w:t>
      </w:r>
      <w:proofErr w:type="spellEnd"/>
      <w:r w:rsidRPr="00C10C85">
        <w:rPr>
          <w:rStyle w:val="BodyTextChar"/>
          <w:rFonts w:ascii="Arial" w:eastAsiaTheme="minorHAnsi" w:hAnsi="Arial" w:cs="Arial"/>
        </w:rPr>
        <w:t xml:space="preserve"> often contain dark granules or vacuoles, which are thought to be involved in nutrient storage and metabolism. These features contribute to the identification and characterization of </w:t>
      </w:r>
      <w:r w:rsidRPr="00C10C85">
        <w:rPr>
          <w:rStyle w:val="BodyTextChar"/>
          <w:rFonts w:ascii="Arial" w:eastAsiaTheme="minorHAnsi" w:hAnsi="Arial" w:cs="Arial"/>
          <w:i/>
          <w:iCs/>
        </w:rPr>
        <w:t xml:space="preserve">A. </w:t>
      </w:r>
      <w:proofErr w:type="spellStart"/>
      <w:r w:rsidRPr="00C10C85">
        <w:rPr>
          <w:rStyle w:val="BodyTextChar"/>
          <w:rFonts w:ascii="Arial" w:eastAsiaTheme="minorHAnsi" w:hAnsi="Arial" w:cs="Arial"/>
          <w:i/>
          <w:iCs/>
        </w:rPr>
        <w:t>niger</w:t>
      </w:r>
      <w:proofErr w:type="spellEnd"/>
      <w:r w:rsidRPr="00C10C85">
        <w:rPr>
          <w:rStyle w:val="BodyTextChar"/>
          <w:rFonts w:ascii="Arial" w:eastAsiaTheme="minorHAnsi" w:hAnsi="Arial" w:cs="Arial"/>
        </w:rPr>
        <w:t xml:space="preserve"> in various settings, including agricultural, industrial, and medical contexts</w:t>
      </w:r>
      <w:r w:rsidRPr="00C10C85">
        <w:rPr>
          <w:rFonts w:ascii="Arial" w:hAnsi="Arial" w:cs="Arial"/>
        </w:rPr>
        <w:t xml:space="preserve">. . </w:t>
      </w:r>
      <w:r w:rsidRPr="00C10C85">
        <w:rPr>
          <w:rFonts w:ascii="Arial" w:hAnsi="Arial" w:cs="Arial"/>
        </w:rPr>
        <w:fldChar w:fldCharType="begin" w:fldLock="1"/>
      </w:r>
      <w:r w:rsidRPr="00C10C85">
        <w:rPr>
          <w:rFonts w:ascii="Arial" w:hAnsi="Arial" w:cs="Arial"/>
        </w:rPr>
        <w:instrText>ADDIN CSL_CITATION {"citationItems":[{"id":"ITEM-1","itemData":{"DOI":"10.1016/j.jclepro.2021.126000","ISSN":"09596526","abstract":"In addition to achieving of food security in the long-run, the identification and introduction of sustainable ecosystems is associated with the protection of natural resources and the provision of environmental services that flow from those resources. A paradigm for the production of shallots has arisen in the agroecosystems of Iran to prevent the extinction of the shallot plant, on one hand, and to meet the market demand for this valuable medicinal-industrial product, on the other. This study aimed to identify the most sustainable shallot production system by comparing mechanized, traditional, and conservation shallot production systems with the growth of this plant in its natural habitat in Selseleh County, Iran, during 2018–2019. The analysis was done by calculating net emergy of each system and by reviewing 14 different emergy indices. Soil conservation is very important in the sustainability of agroecosystems. In this regard, a positive evaluation of the energy input structures in a conservation system is based on the soil stability of that system. The results showed that the status of a protected system is optimal based on the values of the Unit Emergy Value (UEV = 6.62E+05 sej J−1), Specific emergy (SE = 7.05E+09 sej g−1), Inverse emergy exchange ratio (IEER = 0.942), and Emergy index of product safety (EIPS = 1) indices and, to some extent, on Renewable emergy ratio (R%), Modified version of the environmental sustainability index (ESI</w:instrText>
      </w:r>
      <w:r w:rsidRPr="00C10C85">
        <w:rPr>
          <w:rFonts w:ascii="Cambria Math" w:hAnsi="Cambria Math" w:cs="Cambria Math"/>
        </w:rPr>
        <w:instrText>∗</w:instrText>
      </w:r>
      <w:r w:rsidRPr="00C10C85">
        <w:rPr>
          <w:rFonts w:ascii="Arial" w:hAnsi="Arial" w:cs="Arial"/>
        </w:rPr>
        <w:instrText>), Modified version of the environmental loading ratio (ELR</w:instrText>
      </w:r>
      <w:r w:rsidRPr="00C10C85">
        <w:rPr>
          <w:rFonts w:ascii="Cambria Math" w:hAnsi="Cambria Math" w:cs="Cambria Math"/>
        </w:rPr>
        <w:instrText>∗</w:instrText>
      </w:r>
      <w:r w:rsidRPr="00C10C85">
        <w:rPr>
          <w:rFonts w:ascii="Arial" w:hAnsi="Arial" w:cs="Arial"/>
        </w:rPr>
        <w:instrText>), and Emergy invested per $ net profit (EINPR). As a result, the most optimal system was found by increasing the amount of the free environmental renewable input flow (R). The optimal EINPR, Economic emergy efficiency (EEE) and IEER values of the natural habitat indicate the risk of overharvesting shallots from this system, which necessitates paying more attention to protecting the ecosystem and preventing overharvesting. Although a number of indices showed the advantage of the mechanized shallot production system over the other two agroecosystems. However, since an important part of the desirability of a mode of production implied by these indices is related to the share of free environmental inputs that are used in a renewable manner, modes of production that rely heavily on the non-renewable use of free environmental flows and result in soil instability are not preferred, thus a mechanized system is not recommended as the first choice for shallot produ…","author":[{"dropping-particle":"","family":"Amiri","given":"Zahra","non-dropping-particle":"","parse-names":false,"suffix":""},{"dropping-particle":"","family":"Asgharipour","given":"Mohammad Reza","non-dropping-particle":"","parse-names":false,"suffix":""},{"dropping-particle":"","family":"Campbell","given":"Daniel E.","non-dropping-particle":"","parse-names":false,"suffix":""},{"dropping-particle":"","family":"Azizi","given":"Khosrow","non-dropping-particle":"","parse-names":false,"suffix":""},{"dropping-particle":"","family":"Kakolvand","given":"Ebrahim","non-dropping-particle":"","parse-names":false,"suffix":""},{"dropping-particle":"","family":"Hassani Moghadam","given":"Esfandiar","non-dropping-particle":"","parse-names":false,"suffix":""}],"container-title":"Journal of Cleaner Production","id":"ITEM-1","issued":{"date-parts":[["2021"]]},"page":"126000","publisher":"Elsevier Ltd","title":"Conservation agriculture, a selective model based on emergy analysis for sustainable production of shallot as a medicinal-industrial plant","type":"article-journal","volume":"292"},"uris":["http://www.mendeley.com/documents/?uuid=9c874cd7-94be-47ae-8ffa-d2c4f01641b2"]},{"id":"ITEM-2","itemData":{"author":[{"dropping-particle":"","family":"Bennett","given":"J. W.","non-dropping-particle":"","parse-names":false,"suffix":""}],"container-title":"Aspergillus: molecular biology and genomics","id":"ITEM-2","issued":{"date-parts":[["2010"]]},"page":"1-17","title":"An overview of the genus &lt;i&gt;Asperillus&lt;/i&gt;","type":"article-journal"},"uris":["http://www.mendeley.com/documents/?uuid=bb4cba0a-7928-4158-af23-3f5e9867878a"]},{"id":"ITEM-3","itemData":{"DOI":"10.3389/fbioe.2021.820088","ISBN":"0000000191","ISSN":"22964185","abstract":"Submerged fermentation using filamentous fungal cell factories is used to produce a diverse portfolio of useful molecules, including food, medicines, enzymes, and platform chemicals. Depending on strain background and abiotic culture conditions, different macromorphologies are formed during fermentation, ranging from dispersed hyphal fragments to approximately spherical pellets several millimetres in diameter. These macromorphologies are known to have a critical impact on product titres and rheological performance of the bioreactor. Pilot productivity screens in different macromorphological contexts is technically challenging, time consuming, and thus a significant limitation to achieving maximum product titres. To address this bottleneck, we developed a library of conditional expression mutants in the organic, protein, and secondary metabolite cell factory Aspergillus niger. Thirteen morphology-associated genes transcribed during fermentation were placed via CRISPR-Cas9 under control of a synthetic Tet-on gene switch. Quantitative analysis of submerged growth reveals that these strains have distinct and titratable macromorphologies for use as chassis during strain engineering programs. We also used this library as a tool to quantify how pellet formation is connected with strain fitness and filamentous growth. Using multiple linear regression modelling, we predict that pellet formation is dependent largely on strain fitness, whereas pellet Euclidian parameters depend on fitness and hyphal branching. Finally, we have shown that conditional expression of the putative kinase encoding gene pkh2 can decouple fitness, dry weight, pellet macromorphology, and culture heterogeneity. We hypothesize that further analysis of this gene product and the cell wall integrity pathway in which it is embedded will enable more precise engineering of A. niger macromorphology in future.","author":[{"dropping-particle":"","family":"Cairns","given":"Timothy C.","non-dropping-particle":"","parse-names":false,"suffix":""},{"dropping-particle":"","family":"Zheng","given":"Xiaomei","non-dropping-particle":"","parse-names":false,"suffix":""},{"dropping-particle":"","family":"Feurstein","given":"Claudia","non-dropping-particle":"","parse-names":false,"suffix":""},{"dropping-particle":"","family":"Zheng","given":"Ping","non-dropping-particle":"","parse-names":false,"suffix":""},{"dropping-particle":"","family":"Sun","given":"Jibin","non-dropping-particle":"","parse-names":false,"suffix":""},{"dropping-particle":"","family":"Meyer","given":"Vera","non-dropping-particle":"","parse-names":false,"suffix":""}],"container-title":"Frontiers in Bioengineering and Biotechnology","id":"ITEM-3","issue":"January","issued":{"date-parts":[["2022"]]},"page":"1-15","title":"A Library of Aspergillus niger Chassis Strains for Morphology Engineering Connects Strain Fitness and Filamentous Growth With Submerged Macromorphology","type":"article-journal","volume":"9"},"uris":["http://www.mendeley.com/documents/?uuid=a77aaf63-7bcc-4112-92c7-f3ba6b702698"]}],"mendeley":{"formattedCitation":"(Amiri et al., 2021; Bennett, 2010; Cairns et al., 2022)","manualFormatting":"(Bennett, 2010; Amiri et al., 2021; Cairns et al., 2022)","plainTextFormattedCitation":"(Amiri et al., 2021; Bennett, 2010; Cairns et al., 2022)","previouslyFormattedCitation":"(Amiri et al., 2021; Bennett, 2010; Cairns et al.,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(Bennett, 2010; Amiri </w:t>
      </w:r>
      <w:r w:rsidRPr="00C10C85">
        <w:rPr>
          <w:rFonts w:ascii="Arial" w:hAnsi="Arial" w:cs="Arial"/>
          <w:i/>
          <w:iCs/>
          <w:noProof/>
        </w:rPr>
        <w:t>et al.,</w:t>
      </w:r>
      <w:r w:rsidRPr="00C10C85">
        <w:rPr>
          <w:rFonts w:ascii="Arial" w:hAnsi="Arial" w:cs="Arial"/>
          <w:noProof/>
        </w:rPr>
        <w:t xml:space="preserve"> 2021)</w:t>
      </w:r>
      <w:r w:rsidRPr="00C10C85">
        <w:rPr>
          <w:rFonts w:ascii="Arial" w:hAnsi="Arial" w:cs="Arial"/>
        </w:rPr>
        <w:fldChar w:fldCharType="end"/>
      </w:r>
      <w:r w:rsidRPr="00C10C85">
        <w:rPr>
          <w:rFonts w:ascii="Arial" w:hAnsi="Arial" w:cs="Arial"/>
        </w:rPr>
        <w:t xml:space="preserve">. </w:t>
      </w:r>
    </w:p>
    <w:p w14:paraId="0F9FE7F9" w14:textId="3DE00B91" w:rsidR="00EE207F" w:rsidRPr="00C10C85" w:rsidRDefault="007C5EA1" w:rsidP="00EE207F">
      <w:pPr>
        <w:pStyle w:val="BodyText"/>
        <w:spacing w:line="360" w:lineRule="auto"/>
        <w:rPr>
          <w:rFonts w:ascii="Arial" w:hAnsi="Arial" w:cs="Arial"/>
        </w:rPr>
      </w:pPr>
      <w:r>
        <w:rPr>
          <w:rFonts w:ascii="Arial" w:hAnsi="Arial" w:cs="Arial"/>
          <w:b/>
          <w:bCs/>
          <w:noProof/>
          <w:color w:val="C0504D" w:themeColor="accent2"/>
        </w:rPr>
        <w:lastRenderedPageBreak/>
        <mc:AlternateContent>
          <mc:Choice Requires="wps">
            <w:drawing>
              <wp:anchor distT="0" distB="0" distL="114300" distR="114300" simplePos="0" relativeHeight="251671552" behindDoc="0" locked="0" layoutInCell="1" allowOverlap="1" wp14:anchorId="572894DD" wp14:editId="54D62871">
                <wp:simplePos x="0" y="0"/>
                <wp:positionH relativeFrom="column">
                  <wp:posOffset>1246793</wp:posOffset>
                </wp:positionH>
                <wp:positionV relativeFrom="paragraph">
                  <wp:posOffset>4770120</wp:posOffset>
                </wp:positionV>
                <wp:extent cx="862642" cy="250884"/>
                <wp:effectExtent l="0" t="0" r="13970" b="15875"/>
                <wp:wrapNone/>
                <wp:docPr id="4" name="Rectangle 4"/>
                <wp:cNvGraphicFramePr/>
                <a:graphic xmlns:a="http://schemas.openxmlformats.org/drawingml/2006/main">
                  <a:graphicData uri="http://schemas.microsoft.com/office/word/2010/wordprocessingShape">
                    <wps:wsp>
                      <wps:cNvSpPr/>
                      <wps:spPr>
                        <a:xfrm>
                          <a:off x="0" y="0"/>
                          <a:ext cx="862642" cy="25088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8A5921" w14:textId="01E3C4A9" w:rsidR="007C5EA1" w:rsidRPr="007C5EA1" w:rsidRDefault="007C5EA1" w:rsidP="007C5EA1">
                            <w:pPr>
                              <w:jc w:val="center"/>
                              <w:rPr>
                                <w:color w:val="000000" w:themeColor="text1"/>
                                <w:lang w:val="en-GB"/>
                              </w:rPr>
                            </w:pPr>
                            <w:r w:rsidRPr="007C5EA1">
                              <w:rPr>
                                <w:color w:val="000000" w:themeColor="text1"/>
                                <w:lang w:val="en-GB"/>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2894DD" id="Rectangle 4" o:spid="_x0000_s1029" style="position:absolute;margin-left:98.15pt;margin-top:375.6pt;width:67.9pt;height:19.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" filled="f" strokecolor="#243f60 [1604]" strokeweight="2pt">
                <v:textbox>
                  <w:txbxContent>
                    <w:p w14:paraId="3F8A5921" w14:textId="01E3C4A9" w:rsidR="007C5EA1" w:rsidRPr="007C5EA1" w:rsidRDefault="007C5EA1" w:rsidP="007C5EA1">
                      <w:pPr>
                        <w:jc w:val="center"/>
                        <w:rPr>
                          <w:color w:val="000000" w:themeColor="text1"/>
                          <w:lang w:val="en-GB"/>
                        </w:rPr>
                      </w:pPr>
                      <w:r w:rsidRPr="007C5EA1">
                        <w:rPr>
                          <w:color w:val="000000" w:themeColor="text1"/>
                          <w:lang w:val="en-GB"/>
                        </w:rPr>
                        <w:t>C</w:t>
                      </w:r>
                    </w:p>
                  </w:txbxContent>
                </v:textbox>
              </v:rect>
            </w:pict>
          </mc:Fallback>
        </mc:AlternateContent>
      </w:r>
      <w:r w:rsidRPr="00C10C85">
        <w:rPr>
          <w:rFonts w:ascii="Arial" w:hAnsi="Arial" w:cs="Arial"/>
          <w:b/>
          <w:bCs/>
          <w:noProof/>
          <w:color w:val="C0504D" w:themeColor="accent2"/>
        </w:rPr>
        <mc:AlternateContent>
          <mc:Choice Requires="wps">
            <w:drawing>
              <wp:anchor distT="0" distB="0" distL="114300" distR="114300" simplePos="0" relativeHeight="251665408" behindDoc="0" locked="0" layoutInCell="1" allowOverlap="1" wp14:anchorId="5B35D2C8" wp14:editId="367AA690">
                <wp:simplePos x="0" y="0"/>
                <wp:positionH relativeFrom="column">
                  <wp:posOffset>3239590</wp:posOffset>
                </wp:positionH>
                <wp:positionV relativeFrom="paragraph">
                  <wp:posOffset>3036331</wp:posOffset>
                </wp:positionV>
                <wp:extent cx="2587925" cy="992038"/>
                <wp:effectExtent l="0" t="0" r="3175" b="0"/>
                <wp:wrapNone/>
                <wp:docPr id="839029616" name="Text Box 2"/>
                <wp:cNvGraphicFramePr/>
                <a:graphic xmlns:a="http://schemas.openxmlformats.org/drawingml/2006/main">
                  <a:graphicData uri="http://schemas.microsoft.com/office/word/2010/wordprocessingShape">
                    <wps:wsp>
                      <wps:cNvSpPr txBox="1"/>
                      <wps:spPr>
                        <a:xfrm>
                          <a:off x="0" y="0"/>
                          <a:ext cx="2587925" cy="992038"/>
                        </a:xfrm>
                        <a:prstGeom prst="rect">
                          <a:avLst/>
                        </a:prstGeom>
                        <a:solidFill>
                          <a:schemeClr val="lt1"/>
                        </a:solidFill>
                        <a:ln w="6350">
                          <a:noFill/>
                        </a:ln>
                      </wps:spPr>
                      <wps:txbx>
                        <w:txbxContent>
                          <w:p w14:paraId="10539CF8" w14:textId="08129B08" w:rsidR="00A74A5E" w:rsidRPr="00C10C85" w:rsidRDefault="00A74A5E">
                            <w:pPr>
                              <w:rPr>
                                <w:rFonts w:ascii="Arial" w:hAnsi="Arial" w:cs="Arial"/>
                                <w:b/>
                                <w:bCs/>
                              </w:rPr>
                            </w:pPr>
                            <w:r w:rsidRPr="00C10C85">
                              <w:rPr>
                                <w:rFonts w:ascii="Arial" w:hAnsi="Arial" w:cs="Arial"/>
                                <w:b/>
                                <w:bCs/>
                              </w:rPr>
                              <w:t>A = Strain 1 (</w:t>
                            </w:r>
                            <w:r w:rsidR="004B352C" w:rsidRPr="00C10C85">
                              <w:rPr>
                                <w:rFonts w:ascii="Arial" w:hAnsi="Arial" w:cs="Arial"/>
                                <w:b/>
                                <w:bCs/>
                              </w:rPr>
                              <w:t xml:space="preserve">Cultural view </w:t>
                            </w:r>
                            <w:r w:rsidRPr="00C10C85">
                              <w:rPr>
                                <w:rFonts w:ascii="Arial" w:hAnsi="Arial" w:cs="Arial"/>
                                <w:b/>
                                <w:bCs/>
                              </w:rPr>
                              <w:t>of A. niger)</w:t>
                            </w:r>
                          </w:p>
                          <w:p w14:paraId="3C8CE13A" w14:textId="6213DA5C" w:rsidR="00A74A5E" w:rsidRPr="00C10C85" w:rsidRDefault="00A74A5E">
                            <w:pPr>
                              <w:rPr>
                                <w:rFonts w:ascii="Arial" w:hAnsi="Arial" w:cs="Arial"/>
                                <w:b/>
                                <w:bCs/>
                              </w:rPr>
                            </w:pPr>
                            <w:r w:rsidRPr="00C10C85">
                              <w:rPr>
                                <w:rFonts w:ascii="Arial" w:hAnsi="Arial" w:cs="Arial"/>
                                <w:b/>
                                <w:bCs/>
                              </w:rPr>
                              <w:t>B = Strain 2 (</w:t>
                            </w:r>
                            <w:r w:rsidR="004B352C" w:rsidRPr="00C10C85">
                              <w:rPr>
                                <w:rFonts w:ascii="Arial" w:hAnsi="Arial" w:cs="Arial"/>
                                <w:b/>
                                <w:bCs/>
                              </w:rPr>
                              <w:t>Cultural view</w:t>
                            </w:r>
                            <w:r w:rsidRPr="00C10C85">
                              <w:rPr>
                                <w:rFonts w:ascii="Arial" w:hAnsi="Arial" w:cs="Arial"/>
                                <w:b/>
                                <w:bCs/>
                              </w:rPr>
                              <w:t xml:space="preserve"> of A. niger)</w:t>
                            </w:r>
                          </w:p>
                          <w:p w14:paraId="0450A30E" w14:textId="6EF328D8" w:rsidR="00A74A5E" w:rsidRPr="00C10C85" w:rsidRDefault="00A74A5E">
                            <w:pPr>
                              <w:rPr>
                                <w:rFonts w:ascii="Arial" w:hAnsi="Arial" w:cs="Arial"/>
                                <w:b/>
                                <w:bCs/>
                              </w:rPr>
                            </w:pPr>
                            <w:r w:rsidRPr="00C10C85">
                              <w:rPr>
                                <w:rFonts w:ascii="Arial" w:hAnsi="Arial" w:cs="Arial"/>
                                <w:b/>
                                <w:bCs/>
                              </w:rPr>
                              <w:t xml:space="preserve">C = </w:t>
                            </w:r>
                            <w:r w:rsidR="004B352C" w:rsidRPr="00C10C85">
                              <w:rPr>
                                <w:rFonts w:ascii="Arial" w:hAnsi="Arial" w:cs="Arial"/>
                                <w:b/>
                                <w:bCs/>
                                <w:szCs w:val="24"/>
                              </w:rPr>
                              <w:t>Microscopic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5D2C8" id="_x0000_t202" coordsize="21600,21600" o:spt="202" path="m,l,21600r21600,l21600,xe">
                <v:stroke joinstyle="miter"/>
                <v:path gradientshapeok="t" o:connecttype="rect"/>
              </v:shapetype>
              <v:shape id="_x0000_s1030" type="#_x0000_t202" style="position:absolute;margin-left:255.1pt;margin-top:239.1pt;width:203.75pt;height:7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" fillcolor="white [3201]" stroked="f" strokeweight=".5pt">
                <v:textbox>
                  <w:txbxContent>
                    <w:p w14:paraId="10539CF8" w14:textId="08129B08" w:rsidR="00A74A5E" w:rsidRPr="00C10C85" w:rsidRDefault="00A74A5E">
                      <w:pPr>
                        <w:rPr>
                          <w:rFonts w:ascii="Arial" w:hAnsi="Arial" w:cs="Arial"/>
                          <w:b/>
                          <w:bCs/>
                        </w:rPr>
                      </w:pPr>
                      <w:r w:rsidRPr="00C10C85">
                        <w:rPr>
                          <w:rFonts w:ascii="Arial" w:hAnsi="Arial" w:cs="Arial"/>
                          <w:b/>
                          <w:bCs/>
                        </w:rPr>
                        <w:t>A = Strain 1 (</w:t>
                      </w:r>
                      <w:r w:rsidR="004B352C" w:rsidRPr="00C10C85">
                        <w:rPr>
                          <w:rFonts w:ascii="Arial" w:hAnsi="Arial" w:cs="Arial"/>
                          <w:b/>
                          <w:bCs/>
                        </w:rPr>
                        <w:t xml:space="preserve">Cultural view </w:t>
                      </w:r>
                      <w:r w:rsidRPr="00C10C85">
                        <w:rPr>
                          <w:rFonts w:ascii="Arial" w:hAnsi="Arial" w:cs="Arial"/>
                          <w:b/>
                          <w:bCs/>
                        </w:rPr>
                        <w:t>of A. niger)</w:t>
                      </w:r>
                    </w:p>
                    <w:p w14:paraId="3C8CE13A" w14:textId="6213DA5C" w:rsidR="00A74A5E" w:rsidRPr="00C10C85" w:rsidRDefault="00A74A5E">
                      <w:pPr>
                        <w:rPr>
                          <w:rFonts w:ascii="Arial" w:hAnsi="Arial" w:cs="Arial"/>
                          <w:b/>
                          <w:bCs/>
                        </w:rPr>
                      </w:pPr>
                      <w:r w:rsidRPr="00C10C85">
                        <w:rPr>
                          <w:rFonts w:ascii="Arial" w:hAnsi="Arial" w:cs="Arial"/>
                          <w:b/>
                          <w:bCs/>
                        </w:rPr>
                        <w:t>B = Strain 2 (</w:t>
                      </w:r>
                      <w:r w:rsidR="004B352C" w:rsidRPr="00C10C85">
                        <w:rPr>
                          <w:rFonts w:ascii="Arial" w:hAnsi="Arial" w:cs="Arial"/>
                          <w:b/>
                          <w:bCs/>
                        </w:rPr>
                        <w:t>Cultural view</w:t>
                      </w:r>
                      <w:r w:rsidRPr="00C10C85">
                        <w:rPr>
                          <w:rFonts w:ascii="Arial" w:hAnsi="Arial" w:cs="Arial"/>
                          <w:b/>
                          <w:bCs/>
                        </w:rPr>
                        <w:t xml:space="preserve"> of A. niger)</w:t>
                      </w:r>
                    </w:p>
                    <w:p w14:paraId="0450A30E" w14:textId="6EF328D8" w:rsidR="00A74A5E" w:rsidRPr="00C10C85" w:rsidRDefault="00A74A5E">
                      <w:pPr>
                        <w:rPr>
                          <w:rFonts w:ascii="Arial" w:hAnsi="Arial" w:cs="Arial"/>
                          <w:b/>
                          <w:bCs/>
                        </w:rPr>
                      </w:pPr>
                      <w:r w:rsidRPr="00C10C85">
                        <w:rPr>
                          <w:rFonts w:ascii="Arial" w:hAnsi="Arial" w:cs="Arial"/>
                          <w:b/>
                          <w:bCs/>
                        </w:rPr>
                        <w:t xml:space="preserve">C = </w:t>
                      </w:r>
                      <w:r w:rsidR="004B352C" w:rsidRPr="00C10C85">
                        <w:rPr>
                          <w:rFonts w:ascii="Arial" w:hAnsi="Arial" w:cs="Arial"/>
                          <w:b/>
                          <w:bCs/>
                          <w:szCs w:val="24"/>
                        </w:rPr>
                        <w:t>Microscopic view</w:t>
                      </w:r>
                    </w:p>
                  </w:txbxContent>
                </v:textbox>
              </v:shape>
            </w:pict>
          </mc:Fallback>
        </mc:AlternateContent>
      </w:r>
      <w:r>
        <w:rPr>
          <w:rFonts w:ascii="Arial" w:hAnsi="Arial" w:cs="Arial"/>
          <w:b/>
          <w:bCs/>
          <w:noProof/>
          <w:color w:val="C0504D" w:themeColor="accent2"/>
        </w:rPr>
        <mc:AlternateContent>
          <mc:Choice Requires="wps">
            <w:drawing>
              <wp:anchor distT="0" distB="0" distL="114300" distR="114300" simplePos="0" relativeHeight="251670528" behindDoc="0" locked="0" layoutInCell="1" allowOverlap="1" wp14:anchorId="5D334697" wp14:editId="2C66628E">
                <wp:simplePos x="0" y="0"/>
                <wp:positionH relativeFrom="column">
                  <wp:posOffset>3843931</wp:posOffset>
                </wp:positionH>
                <wp:positionV relativeFrom="paragraph">
                  <wp:posOffset>2467155</wp:posOffset>
                </wp:positionV>
                <wp:extent cx="1026543" cy="310551"/>
                <wp:effectExtent l="0" t="0" r="21590" b="13335"/>
                <wp:wrapNone/>
                <wp:docPr id="3" name="Rectangle 3"/>
                <wp:cNvGraphicFramePr/>
                <a:graphic xmlns:a="http://schemas.openxmlformats.org/drawingml/2006/main">
                  <a:graphicData uri="http://schemas.microsoft.com/office/word/2010/wordprocessingShape">
                    <wps:wsp>
                      <wps:cNvSpPr/>
                      <wps:spPr>
                        <a:xfrm>
                          <a:off x="0" y="0"/>
                          <a:ext cx="1026543" cy="3105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6535B5" w14:textId="637F35B2" w:rsidR="007C5EA1" w:rsidRPr="007C5EA1" w:rsidRDefault="007C5EA1" w:rsidP="007C5EA1">
                            <w:pPr>
                              <w:jc w:val="center"/>
                              <w:rPr>
                                <w:b/>
                                <w:color w:val="000000" w:themeColor="text1"/>
                                <w:lang w:val="en-GB"/>
                              </w:rPr>
                            </w:pPr>
                            <w:r w:rsidRPr="007C5EA1">
                              <w:rPr>
                                <w:b/>
                                <w:color w:val="000000" w:themeColor="text1"/>
                                <w:lang w:val="en-GB"/>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334697" id="Rectangle 3" o:spid="_x0000_s1031" style="position:absolute;margin-left:302.65pt;margin-top:194.25pt;width:80.85pt;height:24.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" filled="f" strokecolor="#243f60 [1604]" strokeweight="2pt">
                <v:textbox>
                  <w:txbxContent>
                    <w:p w14:paraId="056535B5" w14:textId="637F35B2" w:rsidR="007C5EA1" w:rsidRPr="007C5EA1" w:rsidRDefault="007C5EA1" w:rsidP="007C5EA1">
                      <w:pPr>
                        <w:jc w:val="center"/>
                        <w:rPr>
                          <w:b/>
                          <w:color w:val="000000" w:themeColor="text1"/>
                          <w:lang w:val="en-GB"/>
                        </w:rPr>
                      </w:pPr>
                      <w:r w:rsidRPr="007C5EA1">
                        <w:rPr>
                          <w:b/>
                          <w:color w:val="000000" w:themeColor="text1"/>
                          <w:lang w:val="en-GB"/>
                        </w:rPr>
                        <w:t>B</w:t>
                      </w:r>
                    </w:p>
                  </w:txbxContent>
                </v:textbox>
              </v:rect>
            </w:pict>
          </mc:Fallback>
        </mc:AlternateContent>
      </w:r>
      <w:r>
        <w:rPr>
          <w:rFonts w:ascii="Arial" w:hAnsi="Arial" w:cs="Arial"/>
          <w:b/>
          <w:bCs/>
          <w:noProof/>
          <w:color w:val="C0504D" w:themeColor="accent2"/>
        </w:rPr>
        <mc:AlternateContent>
          <mc:Choice Requires="wps">
            <w:drawing>
              <wp:anchor distT="0" distB="0" distL="114300" distR="114300" simplePos="0" relativeHeight="251669504" behindDoc="0" locked="0" layoutInCell="1" allowOverlap="1" wp14:anchorId="5B593CCE" wp14:editId="2A1A6713">
                <wp:simplePos x="0" y="0"/>
                <wp:positionH relativeFrom="column">
                  <wp:posOffset>1333644</wp:posOffset>
                </wp:positionH>
                <wp:positionV relativeFrom="paragraph">
                  <wp:posOffset>2471108</wp:posOffset>
                </wp:positionV>
                <wp:extent cx="776377" cy="263466"/>
                <wp:effectExtent l="0" t="0" r="24130" b="22860"/>
                <wp:wrapNone/>
                <wp:docPr id="1" name="Rectangle 1"/>
                <wp:cNvGraphicFramePr/>
                <a:graphic xmlns:a="http://schemas.openxmlformats.org/drawingml/2006/main">
                  <a:graphicData uri="http://schemas.microsoft.com/office/word/2010/wordprocessingShape">
                    <wps:wsp>
                      <wps:cNvSpPr/>
                      <wps:spPr>
                        <a:xfrm>
                          <a:off x="0" y="0"/>
                          <a:ext cx="776377" cy="2634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5B19E80" w14:textId="14AFF7A2" w:rsidR="007C5EA1" w:rsidRPr="007C5EA1" w:rsidRDefault="007C5EA1" w:rsidP="007C5EA1">
                            <w:pPr>
                              <w:jc w:val="center"/>
                              <w:rPr>
                                <w:color w:val="000000" w:themeColor="text1"/>
                                <w:lang w:val="en-GB"/>
                              </w:rPr>
                            </w:pPr>
                            <w:r w:rsidRPr="007C5EA1">
                              <w:rPr>
                                <w:color w:val="000000" w:themeColor="text1"/>
                                <w:lang w:val="en-G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93CCE" id="Rectangle 1" o:spid="_x0000_s1032" style="position:absolute;margin-left:105pt;margin-top:194.6pt;width:61.15pt;height:20.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" filled="f" strokecolor="#243f60 [1604]" strokeweight="2pt">
                <v:textbox>
                  <w:txbxContent>
                    <w:p w14:paraId="25B19E80" w14:textId="14AFF7A2" w:rsidR="007C5EA1" w:rsidRPr="007C5EA1" w:rsidRDefault="007C5EA1" w:rsidP="007C5EA1">
                      <w:pPr>
                        <w:jc w:val="center"/>
                        <w:rPr>
                          <w:color w:val="000000" w:themeColor="text1"/>
                          <w:lang w:val="en-GB"/>
                        </w:rPr>
                      </w:pPr>
                      <w:r w:rsidRPr="007C5EA1">
                        <w:rPr>
                          <w:color w:val="000000" w:themeColor="text1"/>
                          <w:lang w:val="en-GB"/>
                        </w:rPr>
                        <w:t>A</w:t>
                      </w:r>
                    </w:p>
                  </w:txbxContent>
                </v:textbox>
              </v:rect>
            </w:pict>
          </mc:Fallback>
        </mc:AlternateContent>
      </w:r>
      <w:r w:rsidR="00846F66" w:rsidRPr="00C10C85">
        <w:rPr>
          <w:rFonts w:ascii="Arial" w:hAnsi="Arial" w:cs="Arial"/>
          <w:b/>
          <w:bCs/>
          <w:noProof/>
          <w:color w:val="C0504D" w:themeColor="accent2"/>
        </w:rPr>
        <mc:AlternateContent>
          <mc:Choice Requires="wps">
            <w:drawing>
              <wp:anchor distT="0" distB="0" distL="114300" distR="114300" simplePos="0" relativeHeight="251668480" behindDoc="0" locked="0" layoutInCell="1" allowOverlap="1" wp14:anchorId="250222D6" wp14:editId="7D535DEB">
                <wp:simplePos x="0" y="0"/>
                <wp:positionH relativeFrom="margin">
                  <wp:posOffset>1078230</wp:posOffset>
                </wp:positionH>
                <wp:positionV relativeFrom="paragraph">
                  <wp:posOffset>5019675</wp:posOffset>
                </wp:positionV>
                <wp:extent cx="4086225" cy="304800"/>
                <wp:effectExtent l="0" t="0" r="9525" b="0"/>
                <wp:wrapNone/>
                <wp:docPr id="695970083" name="Text Box 7"/>
                <wp:cNvGraphicFramePr/>
                <a:graphic xmlns:a="http://schemas.openxmlformats.org/drawingml/2006/main">
                  <a:graphicData uri="http://schemas.microsoft.com/office/word/2010/wordprocessingShape">
                    <wps:wsp>
                      <wps:cNvSpPr txBox="1"/>
                      <wps:spPr>
                        <a:xfrm>
                          <a:off x="0" y="0"/>
                          <a:ext cx="4086225" cy="304800"/>
                        </a:xfrm>
                        <a:prstGeom prst="rect">
                          <a:avLst/>
                        </a:prstGeom>
                        <a:solidFill>
                          <a:schemeClr val="lt1"/>
                        </a:solidFill>
                        <a:ln w="6350">
                          <a:noFill/>
                        </a:ln>
                      </wps:spPr>
                      <wps:txbx>
                        <w:txbxContent>
                          <w:p w14:paraId="41146C15" w14:textId="5ECBD7D1" w:rsidR="00B70CED" w:rsidRPr="00C10C85" w:rsidRDefault="00B70CED" w:rsidP="00B70CED">
                            <w:pPr>
                              <w:spacing w:line="360" w:lineRule="auto"/>
                              <w:jc w:val="both"/>
                              <w:rPr>
                                <w:rFonts w:ascii="Arial" w:hAnsi="Arial" w:cs="Arial"/>
                                <w:b/>
                                <w:bCs/>
                                <w:i/>
                                <w:iCs/>
                                <w:szCs w:val="24"/>
                              </w:rPr>
                            </w:pPr>
                            <w:r w:rsidRPr="00C10C85">
                              <w:rPr>
                                <w:rFonts w:ascii="Arial" w:hAnsi="Arial" w:cs="Arial"/>
                                <w:b/>
                                <w:bCs/>
                                <w:szCs w:val="24"/>
                              </w:rPr>
                              <w:t>Figure 2. Cultural and Microscopic view of</w:t>
                            </w:r>
                            <w:r w:rsidRPr="00C10C85">
                              <w:rPr>
                                <w:rFonts w:ascii="Arial" w:hAnsi="Arial" w:cs="Arial"/>
                                <w:b/>
                                <w:bCs/>
                                <w:i/>
                                <w:iCs/>
                                <w:szCs w:val="24"/>
                              </w:rPr>
                              <w:t xml:space="preserve"> A.niger</w:t>
                            </w:r>
                          </w:p>
                          <w:p w14:paraId="7B5EE23F" w14:textId="47834BE1" w:rsidR="00B70CED" w:rsidRPr="001830A5" w:rsidRDefault="00B70CED" w:rsidP="00B70CED">
                            <w:pPr>
                              <w:spacing w:line="360" w:lineRule="auto"/>
                              <w:jc w:val="both"/>
                              <w:rPr>
                                <w:b/>
                                <w:bCs/>
                                <w:szCs w:val="24"/>
                              </w:rPr>
                            </w:pPr>
                          </w:p>
                          <w:p w14:paraId="3061349A" w14:textId="77777777" w:rsidR="00B70CED" w:rsidRDefault="00B70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0222D6" id="Text Box 7" o:spid="_x0000_s1029" type="#_x0000_t202" style="position:absolute;margin-left:84.9pt;margin-top:395.25pt;width:321.75pt;height: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7dyMQIAAFsEAAAOAAAAZHJzL2Uyb0RvYy54bWysVEuP2jAQvlfqf7B8LwksU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" fillcolor="white [3201]" stroked="f" strokeweight=".5pt">
                <v:textbox>
                  <w:txbxContent>
                    <w:p w14:paraId="41146C15" w14:textId="5ECBD7D1" w:rsidR="00B70CED" w:rsidRPr="00C10C85" w:rsidRDefault="00B70CED" w:rsidP="00B70CED">
                      <w:pPr>
                        <w:spacing w:line="360" w:lineRule="auto"/>
                        <w:jc w:val="both"/>
                        <w:rPr>
                          <w:rFonts w:ascii="Arial" w:hAnsi="Arial" w:cs="Arial"/>
                          <w:b/>
                          <w:bCs/>
                          <w:i/>
                          <w:iCs/>
                          <w:szCs w:val="24"/>
                        </w:rPr>
                      </w:pPr>
                      <w:r w:rsidRPr="00C10C85">
                        <w:rPr>
                          <w:rFonts w:ascii="Arial" w:hAnsi="Arial" w:cs="Arial"/>
                          <w:b/>
                          <w:bCs/>
                          <w:szCs w:val="24"/>
                        </w:rPr>
                        <w:t>Figure 2. Cultural and Microscopic view of</w:t>
                      </w:r>
                      <w:r w:rsidRPr="00C10C85">
                        <w:rPr>
                          <w:rFonts w:ascii="Arial" w:hAnsi="Arial" w:cs="Arial"/>
                          <w:b/>
                          <w:bCs/>
                          <w:i/>
                          <w:iCs/>
                          <w:szCs w:val="24"/>
                        </w:rPr>
                        <w:t xml:space="preserve"> A.niger</w:t>
                      </w:r>
                    </w:p>
                    <w:p w14:paraId="7B5EE23F" w14:textId="47834BE1" w:rsidR="00B70CED" w:rsidRPr="001830A5" w:rsidRDefault="00B70CED" w:rsidP="00B70CED">
                      <w:pPr>
                        <w:spacing w:line="360" w:lineRule="auto"/>
                        <w:jc w:val="both"/>
                        <w:rPr>
                          <w:b/>
                          <w:bCs/>
                          <w:szCs w:val="24"/>
                        </w:rPr>
                      </w:pPr>
                    </w:p>
                    <w:p w14:paraId="3061349A" w14:textId="77777777" w:rsidR="00B70CED" w:rsidRDefault="00B70CED"/>
                  </w:txbxContent>
                </v:textbox>
                <w10:wrap anchorx="margin"/>
              </v:shape>
            </w:pict>
          </mc:Fallback>
        </mc:AlternateContent>
      </w:r>
      <w:r w:rsidR="00846F66" w:rsidRPr="00C10C85">
        <w:rPr>
          <w:rFonts w:ascii="Arial" w:hAnsi="Arial" w:cs="Arial"/>
          <w:b/>
          <w:bCs/>
          <w:noProof/>
          <w:color w:val="C0504D" w:themeColor="accent2"/>
        </w:rPr>
        <mc:AlternateContent>
          <mc:Choice Requires="wps">
            <w:drawing>
              <wp:anchor distT="0" distB="0" distL="114300" distR="114300" simplePos="0" relativeHeight="251664384" behindDoc="0" locked="0" layoutInCell="1" allowOverlap="1" wp14:anchorId="4EA2140F" wp14:editId="1E08458C">
                <wp:simplePos x="0" y="0"/>
                <wp:positionH relativeFrom="column">
                  <wp:posOffset>1520190</wp:posOffset>
                </wp:positionH>
                <wp:positionV relativeFrom="paragraph">
                  <wp:posOffset>5514975</wp:posOffset>
                </wp:positionV>
                <wp:extent cx="2809875" cy="295275"/>
                <wp:effectExtent l="0" t="0" r="28575" b="28575"/>
                <wp:wrapNone/>
                <wp:docPr id="753484962" name="Text Box 1"/>
                <wp:cNvGraphicFramePr/>
                <a:graphic xmlns:a="http://schemas.openxmlformats.org/drawingml/2006/main">
                  <a:graphicData uri="http://schemas.microsoft.com/office/word/2010/wordprocessingShape">
                    <wps:wsp>
                      <wps:cNvSpPr txBox="1"/>
                      <wps:spPr>
                        <a:xfrm>
                          <a:off x="0" y="0"/>
                          <a:ext cx="2809875" cy="295275"/>
                        </a:xfrm>
                        <a:prstGeom prst="rect">
                          <a:avLst/>
                        </a:prstGeom>
                        <a:solidFill>
                          <a:schemeClr val="lt1"/>
                        </a:solidFill>
                        <a:ln w="6350">
                          <a:solidFill>
                            <a:schemeClr val="bg1"/>
                          </a:solidFill>
                        </a:ln>
                      </wps:spPr>
                      <wps:txbx>
                        <w:txbxContent>
                          <w:p w14:paraId="37161B57" w14:textId="3340FC08" w:rsidR="00A74A5E" w:rsidRPr="00846F66" w:rsidRDefault="00A74A5E">
                            <w:pPr>
                              <w:rPr>
                                <w:rFonts w:ascii="Arial" w:hAnsi="Arial" w:cs="Arial"/>
                                <w:i/>
                                <w:iCs/>
                                <w:sz w:val="16"/>
                                <w:szCs w:val="16"/>
                              </w:rPr>
                            </w:pPr>
                            <w:r w:rsidRPr="00846F66">
                              <w:rPr>
                                <w:rFonts w:ascii="Arial" w:hAnsi="Arial" w:cs="Arial"/>
                                <w:i/>
                                <w:iCs/>
                                <w:sz w:val="16"/>
                                <w:szCs w:val="16"/>
                              </w:rPr>
                              <w:t>Source: Laboratory pictures during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2140F" id="Text Box 1" o:spid="_x0000_s1034" type="#_x0000_t202" style="position:absolute;margin-left:119.7pt;margin-top:434.25pt;width:221.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" fillcolor="white [3201]" strokecolor="white [3212]" strokeweight=".5pt">
                <v:textbox>
                  <w:txbxContent>
                    <w:p w14:paraId="37161B57" w14:textId="3340FC08" w:rsidR="00A74A5E" w:rsidRPr="00846F66" w:rsidRDefault="00A74A5E">
                      <w:pPr>
                        <w:rPr>
                          <w:rFonts w:ascii="Arial" w:hAnsi="Arial" w:cs="Arial"/>
                          <w:i/>
                          <w:iCs/>
                          <w:sz w:val="16"/>
                          <w:szCs w:val="16"/>
                        </w:rPr>
                      </w:pPr>
                      <w:r w:rsidRPr="00846F66">
                        <w:rPr>
                          <w:rFonts w:ascii="Arial" w:hAnsi="Arial" w:cs="Arial"/>
                          <w:i/>
                          <w:iCs/>
                          <w:sz w:val="16"/>
                          <w:szCs w:val="16"/>
                        </w:rPr>
                        <w:t>Source: Laboratory pictures during research</w:t>
                      </w:r>
                    </w:p>
                  </w:txbxContent>
                </v:textbox>
              </v:shape>
            </w:pict>
          </mc:Fallback>
        </mc:AlternateContent>
      </w:r>
      <w:r w:rsidR="00B70CED" w:rsidRPr="00C10C85">
        <w:rPr>
          <w:rFonts w:ascii="Arial" w:hAnsi="Arial" w:cs="Arial"/>
          <w:b/>
          <w:bCs/>
          <w:noProof/>
          <w:color w:val="C0504D" w:themeColor="accent2"/>
        </w:rPr>
        <mc:AlternateContent>
          <mc:Choice Requires="wps">
            <w:drawing>
              <wp:anchor distT="45720" distB="45720" distL="114300" distR="114300" simplePos="0" relativeHeight="251660288" behindDoc="0" locked="0" layoutInCell="1" allowOverlap="1" wp14:anchorId="72C014F8" wp14:editId="7F96D8B2">
                <wp:simplePos x="0" y="0"/>
                <wp:positionH relativeFrom="margin">
                  <wp:posOffset>186690</wp:posOffset>
                </wp:positionH>
                <wp:positionV relativeFrom="paragraph">
                  <wp:posOffset>333375</wp:posOffset>
                </wp:positionV>
                <wp:extent cx="5514975" cy="5543550"/>
                <wp:effectExtent l="0" t="0" r="9525" b="0"/>
                <wp:wrapSquare wrapText="bothSides"/>
                <wp:docPr id="1688780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5543550"/>
                        </a:xfrm>
                        <a:prstGeom prst="rect">
                          <a:avLst/>
                        </a:prstGeom>
                        <a:solidFill>
                          <a:srgbClr val="FFFFFF"/>
                        </a:solidFill>
                        <a:ln w="9525">
                          <a:noFill/>
                          <a:miter lim="800000"/>
                          <a:headEnd/>
                          <a:tailEnd/>
                        </a:ln>
                      </wps:spPr>
                      <wps:txbx>
                        <w:txbxContent>
                          <w:p w14:paraId="7E499AD7" w14:textId="77777777" w:rsidR="00EE207F" w:rsidRDefault="00EE207F" w:rsidP="00EE20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014F8" id="_x0000_s1035" type="#_x0000_t202" style="position:absolute;margin-left:14.7pt;margin-top:26.25pt;width:434.25pt;height:43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" stroked="f">
                <v:textbox>
                  <w:txbxContent>
                    <w:p w14:paraId="7E499AD7" w14:textId="77777777" w:rsidR="00EE207F" w:rsidRDefault="00EE207F" w:rsidP="00EE207F"/>
                  </w:txbxContent>
                </v:textbox>
                <w10:wrap type="square" anchorx="margin"/>
              </v:shape>
            </w:pict>
          </mc:Fallback>
        </mc:AlternateContent>
      </w:r>
      <w:r w:rsidR="004B352C" w:rsidRPr="00C10C85">
        <w:rPr>
          <w:rFonts w:ascii="Arial" w:hAnsi="Arial" w:cs="Arial"/>
          <w:b/>
          <w:bCs/>
          <w:noProof/>
          <w:color w:val="C0504D" w:themeColor="accent2"/>
          <w14:ligatures w14:val="standardContextual"/>
        </w:rPr>
        <mc:AlternateContent>
          <mc:Choice Requires="wps">
            <w:drawing>
              <wp:anchor distT="0" distB="0" distL="114300" distR="114300" simplePos="0" relativeHeight="251663360" behindDoc="0" locked="0" layoutInCell="1" allowOverlap="1" wp14:anchorId="6DAABFAF" wp14:editId="79CEABE8">
                <wp:simplePos x="0" y="0"/>
                <wp:positionH relativeFrom="column">
                  <wp:posOffset>339090</wp:posOffset>
                </wp:positionH>
                <wp:positionV relativeFrom="paragraph">
                  <wp:posOffset>2733675</wp:posOffset>
                </wp:positionV>
                <wp:extent cx="2838450" cy="2095500"/>
                <wp:effectExtent l="0" t="0" r="0" b="0"/>
                <wp:wrapNone/>
                <wp:docPr id="685554320" name="Text Box 5"/>
                <wp:cNvGraphicFramePr/>
                <a:graphic xmlns:a="http://schemas.openxmlformats.org/drawingml/2006/main">
                  <a:graphicData uri="http://schemas.microsoft.com/office/word/2010/wordprocessingShape">
                    <wps:wsp>
                      <wps:cNvSpPr txBox="1"/>
                      <wps:spPr>
                        <a:xfrm>
                          <a:off x="0" y="0"/>
                          <a:ext cx="2838450" cy="2095500"/>
                        </a:xfrm>
                        <a:prstGeom prst="rect">
                          <a:avLst/>
                        </a:prstGeom>
                        <a:solidFill>
                          <a:schemeClr val="lt1"/>
                        </a:solidFill>
                        <a:ln w="6350">
                          <a:noFill/>
                        </a:ln>
                      </wps:spPr>
                      <wps:txbx>
                        <w:txbxContent>
                          <w:p w14:paraId="1DBB4000" w14:textId="77777777" w:rsidR="00EE207F" w:rsidRDefault="00EE207F" w:rsidP="00EE207F">
                            <w:bookmarkStart w:id="13" w:name="_Toc141752972"/>
                            <w:bookmarkStart w:id="14" w:name="_Toc143711572"/>
                            <w:bookmarkStart w:id="15" w:name="_Toc143715426"/>
                            <w:r>
                              <w:rPr>
                                <w:noProof/>
                              </w:rPr>
                              <w:drawing>
                                <wp:inline distT="0" distB="0" distL="0" distR="0" wp14:anchorId="2BE32F55" wp14:editId="43D5F7BA">
                                  <wp:extent cx="2693720" cy="1933575"/>
                                  <wp:effectExtent l="0" t="0" r="0" b="0"/>
                                  <wp:docPr id="2045032580" name="Picture 204503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30715-WA0011.jpg"/>
                                          <pic:cNvPicPr/>
                                        </pic:nvPicPr>
                                        <pic:blipFill rotWithShape="1">
                                          <a:blip r:embed="rId16">
                                            <a:extLst>
                                              <a:ext uri="{28A0092B-C50C-407E-A947-70E740481C1C}">
                                                <a14:useLocalDpi xmlns:a14="http://schemas.microsoft.com/office/drawing/2010/main" val="0"/>
                                              </a:ext>
                                            </a:extLst>
                                          </a:blip>
                                          <a:srcRect r="15313" b="22255"/>
                                          <a:stretch/>
                                        </pic:blipFill>
                                        <pic:spPr bwMode="auto">
                                          <a:xfrm>
                                            <a:off x="0" y="0"/>
                                            <a:ext cx="2699337" cy="1937607"/>
                                          </a:xfrm>
                                          <a:prstGeom prst="rect">
                                            <a:avLst/>
                                          </a:prstGeom>
                                          <a:ln>
                                            <a:noFill/>
                                          </a:ln>
                                          <a:extLst>
                                            <a:ext uri="{53640926-AAD7-44D8-BBD7-CCE9431645EC}">
                                              <a14:shadowObscured xmlns:a14="http://schemas.microsoft.com/office/drawing/2010/main"/>
                                            </a:ext>
                                          </a:extLst>
                                        </pic:spPr>
                                      </pic:pic>
                                    </a:graphicData>
                                  </a:graphic>
                                </wp:inline>
                              </w:drawing>
                            </w:r>
                            <w:bookmarkEnd w:id="13"/>
                            <w:bookmarkEnd w:id="14"/>
                            <w:bookmarkEnd w:id="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ABFAF" id="_x0000_s1036" type="#_x0000_t202" style="position:absolute;margin-left:26.7pt;margin-top:215.25pt;width:223.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" fillcolor="white [3201]" stroked="f" strokeweight=".5pt">
                <v:textbox>
                  <w:txbxContent>
                    <w:p w14:paraId="1DBB4000" w14:textId="77777777" w:rsidR="00EE207F" w:rsidRDefault="00EE207F" w:rsidP="00EE207F">
                      <w:bookmarkStart w:id="16" w:name="_Toc141752972"/>
                      <w:bookmarkStart w:id="17" w:name="_Toc143711572"/>
                      <w:bookmarkStart w:id="18" w:name="_Toc143715426"/>
                      <w:r>
                        <w:rPr>
                          <w:noProof/>
                        </w:rPr>
                        <w:drawing>
                          <wp:inline distT="0" distB="0" distL="0" distR="0" wp14:anchorId="2BE32F55" wp14:editId="43D5F7BA">
                            <wp:extent cx="2693720" cy="1933575"/>
                            <wp:effectExtent l="0" t="0" r="0" b="0"/>
                            <wp:docPr id="2045032580" name="Picture 204503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30715-WA0011.jpg"/>
                                    <pic:cNvPicPr/>
                                  </pic:nvPicPr>
                                  <pic:blipFill rotWithShape="1">
                                    <a:blip r:embed="rId16">
                                      <a:extLst>
                                        <a:ext uri="{28A0092B-C50C-407E-A947-70E740481C1C}">
                                          <a14:useLocalDpi xmlns:a14="http://schemas.microsoft.com/office/drawing/2010/main" val="0"/>
                                        </a:ext>
                                      </a:extLst>
                                    </a:blip>
                                    <a:srcRect r="15313" b="22255"/>
                                    <a:stretch/>
                                  </pic:blipFill>
                                  <pic:spPr bwMode="auto">
                                    <a:xfrm>
                                      <a:off x="0" y="0"/>
                                      <a:ext cx="2699337" cy="1937607"/>
                                    </a:xfrm>
                                    <a:prstGeom prst="rect">
                                      <a:avLst/>
                                    </a:prstGeom>
                                    <a:ln>
                                      <a:noFill/>
                                    </a:ln>
                                    <a:extLst>
                                      <a:ext uri="{53640926-AAD7-44D8-BBD7-CCE9431645EC}">
                                        <a14:shadowObscured xmlns:a14="http://schemas.microsoft.com/office/drawing/2010/main"/>
                                      </a:ext>
                                    </a:extLst>
                                  </pic:spPr>
                                </pic:pic>
                              </a:graphicData>
                            </a:graphic>
                          </wp:inline>
                        </w:drawing>
                      </w:r>
                      <w:bookmarkEnd w:id="16"/>
                      <w:bookmarkEnd w:id="17"/>
                      <w:bookmarkEnd w:id="18"/>
                    </w:p>
                  </w:txbxContent>
                </v:textbox>
              </v:shape>
            </w:pict>
          </mc:Fallback>
        </mc:AlternateContent>
      </w:r>
      <w:r w:rsidR="004B352C" w:rsidRPr="00C10C85">
        <w:rPr>
          <w:rFonts w:ascii="Arial" w:hAnsi="Arial" w:cs="Arial"/>
          <w:b/>
          <w:bCs/>
          <w:noProof/>
          <w:color w:val="C0504D" w:themeColor="accent2"/>
          <w14:ligatures w14:val="standardContextual"/>
        </w:rPr>
        <mc:AlternateContent>
          <mc:Choice Requires="wps">
            <w:drawing>
              <wp:anchor distT="0" distB="0" distL="114300" distR="114300" simplePos="0" relativeHeight="251661312" behindDoc="0" locked="0" layoutInCell="1" allowOverlap="1" wp14:anchorId="41F04DA1" wp14:editId="7D96644F">
                <wp:simplePos x="0" y="0"/>
                <wp:positionH relativeFrom="column">
                  <wp:posOffset>501650</wp:posOffset>
                </wp:positionH>
                <wp:positionV relativeFrom="paragraph">
                  <wp:posOffset>504825</wp:posOffset>
                </wp:positionV>
                <wp:extent cx="2400300" cy="1962150"/>
                <wp:effectExtent l="0" t="0" r="19050" b="19050"/>
                <wp:wrapNone/>
                <wp:docPr id="1112275880" name="Text Box 3"/>
                <wp:cNvGraphicFramePr/>
                <a:graphic xmlns:a="http://schemas.openxmlformats.org/drawingml/2006/main">
                  <a:graphicData uri="http://schemas.microsoft.com/office/word/2010/wordprocessingShape">
                    <wps:wsp>
                      <wps:cNvSpPr txBox="1"/>
                      <wps:spPr>
                        <a:xfrm>
                          <a:off x="0" y="0"/>
                          <a:ext cx="2400300" cy="1962150"/>
                        </a:xfrm>
                        <a:prstGeom prst="rect">
                          <a:avLst/>
                        </a:prstGeom>
                        <a:solidFill>
                          <a:schemeClr val="lt1"/>
                        </a:solidFill>
                        <a:ln w="6350">
                          <a:solidFill>
                            <a:schemeClr val="bg1"/>
                          </a:solidFill>
                        </a:ln>
                      </wps:spPr>
                      <wps:txbx>
                        <w:txbxContent>
                          <w:p w14:paraId="1785511A" w14:textId="77777777" w:rsidR="00EE207F" w:rsidRDefault="00EE207F" w:rsidP="00EE207F">
                            <w:r>
                              <w:rPr>
                                <w:noProof/>
                                <w14:ligatures w14:val="standardContextual"/>
                              </w:rPr>
                              <w:drawing>
                                <wp:inline distT="0" distB="0" distL="0" distR="0" wp14:anchorId="3AEA98C7" wp14:editId="54F3D6CB">
                                  <wp:extent cx="2200910" cy="1892935"/>
                                  <wp:effectExtent l="0" t="0" r="8890" b="0"/>
                                  <wp:docPr id="289435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41726" name="Picture 1058541726"/>
                                          <pic:cNvPicPr>
                                            <a:picLocks noChangeAspect="1"/>
                                          </pic:cNvPicPr>
                                        </pic:nvPicPr>
                                        <pic:blipFill rotWithShape="1">
                                          <a:blip r:embed="rId17" cstate="print">
                                            <a:extLst>
                                              <a:ext uri="{28A0092B-C50C-407E-A947-70E740481C1C}">
                                                <a14:useLocalDpi xmlns:a14="http://schemas.microsoft.com/office/drawing/2010/main" val="0"/>
                                              </a:ext>
                                            </a:extLst>
                                          </a:blip>
                                          <a:srcRect l="24427" t="14248" r="20106" b="9303"/>
                                          <a:stretch/>
                                        </pic:blipFill>
                                        <pic:spPr bwMode="auto">
                                          <a:xfrm>
                                            <a:off x="0" y="0"/>
                                            <a:ext cx="2200910" cy="189293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F04DA1" id="Text Box 3" o:spid="_x0000_s1034" type="#_x0000_t202" style="position:absolute;margin-left:39.5pt;margin-top:39.75pt;width:189pt;height:1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" fillcolor="white [3201]" strokecolor="white [3212]" strokeweight=".5pt">
                <v:textbox>
                  <w:txbxContent>
                    <w:p w14:paraId="1785511A" w14:textId="77777777" w:rsidR="00EE207F" w:rsidRDefault="00EE207F" w:rsidP="00EE207F">
                      <w:r>
                        <w:rPr>
                          <w:noProof/>
                          <w14:ligatures w14:val="standardContextual"/>
                        </w:rPr>
                        <w:drawing>
                          <wp:inline distT="0" distB="0" distL="0" distR="0" wp14:anchorId="3AEA98C7" wp14:editId="54F3D6CB">
                            <wp:extent cx="2200910" cy="1892935"/>
                            <wp:effectExtent l="0" t="0" r="8890" b="0"/>
                            <wp:docPr id="289435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41726" name="Picture 1058541726"/>
                                    <pic:cNvPicPr>
                                      <a:picLocks noChangeAspect="1"/>
                                    </pic:cNvPicPr>
                                  </pic:nvPicPr>
                                  <pic:blipFill rotWithShape="1">
                                    <a:blip r:embed="rId19" cstate="print">
                                      <a:extLst>
                                        <a:ext uri="{28A0092B-C50C-407E-A947-70E740481C1C}">
                                          <a14:useLocalDpi xmlns:a14="http://schemas.microsoft.com/office/drawing/2010/main" val="0"/>
                                        </a:ext>
                                      </a:extLst>
                                    </a:blip>
                                    <a:srcRect l="24427" t="14248" r="20106" b="9303"/>
                                    <a:stretch/>
                                  </pic:blipFill>
                                  <pic:spPr bwMode="auto">
                                    <a:xfrm>
                                      <a:off x="0" y="0"/>
                                      <a:ext cx="2200910" cy="189293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B352C" w:rsidRPr="00C10C85">
        <w:rPr>
          <w:rFonts w:ascii="Arial" w:hAnsi="Arial" w:cs="Arial"/>
          <w:b/>
          <w:bCs/>
          <w:noProof/>
          <w:color w:val="C0504D" w:themeColor="accent2"/>
          <w14:ligatures w14:val="standardContextual"/>
        </w:rPr>
        <mc:AlternateContent>
          <mc:Choice Requires="wps">
            <w:drawing>
              <wp:anchor distT="0" distB="0" distL="114300" distR="114300" simplePos="0" relativeHeight="251662336" behindDoc="0" locked="0" layoutInCell="1" allowOverlap="1" wp14:anchorId="172F436C" wp14:editId="5DACEB4A">
                <wp:simplePos x="0" y="0"/>
                <wp:positionH relativeFrom="column">
                  <wp:posOffset>3282315</wp:posOffset>
                </wp:positionH>
                <wp:positionV relativeFrom="paragraph">
                  <wp:posOffset>542925</wp:posOffset>
                </wp:positionV>
                <wp:extent cx="2238375" cy="1902460"/>
                <wp:effectExtent l="0" t="0" r="28575" b="21590"/>
                <wp:wrapNone/>
                <wp:docPr id="1254524048" name="Text Box 4"/>
                <wp:cNvGraphicFramePr/>
                <a:graphic xmlns:a="http://schemas.openxmlformats.org/drawingml/2006/main">
                  <a:graphicData uri="http://schemas.microsoft.com/office/word/2010/wordprocessingShape">
                    <wps:wsp>
                      <wps:cNvSpPr txBox="1"/>
                      <wps:spPr>
                        <a:xfrm>
                          <a:off x="0" y="0"/>
                          <a:ext cx="2238375" cy="1902460"/>
                        </a:xfrm>
                        <a:prstGeom prst="rect">
                          <a:avLst/>
                        </a:prstGeom>
                        <a:solidFill>
                          <a:schemeClr val="lt1"/>
                        </a:solidFill>
                        <a:ln w="6350">
                          <a:solidFill>
                            <a:schemeClr val="bg1"/>
                          </a:solidFill>
                        </a:ln>
                      </wps:spPr>
                      <wps:txbx>
                        <w:txbxContent>
                          <w:p w14:paraId="2984150C" w14:textId="77777777" w:rsidR="00EE207F" w:rsidRDefault="00EE207F" w:rsidP="00EE207F">
                            <w:r>
                              <w:rPr>
                                <w:noProof/>
                                <w14:ligatures w14:val="standardContextual"/>
                              </w:rPr>
                              <w:drawing>
                                <wp:inline distT="0" distB="0" distL="0" distR="0" wp14:anchorId="5E217C2C" wp14:editId="45A57CC6">
                                  <wp:extent cx="2027555" cy="1826260"/>
                                  <wp:effectExtent l="0" t="0" r="0" b="2540"/>
                                  <wp:docPr id="206081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14061" name="Picture 1084214061"/>
                                          <pic:cNvPicPr>
                                            <a:picLocks noChangeAspect="1"/>
                                          </pic:cNvPicPr>
                                        </pic:nvPicPr>
                                        <pic:blipFill rotWithShape="1">
                                          <a:blip r:embed="rId20" cstate="print">
                                            <a:extLst>
                                              <a:ext uri="{28A0092B-C50C-407E-A947-70E740481C1C}">
                                                <a14:useLocalDpi xmlns:a14="http://schemas.microsoft.com/office/drawing/2010/main" val="0"/>
                                              </a:ext>
                                            </a:extLst>
                                          </a:blip>
                                          <a:srcRect l="30038" t="17602" r="18113" b="13519"/>
                                          <a:stretch/>
                                        </pic:blipFill>
                                        <pic:spPr bwMode="auto">
                                          <a:xfrm>
                                            <a:off x="0" y="0"/>
                                            <a:ext cx="2027555" cy="18262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2F436C" id="Text Box 4" o:spid="_x0000_s1035" type="#_x0000_t202" style="position:absolute;margin-left:258.45pt;margin-top:42.75pt;width:176.25pt;height:1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" fillcolor="white [3201]" strokecolor="white [3212]" strokeweight=".5pt">
                <v:textbox>
                  <w:txbxContent>
                    <w:p w14:paraId="2984150C" w14:textId="77777777" w:rsidR="00EE207F" w:rsidRDefault="00EE207F" w:rsidP="00EE207F">
                      <w:r>
                        <w:rPr>
                          <w:noProof/>
                          <w14:ligatures w14:val="standardContextual"/>
                        </w:rPr>
                        <w:drawing>
                          <wp:inline distT="0" distB="0" distL="0" distR="0" wp14:anchorId="5E217C2C" wp14:editId="45A57CC6">
                            <wp:extent cx="2027555" cy="1826260"/>
                            <wp:effectExtent l="0" t="0" r="0" b="2540"/>
                            <wp:docPr id="206081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14061" name="Picture 1084214061"/>
                                    <pic:cNvPicPr>
                                      <a:picLocks noChangeAspect="1"/>
                                    </pic:cNvPicPr>
                                  </pic:nvPicPr>
                                  <pic:blipFill rotWithShape="1">
                                    <a:blip r:embed="rId21" cstate="print">
                                      <a:extLst>
                                        <a:ext uri="{28A0092B-C50C-407E-A947-70E740481C1C}">
                                          <a14:useLocalDpi xmlns:a14="http://schemas.microsoft.com/office/drawing/2010/main" val="0"/>
                                        </a:ext>
                                      </a:extLst>
                                    </a:blip>
                                    <a:srcRect l="30038" t="17602" r="18113" b="13519"/>
                                    <a:stretch/>
                                  </pic:blipFill>
                                  <pic:spPr bwMode="auto">
                                    <a:xfrm>
                                      <a:off x="0" y="0"/>
                                      <a:ext cx="2027555" cy="182626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04930318" w14:textId="4F998A90" w:rsidR="00EE207F" w:rsidRPr="00C10C85" w:rsidRDefault="00EE207F" w:rsidP="00EE207F">
      <w:pPr>
        <w:pStyle w:val="BodyText"/>
        <w:spacing w:line="360" w:lineRule="auto"/>
        <w:rPr>
          <w:rFonts w:ascii="Arial" w:hAnsi="Arial" w:cs="Arial"/>
          <w:b/>
          <w:bCs/>
          <w:color w:val="C0504D" w:themeColor="accent2"/>
        </w:rPr>
      </w:pPr>
    </w:p>
    <w:p w14:paraId="16EA55B6" w14:textId="6C293A4A" w:rsidR="00EE207F" w:rsidRPr="00B4390A" w:rsidRDefault="00EE207F" w:rsidP="00547AD3">
      <w:pPr>
        <w:pStyle w:val="Heading1"/>
      </w:pPr>
      <w:bookmarkStart w:id="19" w:name="_Toc160641966"/>
      <w:r w:rsidRPr="00B4390A">
        <w:t>Management of black mold of shall</w:t>
      </w:r>
      <w:bookmarkStart w:id="20" w:name="_GoBack"/>
      <w:bookmarkEnd w:id="20"/>
      <w:r w:rsidRPr="00B4390A">
        <w:t>ot</w:t>
      </w:r>
      <w:bookmarkEnd w:id="19"/>
    </w:p>
    <w:p w14:paraId="36E6DE1E" w14:textId="1676A788" w:rsidR="00EE207F" w:rsidRPr="00C10C85" w:rsidRDefault="00EE207F" w:rsidP="00E367A7">
      <w:pPr>
        <w:pStyle w:val="BodyText"/>
        <w:spacing w:line="360" w:lineRule="auto"/>
        <w:jc w:val="both"/>
        <w:rPr>
          <w:rFonts w:ascii="Arial" w:hAnsi="Arial" w:cs="Arial"/>
        </w:rPr>
      </w:pPr>
      <w:r w:rsidRPr="00C10C85">
        <w:rPr>
          <w:rFonts w:ascii="Arial" w:hAnsi="Arial" w:cs="Arial"/>
        </w:rPr>
        <w:t>Several methods are employed in the management of the black mold disease of shallot, some of these methods are described below;</w:t>
      </w:r>
    </w:p>
    <w:p w14:paraId="51E3E4D0" w14:textId="77777777" w:rsidR="00EE207F" w:rsidRPr="00C10C85" w:rsidRDefault="00EE207F" w:rsidP="00547AD3">
      <w:pPr>
        <w:pStyle w:val="Heading2"/>
      </w:pPr>
      <w:bookmarkStart w:id="21" w:name="_Toc160641967"/>
      <w:r w:rsidRPr="00C10C85">
        <w:t>Biological control</w:t>
      </w:r>
      <w:bookmarkEnd w:id="21"/>
    </w:p>
    <w:p w14:paraId="2ECDD715" w14:textId="4DEFC7BA" w:rsidR="00EE207F" w:rsidRPr="00C10C85" w:rsidRDefault="00EE207F" w:rsidP="00E367A7">
      <w:pPr>
        <w:pStyle w:val="BodyText"/>
        <w:spacing w:line="360" w:lineRule="auto"/>
        <w:jc w:val="both"/>
        <w:rPr>
          <w:rFonts w:ascii="Arial" w:hAnsi="Arial" w:cs="Arial"/>
        </w:rPr>
      </w:pPr>
      <w:r w:rsidRPr="00C10C85">
        <w:rPr>
          <w:rFonts w:ascii="Arial" w:hAnsi="Arial" w:cs="Arial"/>
        </w:rPr>
        <w:t xml:space="preserve">The post-harvest disease known as black mold of shallot, which is caused by the fungus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degrades the quality and marketability of shallot bulbs. Biological control is a promising approach for managing this disease, as it is environmentally-friendly and sustainable. Some </w:t>
      </w:r>
      <w:r w:rsidRPr="00C10C85">
        <w:rPr>
          <w:rFonts w:ascii="Arial" w:hAnsi="Arial" w:cs="Arial"/>
        </w:rPr>
        <w:lastRenderedPageBreak/>
        <w:t xml:space="preserve">microorganisms have been evaluated as biocontrol agents for black mold of shallot, including bacteria and fungi. </w:t>
      </w:r>
      <w:r w:rsidRPr="00C10C85">
        <w:rPr>
          <w:rFonts w:ascii="Arial" w:hAnsi="Arial" w:cs="Arial"/>
        </w:rPr>
        <w:fldChar w:fldCharType="begin" w:fldLock="1"/>
      </w:r>
      <w:r w:rsidRPr="00C10C85">
        <w:rPr>
          <w:rFonts w:ascii="Arial" w:hAnsi="Arial" w:cs="Arial"/>
        </w:rPr>
        <w:instrText>ADDIN CSL_CITATION {"citationItems":[{"id":"ITEM-1","itemData":{"DOI":"https://doi.org/10.1016/j.cropro.2014.06.027","author":[{"dropping-particle":"","family":"Nuray Özer","given":"Levent Arın","non-dropping-particle":"","parse-names":false,"suffix":""}],"container-title":"Crop Protection, Elsevier","id":"ITEM-1","issued":{"date-parts":[["2014"]]},"page":"21-28","title":"Evaluation of fungal antagonists to control black mold disease under field conditions and to induce the accumulation of antifungal compounds in onion following seed and set treatment","type":"article-journal","volume":"65"},"uris":["http://www.mendeley.com/documents/?uuid=7cd2d330-9345-48f7-b0c8-5eb5d3ab698a"]}],"mendeley":{"formattedCitation":"(Nuray Özer, 2014)","manualFormatting":"Nuray and Levent (2014)","plainTextFormattedCitation":"(Nuray Özer, 2014)","previouslyFormattedCitation":"(Nuray Özer, 2014)"},"properties":{"noteIndex":0},"schema":"https://github.com/citation-style-language/schema/raw/master/csl-citation.json"}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Nuray and Levent (2014)</w:t>
      </w:r>
      <w:r w:rsidRPr="00C10C85">
        <w:rPr>
          <w:rFonts w:ascii="Arial" w:hAnsi="Arial" w:cs="Arial"/>
        </w:rPr>
        <w:fldChar w:fldCharType="end"/>
      </w:r>
      <w:r w:rsidR="00547AD3">
        <w:rPr>
          <w:rFonts w:ascii="Arial" w:hAnsi="Arial" w:cs="Arial"/>
        </w:rPr>
        <w:t xml:space="preserve"> </w:t>
      </w:r>
      <w:r w:rsidRPr="00C10C85">
        <w:rPr>
          <w:rFonts w:ascii="Arial" w:hAnsi="Arial" w:cs="Arial"/>
        </w:rPr>
        <w:t xml:space="preserve">reported that application of </w:t>
      </w:r>
      <w:r w:rsidRPr="00C10C85">
        <w:rPr>
          <w:rFonts w:ascii="Arial" w:hAnsi="Arial" w:cs="Arial"/>
          <w:i/>
          <w:iCs/>
        </w:rPr>
        <w:t xml:space="preserve">T. </w:t>
      </w:r>
      <w:proofErr w:type="spellStart"/>
      <w:r w:rsidRPr="00C10C85">
        <w:rPr>
          <w:rFonts w:ascii="Arial" w:hAnsi="Arial" w:cs="Arial"/>
          <w:i/>
          <w:iCs/>
        </w:rPr>
        <w:t>harzianum</w:t>
      </w:r>
      <w:proofErr w:type="spellEnd"/>
      <w:r w:rsidRPr="00C10C85">
        <w:rPr>
          <w:rFonts w:ascii="Arial" w:hAnsi="Arial" w:cs="Arial"/>
        </w:rPr>
        <w:t xml:space="preserve"> significantly reduced the incidence and severity of black mold disease in shallot.</w:t>
      </w:r>
    </w:p>
    <w:p w14:paraId="29C0FA1A" w14:textId="5AC0E504" w:rsidR="00EE207F" w:rsidRPr="00C10C85" w:rsidRDefault="00EE207F" w:rsidP="00E367A7">
      <w:pPr>
        <w:pStyle w:val="BodyText"/>
        <w:spacing w:line="360" w:lineRule="auto"/>
        <w:ind w:firstLine="720"/>
        <w:jc w:val="both"/>
        <w:rPr>
          <w:rFonts w:ascii="Arial" w:hAnsi="Arial" w:cs="Arial"/>
        </w:rPr>
      </w:pPr>
      <w:r w:rsidRPr="00C10C85">
        <w:rPr>
          <w:rFonts w:ascii="Arial" w:hAnsi="Arial" w:cs="Arial"/>
        </w:rPr>
        <w:t xml:space="preserve">Biological control using microorganisms such as </w:t>
      </w:r>
      <w:r w:rsidRPr="00C10C85">
        <w:rPr>
          <w:rFonts w:ascii="Arial" w:hAnsi="Arial" w:cs="Arial"/>
          <w:i/>
          <w:iCs/>
        </w:rPr>
        <w:t xml:space="preserve">T. </w:t>
      </w:r>
      <w:proofErr w:type="spellStart"/>
      <w:r w:rsidRPr="00C10C85">
        <w:rPr>
          <w:rFonts w:ascii="Arial" w:hAnsi="Arial" w:cs="Arial"/>
          <w:i/>
          <w:iCs/>
        </w:rPr>
        <w:t>harzianum</w:t>
      </w:r>
      <w:proofErr w:type="spellEnd"/>
      <w:r w:rsidRPr="00C10C85">
        <w:rPr>
          <w:rFonts w:ascii="Arial" w:hAnsi="Arial" w:cs="Arial"/>
        </w:rPr>
        <w:t xml:space="preserve"> can be an effective strategy for managing black mold of shallot. However, further research is needed to optimize the use of these microorganisms in field conditions.</w:t>
      </w:r>
    </w:p>
    <w:p w14:paraId="6B477722" w14:textId="77777777" w:rsidR="00EE207F" w:rsidRPr="00B4390A" w:rsidRDefault="00EE207F" w:rsidP="00547AD3">
      <w:pPr>
        <w:pStyle w:val="Heading2"/>
      </w:pPr>
      <w:bookmarkStart w:id="22" w:name="_Toc160641968"/>
      <w:r w:rsidRPr="00B4390A">
        <w:t>Cultural control</w:t>
      </w:r>
      <w:bookmarkEnd w:id="22"/>
      <w:r w:rsidRPr="00B4390A">
        <w:t xml:space="preserve"> </w:t>
      </w:r>
    </w:p>
    <w:p w14:paraId="2FB23C54" w14:textId="4BBF7D1D" w:rsidR="00EE207F" w:rsidRPr="00C10C85" w:rsidRDefault="00EE207F" w:rsidP="00E367A7">
      <w:pPr>
        <w:pStyle w:val="BodyText"/>
        <w:spacing w:line="360" w:lineRule="auto"/>
        <w:jc w:val="both"/>
        <w:rPr>
          <w:rFonts w:ascii="Arial" w:hAnsi="Arial" w:cs="Arial"/>
        </w:rPr>
      </w:pPr>
      <w:r w:rsidRPr="00C10C85">
        <w:rPr>
          <w:rFonts w:ascii="Arial" w:hAnsi="Arial" w:cs="Arial"/>
        </w:rPr>
        <w:t>Cultural control of black molds of shallot can be achieved through various practices such as crop rotation, sanitation, and proper irrigation. These practices help to reduce the humidity and moisture levels that promote the growth of black molds on shallots.</w:t>
      </w:r>
    </w:p>
    <w:p w14:paraId="63C1286C" w14:textId="180CFD0A" w:rsidR="00EE207F" w:rsidRPr="00C10C85" w:rsidRDefault="00EE207F" w:rsidP="00E367A7">
      <w:pPr>
        <w:pStyle w:val="BodyText"/>
        <w:spacing w:line="360" w:lineRule="auto"/>
        <w:jc w:val="both"/>
        <w:rPr>
          <w:rFonts w:ascii="Arial" w:hAnsi="Arial" w:cs="Arial"/>
        </w:rPr>
      </w:pPr>
      <w:r w:rsidRPr="00C10C85">
        <w:rPr>
          <w:rFonts w:ascii="Arial" w:hAnsi="Arial" w:cs="Arial"/>
        </w:rPr>
        <w:t xml:space="preserve">Different crops are planted in exactly the same field each year as part of crop rotation, which breaks the life cycle of the pathogens that produce black mold. According to a study by </w:t>
      </w:r>
      <w:r w:rsidRPr="00C10C85">
        <w:rPr>
          <w:rFonts w:ascii="Arial" w:hAnsi="Arial" w:cs="Arial"/>
        </w:rPr>
        <w:fldChar w:fldCharType="begin" w:fldLock="1"/>
      </w:r>
      <w:r w:rsidRPr="00C10C85">
        <w:rPr>
          <w:rFonts w:ascii="Arial" w:hAnsi="Arial" w:cs="Arial"/>
        </w:rPr>
        <w:instrText>ADDIN CSL_CITATION {"citationItems":[{"id":"ITEM-1","itemData":{"author":[{"dropping-particle":"","family":"Agrios","given":"George N.","non-dropping-particle":"","parse-names":false,"suffix":""}],"edition":"fifth","id":"ITEM-1","issued":{"date-parts":[["2005"]]},"number-of-pages":"669-673","title":"Plant Pathology","type":"book"},"uris":["http://www.mendeley.com/documents/?uuid=dae1e080-e371-47ff-9024-14a02b5507e1"]}],"mendeley":{"formattedCitation":"(Agrios, 2005)","manualFormatting":"Agrios (2005)","plainTextFormattedCitation":"(Agrios, 2005)","previouslyFormattedCitation":"(Agrios, 2005)"},"properties":{"noteIndex":0},"schema":"https://github.com/citation-style-language/schema/raw/master/csl-citation.json"}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Agrios (2005)</w:t>
      </w:r>
      <w:r w:rsidRPr="00C10C85">
        <w:rPr>
          <w:rFonts w:ascii="Arial" w:hAnsi="Arial" w:cs="Arial"/>
        </w:rPr>
        <w:fldChar w:fldCharType="end"/>
      </w:r>
      <w:r w:rsidRPr="00C10C85">
        <w:rPr>
          <w:rFonts w:ascii="Arial" w:hAnsi="Arial" w:cs="Arial"/>
        </w:rPr>
        <w:t xml:space="preserve"> crop rotation can help to reduce the incidence of black mold on shallots by up to 50%. Sanitation practices including removal of plant debris, sterilizing tools, proper disposal of infected plant material, proper irrigation practices and ensuring good drainage prevents the growth and spread of black mold disease </w:t>
      </w:r>
      <w:r w:rsidRPr="00C10C85">
        <w:rPr>
          <w:rFonts w:ascii="Arial" w:hAnsi="Arial" w:cs="Arial"/>
        </w:rPr>
        <w:fldChar w:fldCharType="begin" w:fldLock="1"/>
      </w:r>
      <w:r w:rsidRPr="00C10C85">
        <w:rPr>
          <w:rFonts w:ascii="Arial" w:hAnsi="Arial" w:cs="Arial"/>
        </w:rPr>
        <w:instrText>ADDIN CSL_CITATION {"citationItems":[{"id":"ITEM-1","itemData":{"author":[{"dropping-particle":"","family":"Prajapati","given":"Bindesh","non-dropping-particle":"","parse-names":false,"suffix":""},{"dropping-particle":"","family":"Patil","given":"R K","non-dropping-particle":"","parse-names":false,"suffix":""}],"id":"ITEM-1","issue":"July","issued":{"date-parts":[["2016"]]},"title":"BIO-EFFICACY OF FUNGICIDES IN MANAGEMENT OF BLACK MOULD ROT ( ASPERGILLUS NIGER ) OF ONION","type":"article-journal"},"uris":["http://www.mendeley.com/documents/?uuid=ad31ca19-330f-4cbe-977c-8fa6d0b12331"]}],"mendeley":{"formattedCitation":"(Prajapati &amp; Patil, 2016a)","manualFormatting":"(Prajapati and Patil, 2016a)","plainTextFormattedCitation":"(Prajapati &amp; Patil, 2016a)","previouslyFormattedCitation":"(Prajapati &amp; Patil, 2016a)"},"properties":{"noteIndex":0},"schema":"https://github.com/citation-style-language/schema/raw/master/csl-citation.json"}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(Prajapati and Patil, 2016a)</w:t>
      </w:r>
      <w:r w:rsidRPr="00C10C85">
        <w:rPr>
          <w:rFonts w:ascii="Arial" w:hAnsi="Arial" w:cs="Arial"/>
        </w:rPr>
        <w:fldChar w:fldCharType="end"/>
      </w:r>
      <w:r w:rsidRPr="00C10C85">
        <w:rPr>
          <w:rFonts w:ascii="Arial" w:hAnsi="Arial" w:cs="Arial"/>
        </w:rPr>
        <w:t xml:space="preserve">. </w:t>
      </w:r>
    </w:p>
    <w:p w14:paraId="0438A323" w14:textId="77777777" w:rsidR="00EE207F" w:rsidRPr="00B4390A" w:rsidRDefault="00EE207F" w:rsidP="00547AD3">
      <w:pPr>
        <w:pStyle w:val="Heading2"/>
      </w:pPr>
      <w:bookmarkStart w:id="23" w:name="_Toc160641969"/>
      <w:r w:rsidRPr="00B4390A">
        <w:t>Chemical control</w:t>
      </w:r>
      <w:bookmarkEnd w:id="23"/>
      <w:r w:rsidRPr="00B4390A">
        <w:t xml:space="preserve"> </w:t>
      </w:r>
    </w:p>
    <w:p w14:paraId="0BD71869" w14:textId="683AB3C8" w:rsidR="00EE207F" w:rsidRPr="00C10C85" w:rsidRDefault="00EE207F" w:rsidP="00E367A7">
      <w:pPr>
        <w:pStyle w:val="BodyText"/>
        <w:spacing w:line="360" w:lineRule="auto"/>
        <w:jc w:val="both"/>
        <w:rPr>
          <w:rFonts w:ascii="Arial" w:hAnsi="Arial" w:cs="Arial"/>
        </w:rPr>
      </w:pPr>
      <w:r w:rsidRPr="00C10C85">
        <w:rPr>
          <w:rFonts w:ascii="Arial" w:hAnsi="Arial" w:cs="Arial"/>
        </w:rPr>
        <w:t xml:space="preserve">Using synthetic fungicides to manage the disease is one of the most successful methods. Use of </w:t>
      </w:r>
      <w:proofErr w:type="spellStart"/>
      <w:r w:rsidRPr="00C10C85">
        <w:rPr>
          <w:rFonts w:ascii="Arial" w:hAnsi="Arial" w:cs="Arial"/>
        </w:rPr>
        <w:t>nano-sulphur</w:t>
      </w:r>
      <w:proofErr w:type="spellEnd"/>
      <w:r w:rsidRPr="00C10C85">
        <w:rPr>
          <w:rFonts w:ascii="Arial" w:hAnsi="Arial" w:cs="Arial"/>
        </w:rPr>
        <w:t xml:space="preserve"> was found to be the most effective against black mold rot </w:t>
      </w:r>
      <w:r w:rsidRPr="00C10C85">
        <w:rPr>
          <w:rFonts w:ascii="Arial" w:hAnsi="Arial" w:cs="Arial"/>
        </w:rPr>
        <w:fldChar w:fldCharType="begin" w:fldLock="1"/>
      </w:r>
      <w:r w:rsidRPr="00C10C85">
        <w:rPr>
          <w:rFonts w:ascii="Arial" w:hAnsi="Arial" w:cs="Arial"/>
        </w:rPr>
        <w:instrText>ADDIN CSL_CITATION {"citationItems":[{"id":"ITEM-1","itemData":{"DOI":"10.1063/1.3504287","ISBN":"9780735408258","ISSN":"0094243X","abstract":"Elemental sulfur (S0), man's oldest eco-friendly fungicide for curing fungal infections in plants and animals, is registered in India as a non-systemic and contact fungicide. However due to its high volume requirement, Indian agrochemical industry and farmers could not effectively use this product till date. We hypothesize that intelligent nanoscience applications might increase the visibility of nanosulfur in Indian agriculture as a potent and eco-safe fungicide. Sulfur nanoparticles (NPs) were synthesized bottom-up via a liquid synthesis method with average particle size in the range of 50-80 nm and the shapes of the NPs were spherical. A comparative study of elemental and nano-sulfur produced has been tested against facultative fungal food pathogen, Aspergillus niger. Results showed that nanosulfur is more efficacious than its elemental form. © 2010 American Institute of Physics.","author":[{"dropping-particle":"","family":"Choudhury","given":"Samrat Roy","non-dropping-particle":"","parse-names":false,"suffix":""},{"dropping-particle":"","family":"Nair","given":"Kishore K.","non-dropping-particle":"","parse-names":false,"suffix":""},{"dropping-particle":"","family":"Kumar","given":"Rajesh","non-dropping-particle":"","parse-names":false,"suffix":""},{"dropping-particle":"","family":"Gogoi","given":"Robin","non-dropping-particle":"","parse-names":false,"suffix":""},{"dropping-particle":"","family":"Srivastava","given":"Chitra","non-dropping-particle":"","parse-names":false,"suffix":""},{"dropping-particle":"","family":"Gopal","given":"Madhuban","non-dropping-particle":"","parse-names":false,"suffix":""},{"dropping-particle":"","family":"Subhramanyam","given":"B. S.","non-dropping-particle":"","parse-names":false,"suffix":""},{"dropping-particle":"","family":"Devakumar","given":"C.","non-dropping-particle":"","parse-names":false,"suffix":""},{"dropping-particle":"","family":"Goswami","given":"Arunava","non-dropping-particle":"","parse-names":false,"suffix":""}],"container-title":"AIP Conference Proceedings","id":"ITEM-1","issued":{"date-parts":[["2010"]]},"page":"154-157","title":"Nanosulfur: A potent fungicide against food pathogen, Aspergillus niger","type":"article-journal","volume":"1276"},"uris":["http://www.mendeley.com/documents/?uuid=ac676664-80d1-46f7-a851-3562b8b37d45"]}],"mendeley":{"formattedCitation":"(Choudhury et al., 2010)","plainTextFormattedCitation":"(Choudhury et al., 2010)","previouslyFormattedCitation":"(Choudhury et al., 2010)"},"properties":{"noteIndex":0},"schema":"https://github.com/citation-style-language/schema/raw/master/csl-citation.json"}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(Choudhury </w:t>
      </w:r>
      <w:r w:rsidRPr="00C10C85">
        <w:rPr>
          <w:rFonts w:ascii="Arial" w:hAnsi="Arial" w:cs="Arial"/>
          <w:i/>
          <w:iCs/>
          <w:noProof/>
        </w:rPr>
        <w:t>et al</w:t>
      </w:r>
      <w:r w:rsidRPr="00C10C85">
        <w:rPr>
          <w:rFonts w:ascii="Arial" w:hAnsi="Arial" w:cs="Arial"/>
          <w:noProof/>
        </w:rPr>
        <w:t>., 2010)</w:t>
      </w:r>
      <w:r w:rsidRPr="00C10C85">
        <w:rPr>
          <w:rFonts w:ascii="Arial" w:hAnsi="Arial" w:cs="Arial"/>
        </w:rPr>
        <w:fldChar w:fldCharType="end"/>
      </w:r>
      <w:r w:rsidRPr="00C10C85">
        <w:rPr>
          <w:rFonts w:ascii="Arial" w:hAnsi="Arial" w:cs="Arial"/>
        </w:rPr>
        <w:t xml:space="preserve">. According to a study by </w:t>
      </w:r>
      <w:r w:rsidRPr="00C10C85">
        <w:rPr>
          <w:rFonts w:ascii="Arial" w:hAnsi="Arial" w:cs="Arial"/>
        </w:rPr>
        <w:fldChar w:fldCharType="begin" w:fldLock="1"/>
      </w:r>
      <w:r w:rsidRPr="00C10C85">
        <w:rPr>
          <w:rFonts w:ascii="Arial" w:hAnsi="Arial" w:cs="Arial"/>
        </w:rPr>
        <w:instrText>ADDIN CSL_CITATION {"citationItems":[{"id":"ITEM-1","itemData":{"DOI":"10.20546/ijcmas.2017.603.187","ISSN":"23197692","author":[{"dropping-particle":"","family":"V.B. Anadani","given":"R. Saranya","non-dropping-particle":"","parse-names":false,"suffix":""},{"dropping-particle":"","family":"M. Vanthana","given":"L.F. Akbari","non-dropping-particle":"","parse-names":false,"suffix":""}],"container-title":"International Journal of Current Microbiology and Applied Sciences","id":"ITEM-1","issue":"3","issued":{"date-parts":[["2017"]]},"page":"1621-1627","title":"Management of Black Mold of Onion [Aspergillus niger (Van Teigh)] by using Various Fungicides","type":"article-journal","volume":"6"},"uris":["http://www.mendeley.com/documents/?uuid=176167bf-f96d-450d-9607-c6b7baa560d8"]}],"mendeley":{"formattedCitation":"(V.B. Anadani &amp; M. Vanthana, 2017)","manualFormatting":"Anadani and Vanthana, (2017)","plainTextFormattedCitation":"(V.B. Anadani &amp; M. Vanthana, 2017)","previouslyFormattedCitation":"(V.B. Anadani &amp; M. Vanthana, 2017)"},"properties":{"noteIndex":0},"schema":"https://github.com/citation-style-language/schema/raw/master/csl-citation.json"}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Anadani and Vanthana, (2017)</w:t>
      </w:r>
      <w:r w:rsidRPr="00C10C85">
        <w:rPr>
          <w:rFonts w:ascii="Arial" w:hAnsi="Arial" w:cs="Arial"/>
        </w:rPr>
        <w:fldChar w:fldCharType="end"/>
      </w:r>
      <w:r w:rsidRPr="00C10C85">
        <w:rPr>
          <w:rFonts w:ascii="Arial" w:hAnsi="Arial" w:cs="Arial"/>
        </w:rPr>
        <w:t xml:space="preserve">, systemic fungicides dinocap and thiram, carbendazim and tebuconazole, and combinations of tebuconazole + </w:t>
      </w:r>
      <w:proofErr w:type="spellStart"/>
      <w:r w:rsidRPr="00C10C85">
        <w:rPr>
          <w:rFonts w:ascii="Arial" w:hAnsi="Arial" w:cs="Arial"/>
        </w:rPr>
        <w:t>trifioxystrobin</w:t>
      </w:r>
      <w:proofErr w:type="spellEnd"/>
      <w:r w:rsidRPr="00C10C85">
        <w:rPr>
          <w:rFonts w:ascii="Arial" w:hAnsi="Arial" w:cs="Arial"/>
        </w:rPr>
        <w:t xml:space="preserve"> and </w:t>
      </w:r>
      <w:proofErr w:type="spellStart"/>
      <w:r w:rsidRPr="00C10C85">
        <w:rPr>
          <w:rFonts w:ascii="Arial" w:hAnsi="Arial" w:cs="Arial"/>
        </w:rPr>
        <w:t>pyraclostrobin</w:t>
      </w:r>
      <w:proofErr w:type="spellEnd"/>
      <w:r w:rsidRPr="00C10C85">
        <w:rPr>
          <w:rFonts w:ascii="Arial" w:hAnsi="Arial" w:cs="Arial"/>
        </w:rPr>
        <w:t xml:space="preserve"> + </w:t>
      </w:r>
      <w:proofErr w:type="spellStart"/>
      <w:r w:rsidRPr="00C10C85">
        <w:rPr>
          <w:rFonts w:ascii="Arial" w:hAnsi="Arial" w:cs="Arial"/>
        </w:rPr>
        <w:t>epoxyconazole</w:t>
      </w:r>
      <w:proofErr w:type="spellEnd"/>
      <w:r w:rsidRPr="00C10C85">
        <w:rPr>
          <w:rFonts w:ascii="Arial" w:hAnsi="Arial" w:cs="Arial"/>
        </w:rPr>
        <w:t xml:space="preserve"> all significantly slow down the growth of radial mycelia when </w:t>
      </w:r>
      <w:r w:rsidR="00547AD3">
        <w:rPr>
          <w:rFonts w:ascii="Arial" w:hAnsi="Arial" w:cs="Arial"/>
        </w:rPr>
        <w:t>test</w:t>
      </w:r>
      <w:r w:rsidRPr="00C10C85">
        <w:rPr>
          <w:rFonts w:ascii="Arial" w:hAnsi="Arial" w:cs="Arial"/>
        </w:rPr>
        <w:t xml:space="preserve">ed </w:t>
      </w:r>
      <w:r w:rsidRPr="00C10C85">
        <w:rPr>
          <w:rFonts w:ascii="Arial" w:hAnsi="Arial" w:cs="Arial"/>
          <w:i/>
          <w:iCs/>
        </w:rPr>
        <w:t>in vitro</w:t>
      </w:r>
      <w:r w:rsidRPr="00C10C85">
        <w:rPr>
          <w:rFonts w:ascii="Arial" w:hAnsi="Arial" w:cs="Arial"/>
        </w:rPr>
        <w:t>. It is important to note that the use of synthetic</w:t>
      </w:r>
      <w:r w:rsidRPr="00C10C85">
        <w:rPr>
          <w:rFonts w:ascii="Arial" w:hAnsi="Arial" w:cs="Arial"/>
          <w:i/>
          <w:iCs/>
        </w:rPr>
        <w:t xml:space="preserve"> </w:t>
      </w:r>
      <w:r w:rsidRPr="00C10C85">
        <w:rPr>
          <w:rFonts w:ascii="Arial" w:hAnsi="Arial" w:cs="Arial"/>
        </w:rPr>
        <w:t>fungicides may leave residue in the farm produce which may be harmful to consumers.</w:t>
      </w:r>
    </w:p>
    <w:p w14:paraId="55D02B71" w14:textId="77777777" w:rsidR="00EE207F" w:rsidRPr="00B4390A" w:rsidRDefault="00EE207F" w:rsidP="00547AD3">
      <w:pPr>
        <w:pStyle w:val="Heading2"/>
      </w:pPr>
      <w:bookmarkStart w:id="24" w:name="_Toc160641970"/>
      <w:r w:rsidRPr="00B4390A">
        <w:t>Use of botanicals</w:t>
      </w:r>
      <w:bookmarkEnd w:id="24"/>
      <w:r w:rsidRPr="00B4390A">
        <w:t xml:space="preserve"> </w:t>
      </w:r>
    </w:p>
    <w:p w14:paraId="2E1F69D7" w14:textId="2F01FBBA" w:rsidR="00EE207F" w:rsidRPr="00C10C85" w:rsidRDefault="00EE207F" w:rsidP="00E367A7">
      <w:pPr>
        <w:pStyle w:val="BodyText"/>
        <w:spacing w:line="360" w:lineRule="auto"/>
        <w:jc w:val="both"/>
        <w:rPr>
          <w:rFonts w:ascii="Arial" w:hAnsi="Arial" w:cs="Arial"/>
        </w:rPr>
      </w:pPr>
      <w:r w:rsidRPr="00C10C85">
        <w:rPr>
          <w:rFonts w:ascii="Arial" w:hAnsi="Arial" w:cs="Arial"/>
        </w:rPr>
        <w:t xml:space="preserve">Botanical control methods can be effective in reducing the incidence and severity of black mold. </w:t>
      </w:r>
      <w:r w:rsidRPr="00C10C85">
        <w:rPr>
          <w:rFonts w:ascii="Arial" w:hAnsi="Arial" w:cs="Arial"/>
          <w:i/>
          <w:iCs/>
        </w:rPr>
        <w:t>A</w:t>
      </w:r>
      <w:r w:rsidR="00547AD3">
        <w:rPr>
          <w:rFonts w:ascii="Arial" w:hAnsi="Arial" w:cs="Arial"/>
          <w:i/>
          <w:iCs/>
        </w:rPr>
        <w:t>spergillus</w:t>
      </w:r>
      <w:r w:rsidRPr="00C10C85">
        <w:rPr>
          <w:rFonts w:ascii="Arial" w:hAnsi="Arial" w:cs="Arial"/>
          <w:i/>
          <w:iCs/>
        </w:rPr>
        <w:t xml:space="preserve"> </w:t>
      </w:r>
      <w:proofErr w:type="spellStart"/>
      <w:r w:rsidRPr="00C10C85">
        <w:rPr>
          <w:rFonts w:ascii="Arial" w:hAnsi="Arial" w:cs="Arial"/>
          <w:i/>
          <w:iCs/>
        </w:rPr>
        <w:t>niger</w:t>
      </w:r>
      <w:proofErr w:type="spellEnd"/>
      <w:r w:rsidRPr="00C10C85">
        <w:rPr>
          <w:rFonts w:ascii="Arial" w:hAnsi="Arial" w:cs="Arial"/>
        </w:rPr>
        <w:t xml:space="preserve">, </w:t>
      </w:r>
      <w:r w:rsidRPr="00C10C85">
        <w:rPr>
          <w:rFonts w:ascii="Arial" w:hAnsi="Arial" w:cs="Arial"/>
          <w:i/>
          <w:iCs/>
        </w:rPr>
        <w:t xml:space="preserve">Penicillium </w:t>
      </w:r>
      <w:proofErr w:type="spellStart"/>
      <w:r w:rsidRPr="00C10C85">
        <w:rPr>
          <w:rFonts w:ascii="Arial" w:hAnsi="Arial" w:cs="Arial"/>
          <w:i/>
          <w:iCs/>
        </w:rPr>
        <w:t>citrinum</w:t>
      </w:r>
      <w:proofErr w:type="spellEnd"/>
      <w:r w:rsidRPr="00C10C85">
        <w:rPr>
          <w:rFonts w:ascii="Arial" w:hAnsi="Arial" w:cs="Arial"/>
        </w:rPr>
        <w:t xml:space="preserve"> (which causes citrus rust), and </w:t>
      </w:r>
      <w:r w:rsidRPr="00C10C85">
        <w:rPr>
          <w:rFonts w:ascii="Arial" w:hAnsi="Arial" w:cs="Arial"/>
          <w:i/>
          <w:iCs/>
        </w:rPr>
        <w:t>Rhizopus oryzae</w:t>
      </w:r>
      <w:r w:rsidRPr="00C10C85">
        <w:rPr>
          <w:rFonts w:ascii="Arial" w:hAnsi="Arial" w:cs="Arial"/>
        </w:rPr>
        <w:t xml:space="preserve"> (a disease that affects carrots, pineapples, and mangoes) are all susceptible to the peel and juice extracts from pomegranate (</w:t>
      </w:r>
      <w:r w:rsidRPr="00C10C85">
        <w:rPr>
          <w:rFonts w:ascii="Arial" w:hAnsi="Arial" w:cs="Arial"/>
          <w:i/>
          <w:iCs/>
        </w:rPr>
        <w:t>Punica granatum</w:t>
      </w:r>
      <w:r w:rsidRPr="00C10C85">
        <w:rPr>
          <w:rFonts w:ascii="Arial" w:hAnsi="Arial" w:cs="Arial"/>
        </w:rPr>
        <w:t xml:space="preserve">), both in aqueous and alcoholic forms. </w:t>
      </w:r>
      <w:r w:rsidRPr="00C10C85">
        <w:rPr>
          <w:rFonts w:ascii="Arial" w:hAnsi="Arial" w:cs="Arial"/>
        </w:rPr>
        <w:fldChar w:fldCharType="begin" w:fldLock="1"/>
      </w:r>
      <w:r w:rsidRPr="00C10C85">
        <w:rPr>
          <w:rFonts w:ascii="Arial" w:hAnsi="Arial" w:cs="Arial"/>
        </w:rPr>
        <w:instrText>ADDIN CSL_CITATION {"citationItems":[{"id":"ITEM-1","itemData":{"author":[{"dropping-particle":"","family":"Dahham SS, Ali MN, Tabassum H","given":"Khan M.","non-dropping-particle":"","parse-names":false,"suffix":""}],"container-title":"Am-Euras J Agric &amp; Environ Sci","id":"ITEM-1","issue":"3","issued":{"date-parts":[["2010"]]},"page":"273-281","title":"Studies on antibacterial and antifungal activity of pomegranate (Punica granatum L.)","type":"article-journal","volume":"9"},"uris":["http://www.mendeley.com/documents/?uuid=57798e8d-3fad-4a77-b48a-d994b9774ec2"]}],"mendeley":{"formattedCitation":"(Dahham SS, Ali MN, Tabassum H, 2010)","manualFormatting":"(Dahham et al., 2010)","plainTextFormattedCitation":"(Dahham SS, Ali MN, Tabassum H, 2010)","previouslyFormattedCitation":"(Dahham SS, Ali MN, Tabassum H, 2010)"},"properties":{"noteIndex":0},"schema":"https://github.com/citation-style-language/schema/raw/master/csl-citation.json"}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(Dahham </w:t>
      </w:r>
      <w:r w:rsidRPr="00C10C85">
        <w:rPr>
          <w:rFonts w:ascii="Arial" w:hAnsi="Arial" w:cs="Arial"/>
          <w:i/>
          <w:iCs/>
          <w:noProof/>
        </w:rPr>
        <w:t>et al.,</w:t>
      </w:r>
      <w:r w:rsidRPr="00C10C85">
        <w:rPr>
          <w:rFonts w:ascii="Arial" w:hAnsi="Arial" w:cs="Arial"/>
          <w:noProof/>
        </w:rPr>
        <w:t xml:space="preserve"> 2010)</w:t>
      </w:r>
      <w:r w:rsidRPr="00C10C85">
        <w:rPr>
          <w:rFonts w:ascii="Arial" w:hAnsi="Arial" w:cs="Arial"/>
        </w:rPr>
        <w:fldChar w:fldCharType="end"/>
      </w:r>
      <w:r w:rsidRPr="00C10C85">
        <w:rPr>
          <w:rFonts w:ascii="Arial" w:hAnsi="Arial" w:cs="Arial"/>
        </w:rPr>
        <w:t xml:space="preserve">. According to </w:t>
      </w:r>
      <w:r w:rsidRPr="00C10C85">
        <w:rPr>
          <w:rFonts w:ascii="Arial" w:hAnsi="Arial" w:cs="Arial"/>
        </w:rPr>
        <w:fldChar w:fldCharType="begin" w:fldLock="1"/>
      </w:r>
      <w:r w:rsidRPr="00C10C85">
        <w:rPr>
          <w:rFonts w:ascii="Arial" w:hAnsi="Arial" w:cs="Arial"/>
        </w:rPr>
        <w:instrText>ADDIN CSL_CITATION {"citationItems":[{"id":"ITEM-1","itemData":{"abstract":"Eight commonly used spices Syzygium aromaticum, Cinnamonum zeylanicum, Zingiber officinale, Murraya koenigii, Piper nigrum, Trachyspermum ammi, Allium sativum and Allium cepa were tested for in vitro antifungal activity on Aspergillus niger, a causative agent of different destructive disease. Out of eight plant materials used, five showed significant antifungal activity against the test pathogen by poisoned food technique. Syzygium aromaticum and Allium sativum showed 100% inhibition of mycelial growth at 20% concentration. Results of the present investigation indicates that spices possess antifungal activity and can be exploited as natural fungitoxicant to control the growth of storage or spoilage fungi, A. niger and thus reduce the dependence on the synthetic fungicides.","author":[{"dropping-particle":"","family":"Avasthi","given":"Shubhi","non-dropping-particle":"","parse-names":false,"suffix":""},{"dropping-particle":"","family":"Gautam","given":"Ajay K","non-dropping-particle":"","parse-names":false,"suffix":""},{"dropping-particle":"","family":"Bhadauria","given":"Rekha","non-dropping-particle":"","parse-names":false,"suffix":""}],"container-title":"Biological Forum - An International Journal","id":"ITEM-1","issue":"1","issued":{"date-parts":[["2010"]]},"page":"53-55","title":"Antifungal activity of plant products against Aspergillus niger: A potential application in the control of a spoilage fungus","type":"article-journal","volume":"2"},"uris":["http://www.mendeley.com/documents/?uuid=0c4e6a3a-794c-45d3-a858-42c37377b541"]}],"mendeley":{"formattedCitation":"(Avasthi et al., 2010)","manualFormatting":"Avasthi et al. (2010)","plainTextFormattedCitation":"(Avasthi et al., 2010)","previouslyFormattedCitation":"(Avasthi et al., 2010)"},"properties":{"noteIndex":0},"schema":"https://github.com/citation-style-language/schema/raw/master/csl-citation.json"}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Avasthi </w:t>
      </w:r>
      <w:r w:rsidRPr="00C10C85">
        <w:rPr>
          <w:rFonts w:ascii="Arial" w:hAnsi="Arial" w:cs="Arial"/>
          <w:i/>
          <w:iCs/>
          <w:noProof/>
        </w:rPr>
        <w:t>et al</w:t>
      </w:r>
      <w:r w:rsidRPr="00C10C85">
        <w:rPr>
          <w:rFonts w:ascii="Arial" w:hAnsi="Arial" w:cs="Arial"/>
          <w:noProof/>
        </w:rPr>
        <w:t>. (2010)</w:t>
      </w:r>
      <w:r w:rsidRPr="00C10C85">
        <w:rPr>
          <w:rFonts w:ascii="Arial" w:hAnsi="Arial" w:cs="Arial"/>
        </w:rPr>
        <w:fldChar w:fldCharType="end"/>
      </w:r>
      <w:r w:rsidRPr="00C10C85">
        <w:rPr>
          <w:rFonts w:ascii="Arial" w:hAnsi="Arial" w:cs="Arial"/>
        </w:rPr>
        <w:t xml:space="preserve">, </w:t>
      </w:r>
      <w:proofErr w:type="spellStart"/>
      <w:r w:rsidRPr="00C10C85">
        <w:rPr>
          <w:rFonts w:ascii="Arial" w:hAnsi="Arial" w:cs="Arial"/>
          <w:i/>
          <w:iCs/>
        </w:rPr>
        <w:t>Syzygium</w:t>
      </w:r>
      <w:proofErr w:type="spellEnd"/>
      <w:r w:rsidRPr="00C10C85">
        <w:rPr>
          <w:rFonts w:ascii="Arial" w:hAnsi="Arial" w:cs="Arial"/>
          <w:i/>
          <w:iCs/>
        </w:rPr>
        <w:t xml:space="preserve"> </w:t>
      </w:r>
      <w:proofErr w:type="spellStart"/>
      <w:r w:rsidRPr="00C10C85">
        <w:rPr>
          <w:rFonts w:ascii="Arial" w:hAnsi="Arial" w:cs="Arial"/>
          <w:i/>
          <w:iCs/>
        </w:rPr>
        <w:t>aromaticum</w:t>
      </w:r>
      <w:proofErr w:type="spellEnd"/>
      <w:r w:rsidRPr="00C10C85">
        <w:rPr>
          <w:rFonts w:ascii="Arial" w:hAnsi="Arial" w:cs="Arial"/>
        </w:rPr>
        <w:t xml:space="preserve"> and </w:t>
      </w:r>
      <w:r w:rsidRPr="00C10C85">
        <w:rPr>
          <w:rFonts w:ascii="Arial" w:hAnsi="Arial" w:cs="Arial"/>
          <w:i/>
          <w:iCs/>
        </w:rPr>
        <w:t>Allium sativum</w:t>
      </w:r>
      <w:r w:rsidRPr="00C10C85">
        <w:rPr>
          <w:rFonts w:ascii="Arial" w:hAnsi="Arial" w:cs="Arial"/>
        </w:rPr>
        <w:t xml:space="preserve"> completely inhibited mycelia growth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at a 20% concentration, indicating that spices have antifungal activity and can be used as natural fungi toxicants for managing the growth of storage or spoilage fungi. The growth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mycelia (the black mold that grows on vegetables) has been found to be inhibited by aqueous extracts from the plants </w:t>
      </w:r>
      <w:r w:rsidRPr="00C10C85">
        <w:rPr>
          <w:rFonts w:ascii="Arial" w:hAnsi="Arial" w:cs="Arial"/>
          <w:i/>
          <w:iCs/>
        </w:rPr>
        <w:t xml:space="preserve">A. nilotica, M. </w:t>
      </w:r>
      <w:proofErr w:type="spellStart"/>
      <w:r w:rsidRPr="00C10C85">
        <w:rPr>
          <w:rFonts w:ascii="Arial" w:hAnsi="Arial" w:cs="Arial"/>
          <w:i/>
          <w:iCs/>
        </w:rPr>
        <w:t>elengi</w:t>
      </w:r>
      <w:proofErr w:type="spellEnd"/>
      <w:r w:rsidRPr="00C10C85">
        <w:rPr>
          <w:rFonts w:ascii="Arial" w:hAnsi="Arial" w:cs="Arial"/>
          <w:i/>
          <w:iCs/>
        </w:rPr>
        <w:t xml:space="preserve">, and P. </w:t>
      </w:r>
      <w:proofErr w:type="spellStart"/>
      <w:r w:rsidRPr="00C10C85">
        <w:rPr>
          <w:rFonts w:ascii="Arial" w:hAnsi="Arial" w:cs="Arial"/>
          <w:i/>
          <w:iCs/>
        </w:rPr>
        <w:t>juliflora</w:t>
      </w:r>
      <w:proofErr w:type="spellEnd"/>
      <w:r w:rsidRPr="00C10C85">
        <w:rPr>
          <w:rFonts w:ascii="Arial" w:hAnsi="Arial" w:cs="Arial"/>
        </w:rPr>
        <w:t xml:space="preserve">.  </w:t>
      </w:r>
      <w:r w:rsidRPr="00C10C85">
        <w:rPr>
          <w:rFonts w:ascii="Arial" w:hAnsi="Arial" w:cs="Arial"/>
        </w:rPr>
        <w:fldChar w:fldCharType="begin" w:fldLock="1"/>
      </w:r>
      <w:r w:rsidRPr="00C10C85">
        <w:rPr>
          <w:rFonts w:ascii="Arial" w:hAnsi="Arial" w:cs="Arial"/>
        </w:rPr>
        <w:instrText>ADDIN CSL_CITATION {"citationItems":[{"id":"ITEM-1","itemData":{"author":[{"dropping-particle":"","family":"Satish S, Mohana DC, Ranhavendra MP","given":"Raveesha KA.","non-dropping-particle":"","parse-names":false,"suffix":""}],"container-title":"J Agr Sci Tech","id":"ITEM-1","issue":"1","issued":{"date-parts":[["2007"]]},"page":"109-119","title":"Antifungal activity of some plant extracts against important seed borne pathogens of Aspergillus sp.","type":"article-journal","volume":"3"},"uris":["http://www.mendeley.com/documents/?uuid=d311a755-5e5d-4e83-910c-8296e34e2209"]}],"mendeley":{"formattedCitation":"(Satish S, Mohana DC, Ranhavendra MP, 2007)","manualFormatting":"(Satish et al., 2007)","plainTextFormattedCitation":"(Satish S, Mohana DC, Ranhavendra MP, 2007)","previouslyFormattedCitation":"(Satish S, Mohana DC, Ranhavendra MP, 2007)"},"properties":{"noteIndex":0},"schema":"https://github.com/citation-style-language/schema/raw/master/csl-citation.json"}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(Satish </w:t>
      </w:r>
      <w:r w:rsidRPr="00C10C85">
        <w:rPr>
          <w:rFonts w:ascii="Arial" w:hAnsi="Arial" w:cs="Arial"/>
          <w:i/>
          <w:iCs/>
          <w:noProof/>
        </w:rPr>
        <w:t>et al.,</w:t>
      </w:r>
      <w:r w:rsidRPr="00C10C85">
        <w:rPr>
          <w:rFonts w:ascii="Arial" w:hAnsi="Arial" w:cs="Arial"/>
          <w:noProof/>
        </w:rPr>
        <w:t xml:space="preserve"> 2007)</w:t>
      </w:r>
      <w:r w:rsidRPr="00C10C85">
        <w:rPr>
          <w:rFonts w:ascii="Arial" w:hAnsi="Arial" w:cs="Arial"/>
        </w:rPr>
        <w:fldChar w:fldCharType="end"/>
      </w:r>
      <w:r w:rsidRPr="00C10C85">
        <w:rPr>
          <w:rFonts w:ascii="Arial" w:hAnsi="Arial" w:cs="Arial"/>
        </w:rPr>
        <w:t xml:space="preserve">. As a multispecies natural control, ethanolic </w:t>
      </w:r>
      <w:r w:rsidRPr="00C10C85">
        <w:rPr>
          <w:rFonts w:ascii="Arial" w:hAnsi="Arial" w:cs="Arial"/>
        </w:rPr>
        <w:lastRenderedPageBreak/>
        <w:t>extracts of grains of paradise (</w:t>
      </w:r>
      <w:proofErr w:type="spellStart"/>
      <w:r w:rsidRPr="00C10C85">
        <w:rPr>
          <w:rFonts w:ascii="Arial" w:hAnsi="Arial" w:cs="Arial"/>
          <w:i/>
          <w:iCs/>
        </w:rPr>
        <w:t>Aframomum</w:t>
      </w:r>
      <w:proofErr w:type="spellEnd"/>
      <w:r w:rsidRPr="00C10C85">
        <w:rPr>
          <w:rFonts w:ascii="Arial" w:hAnsi="Arial" w:cs="Arial"/>
          <w:i/>
          <w:iCs/>
        </w:rPr>
        <w:t xml:space="preserve"> </w:t>
      </w:r>
      <w:proofErr w:type="spellStart"/>
      <w:r w:rsidRPr="00C10C85">
        <w:rPr>
          <w:rFonts w:ascii="Arial" w:hAnsi="Arial" w:cs="Arial"/>
          <w:i/>
          <w:iCs/>
        </w:rPr>
        <w:t>melegueta</w:t>
      </w:r>
      <w:proofErr w:type="spellEnd"/>
      <w:r w:rsidRPr="00C10C85">
        <w:rPr>
          <w:rFonts w:ascii="Arial" w:hAnsi="Arial" w:cs="Arial"/>
        </w:rPr>
        <w:t>) and clove basil (</w:t>
      </w:r>
      <w:proofErr w:type="spellStart"/>
      <w:r w:rsidRPr="00C10C85">
        <w:rPr>
          <w:rFonts w:ascii="Arial" w:hAnsi="Arial" w:cs="Arial"/>
          <w:i/>
          <w:iCs/>
        </w:rPr>
        <w:t>Ocimum</w:t>
      </w:r>
      <w:proofErr w:type="spellEnd"/>
      <w:r w:rsidRPr="00C10C85">
        <w:rPr>
          <w:rFonts w:ascii="Arial" w:hAnsi="Arial" w:cs="Arial"/>
          <w:i/>
          <w:iCs/>
        </w:rPr>
        <w:t xml:space="preserve"> </w:t>
      </w:r>
      <w:proofErr w:type="spellStart"/>
      <w:r w:rsidRPr="00C10C85">
        <w:rPr>
          <w:rFonts w:ascii="Arial" w:hAnsi="Arial" w:cs="Arial"/>
          <w:i/>
          <w:iCs/>
        </w:rPr>
        <w:t>gratissimum</w:t>
      </w:r>
      <w:proofErr w:type="spellEnd"/>
      <w:r w:rsidRPr="00C10C85">
        <w:rPr>
          <w:rFonts w:ascii="Arial" w:hAnsi="Arial" w:cs="Arial"/>
        </w:rPr>
        <w:t xml:space="preserve">) may inhibit the formation of spores and mycelia of </w:t>
      </w:r>
      <w:r w:rsidRPr="00C10C85">
        <w:rPr>
          <w:rFonts w:ascii="Arial" w:hAnsi="Arial" w:cs="Arial"/>
          <w:i/>
          <w:iCs/>
        </w:rPr>
        <w:t>A. flavus</w:t>
      </w:r>
      <w:r w:rsidRPr="00C10C85">
        <w:rPr>
          <w:rFonts w:ascii="Arial" w:hAnsi="Arial" w:cs="Arial"/>
        </w:rPr>
        <w:t xml:space="preserve"> and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w:t>
      </w:r>
      <w:r w:rsidRPr="00C10C85">
        <w:rPr>
          <w:rFonts w:ascii="Arial" w:hAnsi="Arial" w:cs="Arial"/>
        </w:rPr>
        <w:fldChar w:fldCharType="begin" w:fldLock="1"/>
      </w:r>
      <w:r w:rsidRPr="00C10C85">
        <w:rPr>
          <w:rFonts w:ascii="Arial" w:hAnsi="Arial" w:cs="Arial"/>
        </w:rPr>
        <w:instrText>ADDIN CSL_CITATION {"citationItems":[{"id":"ITEM-1","itemData":{"author":[{"dropping-particle":"","family":"Okigbo RN","given":"Ogbonnaya UO.","non-dropping-particle":"","parse-names":false,"suffix":""}],"container-title":"Afr J Biotechnol","id":"ITEM-1","issue":"9","issued":{"date-parts":[["2006"]]},"page":"727-731","title":"Antifungal effects of two tropical plant leaf extracts (Ocimum gratissimum and Afromomum melegueta) on postharvest yam (Dioscorea spp.) rot","type":"article-journal","volume":"5"},"uris":["http://www.mendeley.com/documents/?uuid=30e8064e-c3ce-4e1a-b8cc-eef0fdbb6861"]}],"mendeley":{"formattedCitation":"(Okigbo RN, 2006)","manualFormatting":"(Okigbo and Ogbonnaya, 2006)","plainTextFormattedCitation":"(Okigbo RN, 2006)","previouslyFormattedCitation":"(Okigbo RN, 2006)"},"properties":{"noteIndex":0},"schema":"https://github.com/citation-style-language/schema/raw/master/csl-citation.json"}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(Okigbo and Ogbonnaya, 2006)</w:t>
      </w:r>
      <w:r w:rsidRPr="00C10C85">
        <w:rPr>
          <w:rFonts w:ascii="Arial" w:hAnsi="Arial" w:cs="Arial"/>
        </w:rPr>
        <w:fldChar w:fldCharType="end"/>
      </w:r>
      <w:r w:rsidRPr="00C10C85">
        <w:rPr>
          <w:rFonts w:ascii="Arial" w:hAnsi="Arial" w:cs="Arial"/>
        </w:rPr>
        <w:t>.</w:t>
      </w:r>
    </w:p>
    <w:p w14:paraId="062C2424" w14:textId="580EFDD8" w:rsidR="00EE207F" w:rsidRPr="00C10C85" w:rsidRDefault="00EE207F" w:rsidP="00E367A7">
      <w:pPr>
        <w:pStyle w:val="BodyText"/>
        <w:spacing w:line="360" w:lineRule="auto"/>
        <w:ind w:firstLine="720"/>
        <w:jc w:val="both"/>
        <w:rPr>
          <w:rFonts w:ascii="Arial" w:hAnsi="Arial" w:cs="Arial"/>
        </w:rPr>
      </w:pPr>
      <w:r w:rsidRPr="00C10C85">
        <w:rPr>
          <w:rFonts w:ascii="Arial" w:hAnsi="Arial" w:cs="Arial"/>
        </w:rPr>
        <w:t xml:space="preserve">Other studies </w:t>
      </w:r>
      <w:r w:rsidRPr="00C10C85">
        <w:rPr>
          <w:rFonts w:ascii="Arial" w:hAnsi="Arial" w:cs="Arial"/>
        </w:rPr>
        <w:fldChar w:fldCharType="begin" w:fldLock="1"/>
      </w:r>
      <w:r w:rsidRPr="00C10C85">
        <w:rPr>
          <w:rFonts w:ascii="Arial" w:hAnsi="Arial" w:cs="Arial"/>
        </w:rPr>
        <w:instrText>ADDIN CSL_CITATION {"citationItems":[{"id":"ITEM-1","itemData":{"DOI":"10.1080/03235400701621933","author":[{"dropping-particle":"","family":"Nehal el-mougy, dr nadia el-gamal","given":"Mokhtar Abdel-Kader","non-dropping-particle":"","parse-names":false,"suffix":""}],"container-title":"Taylor &amp; Francis","id":"ITEM-1","issue":"11","issued":{"date-parts":[["2009"]]},"page":"1059-1068","title":"Pre-storage application of some essential oils and food preservatives against black mould incidence of garlic cloves during storage","type":"article-journal","volume":"42"},"uris":["http://www.mendeley.com/documents/?uuid=e4198281-d7dd-44e0-aadf-8ee03f1626ec"]},{"id":"ITEM-2","itemData":{"author":[{"dropping-particle":"","family":"G. Sibi, R. Wadhavan, S. Singh, K. Dhananjaya, K. R. Ravikumar","given":"H. Mallesha less","non-dropping-particle":"","parse-names":false,"suffix":""}],"container-title":"Asian Journal of Pharmaceutical and Clinical Research","id":"ITEM-2","issued":{"date-parts":[["2013"]]},"title":"Biological control of onion black mold by Indian culinary spices under in vitro conditions","type":"article-journal"},"uris":["http://www.mendeley.com/documents/?uuid=247beda5-b0c0-4324-8cc8-a5e60bc1139b"]},{"id":"ITEM-3","itemData":{"DOI":"10.1016/j.sjbs.2019.06.002","ISSN":"1319-562X","author":[{"dropping-particle":"","family":"Srinivas","given":"C","non-dropping-particle":"","parse-names":false,"suffix":""},{"dropping-particle":"","family":"Devi","given":"D Nirmala","non-dropping-particle":"","parse-names":false,"suffix":""},{"dropping-particle":"","family":"Murthy","given":"K Narasimha","non-dropping-particle":"","parse-names":false,"suffix":""},{"dropping-particle":"","family":"Dhananjaya","given":"Chakrabhavi","non-dropping-particle":"","parse-names":false,"suffix":""},{"dropping-particle":"","family":"Lakshmeesha","given":"T R","non-dropping-particle":"","parse-names":false,"suffix":""},{"dropping-particle":"","family":"Singh","given":"Bhimpratap","non-dropping-particle":"","parse-names":false,"suffix":""},{"dropping-particle":"","family":"Kumar","given":"Naveen","non-dropping-particle":"","parse-names":false,"suffix":""},{"dropping-particle":"","family":"Niranjana","given":"S R","non-dropping-particle":"","parse-names":false,"suffix":""},{"dropping-particle":"","family":"Hashem","given":"Abeer","non-dropping-particle":"","parse-names":false,"suffix":""},{"dropping-particle":"","family":"Alqarawi","given":"Abdulaziz A","non-dropping-particle":"","parse-names":false,"suffix":""},{"dropping-particle":"","family":"Tabassum","given":"Baby","non-dropping-particle":"","parse-names":false,"suffix":""},{"dropping-particle":"","family":"Fathi","given":"Elsayed","non-dropping-particle":"","parse-names":false,"suffix":""},{"dropping-particle":"","family":"Allah","given":"Abd","non-dropping-particle":"","parse-names":false,"suffix":""},{"dropping-particle":"","family":"Nayaka","given":"S Chandra","non-dropping-particle":"","parse-names":false,"suffix":""}],"container-title":"Saudi Journal of Biological Sciences","id":"ITEM-3","issue":"7","issued":{"date-parts":[["2019"]]},"page":"1315-1324","publisher":"King Saud University","title":"Saudi Journal of Biological Sciences Fusarium oxysporum f . sp . lycopersici causal agent of vascular wilt disease of tomato : Biology to diversity – A review","type":"article-journal","volume":"26"},"uris":["http://www.mendeley.com/documents/?uuid=9612aa0d-294b-4bf7-b1dc-86ad527e0908"]},{"id":"ITEM-4","itemData":{"DOI":"10.20546/ijcmas.2017.603.187","ISSN":"23197692","author":[{"dropping-particle":"","family":"V.B. Anadani","given":"R. Saranya","non-dropping-particle":"","parse-names":false,"suffix":""},{"dropping-particle":"","family":"M. Vanthana","given":"L.F. Akbari","non-dropping-particle":"","parse-names":false,"suffix":""}],"container-title":"International Journal of Current Microbiology and Applied Sciences","id":"ITEM-4","issue":"3","issued":{"date-parts":[["2017"]]},"page":"1621-1627","title":"Management of Black Mold of Onion [Aspergillus niger (Van Teigh)] by using Various Fungicides","type":"article-journal","volume":"6"},"uris":["http://www.mendeley.com/documents/?uuid=176167bf-f96d-450d-9607-c6b7baa560d8"]}],"mendeley":{"formattedCitation":"(G. Sibi, R. Wadhavan, S. Singh, K. Dhananjaya, K. R. Ravikumar, 2013; Nehal el-mougy, dr nadia el-gamal, 2009; Srinivas et al., 2019; V.B. Anadani &amp; M. Vanthana, 2017)","manualFormatting":"(Nehal et al., 2009; Sibi et al., 2013; Anadani and Vanthana, 2017; Srinivas et al., 2019)","plainTextFormattedCitation":"(G. Sibi, R. Wadhavan, S. Singh, K. Dhananjaya, K. R. Ravikumar, 2013; Nehal el-mougy, dr nadia el-gamal, 2009; Srinivas et al., 2019; V.B. Anadani &amp; M. Vanthana, 2017)","previouslyFormattedCitation":"(G. Sibi, R. Wadhavan, S. Singh, K. Dhananjaya, K. R. Ravikumar, 2013; Nehal el-mougy, dr nadia el-gamal, 2009; Srinivas et al., 2019; V.B. Anadani &amp; M. Vanthana, 2017)"},"properties":{"noteIndex":0},"schema":"https://github.com/citation-style-language/schema/raw/master/csl-citation.json"}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(Nehal </w:t>
      </w:r>
      <w:r w:rsidRPr="00C10C85">
        <w:rPr>
          <w:rFonts w:ascii="Arial" w:hAnsi="Arial" w:cs="Arial"/>
          <w:i/>
          <w:iCs/>
          <w:noProof/>
        </w:rPr>
        <w:t xml:space="preserve">et al., </w:t>
      </w:r>
      <w:r w:rsidRPr="00C10C85">
        <w:rPr>
          <w:rFonts w:ascii="Arial" w:hAnsi="Arial" w:cs="Arial"/>
          <w:noProof/>
        </w:rPr>
        <w:t xml:space="preserve">2009; Sibi </w:t>
      </w:r>
      <w:r w:rsidRPr="00C10C85">
        <w:rPr>
          <w:rFonts w:ascii="Arial" w:hAnsi="Arial" w:cs="Arial"/>
          <w:i/>
          <w:iCs/>
          <w:noProof/>
        </w:rPr>
        <w:t>et al.,</w:t>
      </w:r>
      <w:r w:rsidRPr="00C10C85">
        <w:rPr>
          <w:rFonts w:ascii="Arial" w:hAnsi="Arial" w:cs="Arial"/>
          <w:noProof/>
        </w:rPr>
        <w:t xml:space="preserve"> 2013; Anadani and Vanthana, 2017; Srinivas </w:t>
      </w:r>
      <w:r w:rsidRPr="00C10C85">
        <w:rPr>
          <w:rFonts w:ascii="Arial" w:hAnsi="Arial" w:cs="Arial"/>
          <w:i/>
          <w:iCs/>
          <w:noProof/>
        </w:rPr>
        <w:t>et al.,</w:t>
      </w:r>
      <w:r w:rsidRPr="00C10C85">
        <w:rPr>
          <w:rFonts w:ascii="Arial" w:hAnsi="Arial" w:cs="Arial"/>
          <w:noProof/>
        </w:rPr>
        <w:t xml:space="preserve"> 2019)</w:t>
      </w:r>
      <w:r w:rsidRPr="00C10C85">
        <w:rPr>
          <w:rFonts w:ascii="Arial" w:hAnsi="Arial" w:cs="Arial"/>
        </w:rPr>
        <w:fldChar w:fldCharType="end"/>
      </w:r>
      <w:r w:rsidRPr="00C10C85">
        <w:rPr>
          <w:rFonts w:ascii="Arial" w:hAnsi="Arial" w:cs="Arial"/>
        </w:rPr>
        <w:t xml:space="preserve"> have also investigated the use of natural products for controlling black mold disease in onions, which may also be applicable to shallots: Indian culinary spices like cardamom, cinnamon, clove, pepper, star anise, and stone flower have been shown to have antifungal activity against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under </w:t>
      </w:r>
      <w:r w:rsidRPr="00C10C85">
        <w:rPr>
          <w:rFonts w:ascii="Arial" w:hAnsi="Arial" w:cs="Arial"/>
          <w:i/>
          <w:iCs/>
        </w:rPr>
        <w:t>in vitro</w:t>
      </w:r>
      <w:r w:rsidRPr="00C10C85">
        <w:rPr>
          <w:rFonts w:ascii="Arial" w:hAnsi="Arial" w:cs="Arial"/>
        </w:rPr>
        <w:t xml:space="preserve"> circumstances, and peroxyacetic acid (PAA) vapors were discovered to be effective in managing black mold disease in onion bulbs during storage. Garlic and onion oils, </w:t>
      </w:r>
      <w:r w:rsidRPr="00C10C85">
        <w:rPr>
          <w:rFonts w:ascii="Arial" w:hAnsi="Arial" w:cs="Arial"/>
          <w:i/>
          <w:iCs/>
        </w:rPr>
        <w:t>Potassium sorbate</w:t>
      </w:r>
      <w:r w:rsidRPr="00C10C85">
        <w:rPr>
          <w:rFonts w:ascii="Arial" w:hAnsi="Arial" w:cs="Arial"/>
        </w:rPr>
        <w:t xml:space="preserve">, and </w:t>
      </w:r>
      <w:r w:rsidRPr="00C10C85">
        <w:rPr>
          <w:rFonts w:ascii="Arial" w:hAnsi="Arial" w:cs="Arial"/>
          <w:i/>
          <w:iCs/>
        </w:rPr>
        <w:t>Sodium benzoate</w:t>
      </w:r>
      <w:r w:rsidRPr="00C10C85">
        <w:rPr>
          <w:rFonts w:ascii="Arial" w:hAnsi="Arial" w:cs="Arial"/>
        </w:rPr>
        <w:t xml:space="preserve"> have all been evaluated for their inhibitory effect against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the cause of black mold disease in garlic cloves during storage.</w:t>
      </w:r>
    </w:p>
    <w:p w14:paraId="4D6B7F4E" w14:textId="71AA02C3" w:rsidR="00EE207F" w:rsidRPr="008F3B41" w:rsidRDefault="00EE207F" w:rsidP="00E367A7">
      <w:pPr>
        <w:pStyle w:val="BodyText"/>
        <w:spacing w:line="360" w:lineRule="auto"/>
        <w:ind w:firstLine="720"/>
        <w:jc w:val="both"/>
        <w:rPr>
          <w:rFonts w:ascii="Arial" w:hAnsi="Arial" w:cs="Arial"/>
        </w:rPr>
      </w:pPr>
      <w:r w:rsidRPr="00C10C85">
        <w:rPr>
          <w:rFonts w:ascii="Arial" w:hAnsi="Arial" w:cs="Arial"/>
        </w:rPr>
        <w:t>Overall, the use of plant extracts as alternative approaches for managing black mold of shallot holds great promise for reducing the reliance on synthetic fungicides and promoting sustainable agriculture.</w:t>
      </w:r>
    </w:p>
    <w:p w14:paraId="7E756B16" w14:textId="543077D0" w:rsidR="00EE207F" w:rsidRDefault="004F08B6" w:rsidP="00306C6F">
      <w:pPr>
        <w:pStyle w:val="Heading1"/>
        <w:numPr>
          <w:ilvl w:val="0"/>
          <w:numId w:val="0"/>
        </w:numPr>
        <w:ind w:left="432"/>
      </w:pPr>
      <w:r w:rsidRPr="008D6A90">
        <w:t>CONCLUSION</w:t>
      </w:r>
    </w:p>
    <w:p w14:paraId="6177AAAD" w14:textId="4285E515" w:rsidR="008D6A90" w:rsidRDefault="00FC58DA" w:rsidP="00E367A7">
      <w:pPr>
        <w:pStyle w:val="BodyText"/>
        <w:spacing w:line="360" w:lineRule="auto"/>
        <w:jc w:val="both"/>
        <w:rPr>
          <w:rFonts w:ascii="Arial" w:hAnsi="Arial" w:cs="Arial"/>
        </w:rPr>
      </w:pPr>
      <w:r w:rsidRPr="00FC58DA">
        <w:rPr>
          <w:rFonts w:ascii="Arial" w:hAnsi="Arial" w:cs="Arial"/>
        </w:rPr>
        <w:t xml:space="preserve">The management of black mold in shallots, caused by </w:t>
      </w:r>
      <w:r w:rsidRPr="00FC58DA">
        <w:rPr>
          <w:rFonts w:ascii="Arial" w:hAnsi="Arial" w:cs="Arial"/>
          <w:i/>
          <w:iCs/>
        </w:rPr>
        <w:t xml:space="preserve">Aspergillus </w:t>
      </w:r>
      <w:proofErr w:type="spellStart"/>
      <w:r w:rsidRPr="00FC58DA">
        <w:rPr>
          <w:rFonts w:ascii="Arial" w:hAnsi="Arial" w:cs="Arial"/>
          <w:i/>
          <w:iCs/>
        </w:rPr>
        <w:t>niger</w:t>
      </w:r>
      <w:proofErr w:type="spellEnd"/>
      <w:r w:rsidRPr="00FC58DA">
        <w:rPr>
          <w:rFonts w:ascii="Arial" w:hAnsi="Arial" w:cs="Arial"/>
        </w:rPr>
        <w:t xml:space="preserve">, requires a decisive shift away from reliance on synthetic fungicides. As this review has detailed, sustainable and effective alternatives are available. Botanical extracts from plants like garlic, clove, and neem, rich in antifungal phytochemicals such as phenolics, terpenoids, and flavonoids, demonstrate significant potential in suppressing the pathogen. Furthermore, biological control agents like </w:t>
      </w:r>
      <w:r w:rsidRPr="00FC58DA">
        <w:rPr>
          <w:rFonts w:ascii="Arial" w:hAnsi="Arial" w:cs="Arial"/>
          <w:i/>
          <w:iCs/>
        </w:rPr>
        <w:t xml:space="preserve">Trichoderma </w:t>
      </w:r>
      <w:proofErr w:type="spellStart"/>
      <w:r w:rsidRPr="00FC58DA">
        <w:rPr>
          <w:rFonts w:ascii="Arial" w:hAnsi="Arial" w:cs="Arial"/>
          <w:i/>
          <w:iCs/>
        </w:rPr>
        <w:t>harzianum</w:t>
      </w:r>
      <w:proofErr w:type="spellEnd"/>
      <w:r w:rsidRPr="00FC58DA">
        <w:rPr>
          <w:rFonts w:ascii="Arial" w:hAnsi="Arial" w:cs="Arial"/>
        </w:rPr>
        <w:t xml:space="preserve"> and proper cultural practices provide a strong foundation for an integrated disease management strategy.</w:t>
      </w:r>
      <w:r>
        <w:rPr>
          <w:rFonts w:ascii="Arial" w:hAnsi="Arial" w:cs="Arial"/>
        </w:rPr>
        <w:t xml:space="preserve"> </w:t>
      </w:r>
      <w:r w:rsidRPr="00FC58DA">
        <w:rPr>
          <w:rFonts w:ascii="Arial" w:hAnsi="Arial" w:cs="Arial"/>
        </w:rPr>
        <w:t>The adoption of these eco-friendly approaches is crucial for mitigating economic losses, reducing environmental and health risks, and ensuring the long-term sustainability of shallot production. Future efforts should focus on optimizing the application of these alternatives and promoting their integration into a resilient framework that safeguards both crop yield and farmer livelihoods.</w:t>
      </w:r>
    </w:p>
    <w:p w14:paraId="25B2223C" w14:textId="3DD815D7" w:rsidR="00990920" w:rsidRDefault="00990920" w:rsidP="00E367A7">
      <w:pPr>
        <w:pStyle w:val="BodyText"/>
        <w:spacing w:line="360" w:lineRule="auto"/>
        <w:jc w:val="both"/>
        <w:rPr>
          <w:rFonts w:ascii="Arial" w:hAnsi="Arial" w:cs="Arial"/>
        </w:rPr>
      </w:pPr>
    </w:p>
    <w:p w14:paraId="37EE508F" w14:textId="398723CA" w:rsidR="00990920" w:rsidRPr="008F3B41" w:rsidRDefault="00990920" w:rsidP="00990920">
      <w:pPr>
        <w:rPr>
          <w:rFonts w:ascii="Calibri" w:eastAsia="Calibri" w:hAnsi="Calibri"/>
          <w:b/>
          <w:bCs/>
          <w:kern w:val="2"/>
        </w:rPr>
      </w:pPr>
      <w:bookmarkStart w:id="25" w:name="_Hlk197682619"/>
      <w:bookmarkStart w:id="26" w:name="_Hlk180402183"/>
      <w:bookmarkStart w:id="27" w:name="_Hlk183680988"/>
      <w:r w:rsidRPr="008F3B41">
        <w:rPr>
          <w:rFonts w:ascii="Calibri" w:eastAsia="Calibri" w:hAnsi="Calibri"/>
          <w:b/>
          <w:bCs/>
          <w:kern w:val="2"/>
        </w:rPr>
        <w:t>Disclaimer (Artificial intelligence)</w:t>
      </w:r>
    </w:p>
    <w:p w14:paraId="4C954BE0" w14:textId="77777777" w:rsidR="00990920" w:rsidRPr="008F3B41" w:rsidRDefault="00990920" w:rsidP="00990920">
      <w:pPr>
        <w:rPr>
          <w:rFonts w:ascii="Calibri" w:eastAsia="Calibri" w:hAnsi="Calibri"/>
          <w:kern w:val="2"/>
        </w:rPr>
      </w:pPr>
      <w:r w:rsidRPr="008F3B41">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25"/>
    <w:bookmarkEnd w:id="26"/>
    <w:bookmarkEnd w:id="27"/>
    <w:p w14:paraId="25CA9BDE" w14:textId="77777777" w:rsidR="00990920" w:rsidRPr="008D6A90" w:rsidRDefault="00990920" w:rsidP="00FC58DA">
      <w:pPr>
        <w:pStyle w:val="BodyText"/>
        <w:spacing w:line="360" w:lineRule="auto"/>
        <w:rPr>
          <w:rFonts w:ascii="Arial" w:hAnsi="Arial" w:cs="Arial"/>
        </w:rPr>
      </w:pPr>
    </w:p>
    <w:p w14:paraId="14677AF7" w14:textId="77777777" w:rsidR="00D54AAB" w:rsidRPr="00C10C85" w:rsidRDefault="00D54AAB" w:rsidP="00525158">
      <w:pPr>
        <w:pStyle w:val="BodyText"/>
        <w:tabs>
          <w:tab w:val="left" w:pos="1020"/>
        </w:tabs>
        <w:spacing w:line="360" w:lineRule="auto"/>
        <w:rPr>
          <w:rFonts w:ascii="Arial" w:hAnsi="Arial" w:cs="Arial"/>
        </w:rPr>
      </w:pPr>
    </w:p>
    <w:p w14:paraId="7B7904B4" w14:textId="054E5A6C" w:rsidR="000E5BF9" w:rsidRPr="00D4565D" w:rsidRDefault="00EE207F" w:rsidP="00D4565D">
      <w:pPr>
        <w:pStyle w:val="BodyText"/>
        <w:spacing w:line="360" w:lineRule="auto"/>
        <w:rPr>
          <w:rFonts w:ascii="Arial" w:hAnsi="Arial" w:cs="Arial"/>
          <w:b/>
          <w:lang w:val="en-GB"/>
        </w:rPr>
      </w:pPr>
      <w:bookmarkStart w:id="28" w:name="_Toc160642005"/>
      <w:r w:rsidRPr="00C10C85">
        <w:rPr>
          <w:rFonts w:ascii="Arial" w:hAnsi="Arial" w:cs="Arial"/>
          <w:b/>
          <w:lang w:val="en-GB"/>
        </w:rPr>
        <w:lastRenderedPageBreak/>
        <w:t>REFERENCES</w:t>
      </w:r>
      <w:bookmarkEnd w:id="28"/>
      <w:r w:rsidRPr="00C10C85">
        <w:rPr>
          <w:rFonts w:ascii="Arial" w:hAnsi="Arial" w:cs="Arial"/>
          <w:lang w:val="en-GB"/>
        </w:rPr>
        <w:fldChar w:fldCharType="begin" w:fldLock="1"/>
      </w:r>
      <w:r w:rsidRPr="00C10C85">
        <w:rPr>
          <w:rFonts w:ascii="Arial" w:hAnsi="Arial" w:cs="Arial"/>
          <w:lang w:val="en-GB"/>
        </w:rPr>
        <w:instrText xml:space="preserve">ADDIN Mendeley Bibliography CSL_BIBLIOGRAPHY </w:instrText>
      </w:r>
      <w:r w:rsidRPr="00C10C85">
        <w:rPr>
          <w:rFonts w:ascii="Arial" w:hAnsi="Arial" w:cs="Arial"/>
          <w:lang w:val="en-GB"/>
        </w:rPr>
        <w:fldChar w:fldCharType="separate"/>
      </w:r>
    </w:p>
    <w:p w14:paraId="5371108A" w14:textId="77777777" w:rsidR="000E5BF9" w:rsidRDefault="00EE207F" w:rsidP="00EE207F">
      <w:pPr>
        <w:pStyle w:val="BodyText"/>
        <w:numPr>
          <w:ilvl w:val="0"/>
          <w:numId w:val="34"/>
        </w:numPr>
        <w:spacing w:line="360" w:lineRule="auto"/>
        <w:rPr>
          <w:rFonts w:ascii="Arial" w:hAnsi="Arial" w:cs="Arial"/>
          <w:lang w:val="en-GB"/>
        </w:rPr>
      </w:pPr>
      <w:r w:rsidRPr="002500B2">
        <w:rPr>
          <w:rFonts w:ascii="Arial" w:hAnsi="Arial" w:cs="Arial"/>
          <w:lang w:val="nl-BE"/>
        </w:rPr>
        <w:t xml:space="preserve">Adegoke AA, Iberi PA, Akinpelu DA, Aiyegoro OA, M. C. (2011). </w:t>
      </w:r>
      <w:r w:rsidRPr="000E5BF9">
        <w:rPr>
          <w:rFonts w:ascii="Arial" w:hAnsi="Arial" w:cs="Arial"/>
          <w:lang w:val="en-GB"/>
        </w:rPr>
        <w:t xml:space="preserve">Studies on phytochemical screening and antimicrobial potentials of Phyllanthus amarus against multiple antibiotic resistant bacteria. </w:t>
      </w:r>
      <w:r w:rsidRPr="000E5BF9">
        <w:rPr>
          <w:rFonts w:ascii="Arial" w:hAnsi="Arial" w:cs="Arial"/>
          <w:i/>
          <w:iCs/>
          <w:lang w:val="en-GB"/>
        </w:rPr>
        <w:t>Int J Appl Res Nat Prod</w:t>
      </w:r>
      <w:r w:rsidRPr="000E5BF9">
        <w:rPr>
          <w:rFonts w:ascii="Arial" w:hAnsi="Arial" w:cs="Arial"/>
          <w:lang w:val="en-GB"/>
        </w:rPr>
        <w:t>, 3, 6–12.</w:t>
      </w:r>
    </w:p>
    <w:p w14:paraId="158B1D96" w14:textId="77777777" w:rsidR="000E5BF9" w:rsidRDefault="00EE207F" w:rsidP="00EE207F">
      <w:pPr>
        <w:pStyle w:val="BodyText"/>
        <w:numPr>
          <w:ilvl w:val="0"/>
          <w:numId w:val="34"/>
        </w:numPr>
        <w:spacing w:line="360" w:lineRule="auto"/>
        <w:rPr>
          <w:rFonts w:ascii="Arial" w:hAnsi="Arial" w:cs="Arial"/>
          <w:lang w:val="en-GB"/>
        </w:rPr>
      </w:pPr>
      <w:r w:rsidRPr="000E5BF9">
        <w:rPr>
          <w:rFonts w:ascii="Arial" w:hAnsi="Arial" w:cs="Arial"/>
          <w:lang w:val="en-GB"/>
        </w:rPr>
        <w:t>Adzraku, M. E. (2017). Assessing the Role of Small Scale Irrigation Vegetable. 1–182.</w:t>
      </w:r>
    </w:p>
    <w:p w14:paraId="42484638" w14:textId="28B42F0C" w:rsidR="000E5BF9" w:rsidRPr="00F22CF9" w:rsidRDefault="00EE207F" w:rsidP="00F22CF9">
      <w:pPr>
        <w:pStyle w:val="BodyText"/>
        <w:numPr>
          <w:ilvl w:val="0"/>
          <w:numId w:val="34"/>
        </w:numPr>
        <w:spacing w:line="360" w:lineRule="auto"/>
        <w:rPr>
          <w:rFonts w:ascii="Arial" w:hAnsi="Arial" w:cs="Arial"/>
          <w:lang w:val="en-GB"/>
        </w:rPr>
      </w:pPr>
      <w:r w:rsidRPr="000E5BF9">
        <w:rPr>
          <w:rFonts w:ascii="Arial" w:hAnsi="Arial" w:cs="Arial"/>
          <w:lang w:val="en-GB"/>
        </w:rPr>
        <w:t>Agrios, G. N. (2005). Plant Pathology (5</w:t>
      </w:r>
      <w:r w:rsidRPr="000E5BF9">
        <w:rPr>
          <w:rFonts w:ascii="Arial" w:hAnsi="Arial" w:cs="Arial"/>
          <w:vertAlign w:val="superscript"/>
          <w:lang w:val="en-GB"/>
        </w:rPr>
        <w:t>th</w:t>
      </w:r>
      <w:r w:rsidRPr="000E5BF9">
        <w:rPr>
          <w:rFonts w:ascii="Arial" w:hAnsi="Arial" w:cs="Arial"/>
          <w:lang w:val="en-GB"/>
        </w:rPr>
        <w:t xml:space="preserve"> ed.) </w:t>
      </w:r>
      <w:r w:rsidRPr="000E5BF9">
        <w:rPr>
          <w:rFonts w:ascii="Arial" w:hAnsi="Arial" w:cs="Arial"/>
          <w:i/>
          <w:iCs/>
          <w:lang w:val="en-GB"/>
        </w:rPr>
        <w:t>Academic Press San Diego</w:t>
      </w:r>
      <w:r w:rsidRPr="000E5BF9">
        <w:rPr>
          <w:rFonts w:ascii="Arial" w:hAnsi="Arial" w:cs="Arial"/>
          <w:lang w:val="en-GB"/>
        </w:rPr>
        <w:t>.</w:t>
      </w:r>
    </w:p>
    <w:p w14:paraId="4F9E6F01" w14:textId="16969F65" w:rsidR="006E58A1" w:rsidRPr="003C4828" w:rsidRDefault="00EE207F" w:rsidP="003C4828">
      <w:pPr>
        <w:pStyle w:val="BodyText"/>
        <w:numPr>
          <w:ilvl w:val="0"/>
          <w:numId w:val="34"/>
        </w:numPr>
        <w:spacing w:line="360" w:lineRule="auto"/>
        <w:rPr>
          <w:rFonts w:ascii="Arial" w:hAnsi="Arial" w:cs="Arial"/>
          <w:lang w:val="en-GB"/>
        </w:rPr>
      </w:pPr>
      <w:r w:rsidRPr="000E5BF9">
        <w:rPr>
          <w:rFonts w:ascii="Arial" w:hAnsi="Arial" w:cs="Arial"/>
          <w:lang w:val="en-GB"/>
        </w:rPr>
        <w:t xml:space="preserve">Amiri, Z., Asgharipour, M. R., Campbell, D. E., Azizi, K., Kakolvand, E., &amp; Hassani Moghadam, E. (2021). Conservation agriculture, a selective model based on emergy analysis for sustainable production of shallot as a medicinal-industrial plant. </w:t>
      </w:r>
      <w:r w:rsidRPr="000E5BF9">
        <w:rPr>
          <w:rFonts w:ascii="Arial" w:hAnsi="Arial" w:cs="Arial"/>
          <w:i/>
          <w:iCs/>
          <w:lang w:val="en-GB"/>
        </w:rPr>
        <w:t>Journal of Cleaner Production</w:t>
      </w:r>
      <w:r w:rsidRPr="000E5BF9">
        <w:rPr>
          <w:rFonts w:ascii="Arial" w:hAnsi="Arial" w:cs="Arial"/>
          <w:lang w:val="en-GB"/>
        </w:rPr>
        <w:t>, 292, 126000. https://doi.org/10.1016/j.jclepro.2021.126000.</w:t>
      </w:r>
    </w:p>
    <w:p w14:paraId="3113CB0E" w14:textId="337B5AD2" w:rsidR="006E58A1" w:rsidRPr="00D4565D" w:rsidRDefault="00EE207F" w:rsidP="00D4565D">
      <w:pPr>
        <w:pStyle w:val="BodyText"/>
        <w:numPr>
          <w:ilvl w:val="0"/>
          <w:numId w:val="34"/>
        </w:numPr>
        <w:spacing w:line="360" w:lineRule="auto"/>
        <w:rPr>
          <w:rFonts w:ascii="Arial" w:hAnsi="Arial" w:cs="Arial"/>
          <w:lang w:val="en-GB"/>
        </w:rPr>
      </w:pPr>
      <w:r w:rsidRPr="006E58A1">
        <w:rPr>
          <w:rFonts w:ascii="Arial" w:hAnsi="Arial" w:cs="Arial"/>
          <w:lang w:val="en-GB"/>
        </w:rPr>
        <w:t xml:space="preserve">Avasthi, S., Gautam, A. K., &amp; Bhadauria, R. (2010). Antifungal activity of plant products against </w:t>
      </w:r>
      <w:r w:rsidRPr="006E58A1">
        <w:rPr>
          <w:rFonts w:ascii="Arial" w:hAnsi="Arial" w:cs="Arial"/>
          <w:i/>
          <w:iCs/>
          <w:lang w:val="en-GB"/>
        </w:rPr>
        <w:t>Aspergillus niger</w:t>
      </w:r>
      <w:r w:rsidRPr="006E58A1">
        <w:rPr>
          <w:rFonts w:ascii="Arial" w:hAnsi="Arial" w:cs="Arial"/>
          <w:lang w:val="en-GB"/>
        </w:rPr>
        <w:t xml:space="preserve">: A potential application in the control of a spoilage fungus. </w:t>
      </w:r>
      <w:r w:rsidRPr="006E58A1">
        <w:rPr>
          <w:rFonts w:ascii="Arial" w:hAnsi="Arial" w:cs="Arial"/>
          <w:i/>
          <w:iCs/>
          <w:lang w:val="en-GB"/>
        </w:rPr>
        <w:t>Biological Forum - An International Journal</w:t>
      </w:r>
      <w:r w:rsidRPr="006E58A1">
        <w:rPr>
          <w:rFonts w:ascii="Arial" w:hAnsi="Arial" w:cs="Arial"/>
          <w:lang w:val="en-GB"/>
        </w:rPr>
        <w:t>, 2(1), 53–55.</w:t>
      </w:r>
    </w:p>
    <w:p w14:paraId="542C310F"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BBC-Gardener. (2020). How to grow shallots. In Gardeners’ World.com.</w:t>
      </w:r>
      <w:r w:rsidRPr="006E58A1">
        <w:rPr>
          <w:rFonts w:ascii="Arial" w:hAnsi="Arial" w:cs="Arial"/>
          <w:i/>
          <w:iCs/>
          <w:lang w:val="en-GB"/>
        </w:rPr>
        <w:t xml:space="preserve"> BBC Gardeners’ World Magazine</w:t>
      </w:r>
      <w:r w:rsidRPr="006E58A1">
        <w:rPr>
          <w:rFonts w:ascii="Arial" w:hAnsi="Arial" w:cs="Arial"/>
          <w:lang w:val="en-GB"/>
        </w:rPr>
        <w:t>. https://www.gardenersworld.com/how-to/grow-plants/how-to-grow-shallots/.</w:t>
      </w:r>
    </w:p>
    <w:p w14:paraId="342CF861"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Bellaouchi, R., Abouloifa, H., Rokni, Y., Hasnaoui, A., Ghabbour, N., Hakkou, A., Bechchari, A., &amp; Asehraou, A. (2021). Characterization and optimization of extracellular enzymes production by </w:t>
      </w:r>
      <w:r w:rsidRPr="006E58A1">
        <w:rPr>
          <w:rFonts w:ascii="Arial" w:hAnsi="Arial" w:cs="Arial"/>
          <w:i/>
          <w:iCs/>
          <w:lang w:val="en-GB"/>
        </w:rPr>
        <w:t xml:space="preserve">Aspergillus niger </w:t>
      </w:r>
      <w:r w:rsidRPr="006E58A1">
        <w:rPr>
          <w:rFonts w:ascii="Arial" w:hAnsi="Arial" w:cs="Arial"/>
          <w:lang w:val="en-GB"/>
        </w:rPr>
        <w:t xml:space="preserve">strains isolated from date by-products. </w:t>
      </w:r>
      <w:r w:rsidRPr="006E58A1">
        <w:rPr>
          <w:rFonts w:ascii="Arial" w:hAnsi="Arial" w:cs="Arial"/>
          <w:i/>
          <w:iCs/>
          <w:lang w:val="en-GB"/>
        </w:rPr>
        <w:t>Journal of Genetic Engineering and Biotechnology</w:t>
      </w:r>
      <w:r w:rsidRPr="006E58A1">
        <w:rPr>
          <w:rFonts w:ascii="Arial" w:hAnsi="Arial" w:cs="Arial"/>
          <w:lang w:val="en-GB"/>
        </w:rPr>
        <w:t>, 19(1). https://doi.org/10.1186/s43141-021-00145-y.</w:t>
      </w:r>
    </w:p>
    <w:p w14:paraId="095A7C6F"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Benjamin Yao, F., Grace, O., Simon Kwame, O., &amp; Lucy Payne, D. (2017). The Present Status of Shallot (</w:t>
      </w:r>
      <w:r w:rsidRPr="006E58A1">
        <w:rPr>
          <w:rFonts w:ascii="Arial" w:hAnsi="Arial" w:cs="Arial"/>
          <w:i/>
          <w:iCs/>
          <w:lang w:val="en-GB"/>
        </w:rPr>
        <w:t>Allium ascalonicum L</w:t>
      </w:r>
      <w:r w:rsidRPr="006E58A1">
        <w:rPr>
          <w:rFonts w:ascii="Arial" w:hAnsi="Arial" w:cs="Arial"/>
          <w:lang w:val="en-GB"/>
        </w:rPr>
        <w:t xml:space="preserve">.) Farming Enterprise in Ghana: The Case of Keta Municipality. </w:t>
      </w:r>
      <w:r w:rsidRPr="006E58A1">
        <w:rPr>
          <w:rFonts w:ascii="Arial" w:hAnsi="Arial" w:cs="Arial"/>
          <w:i/>
          <w:iCs/>
          <w:lang w:val="en-GB"/>
        </w:rPr>
        <w:t>Agricultural Communications</w:t>
      </w:r>
      <w:r w:rsidRPr="006E58A1">
        <w:rPr>
          <w:rFonts w:ascii="Arial" w:hAnsi="Arial" w:cs="Arial"/>
          <w:lang w:val="en-GB"/>
        </w:rPr>
        <w:t>, 5(2), 8–16.</w:t>
      </w:r>
    </w:p>
    <w:p w14:paraId="71928806"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Bennett, J. W. (2010). An overview of the genus </w:t>
      </w:r>
      <w:r w:rsidRPr="006E58A1">
        <w:rPr>
          <w:rFonts w:ascii="Arial" w:hAnsi="Arial" w:cs="Arial"/>
          <w:i/>
          <w:iCs/>
          <w:lang w:val="en-GB"/>
        </w:rPr>
        <w:t>Asperillus. Aspergillus</w:t>
      </w:r>
      <w:r w:rsidRPr="006E58A1">
        <w:rPr>
          <w:rFonts w:ascii="Arial" w:hAnsi="Arial" w:cs="Arial"/>
          <w:lang w:val="en-GB"/>
        </w:rPr>
        <w:t xml:space="preserve">. </w:t>
      </w:r>
      <w:r w:rsidRPr="006E58A1">
        <w:rPr>
          <w:rFonts w:ascii="Arial" w:hAnsi="Arial" w:cs="Arial"/>
          <w:i/>
          <w:iCs/>
          <w:lang w:val="en-GB"/>
        </w:rPr>
        <w:t>Molecular Biology and Genomics</w:t>
      </w:r>
      <w:r w:rsidRPr="006E58A1">
        <w:rPr>
          <w:rFonts w:ascii="Arial" w:hAnsi="Arial" w:cs="Arial"/>
          <w:lang w:val="en-GB"/>
        </w:rPr>
        <w:t>, 1–17.</w:t>
      </w:r>
    </w:p>
    <w:p w14:paraId="3036C02F"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Bhattacharya, A., Sood, P., &amp; Citovsky, V. (2010). The roles of plant phenolics in defence and communication during Agrobacterium and Rhizobium infection.</w:t>
      </w:r>
      <w:r w:rsidRPr="006E58A1">
        <w:rPr>
          <w:rFonts w:ascii="Arial" w:hAnsi="Arial" w:cs="Arial"/>
          <w:i/>
          <w:iCs/>
          <w:lang w:val="en-GB"/>
        </w:rPr>
        <w:t xml:space="preserve"> Molecular Plant Pathology</w:t>
      </w:r>
      <w:r w:rsidRPr="006E58A1">
        <w:rPr>
          <w:rFonts w:ascii="Arial" w:hAnsi="Arial" w:cs="Arial"/>
          <w:lang w:val="en-GB"/>
        </w:rPr>
        <w:t>, 11(5), 705–719. https://doi.org/10.1111/j.1364-3703.2010.00625.x</w:t>
      </w:r>
    </w:p>
    <w:p w14:paraId="5494B144"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lastRenderedPageBreak/>
        <w:t>Bhattacharyya, D., Sinha, R., and Hazra, S. (2018). Antifungal activity of neem (</w:t>
      </w:r>
      <w:r w:rsidRPr="006E58A1">
        <w:rPr>
          <w:rFonts w:ascii="Arial" w:hAnsi="Arial" w:cs="Arial"/>
          <w:i/>
          <w:iCs/>
          <w:lang w:val="en-GB"/>
        </w:rPr>
        <w:t>Azadirachta indica</w:t>
      </w:r>
      <w:r w:rsidRPr="006E58A1">
        <w:rPr>
          <w:rFonts w:ascii="Arial" w:hAnsi="Arial" w:cs="Arial"/>
          <w:lang w:val="en-GB"/>
        </w:rPr>
        <w:t xml:space="preserve">) extract against </w:t>
      </w:r>
      <w:r w:rsidRPr="006E58A1">
        <w:rPr>
          <w:rFonts w:ascii="Arial" w:hAnsi="Arial" w:cs="Arial"/>
          <w:i/>
          <w:iCs/>
          <w:lang w:val="en-GB"/>
        </w:rPr>
        <w:t>Fusarium oxysporum</w:t>
      </w:r>
      <w:r w:rsidRPr="006E58A1">
        <w:rPr>
          <w:rFonts w:ascii="Arial" w:hAnsi="Arial" w:cs="Arial"/>
          <w:lang w:val="en-GB"/>
        </w:rPr>
        <w:t xml:space="preserve"> and </w:t>
      </w:r>
      <w:r w:rsidRPr="006E58A1">
        <w:rPr>
          <w:rFonts w:ascii="Arial" w:hAnsi="Arial" w:cs="Arial"/>
          <w:i/>
          <w:iCs/>
          <w:lang w:val="en-GB"/>
        </w:rPr>
        <w:t>Colletotrichum gloeosporioides</w:t>
      </w:r>
      <w:r w:rsidRPr="006E58A1">
        <w:rPr>
          <w:rFonts w:ascii="Arial" w:hAnsi="Arial" w:cs="Arial"/>
          <w:lang w:val="en-GB"/>
        </w:rPr>
        <w:t xml:space="preserve">. </w:t>
      </w:r>
      <w:r w:rsidRPr="006E58A1">
        <w:rPr>
          <w:rFonts w:ascii="Arial" w:hAnsi="Arial" w:cs="Arial"/>
          <w:i/>
          <w:iCs/>
          <w:lang w:val="en-GB"/>
        </w:rPr>
        <w:t>Journal of Plant Protection Research</w:t>
      </w:r>
      <w:r w:rsidRPr="006E58A1">
        <w:rPr>
          <w:rFonts w:ascii="Arial" w:hAnsi="Arial" w:cs="Arial"/>
          <w:lang w:val="en-GB"/>
        </w:rPr>
        <w:t>, 58(3), 259–266.</w:t>
      </w:r>
    </w:p>
    <w:p w14:paraId="28A4F622"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Cairns, T. C., Zheng, X., Feurstein, C., Zheng, P., Sun, J., &amp; Meyer, V. (2022). A Library of Aspergillus niger Chassis Strains for Morphology Engineering Connects Strain Fitness and Filamentous Growth With Submerged Macromorphology. </w:t>
      </w:r>
      <w:r w:rsidRPr="006E58A1">
        <w:rPr>
          <w:rFonts w:ascii="Arial" w:hAnsi="Arial" w:cs="Arial"/>
          <w:i/>
          <w:iCs/>
          <w:lang w:val="en-GB"/>
        </w:rPr>
        <w:t>Frontiers in Bioengineering and Biotechnology</w:t>
      </w:r>
      <w:r w:rsidRPr="006E58A1">
        <w:rPr>
          <w:rFonts w:ascii="Arial" w:hAnsi="Arial" w:cs="Arial"/>
          <w:lang w:val="en-GB"/>
        </w:rPr>
        <w:t>, 9(January), 1–15. https://doi.org/10.3389/fbioe.2021.820088.</w:t>
      </w:r>
    </w:p>
    <w:p w14:paraId="48713409" w14:textId="77777777" w:rsidR="006E58A1" w:rsidRDefault="00EE207F" w:rsidP="00EE207F">
      <w:pPr>
        <w:pStyle w:val="BodyText"/>
        <w:numPr>
          <w:ilvl w:val="0"/>
          <w:numId w:val="34"/>
        </w:numPr>
        <w:spacing w:line="360" w:lineRule="auto"/>
        <w:rPr>
          <w:rFonts w:ascii="Arial" w:hAnsi="Arial" w:cs="Arial"/>
          <w:lang w:val="en-GB"/>
        </w:rPr>
      </w:pPr>
      <w:r w:rsidRPr="002500B2">
        <w:rPr>
          <w:rFonts w:ascii="Arial" w:hAnsi="Arial" w:cs="Arial"/>
          <w:lang w:val="nl-BE"/>
        </w:rPr>
        <w:t xml:space="preserve">Cen Li , Jingwen Zhou , Guocheng Du , Jian Chen , Shunji Takahashi, S. L. (2020). </w:t>
      </w:r>
      <w:r w:rsidRPr="006E58A1">
        <w:rPr>
          <w:rFonts w:ascii="Arial" w:hAnsi="Arial" w:cs="Arial"/>
          <w:lang w:val="en-GB"/>
        </w:rPr>
        <w:t xml:space="preserve">Developing Aspergillus niger as a cell factory for food enzyme production. </w:t>
      </w:r>
      <w:r w:rsidRPr="006E58A1">
        <w:rPr>
          <w:rFonts w:ascii="Arial" w:hAnsi="Arial" w:cs="Arial"/>
          <w:i/>
          <w:iCs/>
          <w:lang w:val="en-GB"/>
        </w:rPr>
        <w:t>Biotechnology Advances, Elsevier</w:t>
      </w:r>
      <w:r w:rsidRPr="006E58A1">
        <w:rPr>
          <w:rFonts w:ascii="Arial" w:hAnsi="Arial" w:cs="Arial"/>
          <w:lang w:val="en-GB"/>
        </w:rPr>
        <w:t>, 44(107630). https://doi.org/https://doi.org/10.1016/j.biotechadv.2020.107630.</w:t>
      </w:r>
    </w:p>
    <w:p w14:paraId="7F78109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Choudhury, S. R., Nair, K. K., Kumar, R., Gogoi, R., Srivastava, C., Gopal, M., Subhramanyam, B. S., Devakumar, C., &amp; Goswami, A. (2010). Nanosulfur: A potent fungicide against food pathogen, </w:t>
      </w:r>
      <w:r w:rsidRPr="006E58A1">
        <w:rPr>
          <w:rFonts w:ascii="Arial" w:hAnsi="Arial" w:cs="Arial"/>
          <w:i/>
          <w:iCs/>
          <w:lang w:val="en-GB"/>
        </w:rPr>
        <w:t>Aspergillus niger.</w:t>
      </w:r>
      <w:r w:rsidRPr="006E58A1">
        <w:rPr>
          <w:rFonts w:ascii="Arial" w:hAnsi="Arial" w:cs="Arial"/>
          <w:lang w:val="en-GB"/>
        </w:rPr>
        <w:t xml:space="preserve"> </w:t>
      </w:r>
      <w:r w:rsidRPr="006E58A1">
        <w:rPr>
          <w:rFonts w:ascii="Arial" w:hAnsi="Arial" w:cs="Arial"/>
          <w:i/>
          <w:iCs/>
          <w:lang w:val="en-GB"/>
        </w:rPr>
        <w:t>AIP Conference Proceedings</w:t>
      </w:r>
      <w:r w:rsidRPr="006E58A1">
        <w:rPr>
          <w:rFonts w:ascii="Arial" w:hAnsi="Arial" w:cs="Arial"/>
          <w:lang w:val="en-GB"/>
        </w:rPr>
        <w:t>, 1276, 154–157. https://doi.org/10.1063/1.3504287.</w:t>
      </w:r>
    </w:p>
    <w:p w14:paraId="347CC51E" w14:textId="03A61E16" w:rsidR="006E58A1" w:rsidRPr="00F22CF9" w:rsidRDefault="00EE207F" w:rsidP="00F22CF9">
      <w:pPr>
        <w:pStyle w:val="BodyText"/>
        <w:numPr>
          <w:ilvl w:val="0"/>
          <w:numId w:val="34"/>
        </w:numPr>
        <w:spacing w:line="360" w:lineRule="auto"/>
        <w:rPr>
          <w:rFonts w:ascii="Arial" w:hAnsi="Arial" w:cs="Arial"/>
          <w:lang w:val="en-GB"/>
        </w:rPr>
      </w:pPr>
      <w:r w:rsidRPr="006E58A1">
        <w:rPr>
          <w:rFonts w:ascii="Arial" w:hAnsi="Arial" w:cs="Arial"/>
          <w:lang w:val="en-GB"/>
        </w:rPr>
        <w:t xml:space="preserve">Dahham SS, Ali MN, Tabassum H, K. M. (2010). Studies on antibacterial and antifungal activity of pomegranate (Punica granatum L.). </w:t>
      </w:r>
      <w:r w:rsidRPr="006E58A1">
        <w:rPr>
          <w:rFonts w:ascii="Arial" w:hAnsi="Arial" w:cs="Arial"/>
          <w:i/>
          <w:iCs/>
          <w:lang w:val="en-GB"/>
        </w:rPr>
        <w:t>Am-Euras J Agric &amp; Environ Sci</w:t>
      </w:r>
      <w:r w:rsidRPr="006E58A1">
        <w:rPr>
          <w:rFonts w:ascii="Arial" w:hAnsi="Arial" w:cs="Arial"/>
          <w:lang w:val="en-GB"/>
        </w:rPr>
        <w:t>, 9(3), 273–281.</w:t>
      </w:r>
    </w:p>
    <w:p w14:paraId="4FC58517"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Fiema, M., Wlodarczyk, A., Wojkowska-Mach, J., Garlicki, J., &amp; Gregorczyk-Maga, I. (2022). Atypical Presentation of </w:t>
      </w:r>
      <w:r w:rsidRPr="006E58A1">
        <w:rPr>
          <w:rFonts w:ascii="Arial" w:hAnsi="Arial" w:cs="Arial"/>
          <w:i/>
          <w:iCs/>
          <w:lang w:val="en-GB"/>
        </w:rPr>
        <w:t>Aspergillus niger</w:t>
      </w:r>
      <w:r w:rsidRPr="006E58A1">
        <w:rPr>
          <w:rFonts w:ascii="Arial" w:hAnsi="Arial" w:cs="Arial"/>
          <w:lang w:val="en-GB"/>
        </w:rPr>
        <w:t xml:space="preserve"> Infection in the Oral Cavity as a Prediction of Invasive Pulmonary Aspergillosis in a Patient with COVID-19: Case Report and Literature Review. </w:t>
      </w:r>
      <w:r w:rsidRPr="006E58A1">
        <w:rPr>
          <w:rFonts w:ascii="Arial" w:hAnsi="Arial" w:cs="Arial"/>
          <w:i/>
          <w:iCs/>
          <w:lang w:val="en-GB"/>
        </w:rPr>
        <w:t>Microorganisms</w:t>
      </w:r>
      <w:r w:rsidRPr="006E58A1">
        <w:rPr>
          <w:rFonts w:ascii="Arial" w:hAnsi="Arial" w:cs="Arial"/>
          <w:lang w:val="en-GB"/>
        </w:rPr>
        <w:t>, 10(8). https://doi.org/10.3390/microorganisms10081630.</w:t>
      </w:r>
    </w:p>
    <w:p w14:paraId="1EFEEF31" w14:textId="77777777" w:rsidR="006E58A1" w:rsidRDefault="00EE207F" w:rsidP="00EE207F">
      <w:pPr>
        <w:pStyle w:val="BodyText"/>
        <w:numPr>
          <w:ilvl w:val="0"/>
          <w:numId w:val="34"/>
        </w:numPr>
        <w:spacing w:line="360" w:lineRule="auto"/>
        <w:rPr>
          <w:rFonts w:ascii="Arial" w:hAnsi="Arial" w:cs="Arial"/>
          <w:lang w:val="en-GB"/>
        </w:rPr>
      </w:pPr>
      <w:r w:rsidRPr="002500B2">
        <w:rPr>
          <w:rFonts w:ascii="Arial" w:hAnsi="Arial" w:cs="Arial"/>
          <w:lang w:val="nl-BE"/>
        </w:rPr>
        <w:t xml:space="preserve">Georg Maschmeyer, Antje Haas, O. A. C. (2012). </w:t>
      </w:r>
      <w:r w:rsidRPr="006E58A1">
        <w:rPr>
          <w:rFonts w:ascii="Arial" w:hAnsi="Arial" w:cs="Arial"/>
          <w:lang w:val="en-GB"/>
        </w:rPr>
        <w:t xml:space="preserve">Invasive Aspergillosis Epidemiology, Diagnosis and Management in Immunocompromised Patients. </w:t>
      </w:r>
      <w:r w:rsidRPr="006E58A1">
        <w:rPr>
          <w:rFonts w:ascii="Arial" w:hAnsi="Arial" w:cs="Arial"/>
          <w:i/>
          <w:iCs/>
          <w:lang w:val="en-GB"/>
        </w:rPr>
        <w:t>Springer Link,</w:t>
      </w:r>
      <w:r w:rsidRPr="006E58A1">
        <w:rPr>
          <w:rFonts w:ascii="Arial" w:hAnsi="Arial" w:cs="Arial"/>
          <w:lang w:val="en-GB"/>
        </w:rPr>
        <w:t xml:space="preserve"> 67, 1567–1601.</w:t>
      </w:r>
    </w:p>
    <w:p w14:paraId="52DE666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Grundy, M. M., Lapsley, K., &amp; Ellis, P. R. (2016). A review of the impact of processing on nutrient bioaccessibility and digestion of almonds. </w:t>
      </w:r>
      <w:r w:rsidRPr="006E58A1">
        <w:rPr>
          <w:rFonts w:ascii="Arial" w:hAnsi="Arial" w:cs="Arial"/>
          <w:i/>
          <w:iCs/>
          <w:lang w:val="en-GB"/>
        </w:rPr>
        <w:t>Review</w:t>
      </w:r>
      <w:r w:rsidRPr="006E58A1">
        <w:rPr>
          <w:rFonts w:ascii="Arial" w:hAnsi="Arial" w:cs="Arial"/>
          <w:lang w:val="en-GB"/>
        </w:rPr>
        <w:t xml:space="preserve"> 1937–1946. https://doi.org/10.1111/ijfs.13192.</w:t>
      </w:r>
    </w:p>
    <w:p w14:paraId="286188E1"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Hee-Soo Park, Sang-Cheol Jun, Kap-Hoon Han, Seung-Beom Hong, J.-H. Y. (2017). Diversity, Application, and Synthetic Biology of Industrially Important </w:t>
      </w:r>
      <w:r w:rsidRPr="006E58A1">
        <w:rPr>
          <w:rFonts w:ascii="Arial" w:hAnsi="Arial" w:cs="Arial"/>
          <w:lang w:val="en-GB"/>
        </w:rPr>
        <w:lastRenderedPageBreak/>
        <w:t xml:space="preserve">Aspergillus Fungi. </w:t>
      </w:r>
      <w:r w:rsidRPr="006E58A1">
        <w:rPr>
          <w:rFonts w:ascii="Arial" w:hAnsi="Arial" w:cs="Arial"/>
          <w:i/>
          <w:iCs/>
          <w:lang w:val="en-GB"/>
        </w:rPr>
        <w:t xml:space="preserve">In Advances in Applied Microbiology </w:t>
      </w:r>
      <w:r w:rsidRPr="006E58A1">
        <w:rPr>
          <w:rFonts w:ascii="Arial" w:hAnsi="Arial" w:cs="Arial"/>
          <w:lang w:val="en-GB"/>
        </w:rPr>
        <w:t>(Vol. 100, pp. 161–202). Elsevier. https://doi.org/https://doi.org/10.1016/bs.aambs.2017.03.001.</w:t>
      </w:r>
    </w:p>
    <w:p w14:paraId="6EE17603" w14:textId="64F8AC4B" w:rsidR="006E58A1" w:rsidRPr="00C31FAE" w:rsidRDefault="00EE207F" w:rsidP="00C31FAE">
      <w:pPr>
        <w:pStyle w:val="BodyText"/>
        <w:numPr>
          <w:ilvl w:val="0"/>
          <w:numId w:val="34"/>
        </w:numPr>
        <w:spacing w:line="360" w:lineRule="auto"/>
        <w:rPr>
          <w:rFonts w:ascii="Arial" w:hAnsi="Arial" w:cs="Arial"/>
          <w:lang w:val="en-GB"/>
        </w:rPr>
      </w:pPr>
      <w:r w:rsidRPr="006E58A1">
        <w:rPr>
          <w:rFonts w:ascii="Arial" w:hAnsi="Arial" w:cs="Arial"/>
          <w:lang w:val="en-GB"/>
        </w:rPr>
        <w:t>Herlina, L., Reflinur, Sobir, Maharijaya, A., &amp; Wiyono, S. (2019). The genetic diversity and population structure of shallots (</w:t>
      </w:r>
      <w:r w:rsidRPr="006E58A1">
        <w:rPr>
          <w:rFonts w:ascii="Arial" w:hAnsi="Arial" w:cs="Arial"/>
          <w:i/>
          <w:iCs/>
          <w:lang w:val="en-GB"/>
        </w:rPr>
        <w:t xml:space="preserve">Allium cepa </w:t>
      </w:r>
      <w:r w:rsidRPr="006E58A1">
        <w:rPr>
          <w:rFonts w:ascii="Arial" w:hAnsi="Arial" w:cs="Arial"/>
          <w:lang w:val="en-GB"/>
        </w:rPr>
        <w:t>var.</w:t>
      </w:r>
      <w:r w:rsidRPr="006E58A1">
        <w:rPr>
          <w:rFonts w:ascii="Arial" w:hAnsi="Arial" w:cs="Arial"/>
          <w:i/>
          <w:iCs/>
          <w:lang w:val="en-GB"/>
        </w:rPr>
        <w:t xml:space="preserve"> aggregatum</w:t>
      </w:r>
      <w:r w:rsidRPr="006E58A1">
        <w:rPr>
          <w:rFonts w:ascii="Arial" w:hAnsi="Arial" w:cs="Arial"/>
          <w:lang w:val="en-GB"/>
        </w:rPr>
        <w:t xml:space="preserve">) in indonesia based on R gene-derived markers. </w:t>
      </w:r>
      <w:r w:rsidRPr="006E58A1">
        <w:rPr>
          <w:rFonts w:ascii="Arial" w:hAnsi="Arial" w:cs="Arial"/>
          <w:i/>
          <w:iCs/>
          <w:lang w:val="en-GB"/>
        </w:rPr>
        <w:t>Biodiversitas</w:t>
      </w:r>
      <w:r w:rsidRPr="006E58A1">
        <w:rPr>
          <w:rFonts w:ascii="Arial" w:hAnsi="Arial" w:cs="Arial"/>
          <w:lang w:val="en-GB"/>
        </w:rPr>
        <w:t>, 20(3), 696–703. https://doi.org/10.13057/biodiv/d200312.</w:t>
      </w:r>
    </w:p>
    <w:p w14:paraId="093B7D05" w14:textId="012CF522" w:rsidR="006E58A1" w:rsidRPr="00C31FAE" w:rsidRDefault="00EE207F" w:rsidP="00C31FAE">
      <w:pPr>
        <w:pStyle w:val="BodyText"/>
        <w:numPr>
          <w:ilvl w:val="0"/>
          <w:numId w:val="34"/>
        </w:numPr>
        <w:spacing w:line="360" w:lineRule="auto"/>
        <w:rPr>
          <w:rFonts w:ascii="Arial" w:hAnsi="Arial" w:cs="Arial"/>
          <w:lang w:val="en-GB"/>
        </w:rPr>
      </w:pPr>
      <w:r w:rsidRPr="006E58A1">
        <w:rPr>
          <w:rFonts w:ascii="Arial" w:hAnsi="Arial" w:cs="Arial"/>
          <w:lang w:val="en-GB"/>
        </w:rPr>
        <w:t xml:space="preserve">Khalid, M., Saeed-ur-Rahman, Bilal, M., &amp; HUANG, D. feng. (2019). Role of flavonoids in plant interactions with the environment and against human pathogens — </w:t>
      </w:r>
      <w:r w:rsidRPr="006E58A1">
        <w:rPr>
          <w:rFonts w:ascii="Arial" w:hAnsi="Arial" w:cs="Arial"/>
          <w:i/>
          <w:iCs/>
          <w:lang w:val="en-GB"/>
        </w:rPr>
        <w:t>A review. Journal of Integrative Agriculture</w:t>
      </w:r>
      <w:r w:rsidRPr="006E58A1">
        <w:rPr>
          <w:rFonts w:ascii="Arial" w:hAnsi="Arial" w:cs="Arial"/>
          <w:lang w:val="en-GB"/>
        </w:rPr>
        <w:t>, 18(1), 211–230. https://doi.org/10.1016/S2095-3119(19)62555-4.</w:t>
      </w:r>
    </w:p>
    <w:p w14:paraId="19F1B317" w14:textId="77777777" w:rsidR="006E58A1" w:rsidRDefault="00EE207F" w:rsidP="00EE207F">
      <w:pPr>
        <w:pStyle w:val="BodyText"/>
        <w:numPr>
          <w:ilvl w:val="0"/>
          <w:numId w:val="34"/>
        </w:numPr>
        <w:spacing w:line="360" w:lineRule="auto"/>
        <w:rPr>
          <w:rFonts w:ascii="Arial" w:hAnsi="Arial" w:cs="Arial"/>
          <w:lang w:val="en-GB"/>
        </w:rPr>
      </w:pPr>
      <w:r w:rsidRPr="002500B2">
        <w:rPr>
          <w:rFonts w:ascii="Arial" w:hAnsi="Arial" w:cs="Arial"/>
          <w:lang w:val="nl-BE"/>
        </w:rPr>
        <w:t xml:space="preserve">Kosmidis, C., &amp; Denning, D. W. (2015). </w:t>
      </w:r>
      <w:r w:rsidRPr="006E58A1">
        <w:rPr>
          <w:rFonts w:ascii="Arial" w:hAnsi="Arial" w:cs="Arial"/>
          <w:lang w:val="en-GB"/>
        </w:rPr>
        <w:t xml:space="preserve">The clinical spectrum of pulmonary aspergillosis. </w:t>
      </w:r>
      <w:r w:rsidRPr="006E58A1">
        <w:rPr>
          <w:rFonts w:ascii="Arial" w:hAnsi="Arial" w:cs="Arial"/>
          <w:i/>
          <w:iCs/>
          <w:lang w:val="en-GB"/>
        </w:rPr>
        <w:t>Thorax</w:t>
      </w:r>
      <w:r w:rsidRPr="006E58A1">
        <w:rPr>
          <w:rFonts w:ascii="Arial" w:hAnsi="Arial" w:cs="Arial"/>
          <w:lang w:val="en-GB"/>
        </w:rPr>
        <w:t>, 70(3), 270–277. https://doi.org/10.1136/thoraxjnl-2014-206291.</w:t>
      </w:r>
    </w:p>
    <w:p w14:paraId="7F8054F4" w14:textId="77777777" w:rsidR="006E58A1" w:rsidRDefault="00EE207F" w:rsidP="00EE207F">
      <w:pPr>
        <w:pStyle w:val="BodyText"/>
        <w:numPr>
          <w:ilvl w:val="0"/>
          <w:numId w:val="34"/>
        </w:numPr>
        <w:spacing w:line="360" w:lineRule="auto"/>
        <w:rPr>
          <w:rFonts w:ascii="Arial" w:hAnsi="Arial" w:cs="Arial"/>
          <w:lang w:val="en-GB"/>
        </w:rPr>
      </w:pPr>
      <w:r w:rsidRPr="002500B2">
        <w:rPr>
          <w:rFonts w:ascii="Arial" w:hAnsi="Arial" w:cs="Arial"/>
          <w:lang w:val="nl-BE"/>
        </w:rPr>
        <w:t xml:space="preserve">Krijgsheld, P., Bleichrodt, R., van Veluw, G. J., Wang, F., Müller, W. H., Dijksterhuis, J., &amp; Wösten, H. A. B. (2013). </w:t>
      </w:r>
      <w:r w:rsidRPr="006E58A1">
        <w:rPr>
          <w:rFonts w:ascii="Arial" w:hAnsi="Arial" w:cs="Arial"/>
          <w:i/>
          <w:iCs/>
          <w:lang w:val="en-GB"/>
        </w:rPr>
        <w:t>Development in aspergillus. Studies in Mycology</w:t>
      </w:r>
      <w:r w:rsidRPr="006E58A1">
        <w:rPr>
          <w:rFonts w:ascii="Arial" w:hAnsi="Arial" w:cs="Arial"/>
          <w:lang w:val="en-GB"/>
        </w:rPr>
        <w:t>, 74, 1–29. https://doi.org/10.3114/sim0006.</w:t>
      </w:r>
    </w:p>
    <w:p w14:paraId="44FA72C7"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Kumar, V., Neeraj, Sharma, S., &amp; Sagar, N. A. (2015). Post Harvest Management of Fungal Diseases in Onion - A Review. </w:t>
      </w:r>
      <w:r w:rsidRPr="006E58A1">
        <w:rPr>
          <w:rFonts w:ascii="Arial" w:hAnsi="Arial" w:cs="Arial"/>
          <w:i/>
          <w:iCs/>
          <w:lang w:val="en-GB"/>
        </w:rPr>
        <w:t>International Journal of Current Microbiology and Applied Sciences</w:t>
      </w:r>
      <w:r w:rsidRPr="006E58A1">
        <w:rPr>
          <w:rFonts w:ascii="Arial" w:hAnsi="Arial" w:cs="Arial"/>
          <w:lang w:val="en-GB"/>
        </w:rPr>
        <w:t>, 4(6), 737–752.</w:t>
      </w:r>
    </w:p>
    <w:p w14:paraId="413A5EC0"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Lanette Sobel. (2014). Aspergillus niger. </w:t>
      </w:r>
      <w:r w:rsidRPr="006E58A1">
        <w:rPr>
          <w:rFonts w:ascii="Arial" w:hAnsi="Arial" w:cs="Arial"/>
          <w:i/>
          <w:iCs/>
          <w:lang w:val="en-GB"/>
        </w:rPr>
        <w:t>In Bugwood wiki</w:t>
      </w:r>
      <w:r w:rsidRPr="006E58A1">
        <w:rPr>
          <w:rFonts w:ascii="Arial" w:hAnsi="Arial" w:cs="Arial"/>
          <w:lang w:val="en-GB"/>
        </w:rPr>
        <w:t>. https://wiki.bugwood.org/Aspergillus_niger.</w:t>
      </w:r>
    </w:p>
    <w:p w14:paraId="01B336B2"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Laothanachareon, T., Bunterngsook, B., &amp; Champreda, V. (2022). Profiling multi-enzyme activities of Aspergillus niger strains growing on various agro-industrial residues. </w:t>
      </w:r>
      <w:r w:rsidRPr="006E58A1">
        <w:rPr>
          <w:rFonts w:ascii="Arial" w:hAnsi="Arial" w:cs="Arial"/>
          <w:i/>
          <w:iCs/>
          <w:lang w:val="en-GB"/>
        </w:rPr>
        <w:t>3 Biotech</w:t>
      </w:r>
      <w:r w:rsidRPr="006E58A1">
        <w:rPr>
          <w:rFonts w:ascii="Arial" w:hAnsi="Arial" w:cs="Arial"/>
          <w:lang w:val="en-GB"/>
        </w:rPr>
        <w:t>, 12(1), 1–16. https://doi.org/10.1007/s13205-021-03086-y.</w:t>
      </w:r>
    </w:p>
    <w:p w14:paraId="212EA23E" w14:textId="3D890499" w:rsidR="006E58A1" w:rsidRPr="00116986" w:rsidRDefault="00EE207F" w:rsidP="00116986">
      <w:pPr>
        <w:pStyle w:val="BodyText"/>
        <w:numPr>
          <w:ilvl w:val="0"/>
          <w:numId w:val="34"/>
        </w:numPr>
        <w:spacing w:line="360" w:lineRule="auto"/>
        <w:rPr>
          <w:rFonts w:ascii="Arial" w:hAnsi="Arial" w:cs="Arial"/>
          <w:lang w:val="en-GB"/>
        </w:rPr>
      </w:pPr>
      <w:r w:rsidRPr="006E58A1">
        <w:rPr>
          <w:rFonts w:ascii="Arial" w:hAnsi="Arial" w:cs="Arial"/>
          <w:lang w:val="en-GB"/>
        </w:rPr>
        <w:t xml:space="preserve">Lopes, F. C., Silva, L. A. D. E., Tichota, D. M., Daroit, D. J., Velho, R. V., Pereira, J. Q., Corrêa, A. P. F., &amp; Brandelli, A. (2011). Production of proteolytic enzymes by a keratin-degrading aspergillus niger. </w:t>
      </w:r>
      <w:r w:rsidRPr="006E58A1">
        <w:rPr>
          <w:rFonts w:ascii="Arial" w:hAnsi="Arial" w:cs="Arial"/>
          <w:i/>
          <w:iCs/>
          <w:lang w:val="en-GB"/>
        </w:rPr>
        <w:t>Enzyme Research</w:t>
      </w:r>
      <w:r w:rsidRPr="006E58A1">
        <w:rPr>
          <w:rFonts w:ascii="Arial" w:hAnsi="Arial" w:cs="Arial"/>
          <w:lang w:val="en-GB"/>
        </w:rPr>
        <w:t>, 2011(1). https://doi.org/10.4061/2011/487093.</w:t>
      </w:r>
    </w:p>
    <w:p w14:paraId="6F8E74AD" w14:textId="77777777" w:rsidR="006E58A1" w:rsidRDefault="00EE207F" w:rsidP="00EE207F">
      <w:pPr>
        <w:pStyle w:val="BodyText"/>
        <w:numPr>
          <w:ilvl w:val="0"/>
          <w:numId w:val="34"/>
        </w:numPr>
        <w:spacing w:line="360" w:lineRule="auto"/>
        <w:rPr>
          <w:rFonts w:ascii="Arial" w:hAnsi="Arial" w:cs="Arial"/>
          <w:lang w:val="en-GB"/>
        </w:rPr>
      </w:pPr>
      <w:r w:rsidRPr="002500B2">
        <w:rPr>
          <w:rFonts w:ascii="Arial" w:hAnsi="Arial" w:cs="Arial"/>
          <w:lang w:val="nl-BE"/>
        </w:rPr>
        <w:t xml:space="preserve">Mierziak, J., Kostyn, K., &amp; Kulma, A. (2014). </w:t>
      </w:r>
      <w:r w:rsidRPr="006E58A1">
        <w:rPr>
          <w:rFonts w:ascii="Arial" w:hAnsi="Arial" w:cs="Arial"/>
          <w:lang w:val="en-GB"/>
        </w:rPr>
        <w:t xml:space="preserve">Flavonoids as important molecules of plant interactions with the environment. </w:t>
      </w:r>
      <w:r w:rsidRPr="006E58A1">
        <w:rPr>
          <w:rFonts w:ascii="Arial" w:hAnsi="Arial" w:cs="Arial"/>
          <w:i/>
          <w:iCs/>
          <w:lang w:val="en-GB"/>
        </w:rPr>
        <w:t>Molecules</w:t>
      </w:r>
      <w:r w:rsidRPr="006E58A1">
        <w:rPr>
          <w:rFonts w:ascii="Arial" w:hAnsi="Arial" w:cs="Arial"/>
          <w:lang w:val="en-GB"/>
        </w:rPr>
        <w:t>, 19(10), 16240–16265. https://doi.org/10.3390/molecules191016240.</w:t>
      </w:r>
    </w:p>
    <w:p w14:paraId="54F2E8AD" w14:textId="1FE25BDE" w:rsidR="006E58A1" w:rsidRPr="00C31FAE" w:rsidRDefault="00EE207F" w:rsidP="00C31FAE">
      <w:pPr>
        <w:pStyle w:val="BodyText"/>
        <w:numPr>
          <w:ilvl w:val="0"/>
          <w:numId w:val="34"/>
        </w:numPr>
        <w:spacing w:line="360" w:lineRule="auto"/>
        <w:rPr>
          <w:rFonts w:ascii="Arial" w:hAnsi="Arial" w:cs="Arial"/>
          <w:lang w:val="en-GB"/>
        </w:rPr>
      </w:pPr>
      <w:r w:rsidRPr="006E58A1">
        <w:rPr>
          <w:rFonts w:ascii="Arial" w:hAnsi="Arial" w:cs="Arial"/>
          <w:lang w:val="en-GB"/>
        </w:rPr>
        <w:lastRenderedPageBreak/>
        <w:t>Miller, L. (2022). Tips For Growing Shallots That Are Disease And Pest Free Shallots. I</w:t>
      </w:r>
      <w:r w:rsidRPr="006E58A1">
        <w:rPr>
          <w:rFonts w:ascii="Arial" w:hAnsi="Arial" w:cs="Arial"/>
          <w:i/>
          <w:iCs/>
          <w:lang w:val="en-GB"/>
        </w:rPr>
        <w:t>n Gardening</w:t>
      </w:r>
      <w:r w:rsidRPr="006E58A1">
        <w:rPr>
          <w:rFonts w:ascii="Arial" w:hAnsi="Arial" w:cs="Arial"/>
          <w:lang w:val="en-GB"/>
        </w:rPr>
        <w:t>. https://www.gardeningknowhow.com/edible/vegetables/shallot/shallot-problems.htm.</w:t>
      </w:r>
    </w:p>
    <w:p w14:paraId="0B22B033"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Nehal el-mougy, dr nadia el-gamal, M. A.-K. (2009). Pre-storage application of some essential oils and food preservatives against black mould incidence of garlic cloves during storage. </w:t>
      </w:r>
      <w:r w:rsidRPr="006E58A1">
        <w:rPr>
          <w:rFonts w:ascii="Arial" w:hAnsi="Arial" w:cs="Arial"/>
          <w:i/>
          <w:iCs/>
          <w:lang w:val="en-GB"/>
        </w:rPr>
        <w:t>Taylor &amp; Francis</w:t>
      </w:r>
      <w:r w:rsidRPr="006E58A1">
        <w:rPr>
          <w:rFonts w:ascii="Arial" w:hAnsi="Arial" w:cs="Arial"/>
          <w:lang w:val="en-GB"/>
        </w:rPr>
        <w:t>, 42(11), 1059–1068. https://doi.org/10.1080/03235400701621933.</w:t>
      </w:r>
    </w:p>
    <w:p w14:paraId="0BD251E4"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Nuray Özer, L. A. (2014). Evaluation of fungal antagonists to control black mold disease under field conditions and to induce the accumulation of antifungal compounds in onion following seed and set treatment. </w:t>
      </w:r>
      <w:r w:rsidRPr="006E58A1">
        <w:rPr>
          <w:rFonts w:ascii="Arial" w:hAnsi="Arial" w:cs="Arial"/>
          <w:i/>
          <w:iCs/>
          <w:lang w:val="en-GB"/>
        </w:rPr>
        <w:t>Crop Protection, Elsevier</w:t>
      </w:r>
      <w:r w:rsidRPr="006E58A1">
        <w:rPr>
          <w:rFonts w:ascii="Arial" w:hAnsi="Arial" w:cs="Arial"/>
          <w:lang w:val="en-GB"/>
        </w:rPr>
        <w:t>, 65, 21–28. https://doi.org/https://doi.org/10.1016/j.cropro.2014.06.027.</w:t>
      </w:r>
    </w:p>
    <w:p w14:paraId="0E3AD26D"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Okamura, K., Noro, R., Fujita, K., Kure, S., Kunugi, S., Takano, H., Miyashita, R., Tozuka, T., Tanaka, T., Sugano, T., Sakurai, Y., Suzuki, A., Suga, M., Hayashi, A., Saito, Y., Kubota, K., Seike, M., &amp; Gemma, A. (2022). Acute respiratory failure due to Aspergillus niger infection with acute fibrinous and organazing pneumonia: A case report. </w:t>
      </w:r>
      <w:r w:rsidRPr="006E58A1">
        <w:rPr>
          <w:rFonts w:ascii="Arial" w:hAnsi="Arial" w:cs="Arial"/>
          <w:i/>
          <w:iCs/>
          <w:lang w:val="en-GB"/>
        </w:rPr>
        <w:t>Respiratory Medicine Case Reports</w:t>
      </w:r>
      <w:r w:rsidRPr="006E58A1">
        <w:rPr>
          <w:rFonts w:ascii="Arial" w:hAnsi="Arial" w:cs="Arial"/>
          <w:lang w:val="en-GB"/>
        </w:rPr>
        <w:t>, 37, 101641. https://doi.org/10.1016/j.rmcr.2022.101641.</w:t>
      </w:r>
    </w:p>
    <w:p w14:paraId="36A59D0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Okigbo RN, O. U. (2006). Antifungal effects of two tropical plant leaf extracts (Ocimum gratissimum and Afromomum melegueta) on postharvest yam (Dioscorea spp.) rot. </w:t>
      </w:r>
      <w:r w:rsidRPr="006E58A1">
        <w:rPr>
          <w:rFonts w:ascii="Arial" w:hAnsi="Arial" w:cs="Arial"/>
          <w:i/>
          <w:iCs/>
          <w:lang w:val="en-GB"/>
        </w:rPr>
        <w:t>Afr J Biotechnol</w:t>
      </w:r>
      <w:r w:rsidRPr="006E58A1">
        <w:rPr>
          <w:rFonts w:ascii="Arial" w:hAnsi="Arial" w:cs="Arial"/>
          <w:lang w:val="en-GB"/>
        </w:rPr>
        <w:t>, 5(9), 727–731.</w:t>
      </w:r>
    </w:p>
    <w:p w14:paraId="15768161"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Palencia, E. R., Hinton, D. M., &amp; Bacon, C. W. (2010). The black Aspergillus species of maize and peanuts and their potential for mycotoxin production. </w:t>
      </w:r>
      <w:r w:rsidRPr="006E58A1">
        <w:rPr>
          <w:rFonts w:ascii="Arial" w:hAnsi="Arial" w:cs="Arial"/>
          <w:i/>
          <w:iCs/>
          <w:lang w:val="en-GB"/>
        </w:rPr>
        <w:t>Toxins</w:t>
      </w:r>
      <w:r w:rsidRPr="006E58A1">
        <w:rPr>
          <w:rFonts w:ascii="Arial" w:hAnsi="Arial" w:cs="Arial"/>
          <w:lang w:val="en-GB"/>
        </w:rPr>
        <w:t>, 2(4), 399–416. https://doi.org/10.3390/toxins2040399.</w:t>
      </w:r>
    </w:p>
    <w:p w14:paraId="66DB8EC4"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Panoff, L. (2019). What Are Shallots? Nutrition, Benefits, and Substitutes Medically reviewed. </w:t>
      </w:r>
      <w:r w:rsidRPr="006E58A1">
        <w:rPr>
          <w:rFonts w:ascii="Arial" w:hAnsi="Arial" w:cs="Arial"/>
          <w:i/>
          <w:iCs/>
          <w:lang w:val="en-GB"/>
        </w:rPr>
        <w:t>In Healthline</w:t>
      </w:r>
      <w:r w:rsidRPr="006E58A1">
        <w:rPr>
          <w:rFonts w:ascii="Arial" w:hAnsi="Arial" w:cs="Arial"/>
          <w:lang w:val="en-GB"/>
        </w:rPr>
        <w:t>. https://www.healthline.com/nutrition/what-are-shallots.</w:t>
      </w:r>
    </w:p>
    <w:p w14:paraId="0BB65737"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Paulussen, C., Hallsworth, J. E., Álvarez-Pérez, S., Nierman, W. C., Hamill, P. G., Blain, D., Rediers, H., &amp; Lievens, B. (2017). Ecology of aspergillosis: insights into the pathogenic potency of Aspergillus fumigatus and some other Aspergillus species. </w:t>
      </w:r>
      <w:r w:rsidRPr="006E58A1">
        <w:rPr>
          <w:rFonts w:ascii="Arial" w:hAnsi="Arial" w:cs="Arial"/>
          <w:i/>
          <w:iCs/>
          <w:lang w:val="en-GB"/>
        </w:rPr>
        <w:t>Microbial Biotechnology</w:t>
      </w:r>
      <w:r w:rsidRPr="006E58A1">
        <w:rPr>
          <w:rFonts w:ascii="Arial" w:hAnsi="Arial" w:cs="Arial"/>
          <w:lang w:val="en-GB"/>
        </w:rPr>
        <w:t>, 10(2), 296–322. https://doi.org/10.1111/1751-7915.12367.</w:t>
      </w:r>
    </w:p>
    <w:p w14:paraId="16D7C63A" w14:textId="304A5250" w:rsidR="006E58A1" w:rsidRPr="00116986" w:rsidRDefault="00EE207F" w:rsidP="00116986">
      <w:pPr>
        <w:pStyle w:val="BodyText"/>
        <w:numPr>
          <w:ilvl w:val="0"/>
          <w:numId w:val="34"/>
        </w:numPr>
        <w:spacing w:line="360" w:lineRule="auto"/>
        <w:rPr>
          <w:rFonts w:ascii="Arial" w:hAnsi="Arial" w:cs="Arial"/>
          <w:lang w:val="en-GB"/>
        </w:rPr>
      </w:pPr>
      <w:r w:rsidRPr="006E58A1">
        <w:rPr>
          <w:rFonts w:ascii="Arial" w:hAnsi="Arial" w:cs="Arial"/>
          <w:lang w:val="en-GB"/>
        </w:rPr>
        <w:t xml:space="preserve">Person, A. K., Chudgar, S. M., Norton, B. L., Tong, B. C., &amp; Stout, J. E. (2010). Aspergillus niger: An unusual cause of invasive pulmonary aspergillosis. </w:t>
      </w:r>
      <w:r w:rsidRPr="006E58A1">
        <w:rPr>
          <w:rFonts w:ascii="Arial" w:hAnsi="Arial" w:cs="Arial"/>
          <w:i/>
          <w:iCs/>
          <w:lang w:val="en-GB"/>
        </w:rPr>
        <w:t>Journal of Medical Microbiology</w:t>
      </w:r>
      <w:r w:rsidRPr="006E58A1">
        <w:rPr>
          <w:rFonts w:ascii="Arial" w:hAnsi="Arial" w:cs="Arial"/>
          <w:lang w:val="en-GB"/>
        </w:rPr>
        <w:t>, 59(7), 834–838. https://doi.org/10.1099/jmm.0.018309-0.</w:t>
      </w:r>
    </w:p>
    <w:p w14:paraId="4FF3C06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lastRenderedPageBreak/>
        <w:t xml:space="preserve">Pramod, S.S, Debabandya, M, Manoj, K.T, Saroj, K. G, Adinath K, &amp; Kumar, M (2022). Inactivation of Aspergillus niger and Erwinia carotovora in onion (Allium cepa L) bulbs subjected to pulsed ozone treatment. </w:t>
      </w:r>
      <w:r w:rsidRPr="006E58A1">
        <w:rPr>
          <w:rFonts w:ascii="Arial" w:hAnsi="Arial" w:cs="Arial"/>
          <w:i/>
          <w:iCs/>
          <w:lang w:val="en-GB"/>
        </w:rPr>
        <w:t>Postharvest Biologyand Technology</w:t>
      </w:r>
      <w:r w:rsidRPr="006E58A1">
        <w:rPr>
          <w:rFonts w:ascii="Arial" w:hAnsi="Arial" w:cs="Arial"/>
          <w:lang w:val="en-GB"/>
        </w:rPr>
        <w:t>, 192.</w:t>
      </w:r>
    </w:p>
    <w:p w14:paraId="47AA7FCA"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Prajapati, B., &amp; Patil, R. K. (2016a). Bio-efficacy of fungicides in management of black mould rot ( aspergillus niger ) of onion.</w:t>
      </w:r>
      <w:r w:rsidRPr="006E58A1">
        <w:rPr>
          <w:rFonts w:ascii="Arial" w:hAnsi="Arial" w:cs="Arial"/>
          <w:i/>
          <w:iCs/>
          <w:lang w:val="en-GB"/>
        </w:rPr>
        <w:t xml:space="preserve"> Elsevier</w:t>
      </w:r>
    </w:p>
    <w:p w14:paraId="0A84F62E" w14:textId="68122625" w:rsidR="006E58A1" w:rsidRPr="003C4828" w:rsidRDefault="00EE207F" w:rsidP="003C4828">
      <w:pPr>
        <w:pStyle w:val="BodyText"/>
        <w:numPr>
          <w:ilvl w:val="0"/>
          <w:numId w:val="34"/>
        </w:numPr>
        <w:spacing w:line="360" w:lineRule="auto"/>
        <w:rPr>
          <w:rFonts w:ascii="Arial" w:hAnsi="Arial" w:cs="Arial"/>
          <w:lang w:val="en-GB"/>
        </w:rPr>
      </w:pPr>
      <w:r w:rsidRPr="006E58A1">
        <w:rPr>
          <w:rFonts w:ascii="Arial" w:hAnsi="Arial" w:cs="Arial"/>
          <w:lang w:val="en-GB"/>
        </w:rPr>
        <w:t xml:space="preserve">Prajapati, B., &amp; Patil, R. K. (2016b). Impact of Inoculation Methods on Development of Black Mould Rot of Onion Incited by </w:t>
      </w:r>
      <w:r w:rsidRPr="006E58A1">
        <w:rPr>
          <w:rFonts w:ascii="Arial" w:hAnsi="Arial" w:cs="Arial"/>
          <w:i/>
          <w:iCs/>
          <w:lang w:val="en-GB"/>
        </w:rPr>
        <w:t xml:space="preserve">Aspergillus niger </w:t>
      </w:r>
      <w:r w:rsidRPr="006E58A1">
        <w:rPr>
          <w:rFonts w:ascii="Arial" w:hAnsi="Arial" w:cs="Arial"/>
          <w:lang w:val="en-GB"/>
        </w:rPr>
        <w:t xml:space="preserve">Van </w:t>
      </w:r>
      <w:r w:rsidRPr="006E58A1">
        <w:rPr>
          <w:rFonts w:ascii="Arial" w:hAnsi="Arial" w:cs="Arial"/>
          <w:i/>
          <w:iCs/>
          <w:lang w:val="en-GB"/>
        </w:rPr>
        <w:t>Tieghem</w:t>
      </w:r>
      <w:r w:rsidR="003F3AAE" w:rsidRPr="006E58A1">
        <w:rPr>
          <w:rFonts w:ascii="Arial" w:hAnsi="Arial" w:cs="Arial"/>
          <w:i/>
          <w:iCs/>
          <w:lang w:val="en-GB"/>
        </w:rPr>
        <w:t>.</w:t>
      </w:r>
      <w:r w:rsidR="003F3AAE" w:rsidRPr="006E58A1">
        <w:rPr>
          <w:rFonts w:ascii="Arial" w:hAnsi="Arial" w:cs="Arial"/>
          <w:lang w:val="en-GB"/>
        </w:rPr>
        <w:t xml:space="preserve"> </w:t>
      </w:r>
      <w:r w:rsidR="003F3AAE" w:rsidRPr="006E58A1">
        <w:rPr>
          <w:rFonts w:ascii="Arial" w:hAnsi="Arial" w:cs="Arial"/>
          <w:i/>
          <w:iCs/>
          <w:lang w:val="en-GB"/>
        </w:rPr>
        <w:t>Elsevier</w:t>
      </w:r>
      <w:r w:rsidR="003C4828">
        <w:rPr>
          <w:rFonts w:ascii="Arial" w:hAnsi="Arial" w:cs="Arial"/>
          <w:lang w:val="en-GB"/>
        </w:rPr>
        <w:t>.</w:t>
      </w:r>
    </w:p>
    <w:p w14:paraId="15D63CB7" w14:textId="77777777" w:rsidR="003D6CDA"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Safitri, Y. A., Hasanah, U., Salamiah, S., Samharinto, S., &amp; Pramudi, M. I. (2019). Distribution of major diseases of shallot in South Kalimantan, Indonesia. Asian Journal of Agriculture, 3(02), 33–40. https://doi.org/10.13057/asianjagric/g030201.</w:t>
      </w:r>
    </w:p>
    <w:p w14:paraId="3EFE24C2" w14:textId="5F9F76B9" w:rsidR="003D6CDA" w:rsidRPr="00116986" w:rsidRDefault="00EE207F" w:rsidP="00116986">
      <w:pPr>
        <w:pStyle w:val="BodyText"/>
        <w:numPr>
          <w:ilvl w:val="0"/>
          <w:numId w:val="34"/>
        </w:numPr>
        <w:spacing w:line="360" w:lineRule="auto"/>
        <w:rPr>
          <w:rFonts w:ascii="Arial" w:hAnsi="Arial" w:cs="Arial"/>
          <w:lang w:val="en-GB"/>
        </w:rPr>
      </w:pPr>
      <w:r w:rsidRPr="003D6CDA">
        <w:rPr>
          <w:rFonts w:ascii="Arial" w:hAnsi="Arial" w:cs="Arial"/>
          <w:lang w:val="en-GB"/>
        </w:rPr>
        <w:t xml:space="preserve">Satish S, Mohana DC, Ranhavendra MP, R. K. (2007). Antifungal activity of some plant extracts against important seed borne pathogens of </w:t>
      </w:r>
      <w:r w:rsidRPr="003D6CDA">
        <w:rPr>
          <w:rFonts w:ascii="Arial" w:hAnsi="Arial" w:cs="Arial"/>
          <w:i/>
          <w:iCs/>
          <w:lang w:val="en-GB"/>
        </w:rPr>
        <w:t>Aspergillus sp. J Agr Sci Tech</w:t>
      </w:r>
      <w:r w:rsidRPr="003D6CDA">
        <w:rPr>
          <w:rFonts w:ascii="Arial" w:hAnsi="Arial" w:cs="Arial"/>
          <w:lang w:val="en-GB"/>
        </w:rPr>
        <w:t>, 3(1), 109–119.</w:t>
      </w:r>
    </w:p>
    <w:p w14:paraId="3CA4454E" w14:textId="584DD5B6" w:rsidR="003D6CDA" w:rsidRPr="00116986" w:rsidRDefault="00EE207F" w:rsidP="00116986">
      <w:pPr>
        <w:pStyle w:val="BodyText"/>
        <w:numPr>
          <w:ilvl w:val="0"/>
          <w:numId w:val="34"/>
        </w:numPr>
        <w:spacing w:line="360" w:lineRule="auto"/>
        <w:rPr>
          <w:rFonts w:ascii="Arial" w:hAnsi="Arial" w:cs="Arial"/>
          <w:lang w:val="en-GB"/>
        </w:rPr>
      </w:pPr>
      <w:r w:rsidRPr="003D6CDA">
        <w:rPr>
          <w:rFonts w:ascii="Arial" w:hAnsi="Arial" w:cs="Arial"/>
          <w:lang w:val="en-GB"/>
        </w:rPr>
        <w:t xml:space="preserve">Sibi G., Wadhavan R., Singh S., Dhananjaya K., Ravikumar K. R., less H. M.. (2013). Biological control of onion black mold by Indian culinary spices under in vitro conditions. </w:t>
      </w:r>
      <w:r w:rsidRPr="003D6CDA">
        <w:rPr>
          <w:rFonts w:ascii="Arial" w:hAnsi="Arial" w:cs="Arial"/>
          <w:i/>
          <w:iCs/>
          <w:lang w:val="en-GB"/>
        </w:rPr>
        <w:t>Asian Journal of Pharmaceutical and Clinical Research.</w:t>
      </w:r>
    </w:p>
    <w:p w14:paraId="2A26E598"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Srinivas, C., Devi, D. N., Murthy, K. N., Dhananjaya, C., Lakshmeesha, T. R., Singh, B., Kumar, N., Niranjana, S. R., Hashem, A., Alqarawi, A. A., Tabassum, B., Fathi, E., Allah, A., &amp; Nayaka, S. C. (2019). Fusarium oxysporum f . sp . lycopersici causal agent of vascular wilt disease of tomato : Biology to diversity – A review. </w:t>
      </w:r>
      <w:r w:rsidRPr="003D6CDA">
        <w:rPr>
          <w:rFonts w:ascii="Arial" w:hAnsi="Arial" w:cs="Arial"/>
          <w:i/>
          <w:iCs/>
          <w:lang w:val="en-GB"/>
        </w:rPr>
        <w:t>Saudi Journal of Biological Sciences</w:t>
      </w:r>
      <w:r w:rsidRPr="003D6CDA">
        <w:rPr>
          <w:rFonts w:ascii="Arial" w:hAnsi="Arial" w:cs="Arial"/>
          <w:lang w:val="en-GB"/>
        </w:rPr>
        <w:t>, 26(7), 1315–1324. https://doi.org/10.1016/j.sjbs.2019.06.002.</w:t>
      </w:r>
    </w:p>
    <w:p w14:paraId="5F4BC604"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Supyani, Poromarto, S. H., Supriyadi, &amp; Hadiwiyono. (2021). Moler Disease of Shallot in the Last Three Years at Brebes Central Java: The Intensity and Resulting Yields Losses is Increasing. </w:t>
      </w:r>
      <w:r w:rsidRPr="003D6CDA">
        <w:rPr>
          <w:rFonts w:ascii="Arial" w:hAnsi="Arial" w:cs="Arial"/>
          <w:i/>
          <w:iCs/>
          <w:lang w:val="en-GB"/>
        </w:rPr>
        <w:t>IOP Conference Series: Earth and Environmental Science</w:t>
      </w:r>
      <w:r w:rsidRPr="003D6CDA">
        <w:rPr>
          <w:rFonts w:ascii="Arial" w:hAnsi="Arial" w:cs="Arial"/>
          <w:lang w:val="en-GB"/>
        </w:rPr>
        <w:t>, 810(1). https://doi.org/10.1088/1755-1315/810/1/012004</w:t>
      </w:r>
    </w:p>
    <w:p w14:paraId="26636B12" w14:textId="5C399BE7" w:rsidR="003D6CDA" w:rsidRPr="00116986" w:rsidRDefault="00EE207F" w:rsidP="00116986">
      <w:pPr>
        <w:pStyle w:val="BodyText"/>
        <w:numPr>
          <w:ilvl w:val="0"/>
          <w:numId w:val="34"/>
        </w:numPr>
        <w:spacing w:line="360" w:lineRule="auto"/>
        <w:rPr>
          <w:rFonts w:ascii="Arial" w:hAnsi="Arial" w:cs="Arial"/>
          <w:lang w:val="en-GB"/>
        </w:rPr>
      </w:pPr>
      <w:r w:rsidRPr="003D6CDA">
        <w:rPr>
          <w:rFonts w:ascii="Arial" w:hAnsi="Arial" w:cs="Arial"/>
          <w:lang w:val="en-GB"/>
        </w:rPr>
        <w:t xml:space="preserve">Swamy S., &amp; Godaw A.. (2014). Management of major diseases and insect pests of onion and garlic: A comprehensive review. </w:t>
      </w:r>
      <w:r w:rsidRPr="003D6CDA">
        <w:rPr>
          <w:rFonts w:ascii="Arial" w:hAnsi="Arial" w:cs="Arial"/>
          <w:i/>
          <w:iCs/>
          <w:lang w:val="en-GB"/>
        </w:rPr>
        <w:t>Journal of Plant Breeding and Crop Science</w:t>
      </w:r>
      <w:r w:rsidRPr="003D6CDA">
        <w:rPr>
          <w:rFonts w:ascii="Arial" w:hAnsi="Arial" w:cs="Arial"/>
          <w:lang w:val="en-GB"/>
        </w:rPr>
        <w:t>, 6(11), 160–170. https://doi.org/10.5897/jpbcs2014.0467.</w:t>
      </w:r>
    </w:p>
    <w:p w14:paraId="1827EEC7" w14:textId="360C281D" w:rsidR="003D6CDA" w:rsidRPr="003C4828" w:rsidRDefault="00EE207F" w:rsidP="003C4828">
      <w:pPr>
        <w:pStyle w:val="BodyText"/>
        <w:numPr>
          <w:ilvl w:val="0"/>
          <w:numId w:val="34"/>
        </w:numPr>
        <w:spacing w:line="360" w:lineRule="auto"/>
        <w:rPr>
          <w:rFonts w:ascii="Arial" w:hAnsi="Arial" w:cs="Arial"/>
          <w:lang w:val="en-GB"/>
        </w:rPr>
      </w:pPr>
      <w:r w:rsidRPr="003D6CDA">
        <w:rPr>
          <w:rFonts w:ascii="Arial" w:hAnsi="Arial" w:cs="Arial"/>
          <w:lang w:val="en-GB"/>
        </w:rPr>
        <w:t xml:space="preserve">V.B. Anadani, R. S., &amp; M. Vanthana, L. F. A. (2017). Management of Black Mold of Onion [Aspergillus niger (Van Teigh)] by using Various Fungicides. </w:t>
      </w:r>
      <w:r w:rsidRPr="003D6CDA">
        <w:rPr>
          <w:rFonts w:ascii="Arial" w:hAnsi="Arial" w:cs="Arial"/>
          <w:i/>
          <w:iCs/>
          <w:lang w:val="en-GB"/>
        </w:rPr>
        <w:t xml:space="preserve">International </w:t>
      </w:r>
      <w:r w:rsidRPr="003D6CDA">
        <w:rPr>
          <w:rFonts w:ascii="Arial" w:hAnsi="Arial" w:cs="Arial"/>
          <w:i/>
          <w:iCs/>
          <w:lang w:val="en-GB"/>
        </w:rPr>
        <w:lastRenderedPageBreak/>
        <w:t>Journal of Current Microbiology and Applied Sciences</w:t>
      </w:r>
      <w:r w:rsidRPr="003D6CDA">
        <w:rPr>
          <w:rFonts w:ascii="Arial" w:hAnsi="Arial" w:cs="Arial"/>
          <w:lang w:val="en-GB"/>
        </w:rPr>
        <w:t>, 6(3), 1621–1627. https://doi.org/10.20546/ijcmas.2017.603.187.</w:t>
      </w:r>
    </w:p>
    <w:p w14:paraId="3A0EEB16" w14:textId="27A030E9" w:rsidR="003D6CDA" w:rsidRPr="00116986" w:rsidRDefault="00EE207F" w:rsidP="00116986">
      <w:pPr>
        <w:pStyle w:val="BodyText"/>
        <w:numPr>
          <w:ilvl w:val="0"/>
          <w:numId w:val="34"/>
        </w:numPr>
        <w:spacing w:line="360" w:lineRule="auto"/>
        <w:rPr>
          <w:rFonts w:ascii="Arial" w:hAnsi="Arial" w:cs="Arial"/>
          <w:lang w:val="en-GB"/>
        </w:rPr>
      </w:pPr>
      <w:r w:rsidRPr="003D6CDA">
        <w:rPr>
          <w:rFonts w:ascii="Arial" w:hAnsi="Arial" w:cs="Arial"/>
          <w:lang w:val="en-GB"/>
        </w:rPr>
        <w:t xml:space="preserve">Wenli, S., Mohamad, H. S., &amp; Qi, C. (2019). The insight and survey on medicinal properties and nutritive components of Shallot. </w:t>
      </w:r>
      <w:r w:rsidRPr="003D6CDA">
        <w:rPr>
          <w:rFonts w:ascii="Arial" w:hAnsi="Arial" w:cs="Arial"/>
          <w:i/>
          <w:iCs/>
          <w:lang w:val="en-GB"/>
        </w:rPr>
        <w:t>Journal of Medicinal Plants Research</w:t>
      </w:r>
      <w:r w:rsidRPr="003D6CDA">
        <w:rPr>
          <w:rFonts w:ascii="Arial" w:hAnsi="Arial" w:cs="Arial"/>
          <w:lang w:val="en-GB"/>
        </w:rPr>
        <w:t>, 13(18), 452–457. https://doi.org/10.5897/jmpr2019.6836.</w:t>
      </w:r>
    </w:p>
    <w:p w14:paraId="6B85D1C6" w14:textId="77777777" w:rsidR="003D6CDA" w:rsidRDefault="00EE207F" w:rsidP="00EE207F">
      <w:pPr>
        <w:pStyle w:val="BodyText"/>
        <w:numPr>
          <w:ilvl w:val="0"/>
          <w:numId w:val="34"/>
        </w:numPr>
        <w:spacing w:line="360" w:lineRule="auto"/>
        <w:rPr>
          <w:rFonts w:ascii="Arial" w:hAnsi="Arial" w:cs="Arial"/>
          <w:lang w:val="en-GB"/>
        </w:rPr>
      </w:pPr>
      <w:r w:rsidRPr="002500B2">
        <w:rPr>
          <w:rFonts w:ascii="Arial" w:hAnsi="Arial" w:cs="Arial"/>
          <w:lang w:val="nl-BE"/>
        </w:rPr>
        <w:t xml:space="preserve">Xin, X., Nan, M., Bi, Y., Xue, H., Zhang, Y., Wang, J., &amp; Lu, Z. (2023). </w:t>
      </w:r>
      <w:r w:rsidRPr="003D6CDA">
        <w:rPr>
          <w:rFonts w:ascii="Arial" w:hAnsi="Arial" w:cs="Arial"/>
          <w:lang w:val="en-GB"/>
        </w:rPr>
        <w:t xml:space="preserve">Effects of Aspergillus niger Infection on the Quality of Jujube and Ochratoxin A Cumulative Effect. </w:t>
      </w:r>
      <w:r w:rsidRPr="003D6CDA">
        <w:rPr>
          <w:rFonts w:ascii="Arial" w:hAnsi="Arial" w:cs="Arial"/>
          <w:i/>
          <w:iCs/>
          <w:lang w:val="en-GB"/>
        </w:rPr>
        <w:t>Toxins</w:t>
      </w:r>
      <w:r w:rsidRPr="003D6CDA">
        <w:rPr>
          <w:rFonts w:ascii="Arial" w:hAnsi="Arial" w:cs="Arial"/>
          <w:lang w:val="en-GB"/>
        </w:rPr>
        <w:t>, 15(7), 406. https://doi.org/10.3390/toxins15070406.</w:t>
      </w:r>
    </w:p>
    <w:p w14:paraId="21B6E991" w14:textId="4202F023" w:rsidR="003D6CDA" w:rsidRPr="007829BC" w:rsidRDefault="00EE207F" w:rsidP="007829BC">
      <w:pPr>
        <w:pStyle w:val="BodyText"/>
        <w:numPr>
          <w:ilvl w:val="0"/>
          <w:numId w:val="34"/>
        </w:numPr>
        <w:spacing w:line="360" w:lineRule="auto"/>
        <w:rPr>
          <w:rFonts w:ascii="Arial" w:hAnsi="Arial" w:cs="Arial"/>
          <w:lang w:val="en-GB"/>
        </w:rPr>
      </w:pPr>
      <w:r w:rsidRPr="003D6CDA">
        <w:rPr>
          <w:rFonts w:ascii="Arial" w:hAnsi="Arial" w:cs="Arial"/>
        </w:rPr>
        <w:t>Yeboah, T., &amp; Egyir, I. (2023). Children’s Work in Shallot Production on the Keta Peninsula, South-Eastern Ghana.</w:t>
      </w:r>
      <w:r w:rsidRPr="003D6CDA">
        <w:rPr>
          <w:rFonts w:ascii="Arial" w:hAnsi="Arial" w:cs="Arial"/>
          <w:i/>
          <w:iCs/>
        </w:rPr>
        <w:t xml:space="preserve"> Children’s Work in African Agriculture</w:t>
      </w:r>
      <w:r w:rsidRPr="003D6CDA">
        <w:rPr>
          <w:rFonts w:ascii="Arial" w:hAnsi="Arial" w:cs="Arial"/>
        </w:rPr>
        <w:t>, 233–250. https://doi.org/10.56687/9781529226072-014.</w:t>
      </w:r>
    </w:p>
    <w:p w14:paraId="15100792" w14:textId="1D31FCAB" w:rsidR="00EE207F" w:rsidRPr="003D6CDA" w:rsidRDefault="00EE207F" w:rsidP="00EE207F">
      <w:pPr>
        <w:pStyle w:val="BodyText"/>
        <w:numPr>
          <w:ilvl w:val="0"/>
          <w:numId w:val="34"/>
        </w:numPr>
        <w:spacing w:line="360" w:lineRule="auto"/>
        <w:rPr>
          <w:rFonts w:ascii="Arial" w:hAnsi="Arial" w:cs="Arial"/>
          <w:lang w:val="en-GB"/>
        </w:rPr>
      </w:pPr>
      <w:r w:rsidRPr="002500B2">
        <w:rPr>
          <w:rFonts w:ascii="Arial" w:hAnsi="Arial" w:cs="Arial"/>
          <w:lang w:val="nl-BE"/>
        </w:rPr>
        <w:t xml:space="preserve">Zeleke, A. A. (n.d.). </w:t>
      </w:r>
      <w:r w:rsidRPr="003D6CDA">
        <w:rPr>
          <w:rFonts w:ascii="Arial" w:hAnsi="Arial" w:cs="Arial"/>
          <w:lang w:val="en-GB"/>
        </w:rPr>
        <w:t xml:space="preserve">Advances in Crop Science and Technology Shallot Production Status in Ethiopia: </w:t>
      </w:r>
      <w:r w:rsidRPr="003D6CDA">
        <w:rPr>
          <w:rFonts w:ascii="Arial" w:hAnsi="Arial" w:cs="Arial"/>
          <w:i/>
          <w:iCs/>
          <w:lang w:val="en-GB"/>
        </w:rPr>
        <w:t>A Research Review</w:t>
      </w:r>
      <w:r w:rsidRPr="003D6CDA">
        <w:rPr>
          <w:rFonts w:ascii="Arial" w:hAnsi="Arial" w:cs="Arial"/>
          <w:lang w:val="en-GB"/>
        </w:rPr>
        <w:t>. 5–7. https://doi.org/10.4172/2329-8863.10005</w:t>
      </w:r>
    </w:p>
    <w:p w14:paraId="22FF27D5" w14:textId="77777777" w:rsidR="00EE207F" w:rsidRPr="00C10C85" w:rsidRDefault="00EE207F" w:rsidP="00EE207F">
      <w:pPr>
        <w:pStyle w:val="BodyText"/>
        <w:spacing w:line="360" w:lineRule="auto"/>
        <w:rPr>
          <w:rFonts w:ascii="Arial" w:hAnsi="Arial" w:cs="Arial"/>
        </w:rPr>
      </w:pPr>
      <w:r w:rsidRPr="00C10C85">
        <w:rPr>
          <w:rFonts w:ascii="Arial" w:hAnsi="Arial" w:cs="Arial"/>
        </w:rPr>
        <w:fldChar w:fldCharType="end"/>
      </w:r>
    </w:p>
    <w:p w14:paraId="09950596" w14:textId="0EAB71FD" w:rsidR="004D4277" w:rsidRPr="00D54AAB" w:rsidRDefault="004D4277" w:rsidP="00D54AAB">
      <w:pPr>
        <w:pStyle w:val="ReferHead"/>
        <w:spacing w:after="0"/>
        <w:jc w:val="both"/>
        <w:rPr>
          <w:rFonts w:ascii="Arial" w:hAnsi="Arial" w:cs="Arial"/>
          <w:bCs/>
        </w:rPr>
        <w:sectPr w:rsidR="004D4277" w:rsidRPr="00D54AAB" w:rsidSect="000D68FE">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35040BB5" w14:textId="77777777" w:rsidR="00B01FCD" w:rsidRPr="00FB3A86" w:rsidRDefault="00B01FCD" w:rsidP="00441B6F">
      <w:pPr>
        <w:pStyle w:val="Appendix"/>
        <w:spacing w:after="0"/>
        <w:jc w:val="both"/>
        <w:rPr>
          <w:rFonts w:ascii="Arial" w:hAnsi="Arial" w:cs="Arial"/>
          <w:b w:val="0"/>
        </w:rPr>
      </w:pPr>
    </w:p>
    <w:sectPr w:rsidR="00B01FCD" w:rsidRPr="00FB3A86" w:rsidSect="000D68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15AC8" w14:textId="77777777" w:rsidR="000E0589" w:rsidRDefault="000E0589" w:rsidP="00C37E61">
      <w:r>
        <w:separator/>
      </w:r>
    </w:p>
  </w:endnote>
  <w:endnote w:type="continuationSeparator" w:id="0">
    <w:p w14:paraId="78CA98FC" w14:textId="77777777" w:rsidR="000E0589" w:rsidRDefault="000E05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D198" w14:textId="77777777" w:rsidR="00A00DA9" w:rsidRDefault="00A00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5852" w14:textId="77777777" w:rsidR="00A00DA9" w:rsidRDefault="00A00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8F6FD" w14:textId="77777777" w:rsidR="009E048A" w:rsidRDefault="009E048A">
    <w:pPr>
      <w:pStyle w:val="Footer"/>
      <w:rPr>
        <w:rFonts w:ascii="Arial" w:hAnsi="Arial" w:cs="Arial"/>
        <w:sz w:val="16"/>
      </w:rPr>
    </w:pPr>
  </w:p>
  <w:p w14:paraId="4EF7F23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15266B" w14:textId="77777777" w:rsidR="009E048A" w:rsidRDefault="009E048A">
    <w:pPr>
      <w:pStyle w:val="Footer"/>
      <w:rPr>
        <w:rFonts w:ascii="Arial" w:hAnsi="Arial" w:cs="Arial"/>
        <w:sz w:val="16"/>
      </w:rPr>
    </w:pPr>
  </w:p>
  <w:p w14:paraId="5B6F8DF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BC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C5104" w14:textId="77777777" w:rsidR="000E0589" w:rsidRDefault="000E0589" w:rsidP="00C37E61">
      <w:r>
        <w:separator/>
      </w:r>
    </w:p>
  </w:footnote>
  <w:footnote w:type="continuationSeparator" w:id="0">
    <w:p w14:paraId="6311D09A" w14:textId="77777777" w:rsidR="000E0589" w:rsidRDefault="000E05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D914" w14:textId="648881D8" w:rsidR="00A00DA9" w:rsidRDefault="000E0589">
    <w:pPr>
      <w:pStyle w:val="Header"/>
    </w:pPr>
    <w:r>
      <w:rPr>
        <w:noProof/>
      </w:rPr>
      <w:pict w14:anchorId="67633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4320" w14:textId="401DEF21" w:rsidR="00A00DA9" w:rsidRDefault="000E0589">
    <w:pPr>
      <w:pStyle w:val="Header"/>
    </w:pPr>
    <w:r>
      <w:rPr>
        <w:noProof/>
      </w:rPr>
      <w:pict w14:anchorId="755B0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9BE4" w14:textId="49525EC5" w:rsidR="00296529" w:rsidRPr="00296529" w:rsidRDefault="000E0589" w:rsidP="00296529">
    <w:pPr>
      <w:ind w:left="2160"/>
      <w:jc w:val="center"/>
      <w:rPr>
        <w:rFonts w:ascii="Times New Roman" w:eastAsia="Calibri" w:hAnsi="Times New Roman"/>
        <w:i/>
        <w:sz w:val="18"/>
        <w:szCs w:val="22"/>
      </w:rPr>
    </w:pPr>
    <w:r>
      <w:rPr>
        <w:noProof/>
      </w:rPr>
      <w:pict w14:anchorId="567E6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21737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5662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FBBEA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CDB5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C46EF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E1A6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F2C5" w14:textId="5778566B" w:rsidR="00A00DA9" w:rsidRDefault="000E0589">
    <w:pPr>
      <w:pStyle w:val="Header"/>
    </w:pPr>
    <w:r>
      <w:rPr>
        <w:noProof/>
      </w:rPr>
      <w:pict w14:anchorId="4CA45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BF16" w14:textId="4921EC7F" w:rsidR="00A00DA9" w:rsidRDefault="000E0589">
    <w:pPr>
      <w:pStyle w:val="Header"/>
    </w:pPr>
    <w:r>
      <w:rPr>
        <w:noProof/>
      </w:rPr>
      <w:pict w14:anchorId="3DE65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1DCB" w14:textId="0E48487D" w:rsidR="00A00DA9" w:rsidRDefault="000E0589">
    <w:pPr>
      <w:pStyle w:val="Header"/>
    </w:pPr>
    <w:r>
      <w:rPr>
        <w:noProof/>
      </w:rPr>
      <w:pict w14:anchorId="3D8AB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60752D"/>
    <w:multiLevelType w:val="hybridMultilevel"/>
    <w:tmpl w:val="D3C84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46D8B"/>
    <w:multiLevelType w:val="multilevel"/>
    <w:tmpl w:val="DC3C66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B92DF0"/>
    <w:multiLevelType w:val="hybridMultilevel"/>
    <w:tmpl w:val="275AEC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4304B50"/>
    <w:multiLevelType w:val="hybridMultilevel"/>
    <w:tmpl w:val="FE76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7"/>
  </w:num>
  <w:num w:numId="32">
    <w:abstractNumId w:val="12"/>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565"/>
    <w:rsid w:val="00030174"/>
    <w:rsid w:val="00037A59"/>
    <w:rsid w:val="0004579C"/>
    <w:rsid w:val="000A47FA"/>
    <w:rsid w:val="000A65D3"/>
    <w:rsid w:val="000B1E33"/>
    <w:rsid w:val="000D689F"/>
    <w:rsid w:val="000D68FE"/>
    <w:rsid w:val="000E0589"/>
    <w:rsid w:val="000E5BF9"/>
    <w:rsid w:val="000E7B7B"/>
    <w:rsid w:val="000E7D62"/>
    <w:rsid w:val="00103357"/>
    <w:rsid w:val="0010422F"/>
    <w:rsid w:val="00107193"/>
    <w:rsid w:val="00116986"/>
    <w:rsid w:val="00121174"/>
    <w:rsid w:val="00123C9F"/>
    <w:rsid w:val="00126190"/>
    <w:rsid w:val="00130F17"/>
    <w:rsid w:val="001320BF"/>
    <w:rsid w:val="00134079"/>
    <w:rsid w:val="001427FF"/>
    <w:rsid w:val="001455E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0"/>
    <w:rsid w:val="002460DC"/>
    <w:rsid w:val="002500B2"/>
    <w:rsid w:val="00250985"/>
    <w:rsid w:val="002556F6"/>
    <w:rsid w:val="00283105"/>
    <w:rsid w:val="00284C4C"/>
    <w:rsid w:val="00287E68"/>
    <w:rsid w:val="002962C2"/>
    <w:rsid w:val="00296529"/>
    <w:rsid w:val="002A6DE7"/>
    <w:rsid w:val="002B27FB"/>
    <w:rsid w:val="002B685A"/>
    <w:rsid w:val="002C57D2"/>
    <w:rsid w:val="002D7656"/>
    <w:rsid w:val="002E0D56"/>
    <w:rsid w:val="002E2566"/>
    <w:rsid w:val="00306C6F"/>
    <w:rsid w:val="00315186"/>
    <w:rsid w:val="0033343E"/>
    <w:rsid w:val="003512C2"/>
    <w:rsid w:val="00371FB6"/>
    <w:rsid w:val="003763C1"/>
    <w:rsid w:val="00376BBE"/>
    <w:rsid w:val="0039224F"/>
    <w:rsid w:val="003A43A4"/>
    <w:rsid w:val="003A7E18"/>
    <w:rsid w:val="003B6656"/>
    <w:rsid w:val="003C4828"/>
    <w:rsid w:val="003C4C86"/>
    <w:rsid w:val="003C6258"/>
    <w:rsid w:val="003D6CDA"/>
    <w:rsid w:val="003E2904"/>
    <w:rsid w:val="003F3AAE"/>
    <w:rsid w:val="00401927"/>
    <w:rsid w:val="0041027F"/>
    <w:rsid w:val="00412475"/>
    <w:rsid w:val="00423789"/>
    <w:rsid w:val="00440F43"/>
    <w:rsid w:val="00441B6F"/>
    <w:rsid w:val="00446221"/>
    <w:rsid w:val="00450E62"/>
    <w:rsid w:val="004539DB"/>
    <w:rsid w:val="00471A80"/>
    <w:rsid w:val="00492E89"/>
    <w:rsid w:val="004B352C"/>
    <w:rsid w:val="004D305E"/>
    <w:rsid w:val="004D4277"/>
    <w:rsid w:val="004E3A32"/>
    <w:rsid w:val="004F08B6"/>
    <w:rsid w:val="00502516"/>
    <w:rsid w:val="00505F06"/>
    <w:rsid w:val="00506828"/>
    <w:rsid w:val="00525158"/>
    <w:rsid w:val="0053056E"/>
    <w:rsid w:val="00547AD3"/>
    <w:rsid w:val="00554FDA"/>
    <w:rsid w:val="0057666E"/>
    <w:rsid w:val="005C784C"/>
    <w:rsid w:val="005D17F6"/>
    <w:rsid w:val="005E5539"/>
    <w:rsid w:val="005F32F1"/>
    <w:rsid w:val="00602BF5"/>
    <w:rsid w:val="00606EF7"/>
    <w:rsid w:val="00617FDD"/>
    <w:rsid w:val="00633614"/>
    <w:rsid w:val="00633F68"/>
    <w:rsid w:val="00636EB2"/>
    <w:rsid w:val="006375B8"/>
    <w:rsid w:val="006479A1"/>
    <w:rsid w:val="006501C4"/>
    <w:rsid w:val="0066510A"/>
    <w:rsid w:val="00673F9F"/>
    <w:rsid w:val="00682A01"/>
    <w:rsid w:val="00686953"/>
    <w:rsid w:val="00687DEA"/>
    <w:rsid w:val="00687E67"/>
    <w:rsid w:val="006967F7"/>
    <w:rsid w:val="006A250C"/>
    <w:rsid w:val="006B21D3"/>
    <w:rsid w:val="006B57D0"/>
    <w:rsid w:val="006D30FF"/>
    <w:rsid w:val="006D6940"/>
    <w:rsid w:val="006E58A1"/>
    <w:rsid w:val="006F11EC"/>
    <w:rsid w:val="0070082C"/>
    <w:rsid w:val="00703307"/>
    <w:rsid w:val="007217E8"/>
    <w:rsid w:val="007369E6"/>
    <w:rsid w:val="00746E59"/>
    <w:rsid w:val="00754C9A"/>
    <w:rsid w:val="0075599A"/>
    <w:rsid w:val="00755FA0"/>
    <w:rsid w:val="00761D52"/>
    <w:rsid w:val="0077749E"/>
    <w:rsid w:val="007829BC"/>
    <w:rsid w:val="00782F3E"/>
    <w:rsid w:val="00790ADA"/>
    <w:rsid w:val="00793E4B"/>
    <w:rsid w:val="007B1BF5"/>
    <w:rsid w:val="007C5EA1"/>
    <w:rsid w:val="007D2288"/>
    <w:rsid w:val="007E088F"/>
    <w:rsid w:val="007F7B32"/>
    <w:rsid w:val="00804BC2"/>
    <w:rsid w:val="00812D0D"/>
    <w:rsid w:val="0081431A"/>
    <w:rsid w:val="0083216F"/>
    <w:rsid w:val="00846F66"/>
    <w:rsid w:val="00860000"/>
    <w:rsid w:val="00863BD3"/>
    <w:rsid w:val="008641ED"/>
    <w:rsid w:val="00866D66"/>
    <w:rsid w:val="008671C6"/>
    <w:rsid w:val="00875803"/>
    <w:rsid w:val="008B459E"/>
    <w:rsid w:val="008D4AE5"/>
    <w:rsid w:val="008D6A90"/>
    <w:rsid w:val="008E13AE"/>
    <w:rsid w:val="008E1506"/>
    <w:rsid w:val="008E710C"/>
    <w:rsid w:val="008F3B41"/>
    <w:rsid w:val="008F69D6"/>
    <w:rsid w:val="00902823"/>
    <w:rsid w:val="00910D0A"/>
    <w:rsid w:val="00915CA6"/>
    <w:rsid w:val="00927834"/>
    <w:rsid w:val="0093205B"/>
    <w:rsid w:val="009500A6"/>
    <w:rsid w:val="00957C18"/>
    <w:rsid w:val="009659BA"/>
    <w:rsid w:val="00983040"/>
    <w:rsid w:val="00990920"/>
    <w:rsid w:val="009B3FB9"/>
    <w:rsid w:val="009C2465"/>
    <w:rsid w:val="009D0A05"/>
    <w:rsid w:val="009D35A0"/>
    <w:rsid w:val="009D6B06"/>
    <w:rsid w:val="009D7EB7"/>
    <w:rsid w:val="009E048A"/>
    <w:rsid w:val="009E08E9"/>
    <w:rsid w:val="009E3DB9"/>
    <w:rsid w:val="009E6E35"/>
    <w:rsid w:val="009F0EDA"/>
    <w:rsid w:val="00A00DA9"/>
    <w:rsid w:val="00A03B96"/>
    <w:rsid w:val="00A05B19"/>
    <w:rsid w:val="00A1134E"/>
    <w:rsid w:val="00A24E7E"/>
    <w:rsid w:val="00A258C3"/>
    <w:rsid w:val="00A347C0"/>
    <w:rsid w:val="00A51431"/>
    <w:rsid w:val="00A539AD"/>
    <w:rsid w:val="00A74A5E"/>
    <w:rsid w:val="00A94063"/>
    <w:rsid w:val="00A942E6"/>
    <w:rsid w:val="00AA6219"/>
    <w:rsid w:val="00AA74E0"/>
    <w:rsid w:val="00AB4672"/>
    <w:rsid w:val="00AB703F"/>
    <w:rsid w:val="00AC6BB8"/>
    <w:rsid w:val="00AE008F"/>
    <w:rsid w:val="00AE42F3"/>
    <w:rsid w:val="00B01FCD"/>
    <w:rsid w:val="00B1776C"/>
    <w:rsid w:val="00B4390A"/>
    <w:rsid w:val="00B52583"/>
    <w:rsid w:val="00B52896"/>
    <w:rsid w:val="00B53706"/>
    <w:rsid w:val="00B70CED"/>
    <w:rsid w:val="00B93642"/>
    <w:rsid w:val="00B95236"/>
    <w:rsid w:val="00B96BD9"/>
    <w:rsid w:val="00BA1B01"/>
    <w:rsid w:val="00BA2641"/>
    <w:rsid w:val="00BA453C"/>
    <w:rsid w:val="00BA4711"/>
    <w:rsid w:val="00BB37AA"/>
    <w:rsid w:val="00BC53A0"/>
    <w:rsid w:val="00BD198F"/>
    <w:rsid w:val="00BE62AD"/>
    <w:rsid w:val="00BF121F"/>
    <w:rsid w:val="00BF1F80"/>
    <w:rsid w:val="00C10C85"/>
    <w:rsid w:val="00C166EF"/>
    <w:rsid w:val="00C17EB0"/>
    <w:rsid w:val="00C27F5F"/>
    <w:rsid w:val="00C30A0F"/>
    <w:rsid w:val="00C31FAE"/>
    <w:rsid w:val="00C37E61"/>
    <w:rsid w:val="00C70F1B"/>
    <w:rsid w:val="00C71A47"/>
    <w:rsid w:val="00C7464C"/>
    <w:rsid w:val="00C84870"/>
    <w:rsid w:val="00C85588"/>
    <w:rsid w:val="00CB0964"/>
    <w:rsid w:val="00CD6755"/>
    <w:rsid w:val="00CD6856"/>
    <w:rsid w:val="00CE0089"/>
    <w:rsid w:val="00CE793C"/>
    <w:rsid w:val="00CF193C"/>
    <w:rsid w:val="00D173F1"/>
    <w:rsid w:val="00D20EFA"/>
    <w:rsid w:val="00D4328F"/>
    <w:rsid w:val="00D4565D"/>
    <w:rsid w:val="00D54AAB"/>
    <w:rsid w:val="00D5741B"/>
    <w:rsid w:val="00D74CB0"/>
    <w:rsid w:val="00D8295D"/>
    <w:rsid w:val="00DC2A65"/>
    <w:rsid w:val="00DE15F0"/>
    <w:rsid w:val="00DE5663"/>
    <w:rsid w:val="00DE78AA"/>
    <w:rsid w:val="00DF6C81"/>
    <w:rsid w:val="00E053D0"/>
    <w:rsid w:val="00E15994"/>
    <w:rsid w:val="00E274F7"/>
    <w:rsid w:val="00E3114E"/>
    <w:rsid w:val="00E31A70"/>
    <w:rsid w:val="00E35B02"/>
    <w:rsid w:val="00E367A7"/>
    <w:rsid w:val="00E66496"/>
    <w:rsid w:val="00E66B35"/>
    <w:rsid w:val="00E66E10"/>
    <w:rsid w:val="00E769F6"/>
    <w:rsid w:val="00E8407C"/>
    <w:rsid w:val="00E84F3C"/>
    <w:rsid w:val="00EA012C"/>
    <w:rsid w:val="00EC6A55"/>
    <w:rsid w:val="00ED0288"/>
    <w:rsid w:val="00EE207F"/>
    <w:rsid w:val="00EE315E"/>
    <w:rsid w:val="00EE52CB"/>
    <w:rsid w:val="00EF581D"/>
    <w:rsid w:val="00EF7FD8"/>
    <w:rsid w:val="00F06F59"/>
    <w:rsid w:val="00F17988"/>
    <w:rsid w:val="00F22CF9"/>
    <w:rsid w:val="00F405FB"/>
    <w:rsid w:val="00F42275"/>
    <w:rsid w:val="00F469F0"/>
    <w:rsid w:val="00F53273"/>
    <w:rsid w:val="00F755E4"/>
    <w:rsid w:val="00F77D02"/>
    <w:rsid w:val="00F85E36"/>
    <w:rsid w:val="00FB3A86"/>
    <w:rsid w:val="00FC58D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40E2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C84870"/>
    <w:pPr>
      <w:keepNext/>
      <w:numPr>
        <w:numId w:val="32"/>
      </w:numPr>
      <w:spacing w:before="240" w:after="60"/>
      <w:outlineLvl w:val="0"/>
    </w:pPr>
    <w:rPr>
      <w:rFonts w:ascii="Arial" w:hAnsi="Arial"/>
      <w:b/>
      <w:kern w:val="28"/>
      <w:sz w:val="22"/>
    </w:rPr>
  </w:style>
  <w:style w:type="paragraph" w:styleId="Heading2">
    <w:name w:val="heading 2"/>
    <w:basedOn w:val="Normal"/>
    <w:next w:val="Normal"/>
    <w:link w:val="Heading2Char"/>
    <w:unhideWhenUsed/>
    <w:qFormat/>
    <w:rsid w:val="00910D0A"/>
    <w:pPr>
      <w:keepNext/>
      <w:keepLines/>
      <w:numPr>
        <w:ilvl w:val="1"/>
        <w:numId w:val="32"/>
      </w:numPr>
      <w:spacing w:before="40"/>
      <w:outlineLvl w:val="1"/>
    </w:pPr>
    <w:rPr>
      <w:rFonts w:ascii="Arial" w:eastAsiaTheme="majorEastAsia" w:hAnsi="Arial" w:cstheme="majorBidi"/>
      <w:b/>
      <w:color w:val="000000" w:themeColor="text1"/>
      <w:sz w:val="22"/>
      <w:szCs w:val="26"/>
    </w:rPr>
  </w:style>
  <w:style w:type="paragraph" w:styleId="Heading3">
    <w:name w:val="heading 3"/>
    <w:basedOn w:val="Normal"/>
    <w:next w:val="Normal"/>
    <w:link w:val="Heading3Char"/>
    <w:unhideWhenUsed/>
    <w:qFormat/>
    <w:rsid w:val="0093205B"/>
    <w:pPr>
      <w:keepNext/>
      <w:keepLines/>
      <w:numPr>
        <w:ilvl w:val="2"/>
        <w:numId w:val="32"/>
      </w:numPr>
      <w:spacing w:before="40"/>
      <w:outlineLvl w:val="2"/>
    </w:pPr>
    <w:rPr>
      <w:rFonts w:ascii="Arial" w:eastAsiaTheme="majorEastAsia" w:hAnsi="Arial" w:cstheme="majorBidi"/>
      <w:b/>
      <w:i/>
      <w:color w:val="000000" w:themeColor="text1"/>
      <w:szCs w:val="24"/>
      <w:u w:val="single"/>
    </w:rPr>
  </w:style>
  <w:style w:type="paragraph" w:styleId="Heading4">
    <w:name w:val="heading 4"/>
    <w:basedOn w:val="Normal"/>
    <w:next w:val="Normal"/>
    <w:link w:val="Heading4Char"/>
    <w:unhideWhenUsed/>
    <w:qFormat/>
    <w:rsid w:val="00606EF7"/>
    <w:pPr>
      <w:keepNext/>
      <w:keepLines/>
      <w:numPr>
        <w:ilvl w:val="3"/>
        <w:numId w:val="32"/>
      </w:numPr>
      <w:spacing w:before="40"/>
      <w:outlineLvl w:val="3"/>
    </w:pPr>
    <w:rPr>
      <w:rFonts w:ascii="Arial" w:eastAsiaTheme="majorEastAsia" w:hAnsi="Arial" w:cstheme="majorBidi"/>
      <w:b/>
      <w:i/>
      <w:iCs/>
      <w:color w:val="000000" w:themeColor="text1"/>
    </w:rPr>
  </w:style>
  <w:style w:type="paragraph" w:styleId="Heading5">
    <w:name w:val="heading 5"/>
    <w:basedOn w:val="Normal"/>
    <w:next w:val="Normal"/>
    <w:link w:val="Heading5Char"/>
    <w:unhideWhenUsed/>
    <w:qFormat/>
    <w:rsid w:val="00606EF7"/>
    <w:pPr>
      <w:keepNext/>
      <w:keepLines/>
      <w:numPr>
        <w:ilvl w:val="4"/>
        <w:numId w:val="32"/>
      </w:numPr>
      <w:spacing w:before="40"/>
      <w:outlineLvl w:val="4"/>
    </w:pPr>
    <w:rPr>
      <w:rFonts w:ascii="Arial" w:eastAsiaTheme="majorEastAsia" w:hAnsi="Arial" w:cstheme="majorBidi"/>
      <w:b/>
      <w:i/>
      <w:color w:val="000000" w:themeColor="text1"/>
    </w:rPr>
  </w:style>
  <w:style w:type="paragraph" w:styleId="Heading6">
    <w:name w:val="heading 6"/>
    <w:basedOn w:val="Normal"/>
    <w:next w:val="Normal"/>
    <w:link w:val="Heading6Char"/>
    <w:semiHidden/>
    <w:unhideWhenUsed/>
    <w:qFormat/>
    <w:rsid w:val="00C84870"/>
    <w:pPr>
      <w:keepNext/>
      <w:keepLines/>
      <w:numPr>
        <w:ilvl w:val="5"/>
        <w:numId w:val="3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C84870"/>
    <w:pPr>
      <w:keepNext/>
      <w:keepLines/>
      <w:numPr>
        <w:ilvl w:val="6"/>
        <w:numId w:val="3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C84870"/>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84870"/>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5F32F1"/>
    <w:pPr>
      <w:spacing w:after="120"/>
    </w:pPr>
  </w:style>
  <w:style w:type="character" w:customStyle="1" w:styleId="BodyTextChar">
    <w:name w:val="Body Text Char"/>
    <w:basedOn w:val="DefaultParagraphFont"/>
    <w:link w:val="BodyText"/>
    <w:uiPriority w:val="1"/>
    <w:rsid w:val="005F32F1"/>
    <w:rPr>
      <w:rFonts w:ascii="Helvetica" w:hAnsi="Helvetica"/>
    </w:rPr>
  </w:style>
  <w:style w:type="character" w:customStyle="1" w:styleId="Heading2Char">
    <w:name w:val="Heading 2 Char"/>
    <w:basedOn w:val="DefaultParagraphFont"/>
    <w:link w:val="Heading2"/>
    <w:rsid w:val="00910D0A"/>
    <w:rPr>
      <w:rFonts w:ascii="Arial" w:eastAsiaTheme="majorEastAsia" w:hAnsi="Arial" w:cstheme="majorBidi"/>
      <w:b/>
      <w:color w:val="000000" w:themeColor="text1"/>
      <w:sz w:val="22"/>
      <w:szCs w:val="26"/>
    </w:rPr>
  </w:style>
  <w:style w:type="character" w:customStyle="1" w:styleId="Heading3Char">
    <w:name w:val="Heading 3 Char"/>
    <w:basedOn w:val="DefaultParagraphFont"/>
    <w:link w:val="Heading3"/>
    <w:rsid w:val="0093205B"/>
    <w:rPr>
      <w:rFonts w:ascii="Arial" w:eastAsiaTheme="majorEastAsia" w:hAnsi="Arial" w:cstheme="majorBidi"/>
      <w:b/>
      <w:i/>
      <w:color w:val="000000" w:themeColor="text1"/>
      <w:szCs w:val="24"/>
      <w:u w:val="single"/>
    </w:rPr>
  </w:style>
  <w:style w:type="character" w:customStyle="1" w:styleId="Heading4Char">
    <w:name w:val="Heading 4 Char"/>
    <w:basedOn w:val="DefaultParagraphFont"/>
    <w:link w:val="Heading4"/>
    <w:rsid w:val="00606EF7"/>
    <w:rPr>
      <w:rFonts w:ascii="Arial" w:eastAsiaTheme="majorEastAsia" w:hAnsi="Arial" w:cstheme="majorBidi"/>
      <w:b/>
      <w:i/>
      <w:iCs/>
      <w:color w:val="000000" w:themeColor="text1"/>
    </w:rPr>
  </w:style>
  <w:style w:type="character" w:customStyle="1" w:styleId="Heading5Char">
    <w:name w:val="Heading 5 Char"/>
    <w:basedOn w:val="DefaultParagraphFont"/>
    <w:link w:val="Heading5"/>
    <w:rsid w:val="00606EF7"/>
    <w:rPr>
      <w:rFonts w:ascii="Arial" w:eastAsiaTheme="majorEastAsia" w:hAnsi="Arial" w:cstheme="majorBidi"/>
      <w:b/>
      <w:i/>
      <w:color w:val="000000" w:themeColor="text1"/>
    </w:rPr>
  </w:style>
  <w:style w:type="character" w:customStyle="1" w:styleId="Heading6Char">
    <w:name w:val="Heading 6 Char"/>
    <w:basedOn w:val="DefaultParagraphFont"/>
    <w:link w:val="Heading6"/>
    <w:semiHidden/>
    <w:rsid w:val="00C8487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C8487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C848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8487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0.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30.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51E37-9DF8-4D59-8CCA-D180051A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16</Pages>
  <Words>19112</Words>
  <Characters>108939</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127796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23</cp:revision>
  <cp:lastPrinted>1999-07-06T11:00:00Z</cp:lastPrinted>
  <dcterms:created xsi:type="dcterms:W3CDTF">2025-10-12T10:14:00Z</dcterms:created>
  <dcterms:modified xsi:type="dcterms:W3CDTF">2025-10-16T11:28:00Z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9e994a62-d995-45a8-99fd-6c4d584ff149</vt:lpwstr>
  </property>
</Properties>
</file>