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348AF" w14:textId="77777777" w:rsidR="00F50370" w:rsidRPr="00D73B21" w:rsidRDefault="00F50370" w:rsidP="00F50370">
      <w:pPr>
        <w:spacing w:line="480" w:lineRule="auto"/>
        <w:jc w:val="center"/>
        <w:rPr>
          <w:rFonts w:ascii="Arial" w:hAnsi="Arial" w:cs="Arial"/>
          <w:b/>
          <w:bCs/>
          <w:sz w:val="28"/>
          <w:szCs w:val="28"/>
          <w:rtl/>
          <w:lang w:val="en-US"/>
        </w:rPr>
      </w:pPr>
      <w:bookmarkStart w:id="0" w:name="_GoBack"/>
      <w:bookmarkEnd w:id="0"/>
      <w:r w:rsidRPr="00D73B21">
        <w:rPr>
          <w:rFonts w:ascii="Arial" w:hAnsi="Arial" w:cs="Arial"/>
          <w:b/>
          <w:bCs/>
          <w:sz w:val="28"/>
          <w:szCs w:val="28"/>
          <w:lang w:val="en-US"/>
        </w:rPr>
        <w:t>Fungal Infections, Immunity and Diagnosis</w:t>
      </w:r>
    </w:p>
    <w:p w14:paraId="1B358EC2" w14:textId="77777777" w:rsidR="00F50370" w:rsidRPr="00D73B21" w:rsidRDefault="00F50370" w:rsidP="00F87C93">
      <w:pPr>
        <w:spacing w:line="480" w:lineRule="auto"/>
        <w:jc w:val="both"/>
        <w:rPr>
          <w:rFonts w:ascii="Arial" w:hAnsi="Arial" w:cs="Arial"/>
          <w:b/>
          <w:bCs/>
          <w:lang w:val="en-US"/>
        </w:rPr>
      </w:pPr>
    </w:p>
    <w:p w14:paraId="38758CBF" w14:textId="034C2509" w:rsidR="00CA0438" w:rsidRPr="00D73B21" w:rsidRDefault="00CA0438" w:rsidP="00F87C93">
      <w:pPr>
        <w:spacing w:line="480" w:lineRule="auto"/>
        <w:jc w:val="both"/>
        <w:rPr>
          <w:rFonts w:ascii="Arial" w:hAnsi="Arial" w:cs="Arial"/>
          <w:b/>
          <w:bCs/>
          <w:lang w:val="en-US"/>
        </w:rPr>
      </w:pPr>
      <w:r w:rsidRPr="00D73B21">
        <w:rPr>
          <w:rFonts w:ascii="Arial" w:hAnsi="Arial" w:cs="Arial"/>
          <w:b/>
          <w:bCs/>
          <w:lang w:val="en-US"/>
        </w:rPr>
        <w:t>Abstract</w:t>
      </w:r>
    </w:p>
    <w:p w14:paraId="2E428C18" w14:textId="7B2A7CCB" w:rsidR="00CA0438" w:rsidRPr="00D73B21" w:rsidRDefault="00CA0438" w:rsidP="00CE585F">
      <w:pPr>
        <w:pStyle w:val="NormalWeb"/>
        <w:spacing w:before="0" w:beforeAutospacing="0" w:after="0" w:afterAutospacing="0" w:line="480" w:lineRule="auto"/>
        <w:jc w:val="both"/>
        <w:rPr>
          <w:rFonts w:ascii="Arial" w:hAnsi="Arial" w:cs="Arial"/>
        </w:rPr>
      </w:pPr>
      <w:r w:rsidRPr="00D73B21">
        <w:rPr>
          <w:rFonts w:ascii="Arial" w:hAnsi="Arial" w:cs="Arial"/>
        </w:rPr>
        <w:t xml:space="preserve">Fungal infections (mycosis) have emerged as significant global health concerns, particularly among immunocompromised individuals. This comprehensive review examines the intricate interplay between fungal pathogens and host immunity, emphasizing the crucial roles of both innate and adaptive immune responses. The innate immune system serves as the first line of defense, utilizing physical barriers, pattern recognition receptors, phagocytic cells, the complement system, and cytokines to detect and control fungal pathogens. Dendritic cells play a pivotal role in bridging innate and adaptive immunity by presenting fungal antigens to T cells, guiding specific immune responses. Through the coordinated actions of T helper cells, cytotoxic </w:t>
      </w:r>
      <w:r w:rsidR="00254F98" w:rsidRPr="00D73B21">
        <w:rPr>
          <w:rFonts w:ascii="Arial" w:hAnsi="Arial" w:cs="Arial"/>
        </w:rPr>
        <w:br/>
      </w:r>
      <w:r w:rsidRPr="00D73B21">
        <w:rPr>
          <w:rFonts w:ascii="Arial" w:hAnsi="Arial" w:cs="Arial"/>
        </w:rPr>
        <w:t>T cells, B cells, and antibodies, the adaptive immune system offers targeted and long-lasting protection against fungal infections. Despite these robust defense mechanisms, many fungi have evolved sophisticated evasion strategies that complicate immune responses and therapeutic interventions. Advances in diagnostic technologies, including PCR, immunodiagnostic assays, and AI-algorithm have significantly enhanced the early detection and management of fungal infections. Understanding the complex host-fungal interactions and leveraging recent diagnostic innovations are essential for improving outcomes in patients at risk of fungal diseases. This review highlights the need for ongoing research to develop more effective vaccines, immunotherapies, and diagnostic tools in combating the increasing burden of fungal infections.</w:t>
      </w:r>
    </w:p>
    <w:p w14:paraId="4A053B87" w14:textId="290F3056" w:rsidR="00CA0438" w:rsidRPr="00D73B21" w:rsidRDefault="00CA0438" w:rsidP="00F87C93">
      <w:pPr>
        <w:spacing w:line="480" w:lineRule="auto"/>
        <w:jc w:val="both"/>
        <w:rPr>
          <w:rFonts w:ascii="Arial" w:hAnsi="Arial" w:cs="Arial"/>
          <w:lang w:val="en-US"/>
        </w:rPr>
      </w:pPr>
      <w:r w:rsidRPr="00D73B21">
        <w:rPr>
          <w:rFonts w:ascii="Arial" w:hAnsi="Arial" w:cs="Arial"/>
          <w:b/>
          <w:bCs/>
          <w:lang w:val="en-US"/>
        </w:rPr>
        <w:t>Keywords</w:t>
      </w:r>
      <w:r w:rsidRPr="00D73B21">
        <w:rPr>
          <w:rFonts w:ascii="Arial" w:hAnsi="Arial" w:cs="Arial"/>
          <w:lang w:val="en-US"/>
        </w:rPr>
        <w:t xml:space="preserve">: </w:t>
      </w:r>
      <w:r w:rsidR="00FF6A67" w:rsidRPr="00D73B21">
        <w:rPr>
          <w:rFonts w:ascii="Arial" w:hAnsi="Arial" w:cs="Arial"/>
          <w:lang w:val="en-US"/>
        </w:rPr>
        <w:t>Adaptive immunity</w:t>
      </w:r>
      <w:r w:rsidR="0066248C">
        <w:rPr>
          <w:rFonts w:ascii="Arial" w:hAnsi="Arial" w:cs="Arial"/>
          <w:lang w:val="en-US"/>
        </w:rPr>
        <w:t>,</w:t>
      </w:r>
      <w:r w:rsidR="00FF6A67" w:rsidRPr="00D73B21">
        <w:rPr>
          <w:rFonts w:ascii="Arial" w:hAnsi="Arial" w:cs="Arial"/>
          <w:lang w:val="en-US"/>
        </w:rPr>
        <w:t xml:space="preserve"> </w:t>
      </w:r>
      <w:r w:rsidRPr="00D73B21">
        <w:rPr>
          <w:rFonts w:ascii="Arial" w:hAnsi="Arial" w:cs="Arial"/>
          <w:lang w:val="en-US"/>
        </w:rPr>
        <w:t>Fungi</w:t>
      </w:r>
      <w:r w:rsidR="0066248C">
        <w:rPr>
          <w:rFonts w:ascii="Arial" w:hAnsi="Arial" w:cs="Arial"/>
          <w:lang w:val="en-US"/>
        </w:rPr>
        <w:t>,</w:t>
      </w:r>
      <w:r w:rsidRPr="00D73B21">
        <w:rPr>
          <w:rFonts w:ascii="Arial" w:hAnsi="Arial" w:cs="Arial"/>
          <w:lang w:val="en-US"/>
        </w:rPr>
        <w:t xml:space="preserve"> Immunity</w:t>
      </w:r>
      <w:r w:rsidR="0066248C">
        <w:rPr>
          <w:rFonts w:ascii="Arial" w:hAnsi="Arial" w:cs="Arial"/>
          <w:lang w:val="en-US"/>
        </w:rPr>
        <w:t>,</w:t>
      </w:r>
      <w:r w:rsidRPr="00D73B21">
        <w:rPr>
          <w:rFonts w:ascii="Arial" w:hAnsi="Arial" w:cs="Arial"/>
          <w:lang w:val="en-US"/>
        </w:rPr>
        <w:t xml:space="preserve"> Innate immunity</w:t>
      </w:r>
      <w:r w:rsidR="0066248C">
        <w:rPr>
          <w:rFonts w:ascii="Arial" w:hAnsi="Arial" w:cs="Arial"/>
          <w:lang w:val="en-US"/>
        </w:rPr>
        <w:t>,</w:t>
      </w:r>
      <w:r w:rsidRPr="00D73B21">
        <w:rPr>
          <w:rFonts w:ascii="Arial" w:hAnsi="Arial" w:cs="Arial"/>
          <w:lang w:val="en-US"/>
        </w:rPr>
        <w:t xml:space="preserve"> </w:t>
      </w:r>
      <w:r w:rsidR="00CD1490">
        <w:rPr>
          <w:rFonts w:ascii="Arial" w:hAnsi="Arial" w:cs="Arial"/>
          <w:lang w:val="en-US"/>
        </w:rPr>
        <w:t>P</w:t>
      </w:r>
      <w:r w:rsidR="0066248C">
        <w:rPr>
          <w:rFonts w:ascii="Arial" w:hAnsi="Arial" w:cs="Arial"/>
          <w:lang w:val="en-US"/>
        </w:rPr>
        <w:t>athogen</w:t>
      </w:r>
      <w:r w:rsidRPr="00D73B21">
        <w:rPr>
          <w:rFonts w:ascii="Arial" w:hAnsi="Arial" w:cs="Arial"/>
          <w:lang w:val="en-US"/>
        </w:rPr>
        <w:t xml:space="preserve">. </w:t>
      </w:r>
    </w:p>
    <w:p w14:paraId="5CD2BDEC" w14:textId="77777777" w:rsidR="00CA0438" w:rsidRPr="00D73B21" w:rsidRDefault="00CA0438" w:rsidP="00F87C93">
      <w:pPr>
        <w:spacing w:line="480" w:lineRule="auto"/>
        <w:jc w:val="both"/>
        <w:rPr>
          <w:rFonts w:ascii="Arial" w:hAnsi="Arial" w:cs="Arial"/>
          <w:b/>
          <w:bCs/>
          <w:lang w:val="en-US"/>
        </w:rPr>
      </w:pPr>
    </w:p>
    <w:p w14:paraId="1BCCE8E5" w14:textId="77777777" w:rsidR="00CA0438" w:rsidRPr="00D73B21" w:rsidRDefault="00CA0438" w:rsidP="00F87C93">
      <w:pPr>
        <w:spacing w:line="480" w:lineRule="auto"/>
        <w:jc w:val="both"/>
        <w:rPr>
          <w:rFonts w:ascii="Arial" w:hAnsi="Arial" w:cs="Arial"/>
          <w:lang w:val="en-US"/>
        </w:rPr>
      </w:pPr>
      <w:r w:rsidRPr="00D73B21">
        <w:rPr>
          <w:rFonts w:ascii="Arial" w:hAnsi="Arial" w:cs="Arial"/>
          <w:b/>
          <w:bCs/>
          <w:lang w:val="en-US"/>
        </w:rPr>
        <w:lastRenderedPageBreak/>
        <w:t>Introduction</w:t>
      </w:r>
      <w:r w:rsidRPr="00D73B21">
        <w:rPr>
          <w:rFonts w:ascii="Arial" w:hAnsi="Arial" w:cs="Arial"/>
          <w:lang w:val="en-US"/>
        </w:rPr>
        <w:t xml:space="preserve"> </w:t>
      </w:r>
    </w:p>
    <w:p w14:paraId="221E77CF" w14:textId="2583BDED" w:rsidR="00496A5B" w:rsidRPr="00D73B21" w:rsidRDefault="00CA0438" w:rsidP="00C67F3B">
      <w:pPr>
        <w:pStyle w:val="NormalWeb"/>
        <w:spacing w:before="0" w:beforeAutospacing="0" w:after="0" w:afterAutospacing="0" w:line="480" w:lineRule="auto"/>
        <w:jc w:val="both"/>
        <w:rPr>
          <w:rFonts w:ascii="Arial" w:hAnsi="Arial" w:cs="Arial"/>
        </w:rPr>
      </w:pPr>
      <w:r w:rsidRPr="00D73B21">
        <w:rPr>
          <w:rFonts w:ascii="Arial" w:hAnsi="Arial" w:cs="Arial"/>
        </w:rPr>
        <w:t>Fungal infections are responsible for over 1.7 million deaths per year globally</w:t>
      </w:r>
      <w:r w:rsidR="00D321C4" w:rsidRPr="00D73B21">
        <w:rPr>
          <w:rFonts w:ascii="Arial" w:hAnsi="Arial" w:cs="Arial"/>
        </w:rPr>
        <w:t xml:space="preserve"> almost </w:t>
      </w:r>
      <w:r w:rsidR="00D321C4" w:rsidRPr="00D73B21">
        <w:rPr>
          <w:rFonts w:ascii="Arial" w:hAnsi="Arial" w:cs="Arial"/>
          <w:color w:val="0432FF"/>
        </w:rPr>
        <w:t>one-third of the human population</w:t>
      </w:r>
      <w:r w:rsidRPr="00D73B21">
        <w:rPr>
          <w:rFonts w:ascii="Arial" w:hAnsi="Arial" w:cs="Arial"/>
        </w:rPr>
        <w:t>, roughly 200,000 more deaths than the bacterial disease tuberculosis</w:t>
      </w:r>
      <w:r w:rsidR="00EB3658" w:rsidRPr="00D73B21">
        <w:rPr>
          <w:rFonts w:ascii="Arial" w:hAnsi="Arial" w:cs="Arial"/>
        </w:rPr>
        <w:t xml:space="preserve">, </w:t>
      </w:r>
      <w:r w:rsidR="00EB3658" w:rsidRPr="00D73B21">
        <w:rPr>
          <w:rFonts w:ascii="Arial" w:hAnsi="Arial" w:cs="Arial"/>
          <w:color w:val="0432FF"/>
        </w:rPr>
        <w:t xml:space="preserve">malaria, and breast </w:t>
      </w:r>
      <w:r w:rsidR="00812421" w:rsidRPr="00D73B21">
        <w:rPr>
          <w:rFonts w:ascii="Arial" w:hAnsi="Arial" w:cs="Arial"/>
          <w:color w:val="0432FF"/>
        </w:rPr>
        <w:t>cancer</w:t>
      </w:r>
      <w:r w:rsidRPr="00D73B21">
        <w:rPr>
          <w:rFonts w:ascii="Arial" w:hAnsi="Arial" w:cs="Arial"/>
        </w:rPr>
        <w:t xml:space="preserve"> </w:t>
      </w:r>
      <w:r w:rsidRPr="00D73B21">
        <w:rPr>
          <w:rFonts w:ascii="Arial" w:hAnsi="Arial" w:cs="Arial"/>
        </w:rPr>
        <w:fldChar w:fldCharType="begin"/>
      </w:r>
      <w:r w:rsidRPr="00D73B21">
        <w:rPr>
          <w:rFonts w:ascii="Arial" w:hAnsi="Arial" w:cs="Arial"/>
        </w:rPr>
        <w:instrText xml:space="preserve"> ADDIN ZOTERO_ITEM CSL_CITATION {"citationID":"XG4KyvKP","properties":{"formattedCitation":"(Kainz et al., 2020)","plainCitation":"(Kainz et al., 2020)","noteIndex":0},"citationItems":[{"id":8607,"uris":["http://zotero.org/users/2543086/items/WCFHU2V7"],"itemData":{"id":8607,"type":"article-journal","abstract":"Fungal infections in humans: the silent crisis – Humankind has been plagued by infectious diseases throughout history, and the ongoing COVID-19 (Coronavirus disease 2019) pandemic is a daunting reminder that this susceptibility persists in our modern society. After all, communicable diseases remain one of the leading causes of death worldwide [1]. Unfortunately, some of these “microbial threats” have been underestimated and neglected by (...)","container-title":"Microbial Cell","DOI":"10.15698/mic2020.06.718","ISSN":"2311-2638","issue":"6","language":"en","license":"Kainz et al. All Rights Reserved.","note":"publisher: Shared Science Publishers","page":"143-145","source":"microbialcell.com","title":"Fungal infections in humans: the silent crisis","title-short":"Fungal infections in humans","volume":"7","author":[{"family":"Kainz","given":"Katharina"},{"family":"Bauer","given":"Maria A."},{"family":"Madeo","given":"Frank"},{"family":"Carmona-Gutierrez","given":"Didac"}],"issued":{"date-parts":[["2020",1,6]]}}}],"schema":"https://github.com/citation-style-language/schema/raw/master/csl-citation.json"} </w:instrText>
      </w:r>
      <w:r w:rsidRPr="00D73B21">
        <w:rPr>
          <w:rFonts w:ascii="Arial" w:hAnsi="Arial" w:cs="Arial"/>
        </w:rPr>
        <w:fldChar w:fldCharType="separate"/>
      </w:r>
      <w:r w:rsidRPr="00D73B21">
        <w:rPr>
          <w:rFonts w:ascii="Arial" w:hAnsi="Arial" w:cs="Arial"/>
          <w:noProof/>
        </w:rPr>
        <w:t>(Kainz et al., 2020)</w:t>
      </w:r>
      <w:r w:rsidRPr="00D73B21">
        <w:rPr>
          <w:rFonts w:ascii="Arial" w:hAnsi="Arial" w:cs="Arial"/>
        </w:rPr>
        <w:fldChar w:fldCharType="end"/>
      </w:r>
      <w:r w:rsidRPr="00D73B21">
        <w:rPr>
          <w:rFonts w:ascii="Arial" w:hAnsi="Arial" w:cs="Arial"/>
        </w:rPr>
        <w:t xml:space="preserve">. Fungi are ubiquitous organisms in diverse environmental niches, including soil, air, plants, and water. </w:t>
      </w:r>
    </w:p>
    <w:p w14:paraId="6B2A8DFE" w14:textId="06D96316" w:rsidR="00102829" w:rsidRPr="009F1A37" w:rsidRDefault="00496A5B" w:rsidP="009F1A37">
      <w:pPr>
        <w:shd w:val="clear" w:color="auto" w:fill="FFFFFF"/>
        <w:spacing w:line="480" w:lineRule="auto"/>
        <w:jc w:val="both"/>
        <w:rPr>
          <w:rFonts w:ascii="Arial" w:hAnsi="Arial" w:cs="Arial"/>
          <w:color w:val="0432FF"/>
          <w:lang w:val="en-US"/>
        </w:rPr>
      </w:pPr>
      <w:r w:rsidRPr="00D73B21">
        <w:rPr>
          <w:rFonts w:ascii="Arial" w:hAnsi="Arial" w:cs="Arial"/>
          <w:color w:val="0432FF"/>
          <w:lang w:val="en-US"/>
        </w:rPr>
        <w:t xml:space="preserve">The pathogenic fungi are referred as hidden killers, because they can invade and cause systemic and disseminated infections </w:t>
      </w:r>
      <w:r w:rsidRPr="00D73B21">
        <w:rPr>
          <w:rFonts w:ascii="Arial" w:hAnsi="Arial" w:cs="Arial"/>
          <w:color w:val="0432FF"/>
          <w:lang w:val="en-US"/>
        </w:rPr>
        <w:fldChar w:fldCharType="begin"/>
      </w:r>
      <w:r w:rsidRPr="00D73B21">
        <w:rPr>
          <w:rFonts w:ascii="Arial" w:hAnsi="Arial" w:cs="Arial"/>
          <w:color w:val="0432FF"/>
          <w:lang w:val="en-US"/>
        </w:rPr>
        <w:instrText xml:space="preserve"> ADDIN ZOTERO_ITEM CSL_CITATION {"citationID":"hHSKlKKc","properties":{"formattedCitation":"(Rokas, 2022)","plainCitation":"(Rokas, 2022)","noteIndex":0},"citationItems":[{"id":8709,"uris":["http://zotero.org/users/2543086/items/WR2TD4U2"],"itemData":{"id":8709,"type":"article-journal","abstract":"Fungal pathogens cause more than a billion human infections every year, resulting in more than 1.6 million deaths annually. Understanding the natural history and evolutionary ecology of fungi is helping us understand how disease-relevant traits have repeatedly evolved. Different types and mechanisms of genetic variation have contributed to the evolution of fungal pathogenicity and specific genetic differences distinguish pathogens from non-pathogens. Insights into the traits, genetic elements, and genetic and ecological mechanisms that contribute to the evolution of fungal pathogenicity are crucial for developing strategies to both predict emergence of fungal pathogens and develop drugs to combat them.","container-title":"Nature Microbiology","DOI":"10.1038/s41564-022-01112-0","ISSN":"2058-5276","issue":"5","journalAbbreviation":"Nat Microbiol","language":"en","license":"2022 Springer Nature Limited","note":"publisher: Nature Publishing Group","page":"607-619","source":"www.nature.com","title":"Evolution of the human pathogenic lifestyle in fungi","volume":"7","author":[{"family":"Rokas","given":"Antonis"}],"issued":{"date-parts":[["2022",5]]}}}],"schema":"https://github.com/citation-style-language/schema/raw/master/csl-citation.json"} </w:instrText>
      </w:r>
      <w:r w:rsidRPr="00D73B21">
        <w:rPr>
          <w:rFonts w:ascii="Arial" w:hAnsi="Arial" w:cs="Arial"/>
          <w:color w:val="0432FF"/>
          <w:lang w:val="en-US"/>
        </w:rPr>
        <w:fldChar w:fldCharType="separate"/>
      </w:r>
      <w:r w:rsidRPr="00D73B21">
        <w:rPr>
          <w:rFonts w:ascii="Arial" w:hAnsi="Arial" w:cs="Arial"/>
          <w:noProof/>
          <w:color w:val="0432FF"/>
          <w:lang w:val="en-US"/>
        </w:rPr>
        <w:t>(Rokas, 2022)</w:t>
      </w:r>
      <w:r w:rsidRPr="00D73B21">
        <w:rPr>
          <w:rFonts w:ascii="Arial" w:hAnsi="Arial" w:cs="Arial"/>
          <w:color w:val="0432FF"/>
          <w:lang w:val="en-US"/>
        </w:rPr>
        <w:fldChar w:fldCharType="end"/>
      </w:r>
      <w:r w:rsidRPr="00D73B21">
        <w:rPr>
          <w:rFonts w:ascii="Arial" w:hAnsi="Arial" w:cs="Arial"/>
          <w:color w:val="0432FF"/>
          <w:lang w:val="en-US"/>
        </w:rPr>
        <w:t xml:space="preserve">. For this reason, they are highlighted  a rising threat to human health </w:t>
      </w:r>
      <w:r w:rsidRPr="00D73B21">
        <w:rPr>
          <w:rFonts w:ascii="Arial" w:hAnsi="Arial" w:cs="Arial"/>
          <w:color w:val="0432FF"/>
          <w:lang w:val="en-US"/>
        </w:rPr>
        <w:fldChar w:fldCharType="begin"/>
      </w:r>
      <w:r w:rsidRPr="00D73B21">
        <w:rPr>
          <w:rFonts w:ascii="Arial" w:hAnsi="Arial" w:cs="Arial"/>
          <w:color w:val="0432FF"/>
          <w:lang w:val="en-US"/>
        </w:rPr>
        <w:instrText xml:space="preserve"> ADDIN ZOTERO_ITEM CSL_CITATION {"citationID":"5cb5Wifl","properties":{"formattedCitation":"(Denning, 2024)","plainCitation":"(Denning, 2024)","noteIndex":0},"citationItems":[{"id":8710,"uris":["http://zotero.org/users/2543086/items/DSRF7UTY"],"itemData":{"id":8710,"type":"article-journal","container-title":"The Lancet Infectious Diseases","DOI":"10.1016/S1473-3099(23)00692-8","ISSN":"1473-3099, 1474-4457","issue":"7","journalAbbreviation":"The Lancet Infectious Diseases","language":"English","note":"publisher: Elsevier\nPMID: 38224705","page":"e428-e438","source":"www.thelancet.com","title":"Global incidence and mortality of severe fungal disease","volume":"24","author":[{"family":"Denning","given":"David W."}],"issued":{"date-parts":[["2024",7,1]]}}}],"schema":"https://github.com/citation-style-language/schema/raw/master/csl-citation.json"} </w:instrText>
      </w:r>
      <w:r w:rsidRPr="00D73B21">
        <w:rPr>
          <w:rFonts w:ascii="Arial" w:hAnsi="Arial" w:cs="Arial"/>
          <w:color w:val="0432FF"/>
          <w:lang w:val="en-US"/>
        </w:rPr>
        <w:fldChar w:fldCharType="separate"/>
      </w:r>
      <w:r w:rsidRPr="00D73B21">
        <w:rPr>
          <w:rFonts w:ascii="Arial" w:hAnsi="Arial" w:cs="Arial"/>
          <w:noProof/>
          <w:color w:val="0432FF"/>
          <w:lang w:val="en-US"/>
        </w:rPr>
        <w:t>(Denning, 2024)</w:t>
      </w:r>
      <w:r w:rsidRPr="00D73B21">
        <w:rPr>
          <w:rFonts w:ascii="Arial" w:hAnsi="Arial" w:cs="Arial"/>
          <w:color w:val="0432FF"/>
          <w:lang w:val="en-US"/>
        </w:rPr>
        <w:fldChar w:fldCharType="end"/>
      </w:r>
      <w:r w:rsidRPr="00D73B21">
        <w:rPr>
          <w:rFonts w:ascii="Arial" w:hAnsi="Arial" w:cs="Arial"/>
          <w:color w:val="0432FF"/>
          <w:lang w:val="en-US"/>
        </w:rPr>
        <w:t xml:space="preserve">. </w:t>
      </w:r>
      <w:r w:rsidR="007277C8" w:rsidRPr="00D73B21">
        <w:rPr>
          <w:rFonts w:ascii="Arial" w:hAnsi="Arial" w:cs="Arial"/>
          <w:color w:val="0432FF"/>
          <w:lang w:val="en-US"/>
        </w:rPr>
        <w:t xml:space="preserve">Interestingly, among </w:t>
      </w:r>
      <w:r w:rsidR="00F34B53" w:rsidRPr="00D73B21">
        <w:rPr>
          <w:rFonts w:ascii="Arial" w:hAnsi="Arial" w:cs="Arial"/>
          <w:color w:val="0432FF"/>
          <w:lang w:val="en-US"/>
        </w:rPr>
        <w:br/>
      </w:r>
      <w:r w:rsidR="007277C8" w:rsidRPr="00D73B21">
        <w:rPr>
          <w:rFonts w:ascii="Arial" w:hAnsi="Arial" w:cs="Arial"/>
          <w:color w:val="0432FF"/>
          <w:lang w:val="en-US"/>
        </w:rPr>
        <w:t>the estimation of 5.1 million fungal species, approximately 300 species are responsible on human fungal infections, that related to four common genera</w:t>
      </w:r>
      <w:r w:rsidR="00F34B53" w:rsidRPr="00D73B21">
        <w:rPr>
          <w:rFonts w:ascii="Arial" w:hAnsi="Arial" w:cs="Arial"/>
          <w:color w:val="0432FF"/>
          <w:lang w:val="en-US"/>
        </w:rPr>
        <w:t xml:space="preserve"> </w:t>
      </w:r>
      <w:r w:rsidR="007277C8" w:rsidRPr="00D73B21">
        <w:rPr>
          <w:rFonts w:ascii="Arial" w:hAnsi="Arial" w:cs="Arial"/>
          <w:color w:val="0432FF"/>
          <w:lang w:val="en-US"/>
        </w:rPr>
        <w:t>including </w:t>
      </w:r>
      <w:r w:rsidR="007277C8" w:rsidRPr="00D73B21">
        <w:rPr>
          <w:rFonts w:ascii="Arial" w:hAnsi="Arial" w:cs="Arial"/>
          <w:i/>
          <w:iCs/>
          <w:color w:val="0432FF"/>
          <w:lang w:val="en-US"/>
        </w:rPr>
        <w:t>Aspergillus</w:t>
      </w:r>
      <w:r w:rsidR="007277C8" w:rsidRPr="00D73B21">
        <w:rPr>
          <w:rFonts w:ascii="Arial" w:hAnsi="Arial" w:cs="Arial"/>
          <w:color w:val="0432FF"/>
          <w:lang w:val="en-US"/>
        </w:rPr>
        <w:t>, </w:t>
      </w:r>
      <w:r w:rsidR="007277C8" w:rsidRPr="00D73B21">
        <w:rPr>
          <w:rFonts w:ascii="Arial" w:hAnsi="Arial" w:cs="Arial"/>
          <w:i/>
          <w:iCs/>
          <w:color w:val="0432FF"/>
          <w:lang w:val="en-US"/>
        </w:rPr>
        <w:t>Candida</w:t>
      </w:r>
      <w:r w:rsidR="007277C8" w:rsidRPr="00D73B21">
        <w:rPr>
          <w:rFonts w:ascii="Arial" w:hAnsi="Arial" w:cs="Arial"/>
          <w:color w:val="0432FF"/>
          <w:lang w:val="en-US"/>
        </w:rPr>
        <w:t>, </w:t>
      </w:r>
      <w:r w:rsidR="007277C8" w:rsidRPr="00D73B21">
        <w:rPr>
          <w:rFonts w:ascii="Arial" w:hAnsi="Arial" w:cs="Arial"/>
          <w:i/>
          <w:iCs/>
          <w:color w:val="0432FF"/>
          <w:lang w:val="en-US"/>
        </w:rPr>
        <w:t>Cryptococcus</w:t>
      </w:r>
      <w:r w:rsidR="007277C8" w:rsidRPr="00D73B21">
        <w:rPr>
          <w:rFonts w:ascii="Arial" w:hAnsi="Arial" w:cs="Arial"/>
          <w:color w:val="0432FF"/>
          <w:lang w:val="en-US"/>
        </w:rPr>
        <w:t>, and </w:t>
      </w:r>
      <w:r w:rsidR="007277C8" w:rsidRPr="00D73B21">
        <w:rPr>
          <w:rFonts w:ascii="Arial" w:hAnsi="Arial" w:cs="Arial"/>
          <w:i/>
          <w:iCs/>
          <w:color w:val="0432FF"/>
          <w:lang w:val="en-US"/>
        </w:rPr>
        <w:t>Pneumocystis</w:t>
      </w:r>
      <w:r w:rsidR="00F34B53" w:rsidRPr="00D73B21">
        <w:rPr>
          <w:rFonts w:ascii="Arial" w:hAnsi="Arial" w:cs="Arial"/>
          <w:i/>
          <w:iCs/>
          <w:color w:val="0432FF"/>
          <w:lang w:val="en-US"/>
        </w:rPr>
        <w:t xml:space="preserve"> </w:t>
      </w:r>
      <w:r w:rsidR="00F34B53" w:rsidRPr="00D73B21">
        <w:rPr>
          <w:rFonts w:ascii="Arial" w:hAnsi="Arial" w:cs="Arial"/>
          <w:color w:val="0432FF"/>
          <w:lang w:val="en-US"/>
        </w:rPr>
        <w:fldChar w:fldCharType="begin"/>
      </w:r>
      <w:r w:rsidR="00F34B53" w:rsidRPr="00D73B21">
        <w:rPr>
          <w:rFonts w:ascii="Arial" w:hAnsi="Arial" w:cs="Arial"/>
          <w:color w:val="0432FF"/>
          <w:lang w:val="en-US"/>
        </w:rPr>
        <w:instrText xml:space="preserve"> ADDIN ZOTERO_ITEM CSL_CITATION {"citationID":"vFa0Hehf","properties":{"formattedCitation":"(Mendon\\uc0\\u231{}a et al., 2022)","plainCitation":"(Mendonça et al., 2022)","noteIndex":0},"citationItems":[{"id":8715,"uris":["http://zotero.org/users/2543086/items/PEEM29BL"],"itemData":{"id":8715,"type":"article-journal","abstract":"Despite the scientific advances observed in the recent decades and the emergence of new methodologies, the diagnosis of systemic fungal infections persists as a problematic issue. Fungal cultivation, the standard method that allows a proven diagnosis, has numerous disadvantages, as low sensitivity (only 50% of the patients present positive fungal cultures), and long growth time. These are factors that delay the patient's treatment and, consequently, lead to higher hospital costs. To improve the accuracy and quickness of fungal infections diagnosis, several new methodologies attempt to be implemented in clinical microbiology laboratories. Most of these innovative methods are independent of pathogen isolation, which means that the diagnosis goes from being considered proven to probable. In spite of the advantage of being culture-independent, the majority of the methods lack standardization. PCR-based methods are becoming more and more commonly used, which has earned them an important place in hospital laboratories. This can be perceived now, as PCR-based methodologies have proved to be an essential tool fighting against the COVID-19 pandemic. This review aims to go through the main steps of the diagnosis for systemic fungal infection, from diagnostic classifications, through methodologies considered as “gold standard”, to the molecular methods currently used, and finally mentioning some of the more futuristic approaches.","container-title":"Research in Microbiology","DOI":"10.1016/j.resmic.2021.103915","ISSN":"0923-2508","issue":"3","journalAbbreviation":"Research in Microbiology","page":"103915","source":"ScienceDirect","title":"Fungal infections diagnosis – Past, present and future","volume":"173","author":[{"family":"Mendonça","given":"Alexandre"},{"family":"Santos","given":"Helena"},{"family":"Franco-Duarte","given":"Ricardo"},{"family":"Sampaio","given":"Paula"}],"issued":{"date-parts":[["2022",3,1]]}}}],"schema":"https://github.com/citation-style-language/schema/raw/master/csl-citation.json"} </w:instrText>
      </w:r>
      <w:r w:rsidR="00F34B53" w:rsidRPr="00D73B21">
        <w:rPr>
          <w:rFonts w:ascii="Arial" w:hAnsi="Arial" w:cs="Arial"/>
          <w:color w:val="0432FF"/>
          <w:lang w:val="en-US"/>
        </w:rPr>
        <w:fldChar w:fldCharType="separate"/>
      </w:r>
      <w:r w:rsidR="00F34B53" w:rsidRPr="00D73B21">
        <w:rPr>
          <w:rFonts w:ascii="Arial" w:eastAsiaTheme="minorHAnsi" w:hAnsi="Arial" w:cs="Arial"/>
          <w:color w:val="0000FF"/>
          <w:lang w:val="en-US" w:eastAsia="en-US"/>
          <w14:ligatures w14:val="standardContextual"/>
        </w:rPr>
        <w:t>(Mendonça et al., 2022)</w:t>
      </w:r>
      <w:r w:rsidR="00F34B53" w:rsidRPr="00D73B21">
        <w:rPr>
          <w:rFonts w:ascii="Arial" w:hAnsi="Arial" w:cs="Arial"/>
          <w:color w:val="0432FF"/>
          <w:lang w:val="en-US"/>
        </w:rPr>
        <w:fldChar w:fldCharType="end"/>
      </w:r>
      <w:r w:rsidR="007277C8" w:rsidRPr="00D73B21">
        <w:rPr>
          <w:rFonts w:ascii="Arial" w:hAnsi="Arial" w:cs="Arial"/>
          <w:color w:val="0432FF"/>
          <w:lang w:val="en-US"/>
        </w:rPr>
        <w:t>.</w:t>
      </w:r>
      <w:r w:rsidR="00F032E2" w:rsidRPr="00D73B21">
        <w:rPr>
          <w:rFonts w:ascii="Arial" w:hAnsi="Arial" w:cs="Arial"/>
          <w:color w:val="0432FF"/>
          <w:lang w:val="en-US"/>
        </w:rPr>
        <w:t xml:space="preserve"> </w:t>
      </w:r>
      <w:r w:rsidRPr="00D73B21">
        <w:rPr>
          <w:rFonts w:ascii="Arial" w:hAnsi="Arial" w:cs="Arial"/>
          <w:color w:val="0432FF"/>
          <w:lang w:val="en-US"/>
        </w:rPr>
        <w:t xml:space="preserve">Studies showed that climate change is associated with the rapid rise trend in fungal infections which leads to enhance the virulence activity of the pathogens </w:t>
      </w:r>
      <w:r w:rsidRPr="00D73B21">
        <w:rPr>
          <w:rFonts w:ascii="Arial" w:hAnsi="Arial" w:cs="Arial"/>
          <w:color w:val="0432FF"/>
          <w:lang w:val="en-US"/>
        </w:rPr>
        <w:fldChar w:fldCharType="begin"/>
      </w:r>
      <w:r w:rsidRPr="00D73B21">
        <w:rPr>
          <w:rFonts w:ascii="Arial" w:hAnsi="Arial" w:cs="Arial"/>
          <w:color w:val="0432FF"/>
          <w:lang w:val="en-US"/>
        </w:rPr>
        <w:instrText xml:space="preserve"> ADDIN ZOTERO_ITEM CSL_CITATION {"citationID":"TDl5LuTR","properties":{"formattedCitation":"(Seidel et al., 2024)","plainCitation":"(Seidel et al., 2024)","noteIndex":0},"citationItems":[{"id":8712,"uris":["http://zotero.org/users/2543086/items/AJE64HZB"],"itemData":{"id":8712,"type":"article-journal","container-title":"The Lancet Microbe","DOI":"10.1016/S2666-5247(24)00039-9","ISSN":"2666-5247","issue":"6","journalAbbreviation":"The Lancet Microbe","language":"English","note":"publisher: Elsevier\nPMID: 38518791","page":"e594-e605","source":"www.thelancet.com","title":"Impact of climate change and natural disasters on fungal infections","volume":"5","author":[{"family":"Seidel","given":"Danila"},{"family":"Wurster","given":"Sebastian"},{"family":"Jenks","given":"Jeffrey D."},{"family":"Sati","given":"Hatim"},{"family":"Gangneux","given":"Jean-Pierre"},{"family":"Egger","given":"Matthias"},{"family":"Alastruey-Izquierdo","given":"Ana"},{"family":"Ford","given":"Nathan P."},{"family":"Chowdhary","given":"Anuradha"},{"family":"Sprute","given":"Rosanne"},{"family":"Cornely","given":"Oliver"},{"family":"Thompson","given":"George R."},{"family":"Hoenigl","given":"Martin"},{"family":"Kontoyiannis","given":"Dimitrios P."}],"issued":{"date-parts":[["2024",6,1]]}}}],"schema":"https://github.com/citation-style-language/schema/raw/master/csl-citation.json"} </w:instrText>
      </w:r>
      <w:r w:rsidRPr="00D73B21">
        <w:rPr>
          <w:rFonts w:ascii="Arial" w:hAnsi="Arial" w:cs="Arial"/>
          <w:color w:val="0432FF"/>
          <w:lang w:val="en-US"/>
        </w:rPr>
        <w:fldChar w:fldCharType="separate"/>
      </w:r>
      <w:r w:rsidRPr="00D73B21">
        <w:rPr>
          <w:rFonts w:ascii="Arial" w:hAnsi="Arial" w:cs="Arial"/>
          <w:noProof/>
          <w:color w:val="0432FF"/>
          <w:lang w:val="en-US"/>
        </w:rPr>
        <w:t>(Seidel et al., 2024)</w:t>
      </w:r>
      <w:r w:rsidRPr="00D73B21">
        <w:rPr>
          <w:rFonts w:ascii="Arial" w:hAnsi="Arial" w:cs="Arial"/>
          <w:color w:val="0432FF"/>
          <w:lang w:val="en-US"/>
        </w:rPr>
        <w:fldChar w:fldCharType="end"/>
      </w:r>
      <w:r w:rsidRPr="00D73B21">
        <w:rPr>
          <w:rFonts w:ascii="Arial" w:hAnsi="Arial" w:cs="Arial"/>
          <w:color w:val="0432FF"/>
          <w:lang w:val="en-US"/>
        </w:rPr>
        <w:t xml:space="preserve">. </w:t>
      </w:r>
      <w:r w:rsidR="008676F0" w:rsidRPr="00D73B21">
        <w:rPr>
          <w:rFonts w:ascii="Arial" w:hAnsi="Arial" w:cs="Arial"/>
          <w:color w:val="0432FF"/>
          <w:lang w:val="en-US"/>
        </w:rPr>
        <w:t xml:space="preserve">For example, </w:t>
      </w:r>
      <w:r w:rsidR="00D576DD" w:rsidRPr="00D73B21">
        <w:rPr>
          <w:rFonts w:ascii="Arial" w:hAnsi="Arial" w:cs="Arial"/>
          <w:color w:val="0432FF"/>
          <w:lang w:val="en-US"/>
        </w:rPr>
        <w:t xml:space="preserve">temperature increases of </w:t>
      </w:r>
      <w:r w:rsidR="0013648B" w:rsidRPr="00D73B21">
        <w:rPr>
          <w:rFonts w:ascii="Arial" w:hAnsi="Arial" w:cs="Arial"/>
          <w:color w:val="0432FF"/>
          <w:lang w:val="en-US"/>
        </w:rPr>
        <w:t xml:space="preserve">the Earth’s </w:t>
      </w:r>
      <w:r w:rsidR="00321713" w:rsidRPr="00D73B21">
        <w:rPr>
          <w:rFonts w:ascii="Arial" w:hAnsi="Arial" w:cs="Arial"/>
          <w:color w:val="0432FF"/>
          <w:lang w:val="en-US"/>
        </w:rPr>
        <w:t>evoke</w:t>
      </w:r>
      <w:r w:rsidR="0013648B" w:rsidRPr="00D73B21">
        <w:rPr>
          <w:rFonts w:ascii="Arial" w:hAnsi="Arial" w:cs="Arial"/>
          <w:color w:val="0432FF"/>
          <w:lang w:val="en-US"/>
        </w:rPr>
        <w:t xml:space="preserve"> </w:t>
      </w:r>
      <w:r w:rsidR="00310B46" w:rsidRPr="00D73B21">
        <w:rPr>
          <w:rFonts w:ascii="Arial" w:hAnsi="Arial" w:cs="Arial"/>
          <w:color w:val="0432FF"/>
          <w:lang w:val="en-US"/>
        </w:rPr>
        <w:t xml:space="preserve">fungal pathogens </w:t>
      </w:r>
      <w:r w:rsidR="00C20100" w:rsidRPr="00D73B21">
        <w:rPr>
          <w:rFonts w:ascii="Arial" w:hAnsi="Arial" w:cs="Arial"/>
          <w:color w:val="0432FF"/>
          <w:lang w:val="en-US"/>
        </w:rPr>
        <w:t xml:space="preserve">to </w:t>
      </w:r>
      <w:r w:rsidR="0013648B" w:rsidRPr="00D73B21">
        <w:rPr>
          <w:rFonts w:ascii="Arial" w:hAnsi="Arial" w:cs="Arial"/>
          <w:color w:val="0432FF"/>
          <w:lang w:val="en-US"/>
        </w:rPr>
        <w:t xml:space="preserve">quickly adapting to higher temperatures and </w:t>
      </w:r>
      <w:r w:rsidR="00C20100" w:rsidRPr="00D73B21">
        <w:rPr>
          <w:rFonts w:ascii="Arial" w:hAnsi="Arial" w:cs="Arial"/>
          <w:color w:val="0432FF"/>
          <w:lang w:val="en-US"/>
        </w:rPr>
        <w:t xml:space="preserve">boosting virulence </w:t>
      </w:r>
      <w:r w:rsidR="00195459" w:rsidRPr="00D73B21">
        <w:rPr>
          <w:rFonts w:ascii="Arial" w:hAnsi="Arial" w:cs="Arial"/>
          <w:color w:val="0432FF"/>
          <w:lang w:val="en-US"/>
        </w:rPr>
        <w:t xml:space="preserve">ability </w:t>
      </w:r>
      <w:r w:rsidR="00312448" w:rsidRPr="00D73B21">
        <w:rPr>
          <w:rFonts w:ascii="Arial" w:hAnsi="Arial" w:cs="Arial"/>
          <w:color w:val="0432FF"/>
          <w:lang w:val="en-US"/>
        </w:rPr>
        <w:t xml:space="preserve">to support their growth and expansion </w:t>
      </w:r>
      <w:r w:rsidR="00312448" w:rsidRPr="00D73B21">
        <w:rPr>
          <w:rFonts w:ascii="Arial" w:hAnsi="Arial" w:cs="Arial"/>
          <w:color w:val="0432FF"/>
          <w:lang w:val="en-US"/>
        </w:rPr>
        <w:fldChar w:fldCharType="begin"/>
      </w:r>
      <w:r w:rsidR="00312448" w:rsidRPr="00D73B21">
        <w:rPr>
          <w:rFonts w:ascii="Arial" w:hAnsi="Arial" w:cs="Arial"/>
          <w:color w:val="0432FF"/>
          <w:lang w:val="en-US"/>
        </w:rPr>
        <w:instrText xml:space="preserve"> ADDIN ZOTERO_ITEM CSL_CITATION {"citationID":"3vhcwLEE","properties":{"formattedCitation":"(Nnadi &amp; Carter, 2021)","plainCitation":"(Nnadi &amp; Carter, 2021)","noteIndex":0},"citationItems":[{"id":8718,"uris":["http://zotero.org/users/2543086/items/7FT2NIBC"],"itemData":{"id":8718,"type":"article-journal","container-title":"PLOS Pathogens","DOI":"10.1371/journal.ppat.1009503","ISSN":"1553-7374","issue":"4","journalAbbreviation":"PLOS Pathogens","language":"en","note":"publisher: Public Library of Science","page":"e1009503","source":"PLoS Journals","title":"Climate change and the emergence of fungal pathogens","volume":"17","author":[{"family":"Nnadi","given":"Nnaemeka Emmanuel"},{"family":"Carter","given":"Dee A."}],"issued":{"date-parts":[["2021",4,29]]}}}],"schema":"https://github.com/citation-style-language/schema/raw/master/csl-citation.json"} </w:instrText>
      </w:r>
      <w:r w:rsidR="00312448" w:rsidRPr="00D73B21">
        <w:rPr>
          <w:rFonts w:ascii="Arial" w:hAnsi="Arial" w:cs="Arial"/>
          <w:color w:val="0432FF"/>
          <w:lang w:val="en-US"/>
        </w:rPr>
        <w:fldChar w:fldCharType="separate"/>
      </w:r>
      <w:r w:rsidR="00312448" w:rsidRPr="00D73B21">
        <w:rPr>
          <w:rFonts w:ascii="Arial" w:hAnsi="Arial" w:cs="Arial"/>
          <w:noProof/>
          <w:color w:val="0432FF"/>
          <w:lang w:val="en-US"/>
        </w:rPr>
        <w:t>(Nnadi &amp; Carter, 2021)</w:t>
      </w:r>
      <w:r w:rsidR="00312448" w:rsidRPr="00D73B21">
        <w:rPr>
          <w:rFonts w:ascii="Arial" w:hAnsi="Arial" w:cs="Arial"/>
          <w:color w:val="0432FF"/>
          <w:lang w:val="en-US"/>
        </w:rPr>
        <w:fldChar w:fldCharType="end"/>
      </w:r>
      <w:r w:rsidR="00312448" w:rsidRPr="00D73B21">
        <w:rPr>
          <w:rFonts w:ascii="Arial" w:hAnsi="Arial" w:cs="Arial"/>
          <w:color w:val="0432FF"/>
          <w:lang w:val="en-US"/>
        </w:rPr>
        <w:t>.</w:t>
      </w:r>
      <w:r w:rsidR="00913A9A" w:rsidRPr="00D73B21">
        <w:rPr>
          <w:rFonts w:ascii="Arial" w:hAnsi="Arial" w:cs="Arial"/>
          <w:color w:val="0432FF"/>
          <w:lang w:val="en-US"/>
        </w:rPr>
        <w:t xml:space="preserve"> The actual example of this case, </w:t>
      </w:r>
      <w:r w:rsidR="001B2828" w:rsidRPr="00D73B21">
        <w:rPr>
          <w:rFonts w:ascii="Arial" w:hAnsi="Arial" w:cs="Arial"/>
          <w:i/>
          <w:iCs/>
          <w:color w:val="0432FF"/>
          <w:lang w:val="en-US"/>
        </w:rPr>
        <w:t xml:space="preserve">Candida auris </w:t>
      </w:r>
      <w:r w:rsidR="00FB61BC" w:rsidRPr="00D73B21">
        <w:rPr>
          <w:rFonts w:ascii="Arial" w:hAnsi="Arial" w:cs="Arial"/>
          <w:color w:val="0432FF"/>
          <w:lang w:val="en-US"/>
        </w:rPr>
        <w:t>which become more tolerance to human temperature</w:t>
      </w:r>
      <w:r w:rsidR="00035544" w:rsidRPr="00D73B21">
        <w:rPr>
          <w:rFonts w:ascii="Arial" w:hAnsi="Arial" w:cs="Arial"/>
          <w:color w:val="0432FF"/>
          <w:lang w:val="en-US"/>
        </w:rPr>
        <w:t xml:space="preserve"> make this fungus source of causing human mycosis</w:t>
      </w:r>
      <w:r w:rsidR="007E2081" w:rsidRPr="00D73B21">
        <w:rPr>
          <w:rFonts w:ascii="Arial" w:hAnsi="Arial" w:cs="Arial"/>
          <w:color w:val="0432FF"/>
          <w:lang w:val="en-US"/>
        </w:rPr>
        <w:t xml:space="preserve"> </w:t>
      </w:r>
      <w:r w:rsidR="007E2081" w:rsidRPr="00D73B21">
        <w:rPr>
          <w:rFonts w:ascii="Arial" w:hAnsi="Arial" w:cs="Arial"/>
          <w:color w:val="0432FF"/>
          <w:lang w:val="en-US"/>
        </w:rPr>
        <w:fldChar w:fldCharType="begin"/>
      </w:r>
      <w:r w:rsidR="007E2081" w:rsidRPr="00D73B21">
        <w:rPr>
          <w:rFonts w:ascii="Arial" w:hAnsi="Arial" w:cs="Arial"/>
          <w:color w:val="0432FF"/>
          <w:lang w:val="en-US"/>
        </w:rPr>
        <w:instrText xml:space="preserve"> ADDIN ZOTERO_ITEM CSL_CITATION {"citationID":"spksZVaL","properties":{"formattedCitation":"(Garcia-Bustos et al., 2023)","plainCitation":"(Garcia-Bustos et al., 2023)","noteIndex":0},"citationItems":[{"id":8720,"uris":["http://zotero.org/users/2543086/items/RR75LFWH"],"itemData":{"id":8720,"type":"article-journal","abstract":"BACKGROUND: One of the most puzzling traits of Candida auris is the recent simultaneous and independent emergence of five genetically distinct clades on three continents. Global warming has been proposed as a contributing factor for this emergence owing to high thermotolerance of C. auris compared with phylogenetically close Candida species. This hypothesis postulates that climate change induced an environmental ancestor to become pathogenic through thermal adaptation and was then globally disseminated by an intermediate host.\nOBJECTIVES: The aim of this review is to compile the current knowledge on the emergence and ecological environmental niches of C. auris and highlight the potential role of animals in transmission.\nSOURCES: A literature search was conducted using PubMed, MEDLINE, Google Scholar, and Web of Science from May 2022 to January 2023.\nCONTENT: We discuss the up-to-date data on the ecological niches of this fungus and its mechanisms of emergence, transmission cycle in nature, and worldwide dissemination. We highlight the possibility of an originally intermediate host possibly related to marine or freshwater ecosystems on the basis of recent molecular and microbiological evidence from a One Health perspective. The consequences of harmful human impact on the environment in the rise of new fungal pathogenic species, such as C. auris, are also analysed and compared with other animal precedents.\nIMPLICATIONS: The present knowledge can prompt the generation of new evidence on the ecological reservoirs of C. auris and its original mechanisms of environmental or interspecies transmission. Further research on the highlighted gaps will help understand the importance of the relationships between human, animal, and ecosystem health as factors involved in the rise and spread of emerging fungal pathogenic species.","container-title":"Clinical Microbiology and Infection: The Official Publication of the European Society of Clinical Microbiology and Infectious Diseases","DOI":"10.1016/j.cmi.2023.03.016","ISSN":"1469-0691","issue":"7","journalAbbreviation":"Clin Microbiol Infect","language":"eng","note":"PMID: 36934871","page":"858-862","source":"PubMed","title":"Climate change, animals, and Candida auris: insights into the ecological niche of a new species from a One Health approach","title-short":"Climate change, animals, and Candida auris","volume":"29","author":[{"family":"Garcia-Bustos","given":"Victor"},{"family":"Cabañero-Navalon","given":"Marta Dafne"},{"family":"Ruiz-Gaitán","given":"Alba"},{"family":"Salavert","given":"Miguel"},{"family":"Tormo-Mas","given":"María Ángeles"},{"family":"Pemán","given":"Javier"}],"issued":{"date-parts":[["2023",7]]}}}],"schema":"https://github.com/citation-style-language/schema/raw/master/csl-citation.json"} </w:instrText>
      </w:r>
      <w:r w:rsidR="007E2081" w:rsidRPr="00D73B21">
        <w:rPr>
          <w:rFonts w:ascii="Arial" w:hAnsi="Arial" w:cs="Arial"/>
          <w:color w:val="0432FF"/>
          <w:lang w:val="en-US"/>
        </w:rPr>
        <w:fldChar w:fldCharType="separate"/>
      </w:r>
      <w:r w:rsidR="007E2081" w:rsidRPr="00D73B21">
        <w:rPr>
          <w:rFonts w:ascii="Arial" w:hAnsi="Arial" w:cs="Arial"/>
          <w:noProof/>
          <w:color w:val="0432FF"/>
          <w:lang w:val="en-US"/>
        </w:rPr>
        <w:t>(Garcia-Bustos et al., 2023)</w:t>
      </w:r>
      <w:r w:rsidR="007E2081" w:rsidRPr="00D73B21">
        <w:rPr>
          <w:rFonts w:ascii="Arial" w:hAnsi="Arial" w:cs="Arial"/>
          <w:color w:val="0432FF"/>
          <w:lang w:val="en-US"/>
        </w:rPr>
        <w:fldChar w:fldCharType="end"/>
      </w:r>
      <w:r w:rsidR="007E2081" w:rsidRPr="00D73B21">
        <w:rPr>
          <w:rFonts w:ascii="Arial" w:hAnsi="Arial" w:cs="Arial"/>
          <w:color w:val="0432FF"/>
          <w:lang w:val="en-US"/>
        </w:rPr>
        <w:t>.</w:t>
      </w:r>
    </w:p>
    <w:p w14:paraId="101C582A" w14:textId="033864F0" w:rsidR="0013648B" w:rsidRPr="009F1A37" w:rsidRDefault="00A547CF" w:rsidP="009F1A37">
      <w:pPr>
        <w:spacing w:line="480" w:lineRule="auto"/>
        <w:jc w:val="both"/>
        <w:rPr>
          <w:rFonts w:ascii="Arial" w:hAnsi="Arial" w:cs="Arial"/>
          <w:color w:val="0432FF"/>
          <w:lang w:val="en-US"/>
        </w:rPr>
      </w:pPr>
      <w:r w:rsidRPr="00AB5194">
        <w:rPr>
          <w:rFonts w:ascii="Arial" w:hAnsi="Arial" w:cs="Arial"/>
          <w:color w:val="0432FF"/>
          <w:lang w:val="en-US"/>
        </w:rPr>
        <w:t xml:space="preserve">Antifungal </w:t>
      </w:r>
      <w:r w:rsidR="00551580" w:rsidRPr="00AB5194">
        <w:rPr>
          <w:rFonts w:ascii="Arial" w:hAnsi="Arial" w:cs="Arial"/>
          <w:color w:val="0432FF"/>
          <w:lang w:val="en-US"/>
        </w:rPr>
        <w:t>drugs are essential agents for treating fungal infections</w:t>
      </w:r>
      <w:r w:rsidR="00EF5D06" w:rsidRPr="00AB5194">
        <w:rPr>
          <w:rFonts w:ascii="Arial" w:hAnsi="Arial" w:cs="Arial"/>
          <w:color w:val="0432FF"/>
          <w:lang w:val="en-US"/>
        </w:rPr>
        <w:t>.</w:t>
      </w:r>
      <w:r w:rsidR="00551580" w:rsidRPr="00AB5194">
        <w:rPr>
          <w:rFonts w:ascii="Arial" w:hAnsi="Arial" w:cs="Arial"/>
          <w:color w:val="0432FF"/>
          <w:lang w:val="en-US"/>
        </w:rPr>
        <w:t xml:space="preserve"> </w:t>
      </w:r>
      <w:r w:rsidR="0000509F" w:rsidRPr="00AB5194">
        <w:rPr>
          <w:rFonts w:ascii="Arial" w:hAnsi="Arial" w:cs="Arial"/>
          <w:color w:val="0432FF"/>
          <w:lang w:val="en-US"/>
        </w:rPr>
        <w:t>There are</w:t>
      </w:r>
      <w:r w:rsidR="005648AC" w:rsidRPr="00AB5194">
        <w:rPr>
          <w:rFonts w:ascii="Arial" w:hAnsi="Arial" w:cs="Arial"/>
          <w:color w:val="0432FF"/>
          <w:lang w:val="en-US"/>
        </w:rPr>
        <w:t xml:space="preserve"> </w:t>
      </w:r>
      <w:r w:rsidR="00CC3909" w:rsidRPr="00AB5194">
        <w:rPr>
          <w:rFonts w:ascii="Arial" w:hAnsi="Arial" w:cs="Arial"/>
          <w:color w:val="0432FF"/>
          <w:lang w:val="en-US"/>
        </w:rPr>
        <w:br/>
      </w:r>
      <w:r w:rsidR="005648AC" w:rsidRPr="00AB5194">
        <w:rPr>
          <w:rFonts w:ascii="Arial" w:hAnsi="Arial" w:cs="Arial"/>
          <w:color w:val="0432FF"/>
          <w:lang w:val="en-US"/>
        </w:rPr>
        <w:t xml:space="preserve">five </w:t>
      </w:r>
      <w:r w:rsidR="00DA4FC1" w:rsidRPr="00AB5194">
        <w:rPr>
          <w:rFonts w:ascii="Arial" w:hAnsi="Arial" w:cs="Arial"/>
          <w:color w:val="0432FF"/>
          <w:lang w:val="en-US"/>
        </w:rPr>
        <w:t>main</w:t>
      </w:r>
      <w:r w:rsidR="005648AC" w:rsidRPr="00AB5194">
        <w:rPr>
          <w:rFonts w:ascii="Arial" w:hAnsi="Arial" w:cs="Arial"/>
          <w:color w:val="0432FF"/>
          <w:lang w:val="en-US"/>
        </w:rPr>
        <w:t xml:space="preserve"> classes of antifungal </w:t>
      </w:r>
      <w:r w:rsidR="006D377B" w:rsidRPr="00AB5194">
        <w:rPr>
          <w:rFonts w:ascii="Arial" w:hAnsi="Arial" w:cs="Arial"/>
          <w:color w:val="0432FF"/>
          <w:lang w:val="en-US"/>
        </w:rPr>
        <w:t>agents</w:t>
      </w:r>
      <w:r w:rsidR="005648AC" w:rsidRPr="00AB5194">
        <w:rPr>
          <w:rFonts w:ascii="Arial" w:hAnsi="Arial" w:cs="Arial"/>
          <w:color w:val="0432FF"/>
          <w:lang w:val="en-US"/>
        </w:rPr>
        <w:t xml:space="preserve"> </w:t>
      </w:r>
      <w:r w:rsidR="00D4776F" w:rsidRPr="00AB5194">
        <w:rPr>
          <w:rFonts w:ascii="Arial" w:hAnsi="Arial" w:cs="Arial"/>
          <w:color w:val="0432FF"/>
          <w:lang w:val="en-US"/>
        </w:rPr>
        <w:t>used medically</w:t>
      </w:r>
      <w:r w:rsidR="00CC3909" w:rsidRPr="00AB5194">
        <w:rPr>
          <w:rFonts w:ascii="Arial" w:hAnsi="Arial" w:cs="Arial"/>
          <w:color w:val="0432FF"/>
          <w:lang w:val="en-US"/>
        </w:rPr>
        <w:t xml:space="preserve"> including</w:t>
      </w:r>
      <w:r w:rsidR="00CC3909" w:rsidRPr="00AB5194">
        <w:rPr>
          <w:rFonts w:ascii="Arial" w:eastAsiaTheme="majorEastAsia" w:hAnsi="Arial" w:cs="Arial"/>
          <w:color w:val="0432FF"/>
          <w:lang w:val="en-US"/>
        </w:rPr>
        <w:t xml:space="preserve"> </w:t>
      </w:r>
      <w:r w:rsidR="005648AC" w:rsidRPr="00AB5194">
        <w:rPr>
          <w:rFonts w:ascii="Arial" w:eastAsiaTheme="majorEastAsia" w:hAnsi="Arial" w:cs="Arial"/>
          <w:color w:val="0432FF"/>
          <w:lang w:val="en-US"/>
        </w:rPr>
        <w:t>azoles</w:t>
      </w:r>
      <w:r w:rsidR="005648AC" w:rsidRPr="00AB5194">
        <w:rPr>
          <w:rFonts w:ascii="Arial" w:hAnsi="Arial" w:cs="Arial"/>
          <w:color w:val="0432FF"/>
          <w:lang w:val="en-US"/>
        </w:rPr>
        <w:t>, </w:t>
      </w:r>
      <w:r w:rsidR="005648AC" w:rsidRPr="00AB5194">
        <w:rPr>
          <w:rFonts w:ascii="Arial" w:eastAsiaTheme="majorEastAsia" w:hAnsi="Arial" w:cs="Arial"/>
          <w:color w:val="0432FF"/>
          <w:lang w:val="en-US"/>
        </w:rPr>
        <w:t>polyenes</w:t>
      </w:r>
      <w:r w:rsidR="005648AC" w:rsidRPr="00AB5194">
        <w:rPr>
          <w:rFonts w:ascii="Arial" w:hAnsi="Arial" w:cs="Arial"/>
          <w:color w:val="0432FF"/>
          <w:lang w:val="en-US"/>
        </w:rPr>
        <w:t>, </w:t>
      </w:r>
      <w:r w:rsidR="005648AC" w:rsidRPr="00AB5194">
        <w:rPr>
          <w:rFonts w:ascii="Arial" w:eastAsiaTheme="majorEastAsia" w:hAnsi="Arial" w:cs="Arial"/>
          <w:color w:val="0432FF"/>
          <w:lang w:val="en-US"/>
        </w:rPr>
        <w:t>echinocandins</w:t>
      </w:r>
      <w:r w:rsidR="005648AC" w:rsidRPr="00AB5194">
        <w:rPr>
          <w:rFonts w:ascii="Arial" w:hAnsi="Arial" w:cs="Arial"/>
          <w:color w:val="0432FF"/>
          <w:lang w:val="en-US"/>
        </w:rPr>
        <w:t>, </w:t>
      </w:r>
      <w:r w:rsidR="005648AC" w:rsidRPr="00AB5194">
        <w:rPr>
          <w:rFonts w:ascii="Arial" w:eastAsiaTheme="majorEastAsia" w:hAnsi="Arial" w:cs="Arial"/>
          <w:color w:val="0432FF"/>
          <w:lang w:val="en-US"/>
        </w:rPr>
        <w:t>allylamines</w:t>
      </w:r>
      <w:r w:rsidR="005648AC" w:rsidRPr="00AB5194">
        <w:rPr>
          <w:rFonts w:ascii="Arial" w:hAnsi="Arial" w:cs="Arial"/>
          <w:color w:val="0432FF"/>
          <w:lang w:val="en-US"/>
        </w:rPr>
        <w:t> and pyrimidine</w:t>
      </w:r>
      <w:r w:rsidR="00CC3909" w:rsidRPr="00AB5194">
        <w:rPr>
          <w:rFonts w:ascii="Arial" w:hAnsi="Arial" w:cs="Arial"/>
          <w:color w:val="0432FF"/>
          <w:lang w:val="en-US"/>
        </w:rPr>
        <w:t xml:space="preserve"> </w:t>
      </w:r>
      <w:r w:rsidR="005648AC" w:rsidRPr="00AB5194">
        <w:rPr>
          <w:rFonts w:ascii="Arial" w:hAnsi="Arial" w:cs="Arial"/>
          <w:color w:val="0432FF"/>
          <w:lang w:val="en-US"/>
        </w:rPr>
        <w:t>analogs</w:t>
      </w:r>
      <w:r w:rsidR="00E977CF" w:rsidRPr="00AB5194">
        <w:rPr>
          <w:rFonts w:ascii="Arial" w:hAnsi="Arial" w:cs="Arial"/>
          <w:color w:val="0432FF"/>
          <w:lang w:val="en-US"/>
        </w:rPr>
        <w:t xml:space="preserve"> </w:t>
      </w:r>
      <w:r w:rsidR="00E977CF" w:rsidRPr="00AB5194">
        <w:rPr>
          <w:rFonts w:ascii="Arial" w:hAnsi="Arial" w:cs="Arial"/>
          <w:color w:val="0432FF"/>
          <w:lang w:val="en-US"/>
        </w:rPr>
        <w:fldChar w:fldCharType="begin"/>
      </w:r>
      <w:r w:rsidR="00E977CF" w:rsidRPr="00AB5194">
        <w:rPr>
          <w:rFonts w:ascii="Arial" w:hAnsi="Arial" w:cs="Arial"/>
          <w:color w:val="0432FF"/>
          <w:lang w:val="en-US"/>
        </w:rPr>
        <w:instrText xml:space="preserve"> ADDIN ZOTERO_ITEM CSL_CITATION {"citationID":"T2wVZbpw","properties":{"formattedCitation":"(Vanreppelen et al., 2023)","plainCitation":"(Vanreppelen et al., 2023)","noteIndex":0},"citationItems":[{"id":8722,"uris":["http://zotero.org/users/2543086/items/3VHTK9EV"],"itemData":{"id":8722,"type":"article-journal","abstract":"Due to their eukaryotic heritage, the differences between a fungal pathogen’s molecular makeup and its human host are small. Therefore, the discovery and subsequent development of novel antifungal drugs are extremely challenging. Nevertheless, since the 1940s, researchers have successfully uncovered potent candidates from natural or synthetic sources. Analogs and novel formulations of these drugs enhanced the pharmacological parameters and improved overall drug efficiency. These compounds ultimately became the founding members of novel drug classes and were successfully applied in clinical settings, offering valuable and efficient treatment of mycosis for decades. Currently, only five different antifungal drug classes exist, all characterized by a unique mode of action; these are polyenes, pyrimidine analogs, azoles, allylamines, and echinocandins. The latter, being the latest addition to the antifungal armamentarium, was introduced over two decades ago. As a result of this limited arsenal, antifungal resistance development has exponentially increased and, with it, a growing healthcare crisis. In this review, we discuss the original sources of antifungal compounds, either natural or synthetic. Additionally, we summarize the existing drug classes, potential novel candidates in the clinical pipeline, and emerging non-traditional treatment options.","container-title":"Journal of Fungi","DOI":"10.3390/jof9020171","ISSN":"2309-608X","issue":"2","journalAbbreviation":"J Fungi (Basel)","note":"PMID: 36836286\nPMCID: PMC9965926","page":"171","source":"PubMed Central","title":"Sources of Antifungal Drugs","volume":"9","author":[{"family":"Vanreppelen","given":"Giel"},{"family":"Wuyts","given":"Jurgen"},{"family":"Van Dijck","given":"Patrick"},{"family":"Vandecruys","given":"Paul"}],"issued":{"date-parts":[["2023",1,28]]}}}],"schema":"https://github.com/citation-style-language/schema/raw/master/csl-citation.json"} </w:instrText>
      </w:r>
      <w:r w:rsidR="00E977CF" w:rsidRPr="00AB5194">
        <w:rPr>
          <w:rFonts w:ascii="Arial" w:hAnsi="Arial" w:cs="Arial"/>
          <w:color w:val="0432FF"/>
          <w:lang w:val="en-US"/>
        </w:rPr>
        <w:fldChar w:fldCharType="separate"/>
      </w:r>
      <w:r w:rsidR="00E977CF" w:rsidRPr="00AB5194">
        <w:rPr>
          <w:rFonts w:ascii="Arial" w:hAnsi="Arial" w:cs="Arial"/>
          <w:noProof/>
          <w:color w:val="0432FF"/>
          <w:lang w:val="en-US"/>
        </w:rPr>
        <w:t>(Vanreppelen et al., 2023)</w:t>
      </w:r>
      <w:r w:rsidR="00E977CF" w:rsidRPr="00AB5194">
        <w:rPr>
          <w:rFonts w:ascii="Arial" w:hAnsi="Arial" w:cs="Arial"/>
          <w:color w:val="0432FF"/>
          <w:lang w:val="en-US"/>
        </w:rPr>
        <w:fldChar w:fldCharType="end"/>
      </w:r>
      <w:r w:rsidR="005648AC" w:rsidRPr="00AB5194">
        <w:rPr>
          <w:rFonts w:ascii="Arial" w:hAnsi="Arial" w:cs="Arial"/>
          <w:color w:val="0432FF"/>
          <w:lang w:val="en-US"/>
        </w:rPr>
        <w:t xml:space="preserve">. </w:t>
      </w:r>
      <w:r w:rsidR="00296D00" w:rsidRPr="00AB5194">
        <w:rPr>
          <w:rFonts w:ascii="Arial" w:hAnsi="Arial" w:cs="Arial"/>
          <w:color w:val="0432FF"/>
          <w:lang w:val="en-US"/>
        </w:rPr>
        <w:t>These antifungal drugs have different mode of action against fungal propagules</w:t>
      </w:r>
      <w:r w:rsidR="007D4274">
        <w:rPr>
          <w:rFonts w:ascii="Arial" w:hAnsi="Arial" w:cs="Arial"/>
          <w:color w:val="0432FF"/>
          <w:lang w:val="en-US"/>
        </w:rPr>
        <w:t xml:space="preserve"> with a wide range of</w:t>
      </w:r>
      <w:r w:rsidR="00296D00" w:rsidRPr="00AB5194">
        <w:rPr>
          <w:rFonts w:ascii="Arial" w:hAnsi="Arial" w:cs="Arial"/>
          <w:color w:val="0432FF"/>
          <w:lang w:val="en-US"/>
        </w:rPr>
        <w:t xml:space="preserve"> </w:t>
      </w:r>
      <w:bookmarkStart w:id="1" w:name="bfig0003"/>
      <w:r w:rsidR="005648AC" w:rsidRPr="00AB5194">
        <w:rPr>
          <w:rFonts w:ascii="Arial" w:hAnsi="Arial" w:cs="Arial"/>
          <w:color w:val="0432FF"/>
          <w:lang w:val="en-US"/>
        </w:rPr>
        <w:t>effective against</w:t>
      </w:r>
      <w:r w:rsidR="0060325E">
        <w:rPr>
          <w:rFonts w:ascii="Arial" w:hAnsi="Arial" w:cs="Arial"/>
          <w:color w:val="0432FF"/>
          <w:lang w:val="en-US"/>
        </w:rPr>
        <w:t xml:space="preserve"> yeast pathogens such as </w:t>
      </w:r>
      <w:r w:rsidR="005648AC" w:rsidRPr="00AB5194">
        <w:rPr>
          <w:rStyle w:val="Emphasis"/>
          <w:rFonts w:ascii="Arial" w:eastAsiaTheme="majorEastAsia" w:hAnsi="Arial" w:cs="Arial"/>
          <w:color w:val="0432FF"/>
          <w:lang w:val="en-US"/>
        </w:rPr>
        <w:t>Candida</w:t>
      </w:r>
      <w:r w:rsidR="005648AC" w:rsidRPr="00AB5194">
        <w:rPr>
          <w:rFonts w:ascii="Arial" w:hAnsi="Arial" w:cs="Arial"/>
          <w:color w:val="0432FF"/>
          <w:lang w:val="en-US"/>
        </w:rPr>
        <w:t xml:space="preserve"> spp. and other </w:t>
      </w:r>
      <w:r w:rsidR="009B7E7D">
        <w:rPr>
          <w:rFonts w:ascii="Arial" w:hAnsi="Arial" w:cs="Arial"/>
          <w:color w:val="0432FF"/>
          <w:lang w:val="en-US"/>
        </w:rPr>
        <w:t>filamentous</w:t>
      </w:r>
      <w:r w:rsidR="002345B2">
        <w:rPr>
          <w:rFonts w:ascii="Arial" w:hAnsi="Arial" w:cs="Arial"/>
          <w:color w:val="0432FF"/>
          <w:lang w:val="en-US"/>
        </w:rPr>
        <w:t xml:space="preserve"> </w:t>
      </w:r>
      <w:r w:rsidR="005648AC" w:rsidRPr="00AB5194">
        <w:rPr>
          <w:rFonts w:ascii="Arial" w:hAnsi="Arial" w:cs="Arial"/>
          <w:color w:val="0432FF"/>
          <w:lang w:val="en-US"/>
        </w:rPr>
        <w:t xml:space="preserve">fungal pathogens. </w:t>
      </w:r>
      <w:r w:rsidR="001E4F44">
        <w:rPr>
          <w:rFonts w:ascii="Arial" w:hAnsi="Arial" w:cs="Arial"/>
          <w:color w:val="0432FF"/>
          <w:lang w:val="en-US"/>
        </w:rPr>
        <w:t>For example, a</w:t>
      </w:r>
      <w:r w:rsidR="000A1C8C" w:rsidRPr="000A1C8C">
        <w:rPr>
          <w:rFonts w:ascii="Arial" w:hAnsi="Arial" w:cs="Arial"/>
          <w:color w:val="0432FF"/>
          <w:lang w:val="en-US"/>
        </w:rPr>
        <w:t xml:space="preserve">zole </w:t>
      </w:r>
      <w:r w:rsidR="001E4F44">
        <w:rPr>
          <w:rFonts w:ascii="Arial" w:hAnsi="Arial" w:cs="Arial"/>
          <w:color w:val="0432FF"/>
          <w:lang w:val="en-US"/>
        </w:rPr>
        <w:t>a</w:t>
      </w:r>
      <w:r w:rsidR="000A1C8C" w:rsidRPr="000A1C8C">
        <w:rPr>
          <w:rFonts w:ascii="Arial" w:hAnsi="Arial" w:cs="Arial"/>
          <w:color w:val="0432FF"/>
          <w:lang w:val="en-US"/>
        </w:rPr>
        <w:t xml:space="preserve">ntifungal </w:t>
      </w:r>
      <w:r w:rsidR="001E4F44">
        <w:rPr>
          <w:rFonts w:ascii="Arial" w:hAnsi="Arial" w:cs="Arial"/>
          <w:color w:val="0432FF"/>
          <w:lang w:val="en-US"/>
        </w:rPr>
        <w:lastRenderedPageBreak/>
        <w:t>agents such as</w:t>
      </w:r>
      <w:r w:rsidR="000A1C8C" w:rsidRPr="000A1C8C">
        <w:rPr>
          <w:rFonts w:ascii="Arial" w:hAnsi="Arial" w:cs="Arial"/>
          <w:color w:val="0432FF"/>
          <w:lang w:val="en-US"/>
        </w:rPr>
        <w:t xml:space="preserve"> </w:t>
      </w:r>
      <w:r w:rsidR="001E4F44">
        <w:rPr>
          <w:rFonts w:ascii="Arial" w:hAnsi="Arial" w:cs="Arial"/>
          <w:color w:val="0432FF"/>
          <w:lang w:val="en-US"/>
        </w:rPr>
        <w:t>f</w:t>
      </w:r>
      <w:r w:rsidR="000A1C8C" w:rsidRPr="000A1C8C">
        <w:rPr>
          <w:rFonts w:ascii="Arial" w:hAnsi="Arial" w:cs="Arial"/>
          <w:color w:val="0432FF"/>
          <w:lang w:val="en-US"/>
        </w:rPr>
        <w:t xml:space="preserve">luconazole, itraconazole, and ketoconazole </w:t>
      </w:r>
      <w:r w:rsidR="008F3431">
        <w:rPr>
          <w:rFonts w:ascii="Arial" w:hAnsi="Arial" w:cs="Arial"/>
          <w:color w:val="0432FF"/>
          <w:lang w:val="en-US"/>
        </w:rPr>
        <w:t xml:space="preserve">involve in </w:t>
      </w:r>
      <w:r w:rsidR="005B5FFC" w:rsidRPr="00AB5194">
        <w:rPr>
          <w:rFonts w:ascii="Arial" w:hAnsi="Arial" w:cs="Arial"/>
          <w:color w:val="0432FF"/>
          <w:lang w:val="en-US"/>
        </w:rPr>
        <w:t>sterol 14α-demethylase</w:t>
      </w:r>
      <w:r w:rsidR="005B5FFC">
        <w:rPr>
          <w:rFonts w:ascii="Arial" w:hAnsi="Arial" w:cs="Arial"/>
          <w:color w:val="0432FF"/>
          <w:lang w:val="en-US"/>
        </w:rPr>
        <w:t xml:space="preserve"> </w:t>
      </w:r>
      <w:r w:rsidR="008F3431">
        <w:rPr>
          <w:rFonts w:ascii="Arial" w:hAnsi="Arial" w:cs="Arial"/>
          <w:color w:val="0432FF"/>
          <w:lang w:val="en-US"/>
        </w:rPr>
        <w:t xml:space="preserve">inhibition </w:t>
      </w:r>
      <w:r w:rsidR="0018416F">
        <w:rPr>
          <w:rFonts w:ascii="Arial" w:hAnsi="Arial" w:cs="Arial"/>
          <w:color w:val="0432FF"/>
          <w:lang w:val="en-US"/>
        </w:rPr>
        <w:t xml:space="preserve">that leads </w:t>
      </w:r>
      <w:r w:rsidR="00DB6087">
        <w:rPr>
          <w:rFonts w:ascii="Arial" w:hAnsi="Arial" w:cs="Arial"/>
          <w:color w:val="0432FF"/>
          <w:lang w:val="en-US"/>
        </w:rPr>
        <w:t xml:space="preserve">to </w:t>
      </w:r>
      <w:r w:rsidR="00DB6087" w:rsidRPr="000A1C8C">
        <w:rPr>
          <w:rFonts w:ascii="Arial" w:hAnsi="Arial" w:cs="Arial"/>
          <w:color w:val="0432FF"/>
          <w:lang w:val="en-US"/>
        </w:rPr>
        <w:t>ergosterol</w:t>
      </w:r>
      <w:r w:rsidR="00DB6087">
        <w:rPr>
          <w:rFonts w:ascii="Arial" w:hAnsi="Arial" w:cs="Arial"/>
          <w:color w:val="0432FF"/>
          <w:lang w:val="en-US"/>
        </w:rPr>
        <w:t xml:space="preserve"> inhibition </w:t>
      </w:r>
      <w:r w:rsidR="00F97CE0">
        <w:rPr>
          <w:rFonts w:ascii="Arial" w:hAnsi="Arial" w:cs="Arial"/>
          <w:color w:val="0432FF"/>
          <w:lang w:val="en-US"/>
        </w:rPr>
        <w:t>which result in</w:t>
      </w:r>
      <w:r w:rsidR="0018416F">
        <w:rPr>
          <w:rFonts w:ascii="Arial" w:hAnsi="Arial" w:cs="Arial"/>
          <w:color w:val="0432FF"/>
          <w:lang w:val="en-US"/>
        </w:rPr>
        <w:t xml:space="preserve"> </w:t>
      </w:r>
      <w:r w:rsidR="00435AEB">
        <w:rPr>
          <w:rFonts w:ascii="Arial" w:hAnsi="Arial" w:cs="Arial"/>
          <w:color w:val="0432FF"/>
          <w:lang w:val="en-US"/>
        </w:rPr>
        <w:t xml:space="preserve">losing </w:t>
      </w:r>
      <w:r w:rsidR="0018416F" w:rsidRPr="000A1C8C">
        <w:rPr>
          <w:rFonts w:ascii="Arial" w:hAnsi="Arial" w:cs="Arial"/>
          <w:color w:val="0432FF"/>
          <w:lang w:val="en-US"/>
        </w:rPr>
        <w:t>fungal cell membrane</w:t>
      </w:r>
      <w:r w:rsidR="00B47DFD">
        <w:rPr>
          <w:rFonts w:ascii="Arial" w:hAnsi="Arial" w:cs="Arial"/>
          <w:color w:val="0432FF"/>
          <w:lang w:val="en-US"/>
        </w:rPr>
        <w:t xml:space="preserve"> </w:t>
      </w:r>
      <w:r w:rsidR="00240402">
        <w:rPr>
          <w:rFonts w:ascii="Arial" w:hAnsi="Arial" w:cs="Arial"/>
          <w:color w:val="0432FF"/>
          <w:lang w:val="en-US"/>
        </w:rPr>
        <w:t>function and structure</w:t>
      </w:r>
      <w:r w:rsidR="00F97CE0">
        <w:rPr>
          <w:rFonts w:ascii="Arial" w:hAnsi="Arial" w:cs="Arial"/>
          <w:color w:val="0432FF"/>
          <w:lang w:val="en-US"/>
        </w:rPr>
        <w:t xml:space="preserve"> </w:t>
      </w:r>
      <w:r w:rsidR="00E54A4E">
        <w:rPr>
          <w:rFonts w:ascii="Arial" w:hAnsi="Arial" w:cs="Arial"/>
          <w:color w:val="0432FF"/>
          <w:lang w:val="en-US"/>
        </w:rPr>
        <w:fldChar w:fldCharType="begin"/>
      </w:r>
      <w:r w:rsidR="00E54A4E">
        <w:rPr>
          <w:rFonts w:ascii="Arial" w:hAnsi="Arial" w:cs="Arial"/>
          <w:color w:val="0432FF"/>
          <w:lang w:val="en-US"/>
        </w:rPr>
        <w:instrText xml:space="preserve"> ADDIN ZOTERO_ITEM CSL_CITATION {"citationID":"FV9yNpK6","properties":{"formattedCitation":"(Teixeira et al., 2022)","plainCitation":"(Teixeira et al., 2022)","noteIndex":0},"citationItems":[{"id":8725,"uris":["http://zotero.org/users/2543086/items/J7ER4ZXZ"],"itemData":{"id":8725,"type":"article-journal","abstract":"Fungal conditions affect a multitude of people worldwide, leading to increased hospitalization and mortality rates, and the need for novel antifungals is emerging with the rise of resistance and immunocompromised patients. Continuous use of azole drugs, which act by inhibiting the fungal CYP51, involved in the synthesis of ergosterol, essential to the fungal cell membrane, has enhanced the resistance and tolerance of some fungal strains to treatment, thereby limiting the arsenal of available drugs. The goal of this review is to gather literature information on new promising azole developments in clinical trials, with in vitro and in vivo results against fungal strains, and complementary assays, such as toxicity, susceptibility assays, docking studies, among others. Several molecules are reviewed as novel azole structures in clinical trials and with recent/imminent approvals, as well as other innovative molecules with promising antifungal activity. Structure–activity relationship (SAR) studies are displayed whenever possible. The azole moiety is brought over as a privileged structure, with multiple different compounds emerging with distinct pharmacophores and SAR. Particularly, 1,2,3-triazole natural product conjugates emerged in the last years, presenting promising antifungal activity and a broad spectrum against various fungi.","container-title":"Pharmaceuticals","DOI":"10.3390/ph15111427","ISSN":"1424-8247","issue":"11","language":"en","license":"http://creativecommons.org/licenses/by/3.0/","note":"publisher: Multidisciplinary Digital Publishing Institute","page":"1427","source":"www.mdpi.com","title":"New Antifungal Agents with Azole Moieties","volume":"15","author":[{"family":"Teixeira","given":"Melissa Martins"},{"family":"Carvalho","given":"Diogo Teixeira"},{"family":"Sousa","given":"Emília"},{"family":"Pinto","given":"Eugénia"}],"issued":{"date-parts":[["2022",11]]}}}],"schema":"https://github.com/citation-style-language/schema/raw/master/csl-citation.json"} </w:instrText>
      </w:r>
      <w:r w:rsidR="00E54A4E">
        <w:rPr>
          <w:rFonts w:ascii="Arial" w:hAnsi="Arial" w:cs="Arial"/>
          <w:color w:val="0432FF"/>
          <w:lang w:val="en-US"/>
        </w:rPr>
        <w:fldChar w:fldCharType="separate"/>
      </w:r>
      <w:r w:rsidR="00E54A4E">
        <w:rPr>
          <w:rFonts w:ascii="Arial" w:hAnsi="Arial" w:cs="Arial"/>
          <w:noProof/>
          <w:color w:val="0432FF"/>
          <w:lang w:val="en-US"/>
        </w:rPr>
        <w:t>(Teixeira et al., 2022)</w:t>
      </w:r>
      <w:r w:rsidR="00E54A4E">
        <w:rPr>
          <w:rFonts w:ascii="Arial" w:hAnsi="Arial" w:cs="Arial"/>
          <w:color w:val="0432FF"/>
          <w:lang w:val="en-US"/>
        </w:rPr>
        <w:fldChar w:fldCharType="end"/>
      </w:r>
      <w:r w:rsidR="00E54A4E">
        <w:rPr>
          <w:rFonts w:ascii="Arial" w:hAnsi="Arial" w:cs="Arial"/>
          <w:color w:val="0432FF"/>
          <w:lang w:val="en-US"/>
        </w:rPr>
        <w:t>.</w:t>
      </w:r>
      <w:r w:rsidR="006B5FB8">
        <w:rPr>
          <w:rFonts w:ascii="Arial" w:hAnsi="Arial" w:cs="Arial"/>
          <w:color w:val="0432FF"/>
          <w:lang w:val="en-US"/>
        </w:rPr>
        <w:t xml:space="preserve"> </w:t>
      </w:r>
      <w:r w:rsidR="00FE247C" w:rsidRPr="00FE247C">
        <w:rPr>
          <w:rFonts w:ascii="Arial" w:hAnsi="Arial" w:cs="Arial"/>
          <w:color w:val="0432FF"/>
          <w:lang w:val="en-US"/>
        </w:rPr>
        <w:t xml:space="preserve">Polyene </w:t>
      </w:r>
      <w:r w:rsidR="00B03D50">
        <w:rPr>
          <w:rFonts w:ascii="Arial" w:hAnsi="Arial" w:cs="Arial"/>
          <w:color w:val="0432FF"/>
          <w:lang w:val="en-US"/>
        </w:rPr>
        <w:t>groups such as</w:t>
      </w:r>
      <w:r w:rsidR="00FE247C" w:rsidRPr="00FE247C">
        <w:rPr>
          <w:rFonts w:ascii="Arial" w:hAnsi="Arial" w:cs="Arial"/>
          <w:color w:val="0432FF"/>
          <w:lang w:val="en-US"/>
        </w:rPr>
        <w:t xml:space="preserve"> </w:t>
      </w:r>
      <w:r w:rsidR="008304C8">
        <w:rPr>
          <w:rFonts w:ascii="Arial" w:hAnsi="Arial" w:cs="Arial"/>
          <w:color w:val="0432FF"/>
          <w:lang w:val="en-US"/>
        </w:rPr>
        <w:t>a</w:t>
      </w:r>
      <w:r w:rsidR="00FE247C" w:rsidRPr="00FE247C">
        <w:rPr>
          <w:rFonts w:ascii="Arial" w:hAnsi="Arial" w:cs="Arial"/>
          <w:color w:val="0432FF"/>
          <w:lang w:val="en-US"/>
        </w:rPr>
        <w:t>mphotericin</w:t>
      </w:r>
      <w:r w:rsidR="008304C8">
        <w:rPr>
          <w:rFonts w:ascii="Arial" w:hAnsi="Arial" w:cs="Arial"/>
          <w:color w:val="0432FF"/>
          <w:lang w:val="en-US"/>
        </w:rPr>
        <w:t xml:space="preserve"> </w:t>
      </w:r>
      <w:r w:rsidR="00F515FD">
        <w:rPr>
          <w:rFonts w:ascii="Arial" w:hAnsi="Arial" w:cs="Arial"/>
          <w:color w:val="0432FF"/>
          <w:lang w:val="en-US"/>
        </w:rPr>
        <w:t xml:space="preserve">B </w:t>
      </w:r>
      <w:r w:rsidR="008304C8">
        <w:rPr>
          <w:rFonts w:ascii="Arial" w:hAnsi="Arial" w:cs="Arial"/>
          <w:color w:val="0432FF"/>
          <w:lang w:val="en-US"/>
        </w:rPr>
        <w:t>and</w:t>
      </w:r>
      <w:r w:rsidR="00FE247C" w:rsidRPr="00FE247C">
        <w:rPr>
          <w:rFonts w:ascii="Arial" w:hAnsi="Arial" w:cs="Arial"/>
          <w:color w:val="0432FF"/>
          <w:lang w:val="en-US"/>
        </w:rPr>
        <w:t xml:space="preserve"> nystatin </w:t>
      </w:r>
      <w:r w:rsidR="00A34497">
        <w:rPr>
          <w:rFonts w:ascii="Arial" w:hAnsi="Arial" w:cs="Arial"/>
          <w:color w:val="0432FF"/>
          <w:lang w:val="en-US"/>
        </w:rPr>
        <w:t xml:space="preserve">make pores within fungal cell membrane due to </w:t>
      </w:r>
      <w:r w:rsidR="00FE247C" w:rsidRPr="00FE247C">
        <w:rPr>
          <w:rFonts w:ascii="Arial" w:hAnsi="Arial" w:cs="Arial"/>
          <w:color w:val="0432FF"/>
          <w:lang w:val="en-US"/>
        </w:rPr>
        <w:t>interact</w:t>
      </w:r>
      <w:r w:rsidR="00A34497">
        <w:rPr>
          <w:rFonts w:ascii="Arial" w:hAnsi="Arial" w:cs="Arial"/>
          <w:color w:val="0432FF"/>
          <w:lang w:val="en-US"/>
        </w:rPr>
        <w:t>ion</w:t>
      </w:r>
      <w:r w:rsidR="00FE247C" w:rsidRPr="00FE247C">
        <w:rPr>
          <w:rFonts w:ascii="Arial" w:hAnsi="Arial" w:cs="Arial"/>
          <w:color w:val="0432FF"/>
          <w:lang w:val="en-US"/>
        </w:rPr>
        <w:t xml:space="preserve"> with sterols</w:t>
      </w:r>
      <w:r w:rsidR="00A34497">
        <w:rPr>
          <w:rFonts w:ascii="Arial" w:hAnsi="Arial" w:cs="Arial"/>
          <w:color w:val="0432FF"/>
          <w:lang w:val="en-US"/>
        </w:rPr>
        <w:t xml:space="preserve"> leading to </w:t>
      </w:r>
      <w:r w:rsidR="00FE247C" w:rsidRPr="00FE247C">
        <w:rPr>
          <w:rFonts w:ascii="Arial" w:hAnsi="Arial" w:cs="Arial"/>
          <w:color w:val="0432FF"/>
          <w:lang w:val="en-US"/>
        </w:rPr>
        <w:t xml:space="preserve">leak </w:t>
      </w:r>
      <w:r w:rsidR="00491090">
        <w:rPr>
          <w:rFonts w:ascii="Arial" w:hAnsi="Arial" w:cs="Arial"/>
          <w:color w:val="0432FF"/>
          <w:lang w:val="en-US"/>
        </w:rPr>
        <w:t xml:space="preserve">cytoplasmic components </w:t>
      </w:r>
      <w:r w:rsidR="00FE247C" w:rsidRPr="00FE247C">
        <w:rPr>
          <w:rFonts w:ascii="Arial" w:hAnsi="Arial" w:cs="Arial"/>
          <w:color w:val="0432FF"/>
          <w:lang w:val="en-US"/>
        </w:rPr>
        <w:t>from the inside of the outside</w:t>
      </w:r>
      <w:r w:rsidR="000A23CC">
        <w:rPr>
          <w:rFonts w:ascii="Arial" w:hAnsi="Arial" w:cs="Arial"/>
          <w:color w:val="0432FF"/>
          <w:lang w:val="en-US"/>
        </w:rPr>
        <w:t xml:space="preserve"> </w:t>
      </w:r>
      <w:r w:rsidR="000A23CC" w:rsidRPr="00AB5194">
        <w:rPr>
          <w:rFonts w:ascii="Arial" w:hAnsi="Arial" w:cs="Arial"/>
          <w:color w:val="0432FF"/>
          <w:lang w:val="en-US"/>
        </w:rPr>
        <w:t xml:space="preserve">and </w:t>
      </w:r>
      <w:r w:rsidR="0085537F">
        <w:rPr>
          <w:rFonts w:ascii="Arial" w:hAnsi="Arial" w:cs="Arial"/>
          <w:color w:val="0432FF"/>
          <w:lang w:val="en-US"/>
        </w:rPr>
        <w:t xml:space="preserve">then </w:t>
      </w:r>
      <w:r w:rsidR="000A23CC" w:rsidRPr="00AB5194">
        <w:rPr>
          <w:rFonts w:ascii="Arial" w:hAnsi="Arial" w:cs="Arial"/>
          <w:color w:val="0432FF"/>
          <w:lang w:val="en-US"/>
        </w:rPr>
        <w:t>cell death</w:t>
      </w:r>
      <w:r w:rsidR="00F02BAD">
        <w:rPr>
          <w:rFonts w:ascii="Arial" w:hAnsi="Arial" w:cs="Arial"/>
          <w:color w:val="0432FF"/>
          <w:lang w:val="en-US"/>
        </w:rPr>
        <w:t xml:space="preserve"> </w:t>
      </w:r>
      <w:r w:rsidR="009279D3">
        <w:rPr>
          <w:rFonts w:ascii="Arial" w:hAnsi="Arial" w:cs="Arial"/>
          <w:color w:val="0432FF"/>
          <w:lang w:val="en-US"/>
        </w:rPr>
        <w:fldChar w:fldCharType="begin"/>
      </w:r>
      <w:r w:rsidR="009279D3">
        <w:rPr>
          <w:rFonts w:ascii="Arial" w:hAnsi="Arial" w:cs="Arial"/>
          <w:color w:val="0432FF"/>
          <w:lang w:val="en-US"/>
        </w:rPr>
        <w:instrText xml:space="preserve"> ADDIN ZOTERO_ITEM CSL_CITATION {"citationID":"18dt6svA","properties":{"formattedCitation":"(Carolus et al., 2020)","plainCitation":"(Carolus et al., 2020)","noteIndex":0},"citationItems":[{"id":8727,"uris":["http://zotero.org/users/2543086/items/MEZJLHU4"],"itemData":{"id":8727,"type":"article-journal","abstract":"Although polyenes were the first broad spectrum antifungal drugs on the market, after 70 years they are still the gold standard to treat a variety of fungal infections. Polyenes such as amphotericin B have a controversial image. They are the antifungal drug class with the broadest spectrum, resistance development is still relatively rare and fungicidal properties are extensive. Yet, they come with a significant host toxicity that limits their use. Relatively recently, the mode of action of polyenes has been revised, new mechanisms of drug resistance were discovered and emergent polyene resistant species such as Candida auris entered the picture. This review provides a short description of the history and clinical use of polyenes, and focusses on the ongoing debate concerning their mode of action, the diversity of resistance mechanisms discovered to date and the most recent trends in polyene resistance development.","container-title":"Journal of Fungi","DOI":"10.3390/jof6040321","ISSN":"2309-608X","issue":"4","journalAbbreviation":"J Fungi (Basel)","note":"PMID: 33261213\nPMCID: PMC7724567","page":"321","source":"PubMed Central","title":"Amphotericin B and Other Polyenes—Discovery, Clinical Use, Mode of Action and Drug Resistance","volume":"6","author":[{"family":"Carolus","given":"Hans"},{"family":"Pierson","given":"Siebe"},{"family":"Lagrou","given":"Katrien"},{"family":"Van Dijck","given":"Patrick"}],"issued":{"date-parts":[["2020",11,27]]}}}],"schema":"https://github.com/citation-style-language/schema/raw/master/csl-citation.json"} </w:instrText>
      </w:r>
      <w:r w:rsidR="009279D3">
        <w:rPr>
          <w:rFonts w:ascii="Arial" w:hAnsi="Arial" w:cs="Arial"/>
          <w:color w:val="0432FF"/>
          <w:lang w:val="en-US"/>
        </w:rPr>
        <w:fldChar w:fldCharType="separate"/>
      </w:r>
      <w:r w:rsidR="009279D3">
        <w:rPr>
          <w:rFonts w:ascii="Arial" w:hAnsi="Arial" w:cs="Arial"/>
          <w:noProof/>
          <w:color w:val="0432FF"/>
          <w:lang w:val="en-US"/>
        </w:rPr>
        <w:t>(Carolus et al., 2020)</w:t>
      </w:r>
      <w:r w:rsidR="009279D3">
        <w:rPr>
          <w:rFonts w:ascii="Arial" w:hAnsi="Arial" w:cs="Arial"/>
          <w:color w:val="0432FF"/>
          <w:lang w:val="en-US"/>
        </w:rPr>
        <w:fldChar w:fldCharType="end"/>
      </w:r>
      <w:r w:rsidR="009279D3">
        <w:rPr>
          <w:rFonts w:ascii="Arial" w:hAnsi="Arial" w:cs="Arial"/>
          <w:color w:val="0432FF"/>
          <w:lang w:val="en-US"/>
        </w:rPr>
        <w:t>.</w:t>
      </w:r>
      <w:r w:rsidR="006B5FB8">
        <w:rPr>
          <w:rFonts w:ascii="Arial" w:hAnsi="Arial" w:cs="Arial"/>
          <w:color w:val="0432FF"/>
          <w:lang w:val="en-US"/>
        </w:rPr>
        <w:t xml:space="preserve"> </w:t>
      </w:r>
      <w:proofErr w:type="spellStart"/>
      <w:r w:rsidR="00361BB5" w:rsidRPr="00072407">
        <w:rPr>
          <w:rFonts w:ascii="Arial" w:hAnsi="Arial" w:cs="Arial"/>
          <w:color w:val="0432FF"/>
          <w:lang w:val="en-US"/>
        </w:rPr>
        <w:t>Caspofungin</w:t>
      </w:r>
      <w:proofErr w:type="spellEnd"/>
      <w:r w:rsidR="00361BB5" w:rsidRPr="00072407">
        <w:rPr>
          <w:rFonts w:ascii="Arial" w:hAnsi="Arial" w:cs="Arial"/>
          <w:color w:val="0432FF"/>
          <w:lang w:val="en-US"/>
        </w:rPr>
        <w:t xml:space="preserve">, micafungin, anidulafungin and </w:t>
      </w:r>
      <w:proofErr w:type="spellStart"/>
      <w:r w:rsidR="00361BB5" w:rsidRPr="00072407">
        <w:rPr>
          <w:rFonts w:ascii="Arial" w:hAnsi="Arial" w:cs="Arial"/>
          <w:color w:val="0432FF"/>
          <w:lang w:val="en-US"/>
        </w:rPr>
        <w:t>rezafungin</w:t>
      </w:r>
      <w:proofErr w:type="spellEnd"/>
      <w:r w:rsidR="00361BB5" w:rsidRPr="00072407">
        <w:rPr>
          <w:rFonts w:ascii="Arial" w:hAnsi="Arial" w:cs="Arial"/>
          <w:color w:val="0432FF"/>
          <w:lang w:val="en-US"/>
        </w:rPr>
        <w:t xml:space="preserve"> are semisynthetic cyclic lipopeptides</w:t>
      </w:r>
      <w:r w:rsidR="00EE2A7D">
        <w:rPr>
          <w:rFonts w:ascii="Arial" w:hAnsi="Arial" w:cs="Arial"/>
          <w:color w:val="0432FF"/>
          <w:lang w:val="en-US"/>
        </w:rPr>
        <w:t xml:space="preserve">, these are belonged to </w:t>
      </w:r>
      <w:r w:rsidR="00EE2A7D" w:rsidRPr="00072407">
        <w:rPr>
          <w:rFonts w:ascii="Arial" w:hAnsi="Arial" w:cs="Arial"/>
          <w:color w:val="0432FF"/>
          <w:lang w:val="en-US"/>
        </w:rPr>
        <w:t>echinocandins</w:t>
      </w:r>
      <w:r w:rsidR="00BA5415">
        <w:rPr>
          <w:rFonts w:ascii="Arial" w:hAnsi="Arial" w:cs="Arial"/>
          <w:color w:val="0432FF"/>
          <w:lang w:val="en-US"/>
        </w:rPr>
        <w:t>.</w:t>
      </w:r>
      <w:r w:rsidR="00EE2A7D">
        <w:rPr>
          <w:rFonts w:ascii="Arial" w:hAnsi="Arial" w:cs="Arial"/>
          <w:color w:val="0432FF"/>
          <w:lang w:val="en-US"/>
        </w:rPr>
        <w:t xml:space="preserve"> </w:t>
      </w:r>
      <w:r w:rsidR="00BA5415">
        <w:rPr>
          <w:rFonts w:ascii="Arial" w:hAnsi="Arial" w:cs="Arial"/>
          <w:color w:val="0432FF"/>
          <w:lang w:val="en-US"/>
        </w:rPr>
        <w:t>Th</w:t>
      </w:r>
      <w:r w:rsidR="00543B76">
        <w:rPr>
          <w:rFonts w:ascii="Arial" w:hAnsi="Arial" w:cs="Arial"/>
          <w:color w:val="0432FF"/>
          <w:lang w:val="en-US"/>
        </w:rPr>
        <w:t>ese antifungals</w:t>
      </w:r>
      <w:r w:rsidR="000D2862">
        <w:rPr>
          <w:rFonts w:ascii="Arial" w:hAnsi="Arial" w:cs="Arial"/>
          <w:color w:val="0432FF"/>
          <w:lang w:val="en-US"/>
        </w:rPr>
        <w:t xml:space="preserve"> </w:t>
      </w:r>
      <w:r w:rsidR="00072407" w:rsidRPr="00072407">
        <w:rPr>
          <w:rFonts w:ascii="Arial" w:hAnsi="Arial" w:cs="Arial"/>
          <w:color w:val="0432FF"/>
          <w:lang w:val="en-US"/>
        </w:rPr>
        <w:t xml:space="preserve">inhibit </w:t>
      </w:r>
      <w:r w:rsidR="003536C5" w:rsidRPr="00072407">
        <w:rPr>
          <w:rFonts w:ascii="Arial" w:hAnsi="Arial" w:cs="Arial"/>
          <w:color w:val="0432FF"/>
          <w:lang w:val="en-US"/>
        </w:rPr>
        <w:t xml:space="preserve">fungal cell wall </w:t>
      </w:r>
      <w:r w:rsidR="003536C5">
        <w:rPr>
          <w:rFonts w:ascii="Arial" w:hAnsi="Arial" w:cs="Arial"/>
          <w:color w:val="0432FF"/>
          <w:lang w:val="en-US"/>
        </w:rPr>
        <w:t xml:space="preserve">formation via inhibiting </w:t>
      </w:r>
      <w:r w:rsidR="00072407" w:rsidRPr="00072407">
        <w:rPr>
          <w:rFonts w:ascii="Arial" w:hAnsi="Arial" w:cs="Arial"/>
          <w:color w:val="0432FF"/>
          <w:lang w:val="en-US"/>
        </w:rPr>
        <w:t>β-(1,3)-d-glucan synthesis</w:t>
      </w:r>
      <w:r w:rsidR="00BF50D4">
        <w:rPr>
          <w:rFonts w:ascii="Arial" w:hAnsi="Arial" w:cs="Arial"/>
          <w:color w:val="0432FF"/>
          <w:lang w:val="en-US"/>
        </w:rPr>
        <w:t xml:space="preserve"> </w:t>
      </w:r>
      <w:r w:rsidR="00960E6F">
        <w:rPr>
          <w:rFonts w:ascii="Arial" w:hAnsi="Arial" w:cs="Arial"/>
          <w:color w:val="0432FF"/>
          <w:lang w:val="en-US"/>
        </w:rPr>
        <w:fldChar w:fldCharType="begin"/>
      </w:r>
      <w:r w:rsidR="00960E6F">
        <w:rPr>
          <w:rFonts w:ascii="Arial" w:hAnsi="Arial" w:cs="Arial"/>
          <w:color w:val="0432FF"/>
          <w:lang w:val="en-US"/>
        </w:rPr>
        <w:instrText xml:space="preserve"> ADDIN ZOTERO_ITEM CSL_CITATION {"citationID":"YZ7TK103","properties":{"formattedCitation":"(Szyma\\uc0\\u324{}ski et al., 2022)","plainCitation":"(Szymański et al., 2022)","noteIndex":0},"citationItems":[{"id":8730,"uris":["http://zotero.org/users/2543086/items/FJYEDR49"],"itemData":{"id":8730,"type":"article-journal","abstract":"With increasing number of immunocompromised patients as well as drug resistance in fungi, the risk of fatal fungal infections in humans increases as well. The action of echinocandins is based on the inhibition of β-(1,3)-d-glucan synthesis that builds the fungal cell wall. Caspofungin, micafungin, anidulafungin and rezafungin are semi-synthetic cyclic lipopeptides. Their specific chemical structure possess a potential to obtain novel derivatives with better pharmacological properties resulting in more effective treatment, especially in infections caused by Candida and Aspergillus species. In this review we summarise information about echinocandins with closer look on their chemical structure, mechanism of action, drug resistance and usage in clinical practice. We also introduce actual trends in modification of this antifungals as well as new methods of their administration, and additional use in viral and bacterial infections.","container-title":"Journal of Enzyme Inhibition and Medicinal Chemistry","DOI":"10.1080/14756366.2022.2050224","ISSN":"1475-6366","issue":"1","note":"publisher: Taylor &amp; Francis\n_eprint: https://doi.org/10.1080/14756366.2022.2050224\nPMID: 35296203","page":"876-894","source":"Taylor and Francis+NEJM","title":"Echinocandins – structure, mechanism of action and use in antifungal therapy","volume":"37","author":[{"family":"Szymański","given":"Mateusz"},{"family":"Chmielewska","given":"Sandra"},{"family":"Czyżewska","given":"Urszula"},{"family":"Malinowska","given":"Marta"},{"family":"Tylicki","given":"Adam"}],"issued":{"date-parts":[["2022",12,31]]}}}],"schema":"https://github.com/citation-style-language/schema/raw/master/csl-citation.json"} </w:instrText>
      </w:r>
      <w:r w:rsidR="00960E6F">
        <w:rPr>
          <w:rFonts w:ascii="Arial" w:hAnsi="Arial" w:cs="Arial"/>
          <w:color w:val="0432FF"/>
          <w:lang w:val="en-US"/>
        </w:rPr>
        <w:fldChar w:fldCharType="separate"/>
      </w:r>
      <w:r w:rsidR="00960E6F" w:rsidRPr="00960E6F">
        <w:rPr>
          <w:rFonts w:ascii="Arial" w:eastAsiaTheme="minorHAnsi" w:hAnsi="Arial" w:cs="Arial"/>
          <w:color w:val="0000FF"/>
          <w:lang w:eastAsia="en-US"/>
          <w14:ligatures w14:val="standardContextual"/>
        </w:rPr>
        <w:t>(Szymański et al., 2022)</w:t>
      </w:r>
      <w:r w:rsidR="00960E6F">
        <w:rPr>
          <w:rFonts w:ascii="Arial" w:hAnsi="Arial" w:cs="Arial"/>
          <w:color w:val="0432FF"/>
          <w:lang w:val="en-US"/>
        </w:rPr>
        <w:fldChar w:fldCharType="end"/>
      </w:r>
      <w:r w:rsidR="00960E6F">
        <w:rPr>
          <w:rFonts w:ascii="Arial" w:hAnsi="Arial" w:cs="Arial"/>
          <w:color w:val="0432FF"/>
          <w:lang w:val="en-US"/>
        </w:rPr>
        <w:t>.</w:t>
      </w:r>
      <w:r w:rsidR="006B5FB8">
        <w:rPr>
          <w:rFonts w:ascii="Arial" w:hAnsi="Arial" w:cs="Arial"/>
          <w:color w:val="0432FF"/>
          <w:lang w:val="en-US"/>
        </w:rPr>
        <w:t xml:space="preserve"> </w:t>
      </w:r>
      <w:r w:rsidR="00C51FE9">
        <w:rPr>
          <w:rFonts w:ascii="Arial" w:hAnsi="Arial" w:cs="Arial"/>
          <w:color w:val="0432FF"/>
          <w:lang w:val="en-US"/>
        </w:rPr>
        <w:t>A</w:t>
      </w:r>
      <w:r w:rsidR="00C51FE9" w:rsidRPr="00AB5194">
        <w:rPr>
          <w:rFonts w:ascii="Arial" w:hAnsi="Arial" w:cs="Arial"/>
          <w:color w:val="0432FF"/>
          <w:lang w:val="en-US"/>
        </w:rPr>
        <w:t>llylamine drugs</w:t>
      </w:r>
      <w:r w:rsidR="00C51FE9">
        <w:rPr>
          <w:rFonts w:ascii="Arial" w:hAnsi="Arial" w:cs="Arial"/>
          <w:color w:val="0432FF"/>
          <w:lang w:val="en-US"/>
        </w:rPr>
        <w:t xml:space="preserve"> such as </w:t>
      </w:r>
      <w:r w:rsidR="00C51FE9" w:rsidRPr="003C12D3">
        <w:rPr>
          <w:rFonts w:ascii="Arial" w:hAnsi="Arial" w:cs="Arial"/>
          <w:color w:val="0432FF"/>
          <w:lang w:val="en-US"/>
        </w:rPr>
        <w:t xml:space="preserve">terbinafine </w:t>
      </w:r>
      <w:r w:rsidR="006F212D">
        <w:rPr>
          <w:rFonts w:ascii="Arial" w:hAnsi="Arial" w:cs="Arial"/>
          <w:color w:val="0432FF"/>
          <w:lang w:val="en-US"/>
        </w:rPr>
        <w:t xml:space="preserve">able to </w:t>
      </w:r>
      <w:r w:rsidR="00C51FE9" w:rsidRPr="003C12D3">
        <w:rPr>
          <w:rFonts w:ascii="Arial" w:hAnsi="Arial" w:cs="Arial"/>
          <w:color w:val="0432FF"/>
          <w:lang w:val="en-US"/>
        </w:rPr>
        <w:t>inhibit squalene epoxidase that converts squalene to lanosterol</w:t>
      </w:r>
      <w:r w:rsidR="00FB19BE">
        <w:rPr>
          <w:rFonts w:ascii="Arial" w:hAnsi="Arial" w:cs="Arial"/>
          <w:color w:val="0432FF"/>
          <w:lang w:val="en-US"/>
        </w:rPr>
        <w:t xml:space="preserve"> </w:t>
      </w:r>
      <w:r w:rsidR="00BA3909">
        <w:rPr>
          <w:rFonts w:ascii="Arial" w:hAnsi="Arial" w:cs="Arial"/>
          <w:color w:val="0432FF"/>
          <w:lang w:val="en-US"/>
        </w:rPr>
        <w:fldChar w:fldCharType="begin"/>
      </w:r>
      <w:r w:rsidR="00BA3909">
        <w:rPr>
          <w:rFonts w:ascii="Arial" w:hAnsi="Arial" w:cs="Arial"/>
          <w:color w:val="0432FF"/>
          <w:lang w:val="en-US"/>
        </w:rPr>
        <w:instrText xml:space="preserve"> ADDIN ZOTERO_ITEM CSL_CITATION {"citationID":"31nazTbi","properties":{"formattedCitation":"(Hammoudi Halat et al., 2022)","plainCitation":"(Hammoudi Halat et al., 2022)","noteIndex":0},"citationItems":[{"id":8732,"uris":["http://zotero.org/users/2543086/items/LTN9F2CC"],"itemData":{"id":8732,"type":"article-journal","abstract":"Allylamines, naftifine and terbinafine, and the benzylamine, butenafine, are antifungal agents with activity on the fungal cell membrane. These synthetic compounds specifically inhibit squalene epoxidase, a key enzyme in fungal sterol biosynthesis. This results in a deficiency in ergosterol, a major fungal membrane sterol that regulates membrane fluidity, biogenesis, and functions, and whose damage results in increased membrane permeability and leakage of cellular components, ultimately leading to fungal cell death. With the fungal cell membrane being predominantly made up of lipids including sterols, these lipids have a vital role in the pathogenesis of fungal infections and the identification of improved therapies. This review will focus on the fungal cell membrane structure, activity of allylamines and benzylamines, and the mechanistic damage they cause to the membrane. Furthermore, pharmaceutical preparations and clinical uses of these drugs, mainly in dermatophyte infections, will be reviewed.","container-title":"Membranes","DOI":"10.3390/membranes12121171","ISSN":"2077-0375","issue":"12","language":"en","license":"http://creativecommons.org/licenses/by/3.0/","note":"publisher: Multidisciplinary Digital Publishing Institute","page":"1171","source":"www.mdpi.com","title":"Allylamines, Benzylamines, and Fungal Cell Permeability: A Review of Mechanistic Effects and Usefulness against Fungal Pathogens","title-short":"Allylamines, Benzylamines, and Fungal Cell Permeability","volume":"12","author":[{"family":"Hammoudi Halat","given":"Dalal"},{"family":"Younes","given":"Samar"},{"family":"Mourad","given":"Nisreen"},{"family":"Rahal","given":"Mohamad"}],"issued":{"date-parts":[["2022",12]]}}}],"schema":"https://github.com/citation-style-language/schema/raw/master/csl-citation.json"} </w:instrText>
      </w:r>
      <w:r w:rsidR="00BA3909">
        <w:rPr>
          <w:rFonts w:ascii="Arial" w:hAnsi="Arial" w:cs="Arial"/>
          <w:color w:val="0432FF"/>
          <w:lang w:val="en-US"/>
        </w:rPr>
        <w:fldChar w:fldCharType="separate"/>
      </w:r>
      <w:r w:rsidR="00BA3909">
        <w:rPr>
          <w:rFonts w:ascii="Arial" w:hAnsi="Arial" w:cs="Arial"/>
          <w:noProof/>
          <w:color w:val="0432FF"/>
          <w:lang w:val="en-US"/>
        </w:rPr>
        <w:t>(Hammoudi Halat et al., 2022)</w:t>
      </w:r>
      <w:r w:rsidR="00BA3909">
        <w:rPr>
          <w:rFonts w:ascii="Arial" w:hAnsi="Arial" w:cs="Arial"/>
          <w:color w:val="0432FF"/>
          <w:lang w:val="en-US"/>
        </w:rPr>
        <w:fldChar w:fldCharType="end"/>
      </w:r>
      <w:r w:rsidR="00BA3909">
        <w:rPr>
          <w:rFonts w:ascii="Arial" w:hAnsi="Arial" w:cs="Arial"/>
          <w:color w:val="0432FF"/>
          <w:lang w:val="en-US"/>
        </w:rPr>
        <w:t>.</w:t>
      </w:r>
      <w:r w:rsidR="006B5FB8">
        <w:rPr>
          <w:rFonts w:ascii="Arial" w:hAnsi="Arial" w:cs="Arial"/>
          <w:color w:val="0432FF"/>
          <w:lang w:val="en-US"/>
        </w:rPr>
        <w:t xml:space="preserve"> </w:t>
      </w:r>
      <w:r w:rsidR="00230521" w:rsidRPr="00AB5194">
        <w:rPr>
          <w:rFonts w:ascii="Arial" w:hAnsi="Arial" w:cs="Arial"/>
          <w:color w:val="0432FF"/>
          <w:lang w:val="en-US"/>
        </w:rPr>
        <w:t xml:space="preserve">5-fluorocytosine </w:t>
      </w:r>
      <w:r w:rsidR="00230521">
        <w:rPr>
          <w:rFonts w:ascii="Arial" w:hAnsi="Arial" w:cs="Arial"/>
          <w:color w:val="0432FF"/>
          <w:lang w:val="en-US"/>
        </w:rPr>
        <w:t>(</w:t>
      </w:r>
      <w:r w:rsidR="00230521" w:rsidRPr="00AB5194">
        <w:rPr>
          <w:rFonts w:ascii="Arial" w:hAnsi="Arial" w:cs="Arial"/>
          <w:color w:val="0432FF"/>
          <w:lang w:val="en-US"/>
        </w:rPr>
        <w:t>5-FC</w:t>
      </w:r>
      <w:r w:rsidR="00230521">
        <w:rPr>
          <w:rFonts w:ascii="Arial" w:hAnsi="Arial" w:cs="Arial"/>
          <w:color w:val="0432FF"/>
          <w:lang w:val="en-US"/>
        </w:rPr>
        <w:t xml:space="preserve">) is a typical example of </w:t>
      </w:r>
      <w:r w:rsidR="00230521" w:rsidRPr="00230521">
        <w:rPr>
          <w:rFonts w:ascii="Arial" w:hAnsi="Arial" w:cs="Arial"/>
          <w:color w:val="0432FF"/>
          <w:lang w:val="en-US"/>
        </w:rPr>
        <w:t>pyrimidine analogue</w:t>
      </w:r>
      <w:r w:rsidR="004712A4">
        <w:rPr>
          <w:rFonts w:ascii="Arial" w:hAnsi="Arial" w:cs="Arial"/>
          <w:color w:val="0432FF"/>
          <w:lang w:val="en-US"/>
        </w:rPr>
        <w:t xml:space="preserve"> that is interferes with fungal nucleic acid, which include </w:t>
      </w:r>
      <w:r w:rsidR="00D57F04">
        <w:rPr>
          <w:rFonts w:ascii="Arial" w:hAnsi="Arial" w:cs="Arial"/>
          <w:color w:val="0432FF"/>
          <w:lang w:val="en-US"/>
        </w:rPr>
        <w:t>deoxyribonucleic</w:t>
      </w:r>
      <w:r w:rsidR="004712A4">
        <w:rPr>
          <w:rFonts w:ascii="Arial" w:hAnsi="Arial" w:cs="Arial"/>
          <w:color w:val="0432FF"/>
          <w:lang w:val="en-US"/>
        </w:rPr>
        <w:t xml:space="preserve"> acid </w:t>
      </w:r>
      <w:r w:rsidR="006F682C">
        <w:rPr>
          <w:rFonts w:ascii="Arial" w:hAnsi="Arial" w:cs="Arial"/>
          <w:color w:val="0432FF"/>
          <w:lang w:val="en-US"/>
        </w:rPr>
        <w:t>(</w:t>
      </w:r>
      <w:r w:rsidR="004712A4">
        <w:rPr>
          <w:rFonts w:ascii="Arial" w:hAnsi="Arial" w:cs="Arial"/>
          <w:color w:val="0432FF"/>
          <w:lang w:val="en-US"/>
        </w:rPr>
        <w:t>DNA</w:t>
      </w:r>
      <w:r w:rsidR="006F682C">
        <w:rPr>
          <w:rFonts w:ascii="Arial" w:hAnsi="Arial" w:cs="Arial"/>
          <w:color w:val="0432FF"/>
          <w:lang w:val="en-US"/>
        </w:rPr>
        <w:t>)</w:t>
      </w:r>
      <w:r w:rsidR="004712A4">
        <w:rPr>
          <w:rFonts w:ascii="Arial" w:hAnsi="Arial" w:cs="Arial"/>
          <w:color w:val="0432FF"/>
          <w:lang w:val="en-US"/>
        </w:rPr>
        <w:t xml:space="preserve"> and </w:t>
      </w:r>
      <w:r w:rsidR="004712A4" w:rsidRPr="004712A4">
        <w:rPr>
          <w:rFonts w:ascii="Arial" w:hAnsi="Arial" w:cs="Arial"/>
          <w:color w:val="0432FF"/>
          <w:lang w:val="en-US"/>
        </w:rPr>
        <w:t>Ribonucleic</w:t>
      </w:r>
      <w:r w:rsidR="004712A4">
        <w:rPr>
          <w:rFonts w:ascii="Arial" w:hAnsi="Arial" w:cs="Arial"/>
          <w:color w:val="0432FF"/>
          <w:lang w:val="en-US"/>
        </w:rPr>
        <w:t xml:space="preserve"> acid (RNA)</w:t>
      </w:r>
      <w:r w:rsidR="000B5F93">
        <w:rPr>
          <w:rFonts w:ascii="Arial" w:hAnsi="Arial" w:cs="Arial"/>
          <w:color w:val="0432FF"/>
          <w:lang w:val="en-US"/>
        </w:rPr>
        <w:t>,</w:t>
      </w:r>
      <w:r w:rsidR="00541483">
        <w:rPr>
          <w:rFonts w:ascii="Arial" w:hAnsi="Arial" w:cs="Arial"/>
          <w:color w:val="0432FF"/>
          <w:lang w:val="en-US"/>
        </w:rPr>
        <w:t xml:space="preserve"> replication and proteins synthesis</w:t>
      </w:r>
      <w:bookmarkEnd w:id="1"/>
      <w:r w:rsidR="00D02198">
        <w:rPr>
          <w:rFonts w:ascii="Arial" w:hAnsi="Arial" w:cs="Arial"/>
          <w:color w:val="0432FF"/>
          <w:lang w:val="en-US"/>
        </w:rPr>
        <w:t xml:space="preserve"> </w:t>
      </w:r>
      <w:r w:rsidR="00593746">
        <w:rPr>
          <w:rFonts w:ascii="Arial" w:hAnsi="Arial" w:cs="Arial"/>
          <w:color w:val="0432FF"/>
          <w:lang w:val="en-US"/>
        </w:rPr>
        <w:fldChar w:fldCharType="begin"/>
      </w:r>
      <w:r w:rsidR="00593746">
        <w:rPr>
          <w:rFonts w:ascii="Arial" w:hAnsi="Arial" w:cs="Arial"/>
          <w:color w:val="0432FF"/>
          <w:lang w:val="en-US"/>
        </w:rPr>
        <w:instrText xml:space="preserve"> ADDIN ZOTERO_ITEM CSL_CITATION {"citationID":"D1tEKzPX","properties":{"formattedCitation":"(Billmyre et al., 2020)","plainCitation":"(Billmyre et al., 2020)","noteIndex":0},"citationItems":[{"id":8734,"uris":["http://zotero.org/users/2543086/items/4L6IN6IQ"],"itemData":{"id":8734,"type":"article-journal","abstract":"Patients infected with the fungal pathogen Cryptococcus are most effectively treated with a combination of 5-fluorocytosine (5FC) and amphotericin B. 5FC acts as a prodrug, which is converted into toxic 5-fluorouracil (5FU) upon uptake into fungal cells. However, the pathogen frequently develops resistance through unclear mechanisms. Here we show that resistance to 5FC in Cryptococcus deuterogattii is acquired more frequently in isolates with defects in DNA mismatch repair that confer an elevated mutation rate. We use whole genome sequencing of 16 independent isolates to identify mutations associated with 5FC resistance in vitro. We find mutations in known resistance genes (FUR1 and FCY2) and in a gene UXS1, previously shown to encode an enzyme that converts UDP-glucuronic acid to UDP-xylose for capsule biosynthesis, but not known to play a role in 5FC metabolism. Mutations in UXS1 lead to accumulation of UDP-glucuronic acid and alterations in nucleotide metabolism, which appear to suppress toxicity of both 5FC and its toxic derivative 5FU.","container-title":"Nature Communications","DOI":"10.1038/s41467-019-13890-z","ISSN":"2041-1723","issue":"1","journalAbbreviation":"Nat Commun","language":"en","license":"2020 The Author(s)","note":"publisher: Nature Publishing Group","page":"127","source":"www.nature.com","title":"5-fluorocytosine resistance is associated with hypermutation and alterations in capsule biosynthesis in Cryptococcus","volume":"11","author":[{"family":"Billmyre","given":"R. Blake"},{"family":"Applen Clancey","given":"Shelly"},{"family":"Li","given":"Lucy X."},{"family":"Doering","given":"Tamara L."},{"family":"Heitman","given":"Joseph"}],"issued":{"date-parts":[["2020",1,8]]}}}],"schema":"https://github.com/citation-style-language/schema/raw/master/csl-citation.json"} </w:instrText>
      </w:r>
      <w:r w:rsidR="00593746">
        <w:rPr>
          <w:rFonts w:ascii="Arial" w:hAnsi="Arial" w:cs="Arial"/>
          <w:color w:val="0432FF"/>
          <w:lang w:val="en-US"/>
        </w:rPr>
        <w:fldChar w:fldCharType="separate"/>
      </w:r>
      <w:r w:rsidR="00593746">
        <w:rPr>
          <w:rFonts w:ascii="Arial" w:hAnsi="Arial" w:cs="Arial"/>
          <w:noProof/>
          <w:color w:val="0432FF"/>
          <w:lang w:val="en-US"/>
        </w:rPr>
        <w:t>(Billmyre et al., 2020)</w:t>
      </w:r>
      <w:r w:rsidR="00593746">
        <w:rPr>
          <w:rFonts w:ascii="Arial" w:hAnsi="Arial" w:cs="Arial"/>
          <w:color w:val="0432FF"/>
          <w:lang w:val="en-US"/>
        </w:rPr>
        <w:fldChar w:fldCharType="end"/>
      </w:r>
      <w:r w:rsidR="00593746">
        <w:rPr>
          <w:rFonts w:ascii="Arial" w:hAnsi="Arial" w:cs="Arial"/>
          <w:color w:val="0432FF"/>
          <w:lang w:val="en-US"/>
        </w:rPr>
        <w:t>.</w:t>
      </w:r>
    </w:p>
    <w:p w14:paraId="39141BC1" w14:textId="2B44F94A" w:rsidR="00C67F3B" w:rsidRPr="00D73B21" w:rsidRDefault="00CA0438" w:rsidP="00496A5B">
      <w:pPr>
        <w:pStyle w:val="NormalWeb"/>
        <w:spacing w:before="0" w:beforeAutospacing="0" w:after="0" w:afterAutospacing="0" w:line="480" w:lineRule="auto"/>
        <w:jc w:val="both"/>
        <w:rPr>
          <w:rFonts w:ascii="Arial" w:hAnsi="Arial" w:cs="Arial"/>
        </w:rPr>
      </w:pPr>
      <w:r w:rsidRPr="00D73B21">
        <w:rPr>
          <w:rFonts w:ascii="Arial" w:hAnsi="Arial" w:cs="Arial"/>
        </w:rPr>
        <w:t xml:space="preserve">Although the vast majority of fungal species are non-pathogenic to humans, a small proportion have evolved mechanisms that enable them to invade and cause disease in susceptible hosts. These diseases, collectively known as mycosis, range from mild superficial infections to severe invasive and systemic illnesses </w:t>
      </w:r>
      <w:r w:rsidRPr="00D73B21">
        <w:rPr>
          <w:rFonts w:ascii="Arial" w:hAnsi="Arial" w:cs="Arial"/>
        </w:rPr>
        <w:fldChar w:fldCharType="begin"/>
      </w:r>
      <w:r w:rsidRPr="00D73B21">
        <w:rPr>
          <w:rFonts w:ascii="Arial" w:hAnsi="Arial" w:cs="Arial"/>
        </w:rPr>
        <w:instrText xml:space="preserve"> ADDIN ZOTERO_ITEM CSL_CITATION {"citationID":"0FWac1sp","properties":{"formattedCitation":"(Seagle et al., 2021)","plainCitation":"(Seagle et al., 2021)","noteIndex":0},"citationItems":[{"id":8589,"uris":["http://zotero.org/users/2543086/items/CNS3SHDG"],"itemData":{"id":8589,"type":"article-journal","container-title":"Infectious disease clinics of North America","DOI":"10.1016/j.idc.2021.03.001","ISSN":"0891-5520","issue":"2","journalAbbreviation":"Infect Dis Clin North Am","note":"PMID: 34016277\nPMCID: PMC10989278","page":"237-260","source":"PubMed Central","title":"Recent Trends in the Epidemiology of Fungal Infections","volume":"35","author":[{"family":"Seagle","given":"Emma E."},{"family":"Williams","given":"Samantha L."},{"family":"Chiller","given":"Tom M."}],"issued":{"date-parts":[["2021",6]]}}}],"schema":"https://github.com/citation-style-language/schema/raw/master/csl-citation.json"} </w:instrText>
      </w:r>
      <w:r w:rsidRPr="00D73B21">
        <w:rPr>
          <w:rFonts w:ascii="Arial" w:hAnsi="Arial" w:cs="Arial"/>
        </w:rPr>
        <w:fldChar w:fldCharType="separate"/>
      </w:r>
      <w:r w:rsidRPr="00D73B21">
        <w:rPr>
          <w:rFonts w:ascii="Arial" w:hAnsi="Arial" w:cs="Arial"/>
          <w:noProof/>
        </w:rPr>
        <w:t>(Seagle et al., 2021)</w:t>
      </w:r>
      <w:r w:rsidRPr="00D73B21">
        <w:rPr>
          <w:rFonts w:ascii="Arial" w:hAnsi="Arial" w:cs="Arial"/>
        </w:rPr>
        <w:fldChar w:fldCharType="end"/>
      </w:r>
      <w:r w:rsidRPr="00D73B21">
        <w:rPr>
          <w:rFonts w:ascii="Arial" w:hAnsi="Arial" w:cs="Arial"/>
        </w:rPr>
        <w:t xml:space="preserve">. Over the past several decades, there has been a significant increase in the incidence of fungal infections worldwide, primarily driven by the growing population of immunocompromised individuals. Patients with compromised immune systems, whether due to HIV/AIDS, malignancies, organ or hematopoietic stem cell transplantation, immunosuppressive therapies, or autoimmune diseases, are particularly vulnerable to fungal pathogens </w:t>
      </w:r>
      <w:r w:rsidRPr="00D73B21">
        <w:rPr>
          <w:rFonts w:ascii="Arial" w:hAnsi="Arial" w:cs="Arial"/>
        </w:rPr>
        <w:fldChar w:fldCharType="begin"/>
      </w:r>
      <w:r w:rsidR="002126FF" w:rsidRPr="00D73B21">
        <w:rPr>
          <w:rFonts w:ascii="Arial" w:hAnsi="Arial" w:cs="Arial"/>
        </w:rPr>
        <w:instrText xml:space="preserve"> ADDIN ZOTERO_ITEM CSL_CITATION {"citationID":"PrQSQeyA","properties":{"formattedCitation":"(D. Li et al., 2025)","plainCitation":"(D. Li et al., 2025)","dontUpdate":true,"noteIndex":0},"citationItems":[{"id":8591,"uris":["http://zotero.org/users/2543086/items/AG53ZE3M"],"itemData":{"id":8591,"type":"article-journal","abstract":"BackgroundFungal skin diseases represent pervasive global health concerns, predominantly arising from dermatophytes, yeasts, and molds.ObjectiveThis study aimed to estimate the disease burden associated with fungal skin diseases in 2021. Additionally, it sought to analyze trends from 1990 to 2021 and forecast future patterns.MethodsThis observational study first utilized data from the Global Burden of Disease (GBD) database covering the years 1990 to 2021. We specifically used data from GBD 2021 to evaluate the global incidence, prevalence, and disability-adjusted life years (DALYs), disaggregated by age, gender, socio-demographic index (SDI), and GBD regions. Linear regression models were then employed to identify temporal trends, estimating the annual percentage change. Cluster analysis examined disparities across 45 GBD regions. To forecast future disease burden, we applied the age-period-cohort model and the autoregressive integrated moving average model.ConclusionIn 2021, there were approximately 1.73 billion global cases of fungal skin diseases. Males had higher age-standardized rates for incidence, prevalence, and DALYs compared to females. Age-specific analyses showed that although younger groups experienced the highest incidence rates, ASRs increased with age, especially among older populations. Regionally, low and middle SDI areas faced the greatest burden, with Asia having the highest incidence and Oceania the lowest. Projections suggest significant increases in incidence, prevalence, and DALYs, notably in middle- and low-income regions. These results highlight meaningful spatiotemporal disparities in fungal skin diseases and emphasize the need for strategic allocation of resources to mitigate these challenges and reduce the growing burden across various global populations.","container-title":"Frontiers in Public Health","DOI":"10.3389/fpubh.2025.1580221","ISSN":"2296-2565","journalAbbreviation":"Front. Public Health","language":"English","note":"publisher: Frontiers","source":"Frontiers","title":"Worldwide trends and future projections of fungal skin disease burden: a comprehensive analysis from the Global Burden of Diseases study 2021","title-short":"Worldwide trends and future projections of fungal skin disease burden","URL":"https://www.frontiersin.org/journals/public-health/articles/10.3389/fpubh.2025.1580221/full","volume":"13","author":[{"family":"Li","given":"Deng"},{"family":"Fan","given":"Siqi"},{"family":"Zhao","given":"Haochen"},{"family":"Song","given":"Jiayi"},{"family":"Guo","given":"Linfen"},{"family":"Li","given":"Wei"},{"family":"Xu","given":"Xuewen"},{"family":"Li","given":"Qingfeng"}],"accessed":{"date-parts":[["2025",10,8]]},"issued":{"date-parts":[["2025",6,4]]}}}],"schema":"https://github.com/citation-style-language/schema/raw/master/csl-citation.json"} </w:instrText>
      </w:r>
      <w:r w:rsidRPr="00D73B21">
        <w:rPr>
          <w:rFonts w:ascii="Arial" w:hAnsi="Arial" w:cs="Arial"/>
        </w:rPr>
        <w:fldChar w:fldCharType="separate"/>
      </w:r>
      <w:r w:rsidR="00541717" w:rsidRPr="00D73B21">
        <w:rPr>
          <w:rFonts w:ascii="Arial" w:hAnsi="Arial" w:cs="Arial"/>
          <w:noProof/>
        </w:rPr>
        <w:t>(Li et al., 2025)</w:t>
      </w:r>
      <w:r w:rsidRPr="00D73B21">
        <w:rPr>
          <w:rFonts w:ascii="Arial" w:hAnsi="Arial" w:cs="Arial"/>
        </w:rPr>
        <w:fldChar w:fldCharType="end"/>
      </w:r>
      <w:r w:rsidRPr="00D73B21">
        <w:rPr>
          <w:rFonts w:ascii="Arial" w:hAnsi="Arial" w:cs="Arial"/>
        </w:rPr>
        <w:t xml:space="preserve">. The increased use of broad-spectrum antibiotics, corticosteroids, cytotoxic chemotherapy, and biologic </w:t>
      </w:r>
      <w:r w:rsidRPr="00D73B21">
        <w:rPr>
          <w:rFonts w:ascii="Arial" w:hAnsi="Arial" w:cs="Arial"/>
        </w:rPr>
        <w:lastRenderedPageBreak/>
        <w:t xml:space="preserve">immunomodulators has further exacerbated this susceptibility by disrupting normal microbial flora and impairing host immune responses </w:t>
      </w:r>
      <w:r w:rsidRPr="00D73B21">
        <w:rPr>
          <w:rFonts w:ascii="Arial" w:hAnsi="Arial" w:cs="Arial"/>
        </w:rPr>
        <w:fldChar w:fldCharType="begin"/>
      </w:r>
      <w:r w:rsidRPr="00D73B21">
        <w:rPr>
          <w:rFonts w:ascii="Arial" w:hAnsi="Arial" w:cs="Arial"/>
        </w:rPr>
        <w:instrText xml:space="preserve"> ADDIN ZOTERO_ITEM CSL_CITATION {"citationID":"C1fEsaig","properties":{"formattedCitation":"(Airola et al., 2024)","plainCitation":"(Airola et al., 2024)","noteIndex":0},"citationItems":[{"id":8593,"uris":["http://zotero.org/users/2543086/items/TXRK4GG6"],"itemData":{"id":8593,"type":"article-journal","abstract":"Antibiotics, widely used medications that have significantly increased life expectancy, possess a broad range of effects beyond their primary antibacterial activity. While some are recognized as adverse events, others have demonstrated unexpected benefits. These adjunctive effects, which have been defined as “pleiotropic” in the case of other pharmacological classes, include immunomodulatory properties and the modulation of the microbiota. Specifically, macrolides, tetracyclines, and fluoroquinolones have been shown to modulate the immune system in both acute and chronic conditions, including autoimmune disorders (e.g., rheumatoid arthritis, spondyloarthritis) and chronic inflammatory pulmonary diseases (e.g., asthma, chronic obstructive pulmonary disease). Azithromycin, in particular, is recommended for the long-term treatment of chronic inflammatory pulmonary diseases due to its well-established immunomodulatory effects. Furthermore, antibiotics influence the human microbiota. Rifaximin, for example, exerts a eubiotic effect that enhances the balance between the gut microbiota and the host immune cells and epithelial cells. These pleiotropic effects offer new therapeutic opportunities by interacting with human cells, signaling molecules, and bacteria involved in non-infectious diseases like spondyloarthritis and inflammatory bowel diseases. The aim of this review is to explore the pleiotropic potential of antibiotics, from molecular and cellular evidence to their clinical application, in order to optimize their use. Understanding these effects is essential to ensure careful use, particularly in consideration of the threat of antimicrobial resistance.","container-title":"Antibiotics","DOI":"10.3390/antibiotics13121176","ISSN":"2079-6382","issue":"12","language":"en","license":"http://creativecommons.org/licenses/by/3.0/","note":"publisher: Multidisciplinary Digital Publishing Institute","page":"1176","source":"www.mdpi.com","title":"“Pleiotropic” Effects of Antibiotics: New Modulators in Human Diseases","title-short":"“Pleiotropic” Effects of Antibiotics","volume":"13","author":[{"family":"Airola","given":"Carlo"},{"family":"Severino","given":"Andrea"},{"family":"Spinelli","given":"Irene"},{"family":"Gasbarrini","given":"Antonio"},{"family":"Cammarota","given":"Giovanni"},{"family":"Ianiro","given":"Gianluca"},{"family":"Ponziani","given":"Francesca Romana"}],"issued":{"date-parts":[["2024",12]]}}}],"schema":"https://github.com/citation-style-language/schema/raw/master/csl-citation.json"} </w:instrText>
      </w:r>
      <w:r w:rsidRPr="00D73B21">
        <w:rPr>
          <w:rFonts w:ascii="Arial" w:hAnsi="Arial" w:cs="Arial"/>
        </w:rPr>
        <w:fldChar w:fldCharType="separate"/>
      </w:r>
      <w:r w:rsidRPr="00D73B21">
        <w:rPr>
          <w:rFonts w:ascii="Arial" w:hAnsi="Arial" w:cs="Arial"/>
          <w:noProof/>
        </w:rPr>
        <w:t>(Airola et al., 2024)</w:t>
      </w:r>
      <w:r w:rsidRPr="00D73B21">
        <w:rPr>
          <w:rFonts w:ascii="Arial" w:hAnsi="Arial" w:cs="Arial"/>
        </w:rPr>
        <w:fldChar w:fldCharType="end"/>
      </w:r>
      <w:r w:rsidRPr="00D73B21">
        <w:rPr>
          <w:rFonts w:ascii="Arial" w:hAnsi="Arial" w:cs="Arial"/>
        </w:rPr>
        <w:t xml:space="preserve">. </w:t>
      </w:r>
      <w:r w:rsidRPr="00D73B21">
        <w:rPr>
          <w:rFonts w:ascii="Arial" w:hAnsi="Arial" w:cs="Arial"/>
          <w:spacing w:val="1"/>
        </w:rPr>
        <w:t>Despite the progress in antifungal treatments, invasive fungal infections remain a cause of high morbidity and mortality due to the lack of accurate and rapid diagnosis. The non-specific symptoms of fungal infections mimic those of other microbial infections, such as bacterial or viral infections make this infection seriously challenges</w:t>
      </w:r>
      <w:r w:rsidRPr="00D73B21">
        <w:rPr>
          <w:rFonts w:ascii="Arial" w:hAnsi="Arial" w:cs="Arial"/>
        </w:rPr>
        <w:t>. In addition to the time-consuming nature of conventional diagnostic methods, such as culture and microscopy, which require experience and may lack accuracy, particularly during early disease stages of infections.</w:t>
      </w:r>
      <w:r w:rsidR="00D33968" w:rsidRPr="00D73B21">
        <w:rPr>
          <w:rFonts w:ascii="Arial" w:hAnsi="Arial" w:cs="Arial"/>
        </w:rPr>
        <w:t xml:space="preserve"> </w:t>
      </w:r>
      <w:r w:rsidRPr="00D73B21">
        <w:rPr>
          <w:rFonts w:ascii="Arial" w:hAnsi="Arial" w:cs="Arial"/>
        </w:rPr>
        <w:t xml:space="preserve">Diseases such as disseminated candidiasis, aspergillosis, cryptococcosis, and mucormycosis require a combination of accurate and rapid laboratory diagnostic tests. </w:t>
      </w:r>
      <w:r w:rsidR="00A929AA" w:rsidRPr="00D73B21">
        <w:rPr>
          <w:rFonts w:ascii="Arial" w:hAnsi="Arial" w:cs="Arial"/>
        </w:rPr>
        <w:t xml:space="preserve">To control </w:t>
      </w:r>
      <w:r w:rsidR="00013BC8" w:rsidRPr="00D73B21">
        <w:rPr>
          <w:rFonts w:ascii="Arial" w:hAnsi="Arial" w:cs="Arial"/>
        </w:rPr>
        <w:t>invasive fungal infections</w:t>
      </w:r>
      <w:r w:rsidR="009C19F1" w:rsidRPr="00D73B21">
        <w:rPr>
          <w:rFonts w:ascii="Arial" w:hAnsi="Arial" w:cs="Arial"/>
        </w:rPr>
        <w:t>,</w:t>
      </w:r>
      <w:r w:rsidR="00013BC8" w:rsidRPr="00D73B21">
        <w:rPr>
          <w:rFonts w:ascii="Arial" w:hAnsi="Arial" w:cs="Arial"/>
        </w:rPr>
        <w:t xml:space="preserve"> </w:t>
      </w:r>
      <w:r w:rsidR="009C19F1" w:rsidRPr="00D73B21">
        <w:rPr>
          <w:rFonts w:ascii="Arial" w:hAnsi="Arial" w:cs="Arial"/>
        </w:rPr>
        <w:t xml:space="preserve">determine </w:t>
      </w:r>
      <w:r w:rsidR="00013BC8" w:rsidRPr="00D73B21">
        <w:rPr>
          <w:rFonts w:ascii="Arial" w:hAnsi="Arial" w:cs="Arial"/>
        </w:rPr>
        <w:t>prompt treatment, reduc</w:t>
      </w:r>
      <w:r w:rsidR="009C19F1" w:rsidRPr="00D73B21">
        <w:rPr>
          <w:rFonts w:ascii="Arial" w:hAnsi="Arial" w:cs="Arial"/>
        </w:rPr>
        <w:t xml:space="preserve">e the rate of </w:t>
      </w:r>
      <w:r w:rsidR="00013BC8" w:rsidRPr="00D73B21">
        <w:rPr>
          <w:rFonts w:ascii="Arial" w:hAnsi="Arial" w:cs="Arial"/>
        </w:rPr>
        <w:t>morbidity and mortality</w:t>
      </w:r>
      <w:r w:rsidR="009C19F1" w:rsidRPr="00D73B21">
        <w:rPr>
          <w:rFonts w:ascii="Arial" w:hAnsi="Arial" w:cs="Arial"/>
        </w:rPr>
        <w:t xml:space="preserve">, developing </w:t>
      </w:r>
      <w:r w:rsidRPr="00D73B21">
        <w:rPr>
          <w:rFonts w:ascii="Arial" w:hAnsi="Arial" w:cs="Arial"/>
        </w:rPr>
        <w:t>fast</w:t>
      </w:r>
      <w:r w:rsidR="009C19F1" w:rsidRPr="00D73B21">
        <w:rPr>
          <w:rFonts w:ascii="Arial" w:hAnsi="Arial" w:cs="Arial"/>
        </w:rPr>
        <w:t xml:space="preserve"> and</w:t>
      </w:r>
      <w:r w:rsidRPr="00D73B21">
        <w:rPr>
          <w:rFonts w:ascii="Arial" w:hAnsi="Arial" w:cs="Arial"/>
        </w:rPr>
        <w:t xml:space="preserve"> sensitive diagnostic techniques is </w:t>
      </w:r>
      <w:r w:rsidR="00A93759" w:rsidRPr="00D73B21">
        <w:rPr>
          <w:rFonts w:ascii="Arial" w:hAnsi="Arial" w:cs="Arial"/>
        </w:rPr>
        <w:t>required</w:t>
      </w:r>
      <w:r w:rsidRPr="00D73B21">
        <w:rPr>
          <w:rFonts w:ascii="Arial" w:hAnsi="Arial" w:cs="Arial"/>
        </w:rPr>
        <w:t>.</w:t>
      </w:r>
    </w:p>
    <w:p w14:paraId="5BE03CFA" w14:textId="3763DD6E" w:rsidR="00CA0438" w:rsidRPr="00D73B21" w:rsidRDefault="00CA0438" w:rsidP="00F87C93">
      <w:pPr>
        <w:pStyle w:val="NormalWeb"/>
        <w:spacing w:before="0" w:beforeAutospacing="0" w:after="0" w:afterAutospacing="0" w:line="480" w:lineRule="auto"/>
        <w:jc w:val="both"/>
        <w:rPr>
          <w:rFonts w:ascii="Arial" w:hAnsi="Arial" w:cs="Arial"/>
          <w:i/>
          <w:iCs/>
        </w:rPr>
      </w:pPr>
      <w:r w:rsidRPr="00D73B21">
        <w:rPr>
          <w:rFonts w:ascii="Arial" w:hAnsi="Arial" w:cs="Arial"/>
        </w:rPr>
        <w:t xml:space="preserve">The immune system contains a complex network of physical, chemical, and cellular barriers that help adaptive immunity for effective fungal pathogens </w:t>
      </w:r>
      <w:r w:rsidRPr="00D73B21">
        <w:rPr>
          <w:rFonts w:ascii="Arial" w:hAnsi="Arial" w:cs="Arial"/>
        </w:rPr>
        <w:fldChar w:fldCharType="begin"/>
      </w:r>
      <w:r w:rsidRPr="00D73B21">
        <w:rPr>
          <w:rFonts w:ascii="Arial" w:hAnsi="Arial" w:cs="Arial"/>
        </w:rPr>
        <w:instrText xml:space="preserve"> ADDIN ZOTERO_ITEM CSL_CITATION {"citationID":"D5KWHi6T","properties":{"formattedCitation":"(Wang et al., 2024)","plainCitation":"(Wang et al., 2024)","noteIndex":0},"citationItems":[{"id":8598,"uris":["http://zotero.org/users/2543086/items/AQWWUMTK"],"itemData":{"id":8598,"type":"article-journal","abstract":"The innate immune system serves as the body's first line of defense, utilizing pattern recognition receptors like Toll-like receptors to detect pathogens and initiate rapid response mechanisms. Following this initial response, adaptive immunity provides highly specific and sustained killing of pathogens via B cells, T cells, and antibodies. Traditionally, it has been assumed that innate immunity activates adaptive immunity; however, recent studies have revealed more complex interactions. This review provides a detailed dissection of the composition and function of the innate and adaptive immune systems, emphasizing their synergistic roles in physiological and pathological contexts, providing new insights into the link between these two forms of immunity. Precise regulation of both immune systems at the same time is more beneficial in the fight against immune-related diseases, for example, the cGAS–STING pathway has been found to play an important role in infections and cancers. In addition, this paper summarizes the challenges and future directions in the field of immunity, including the latest single-cell sequencing technologies, CAR-T cell therapy, and immune checkpoint inhibitors. By summarizing these developments, this review aims to enhance our understanding of the complexity interactions between innate and adaptive immunity and provides new perspectives in understanding the immune system.","container-title":"MedComm","DOI":"10.1002/mco2.714","ISSN":"2688-2663","issue":"10","language":"en","license":"© 2024 The Author(s). MedComm published by Sichuan International Medical Exchange &amp; Promotion Association (SCIMEA) and John Wiley &amp; Sons Australia, Ltd.","note":"_eprint: https://onlinelibrary.wiley.com/doi/pdf/10.1002/mco2.714","page":"e714","source":"Wiley Online Library","title":"The interaction of innate immune and adaptive immune system","volume":"5","author":[{"family":"Wang","given":"Ruyuan"},{"family":"Lan","given":"Caini"},{"family":"Benlagha","given":"Kamel"},{"family":"Camara","given":"Niels Olsen Saraiva"},{"family":"Miller","given":"Heather"},{"family":"Kubo","given":"Masato"},{"family":"Heegaard","given":"Steffen"},{"family":"Lee","given":"Pamela"},{"family":"Yang","given":"Lu"},{"family":"Forsman","given":"Huamei"},{"family":"Li","given":"Xingrui"},{"family":"Zhai","given":"Zhimin"},{"family":"Liu","given":"Chaohong"}],"issued":{"date-parts":[["2024"]]}}}],"schema":"https://github.com/citation-style-language/schema/raw/master/csl-citation.json"} </w:instrText>
      </w:r>
      <w:r w:rsidRPr="00D73B21">
        <w:rPr>
          <w:rFonts w:ascii="Arial" w:hAnsi="Arial" w:cs="Arial"/>
        </w:rPr>
        <w:fldChar w:fldCharType="separate"/>
      </w:r>
      <w:r w:rsidRPr="00D73B21">
        <w:rPr>
          <w:rFonts w:ascii="Arial" w:hAnsi="Arial" w:cs="Arial"/>
          <w:noProof/>
        </w:rPr>
        <w:t>(Wang et al., 2024)</w:t>
      </w:r>
      <w:r w:rsidRPr="00D73B21">
        <w:rPr>
          <w:rFonts w:ascii="Arial" w:hAnsi="Arial" w:cs="Arial"/>
        </w:rPr>
        <w:fldChar w:fldCharType="end"/>
      </w:r>
      <w:r w:rsidRPr="00D73B21">
        <w:rPr>
          <w:rFonts w:ascii="Arial" w:hAnsi="Arial" w:cs="Arial"/>
        </w:rPr>
        <w:t xml:space="preserve">. Neutrophil is one of the professional phagocytic cells and is considered the first cell involved in </w:t>
      </w:r>
      <w:r w:rsidR="00142244" w:rsidRPr="00D73B21">
        <w:rPr>
          <w:rFonts w:ascii="Arial" w:hAnsi="Arial" w:cs="Arial"/>
        </w:rPr>
        <w:t xml:space="preserve">antifungal </w:t>
      </w:r>
      <w:r w:rsidRPr="00D73B21">
        <w:rPr>
          <w:rFonts w:ascii="Arial" w:hAnsi="Arial" w:cs="Arial"/>
        </w:rPr>
        <w:t>immun</w:t>
      </w:r>
      <w:r w:rsidR="00864D97" w:rsidRPr="00D73B21">
        <w:rPr>
          <w:rFonts w:ascii="Arial" w:hAnsi="Arial" w:cs="Arial"/>
        </w:rPr>
        <w:t>e response</w:t>
      </w:r>
      <w:r w:rsidR="000C2A85" w:rsidRPr="00D73B21">
        <w:rPr>
          <w:rFonts w:ascii="Arial" w:hAnsi="Arial" w:cs="Arial"/>
        </w:rPr>
        <w:t xml:space="preserve"> for this reason, deficiency in</w:t>
      </w:r>
      <w:r w:rsidRPr="00D73B21">
        <w:rPr>
          <w:rFonts w:ascii="Arial" w:hAnsi="Arial" w:cs="Arial"/>
        </w:rPr>
        <w:t xml:space="preserve"> neutrophil function </w:t>
      </w:r>
      <w:r w:rsidR="000C2A85" w:rsidRPr="00D73B21">
        <w:rPr>
          <w:rFonts w:ascii="Arial" w:hAnsi="Arial" w:cs="Arial"/>
        </w:rPr>
        <w:t>increase</w:t>
      </w:r>
      <w:r w:rsidRPr="00D73B21">
        <w:rPr>
          <w:rFonts w:ascii="Arial" w:hAnsi="Arial" w:cs="Arial"/>
        </w:rPr>
        <w:t xml:space="preserve"> fungal invasion and dissemination </w:t>
      </w:r>
      <w:r w:rsidRPr="00D73B21">
        <w:rPr>
          <w:rFonts w:ascii="Arial" w:hAnsi="Arial" w:cs="Arial"/>
        </w:rPr>
        <w:fldChar w:fldCharType="begin"/>
      </w:r>
      <w:r w:rsidRPr="00D73B21">
        <w:rPr>
          <w:rFonts w:ascii="Arial" w:hAnsi="Arial" w:cs="Arial"/>
        </w:rPr>
        <w:instrText xml:space="preserve"> ADDIN ZOTERO_ITEM CSL_CITATION {"citationID":"Q31RntXG","properties":{"formattedCitation":"(Blaize et al., 2024)","plainCitation":"(Blaize et al., 2024)","noteIndex":0},"citationItems":[{"id":8601,"uris":["http://zotero.org/users/2543086/items/V8NLW3WB"],"itemData":{"id":8601,"type":"article-journal","abstract":"Objectives\nIbrutinib, a first-generation covalent Bruton's tyrosine kinase inhibitor (BTKi) was found to be a risk factor for the occurrence of invasive fungal complications. Acalabrutinib is a second-generation covalent BTKi used to treat B-cell malignancies. Healthy donor neutrophils incubated ex vivo with acalabrutinib lose ability to control Aspergillus conidia germination. In patients receiving acalabrutinib, the potential effect on neutrophil antifungal activity is unknown. Furthermore, only two cases of invasive aspergillosis have been reported during treatment with acalabrutinib, outside of a few cases in a clinical trial.\nMethods\nWe describe three new cases of invasive aspergillosis occurring within the first months of acalabrutinib therapy in patients with chronic lymphocytic leukemia. We used videomicroscopy and flow cytometry approaches to investigate the basic functional responses against Aspergillus of neutrophils from acalabrutinib-treated patients.\nResults\nWe showed an alteration in the anti-Aspergillus response after 1 month of acalabrutinb therapy: neutrophils lost their capacities of killing Aspergillus fumigatus germinating conidia and decreased their reactive oxygen species production when stimulated by Aspergillus.\nConclusions\nIt is important to follow-up patients treated with acalabrutinib for the risk of aspergillosis as well as those treated with ibrutinib.","container-title":"International Journal of Infectious Diseases","DOI":"10.1016/j.ijid.2024.107000","ISSN":"1201-9712","journalAbbreviation":"International Journal of Infectious Diseases","page":"107000","source":"ScienceDirect","title":"Invasive Aspergillosis with impaired neutrophil responses against &lt;i&gt;Aspergillus fumigatus&lt;/i&gt; in patients treated with Acalabrutinib—findings from three cases","volume":"142","author":[{"family":"Blaize","given":"Marion"},{"family":"Thizy","given":"Guillaume"},{"family":"Boissonnas","given":"Alexandre"},{"family":"Portalier","given":"Anaïs"},{"family":"Lanternier","given":"Fanny"},{"family":"La Porte des Vaux","given":"Clémentine","non-dropping-particle":"de"},{"family":"Suarez","given":"Felipe"},{"family":"Bougnoux","given":"Marie-Elisabeth"},{"family":"Guitard","given":"Juliette"},{"family":"Jabet","given":"Arnaud"},{"family":"Stocker","given":"Nicolas"},{"family":"Aoudjhane","given":"Abdelmalek"},{"family":"Roos-Weil","given":"Damien"},{"family":"Fekkar","given":"Arnaud"}],"issued":{"date-parts":[["2024",5,1]]}}}],"schema":"https://github.com/citation-style-language/schema/raw/master/csl-citation.json"} </w:instrText>
      </w:r>
      <w:r w:rsidRPr="00D73B21">
        <w:rPr>
          <w:rFonts w:ascii="Arial" w:hAnsi="Arial" w:cs="Arial"/>
        </w:rPr>
        <w:fldChar w:fldCharType="separate"/>
      </w:r>
      <w:r w:rsidRPr="00D73B21">
        <w:rPr>
          <w:rFonts w:ascii="Arial" w:hAnsi="Arial" w:cs="Arial"/>
          <w:noProof/>
        </w:rPr>
        <w:t>(Blaize et al., 2024)</w:t>
      </w:r>
      <w:r w:rsidRPr="00D73B21">
        <w:rPr>
          <w:rFonts w:ascii="Arial" w:hAnsi="Arial" w:cs="Arial"/>
        </w:rPr>
        <w:fldChar w:fldCharType="end"/>
      </w:r>
      <w:r w:rsidRPr="00D73B21">
        <w:rPr>
          <w:rFonts w:ascii="Arial" w:hAnsi="Arial" w:cs="Arial"/>
        </w:rPr>
        <w:t xml:space="preserve">. </w:t>
      </w:r>
    </w:p>
    <w:p w14:paraId="6A34D3B5" w14:textId="78012299" w:rsidR="00CA0438" w:rsidRPr="00D73B21" w:rsidRDefault="00CA0438" w:rsidP="00665CE0">
      <w:pPr>
        <w:pStyle w:val="NormalWeb"/>
        <w:spacing w:before="0" w:beforeAutospacing="0" w:after="0" w:afterAutospacing="0" w:line="480" w:lineRule="auto"/>
        <w:jc w:val="both"/>
        <w:rPr>
          <w:rFonts w:ascii="Arial" w:hAnsi="Arial" w:cs="Arial"/>
        </w:rPr>
      </w:pPr>
      <w:r w:rsidRPr="00D73B21">
        <w:rPr>
          <w:rFonts w:ascii="Arial" w:hAnsi="Arial" w:cs="Arial"/>
        </w:rPr>
        <w:t xml:space="preserve">This review highlights the role of the immune system response to fungal infections and the recent diagnostic techniques that may be involved in enhancing early detection and management. </w:t>
      </w:r>
    </w:p>
    <w:p w14:paraId="07AAB7C0" w14:textId="77777777" w:rsidR="00CA0438" w:rsidRPr="00D73B21" w:rsidRDefault="00CA0438" w:rsidP="00F87C93">
      <w:pPr>
        <w:pStyle w:val="NormalWeb"/>
        <w:spacing w:before="0" w:beforeAutospacing="0" w:after="0" w:afterAutospacing="0" w:line="480" w:lineRule="auto"/>
        <w:jc w:val="both"/>
        <w:rPr>
          <w:rFonts w:ascii="Arial" w:hAnsi="Arial" w:cs="Arial"/>
        </w:rPr>
      </w:pPr>
      <w:r w:rsidRPr="00D73B21">
        <w:rPr>
          <w:rStyle w:val="Strong"/>
          <w:rFonts w:ascii="Arial" w:eastAsiaTheme="majorEastAsia" w:hAnsi="Arial" w:cs="Arial"/>
        </w:rPr>
        <w:t>Innate Immune Response to Fungal Infections</w:t>
      </w:r>
    </w:p>
    <w:p w14:paraId="2A92B8E6" w14:textId="16341F31" w:rsidR="00D33968" w:rsidRPr="00D73B21" w:rsidRDefault="00CA0438" w:rsidP="00D33968">
      <w:pPr>
        <w:pStyle w:val="NormalWeb"/>
        <w:spacing w:before="0" w:beforeAutospacing="0" w:after="0" w:afterAutospacing="0" w:line="480" w:lineRule="auto"/>
        <w:jc w:val="both"/>
        <w:rPr>
          <w:rFonts w:ascii="Arial" w:hAnsi="Arial" w:cs="Arial"/>
        </w:rPr>
      </w:pPr>
      <w:r w:rsidRPr="00D73B21">
        <w:rPr>
          <w:rFonts w:ascii="Arial" w:hAnsi="Arial" w:cs="Arial"/>
        </w:rPr>
        <w:t>The innate immun</w:t>
      </w:r>
      <w:r w:rsidR="0059322D" w:rsidRPr="00D73B21">
        <w:rPr>
          <w:rFonts w:ascii="Arial" w:hAnsi="Arial" w:cs="Arial"/>
        </w:rPr>
        <w:t>ity</w:t>
      </w:r>
      <w:r w:rsidRPr="00D73B21">
        <w:rPr>
          <w:rFonts w:ascii="Arial" w:hAnsi="Arial" w:cs="Arial"/>
        </w:rPr>
        <w:t xml:space="preserve"> is </w:t>
      </w:r>
      <w:r w:rsidR="009F4C81" w:rsidRPr="00D73B21">
        <w:rPr>
          <w:rFonts w:ascii="Arial" w:hAnsi="Arial" w:cs="Arial"/>
        </w:rPr>
        <w:t xml:space="preserve">a rapid and non-specific response </w:t>
      </w:r>
      <w:r w:rsidRPr="00D73B21">
        <w:rPr>
          <w:rFonts w:ascii="Arial" w:hAnsi="Arial" w:cs="Arial"/>
        </w:rPr>
        <w:t xml:space="preserve">against </w:t>
      </w:r>
      <w:r w:rsidR="002F3FAC" w:rsidRPr="00D73B21">
        <w:rPr>
          <w:rFonts w:ascii="Arial" w:hAnsi="Arial" w:cs="Arial"/>
        </w:rPr>
        <w:t xml:space="preserve">microbial </w:t>
      </w:r>
      <w:r w:rsidRPr="00D73B21">
        <w:rPr>
          <w:rFonts w:ascii="Arial" w:hAnsi="Arial" w:cs="Arial"/>
        </w:rPr>
        <w:t>infections. The innate immun</w:t>
      </w:r>
      <w:r w:rsidR="00E94ABD" w:rsidRPr="00D73B21">
        <w:rPr>
          <w:rFonts w:ascii="Arial" w:hAnsi="Arial" w:cs="Arial"/>
        </w:rPr>
        <w:t>e system</w:t>
      </w:r>
      <w:r w:rsidRPr="00D73B21">
        <w:rPr>
          <w:rFonts w:ascii="Arial" w:hAnsi="Arial" w:cs="Arial"/>
        </w:rPr>
        <w:t xml:space="preserve"> </w:t>
      </w:r>
      <w:r w:rsidR="00BB23A1" w:rsidRPr="00D73B21">
        <w:rPr>
          <w:rFonts w:ascii="Arial" w:hAnsi="Arial" w:cs="Arial"/>
        </w:rPr>
        <w:t>ha</w:t>
      </w:r>
      <w:r w:rsidR="00B0395B" w:rsidRPr="00D73B21">
        <w:rPr>
          <w:rFonts w:ascii="Arial" w:hAnsi="Arial" w:cs="Arial"/>
        </w:rPr>
        <w:t>s</w:t>
      </w:r>
      <w:r w:rsidRPr="00D73B21">
        <w:rPr>
          <w:rFonts w:ascii="Arial" w:hAnsi="Arial" w:cs="Arial"/>
        </w:rPr>
        <w:t xml:space="preserve"> barriers</w:t>
      </w:r>
      <w:r w:rsidR="00500BA7" w:rsidRPr="00D73B21">
        <w:rPr>
          <w:rFonts w:ascii="Arial" w:hAnsi="Arial" w:cs="Arial"/>
        </w:rPr>
        <w:t>, physical, chemical, and cellular barriers,</w:t>
      </w:r>
      <w:r w:rsidRPr="00D73B21">
        <w:rPr>
          <w:rFonts w:ascii="Arial" w:hAnsi="Arial" w:cs="Arial"/>
        </w:rPr>
        <w:t xml:space="preserve"> that </w:t>
      </w:r>
      <w:r w:rsidR="00120DDD" w:rsidRPr="00D73B21">
        <w:rPr>
          <w:rFonts w:ascii="Arial" w:hAnsi="Arial" w:cs="Arial"/>
        </w:rPr>
        <w:t xml:space="preserve">work </w:t>
      </w:r>
      <w:r w:rsidRPr="00D73B21">
        <w:rPr>
          <w:rFonts w:ascii="Arial" w:hAnsi="Arial" w:cs="Arial"/>
        </w:rPr>
        <w:t xml:space="preserve">collectively </w:t>
      </w:r>
      <w:r w:rsidR="00F56287" w:rsidRPr="00D73B21">
        <w:rPr>
          <w:rFonts w:ascii="Arial" w:hAnsi="Arial" w:cs="Arial"/>
        </w:rPr>
        <w:t xml:space="preserve">to </w:t>
      </w:r>
      <w:r w:rsidRPr="00D73B21">
        <w:rPr>
          <w:rFonts w:ascii="Arial" w:hAnsi="Arial" w:cs="Arial"/>
        </w:rPr>
        <w:t xml:space="preserve">prevent fungal invasion. </w:t>
      </w:r>
      <w:r w:rsidR="00D44951" w:rsidRPr="00D73B21">
        <w:rPr>
          <w:rFonts w:asciiTheme="minorBidi" w:hAnsiTheme="minorBidi" w:cstheme="minorBidi"/>
          <w:color w:val="000000"/>
        </w:rPr>
        <w:t xml:space="preserve">The skin contains multilayers of tissues </w:t>
      </w:r>
      <w:r w:rsidR="00D44951" w:rsidRPr="00D73B21">
        <w:rPr>
          <w:rFonts w:asciiTheme="minorBidi" w:hAnsiTheme="minorBidi" w:cstheme="minorBidi"/>
          <w:color w:val="000000"/>
        </w:rPr>
        <w:lastRenderedPageBreak/>
        <w:t xml:space="preserve">including the epidermis, dermis, cutaneous appendages and subcutaneous tissue. The skin is a part of skin-associated lymphoid tissue (SALT), which comprises both skin cells and professional immune cells </w:t>
      </w:r>
      <w:r w:rsidR="00D44951" w:rsidRPr="00D73B21">
        <w:rPr>
          <w:rFonts w:asciiTheme="minorBidi" w:hAnsiTheme="minorBidi" w:cstheme="minorBidi"/>
          <w:color w:val="000000"/>
        </w:rPr>
        <w:fldChar w:fldCharType="begin"/>
      </w:r>
      <w:r w:rsidR="00D44951" w:rsidRPr="00D73B21">
        <w:rPr>
          <w:rFonts w:asciiTheme="minorBidi" w:hAnsiTheme="minorBidi" w:cstheme="minorBidi"/>
          <w:color w:val="000000"/>
        </w:rPr>
        <w:instrText xml:space="preserve"> ADDIN ZOTERO_ITEM CSL_CITATION {"citationID":"2bOAlmt3","properties":{"formattedCitation":"(Quaresma, 2019)","plainCitation":"(Quaresma, 2019)","noteIndex":0},"citationItems":[{"id":8691,"uris":["http://zotero.org/users/2543086/items/RCNT7HVP"],"itemData":{"id":8691,"type":"article-journal","abstract":"The skin is an organ harboring several types of immune cells that participate in innate and adaptive immune responses. The immune system of the skin comprises both skin cells and professional immune cells that together constitute what is designated skin-associated lymphoid tissue (SALT). In this review, I extensively discuss the organization of SALT and the mechanisms involved in its responses to infectious diseases of the skin and mucosa. The nature of these SALT responses, and the cellular mediators involved, often determines the clinical course of such infections. I list and describe the components of innate immunity, such as the roles of the keratinocyte barrier and of inflammatory and natural killer cells. I also examine the mechanisms involved in adaptive immune responses, with emphasis on new cytokine profiles, and the role of cell death phenomena in host-pathogen interactions and control of the immune responses to infectious agents. Finally, I highlight the importance of studying SALT in order to better understand host-pathogen relationships involving the skin and detail future directions in the immunological investigation of this organ, especially in light of recent findings regarding the skin immune system.","container-title":"Clinical Microbiology Reviews","DOI":"10.1128/CMR.00034-18","ISSN":"1098-6618","issue":"4","journalAbbreviation":"Clin Microbiol Rev","language":"eng","note":"PMID: 31366611\nPMCID: PMC6750136","page":"e00034-18","source":"PubMed","title":"Organization of the Skin Immune System and Compartmentalized Immune Responses in Infectious Diseases","volume":"32","author":[{"family":"Quaresma","given":"Juarez Antonio Simões"}],"issued":{"date-parts":[["2019",9,18]]}}}],"schema":"https://github.com/citation-style-language/schema/raw/master/csl-citation.json"} </w:instrText>
      </w:r>
      <w:r w:rsidR="00D44951" w:rsidRPr="00D73B21">
        <w:rPr>
          <w:rFonts w:asciiTheme="minorBidi" w:hAnsiTheme="minorBidi" w:cstheme="minorBidi"/>
          <w:color w:val="000000"/>
        </w:rPr>
        <w:fldChar w:fldCharType="separate"/>
      </w:r>
      <w:r w:rsidR="00D44951" w:rsidRPr="00D73B21">
        <w:rPr>
          <w:rFonts w:asciiTheme="minorBidi" w:hAnsiTheme="minorBidi" w:cstheme="minorBidi"/>
          <w:noProof/>
          <w:color w:val="000000"/>
        </w:rPr>
        <w:t>(Quaresma, 2019)</w:t>
      </w:r>
      <w:r w:rsidR="00D44951" w:rsidRPr="00D73B21">
        <w:rPr>
          <w:rFonts w:asciiTheme="minorBidi" w:hAnsiTheme="minorBidi" w:cstheme="minorBidi"/>
          <w:color w:val="000000"/>
        </w:rPr>
        <w:fldChar w:fldCharType="end"/>
      </w:r>
      <w:r w:rsidR="00D44951" w:rsidRPr="00D73B21">
        <w:rPr>
          <w:rFonts w:asciiTheme="minorBidi" w:hAnsiTheme="minorBidi" w:cstheme="minorBidi"/>
          <w:color w:val="000000"/>
        </w:rPr>
        <w:t>.</w:t>
      </w:r>
      <w:r w:rsidR="007E53B5" w:rsidRPr="00D73B21">
        <w:rPr>
          <w:rFonts w:asciiTheme="minorBidi" w:hAnsiTheme="minorBidi" w:cstheme="minorBidi"/>
          <w:color w:val="000000"/>
        </w:rPr>
        <w:t xml:space="preserve"> Around 90% of the epidermis </w:t>
      </w:r>
      <w:r w:rsidR="00A43E75" w:rsidRPr="00D73B21">
        <w:rPr>
          <w:rFonts w:asciiTheme="minorBidi" w:hAnsiTheme="minorBidi" w:cstheme="minorBidi"/>
          <w:color w:val="000000"/>
        </w:rPr>
        <w:t>contains</w:t>
      </w:r>
      <w:r w:rsidR="007E53B5" w:rsidRPr="00D73B21">
        <w:rPr>
          <w:rFonts w:asciiTheme="minorBidi" w:hAnsiTheme="minorBidi" w:cstheme="minorBidi"/>
          <w:color w:val="000000"/>
        </w:rPr>
        <w:t xml:space="preserve"> keratinocytes, which are able to distinguish between microbiota and microbial pathogens through expression a class of pattern recognition receptors (PRRs) which are surface toll-like receptors (TLRs), specially TLR2 and TLR4, for detection pathogens associated molecular patterns (PAMPs)</w:t>
      </w:r>
      <w:r w:rsidR="008D30D3" w:rsidRPr="00D73B21">
        <w:rPr>
          <w:rFonts w:asciiTheme="minorBidi" w:hAnsiTheme="minorBidi" w:cstheme="minorBidi"/>
          <w:color w:val="000000"/>
        </w:rPr>
        <w:t xml:space="preserve"> </w:t>
      </w:r>
      <w:r w:rsidR="008D30D3" w:rsidRPr="00D73B21">
        <w:rPr>
          <w:rFonts w:ascii="Arial" w:hAnsi="Arial" w:cs="Arial"/>
        </w:rPr>
        <w:fldChar w:fldCharType="begin"/>
      </w:r>
      <w:r w:rsidR="008D30D3" w:rsidRPr="00D73B21">
        <w:rPr>
          <w:rFonts w:ascii="Arial" w:hAnsi="Arial" w:cs="Arial"/>
        </w:rPr>
        <w:instrText xml:space="preserve"> ADDIN ZOTERO_ITEM CSL_CITATION {"citationID":"KphnAmbX","properties":{"formattedCitation":"(Fang et al., 2022)","plainCitation":"(Fang et al., 2022)","noteIndex":0},"citationItems":[{"id":8672,"uris":["http://zotero.org/users/2543086/items/KDT3KSYB"],"itemData":{"id":8672,"type":"article-journal","abstract":"Fungal keratitis is one of the leading causes of blindness worldwide, which has become an increasingly serious threat to public ocular health, but no effective treatment strategies are available now. Pattern recognition receptors (PRRs) of the innate immune system are the first line of host defense against fungal infections. They could recognize pathogen-associated molecular patterns (PAMPs) or damage-associated molecular patterns (DAMPs) and trigger an array of inflammatory responses. Over the last decades, research has resulted in significant progress regarding the roles of PRRs in fungal keratitis. This review will highlight the importance of several pattern recognition receptors (C-type lectin-like receptors, Toll-like receptors, and NOD-like receptors) in regulating the innate immunity under fungal keratitis and describe the crosstalk and collaboration in PRRs contributing to disease pathology. Meanwhile, some potential therapy-based PRRs against corneal fungal infections are discussed.","container-title":"Life Sciences","DOI":"10.1016/j.lfs.2022.120881","ISSN":"0024-3205","journalAbbreviation":"Life Sciences","page":"120881","source":"ScienceDirect","title":"Roles of pattern recognition receptors in response to fungal keratitis","volume":"307","author":[{"family":"Fang","given":"Xiaolong"},{"family":"Lian","given":"Huifang"},{"family":"Bi","given":"Shihao"},{"family":"Liu","given":"Sijin"},{"family":"Yuan","given":"Xiaoyong"},{"family":"Liao","given":"Chunyang"}],"issued":{"date-parts":[["2022",10,15]]}}}],"schema":"https://github.com/citation-style-language/schema/raw/master/csl-citation.json"} </w:instrText>
      </w:r>
      <w:r w:rsidR="008D30D3" w:rsidRPr="00D73B21">
        <w:rPr>
          <w:rFonts w:ascii="Arial" w:hAnsi="Arial" w:cs="Arial"/>
        </w:rPr>
        <w:fldChar w:fldCharType="separate"/>
      </w:r>
      <w:r w:rsidR="008D30D3" w:rsidRPr="00D73B21">
        <w:rPr>
          <w:rFonts w:ascii="Arial" w:hAnsi="Arial" w:cs="Arial"/>
          <w:noProof/>
        </w:rPr>
        <w:t>(Fang et al., 2022)</w:t>
      </w:r>
      <w:r w:rsidR="008D30D3" w:rsidRPr="00D73B21">
        <w:rPr>
          <w:rFonts w:ascii="Arial" w:hAnsi="Arial" w:cs="Arial"/>
        </w:rPr>
        <w:fldChar w:fldCharType="end"/>
      </w:r>
      <w:r w:rsidR="007E53B5" w:rsidRPr="00D73B21">
        <w:rPr>
          <w:rFonts w:asciiTheme="minorBidi" w:hAnsiTheme="minorBidi" w:cstheme="minorBidi"/>
          <w:color w:val="000000"/>
        </w:rPr>
        <w:t xml:space="preserve">. </w:t>
      </w:r>
      <w:r w:rsidR="003D58D9" w:rsidRPr="00D73B21">
        <w:rPr>
          <w:rFonts w:asciiTheme="minorBidi" w:hAnsiTheme="minorBidi" w:cstheme="minorBidi"/>
          <w:color w:val="000000"/>
        </w:rPr>
        <w:t>In addition to</w:t>
      </w:r>
      <w:r w:rsidR="003D58D9" w:rsidRPr="00D73B21">
        <w:rPr>
          <w:rFonts w:ascii="Arial" w:hAnsi="Arial" w:cs="Arial"/>
        </w:rPr>
        <w:t xml:space="preserve"> </w:t>
      </w:r>
      <w:r w:rsidR="00B9428D" w:rsidRPr="00D73B21">
        <w:rPr>
          <w:rFonts w:ascii="Arial" w:hAnsi="Arial" w:cs="Arial"/>
        </w:rPr>
        <w:t xml:space="preserve">more specific receptors such as </w:t>
      </w:r>
      <w:r w:rsidR="003D58D9" w:rsidRPr="00D73B21">
        <w:rPr>
          <w:rFonts w:ascii="Arial" w:hAnsi="Arial" w:cs="Arial"/>
        </w:rPr>
        <w:t>NOD-like receptors (NLRs), RIG-I-like receptors (RLRs)</w:t>
      </w:r>
      <w:r w:rsidR="00022F76" w:rsidRPr="00D73B21">
        <w:rPr>
          <w:rFonts w:ascii="Arial" w:hAnsi="Arial" w:cs="Arial"/>
        </w:rPr>
        <w:t>, and C-type lectin receptors (CLRs) including Dectin-1 and Dectin-2</w:t>
      </w:r>
      <w:r w:rsidR="003D58D9" w:rsidRPr="00D73B21">
        <w:rPr>
          <w:rFonts w:ascii="Arial" w:hAnsi="Arial" w:cs="Arial"/>
        </w:rPr>
        <w:t xml:space="preserve"> </w:t>
      </w:r>
      <w:r w:rsidR="00B2354C" w:rsidRPr="00D73B21">
        <w:rPr>
          <w:rFonts w:ascii="Arial" w:hAnsi="Arial" w:cs="Arial"/>
        </w:rPr>
        <w:t xml:space="preserve">for detection fungal antigens </w:t>
      </w:r>
      <w:r w:rsidR="00C730ED" w:rsidRPr="00D73B21">
        <w:rPr>
          <w:rFonts w:ascii="Arial" w:hAnsi="Arial" w:cs="Arial"/>
        </w:rPr>
        <w:t xml:space="preserve">like </w:t>
      </w:r>
      <w:r w:rsidR="00B2354C" w:rsidRPr="00D73B21">
        <w:rPr>
          <w:rFonts w:ascii="Arial" w:hAnsi="Arial" w:cs="Arial"/>
        </w:rPr>
        <w:t xml:space="preserve">ß-glucans and mannose </w:t>
      </w:r>
      <w:r w:rsidR="003D58D9" w:rsidRPr="00D73B21">
        <w:rPr>
          <w:rFonts w:ascii="Arial" w:hAnsi="Arial" w:cs="Arial"/>
        </w:rPr>
        <w:fldChar w:fldCharType="begin"/>
      </w:r>
      <w:r w:rsidR="003D58D9" w:rsidRPr="00D73B21">
        <w:rPr>
          <w:rFonts w:ascii="Arial" w:hAnsi="Arial" w:cs="Arial"/>
        </w:rPr>
        <w:instrText xml:space="preserve"> ADDIN ZOTERO_ITEM CSL_CITATION {"citationID":"kSBg4WKg","properties":{"formattedCitation":"(Patin et al., 2019)","plainCitation":"(Patin et al., 2019)","noteIndex":0},"citationItems":[{"id":2901,"uris":["http://zotero.org/users/2543086/items/IANLTF4H"],"itemData":{"id":2901,"type":"article-journal","abstract":"Over the last decade, invasive fungal infections have emerged as a growing threat to human health worldwide and novel treatment strategies are urgently needed. In this context, investigations into host-pathogen interactions represent an important and promising field of research. Antigen presenting cells such as macrophages and dendritic cells are strategically located at the frontline of defence against potential invaders. Importantly, these cells express germline encoded pattern recognition receptors (PRRs), which sense conserved entities from pathogens and orchestrate innate immune responses. Herein, we review the latest findings regarding the biology and functions of the different classes of PRRs involved in pathogenic fungal recognition. We also discuss recent literature on PRR collaboration/crosstalk and the mechanisms involved in inhibiting/regulating PRR signalling. Finally, we discuss how the accumulated knowledge on PRR biology, especially Dectin-1, has been used for the design of new immunotherapies against fungal infections.","collection-title":"Mammalian innate immunity to fungal infection","container-title":"Seminars in Cell &amp; Developmental Biology","DOI":"10.1016/j.semcdb.2018.03.003","ISSN":"1084-9521","journalAbbreviation":"Seminars in Cell &amp; Developmental Biology","language":"en","page":"24-33","source":"ScienceDirect","title":"Pattern recognition receptors in fungal immunity","volume":"89","author":[{"family":"Patin","given":"Emmanuel C."},{"family":"Thompson","given":"Aiysha"},{"family":"Orr","given":"Selinda J."}],"issued":{"date-parts":[["2019",5,1]]}}}],"schema":"https://github.com/citation-style-language/schema/raw/master/csl-citation.json"} </w:instrText>
      </w:r>
      <w:r w:rsidR="003D58D9" w:rsidRPr="00D73B21">
        <w:rPr>
          <w:rFonts w:ascii="Arial" w:hAnsi="Arial" w:cs="Arial"/>
        </w:rPr>
        <w:fldChar w:fldCharType="separate"/>
      </w:r>
      <w:r w:rsidR="003D58D9" w:rsidRPr="00D73B21">
        <w:rPr>
          <w:rFonts w:ascii="Arial" w:hAnsi="Arial" w:cs="Arial"/>
          <w:noProof/>
        </w:rPr>
        <w:t>(Patin et al., 2019)</w:t>
      </w:r>
      <w:r w:rsidR="003D58D9" w:rsidRPr="00D73B21">
        <w:rPr>
          <w:rFonts w:ascii="Arial" w:hAnsi="Arial" w:cs="Arial"/>
        </w:rPr>
        <w:fldChar w:fldCharType="end"/>
      </w:r>
      <w:r w:rsidR="00022F76" w:rsidRPr="00D73B21">
        <w:rPr>
          <w:rFonts w:ascii="Arial" w:hAnsi="Arial" w:cs="Arial"/>
        </w:rPr>
        <w:t>.</w:t>
      </w:r>
      <w:r w:rsidR="00557EAD" w:rsidRPr="00D73B21">
        <w:rPr>
          <w:rFonts w:asciiTheme="minorBidi" w:hAnsiTheme="minorBidi" w:cstheme="minorBidi"/>
          <w:color w:val="000000"/>
        </w:rPr>
        <w:t xml:space="preserve"> </w:t>
      </w:r>
      <w:r w:rsidR="007E53B5" w:rsidRPr="00D73B21">
        <w:rPr>
          <w:rFonts w:asciiTheme="minorBidi" w:hAnsiTheme="minorBidi" w:cstheme="minorBidi"/>
          <w:color w:val="000000"/>
        </w:rPr>
        <w:t>Detection fungal antigens by these receptors results in the production of proinflammatory cytokines by activating NF-</w:t>
      </w:r>
      <w:proofErr w:type="spellStart"/>
      <w:r w:rsidR="007E53B5" w:rsidRPr="00D73B21">
        <w:rPr>
          <w:rFonts w:asciiTheme="minorBidi" w:hAnsiTheme="minorBidi" w:cstheme="minorBidi"/>
          <w:color w:val="000000"/>
        </w:rPr>
        <w:t>κB</w:t>
      </w:r>
      <w:proofErr w:type="spellEnd"/>
      <w:r w:rsidR="007E53B5" w:rsidRPr="00D73B21">
        <w:rPr>
          <w:rFonts w:asciiTheme="minorBidi" w:hAnsiTheme="minorBidi" w:cstheme="minorBidi"/>
          <w:color w:val="000000"/>
        </w:rPr>
        <w:t xml:space="preserve"> </w:t>
      </w:r>
      <w:r w:rsidR="00665CE0" w:rsidRPr="00D73B21">
        <w:rPr>
          <w:rFonts w:asciiTheme="minorBidi" w:hAnsiTheme="minorBidi" w:cstheme="minorBidi"/>
          <w:color w:val="000000"/>
        </w:rPr>
        <w:t>signaling</w:t>
      </w:r>
      <w:r w:rsidR="007E53B5" w:rsidRPr="00D73B21">
        <w:rPr>
          <w:rFonts w:asciiTheme="minorBidi" w:hAnsiTheme="minorBidi" w:cstheme="minorBidi"/>
          <w:color w:val="000000"/>
        </w:rPr>
        <w:t xml:space="preserve"> pathway to produce IL-6, TNF and IL-8 </w:t>
      </w:r>
      <w:r w:rsidR="007E53B5" w:rsidRPr="00D73B21">
        <w:rPr>
          <w:rFonts w:asciiTheme="minorBidi" w:hAnsiTheme="minorBidi" w:cstheme="minorBidi"/>
          <w:color w:val="000000"/>
        </w:rPr>
        <w:fldChar w:fldCharType="begin"/>
      </w:r>
      <w:r w:rsidR="00B470C2" w:rsidRPr="00D73B21">
        <w:rPr>
          <w:rFonts w:asciiTheme="minorBidi" w:hAnsiTheme="minorBidi" w:cstheme="minorBidi"/>
          <w:color w:val="000000"/>
        </w:rPr>
        <w:instrText xml:space="preserve"> ADDIN ZOTERO_ITEM CSL_CITATION {"citationID":"xNaMiBAb","properties":{"formattedCitation":"(M. Li et al., 2012)","plainCitation":"(M. Li et al., 2012)","dontUpdate":true,"noteIndex":0},"citationItems":[{"id":8694,"uris":["http://zotero.org/users/2543086/items/4ZUEESLE"],"itemData":{"id":8694,"type":"article-journal","container-title":"Journal of Dermatological Science","DOI":"10.1016/j.jdermsci.2012.01.003","ISSN":"1873-569X","issue":"1","journalAbbreviation":"J Dermatol Sci","language":"eng","note":"PMID: 22305616","page":"80-82","source":"PubMed","title":"Inflammatory response of human keratinocytes triggered by Sporothrix schenckii via Toll-like receptor 2 and 4","volume":"66","author":[{"family":"Li","given":"Min"},{"family":"Chen","given":"Qing"},{"family":"Sun","given":"Jun"},{"family":"Shen","given":"Yongnian"},{"family":"Liu","given":"Weida"}],"issued":{"date-parts":[["2012",4]]}}}],"schema":"https://github.com/citation-style-language/schema/raw/master/csl-citation.json"} </w:instrText>
      </w:r>
      <w:r w:rsidR="007E53B5" w:rsidRPr="00D73B21">
        <w:rPr>
          <w:rFonts w:asciiTheme="minorBidi" w:hAnsiTheme="minorBidi" w:cstheme="minorBidi"/>
          <w:color w:val="000000"/>
        </w:rPr>
        <w:fldChar w:fldCharType="separate"/>
      </w:r>
      <w:r w:rsidR="007E53B5" w:rsidRPr="00D73B21">
        <w:rPr>
          <w:rFonts w:asciiTheme="minorBidi" w:hAnsiTheme="minorBidi" w:cstheme="minorBidi"/>
          <w:noProof/>
          <w:color w:val="000000"/>
        </w:rPr>
        <w:t>(Li et al., 2012)</w:t>
      </w:r>
      <w:r w:rsidR="007E53B5" w:rsidRPr="00D73B21">
        <w:rPr>
          <w:rFonts w:asciiTheme="minorBidi" w:hAnsiTheme="minorBidi" w:cstheme="minorBidi"/>
          <w:color w:val="000000"/>
        </w:rPr>
        <w:fldChar w:fldCharType="end"/>
      </w:r>
      <w:r w:rsidR="007E53B5" w:rsidRPr="00D73B21">
        <w:rPr>
          <w:rFonts w:asciiTheme="minorBidi" w:hAnsiTheme="minorBidi" w:cstheme="minorBidi"/>
          <w:color w:val="000000"/>
        </w:rPr>
        <w:t xml:space="preserve">. </w:t>
      </w:r>
      <w:r w:rsidR="00A00405" w:rsidRPr="00D73B21">
        <w:rPr>
          <w:rFonts w:asciiTheme="minorBidi" w:hAnsiTheme="minorBidi" w:cstheme="minorBidi"/>
          <w:color w:val="000000"/>
        </w:rPr>
        <w:t xml:space="preserve">Following the recognition step, </w:t>
      </w:r>
      <w:r w:rsidR="00A00405" w:rsidRPr="00D73B21">
        <w:rPr>
          <w:rFonts w:ascii="Arial" w:hAnsi="Arial" w:cs="Arial"/>
        </w:rPr>
        <w:t xml:space="preserve">cytokines and chemokines released to attract phagocytic cells and process inflammatory response </w:t>
      </w:r>
      <w:r w:rsidR="00A00405" w:rsidRPr="00D73B21">
        <w:rPr>
          <w:rFonts w:ascii="Arial" w:hAnsi="Arial" w:cs="Arial"/>
        </w:rPr>
        <w:fldChar w:fldCharType="begin"/>
      </w:r>
      <w:r w:rsidR="00A00405" w:rsidRPr="00D73B21">
        <w:rPr>
          <w:rFonts w:ascii="Arial" w:hAnsi="Arial" w:cs="Arial"/>
        </w:rPr>
        <w:instrText xml:space="preserve"> ADDIN ZOTERO_ITEM CSL_CITATION {"citationID":"b3kRmn20","properties":{"formattedCitation":"(Hatinguais et al., 2020)","plainCitation":"(Hatinguais et al., 2020)","noteIndex":0},"citationItems":[{"id":8613,"uris":["http://zotero.org/users/2543086/items/9FRNQ5DP"],"itemData":{"id":8613,"type":"article-journal","abstract":"Fungi are opportunistic pathogens that infect immunocompromised patients and are responsible for an estimated 1.5 million deaths every year. The antifungal innate immune response is mediated through the recognition of pathogen-associated molecular patterns (PAMPs) by the host's pattern recognition receptors (PRRs). PRRs are immune receptors that ensure the internalisation and the killing of fungal pathogens. They also mount the inflammatory response, which contributes to initiate and polarise the adaptive response, controlled by lymphocytes. Both the innate and adaptive immune responses are required to control fungal infections. The immune recognition of fungal pathogen primarily occurs at the interface between the membrane of innate immune cells and the fungal cell wall, which contains a number of PAMPs. This chapter will focus on describing the main mammalian PRRs that have been shown to bind to PAMPs from the fungal cell wall of the four main fungal pathogens: Candida albicans, Aspergillus fumigatus, Cryptococcus neoformans and Pneumocystis jirovecii. We will describe these receptors, their functions and ligands to provide the reader with an overview of how the immune system recognises fungal pathogens and responds to them.","container-title":"Current Topics in Microbiology and Immunology","DOI":"10.1007/82_2020_201","ISSN":"0070-217X","journalAbbreviation":"Curr Top Microbiol Immunol","language":"eng","note":"PMID: 32180018","page":"187-223","source":"PubMed","title":"PAMPs of the Fungal Cell Wall and Mammalian PRRs","volume":"425","author":[{"family":"Hatinguais","given":"Remi"},{"family":"Willment","given":"Janet A."},{"family":"Brown","given":"Gordon D."}],"issued":{"date-parts":[["2020"]]}}}],"schema":"https://github.com/citation-style-language/schema/raw/master/csl-citation.json"} </w:instrText>
      </w:r>
      <w:r w:rsidR="00A00405" w:rsidRPr="00D73B21">
        <w:rPr>
          <w:rFonts w:ascii="Arial" w:hAnsi="Arial" w:cs="Arial"/>
        </w:rPr>
        <w:fldChar w:fldCharType="separate"/>
      </w:r>
      <w:r w:rsidR="00A00405" w:rsidRPr="00D73B21">
        <w:rPr>
          <w:rFonts w:ascii="Arial" w:hAnsi="Arial" w:cs="Arial"/>
          <w:noProof/>
        </w:rPr>
        <w:t>(Hatinguais et al., 2020)</w:t>
      </w:r>
      <w:r w:rsidR="00A00405" w:rsidRPr="00D73B21">
        <w:rPr>
          <w:rFonts w:ascii="Arial" w:hAnsi="Arial" w:cs="Arial"/>
        </w:rPr>
        <w:fldChar w:fldCharType="end"/>
      </w:r>
      <w:r w:rsidR="00A00405" w:rsidRPr="00D73B21">
        <w:rPr>
          <w:rFonts w:ascii="Arial" w:hAnsi="Arial" w:cs="Arial"/>
        </w:rPr>
        <w:t xml:space="preserve">. </w:t>
      </w:r>
      <w:r w:rsidR="00330BFD" w:rsidRPr="00D73B21">
        <w:rPr>
          <w:rStyle w:val="Strong"/>
          <w:rFonts w:ascii="Arial" w:eastAsiaTheme="majorEastAsia" w:hAnsi="Arial" w:cs="Arial"/>
          <w:b w:val="0"/>
          <w:bCs w:val="0"/>
        </w:rPr>
        <w:t xml:space="preserve">Tracking neutrophils, macrophages, and dendritic cells (DCs) directly to the site of infection enhance fungal elements clearance via phagocytosis and generating reactive oxygen species (ROS). Releasing neutrophil extracellular traps (NETs), and secreting AMPs are effectively kill fungal pathogens </w:t>
      </w:r>
      <w:r w:rsidR="00330BFD" w:rsidRPr="00D73B21">
        <w:rPr>
          <w:rFonts w:ascii="Arial" w:hAnsi="Arial" w:cs="Arial"/>
        </w:rPr>
        <w:fldChar w:fldCharType="begin"/>
      </w:r>
      <w:r w:rsidR="00330BFD" w:rsidRPr="00D73B21">
        <w:rPr>
          <w:rFonts w:ascii="Arial" w:hAnsi="Arial" w:cs="Arial"/>
        </w:rPr>
        <w:instrText xml:space="preserve"> ADDIN ZOTERO_ITEM CSL_CITATION {"citationID":"MtsxIEY1","properties":{"formattedCitation":"(Zhong et al., 2022)","plainCitation":"(Zhong et al., 2022)","noteIndex":0},"citationItems":[{"id":8615,"uris":["http://zotero.org/users/2543086/items/STFCFT8A"],"itemData":{"id":8615,"type":"article-journal","abstract":"Fungal infections are a growing health care challenge. Neutrophils play a key role in defense against fungal infections. There are many effective ways for neutrophils to eliminate fungal invaders, such as phagocytosis, oxidative bursts, and the formation of extracellular traps. This process has received considerable attention and has made rapid progress since neutrophil extracellular traps (NETs) formation was described. Here, we describe the formation, induction, and function of NETs, as well as fungal strategies against NETs hunting. We highlight the effects of NETs on common fungal pathogens and how these pathogens survive.","container-title":"Frontiers in Immunology","DOI":"10.3389/fimmu.2022.977493","ISSN":"1664-3224","journalAbbreviation":"Front. Immunol.","language":"English","note":"publisher: Frontiers","source":"Frontiers","title":"Neutrophil extracellular traps in fungal infections: A seesaw battle in hosts","title-short":"Neutrophil extracellular traps in fungal infections","URL":"https://www.frontiersin.org/journals/immunology/articles/10.3389/fimmu.2022.977493/full","volume":"13","author":[{"family":"Zhong","given":"Hua"},{"family":"Lu","given":"Ren-Yi"},{"family":"Wang","given":"Yan"}],"accessed":{"date-parts":[["2025",10,8]]},"issued":{"date-parts":[["2022",9,14]]}}}],"schema":"https://github.com/citation-style-language/schema/raw/master/csl-citation.json"} </w:instrText>
      </w:r>
      <w:r w:rsidR="00330BFD" w:rsidRPr="00D73B21">
        <w:rPr>
          <w:rFonts w:ascii="Arial" w:hAnsi="Arial" w:cs="Arial"/>
        </w:rPr>
        <w:fldChar w:fldCharType="separate"/>
      </w:r>
      <w:r w:rsidR="00330BFD" w:rsidRPr="00D73B21">
        <w:rPr>
          <w:rFonts w:ascii="Arial" w:hAnsi="Arial" w:cs="Arial"/>
          <w:noProof/>
        </w:rPr>
        <w:t>(Zhong et al., 2022)</w:t>
      </w:r>
      <w:r w:rsidR="00330BFD" w:rsidRPr="00D73B21">
        <w:rPr>
          <w:rFonts w:ascii="Arial" w:hAnsi="Arial" w:cs="Arial"/>
        </w:rPr>
        <w:fldChar w:fldCharType="end"/>
      </w:r>
      <w:r w:rsidR="00330BFD" w:rsidRPr="00D73B21">
        <w:rPr>
          <w:rFonts w:ascii="Arial" w:hAnsi="Arial" w:cs="Arial"/>
        </w:rPr>
        <w:t>.</w:t>
      </w:r>
      <w:r w:rsidR="00D33968" w:rsidRPr="00D73B21">
        <w:rPr>
          <w:rFonts w:ascii="Arial" w:hAnsi="Arial" w:cs="Arial"/>
        </w:rPr>
        <w:t xml:space="preserve"> </w:t>
      </w:r>
    </w:p>
    <w:p w14:paraId="3B57F0EE" w14:textId="779502A0" w:rsidR="00CA0438" w:rsidRPr="00D73B21" w:rsidRDefault="007E53B5" w:rsidP="00D33968">
      <w:pPr>
        <w:pStyle w:val="NormalWeb"/>
        <w:spacing w:before="0" w:beforeAutospacing="0" w:after="0" w:afterAutospacing="0" w:line="480" w:lineRule="auto"/>
        <w:jc w:val="both"/>
        <w:rPr>
          <w:rFonts w:ascii="Arial" w:hAnsi="Arial" w:cs="Arial"/>
        </w:rPr>
      </w:pPr>
      <w:r w:rsidRPr="00D73B21">
        <w:rPr>
          <w:rFonts w:asciiTheme="minorBidi" w:hAnsiTheme="minorBidi" w:cstheme="minorBidi"/>
          <w:color w:val="000000"/>
        </w:rPr>
        <w:t>Larger population of innate immune cells such as macrophages, DCs, NKs, mast cells, in addition to specialized adaptive immune cells such as CD4</w:t>
      </w:r>
      <w:r w:rsidRPr="00D73B21">
        <w:rPr>
          <w:rFonts w:asciiTheme="minorBidi" w:hAnsiTheme="minorBidi" w:cstheme="minorBidi"/>
          <w:color w:val="000000"/>
          <w:vertAlign w:val="superscript"/>
        </w:rPr>
        <w:t>+</w:t>
      </w:r>
      <w:r w:rsidRPr="00D73B21">
        <w:rPr>
          <w:rFonts w:asciiTheme="minorBidi" w:hAnsiTheme="minorBidi" w:cstheme="minorBidi"/>
          <w:color w:val="000000"/>
        </w:rPr>
        <w:t xml:space="preserve"> T-cell, lymphocytes </w:t>
      </w:r>
      <w:proofErr w:type="spellStart"/>
      <w:r w:rsidRPr="00D73B21">
        <w:rPr>
          <w:rFonts w:asciiTheme="minorBidi" w:hAnsiTheme="minorBidi" w:cstheme="minorBidi"/>
          <w:color w:val="000000"/>
        </w:rPr>
        <w:t>γδ</w:t>
      </w:r>
      <w:proofErr w:type="spellEnd"/>
      <w:r w:rsidRPr="00D73B21">
        <w:rPr>
          <w:rFonts w:asciiTheme="minorBidi" w:hAnsiTheme="minorBidi" w:cstheme="minorBidi"/>
          <w:color w:val="000000"/>
        </w:rPr>
        <w:t xml:space="preserve"> T are localized within the dermis </w:t>
      </w:r>
      <w:r w:rsidRPr="00D73B21">
        <w:rPr>
          <w:rFonts w:asciiTheme="minorBidi" w:hAnsiTheme="minorBidi" w:cstheme="minorBidi"/>
          <w:color w:val="000000" w:themeColor="text1"/>
        </w:rPr>
        <w:t>layer</w:t>
      </w:r>
      <w:r w:rsidR="00204190" w:rsidRPr="00D73B21">
        <w:rPr>
          <w:rFonts w:asciiTheme="minorBidi" w:hAnsiTheme="minorBidi" w:cstheme="minorBidi"/>
          <w:color w:val="000000" w:themeColor="text1"/>
        </w:rPr>
        <w:t xml:space="preserve"> </w:t>
      </w:r>
      <w:r w:rsidR="00204190" w:rsidRPr="00D73B21">
        <w:rPr>
          <w:rFonts w:ascii="Arial" w:hAnsi="Arial" w:cs="Arial"/>
          <w:color w:val="000000" w:themeColor="text1"/>
        </w:rPr>
        <w:fldChar w:fldCharType="begin"/>
      </w:r>
      <w:r w:rsidR="00204190" w:rsidRPr="00D73B21">
        <w:rPr>
          <w:rFonts w:ascii="Arial" w:hAnsi="Arial" w:cs="Arial"/>
          <w:color w:val="000000" w:themeColor="text1"/>
        </w:rPr>
        <w:instrText xml:space="preserve"> ADDIN ZOTERO_ITEM CSL_CITATION {"citationID":"paRWGFEj","properties":{"formattedCitation":"(Moyes et al., 2021)","plainCitation":"(Moyes et al., 2021)","noteIndex":0},"citationItems":[{"id":8670,"uris":["http://zotero.org/users/2543086/items/APNKVJUE"],"itemData":{"id":8670,"type":"article-journal","abstract":"Fungal infections represent a major health concern, accounting for nearly 1.6 million deaths annually (Brown et al., 2012). Epidemiological reports have demonstrated a growth in the incidence of invasive mycoses, which are associated with immunossupression, such as diminished levels or activity of CD4 + T cells, as observed during the HIV infections, immunosupressive therapy for solid organ transplantation or autoimmune diseases, neutropenia or deficiencies in the neutrophil effector mechanisms (Suleyman and Alangaden, 2016). Risk factors for invasive mycosis paradoxically represent medical advances, such as the use of intravenous catheters, cancer chemotherapy and immunosupressive therapies which has created a growing population of vulnerable patients. Overall, invasive mycoses are associated with unacceptable high lethality rates, which reflects delayed diagnosis, immunosupression and poor responses to antifungal therapy. In particular, the menace posed by the resistance to standard antifungal therapies creates a worrisome scenario (Fairlamb et al., 2016).Integration of innate immune recognition, leukocyte effector responses and adaptive immunity is critical for the control of invasive mycoses. The relevance of the basic knowledge in the immunopathogenesis of mycoses can be observed by the growth in clinical immunomodulation studies, as a rational for new therapies against invasive mycoses (Williams et al., 2020). Thus, comprehension of the immunity to fungal pathogens offers new possibilities for the treatment of invasive mycoses. This topic discusses aspects of the innate immunity and leukocyte activation to fungal pathogens, the repertoire of B and T cell antigen receptors in experimental models of pneumocystosis, as well as a discussion about the control of the expression of fungal toxins involved in the modulation of host responses.Here, Thompson et al. investigate the role of Dectin-2 and Mincle in recognising different Candida speciesnotably C. albicans, C. parapsilosis, C. tropicalis and C. glabrata. They compare the cell wall composition of the different species, looking at cell wall thickness and phosphomannan content, and discussed that the importance of Mincle and Dectin-2 recognition in systemic murine infection models varies with the Candida species that is infecting, indicating the varied nature of fungal detection in the innate immune response.Neutrophil DNA extracellular traps (NETs) are formed in response to fungal pathogens and show fungicidal/fungistatic activity (Urban and Nett, 2019). Eosinophils ETs (EETs) have been observed in human samples from bronchopulmonary aspergillosis cases and human eosinophils release ETs in response to A. fumigatus conidia (Muniz et al., 2018). In this topic, Silva et al. present a review discussing the mechanisms involved in the release of NETs and EETs, in response to fungal pathogens, as well as the role of ETs in the immunity and pathogenesis of fungal infections. In this issue, Barroso et al. describe the signaling pathways involved in the EET formation in response to A. fumigatus. A. fumigatus-induced EET release requires the activity of Src kinases, class IA phosphatidylinositol 3-kinase δ (PI3KIδ), Akt and p38 kinase. Intracellular calcium mobilization is also required for EET formation in response to A. fumigatus, while PAD4mediated histone citrullination is dispensable. EET release does not require A. fumigatus viability, indicating that recognition of A. fumigatus molecular patterns is able to trigger EETosis, while fungal viability and expression of virulence factors are dispensable for the eosinophil activation culminating in the ET release.Fungal infections are a particular problem in the immunocompromised such as patients with HIV. Indeed, one of the defining features of AIDS is respiratory Pneumocystis infection. Normally, these infections are prevented by robust B and T cell responses (Thomas and Limper, 2007). Although gross examination of the different subsets of T cells during these infections has been identified, it is only recently that the tools have been developed to increase the resolution of the T cell immunophenotypes. In this issue, Yang et al. use a combination single cell TCR-Seq and single cell RNA-Seq to identify the subsets of T cells that respond to Pneumocystis infection. In doing so, they reveal the composition and characteristics of clonally expanding T cells, along with their TCR repertoire.In a similar approach, Sun et. al. integrated single-cell RNA and BCR sequencing of immune cells from mouse lungs, comparing uninfected state to 1-4 weeks postinfection groups to detail the dynamic nature of B cell responses during Pneumocystis infection, with ongoing increased plasma cells elevated ratio of (IgA+ IgG) to (IgD+ IgM) after infection. Despite the clonal expansion post-infection, BCR repertoire diversity decreased, with B cell transcriptional changes including a biased usage of V(D)J genes and higher frequency of somatic hypermutation in comparison to na&amp;#239;ve B cells, offering valuable information and tools for the development of immunotherapeutic targets and diagnostic biomarkers.The modulation of inflammatory responses during fungal infections, particularly in the context of how each IL-1 subfamily (IL-1, IL-18, IL-36) members, despite of their clearly defined roles, could act together in determining the disease outcome is reviewed by Griffiths et. al. The authors address their mechanism of induction, the main cellular types responsible for their expression and processing and the immunological and other functional roles of each subfamily member. The authors tackle deeply how several endemically important fungal pathogens could differentially induce each of these IL-1 subfamily cytokines. Their therapeutic potential is further described as modulation of receptors or proteins regulating the IL-1 subfamily might enhance protective anti-fungal immunity or resolve excessive damaging immune responses.Host and fungus interactions trigger responses in a two-way signaling that will lead to fungal adaptation to the host environment, for example the hyphal growth in Candida species. Notably, these interactions can lead to the secretion of different mycotoxins, including ochratoxin, which can mediate different aspects of the pathology associated with infection. In this issue, Gao et al. review the role of G protein coupled receptors (GCPR) in fungi, and their role in regulating the synthesis of mycotoxins. Accordingly, the authors explore the current limited state of knowledge of fungal GPCR biology and how these circuits regulate fungal behavior and mycotoxin synthesis. In doing so, they discuss the importance of these receptors as potential targets in modulating the synthesis of secondary fungal metabolites and regulating fungal behavior.All authors contributed to manuscript revision and draft, read, and approved the submitted version.","container-title":"Frontiers in Microbiology","DOI":"10.3389/fmicb.2021.714013","ISSN":"1664-302X","journalAbbreviation":"Front. Microbiol.","language":"English","note":"publisher: Frontiers","source":"Frontiers","title":"Editorial: Immunity to Fungal Infections: Insights From the Innate Immune Recognition and Antifungal Effector Mechanisms","title-short":"Editorial","URL":"https://www.frontiersin.org/journals/microbiology/articles/10.3389/fmicb.2021.714013/full","volume":"12","author":[{"family":"Moyes","given":"David L."},{"family":"Guimarães","given":"Allan J."},{"family":"Figueiredo","given":"Rodrigo T."}],"accessed":{"date-parts":[["2025",10,9]]},"issued":{"date-parts":[["2021",7,15]]}}}],"schema":"https://github.com/citation-style-language/schema/raw/master/csl-citation.json"} </w:instrText>
      </w:r>
      <w:r w:rsidR="00204190" w:rsidRPr="00D73B21">
        <w:rPr>
          <w:rFonts w:ascii="Arial" w:hAnsi="Arial" w:cs="Arial"/>
          <w:color w:val="000000" w:themeColor="text1"/>
        </w:rPr>
        <w:fldChar w:fldCharType="separate"/>
      </w:r>
      <w:r w:rsidR="00204190" w:rsidRPr="00D73B21">
        <w:rPr>
          <w:rFonts w:ascii="Arial" w:hAnsi="Arial" w:cs="Arial"/>
          <w:noProof/>
          <w:color w:val="000000" w:themeColor="text1"/>
        </w:rPr>
        <w:t>(Moyes et al., 2021)</w:t>
      </w:r>
      <w:r w:rsidR="00204190" w:rsidRPr="00D73B21">
        <w:rPr>
          <w:rFonts w:ascii="Arial" w:hAnsi="Arial" w:cs="Arial"/>
          <w:color w:val="000000" w:themeColor="text1"/>
        </w:rPr>
        <w:fldChar w:fldCharType="end"/>
      </w:r>
      <w:r w:rsidRPr="00D73B21">
        <w:rPr>
          <w:rFonts w:asciiTheme="minorBidi" w:hAnsiTheme="minorBidi" w:cstheme="minorBidi"/>
          <w:color w:val="000000" w:themeColor="text1"/>
        </w:rPr>
        <w:t>. For this reason, the skin is the first mechanical barrier prevent fungal infections.</w:t>
      </w:r>
      <w:r w:rsidR="00AC7DF6" w:rsidRPr="00D73B21">
        <w:rPr>
          <w:rFonts w:asciiTheme="minorBidi" w:hAnsiTheme="minorBidi" w:cstheme="minorBidi"/>
          <w:color w:val="000000" w:themeColor="text1"/>
        </w:rPr>
        <w:t xml:space="preserve"> </w:t>
      </w:r>
      <w:r w:rsidR="00CA0438" w:rsidRPr="00D73B21">
        <w:rPr>
          <w:rFonts w:ascii="Arial" w:hAnsi="Arial" w:cs="Arial"/>
          <w:color w:val="000000" w:themeColor="text1"/>
        </w:rPr>
        <w:t xml:space="preserve">Additionally, antimicrobial peptides (AMPs) exhibit broad-spectrum antimicrobial function that plays an essential role in fungal protection in the human organs, like the skin, respiratory tract, digestive </w:t>
      </w:r>
      <w:r w:rsidR="00CA0438" w:rsidRPr="00D73B21">
        <w:rPr>
          <w:rFonts w:ascii="Arial" w:hAnsi="Arial" w:cs="Arial"/>
          <w:color w:val="000000" w:themeColor="text1"/>
        </w:rPr>
        <w:lastRenderedPageBreak/>
        <w:t xml:space="preserve">system, and bodily fluids such as mucus, saliva, tears, and breast milk </w:t>
      </w:r>
      <w:r w:rsidR="00CA0438" w:rsidRPr="00D73B21">
        <w:rPr>
          <w:rFonts w:ascii="Arial" w:hAnsi="Arial" w:cs="Arial"/>
          <w:color w:val="000000" w:themeColor="text1"/>
        </w:rPr>
        <w:fldChar w:fldCharType="begin"/>
      </w:r>
      <w:r w:rsidR="00CA0438" w:rsidRPr="00D73B21">
        <w:rPr>
          <w:rFonts w:ascii="Arial" w:hAnsi="Arial" w:cs="Arial"/>
          <w:color w:val="000000" w:themeColor="text1"/>
        </w:rPr>
        <w:instrText xml:space="preserve"> ADDIN ZOTERO_ITEM CSL_CITATION {"citationID":"CXly4EF2","properties":{"formattedCitation":"(Abdul-Kareem et al., 2023; Burgess et al., 2022)","plainCitation":"(Abdul-Kareem et al., 2023; Burgess et al., 2022)","noteIndex":0},"citationItems":[{"id":5886,"uris":["http://zotero.org/users/2543086/items/YDV38A6A"],"itemData":{"id":5886,"type":"article-journal","abstract":"Understanding the role of salivary constituents, such as lactoferrin, lysozyme, and secretory immunoglobulin A (sIgA), in immune protection and defense mechanisms against microbial invasion and colonization of the airways is important in light of the ongoing severe acute respiratory syndrome coronavirus 2 (SARS-CoV-2) pandemic. The salivary immune barrier in individuals affected by COVID-19 may contribute to disease prognosis. Thus, the aim of the present review is to evaluate the effect of COVID-19 vaccines on the immunological composition of saliva. IgA antibodies generated by vaccination can neutralize the virus at mucosal surfaces, whereas antimicrobial peptides, such as lysozyme and lactoferrin, have broad-spectrum antimicrobial activity. Collectively, these components contribute to the protective immune response of the oral cavity and may help minimize viral transmission as well as the severity of COVID-19. Measuring the levels of these components in the saliva of COVID-19-vaccinated individuals can help in evaluating the vaccine's ability to induce mucosal immunity, and it might also provide insights into whether saliva can be used in diagnostics or surveillance for monitoring immune responses following vaccination. This also has implications for viral transmission.","container-title":"Archives of Virology","DOI":"10.1007/s00705-023-05914-3","ISSN":"1432-8798","issue":"12","journalAbbreviation":"Arch Virol","language":"en","page":"293","source":"Springer Link","title":"Impact of COVID-19 vaccination on saliva immune barriers: IgA, lysozyme, and lactoferrin","title-short":"Impact of COVID-19 vaccination on saliva immune barriers","volume":"168","author":[{"family":"Abdul-Kareem","given":"Hanadi H."},{"family":"Al-Maqtoofi","given":"Marwan Y."},{"family":"Burghal","given":"Ahmed A."}],"issued":{"date-parts":[["2023",11,16]]}}},{"id":8610,"uris":["http://zotero.org/users/2543086/items/QJDJN9GV"],"itemData":{"id":8610,"type":"article-journal","abstract":"Immunocompromised individuals are at high risk of developing severe fungal infections with high mortality rates, while fungal pathogens pose little risk to most healthy people. Poor therapeutic outcomes and growing antifungal resistance pose further challenges for treatments. Identifying specific immunomodulatory mechanisms exploited by fungal pathogens is critical for our understanding of fungal diseases and development of new therapies. A gap currently exists between the large body of literature concerning the innate immune response to fungal infections and the potential manipulation of host immune responses to aid clearance of infection. This review considers the innate immune mechanisms the host deploys to prevent fungal infection and how these mechanisms fail in immunocompromised hosts. Three clinically relevant fungal pathogens (Candida albicans, Cryptococcus spp. and Aspergillus spp.) will be explored. This review will also examine potential mechanisms of targeting the host therapeutically to improve outcomes of fungal infection.","container-title":"Journal of Fungi","DOI":"10.3390/jof8080805","ISSN":"2309-608X","issue":"8","journalAbbreviation":"J Fungi (Basel)","note":"PMID: 36012793\nPMCID: PMC9409918","page":"805","source":"PubMed Central","title":"A Fun-Guide to Innate Immune Responses to Fungal Infections","volume":"8","author":[{"family":"Burgess","given":"Thomas B."},{"family":"Condliffe","given":"Alison M."},{"family":"Elks","given":"Philip M."}],"issued":{"date-parts":[["2022",7,29]]}}}],"schema":"https://github.com/citation-style-language/schema/raw/master/csl-citation.json"} </w:instrText>
      </w:r>
      <w:r w:rsidR="00CA0438" w:rsidRPr="00D73B21">
        <w:rPr>
          <w:rFonts w:ascii="Arial" w:hAnsi="Arial" w:cs="Arial"/>
          <w:color w:val="000000" w:themeColor="text1"/>
        </w:rPr>
        <w:fldChar w:fldCharType="separate"/>
      </w:r>
      <w:r w:rsidR="00CA0438" w:rsidRPr="00D73B21">
        <w:rPr>
          <w:rFonts w:ascii="Arial" w:hAnsi="Arial" w:cs="Arial"/>
          <w:noProof/>
          <w:color w:val="000000" w:themeColor="text1"/>
        </w:rPr>
        <w:t>(Abdul-Kareem et al., 2023; Burgess et al., 2022)</w:t>
      </w:r>
      <w:r w:rsidR="00CA0438" w:rsidRPr="00D73B21">
        <w:rPr>
          <w:rFonts w:ascii="Arial" w:hAnsi="Arial" w:cs="Arial"/>
          <w:color w:val="000000" w:themeColor="text1"/>
        </w:rPr>
        <w:fldChar w:fldCharType="end"/>
      </w:r>
      <w:r w:rsidR="00CA0438" w:rsidRPr="00D73B21">
        <w:rPr>
          <w:rFonts w:ascii="Arial" w:hAnsi="Arial" w:cs="Arial"/>
          <w:color w:val="000000" w:themeColor="text1"/>
        </w:rPr>
        <w:t>.</w:t>
      </w:r>
    </w:p>
    <w:p w14:paraId="37C2AC6F" w14:textId="7FC86F79" w:rsidR="00CA0438" w:rsidRPr="00D73B21" w:rsidRDefault="00CA0438" w:rsidP="00F87C93">
      <w:pPr>
        <w:pStyle w:val="NormalWeb"/>
        <w:spacing w:before="0" w:beforeAutospacing="0" w:after="0" w:afterAutospacing="0" w:line="480" w:lineRule="auto"/>
        <w:jc w:val="both"/>
        <w:rPr>
          <w:rFonts w:ascii="Arial" w:hAnsi="Arial" w:cs="Arial"/>
        </w:rPr>
      </w:pPr>
      <w:r w:rsidRPr="00D73B21">
        <w:rPr>
          <w:rFonts w:ascii="Arial" w:hAnsi="Arial" w:cs="Arial"/>
        </w:rPr>
        <w:t>DCs have a critical role in evoking the adaptive immunity by capturing fungal antigens and presenting them to naïve T cells in secondary lymphoid tissues</w:t>
      </w:r>
      <w:r w:rsidR="002126FF" w:rsidRPr="00D73B21">
        <w:rPr>
          <w:rFonts w:ascii="Arial" w:hAnsi="Arial" w:cs="Arial"/>
        </w:rPr>
        <w:t xml:space="preserve"> </w:t>
      </w:r>
      <w:r w:rsidR="002126FF" w:rsidRPr="00D73B21">
        <w:rPr>
          <w:rFonts w:ascii="Arial" w:hAnsi="Arial" w:cs="Arial"/>
          <w:color w:val="000000" w:themeColor="text1"/>
        </w:rPr>
        <w:fldChar w:fldCharType="begin"/>
      </w:r>
      <w:r w:rsidR="002126FF" w:rsidRPr="00D73B21">
        <w:rPr>
          <w:rFonts w:ascii="Arial" w:hAnsi="Arial" w:cs="Arial"/>
          <w:color w:val="000000" w:themeColor="text1"/>
        </w:rPr>
        <w:instrText xml:space="preserve"> ADDIN ZOTERO_ITEM CSL_CITATION {"citationID":"QrKpkgJq","properties":{"formattedCitation":"(Kulkarni &amp; Nanjappa, 2025)","plainCitation":"(Kulkarni &amp; Nanjappa, 2025)","noteIndex":0},"citationItems":[{"id":8696,"uris":["http://zotero.org/users/2543086/items/2GXJMS9G"],"itemData":{"id":8696,"type":"article-journal","abstract":"The incidence rates of fungal infections are increasing, especially in immunocompromised individuals without an FDA-approved vaccine. Accumulating evidence suggests that T cells are instrumental in providing fungal immunity. An apt stimulation and responses of dendritic cells are pivotal in inducing T-cell responses and vaccine success. Using a mouse model of fungal vaccination, we explored the dynamics, kinetics, activation, and antigen presentation of dendritic cell subsets to unravel the features of dendritic cell responses in the absence of CD4+ T cell help. The subcutaneous fungal vaccination induced more robust cDC2 responses than the cDC1 subset in draining lymph nodes. A single immunization with Blastomyces yeasts bolstered DC responses that peaked around day 5 before reverting to basal levels by day 15. The migratory cDC2 was the dominant DC subset, with higher numbers than all other DC subsets combined. Fungal vaccination augmented costimulatory molecules CD80 and CD86 without altering the levels of MHC molecules. Despite the higher fungal antigen uptake with migratory cDC2, the mean cross-presentation ability of all DC subsets was similar. Counterintuitively, deleting CD4+ T cells enhanced the DC responses, and CD4+ T cells were dispensable for conventional cross-presenting cDC1 responses. Collectively, our study shows that fungal vaccination selectively augmented cDC2 responses, and CD4+ T cells were dispensable for DC activation, antigen uptake, expression of costimulatory molecules, and cross-presentation. Our study provides novel insights into DC responses to an effective fungal vaccine for designing efficacious vaccines tailored for immunocompromised hosts.","container-title":"Frontiers in Immunology","DOI":"10.3389/fimmu.2025.1602174","ISSN":"1664-3224","journalAbbreviation":"Front. Immunol.","language":"English","note":"publisher: Frontiers","source":"Frontiers","title":"Fungal immunization potentiates CD4+ T cell-independent cDC2 responses for cross-presentation","URL":"https://www.frontiersin.org/journals/immunology/articles/10.3389/fimmu.2025.1602174/full","volume":"16","author":[{"family":"Kulkarni","given":"Nitish A."},{"family":"Nanjappa","given":"Som G."}],"accessed":{"date-parts":[["2025",10,15]]},"issued":{"date-parts":[["2025",5,26]]}}}],"schema":"https://github.com/citation-style-language/schema/raw/master/csl-citation.json"} </w:instrText>
      </w:r>
      <w:r w:rsidR="002126FF" w:rsidRPr="00D73B21">
        <w:rPr>
          <w:rFonts w:ascii="Arial" w:hAnsi="Arial" w:cs="Arial"/>
          <w:color w:val="000000" w:themeColor="text1"/>
        </w:rPr>
        <w:fldChar w:fldCharType="separate"/>
      </w:r>
      <w:r w:rsidR="002126FF" w:rsidRPr="00D73B21">
        <w:rPr>
          <w:rFonts w:ascii="Arial" w:hAnsi="Arial" w:cs="Arial"/>
          <w:noProof/>
          <w:color w:val="000000" w:themeColor="text1"/>
        </w:rPr>
        <w:t>(Kulkarni &amp; Nanjappa, 2025)</w:t>
      </w:r>
      <w:r w:rsidR="002126FF" w:rsidRPr="00D73B21">
        <w:rPr>
          <w:rFonts w:ascii="Arial" w:hAnsi="Arial" w:cs="Arial"/>
          <w:color w:val="000000" w:themeColor="text1"/>
        </w:rPr>
        <w:fldChar w:fldCharType="end"/>
      </w:r>
      <w:r w:rsidRPr="00D73B21">
        <w:rPr>
          <w:rFonts w:ascii="Arial" w:hAnsi="Arial" w:cs="Arial"/>
          <w:color w:val="000000" w:themeColor="text1"/>
        </w:rPr>
        <w:t>.</w:t>
      </w:r>
      <w:r w:rsidRPr="00D73B21">
        <w:rPr>
          <w:rFonts w:ascii="Arial" w:hAnsi="Arial" w:cs="Arial"/>
        </w:rPr>
        <w:t xml:space="preserve"> Recent studies showed that monocytes and natural killer (NK) cells can train immunity after exposure to fungal β-glucans </w:t>
      </w:r>
      <w:r w:rsidRPr="00D73B21">
        <w:rPr>
          <w:rFonts w:ascii="Arial" w:hAnsi="Arial" w:cs="Arial"/>
        </w:rPr>
        <w:fldChar w:fldCharType="begin"/>
      </w:r>
      <w:r w:rsidRPr="00D73B21">
        <w:rPr>
          <w:rFonts w:ascii="Arial" w:hAnsi="Arial" w:cs="Arial"/>
        </w:rPr>
        <w:instrText xml:space="preserve"> ADDIN ZOTERO_ITEM CSL_CITATION {"citationID":"aOxH6OPs","properties":{"formattedCitation":"(Quintin, 2019)","plainCitation":"(Quintin, 2019)","noteIndex":0},"citationItems":[{"id":8631,"uris":["http://zotero.org/users/2543086/items/37KKE65D"],"itemData":{"id":8631,"type":"article-journal","abstract":"The binary classification of mammalian immune memory is now obsolete. Innate immune cells carry memory characteristics. The overall capacity of innate immune cells to remember and alter their responses is referred as innate immune memory and the induction of a non-specific memory resulting in an enhanced immune status is termed “trained immunity”. Historically, trained immunity was first described as triggered by the human fungal pathogen Candida albicans. Since, numerous studies have accumulated and deciphered the main characteristics of trained immunity mediated by fungi and fungal components. This review aims at presenting the newly described aspect of memory in innate immunity with an emphasis on the historically fungal mediated one, covering the known molecular mechanisms associated with training. In addition, the review uncovers the numerous non-specific effect that β-glucans trigger in the context of infectious diseases and septicaemia, inflammatory diseases and cancer.","collection-title":"Mammalian innate immunity to fungal infection","container-title":"Seminars in Cell &amp; Developmental Biology","DOI":"10.1016/j.semcdb.2018.05.023","ISSN":"1084-9521","journalAbbreviation":"Seminars in Cell &amp; Developmental Biology","page":"71-77","source":"ScienceDirect","title":"Fungal mediated innate immune memory, what have we learned?","volume":"89","author":[{"family":"Quintin","given":"Jessica"}],"issued":{"date-parts":[["2019",5,1]]}}}],"schema":"https://github.com/citation-style-language/schema/raw/master/csl-citation.json"} </w:instrText>
      </w:r>
      <w:r w:rsidRPr="00D73B21">
        <w:rPr>
          <w:rFonts w:ascii="Arial" w:hAnsi="Arial" w:cs="Arial"/>
        </w:rPr>
        <w:fldChar w:fldCharType="separate"/>
      </w:r>
      <w:r w:rsidRPr="00D73B21">
        <w:rPr>
          <w:rFonts w:ascii="Arial" w:hAnsi="Arial" w:cs="Arial"/>
          <w:noProof/>
        </w:rPr>
        <w:t>(Quintin, 2019)</w:t>
      </w:r>
      <w:r w:rsidRPr="00D73B21">
        <w:rPr>
          <w:rFonts w:ascii="Arial" w:hAnsi="Arial" w:cs="Arial"/>
        </w:rPr>
        <w:fldChar w:fldCharType="end"/>
      </w:r>
      <w:r w:rsidRPr="00D73B21">
        <w:rPr>
          <w:rFonts w:ascii="Arial" w:hAnsi="Arial" w:cs="Arial"/>
        </w:rPr>
        <w:t xml:space="preserve">. </w:t>
      </w:r>
    </w:p>
    <w:p w14:paraId="425DED39" w14:textId="77777777" w:rsidR="00CA0438" w:rsidRPr="00D73B21" w:rsidRDefault="00CA0438" w:rsidP="00F87C93">
      <w:pPr>
        <w:pStyle w:val="NormalWeb"/>
        <w:spacing w:before="0" w:beforeAutospacing="0" w:after="0" w:afterAutospacing="0" w:line="480" w:lineRule="auto"/>
        <w:jc w:val="both"/>
        <w:rPr>
          <w:rStyle w:val="Strong"/>
          <w:rFonts w:ascii="Arial" w:eastAsiaTheme="majorEastAsia" w:hAnsi="Arial" w:cs="Arial"/>
        </w:rPr>
      </w:pPr>
    </w:p>
    <w:p w14:paraId="286287D0" w14:textId="77777777" w:rsidR="00CA0438" w:rsidRPr="00D73B21" w:rsidRDefault="00CA0438" w:rsidP="00F87C93">
      <w:pPr>
        <w:pStyle w:val="NormalWeb"/>
        <w:spacing w:before="0" w:beforeAutospacing="0" w:after="0" w:afterAutospacing="0" w:line="480" w:lineRule="auto"/>
        <w:jc w:val="both"/>
        <w:rPr>
          <w:rFonts w:ascii="Arial" w:hAnsi="Arial" w:cs="Arial"/>
        </w:rPr>
      </w:pPr>
      <w:r w:rsidRPr="00D73B21">
        <w:rPr>
          <w:rStyle w:val="Strong"/>
          <w:rFonts w:ascii="Arial" w:eastAsiaTheme="majorEastAsia" w:hAnsi="Arial" w:cs="Arial"/>
        </w:rPr>
        <w:t>Fungal Antigen Presentation and Adaptive Immunity</w:t>
      </w:r>
    </w:p>
    <w:p w14:paraId="670103D0" w14:textId="59213067" w:rsidR="00CA0438" w:rsidRPr="00D73B21" w:rsidRDefault="00CA0438" w:rsidP="00127A8A">
      <w:pPr>
        <w:pStyle w:val="NormalWeb"/>
        <w:spacing w:before="0" w:beforeAutospacing="0" w:after="0" w:afterAutospacing="0" w:line="480" w:lineRule="auto"/>
        <w:jc w:val="both"/>
        <w:rPr>
          <w:rFonts w:ascii="Arial" w:hAnsi="Arial" w:cs="Arial"/>
        </w:rPr>
      </w:pPr>
      <w:r w:rsidRPr="00D73B21">
        <w:rPr>
          <w:rFonts w:ascii="Arial" w:hAnsi="Arial" w:cs="Arial"/>
          <w:color w:val="1B1B1B"/>
          <w:shd w:val="clear" w:color="auto" w:fill="FFFFFF"/>
        </w:rPr>
        <w:t xml:space="preserve">Managing fungal antigen detection requires coordinating the host's innate and adaptive immune response to eradicate the pathogen and initiate immunological memory. DCs through their PRRs and antigen presentation to antigen-specific </w:t>
      </w:r>
      <w:r w:rsidRPr="00D73B21">
        <w:rPr>
          <w:rFonts w:ascii="Arial" w:hAnsi="Arial" w:cs="Arial"/>
          <w:color w:val="1B1B1B"/>
          <w:shd w:val="clear" w:color="auto" w:fill="FFFFFF"/>
        </w:rPr>
        <w:br/>
        <w:t xml:space="preserve">T and B cells link both innate and adaptive immune response through </w:t>
      </w:r>
      <w:r w:rsidRPr="00D73B21">
        <w:rPr>
          <w:rFonts w:ascii="Arial" w:hAnsi="Arial" w:cs="Arial"/>
        </w:rPr>
        <w:t>upregulation of co-stimulatory molecules interaction (CD80, CD86 and CD40) and major histocompatibility complex (MHC) molecules class II between DCs and naïve CD4</w:t>
      </w:r>
      <w:r w:rsidRPr="00D73B21">
        <w:rPr>
          <w:rFonts w:ascii="Arial" w:hAnsi="Arial" w:cs="Arial"/>
          <w:color w:val="1B1B1B"/>
          <w:shd w:val="clear" w:color="auto" w:fill="FFFFFF"/>
          <w:vertAlign w:val="superscript"/>
        </w:rPr>
        <w:t>+</w:t>
      </w:r>
      <w:r w:rsidRPr="00D73B21">
        <w:rPr>
          <w:rFonts w:ascii="Arial" w:hAnsi="Arial" w:cs="Arial"/>
        </w:rPr>
        <w:t xml:space="preserve"> T-cells (</w:t>
      </w:r>
      <w:r w:rsidRPr="00D73B21">
        <w:rPr>
          <w:rFonts w:ascii="Arial" w:hAnsi="Arial" w:cs="Arial"/>
          <w:b/>
          <w:bCs/>
        </w:rPr>
        <w:t>Figure 1</w:t>
      </w:r>
      <w:r w:rsidRPr="00D73B21">
        <w:rPr>
          <w:rFonts w:ascii="Arial" w:hAnsi="Arial" w:cs="Arial"/>
        </w:rPr>
        <w:t xml:space="preserve">) </w:t>
      </w:r>
      <w:r w:rsidRPr="00D73B21">
        <w:rPr>
          <w:rFonts w:ascii="Arial" w:hAnsi="Arial" w:cs="Arial"/>
        </w:rPr>
        <w:fldChar w:fldCharType="begin"/>
      </w:r>
      <w:r w:rsidRPr="00D73B21">
        <w:rPr>
          <w:rFonts w:ascii="Arial" w:hAnsi="Arial" w:cs="Arial"/>
        </w:rPr>
        <w:instrText xml:space="preserve"> ADDIN ZOTERO_ITEM CSL_CITATION {"citationID":"hpBFh86x","properties":{"formattedCitation":"(Goughenour et al., 2023)","plainCitation":"(Goughenour et al., 2023)","noteIndex":0},"citationItems":[{"id":8634,"uris":["http://zotero.org/users/2543086/items/PJLC9WTI"],"itemData":{"id":8634,"type":"article-journal","abstract":"Fungal infections are an increasingly growing public health concern, and Cryptococcus is one of the most problematic fungal organisms causing substantial mortality and morbidity worldwide. Clinically, this high incidence of cryptococcosis is most commonly seen in immunocompromised patients, especially those who lack an adaptive T cell response, such as HIV/AIDS patients. However, patients with other underlying immunodeficiencies are also at an increased risk for cryptococcosis. The adaptive immune response, in particular the Th1/Th17 T-cell-mediated responses, to pulmonary Cryptococcus infections are required for host protection. Dendritic cells (DCs), encompassing multiple subsets identified to date, are recognized as the major professional antigen-presenting cell (APC) subset essential for the initiation and execution of T-cell immunity. Apart from their prominent role in orchestration of the adaptive arm of the immune defenses, DCs are fully armed cells from the innate immune system capable of the recognition, uptake, and killing of the fungal cells. Thus, DCs serve as a critical point for the endpoint outcomes of either fungal control or unrestrained fungal infection. Multiple studies have shown that DCs are required for anti-cryptococcal defense in the lungs. In addition, the role of DCs in Cryptococcus gattii infections is just starting to be elucidated. C. gattii has recently risen to prominence with multiple outbreaks in the US and Canada, demonstrating increased virulence in non-immunocompromised individuals. C. gattii infection fails to generate an inflammatory immune response or a protective Th1/Th17 T cell response, at least in part, through a lack of proper DC function. Here we summarize the multiple roles of DCs, including subsets of DCs in both mouse and human models, the roles of DCs during cryptococcal infection, and mechanisms by cryptococcal cells to attempt to undermine these host defenses.","container-title":"Journal of Fungi","DOI":"10.3390/jof9111050","ISSN":"2309-608X","issue":"11","journalAbbreviation":"J Fungi (Basel)","note":"PMID: 37998856\nPMCID: PMC10672120","page":"1050","source":"PubMed Central","title":"Dendritic Cells: Multifunctional Roles in Host Defenses to Cryptococcus Infections","title-short":"Dendritic Cells","volume":"9","author":[{"family":"Goughenour","given":"Kristie D."},{"family":"Nair","given":"Ayesha S."},{"family":"Xu","given":"Jintao"},{"family":"Olszewski","given":"Michal A."},{"family":"Wozniak","given":"Karen L."}],"issued":{"date-parts":[["2023",10,26]]}}}],"schema":"https://github.com/citation-style-language/schema/raw/master/csl-citation.json"} </w:instrText>
      </w:r>
      <w:r w:rsidRPr="00D73B21">
        <w:rPr>
          <w:rFonts w:ascii="Arial" w:hAnsi="Arial" w:cs="Arial"/>
        </w:rPr>
        <w:fldChar w:fldCharType="separate"/>
      </w:r>
      <w:r w:rsidRPr="00D73B21">
        <w:rPr>
          <w:rFonts w:ascii="Arial" w:hAnsi="Arial" w:cs="Arial"/>
          <w:noProof/>
        </w:rPr>
        <w:t>(Goughenour et al., 2023)</w:t>
      </w:r>
      <w:r w:rsidRPr="00D73B21">
        <w:rPr>
          <w:rFonts w:ascii="Arial" w:hAnsi="Arial" w:cs="Arial"/>
        </w:rPr>
        <w:fldChar w:fldCharType="end"/>
      </w:r>
      <w:r w:rsidRPr="00D73B21">
        <w:rPr>
          <w:rFonts w:ascii="Arial" w:hAnsi="Arial" w:cs="Arial"/>
        </w:rPr>
        <w:t>. CD4</w:t>
      </w:r>
      <w:r w:rsidRPr="00D73B21">
        <w:rPr>
          <w:rFonts w:ascii="Arial" w:hAnsi="Arial" w:cs="Arial"/>
          <w:color w:val="1B1B1B"/>
          <w:shd w:val="clear" w:color="auto" w:fill="FFFFFF"/>
          <w:vertAlign w:val="superscript"/>
        </w:rPr>
        <w:t>+</w:t>
      </w:r>
      <w:r w:rsidRPr="00D73B21">
        <w:rPr>
          <w:rFonts w:ascii="Arial" w:hAnsi="Arial" w:cs="Arial"/>
        </w:rPr>
        <w:t xml:space="preserve"> T-cells significantly activate host immunity by inducing innate inflammatory immune responses and </w:t>
      </w:r>
      <w:r w:rsidRPr="00D73B21">
        <w:rPr>
          <w:rFonts w:ascii="Arial" w:hAnsi="Arial" w:cs="Arial"/>
          <w:color w:val="1B1B1B"/>
          <w:shd w:val="clear" w:color="auto" w:fill="FFFFFF"/>
        </w:rPr>
        <w:t xml:space="preserve">mediating fungicidal activity. Surface and intracellular PRRs help DCs to recognize fungal antigens such as </w:t>
      </w:r>
      <w:r w:rsidRPr="00D73B21">
        <w:rPr>
          <w:rFonts w:ascii="Arial" w:hAnsi="Arial" w:cs="Arial"/>
        </w:rPr>
        <w:t>β-glucans and mannose</w:t>
      </w:r>
      <w:r w:rsidRPr="00D73B21">
        <w:rPr>
          <w:rFonts w:ascii="Arial" w:hAnsi="Arial" w:cs="Arial"/>
          <w:color w:val="1B1B1B"/>
          <w:shd w:val="clear" w:color="auto" w:fill="FFFFFF"/>
        </w:rPr>
        <w:t>. Activated CD4</w:t>
      </w:r>
      <w:r w:rsidRPr="00D73B21">
        <w:rPr>
          <w:rFonts w:ascii="Arial" w:hAnsi="Arial" w:cs="Arial"/>
          <w:color w:val="1B1B1B"/>
          <w:shd w:val="clear" w:color="auto" w:fill="FFFFFF"/>
          <w:vertAlign w:val="superscript"/>
        </w:rPr>
        <w:t>+</w:t>
      </w:r>
      <w:r w:rsidRPr="00D73B21">
        <w:rPr>
          <w:rFonts w:ascii="Arial" w:hAnsi="Arial" w:cs="Arial"/>
          <w:color w:val="1B1B1B"/>
          <w:shd w:val="clear" w:color="auto" w:fill="FFFFFF"/>
        </w:rPr>
        <w:t> T-cells lead to differentiation into a T-helper (Th) subset of Th1, Th2, Th17, and Treg (regulatory T cell)</w:t>
      </w:r>
      <w:r w:rsidRPr="00D73B21">
        <w:rPr>
          <w:rFonts w:ascii="Arial" w:hAnsi="Arial" w:cs="Arial"/>
        </w:rPr>
        <w:t xml:space="preserve"> </w:t>
      </w:r>
      <w:r w:rsidR="00127A8A" w:rsidRPr="00D73B21">
        <w:rPr>
          <w:rFonts w:ascii="Arial" w:hAnsi="Arial" w:cs="Arial"/>
        </w:rPr>
        <w:fldChar w:fldCharType="begin"/>
      </w:r>
      <w:r w:rsidR="00127A8A" w:rsidRPr="00D73B21">
        <w:rPr>
          <w:rFonts w:ascii="Arial" w:hAnsi="Arial" w:cs="Arial"/>
        </w:rPr>
        <w:instrText xml:space="preserve"> ADDIN ZOTERO_ITEM CSL_CITATION {"citationID":"xvDgxF6d","properties":{"formattedCitation":"(Lee, 2023)","plainCitation":"(Lee, 2023)","noteIndex":0},"citationItems":[{"id":8706,"uris":["http://zotero.org/users/2543086/items/TCZL29EI"],"itemData":{"id":8706,"type":"article-journal","abstract":"Th cells, which orchestrate immune responses to various pathogens, differentiate from naïve CD4 T cells into several subsets that stimulate and regulate immune responses against various types of pathogens, as well as a variety of immune-related diseases. Decades of research have revealed that the fate decision processes are controlled by cytokines, cytokine receptor signaling, and master transcription factors that drive the differentiation programs. Since the Th1 and Th2 paradigm was proposed, many subsets have been added to the list. In this review, I will summarize these events, including the fate decision processes, subset functions, transcriptional regulation, metabolic regulation, and plasticity and heterogeneity. I will also introduce current topics of interest.","container-title":"Immune Network","DOI":"10.4110/in.2023.23.e4","ISSN":"1598-2629","issue":"1","journalAbbreviation":"Immune Netw","note":"PMID: 36911803\nPMCID: PMC9995992","page":"e4","source":"PubMed Central","title":"Molecular Mechanisms of T Helper Cell Differentiation and Functional Specialization","volume":"23","author":[{"family":"Lee","given":"Gap Ryol"}],"issued":{"date-parts":[["2023",2,17]]}}}],"schema":"https://github.com/citation-style-language/schema/raw/master/csl-citation.json"} </w:instrText>
      </w:r>
      <w:r w:rsidR="00127A8A" w:rsidRPr="00D73B21">
        <w:rPr>
          <w:rFonts w:ascii="Arial" w:hAnsi="Arial" w:cs="Arial"/>
        </w:rPr>
        <w:fldChar w:fldCharType="separate"/>
      </w:r>
      <w:r w:rsidR="00127A8A" w:rsidRPr="00D73B21">
        <w:rPr>
          <w:rFonts w:ascii="Arial" w:hAnsi="Arial" w:cs="Arial"/>
          <w:noProof/>
        </w:rPr>
        <w:t>(Lee, 2023)</w:t>
      </w:r>
      <w:r w:rsidR="00127A8A" w:rsidRPr="00D73B21">
        <w:rPr>
          <w:rFonts w:ascii="Arial" w:hAnsi="Arial" w:cs="Arial"/>
        </w:rPr>
        <w:fldChar w:fldCharType="end"/>
      </w:r>
      <w:r w:rsidRPr="00D73B21">
        <w:rPr>
          <w:rFonts w:ascii="Arial" w:hAnsi="Arial" w:cs="Arial"/>
          <w:color w:val="1B1B1B"/>
          <w:shd w:val="clear" w:color="auto" w:fill="FFFFFF"/>
        </w:rPr>
        <w:t xml:space="preserve">. Each of these cells are characterized by specific cytokines production, Th1 cells release interferon-γ (IFN-γ), that play a key role in host defense against intracellular pathogens, Th2 cells are characterized by the production of IL-4, and Th17 cells release unique series of cytokine such as IL-17 family, IL-21, and IL-22 that have a crucial task in fungal infections </w:t>
      </w:r>
      <w:r w:rsidR="00625D37" w:rsidRPr="00D73B21">
        <w:rPr>
          <w:rFonts w:ascii="Arial" w:hAnsi="Arial" w:cs="Arial"/>
          <w:color w:val="1B1B1B"/>
          <w:shd w:val="clear" w:color="auto" w:fill="FFFFFF"/>
        </w:rPr>
        <w:fldChar w:fldCharType="begin"/>
      </w:r>
      <w:r w:rsidR="00625D37" w:rsidRPr="00D73B21">
        <w:rPr>
          <w:rFonts w:ascii="Arial" w:hAnsi="Arial" w:cs="Arial"/>
          <w:color w:val="1B1B1B"/>
          <w:shd w:val="clear" w:color="auto" w:fill="FFFFFF"/>
        </w:rPr>
        <w:instrText xml:space="preserve"> ADDIN ZOTERO_ITEM CSL_CITATION {"citationID":"ZU6mRw5O","properties":{"formattedCitation":"(Aziz et al., 2023; Davidson et al., 2022)","plainCitation":"(Aziz et al., 2023; Davidson et al., 2022)","noteIndex":0},"citationItems":[{"id":8649,"uris":["http://zotero.org/users/2543086/items/ZFUJVB3N"],"itemData":{"id":8649,"type":"article-journal","abstract":"The field of Interleukin-17 (IL-17) biology has received more attention during the last decade for evaluating the role of this cytokine to enhance the host defence against microbial infections. IL-17 is essential in controlling microbial colonization through the expeditious innate immune response to pathogens which involves the recruitment of neutrophils and the induction of antimicrobial peptides. IL-17 is synthesized by cell populations predominantly present within epithelial barriers, including specific subsets of Th17 cells and innate lymphoid cells. In this review, we highlight both bacterial and fungal infections in human eyes and the role of IL-17 in host defence in addition to the benefit of using IL-17 for immunotherapy.","container-title":"Acta Microbiologica Hellenica","DOI":"10.5281/ZENODO.10203266","ISSN":"0438-9573","language":"en","license":"Creative Commons Attribution 4.0 International","note":"publisher: Zenodo","page":"231-239","source":"DOI.org (Datacite)","title":"Interleukin-17 and Immunity of Ocular infections","author":[{"family":"Aziz","given":"I.-A."},{"family":"Al-Maqtoofi","given":"M.Y."},{"family":"Burghal","given":"A.A."}],"issued":{"date-parts":[["2023"]]}}},{"id":8703,"uris":["http://zotero.org/users/2543086/items/AWNAGEDA"],"itemData":{"id":8703,"type":"article-journal","container-title":"The Lancet Regional Health – Europe","DOI":"10.1016/j.lanepe.2021.100266","ISSN":"2666-7762","journalAbbreviation":"The Lancet Regional Health – Europe","language":"English","note":"publisher: Elsevier\nPMID: 34950923","source":"www.thelancet.com","title":"Risk of candidiasis associated with interleukin-17 inhibitors: A real-world observational study of multiple independent sources","title-short":"Risk of candidiasis associated with interleukin-17 inhibitors","URL":"https://www.thelancet.com/journals/lanepe/article/PIIS2666-7762(21)00252-0/fulltext","volume":"13","author":[{"family":"Davidson","given":"Linda"},{"family":"Reek","given":"Juul M. P. A.","dropping-particle":"van den"},{"family":"Bruno","given":"Mariolina"},{"family":"Hunsel","given":"Florence","dropping-particle":"van"},{"family":"Herings","given":"Ron M. C."},{"family":"Matzaraki","given":"Vasiliki"},{"family":"Boahen","given":"Collins K."},{"family":"Kumar","given":"Vinod"},{"family":"Groenewoud","given":"Hans M. M."},{"family":"Veerdonk","given":"Frank L.","dropping-particle":"van de"},{"family":"Netea","given":"Mihai G."},{"family":"Jong","given":"Elke M. G. J.","dropping-particle":"de"},{"family":"Kullberg","given":"Bart Jan"}],"accessed":{"date-parts":[["2025",10,15]]},"issued":{"date-parts":[["2022",2,1]]}}}],"schema":"https://github.com/citation-style-language/schema/raw/master/csl-citation.json"} </w:instrText>
      </w:r>
      <w:r w:rsidR="00625D37" w:rsidRPr="00D73B21">
        <w:rPr>
          <w:rFonts w:ascii="Arial" w:hAnsi="Arial" w:cs="Arial"/>
          <w:color w:val="1B1B1B"/>
          <w:shd w:val="clear" w:color="auto" w:fill="FFFFFF"/>
        </w:rPr>
        <w:fldChar w:fldCharType="separate"/>
      </w:r>
      <w:r w:rsidR="00625D37" w:rsidRPr="00D73B21">
        <w:rPr>
          <w:rFonts w:ascii="Arial" w:hAnsi="Arial" w:cs="Arial"/>
          <w:noProof/>
          <w:color w:val="1B1B1B"/>
          <w:shd w:val="clear" w:color="auto" w:fill="FFFFFF"/>
        </w:rPr>
        <w:t>(Aziz et al., 2023; Davidson et al., 2022)</w:t>
      </w:r>
      <w:r w:rsidR="00625D37" w:rsidRPr="00D73B21">
        <w:rPr>
          <w:rFonts w:ascii="Arial" w:hAnsi="Arial" w:cs="Arial"/>
          <w:color w:val="1B1B1B"/>
          <w:shd w:val="clear" w:color="auto" w:fill="FFFFFF"/>
        </w:rPr>
        <w:fldChar w:fldCharType="end"/>
      </w:r>
      <w:r w:rsidR="00625D37" w:rsidRPr="00D73B21">
        <w:rPr>
          <w:rFonts w:ascii="Arial" w:hAnsi="Arial" w:cs="Arial"/>
          <w:color w:val="1B1B1B"/>
          <w:shd w:val="clear" w:color="auto" w:fill="FFFFFF"/>
        </w:rPr>
        <w:t>.</w:t>
      </w:r>
      <w:r w:rsidRPr="00D73B21">
        <w:rPr>
          <w:rFonts w:ascii="Arial" w:hAnsi="Arial" w:cs="Arial"/>
          <w:color w:val="1B1B1B"/>
          <w:shd w:val="clear" w:color="auto" w:fill="FFFFFF"/>
        </w:rPr>
        <w:t xml:space="preserve"> CD8</w:t>
      </w:r>
      <w:r w:rsidRPr="00D73B21">
        <w:rPr>
          <w:rFonts w:ascii="Arial" w:hAnsi="Arial" w:cs="Arial"/>
          <w:color w:val="1B1B1B"/>
          <w:shd w:val="clear" w:color="auto" w:fill="FFFFFF"/>
          <w:vertAlign w:val="superscript"/>
        </w:rPr>
        <w:t>+</w:t>
      </w:r>
      <w:r w:rsidRPr="00D73B21">
        <w:rPr>
          <w:rFonts w:ascii="Arial" w:hAnsi="Arial" w:cs="Arial"/>
          <w:color w:val="1B1B1B"/>
          <w:shd w:val="clear" w:color="auto" w:fill="FFFFFF"/>
        </w:rPr>
        <w:t> T cells may participate in fungal clearance through</w:t>
      </w:r>
      <w:r w:rsidRPr="00D73B21">
        <w:rPr>
          <w:rFonts w:ascii="Arial" w:hAnsi="Arial" w:cs="Arial"/>
        </w:rPr>
        <w:t xml:space="preserve"> cross-presented via MHC class I </w:t>
      </w:r>
      <w:r w:rsidRPr="00D73B21">
        <w:rPr>
          <w:rFonts w:ascii="Arial" w:hAnsi="Arial" w:cs="Arial"/>
        </w:rPr>
        <w:lastRenderedPageBreak/>
        <w:t xml:space="preserve">molecules </w:t>
      </w:r>
      <w:r w:rsidRPr="00D73B21">
        <w:rPr>
          <w:rFonts w:ascii="Arial" w:hAnsi="Arial" w:cs="Arial"/>
        </w:rPr>
        <w:fldChar w:fldCharType="begin"/>
      </w:r>
      <w:r w:rsidRPr="00D73B21">
        <w:rPr>
          <w:rFonts w:ascii="Arial" w:hAnsi="Arial" w:cs="Arial"/>
        </w:rPr>
        <w:instrText xml:space="preserve"> ADDIN ZOTERO_ITEM CSL_CITATION {"citationID":"fqu2jtbf","properties":{"formattedCitation":"(Cruz et al., 2023)","plainCitation":"(Cruz et al., 2023)","noteIndex":0},"citationItems":[{"id":8677,"uris":["http://zotero.org/users/2543086/items/HRAAAAR6"],"itemData":{"id":8677,"type":"article-journal","abstract":"Phagocytes, particularly dendritic cells (DCs), generate peptide-major histocompatibility complex (MHC) I complexes from antigens they have collected from cells in tissues and report this information to CD8 T cells in a process called cross-presentation. This process allows CD8 T cells to detect, respond and eliminate abnormal cells, such as cancers or cells infected with viruses or intracellular microbes. In some settings, cross-presentation can help tolerize CD8 T cells to self-antigens. One of the principal ways that DCs acquire tissue antigens is by ingesting this material through phagocytosis. The resulting phagosomes are key hubs in the cross-presentation (XPT) process and in fact experimentally conferring the ability to phagocytize antigens can be sufficient to allow non-professional antigen presenting cells (APCs) to cross-present. Once in phagosomes, exogenous antigens can be cross-presented (XPTed) through three distinct pathways. There is a vacuolar pathway in which peptides are generated and then bind to MHC I molecules within the confines of the vacuole. Ingested exogenous antigens can also be exported from phagosomes to the cytosol upon vesicular rupture and/or possibly transport. Once in the cytosol, the antigen is degraded by the proteasome and the resulting oligopeptides can be transported to MHC I molecule in the endoplasmic reticulum (ER) (a phagosome-to-cytosol (P2C) pathway) or in phagosomes (a phagosome-to-cytosol-to-phagosome (P2C2P) pathway). Here we review how phagosomes acquire the necessary molecular components that support these three mechanisms and the contribution of these pathways. We describe what is known as well as the gaps in our understanding of these processes.","container-title":"Seminars in Immunology","DOI":"10.1016/j.smim.2023.101729","ISSN":"1044-5323","journalAbbreviation":"Seminars in Immunology","page":"101729","source":"ScienceDirect","title":"Pathways of MHC I cross-presentation of exogenous antigens","volume":"66","author":[{"family":"Cruz","given":"Freidrich M."},{"family":"Chan","given":"Amanda"},{"family":"Rock","given":"Kenneth L."}],"issued":{"date-parts":[["2023",3,1]]}}}],"schema":"https://github.com/citation-style-language/schema/raw/master/csl-citation.json"} </w:instrText>
      </w:r>
      <w:r w:rsidRPr="00D73B21">
        <w:rPr>
          <w:rFonts w:ascii="Arial" w:hAnsi="Arial" w:cs="Arial"/>
        </w:rPr>
        <w:fldChar w:fldCharType="separate"/>
      </w:r>
      <w:r w:rsidRPr="00D73B21">
        <w:rPr>
          <w:rFonts w:ascii="Arial" w:hAnsi="Arial" w:cs="Arial"/>
          <w:noProof/>
        </w:rPr>
        <w:t>(Cruz et al., 2023)</w:t>
      </w:r>
      <w:r w:rsidRPr="00D73B21">
        <w:rPr>
          <w:rFonts w:ascii="Arial" w:hAnsi="Arial" w:cs="Arial"/>
        </w:rPr>
        <w:fldChar w:fldCharType="end"/>
      </w:r>
      <w:r w:rsidRPr="00D73B21">
        <w:rPr>
          <w:rFonts w:ascii="Arial" w:hAnsi="Arial" w:cs="Arial"/>
        </w:rPr>
        <w:t xml:space="preserve">. </w:t>
      </w:r>
      <w:r w:rsidRPr="00D73B21">
        <w:rPr>
          <w:rFonts w:ascii="Arial" w:hAnsi="Arial" w:cs="Arial"/>
          <w:color w:val="1B1B1B"/>
          <w:shd w:val="clear" w:color="auto" w:fill="FFFFFF"/>
        </w:rPr>
        <w:t>Recently, CD8</w:t>
      </w:r>
      <w:r w:rsidRPr="00D73B21">
        <w:rPr>
          <w:rFonts w:ascii="Arial" w:hAnsi="Arial" w:cs="Arial"/>
          <w:color w:val="1B1B1B"/>
          <w:shd w:val="clear" w:color="auto" w:fill="FFFFFF"/>
          <w:vertAlign w:val="superscript"/>
        </w:rPr>
        <w:t>+</w:t>
      </w:r>
      <w:r w:rsidRPr="00D73B21">
        <w:rPr>
          <w:rFonts w:ascii="Arial" w:hAnsi="Arial" w:cs="Arial"/>
          <w:color w:val="1B1B1B"/>
          <w:shd w:val="clear" w:color="auto" w:fill="FFFFFF"/>
        </w:rPr>
        <w:t xml:space="preserve"> T cells were reported to differentiate into Tc1, Tc2 and Tc17 cells upon recognition of fungal peptides presented by antigen-presenting cells </w:t>
      </w:r>
      <w:r w:rsidR="00625D37" w:rsidRPr="00D73B21">
        <w:rPr>
          <w:rFonts w:ascii="Arial" w:hAnsi="Arial" w:cs="Arial"/>
          <w:color w:val="1B1B1B"/>
          <w:shd w:val="clear" w:color="auto" w:fill="FFFFFF"/>
        </w:rPr>
        <w:fldChar w:fldCharType="begin"/>
      </w:r>
      <w:r w:rsidR="00625D37" w:rsidRPr="00D73B21">
        <w:rPr>
          <w:rFonts w:ascii="Arial" w:hAnsi="Arial" w:cs="Arial"/>
          <w:color w:val="1B1B1B"/>
          <w:shd w:val="clear" w:color="auto" w:fill="FFFFFF"/>
        </w:rPr>
        <w:instrText xml:space="preserve"> ADDIN ZOTERO_ITEM CSL_CITATION {"citationID":"a75ZT2US","properties":{"formattedCitation":"(Koh et al., 2023)","plainCitation":"(Koh et al., 2023)","noteIndex":0},"citationItems":[{"id":8701,"uris":["http://zotero.org/users/2543086/items/C3QT93GF"],"itemData":{"id":8701,"type":"article-journal","abstract":"CD8 T cells play crucial roles in immune surveillance and defense against infections and cancer. After encountering antigenic stimulation, naïve CD8 T cells differentiate and acquire effector functions, enabling them to eliminate infected or malignant cells. Traditionally, cytotoxic T cells, characterized by their ability to produce effector cytokines and release cytotoxic granules to directly kill target cells, have been recognized as the constituents of the predominant effector T-cell subset. However, emerging evidence suggests distinct subsets of effector CD8 T cells that each exhibit unique effector functions and therapeutic potential. This review highlights recent advancements in our understanding of CD8 T-cell subsets and the contributions of these cells to various disease pathologies. Understanding the diverse roles and functions of effector CD8 T-cell subsets is crucial to discern the complex dynamics of immune responses in different disease settings. Furthermore, the development of immunotherapeutic approaches that specifically target and regulate the function of distinct CD8 T-cell subsets holds great promise for precision medicine.","container-title":"Experimental &amp; Molecular Medicine","DOI":"10.1038/s12276-023-01105-x","ISSN":"2092-6413","issue":"11","journalAbbreviation":"Exp Mol Med","language":"en","license":"2023 The Author(s)","note":"publisher: Nature Publishing Group","page":"2287-2299","source":"www.nature.com","title":"CD8 T-cell subsets: heterogeneity, functions, and therapeutic potential","title-short":"CD8 T-cell subsets","volume":"55","author":[{"family":"Koh","given":"Choong-Hyun"},{"family":"Lee","given":"Suyoung"},{"family":"Kwak","given":"Minkyeong"},{"family":"Kim","given":"Byung-Seok"},{"family":"Chung","given":"Yeonseok"}],"issued":{"date-parts":[["2023",11]]}}}],"schema":"https://github.com/citation-style-language/schema/raw/master/csl-citation.json"} </w:instrText>
      </w:r>
      <w:r w:rsidR="00625D37" w:rsidRPr="00D73B21">
        <w:rPr>
          <w:rFonts w:ascii="Arial" w:hAnsi="Arial" w:cs="Arial"/>
          <w:color w:val="1B1B1B"/>
          <w:shd w:val="clear" w:color="auto" w:fill="FFFFFF"/>
        </w:rPr>
        <w:fldChar w:fldCharType="separate"/>
      </w:r>
      <w:r w:rsidR="00625D37" w:rsidRPr="00D73B21">
        <w:rPr>
          <w:rFonts w:ascii="Arial" w:hAnsi="Arial" w:cs="Arial"/>
          <w:noProof/>
          <w:color w:val="1B1B1B"/>
          <w:shd w:val="clear" w:color="auto" w:fill="FFFFFF"/>
        </w:rPr>
        <w:t>(Koh et al., 2023)</w:t>
      </w:r>
      <w:r w:rsidR="00625D37" w:rsidRPr="00D73B21">
        <w:rPr>
          <w:rFonts w:ascii="Arial" w:hAnsi="Arial" w:cs="Arial"/>
          <w:color w:val="1B1B1B"/>
          <w:shd w:val="clear" w:color="auto" w:fill="FFFFFF"/>
        </w:rPr>
        <w:fldChar w:fldCharType="end"/>
      </w:r>
      <w:r w:rsidR="00625D37" w:rsidRPr="00D73B21">
        <w:rPr>
          <w:rFonts w:ascii="Arial" w:hAnsi="Arial" w:cs="Arial"/>
          <w:color w:val="1B1B1B"/>
          <w:shd w:val="clear" w:color="auto" w:fill="FFFFFF"/>
        </w:rPr>
        <w:t xml:space="preserve">. </w:t>
      </w:r>
      <w:r w:rsidRPr="00D73B21">
        <w:rPr>
          <w:rFonts w:ascii="Arial" w:hAnsi="Arial" w:cs="Arial"/>
          <w:color w:val="1B1B1B"/>
          <w:shd w:val="clear" w:color="auto" w:fill="FFFFFF"/>
        </w:rPr>
        <w:t xml:space="preserve">Tc1 cells involve directly killing of fungal-infected host cells by producing cytotoxic factors such as </w:t>
      </w:r>
      <w:proofErr w:type="spellStart"/>
      <w:r w:rsidRPr="00D73B21">
        <w:rPr>
          <w:rFonts w:ascii="Arial" w:hAnsi="Arial" w:cs="Arial"/>
          <w:color w:val="1B1B1B"/>
          <w:shd w:val="clear" w:color="auto" w:fill="FFFFFF"/>
        </w:rPr>
        <w:t>granulysin</w:t>
      </w:r>
      <w:proofErr w:type="spellEnd"/>
      <w:r w:rsidRPr="00D73B21">
        <w:rPr>
          <w:rFonts w:ascii="Arial" w:hAnsi="Arial" w:cs="Arial"/>
          <w:color w:val="1B1B1B"/>
          <w:shd w:val="clear" w:color="auto" w:fill="FFFFFF"/>
        </w:rPr>
        <w:t xml:space="preserve">, perforin, and granzyme K. To activate antifungal immunity via phagocytic cells, Tc1 produce abundant tumor necrosis factor-α (TNF-α) and interferon-γ (INF-γ) </w:t>
      </w:r>
      <w:r w:rsidRPr="00D73B21">
        <w:rPr>
          <w:rFonts w:ascii="Arial" w:hAnsi="Arial" w:cs="Arial"/>
          <w:color w:val="1B1B1B"/>
          <w:shd w:val="clear" w:color="auto" w:fill="FFFFFF"/>
        </w:rPr>
        <w:fldChar w:fldCharType="begin"/>
      </w:r>
      <w:r w:rsidRPr="00D73B21">
        <w:rPr>
          <w:rFonts w:ascii="Arial" w:hAnsi="Arial" w:cs="Arial"/>
          <w:color w:val="1B1B1B"/>
          <w:shd w:val="clear" w:color="auto" w:fill="FFFFFF"/>
        </w:rPr>
        <w:instrText xml:space="preserve"> ADDIN ZOTERO_ITEM CSL_CITATION {"citationID":"m5fzpfrb","properties":{"formattedCitation":"(Sharma et al., 2022)","plainCitation":"(Sharma et al., 2022)","noteIndex":0},"citationItems":[{"id":8654,"uris":["http://zotero.org/users/2543086/items/R8XJKPQN"],"itemData":{"id":8654,"type":"article-journal","abstract":"In recent years, fungal vaccine research emanated significant findings in the field of antifungal T-cell immunity. The generation of effector T cells is essential to combat many mucosal and systemic fungal infections. The development of antifungal memory T cells is integral for controlling or preventing fungal infections, and understanding the factors, regulators, and modifiers that dictate the generation of such T cells is necessary. Despite the deficiency in the clear understanding of antifungal memory T-cell longevity and attributes, in this review, we will compile some of the existing literature on antifungal T-cell immunity in the context of memory T-cell development against fungal infections.","container-title":"Frontiers in Immunology","DOI":"10.3389/fimmu.2022.905867","ISSN":"1664-3224","journalAbbreviation":"Front Immunol","note":"PMID: 36177012\nPMCID: PMC9513067","page":"905867","source":"PubMed Central","title":"T cell responses to control fungal infection in an immunological memory lens","volume":"13","author":[{"family":"Sharma","given":"Jaishree"},{"family":"Mudalagiriyappa","given":"Srinivasu"},{"family":"Nanjappa","given":"Som Gowda"}],"issued":{"date-parts":[["2022",9,13]]}}}],"schema":"https://github.com/citation-style-language/schema/raw/master/csl-citation.json"} </w:instrText>
      </w:r>
      <w:r w:rsidRPr="00D73B21">
        <w:rPr>
          <w:rFonts w:ascii="Arial" w:hAnsi="Arial" w:cs="Arial"/>
          <w:color w:val="1B1B1B"/>
          <w:shd w:val="clear" w:color="auto" w:fill="FFFFFF"/>
        </w:rPr>
        <w:fldChar w:fldCharType="separate"/>
      </w:r>
      <w:r w:rsidRPr="00D73B21">
        <w:rPr>
          <w:rFonts w:ascii="Arial" w:hAnsi="Arial" w:cs="Arial"/>
          <w:noProof/>
          <w:color w:val="1B1B1B"/>
          <w:shd w:val="clear" w:color="auto" w:fill="FFFFFF"/>
        </w:rPr>
        <w:t>(Sharma et al., 2022)</w:t>
      </w:r>
      <w:r w:rsidRPr="00D73B21">
        <w:rPr>
          <w:rFonts w:ascii="Arial" w:hAnsi="Arial" w:cs="Arial"/>
          <w:color w:val="1B1B1B"/>
          <w:shd w:val="clear" w:color="auto" w:fill="FFFFFF"/>
        </w:rPr>
        <w:fldChar w:fldCharType="end"/>
      </w:r>
      <w:r w:rsidRPr="00D73B21">
        <w:rPr>
          <w:rFonts w:ascii="Arial" w:hAnsi="Arial" w:cs="Arial"/>
          <w:color w:val="1B1B1B"/>
          <w:shd w:val="clear" w:color="auto" w:fill="FFFFFF"/>
        </w:rPr>
        <w:t>.</w:t>
      </w:r>
    </w:p>
    <w:p w14:paraId="29194FFE" w14:textId="77777777" w:rsidR="00AF241E" w:rsidRPr="00D73B21" w:rsidRDefault="00AF241E" w:rsidP="00AF241E">
      <w:pPr>
        <w:pStyle w:val="NormalWeb"/>
        <w:spacing w:before="0" w:beforeAutospacing="0" w:after="0" w:afterAutospacing="0" w:line="480" w:lineRule="auto"/>
        <w:jc w:val="both"/>
        <w:rPr>
          <w:rFonts w:ascii="Arial" w:hAnsi="Arial" w:cs="Arial"/>
          <w:color w:val="1B1B1B"/>
          <w:shd w:val="clear" w:color="auto" w:fill="FFFFFF"/>
        </w:rPr>
      </w:pPr>
    </w:p>
    <w:p w14:paraId="4B1E9000" w14:textId="47AB8A5E" w:rsidR="00AF241E" w:rsidRPr="00D73B21" w:rsidRDefault="001A4390" w:rsidP="00AF241E">
      <w:pPr>
        <w:pStyle w:val="NormalWeb"/>
        <w:spacing w:before="0" w:beforeAutospacing="0" w:after="0" w:afterAutospacing="0" w:line="480" w:lineRule="auto"/>
        <w:jc w:val="both"/>
        <w:rPr>
          <w:rFonts w:ascii="Arial" w:hAnsi="Arial" w:cs="Arial"/>
          <w:color w:val="1B1B1B"/>
          <w:shd w:val="clear" w:color="auto" w:fill="FFFFFF"/>
        </w:rPr>
      </w:pPr>
      <w:r w:rsidRPr="00D73B21">
        <w:rPr>
          <w:rFonts w:ascii="Arial" w:hAnsi="Arial" w:cs="Arial"/>
          <w:noProof/>
          <w14:ligatures w14:val="standardContextual"/>
        </w:rPr>
        <w:drawing>
          <wp:inline distT="0" distB="0" distL="0" distR="0" wp14:anchorId="1AE80E82" wp14:editId="25A7DB0C">
            <wp:extent cx="5731510" cy="3237865"/>
            <wp:effectExtent l="12700" t="12700" r="8890" b="13335"/>
            <wp:docPr id="315567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7252" name="Picture 3155672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a:ln>
                      <a:solidFill>
                        <a:schemeClr val="tx1"/>
                      </a:solidFill>
                    </a:ln>
                  </pic:spPr>
                </pic:pic>
              </a:graphicData>
            </a:graphic>
          </wp:inline>
        </w:drawing>
      </w:r>
    </w:p>
    <w:p w14:paraId="6E8729D6" w14:textId="77777777" w:rsidR="00AF241E" w:rsidRPr="00D73B21" w:rsidRDefault="00AF241E" w:rsidP="00AF241E">
      <w:pPr>
        <w:pStyle w:val="NormalWeb"/>
        <w:spacing w:before="0" w:beforeAutospacing="0" w:after="0" w:afterAutospacing="0" w:line="480" w:lineRule="auto"/>
        <w:jc w:val="both"/>
        <w:rPr>
          <w:rFonts w:ascii="Arial" w:hAnsi="Arial" w:cs="Arial"/>
        </w:rPr>
      </w:pPr>
      <w:r w:rsidRPr="00D73B21">
        <w:rPr>
          <w:rFonts w:ascii="Arial" w:hAnsi="Arial" w:cs="Arial"/>
          <w:b/>
          <w:bCs/>
        </w:rPr>
        <w:t>Figure 1.</w:t>
      </w:r>
      <w:r w:rsidRPr="00D73B21">
        <w:rPr>
          <w:rFonts w:ascii="Arial" w:hAnsi="Arial" w:cs="Arial"/>
        </w:rPr>
        <w:t xml:space="preserve"> An overview of the host immune response against fungal infection.</w:t>
      </w:r>
    </w:p>
    <w:p w14:paraId="5CD3638C" w14:textId="77777777" w:rsidR="00CA0438" w:rsidRPr="00D73B21" w:rsidRDefault="00CA0438" w:rsidP="00F87C93">
      <w:pPr>
        <w:pStyle w:val="NormalWeb"/>
        <w:spacing w:before="0" w:beforeAutospacing="0" w:after="0" w:afterAutospacing="0" w:line="480" w:lineRule="auto"/>
        <w:jc w:val="both"/>
        <w:rPr>
          <w:rFonts w:ascii="Arial" w:hAnsi="Arial" w:cs="Arial"/>
          <w:b/>
          <w:bCs/>
        </w:rPr>
      </w:pPr>
    </w:p>
    <w:p w14:paraId="349ECDCC" w14:textId="77777777" w:rsidR="00CA0438" w:rsidRPr="00D73B21" w:rsidRDefault="00CA0438" w:rsidP="00F87C93">
      <w:pPr>
        <w:pStyle w:val="Heading3"/>
        <w:shd w:val="clear" w:color="auto" w:fill="FFFFFF"/>
        <w:spacing w:before="0" w:line="480" w:lineRule="auto"/>
        <w:jc w:val="both"/>
        <w:rPr>
          <w:rFonts w:ascii="Arial" w:hAnsi="Arial" w:cs="Arial"/>
          <w:b/>
          <w:bCs/>
          <w:color w:val="1B1B1B"/>
          <w:sz w:val="24"/>
          <w:szCs w:val="24"/>
        </w:rPr>
      </w:pPr>
      <w:r w:rsidRPr="00D73B21">
        <w:rPr>
          <w:rFonts w:ascii="Arial" w:hAnsi="Arial" w:cs="Arial"/>
          <w:b/>
          <w:bCs/>
          <w:color w:val="1B1B1B"/>
          <w:sz w:val="24"/>
          <w:szCs w:val="24"/>
        </w:rPr>
        <w:lastRenderedPageBreak/>
        <w:t>Fungal Infections between Public Awareness and Education</w:t>
      </w:r>
    </w:p>
    <w:p w14:paraId="4B49E014" w14:textId="4DEA5DBF" w:rsidR="00CA0438" w:rsidRPr="00D73B21" w:rsidRDefault="00CA0438" w:rsidP="00F87C93">
      <w:pPr>
        <w:pStyle w:val="Heading3"/>
        <w:shd w:val="clear" w:color="auto" w:fill="FFFFFF"/>
        <w:spacing w:before="0" w:line="480" w:lineRule="auto"/>
        <w:jc w:val="both"/>
        <w:rPr>
          <w:rFonts w:ascii="Arial" w:hAnsi="Arial" w:cs="Arial"/>
          <w:color w:val="1B1B1B"/>
          <w:sz w:val="24"/>
          <w:szCs w:val="24"/>
        </w:rPr>
      </w:pPr>
      <w:r w:rsidRPr="00D73B21">
        <w:rPr>
          <w:rFonts w:ascii="Arial" w:hAnsi="Arial" w:cs="Arial"/>
          <w:color w:val="1B1B1B"/>
          <w:sz w:val="24"/>
          <w:szCs w:val="24"/>
        </w:rPr>
        <w:t xml:space="preserve">The awareness about the serious threat from fungal infections to human health </w:t>
      </w:r>
      <w:r w:rsidR="00A769F8" w:rsidRPr="00D73B21">
        <w:rPr>
          <w:rFonts w:ascii="Arial" w:hAnsi="Arial" w:cs="Arial"/>
          <w:color w:val="1B1B1B"/>
          <w:sz w:val="24"/>
          <w:szCs w:val="24"/>
        </w:rPr>
        <w:br/>
      </w:r>
      <w:r w:rsidRPr="00D73B21">
        <w:rPr>
          <w:rFonts w:ascii="Arial" w:hAnsi="Arial" w:cs="Arial"/>
          <w:color w:val="1B1B1B"/>
          <w:sz w:val="24"/>
          <w:szCs w:val="24"/>
        </w:rPr>
        <w:t xml:space="preserve">is relatively under level globally may lead to delays or misdiagnosis of cases and inadequate treatment. This case facilitates disease transmission and may result in </w:t>
      </w:r>
      <w:r w:rsidR="00A769F8" w:rsidRPr="00D73B21">
        <w:rPr>
          <w:rFonts w:ascii="Arial" w:hAnsi="Arial" w:cs="Arial"/>
          <w:color w:val="1B1B1B"/>
          <w:sz w:val="24"/>
          <w:szCs w:val="24"/>
        </w:rPr>
        <w:br/>
      </w:r>
      <w:r w:rsidRPr="00D73B21">
        <w:rPr>
          <w:rFonts w:ascii="Arial" w:hAnsi="Arial" w:cs="Arial"/>
          <w:color w:val="1B1B1B"/>
          <w:sz w:val="24"/>
          <w:szCs w:val="24"/>
        </w:rPr>
        <w:t xml:space="preserve">a fungal infection outbreak </w:t>
      </w:r>
      <w:r w:rsidRPr="00D73B21">
        <w:rPr>
          <w:rFonts w:ascii="Arial" w:hAnsi="Arial" w:cs="Arial"/>
          <w:color w:val="1B1B1B"/>
          <w:sz w:val="24"/>
          <w:szCs w:val="24"/>
        </w:rPr>
        <w:fldChar w:fldCharType="begin"/>
      </w:r>
      <w:r w:rsidRPr="00D73B21">
        <w:rPr>
          <w:rFonts w:ascii="Arial" w:hAnsi="Arial" w:cs="Arial"/>
          <w:color w:val="1B1B1B"/>
          <w:sz w:val="24"/>
          <w:szCs w:val="24"/>
        </w:rPr>
        <w:instrText xml:space="preserve"> ADDIN ZOTERO_ITEM CSL_CITATION {"citationID":"qrFdPW9L","properties":{"formattedCitation":"(Benedict et al., 2020)","plainCitation":"(Benedict et al., 2020)","noteIndex":0},"citationItems":[{"id":8679,"uris":["http://zotero.org/users/2543086/items/5CCJARKT"],"itemData":{"id":8679,"type":"article-journal","container-title":"Morbidity and Mortality Weekly Report","DOI":"10.15585/mmwr.mm6938a2","issue":"38","language":"en","note":"PMID: 32970658","page":"1343","source":"pmc.ncbi.nlm.nih.gov","title":"Public Awareness of Invasive Fungal Diseases — United States, 2019","volume":"69","author":[{"family":"Benedict","given":"Kaitlin"},{"family":"Molinari","given":"Noelle Angelique M."},{"family":"Jackson","given":"Brendan R."}],"issued":{"date-parts":[["2020",9,25]]}}}],"schema":"https://github.com/citation-style-language/schema/raw/master/csl-citation.json"} </w:instrText>
      </w:r>
      <w:r w:rsidRPr="00D73B21">
        <w:rPr>
          <w:rFonts w:ascii="Arial" w:hAnsi="Arial" w:cs="Arial"/>
          <w:color w:val="1B1B1B"/>
          <w:sz w:val="24"/>
          <w:szCs w:val="24"/>
        </w:rPr>
        <w:fldChar w:fldCharType="separate"/>
      </w:r>
      <w:r w:rsidRPr="00D73B21">
        <w:rPr>
          <w:rFonts w:ascii="Arial" w:hAnsi="Arial" w:cs="Arial"/>
          <w:noProof/>
          <w:color w:val="1B1B1B"/>
          <w:sz w:val="24"/>
          <w:szCs w:val="24"/>
        </w:rPr>
        <w:t>(Benedict et al., 2020)</w:t>
      </w:r>
      <w:r w:rsidRPr="00D73B21">
        <w:rPr>
          <w:rFonts w:ascii="Arial" w:hAnsi="Arial" w:cs="Arial"/>
          <w:color w:val="1B1B1B"/>
          <w:sz w:val="24"/>
          <w:szCs w:val="24"/>
        </w:rPr>
        <w:fldChar w:fldCharType="end"/>
      </w:r>
      <w:r w:rsidRPr="00D73B21">
        <w:rPr>
          <w:rFonts w:ascii="Arial" w:hAnsi="Arial" w:cs="Arial"/>
          <w:color w:val="1B1B1B"/>
          <w:sz w:val="24"/>
          <w:szCs w:val="24"/>
        </w:rPr>
        <w:t xml:space="preserve">. For this reason, raising awareness through promoting education and improving the diagnosis of fungal infections is </w:t>
      </w:r>
      <w:r w:rsidR="00A769F8" w:rsidRPr="00D73B21">
        <w:rPr>
          <w:rFonts w:ascii="Arial" w:hAnsi="Arial" w:cs="Arial"/>
          <w:color w:val="1B1B1B"/>
          <w:sz w:val="24"/>
          <w:szCs w:val="24"/>
        </w:rPr>
        <w:br/>
      </w:r>
      <w:r w:rsidRPr="00D73B21">
        <w:rPr>
          <w:rFonts w:ascii="Arial" w:hAnsi="Arial" w:cs="Arial"/>
          <w:color w:val="1B1B1B"/>
          <w:sz w:val="24"/>
          <w:szCs w:val="24"/>
        </w:rPr>
        <w:t xml:space="preserve">a critical factor for effectively preventing severe disease. </w:t>
      </w:r>
    </w:p>
    <w:p w14:paraId="453A2F66" w14:textId="77777777" w:rsidR="00C05ABD" w:rsidRPr="00D73B21" w:rsidRDefault="00C05ABD" w:rsidP="00F87C93">
      <w:pPr>
        <w:pStyle w:val="NormalWeb"/>
        <w:tabs>
          <w:tab w:val="left" w:pos="7010"/>
        </w:tabs>
        <w:spacing w:before="0" w:beforeAutospacing="0" w:after="0" w:afterAutospacing="0" w:line="480" w:lineRule="auto"/>
        <w:jc w:val="both"/>
        <w:rPr>
          <w:rStyle w:val="Strong"/>
          <w:rFonts w:ascii="Arial" w:eastAsiaTheme="majorEastAsia" w:hAnsi="Arial" w:cs="Arial"/>
        </w:rPr>
      </w:pPr>
    </w:p>
    <w:p w14:paraId="4B652F2B" w14:textId="77777777" w:rsidR="00CA0438" w:rsidRPr="00D73B21" w:rsidRDefault="00CA0438" w:rsidP="00F87C93">
      <w:pPr>
        <w:pStyle w:val="NormalWeb"/>
        <w:tabs>
          <w:tab w:val="left" w:pos="7010"/>
        </w:tabs>
        <w:spacing w:before="0" w:beforeAutospacing="0" w:after="0" w:afterAutospacing="0" w:line="480" w:lineRule="auto"/>
        <w:jc w:val="both"/>
        <w:rPr>
          <w:rFonts w:ascii="Arial" w:hAnsi="Arial" w:cs="Arial"/>
        </w:rPr>
      </w:pPr>
      <w:r w:rsidRPr="00D73B21">
        <w:rPr>
          <w:rStyle w:val="Strong"/>
          <w:rFonts w:ascii="Arial" w:eastAsiaTheme="majorEastAsia" w:hAnsi="Arial" w:cs="Arial"/>
        </w:rPr>
        <w:t>Recent Advances in Fungal Diagnosis</w:t>
      </w:r>
      <w:r w:rsidRPr="00D73B21">
        <w:rPr>
          <w:rStyle w:val="Strong"/>
          <w:rFonts w:ascii="Arial" w:eastAsiaTheme="majorEastAsia" w:hAnsi="Arial" w:cs="Arial"/>
        </w:rPr>
        <w:tab/>
      </w:r>
    </w:p>
    <w:p w14:paraId="03CF4F1B" w14:textId="77777777" w:rsidR="00CA0438" w:rsidRPr="00D73B21" w:rsidRDefault="00CA0438" w:rsidP="00F87C93">
      <w:pPr>
        <w:pStyle w:val="NormalWeb"/>
        <w:spacing w:before="0" w:beforeAutospacing="0" w:after="0" w:afterAutospacing="0" w:line="480" w:lineRule="auto"/>
        <w:jc w:val="both"/>
        <w:rPr>
          <w:rFonts w:ascii="Arial" w:hAnsi="Arial" w:cs="Arial"/>
        </w:rPr>
      </w:pPr>
      <w:r w:rsidRPr="00D73B21">
        <w:rPr>
          <w:rFonts w:ascii="Arial" w:hAnsi="Arial" w:cs="Arial"/>
        </w:rPr>
        <w:t>Maximizing survival against fungal infections requires rapid and accurate diagnosis and therapeutic strategies. The non-specific clinical symptoms of invasive fungal infections remain a serious challenge regarding clinical diagnosis. For this reason, physicians focus on bacterial or viral infections. The misdiagnosis leads to inaccurate treatment and wasting time and money. Ultimately, the value of human life and health will be at risk of developing disseminated infections. For this reason, there is a need for urgent, accurate, and rapid fungal diagnosis. The molecular techniques using polymerase chain reaction (PCR), a highly sensitive and specific technique diagnosis of invasive fungal disease (</w:t>
      </w:r>
      <w:r w:rsidRPr="00D73B21">
        <w:rPr>
          <w:rFonts w:ascii="Arial" w:hAnsi="Arial" w:cs="Arial"/>
          <w:b/>
          <w:bCs/>
        </w:rPr>
        <w:t>Figure 2</w:t>
      </w:r>
      <w:r w:rsidRPr="00D73B21">
        <w:rPr>
          <w:rFonts w:ascii="Arial" w:hAnsi="Arial" w:cs="Arial"/>
        </w:rPr>
        <w:t xml:space="preserve">). However, this technique is not yet widely implemented due to concerns regarding limited standardization between assays </w:t>
      </w:r>
      <w:r w:rsidRPr="00D73B21">
        <w:rPr>
          <w:rFonts w:ascii="Arial" w:hAnsi="Arial" w:cs="Arial"/>
        </w:rPr>
        <w:fldChar w:fldCharType="begin"/>
      </w:r>
      <w:r w:rsidRPr="00D73B21">
        <w:rPr>
          <w:rFonts w:ascii="Arial" w:hAnsi="Arial" w:cs="Arial"/>
        </w:rPr>
        <w:instrText xml:space="preserve"> ADDIN ZOTERO_ITEM CSL_CITATION {"citationID":"FOWeK2as","properties":{"formattedCitation":"(Brown et al., 2025)","plainCitation":"(Brown et al., 2025)","noteIndex":0},"citationItems":[{"id":8664,"uris":["http://zotero.org/users/2543086/items/MVJYBYA8"],"itemData":{"id":8664,"type":"article-journal","abstract":"Background: Polymerase chain reaction (PCR) is highly sensitive and specific for the rapid diagnosis of invasive fungal disease (IFD) but is not yet widely implemented due to concerns regarding limited standardisation between assays, the lack of commercial options and the absence of clear guidance on interpreting results. Objectives and Methods: This review provides an update on technical and clinical aspects of PCR for the diagnosis of the most pertinent fungal pathogens, including Aspergillus, Candida, Pneumocystis jirovecii, Mucorales spp., and endemic mycoses. Summary: Recent meta-analyses have demonstrated that quantitative PCR (qPCR) offers high sensitivity for diagnosing IFD, surpassing conventional microscopy, culture and most serological tests. The reported specificity of qPCR is likely underestimated due to comparison with imperfect reference standards with variable sensitivity. Although the very low limit of detection of qPCR can generate false positive results due to procedural contamination or patient colonisation (particularly in pulmonary specimens), the rates are comparable to those observed for biomarker testing. When interpreting qPCR results, it is essential to consider the pre-test probability, determined by the patient population, host factors, clinical presentation and risk factors. For patients with low to moderate pre-test probability, the use of sensitive molecular tests, often in conjunction with serological testing or biomarkers, can effectively exclude IFD when all tests return negative results, reducing the need for empirical antifungal therapy. Conversely, for patients with high pre-test probability and clinical features of IFD, qPCR testing on invasive specimens from the site of infection (such as tissue or bronchoalveolar lavage fluid) can confidently rule in the disease. The development of next-generation sequencing methods to detect fungal infection has the potential to enhance the diagnosis of IFD, but standardisation and optimisation are essential, with improved accessibility underpinning clinical utility.","container-title":"Diagnostics","DOI":"10.3390/diagnostics15151909","ISSN":"2075-4418","issue":"15","language":"en","license":"http://creativecommons.org/licenses/by/3.0/","note":"publisher: Multidisciplinary Digital Publishing Institute","page":"1909","source":"www.mdpi.com","title":"The Molecular Diagnosis of Invasive Fungal Diseases with a Focus on PCR","volume":"15","author":[{"family":"Brown","given":"Lottie"},{"family":"Cruciani","given":"Mario"},{"family":"Morton","given":"Charles Oliver"},{"family":"Alanio","given":"Alexandre"},{"family":"Barnes","given":"Rosemary A."},{"family":"Donnelly","given":"J. Peter"},{"family":"Hagen","given":"Ferry"},{"family":"Gorton","given":"Rebecca"},{"family":"Lackner","given":"Michaela"},{"family":"Loeffler","given":"Juergen"},{"family":"Millon","given":"Laurence"},{"family":"Rautemaa-Richardson","given":"Riina"},{"family":"White","given":"P. Lewis"}],"issued":{"date-parts":[["2025",1]]}}}],"schema":"https://github.com/citation-style-language/schema/raw/master/csl-citation.json"} </w:instrText>
      </w:r>
      <w:r w:rsidRPr="00D73B21">
        <w:rPr>
          <w:rFonts w:ascii="Arial" w:hAnsi="Arial" w:cs="Arial"/>
        </w:rPr>
        <w:fldChar w:fldCharType="separate"/>
      </w:r>
      <w:r w:rsidRPr="00D73B21">
        <w:rPr>
          <w:rFonts w:ascii="Arial" w:hAnsi="Arial" w:cs="Arial"/>
          <w:noProof/>
        </w:rPr>
        <w:t>(Brown et al., 2025)</w:t>
      </w:r>
      <w:r w:rsidRPr="00D73B21">
        <w:rPr>
          <w:rFonts w:ascii="Arial" w:hAnsi="Arial" w:cs="Arial"/>
        </w:rPr>
        <w:fldChar w:fldCharType="end"/>
      </w:r>
      <w:r w:rsidRPr="00D73B21">
        <w:rPr>
          <w:rFonts w:ascii="Arial" w:hAnsi="Arial" w:cs="Arial"/>
        </w:rPr>
        <w:t xml:space="preserve">. </w:t>
      </w:r>
    </w:p>
    <w:p w14:paraId="2451170A" w14:textId="01AFECB3" w:rsidR="00CA0438" w:rsidRPr="00D73B21" w:rsidRDefault="00CF4AA5" w:rsidP="002E2F25">
      <w:pPr>
        <w:pStyle w:val="NormalWeb"/>
        <w:spacing w:before="0" w:beforeAutospacing="0" w:after="0" w:afterAutospacing="0" w:line="480" w:lineRule="auto"/>
        <w:jc w:val="both"/>
        <w:rPr>
          <w:rFonts w:ascii="Arial" w:hAnsi="Arial" w:cs="Arial"/>
        </w:rPr>
      </w:pPr>
      <w:r w:rsidRPr="00D73B21">
        <w:rPr>
          <w:rFonts w:ascii="Arial" w:hAnsi="Arial" w:cs="Arial"/>
          <w:noProof/>
          <w14:ligatures w14:val="standardContextual"/>
        </w:rPr>
        <w:lastRenderedPageBreak/>
        <w:drawing>
          <wp:inline distT="0" distB="0" distL="0" distR="0" wp14:anchorId="55183C82" wp14:editId="72283BDA">
            <wp:extent cx="5731510" cy="3192780"/>
            <wp:effectExtent l="12700" t="12700" r="8890" b="7620"/>
            <wp:docPr id="239269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69499" name="Picture 2392694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92780"/>
                    </a:xfrm>
                    <a:prstGeom prst="rect">
                      <a:avLst/>
                    </a:prstGeom>
                    <a:ln>
                      <a:solidFill>
                        <a:schemeClr val="tx1"/>
                      </a:solidFill>
                    </a:ln>
                  </pic:spPr>
                </pic:pic>
              </a:graphicData>
            </a:graphic>
          </wp:inline>
        </w:drawing>
      </w:r>
    </w:p>
    <w:p w14:paraId="2022A2CD" w14:textId="77777777" w:rsidR="002E2F25" w:rsidRPr="00D73B21" w:rsidRDefault="002E2F25" w:rsidP="002E2F25">
      <w:pPr>
        <w:pStyle w:val="NormalWeb"/>
        <w:spacing w:before="0" w:beforeAutospacing="0" w:after="0" w:afterAutospacing="0" w:line="480" w:lineRule="auto"/>
        <w:jc w:val="both"/>
        <w:rPr>
          <w:rFonts w:ascii="Arial" w:hAnsi="Arial" w:cs="Arial"/>
        </w:rPr>
      </w:pPr>
      <w:r w:rsidRPr="00D73B21">
        <w:rPr>
          <w:rFonts w:ascii="Arial" w:hAnsi="Arial" w:cs="Arial"/>
          <w:b/>
          <w:bCs/>
        </w:rPr>
        <w:t>Figure 2.</w:t>
      </w:r>
      <w:r w:rsidRPr="00D73B21">
        <w:rPr>
          <w:rFonts w:ascii="Arial" w:hAnsi="Arial" w:cs="Arial"/>
        </w:rPr>
        <w:t xml:space="preserve"> Molecular technique for diagnosis fungal pathogens. Image was created by </w:t>
      </w:r>
      <w:proofErr w:type="spellStart"/>
      <w:r w:rsidRPr="00D73B21">
        <w:rPr>
          <w:rFonts w:ascii="Arial" w:hAnsi="Arial" w:cs="Arial"/>
        </w:rPr>
        <w:t>bioRender</w:t>
      </w:r>
      <w:proofErr w:type="spellEnd"/>
      <w:r w:rsidRPr="00D73B21">
        <w:rPr>
          <w:rFonts w:ascii="Arial" w:hAnsi="Arial" w:cs="Arial"/>
        </w:rPr>
        <w:t>.</w:t>
      </w:r>
    </w:p>
    <w:p w14:paraId="55ED9C58" w14:textId="77777777" w:rsidR="00CA0438" w:rsidRPr="00D73B21" w:rsidRDefault="00CA0438" w:rsidP="00F87C93">
      <w:pPr>
        <w:pStyle w:val="NormalWeb"/>
        <w:spacing w:before="0" w:beforeAutospacing="0" w:after="0" w:afterAutospacing="0" w:line="480" w:lineRule="auto"/>
        <w:jc w:val="both"/>
        <w:rPr>
          <w:rFonts w:ascii="Arial" w:hAnsi="Arial" w:cs="Arial"/>
        </w:rPr>
      </w:pPr>
    </w:p>
    <w:p w14:paraId="1A6A6416" w14:textId="77777777" w:rsidR="00CA0438" w:rsidRPr="00D73B21" w:rsidRDefault="00CA0438" w:rsidP="00F87C93">
      <w:pPr>
        <w:pStyle w:val="NormalWeb"/>
        <w:spacing w:before="0" w:beforeAutospacing="0" w:after="0" w:afterAutospacing="0" w:line="480" w:lineRule="auto"/>
        <w:jc w:val="both"/>
        <w:rPr>
          <w:rFonts w:ascii="Arial" w:hAnsi="Arial" w:cs="Arial"/>
        </w:rPr>
      </w:pPr>
    </w:p>
    <w:p w14:paraId="7E8E68AB" w14:textId="37C345E1" w:rsidR="00CA0438" w:rsidRPr="00D73B21" w:rsidRDefault="00CA0438" w:rsidP="005A3929">
      <w:pPr>
        <w:pStyle w:val="NormalWeb"/>
        <w:spacing w:before="0" w:beforeAutospacing="0" w:after="0" w:afterAutospacing="0" w:line="480" w:lineRule="auto"/>
        <w:jc w:val="both"/>
        <w:rPr>
          <w:rFonts w:ascii="Arial" w:hAnsi="Arial" w:cs="Arial"/>
        </w:rPr>
      </w:pPr>
      <w:r w:rsidRPr="00D73B21">
        <w:rPr>
          <w:rFonts w:ascii="Arial" w:hAnsi="Arial" w:cs="Arial"/>
        </w:rPr>
        <w:t>Immunodiagnostic assays, such as complement fixation and immunodiffusion, to enzyme immunoassays are vital due to their high specificity in diagnosing fungal antigens. Using hybridoma technology and genetic engineering for developing a specific monoclonal antibody is an essential step for a specific immunodiagnostic test that can rely upon for the diagnosis of fungal infections, rather than time-consuming conventional techniques such as culture and histopathology (</w:t>
      </w:r>
      <w:r w:rsidRPr="00D73B21">
        <w:rPr>
          <w:rFonts w:ascii="Arial" w:hAnsi="Arial" w:cs="Arial"/>
          <w:b/>
          <w:bCs/>
        </w:rPr>
        <w:t>Figure 3</w:t>
      </w:r>
      <w:r w:rsidRPr="00D73B21">
        <w:rPr>
          <w:rFonts w:ascii="Arial" w:hAnsi="Arial" w:cs="Arial"/>
        </w:rPr>
        <w:t xml:space="preserve">) </w:t>
      </w:r>
      <w:r w:rsidR="005A3929" w:rsidRPr="00D73B21">
        <w:rPr>
          <w:rFonts w:ascii="Arial" w:hAnsi="Arial" w:cs="Arial"/>
        </w:rPr>
        <w:fldChar w:fldCharType="begin"/>
      </w:r>
      <w:r w:rsidR="005A3929" w:rsidRPr="00D73B21">
        <w:rPr>
          <w:rFonts w:ascii="Arial" w:hAnsi="Arial" w:cs="Arial"/>
        </w:rPr>
        <w:instrText xml:space="preserve"> ADDIN ZOTERO_ITEM CSL_CITATION {"citationID":"eBlkMed8","properties":{"formattedCitation":"(Singh et al., 2023)","plainCitation":"(Singh et al., 2023)","noteIndex":0},"citationItems":[{"id":8698,"uris":["http://zotero.org/users/2543086/items/BN9EE3JZ"],"itemData":{"id":8698,"type":"article-journal","abstract":"mAbs are highly indispensable tools for diagnostic, prophylactic, and therapeutic applications. The first technique, hybridoma technology, was based on fusion of B lymphocytes with myeloma cells, which resulted in generation of single mAbs against a specific Ag. Along with hybridoma technology, several novel and alternative methods have been developed to improve mAb generation, ranging from electrofusion to the discovery of completely novel technologies such as B cell immortalization; phage, yeast, bacterial, ribosome, and mammalian display systems; DNA/RNA encoded Abs; single B cell technology; transgenic animals; and artificial intelligence/machine learning. This commentary outlines the evolution, methodology, advantages, and limitations of various mAb production techniques. Furthermore, with the advent of next-generation Ab technologies such as single-chain variable fragments, nanobodies, bispecific Abs, Fc-engineered Abs, Ab biosimilars, Ab mimetics, and Ab-drug conjugates, the healthcare and pharmaceutical sectors have become resourceful to develop highly specific mAb treatments against various diseases such as cancer and autoimmune and infectious diseases.","container-title":"ImmunoHorizons","DOI":"10.4049/immunohorizons.2300102","ISSN":"2573-7732","issue":"12","journalAbbreviation":"Immunohorizons","page":"886-897","source":"Silverchair","title":"Recent Advances in the Development of Monoclonal Antibodies and Next-Generation Antibodies","volume":"7","author":[{"family":"Singh","given":"Rohit"},{"family":"Chandley","given":"Pankaj"},{"family":"Rohatgi","given":"Soma"}],"issued":{"date-parts":[["2023",12,1]]}}}],"schema":"https://github.com/citation-style-language/schema/raw/master/csl-citation.json"} </w:instrText>
      </w:r>
      <w:r w:rsidR="005A3929" w:rsidRPr="00D73B21">
        <w:rPr>
          <w:rFonts w:ascii="Arial" w:hAnsi="Arial" w:cs="Arial"/>
        </w:rPr>
        <w:fldChar w:fldCharType="separate"/>
      </w:r>
      <w:r w:rsidR="005A3929" w:rsidRPr="00D73B21">
        <w:rPr>
          <w:rFonts w:ascii="Arial" w:hAnsi="Arial" w:cs="Arial"/>
          <w:noProof/>
        </w:rPr>
        <w:t>(Singh et al., 2023)</w:t>
      </w:r>
      <w:r w:rsidR="005A3929" w:rsidRPr="00D73B21">
        <w:rPr>
          <w:rFonts w:ascii="Arial" w:hAnsi="Arial" w:cs="Arial"/>
        </w:rPr>
        <w:fldChar w:fldCharType="end"/>
      </w:r>
      <w:r w:rsidR="00ED394D" w:rsidRPr="00D73B21">
        <w:rPr>
          <w:rFonts w:ascii="Arial" w:hAnsi="Arial" w:cs="Arial"/>
        </w:rPr>
        <w:t>.</w:t>
      </w:r>
    </w:p>
    <w:p w14:paraId="191A9418" w14:textId="77777777" w:rsidR="009E412A" w:rsidRPr="00D73B21" w:rsidRDefault="009E412A" w:rsidP="00F87C93">
      <w:pPr>
        <w:pStyle w:val="NormalWeb"/>
        <w:spacing w:before="0" w:beforeAutospacing="0" w:after="0" w:afterAutospacing="0" w:line="480" w:lineRule="auto"/>
        <w:jc w:val="both"/>
        <w:rPr>
          <w:rFonts w:ascii="Arial" w:hAnsi="Arial" w:cs="Arial"/>
        </w:rPr>
      </w:pPr>
    </w:p>
    <w:p w14:paraId="025A040F" w14:textId="0AFC3947" w:rsidR="00067BF3" w:rsidRPr="00D73B21" w:rsidRDefault="009E412A" w:rsidP="00F87C93">
      <w:pPr>
        <w:pStyle w:val="NormalWeb"/>
        <w:spacing w:before="0" w:beforeAutospacing="0" w:after="0" w:afterAutospacing="0" w:line="480" w:lineRule="auto"/>
        <w:jc w:val="both"/>
        <w:rPr>
          <w:rFonts w:ascii="Arial" w:hAnsi="Arial" w:cs="Arial"/>
        </w:rPr>
      </w:pPr>
      <w:r w:rsidRPr="00D73B21">
        <w:rPr>
          <w:rFonts w:ascii="Arial" w:hAnsi="Arial" w:cs="Arial"/>
          <w:noProof/>
          <w14:ligatures w14:val="standardContextual"/>
        </w:rPr>
        <w:lastRenderedPageBreak/>
        <w:drawing>
          <wp:inline distT="0" distB="0" distL="0" distR="0" wp14:anchorId="092E15B7" wp14:editId="68D9EF1D">
            <wp:extent cx="5731510" cy="3239770"/>
            <wp:effectExtent l="12700" t="12700" r="8890" b="11430"/>
            <wp:docPr id="889082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82630" name="Picture 8890826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9770"/>
                    </a:xfrm>
                    <a:prstGeom prst="rect">
                      <a:avLst/>
                    </a:prstGeom>
                    <a:ln>
                      <a:solidFill>
                        <a:schemeClr val="tx1"/>
                      </a:solidFill>
                    </a:ln>
                  </pic:spPr>
                </pic:pic>
              </a:graphicData>
            </a:graphic>
          </wp:inline>
        </w:drawing>
      </w:r>
    </w:p>
    <w:p w14:paraId="72669B80" w14:textId="6136F618" w:rsidR="00067BF3" w:rsidRPr="00D73B21" w:rsidRDefault="00067BF3" w:rsidP="00F87C93">
      <w:pPr>
        <w:pStyle w:val="NormalWeb"/>
        <w:spacing w:before="0" w:beforeAutospacing="0" w:after="0" w:afterAutospacing="0" w:line="480" w:lineRule="auto"/>
        <w:jc w:val="both"/>
        <w:rPr>
          <w:rFonts w:ascii="Arial" w:hAnsi="Arial" w:cs="Arial"/>
        </w:rPr>
      </w:pPr>
    </w:p>
    <w:p w14:paraId="4D92BD3A" w14:textId="023FFCFB" w:rsidR="00CA0438" w:rsidRPr="00D73B21" w:rsidRDefault="00CA0438" w:rsidP="00F87C93">
      <w:pPr>
        <w:pStyle w:val="NormalWeb"/>
        <w:spacing w:before="0" w:beforeAutospacing="0" w:after="0" w:afterAutospacing="0" w:line="480" w:lineRule="auto"/>
        <w:jc w:val="both"/>
        <w:rPr>
          <w:rFonts w:ascii="Arial" w:hAnsi="Arial" w:cs="Arial"/>
        </w:rPr>
      </w:pPr>
      <w:r w:rsidRPr="00D73B21">
        <w:rPr>
          <w:rFonts w:ascii="Arial" w:hAnsi="Arial" w:cs="Arial"/>
          <w:b/>
          <w:bCs/>
        </w:rPr>
        <w:t>Figure 3.</w:t>
      </w:r>
      <w:r w:rsidRPr="00D73B21">
        <w:rPr>
          <w:rFonts w:ascii="Arial" w:hAnsi="Arial" w:cs="Arial"/>
        </w:rPr>
        <w:t xml:space="preserve"> Developing monoclonal antibody specific for fungal antigen using hybridoma technology. Image </w:t>
      </w:r>
      <w:r w:rsidR="007508B5" w:rsidRPr="00D73B21">
        <w:rPr>
          <w:rFonts w:ascii="Arial" w:hAnsi="Arial" w:cs="Arial"/>
        </w:rPr>
        <w:t xml:space="preserve">was </w:t>
      </w:r>
      <w:r w:rsidRPr="00D73B21">
        <w:rPr>
          <w:rFonts w:ascii="Arial" w:hAnsi="Arial" w:cs="Arial"/>
        </w:rPr>
        <w:t xml:space="preserve">created by </w:t>
      </w:r>
      <w:proofErr w:type="spellStart"/>
      <w:r w:rsidRPr="00D73B21">
        <w:rPr>
          <w:rFonts w:ascii="Arial" w:hAnsi="Arial" w:cs="Arial"/>
        </w:rPr>
        <w:t>bioRender</w:t>
      </w:r>
      <w:proofErr w:type="spellEnd"/>
      <w:r w:rsidRPr="00D73B21">
        <w:rPr>
          <w:rFonts w:ascii="Arial" w:hAnsi="Arial" w:cs="Arial"/>
        </w:rPr>
        <w:t>.</w:t>
      </w:r>
    </w:p>
    <w:p w14:paraId="11722633" w14:textId="77777777" w:rsidR="00CA0438" w:rsidRPr="00D73B21" w:rsidRDefault="00CA0438" w:rsidP="00F87C93">
      <w:pPr>
        <w:pStyle w:val="NormalWeb"/>
        <w:spacing w:before="0" w:beforeAutospacing="0" w:after="0" w:afterAutospacing="0" w:line="480" w:lineRule="auto"/>
        <w:jc w:val="both"/>
        <w:rPr>
          <w:rFonts w:ascii="Arial" w:hAnsi="Arial" w:cs="Arial"/>
        </w:rPr>
      </w:pPr>
    </w:p>
    <w:p w14:paraId="63303AFB" w14:textId="77777777" w:rsidR="00CA0438" w:rsidRPr="00D73B21" w:rsidRDefault="00CA0438" w:rsidP="00F87C93">
      <w:pPr>
        <w:pStyle w:val="NormalWeb"/>
        <w:spacing w:before="0" w:beforeAutospacing="0" w:after="0" w:afterAutospacing="0" w:line="480" w:lineRule="auto"/>
        <w:jc w:val="both"/>
        <w:rPr>
          <w:rFonts w:ascii="Arial" w:hAnsi="Arial" w:cs="Arial"/>
        </w:rPr>
      </w:pPr>
      <w:r w:rsidRPr="00D73B21">
        <w:rPr>
          <w:rFonts w:ascii="Arial" w:hAnsi="Arial" w:cs="Arial"/>
        </w:rPr>
        <w:t xml:space="preserve">The application of artificial intelligence (AI) in the field of fungal diagnosis has emerged recently. AI technologies, particularly machine learning (ML) and deep learning (DL) methods, have significantly enhanced diagnostic accuracy, particularly for less experienced clinicians, by analyzing microscopic images from potassium hydroxide (KOH) examinations, fungal culture tests, and histopathologic slides </w:t>
      </w:r>
      <w:r w:rsidRPr="00D73B21">
        <w:rPr>
          <w:rFonts w:ascii="Arial" w:hAnsi="Arial" w:cs="Arial"/>
        </w:rPr>
        <w:fldChar w:fldCharType="begin"/>
      </w:r>
      <w:r w:rsidRPr="00D73B21">
        <w:rPr>
          <w:rFonts w:ascii="Arial" w:hAnsi="Arial" w:cs="Arial"/>
        </w:rPr>
        <w:instrText xml:space="preserve"> ADDIN ZOTERO_ITEM CSL_CITATION {"citationID":"rfhKf0ra","properties":{"formattedCitation":"(Hasan Pour, 2025)","plainCitation":"(Hasan Pour, 2025)","noteIndex":0},"citationItems":[{"id":8682,"uris":["http://zotero.org/users/2543086/items/U4F4RWNE"],"itemData":{"id":8682,"type":"article-journal","abstract":"Background Superficial fungal infections are among the most common infections in world, they mainly affect skin, nails and scalp without further invasion. Superficial fungal diseases are conventionally diagnosed with direct microscopy, fungal culture or histopathology, treated with topical or systemic antifungal agents and prevented in immunocompetent patients by improving personal hygiene. However, conventional diagnostic tests can be time-consuming, also treatment can be insufficient or ineffective and prevention can prove to be demanding. Artificial Intelligence (AI) refers to a digital system having an intelligence akin to a human being. The concept of AI has existed since 1956, but hasn't been practicalised until recently. AI has revolutionised medical research in the recent years, promising to influence almost all specialties of medicine. Objective An increasing number of articles have been published about the usage of AI in cutaneous mycoses. Methods In this review, the key findings of articles about utilisation of AI in diagnosis, treatment and prevention of superficial fungal infections are summarised. Moreover, the need for more research and development is highlighted. Results Fifty-four studies were reviewed. Onychomycosis was the most researched superficial fungal infection. AI can be used diagnosing fungi in macroscopic and microscopic images and classify them to some extent. AI can be a tool and be used as a part of something bigger to diagnose superficial mycoses. Conclusion AI can be used in all three steps of diagnosing, treating and preventing. AI can be a tool complementary to the clinician's skills and laboratory results.","container-title":"Mycoses","DOI":"10.1111/myc.70007","ISSN":"1439-0507","issue":"1","language":"en","license":"© 2025 Wiley-VCH GmbH. Published by John Wiley &amp; Sons Ltd","note":"_eprint: https://onlinelibrary.wiley.com/doi/pdf/10.1111/myc.70007","page":"e70007","source":"Wiley Online Library","title":"Superficial Fungal Infections and Artificial Intelligence: A Review on Current Advances and Opportunities: REVISION","title-short":"Superficial Fungal Infections and Artificial Intelligence","volume":"68","author":[{"family":"Hasan Pour","given":"Bahareh"}],"issued":{"date-parts":[["2025"]]}}}],"schema":"https://github.com/citation-style-language/schema/raw/master/csl-citation.json"} </w:instrText>
      </w:r>
      <w:r w:rsidRPr="00D73B21">
        <w:rPr>
          <w:rFonts w:ascii="Arial" w:hAnsi="Arial" w:cs="Arial"/>
        </w:rPr>
        <w:fldChar w:fldCharType="separate"/>
      </w:r>
      <w:r w:rsidRPr="00D73B21">
        <w:rPr>
          <w:rFonts w:ascii="Arial" w:hAnsi="Arial" w:cs="Arial"/>
          <w:noProof/>
        </w:rPr>
        <w:t>(Hasan Pour, 2025)</w:t>
      </w:r>
      <w:r w:rsidRPr="00D73B21">
        <w:rPr>
          <w:rFonts w:ascii="Arial" w:hAnsi="Arial" w:cs="Arial"/>
        </w:rPr>
        <w:fldChar w:fldCharType="end"/>
      </w:r>
      <w:r w:rsidRPr="00D73B21">
        <w:rPr>
          <w:rFonts w:ascii="Arial" w:hAnsi="Arial" w:cs="Arial"/>
        </w:rPr>
        <w:t>.</w:t>
      </w:r>
    </w:p>
    <w:p w14:paraId="4C53A1D3" w14:textId="77777777" w:rsidR="00CA0438" w:rsidRPr="00D73B21" w:rsidRDefault="00CA0438" w:rsidP="00F87C93">
      <w:pPr>
        <w:pStyle w:val="NormalWeb"/>
        <w:spacing w:before="0" w:beforeAutospacing="0" w:after="0" w:afterAutospacing="0" w:line="480" w:lineRule="auto"/>
        <w:jc w:val="both"/>
        <w:rPr>
          <w:rFonts w:ascii="Arial" w:hAnsi="Arial" w:cs="Arial"/>
        </w:rPr>
      </w:pPr>
    </w:p>
    <w:p w14:paraId="0FFF19A7" w14:textId="77777777" w:rsidR="005163AA" w:rsidRPr="00D73B21" w:rsidRDefault="005163AA" w:rsidP="00F87C93">
      <w:pPr>
        <w:pStyle w:val="NormalWeb"/>
        <w:spacing w:before="0" w:beforeAutospacing="0" w:after="0" w:afterAutospacing="0" w:line="480" w:lineRule="auto"/>
        <w:jc w:val="both"/>
        <w:rPr>
          <w:rFonts w:ascii="Arial" w:hAnsi="Arial" w:cs="Arial"/>
        </w:rPr>
      </w:pPr>
    </w:p>
    <w:p w14:paraId="3F73F20C" w14:textId="77777777" w:rsidR="00CA0438" w:rsidRPr="00D73B21" w:rsidRDefault="00CA0438" w:rsidP="00F87C93">
      <w:pPr>
        <w:pStyle w:val="NormalWeb"/>
        <w:spacing w:before="0" w:beforeAutospacing="0" w:after="0" w:afterAutospacing="0" w:line="480" w:lineRule="auto"/>
        <w:jc w:val="both"/>
        <w:rPr>
          <w:rFonts w:ascii="Arial" w:hAnsi="Arial" w:cs="Arial"/>
        </w:rPr>
      </w:pPr>
      <w:r w:rsidRPr="00D73B21">
        <w:rPr>
          <w:rStyle w:val="Strong"/>
          <w:rFonts w:ascii="Arial" w:eastAsiaTheme="majorEastAsia" w:hAnsi="Arial" w:cs="Arial"/>
        </w:rPr>
        <w:t>Conclusion</w:t>
      </w:r>
    </w:p>
    <w:p w14:paraId="5E197A65" w14:textId="768DC979" w:rsidR="00CA0438" w:rsidRPr="00D73B21" w:rsidRDefault="00CA0438" w:rsidP="00F87C93">
      <w:pPr>
        <w:pStyle w:val="NormalWeb"/>
        <w:spacing w:before="0" w:beforeAutospacing="0" w:after="0" w:afterAutospacing="0" w:line="480" w:lineRule="auto"/>
        <w:jc w:val="both"/>
        <w:rPr>
          <w:rFonts w:ascii="Arial" w:hAnsi="Arial" w:cs="Arial"/>
        </w:rPr>
      </w:pPr>
      <w:r w:rsidRPr="00D73B21">
        <w:rPr>
          <w:rFonts w:ascii="Arial" w:hAnsi="Arial" w:cs="Arial"/>
        </w:rPr>
        <w:t xml:space="preserve">Fungal pathogens cause many infections, with life-threatening disease, in immunocompetent and immunocompromised individuals. Early recognition of fungal </w:t>
      </w:r>
      <w:r w:rsidRPr="00D73B21">
        <w:rPr>
          <w:rFonts w:ascii="Arial" w:hAnsi="Arial" w:cs="Arial"/>
        </w:rPr>
        <w:lastRenderedPageBreak/>
        <w:t xml:space="preserve">antigens by the host immune system is a pivotal step to trigger a complex network of innate and adaptive responses that synergistically prevent and control infection. Early, rapid, and specific diagnosis for fungal infections, particularly </w:t>
      </w:r>
      <w:r w:rsidR="00044A16" w:rsidRPr="00D73B21">
        <w:rPr>
          <w:rFonts w:ascii="Arial" w:hAnsi="Arial" w:cs="Arial"/>
        </w:rPr>
        <w:t>invasive</w:t>
      </w:r>
      <w:r w:rsidRPr="00D73B21">
        <w:rPr>
          <w:rFonts w:ascii="Arial" w:hAnsi="Arial" w:cs="Arial"/>
        </w:rPr>
        <w:t xml:space="preserve"> infections, can improve patient outcomes. Future studies should focus on developing novel immunotherapies, antifungal agents, and effective vaccines and refining diagnostic methods to ensure early and precise identification of fungal pathogens. </w:t>
      </w:r>
    </w:p>
    <w:p w14:paraId="0888BBBC" w14:textId="77777777" w:rsidR="00A04A72" w:rsidRDefault="00A04A72" w:rsidP="00A04A72">
      <w:pPr>
        <w:rPr>
          <w:highlight w:val="yellow"/>
          <w:lang w:eastAsia="en-US"/>
        </w:rPr>
      </w:pPr>
      <w:r>
        <w:rPr>
          <w:highlight w:val="yellow"/>
        </w:rPr>
        <w:t>Disclaimer (Artificial intelligence)</w:t>
      </w:r>
    </w:p>
    <w:p w14:paraId="0096D36C" w14:textId="77777777" w:rsidR="00A04A72" w:rsidRDefault="00A04A72" w:rsidP="00A04A72">
      <w:pPr>
        <w:rPr>
          <w:highlight w:val="yellow"/>
        </w:rPr>
      </w:pPr>
      <w:r>
        <w:rPr>
          <w:highlight w:val="yellow"/>
        </w:rPr>
        <w:t xml:space="preserve">Option 1: </w:t>
      </w:r>
    </w:p>
    <w:p w14:paraId="35398B96" w14:textId="77777777" w:rsidR="00A04A72" w:rsidRDefault="00A04A72" w:rsidP="00A04A72">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7BACB98E" w14:textId="77777777" w:rsidR="00A04A72" w:rsidRDefault="00A04A72" w:rsidP="00A04A72">
      <w:pPr>
        <w:rPr>
          <w:highlight w:val="yellow"/>
        </w:rPr>
      </w:pPr>
      <w:r>
        <w:rPr>
          <w:highlight w:val="yellow"/>
        </w:rPr>
        <w:t xml:space="preserve">Option 2: </w:t>
      </w:r>
    </w:p>
    <w:p w14:paraId="2C576D8B" w14:textId="77777777" w:rsidR="00A04A72" w:rsidRDefault="00A04A72" w:rsidP="00A04A72">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122D69" w14:textId="77777777" w:rsidR="00A04A72" w:rsidRDefault="00A04A72" w:rsidP="00A04A72">
      <w:pPr>
        <w:rPr>
          <w:highlight w:val="yellow"/>
        </w:rPr>
      </w:pPr>
      <w:r>
        <w:rPr>
          <w:highlight w:val="yellow"/>
        </w:rPr>
        <w:t>Details of the AI usage are given below:</w:t>
      </w:r>
    </w:p>
    <w:p w14:paraId="2164ECAA" w14:textId="77777777" w:rsidR="00A04A72" w:rsidRDefault="00A04A72" w:rsidP="00A04A72">
      <w:pPr>
        <w:rPr>
          <w:highlight w:val="yellow"/>
        </w:rPr>
      </w:pPr>
      <w:r>
        <w:rPr>
          <w:highlight w:val="yellow"/>
        </w:rPr>
        <w:t>1.</w:t>
      </w:r>
    </w:p>
    <w:p w14:paraId="37D7EF3B" w14:textId="77777777" w:rsidR="00A04A72" w:rsidRDefault="00A04A72" w:rsidP="00A04A72">
      <w:pPr>
        <w:rPr>
          <w:highlight w:val="yellow"/>
        </w:rPr>
      </w:pPr>
      <w:r>
        <w:rPr>
          <w:highlight w:val="yellow"/>
        </w:rPr>
        <w:t>2.</w:t>
      </w:r>
    </w:p>
    <w:p w14:paraId="72016A1F" w14:textId="77777777" w:rsidR="00A04A72" w:rsidRDefault="00A04A72" w:rsidP="00A04A72">
      <w:r>
        <w:rPr>
          <w:highlight w:val="yellow"/>
        </w:rPr>
        <w:t>3.</w:t>
      </w:r>
    </w:p>
    <w:p w14:paraId="12794BD6" w14:textId="77777777" w:rsidR="00CA0438" w:rsidRPr="00D73B21" w:rsidRDefault="00CA0438" w:rsidP="00F87C93">
      <w:pPr>
        <w:pStyle w:val="NormalWeb"/>
        <w:spacing w:before="0" w:beforeAutospacing="0" w:after="0" w:afterAutospacing="0" w:line="480" w:lineRule="auto"/>
        <w:jc w:val="both"/>
        <w:rPr>
          <w:rFonts w:ascii="Arial" w:hAnsi="Arial" w:cs="Arial"/>
        </w:rPr>
      </w:pPr>
    </w:p>
    <w:p w14:paraId="525F0DBC" w14:textId="77777777" w:rsidR="00CA0438" w:rsidRPr="00D73B21" w:rsidRDefault="00CA0438" w:rsidP="00F87C93">
      <w:pPr>
        <w:pStyle w:val="NormalWeb"/>
        <w:spacing w:before="0" w:beforeAutospacing="0" w:after="0" w:afterAutospacing="0" w:line="480" w:lineRule="auto"/>
        <w:jc w:val="both"/>
        <w:rPr>
          <w:rFonts w:ascii="Arial" w:hAnsi="Arial" w:cs="Arial"/>
          <w:b/>
          <w:bCs/>
        </w:rPr>
      </w:pPr>
      <w:r w:rsidRPr="00D73B21">
        <w:rPr>
          <w:rFonts w:ascii="Arial" w:hAnsi="Arial" w:cs="Arial"/>
          <w:b/>
          <w:bCs/>
        </w:rPr>
        <w:t>References</w:t>
      </w:r>
    </w:p>
    <w:p w14:paraId="78228F08" w14:textId="77777777" w:rsidR="00E54837" w:rsidRPr="00E54837" w:rsidRDefault="00E54837" w:rsidP="00920834">
      <w:pPr>
        <w:pStyle w:val="Bibliography"/>
        <w:jc w:val="both"/>
        <w:rPr>
          <w:rFonts w:ascii="Arial" w:eastAsiaTheme="minorHAnsi" w:hAnsi="Arial" w:cs="Arial"/>
          <w:lang w:eastAsia="en-US"/>
        </w:rPr>
      </w:pPr>
      <w:r>
        <w:rPr>
          <w:rFonts w:ascii="Arial" w:hAnsi="Arial" w:cs="Arial"/>
        </w:rPr>
        <w:fldChar w:fldCharType="begin"/>
      </w:r>
      <w:r>
        <w:rPr>
          <w:rFonts w:ascii="Arial" w:hAnsi="Arial" w:cs="Arial"/>
        </w:rPr>
        <w:instrText xml:space="preserve"> ADDIN ZOTERO_BIBL {"uncited":[],"omitted":[],"custom":[]} CSL_BIBLIOGRAPHY </w:instrText>
      </w:r>
      <w:r>
        <w:rPr>
          <w:rFonts w:ascii="Arial" w:hAnsi="Arial" w:cs="Arial"/>
        </w:rPr>
        <w:fldChar w:fldCharType="separate"/>
      </w:r>
      <w:r w:rsidRPr="00E54837">
        <w:rPr>
          <w:rFonts w:ascii="Arial" w:eastAsiaTheme="minorHAnsi" w:hAnsi="Arial" w:cs="Arial"/>
          <w:lang w:eastAsia="en-US"/>
        </w:rPr>
        <w:t xml:space="preserve">Abdul-Kareem, H. H., Al-Maqtoofi, M. Y., &amp; Burghal, A. A. (2023). Impact of COVID-19 vaccination on saliva immune barriers: IgA, lysozyme, and lactoferrin. </w:t>
      </w:r>
      <w:r w:rsidRPr="00E54837">
        <w:rPr>
          <w:rFonts w:ascii="Arial" w:eastAsiaTheme="minorHAnsi" w:hAnsi="Arial" w:cs="Arial"/>
          <w:i/>
          <w:iCs/>
          <w:lang w:eastAsia="en-US"/>
        </w:rPr>
        <w:t>Archives of Virology</w:t>
      </w:r>
      <w:r w:rsidRPr="00E54837">
        <w:rPr>
          <w:rFonts w:ascii="Arial" w:eastAsiaTheme="minorHAnsi" w:hAnsi="Arial" w:cs="Arial"/>
          <w:lang w:eastAsia="en-US"/>
        </w:rPr>
        <w:t xml:space="preserve">, </w:t>
      </w:r>
      <w:r w:rsidRPr="00E54837">
        <w:rPr>
          <w:rFonts w:ascii="Arial" w:eastAsiaTheme="minorHAnsi" w:hAnsi="Arial" w:cs="Arial"/>
          <w:i/>
          <w:iCs/>
          <w:lang w:eastAsia="en-US"/>
        </w:rPr>
        <w:t>168</w:t>
      </w:r>
      <w:r w:rsidRPr="00E54837">
        <w:rPr>
          <w:rFonts w:ascii="Arial" w:eastAsiaTheme="minorHAnsi" w:hAnsi="Arial" w:cs="Arial"/>
          <w:lang w:eastAsia="en-US"/>
        </w:rPr>
        <w:t>(12), 293. https://doi.org/10.1007/s00705-023-05914-3</w:t>
      </w:r>
    </w:p>
    <w:p w14:paraId="60D611E0"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Airola, C., Severino, A., Spinelli, I., Gasbarrini, A., Cammarota, G., Ianiro, G., &amp; Ponziani, F. R. (2024). “Pleiotropic” Effects of Antibiotics: New Modulators in Human Diseases. </w:t>
      </w:r>
      <w:r w:rsidRPr="00E54837">
        <w:rPr>
          <w:rFonts w:ascii="Arial" w:eastAsiaTheme="minorHAnsi" w:hAnsi="Arial" w:cs="Arial"/>
          <w:i/>
          <w:iCs/>
          <w:lang w:eastAsia="en-US"/>
        </w:rPr>
        <w:t>Antibiotics</w:t>
      </w:r>
      <w:r w:rsidRPr="00E54837">
        <w:rPr>
          <w:rFonts w:ascii="Arial" w:eastAsiaTheme="minorHAnsi" w:hAnsi="Arial" w:cs="Arial"/>
          <w:lang w:eastAsia="en-US"/>
        </w:rPr>
        <w:t xml:space="preserve">, </w:t>
      </w:r>
      <w:r w:rsidRPr="00E54837">
        <w:rPr>
          <w:rFonts w:ascii="Arial" w:eastAsiaTheme="minorHAnsi" w:hAnsi="Arial" w:cs="Arial"/>
          <w:i/>
          <w:iCs/>
          <w:lang w:eastAsia="en-US"/>
        </w:rPr>
        <w:t>13</w:t>
      </w:r>
      <w:r w:rsidRPr="00E54837">
        <w:rPr>
          <w:rFonts w:ascii="Arial" w:eastAsiaTheme="minorHAnsi" w:hAnsi="Arial" w:cs="Arial"/>
          <w:lang w:eastAsia="en-US"/>
        </w:rPr>
        <w:t>(12), 1176. https://doi.org/10.3390/antibiotics13121176</w:t>
      </w:r>
    </w:p>
    <w:p w14:paraId="0F78B4D7"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lastRenderedPageBreak/>
        <w:t xml:space="preserve">Aziz, I.-A., Al-Maqtoofi, M. Y., &amp; Burghal, A. A. (2023). Interleukin-17 and Immunity of Ocular infections. </w:t>
      </w:r>
      <w:r w:rsidRPr="00E54837">
        <w:rPr>
          <w:rFonts w:ascii="Arial" w:eastAsiaTheme="minorHAnsi" w:hAnsi="Arial" w:cs="Arial"/>
          <w:i/>
          <w:iCs/>
          <w:lang w:eastAsia="en-US"/>
        </w:rPr>
        <w:t>Acta Microbiologica Hellenica</w:t>
      </w:r>
      <w:r w:rsidRPr="00E54837">
        <w:rPr>
          <w:rFonts w:ascii="Arial" w:eastAsiaTheme="minorHAnsi" w:hAnsi="Arial" w:cs="Arial"/>
          <w:lang w:eastAsia="en-US"/>
        </w:rPr>
        <w:t>, 231–239. https://doi.org/10.5281/ZENODO.10203266</w:t>
      </w:r>
    </w:p>
    <w:p w14:paraId="24BE5640"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Benedict, K., Molinari, N. A. M., &amp; Jackson, B. R. (2020). Public Awareness of Invasive Fungal Diseases—United States, 2019. </w:t>
      </w:r>
      <w:r w:rsidRPr="00E54837">
        <w:rPr>
          <w:rFonts w:ascii="Arial" w:eastAsiaTheme="minorHAnsi" w:hAnsi="Arial" w:cs="Arial"/>
          <w:i/>
          <w:iCs/>
          <w:lang w:eastAsia="en-US"/>
        </w:rPr>
        <w:t>Morbidity and Mortality Weekly Report</w:t>
      </w:r>
      <w:r w:rsidRPr="00E54837">
        <w:rPr>
          <w:rFonts w:ascii="Arial" w:eastAsiaTheme="minorHAnsi" w:hAnsi="Arial" w:cs="Arial"/>
          <w:lang w:eastAsia="en-US"/>
        </w:rPr>
        <w:t xml:space="preserve">, </w:t>
      </w:r>
      <w:r w:rsidRPr="00E54837">
        <w:rPr>
          <w:rFonts w:ascii="Arial" w:eastAsiaTheme="minorHAnsi" w:hAnsi="Arial" w:cs="Arial"/>
          <w:i/>
          <w:iCs/>
          <w:lang w:eastAsia="en-US"/>
        </w:rPr>
        <w:t>69</w:t>
      </w:r>
      <w:r w:rsidRPr="00E54837">
        <w:rPr>
          <w:rFonts w:ascii="Arial" w:eastAsiaTheme="minorHAnsi" w:hAnsi="Arial" w:cs="Arial"/>
          <w:lang w:eastAsia="en-US"/>
        </w:rPr>
        <w:t>(38), 1343. https://doi.org/10.15585/mmwr.mm6938a2</w:t>
      </w:r>
    </w:p>
    <w:p w14:paraId="34FFAD4B"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Billmyre, R. B., Applen Clancey, S., Li, L. X., Doering, T. L., &amp; Heitman, J. (2020). 5-fluorocytosine resistance is associated with hypermutation and alterations in capsule biosynthesis in Cryptococcus. </w:t>
      </w:r>
      <w:r w:rsidRPr="00E54837">
        <w:rPr>
          <w:rFonts w:ascii="Arial" w:eastAsiaTheme="minorHAnsi" w:hAnsi="Arial" w:cs="Arial"/>
          <w:i/>
          <w:iCs/>
          <w:lang w:eastAsia="en-US"/>
        </w:rPr>
        <w:t>Nature Communications</w:t>
      </w:r>
      <w:r w:rsidRPr="00E54837">
        <w:rPr>
          <w:rFonts w:ascii="Arial" w:eastAsiaTheme="minorHAnsi" w:hAnsi="Arial" w:cs="Arial"/>
          <w:lang w:eastAsia="en-US"/>
        </w:rPr>
        <w:t xml:space="preserve">, </w:t>
      </w:r>
      <w:r w:rsidRPr="00E54837">
        <w:rPr>
          <w:rFonts w:ascii="Arial" w:eastAsiaTheme="minorHAnsi" w:hAnsi="Arial" w:cs="Arial"/>
          <w:i/>
          <w:iCs/>
          <w:lang w:eastAsia="en-US"/>
        </w:rPr>
        <w:t>11</w:t>
      </w:r>
      <w:r w:rsidRPr="00E54837">
        <w:rPr>
          <w:rFonts w:ascii="Arial" w:eastAsiaTheme="minorHAnsi" w:hAnsi="Arial" w:cs="Arial"/>
          <w:lang w:eastAsia="en-US"/>
        </w:rPr>
        <w:t>(1), 127. https://doi.org/10.1038/s41467-019-13890-z</w:t>
      </w:r>
    </w:p>
    <w:p w14:paraId="4FA7DA21"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Blaize, M., Thizy, G., Boissonnas, A., Portalier, A., Lanternier, F., de La Porte des Vaux, C., Suarez, F., Bougnoux, M.-E., Guitard, J., Jabet, A., Stocker, N., Aoudjhane, A., Roos-Weil, D., &amp; Fekkar, A. (2024). Invasive Aspergillosis with impaired neutrophil responses against </w:t>
      </w:r>
      <w:r w:rsidRPr="00E54837">
        <w:rPr>
          <w:rFonts w:ascii="Arial" w:eastAsiaTheme="minorHAnsi" w:hAnsi="Arial" w:cs="Arial"/>
          <w:i/>
          <w:iCs/>
          <w:lang w:eastAsia="en-US"/>
        </w:rPr>
        <w:t>Aspergillus fumigatus</w:t>
      </w:r>
      <w:r w:rsidRPr="00E54837">
        <w:rPr>
          <w:rFonts w:ascii="Arial" w:eastAsiaTheme="minorHAnsi" w:hAnsi="Arial" w:cs="Arial"/>
          <w:lang w:eastAsia="en-US"/>
        </w:rPr>
        <w:t xml:space="preserve"> in patients treated with Acalabrutinib—Findings from three cases. </w:t>
      </w:r>
      <w:r w:rsidRPr="00E54837">
        <w:rPr>
          <w:rFonts w:ascii="Arial" w:eastAsiaTheme="minorHAnsi" w:hAnsi="Arial" w:cs="Arial"/>
          <w:i/>
          <w:iCs/>
          <w:lang w:eastAsia="en-US"/>
        </w:rPr>
        <w:t>International Journal of Infectious Diseases</w:t>
      </w:r>
      <w:r w:rsidRPr="00E54837">
        <w:rPr>
          <w:rFonts w:ascii="Arial" w:eastAsiaTheme="minorHAnsi" w:hAnsi="Arial" w:cs="Arial"/>
          <w:lang w:eastAsia="en-US"/>
        </w:rPr>
        <w:t xml:space="preserve">, </w:t>
      </w:r>
      <w:r w:rsidRPr="00E54837">
        <w:rPr>
          <w:rFonts w:ascii="Arial" w:eastAsiaTheme="minorHAnsi" w:hAnsi="Arial" w:cs="Arial"/>
          <w:i/>
          <w:iCs/>
          <w:lang w:eastAsia="en-US"/>
        </w:rPr>
        <w:t>142</w:t>
      </w:r>
      <w:r w:rsidRPr="00E54837">
        <w:rPr>
          <w:rFonts w:ascii="Arial" w:eastAsiaTheme="minorHAnsi" w:hAnsi="Arial" w:cs="Arial"/>
          <w:lang w:eastAsia="en-US"/>
        </w:rPr>
        <w:t>, 107000. https://doi.org/10.1016/j.ijid.2024.107000</w:t>
      </w:r>
    </w:p>
    <w:p w14:paraId="7568138E"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Brown, L., Cruciani, M., Morton, C. O., Alanio, A., Barnes, R. A., Donnelly, J. P., Hagen, F., Gorton, R., Lackner, M., Loeffler, J., Millon, L., Rautemaa-Richardson, R., &amp; White, P. L. (2025). The Molecular Diagnosis of Invasive Fungal Diseases with a Focus on PCR. </w:t>
      </w:r>
      <w:r w:rsidRPr="00E54837">
        <w:rPr>
          <w:rFonts w:ascii="Arial" w:eastAsiaTheme="minorHAnsi" w:hAnsi="Arial" w:cs="Arial"/>
          <w:i/>
          <w:iCs/>
          <w:lang w:eastAsia="en-US"/>
        </w:rPr>
        <w:t>Diagnostics</w:t>
      </w:r>
      <w:r w:rsidRPr="00E54837">
        <w:rPr>
          <w:rFonts w:ascii="Arial" w:eastAsiaTheme="minorHAnsi" w:hAnsi="Arial" w:cs="Arial"/>
          <w:lang w:eastAsia="en-US"/>
        </w:rPr>
        <w:t xml:space="preserve">, </w:t>
      </w:r>
      <w:r w:rsidRPr="00E54837">
        <w:rPr>
          <w:rFonts w:ascii="Arial" w:eastAsiaTheme="minorHAnsi" w:hAnsi="Arial" w:cs="Arial"/>
          <w:i/>
          <w:iCs/>
          <w:lang w:eastAsia="en-US"/>
        </w:rPr>
        <w:t>15</w:t>
      </w:r>
      <w:r w:rsidRPr="00E54837">
        <w:rPr>
          <w:rFonts w:ascii="Arial" w:eastAsiaTheme="minorHAnsi" w:hAnsi="Arial" w:cs="Arial"/>
          <w:lang w:eastAsia="en-US"/>
        </w:rPr>
        <w:t>(15), 1909. https://doi.org/10.3390/diagnostics15151909</w:t>
      </w:r>
    </w:p>
    <w:p w14:paraId="34C31A2F"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Burgess, T. B., Condliffe, A. M., &amp; Elks, P. M. (2022). A Fun-Guide to Innate Immune Responses to Fungal Infections. </w:t>
      </w:r>
      <w:r w:rsidRPr="00E54837">
        <w:rPr>
          <w:rFonts w:ascii="Arial" w:eastAsiaTheme="minorHAnsi" w:hAnsi="Arial" w:cs="Arial"/>
          <w:i/>
          <w:iCs/>
          <w:lang w:eastAsia="en-US"/>
        </w:rPr>
        <w:t>Journal of Fungi</w:t>
      </w:r>
      <w:r w:rsidRPr="00E54837">
        <w:rPr>
          <w:rFonts w:ascii="Arial" w:eastAsiaTheme="minorHAnsi" w:hAnsi="Arial" w:cs="Arial"/>
          <w:lang w:eastAsia="en-US"/>
        </w:rPr>
        <w:t xml:space="preserve">, </w:t>
      </w:r>
      <w:r w:rsidRPr="00E54837">
        <w:rPr>
          <w:rFonts w:ascii="Arial" w:eastAsiaTheme="minorHAnsi" w:hAnsi="Arial" w:cs="Arial"/>
          <w:i/>
          <w:iCs/>
          <w:lang w:eastAsia="en-US"/>
        </w:rPr>
        <w:t>8</w:t>
      </w:r>
      <w:r w:rsidRPr="00E54837">
        <w:rPr>
          <w:rFonts w:ascii="Arial" w:eastAsiaTheme="minorHAnsi" w:hAnsi="Arial" w:cs="Arial"/>
          <w:lang w:eastAsia="en-US"/>
        </w:rPr>
        <w:t>(8), 805. https://doi.org/10.3390/jof8080805</w:t>
      </w:r>
    </w:p>
    <w:p w14:paraId="3BD0509F"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lastRenderedPageBreak/>
        <w:t xml:space="preserve">Carolus, H., Pierson, S., Lagrou, K., &amp; Van Dijck, P. (2020). Amphotericin B and Other Polyenes—Discovery, Clinical Use, Mode of Action and Drug Resistance. </w:t>
      </w:r>
      <w:r w:rsidRPr="00E54837">
        <w:rPr>
          <w:rFonts w:ascii="Arial" w:eastAsiaTheme="minorHAnsi" w:hAnsi="Arial" w:cs="Arial"/>
          <w:i/>
          <w:iCs/>
          <w:lang w:eastAsia="en-US"/>
        </w:rPr>
        <w:t>Journal of Fungi</w:t>
      </w:r>
      <w:r w:rsidRPr="00E54837">
        <w:rPr>
          <w:rFonts w:ascii="Arial" w:eastAsiaTheme="minorHAnsi" w:hAnsi="Arial" w:cs="Arial"/>
          <w:lang w:eastAsia="en-US"/>
        </w:rPr>
        <w:t xml:space="preserve">, </w:t>
      </w:r>
      <w:r w:rsidRPr="00E54837">
        <w:rPr>
          <w:rFonts w:ascii="Arial" w:eastAsiaTheme="minorHAnsi" w:hAnsi="Arial" w:cs="Arial"/>
          <w:i/>
          <w:iCs/>
          <w:lang w:eastAsia="en-US"/>
        </w:rPr>
        <w:t>6</w:t>
      </w:r>
      <w:r w:rsidRPr="00E54837">
        <w:rPr>
          <w:rFonts w:ascii="Arial" w:eastAsiaTheme="minorHAnsi" w:hAnsi="Arial" w:cs="Arial"/>
          <w:lang w:eastAsia="en-US"/>
        </w:rPr>
        <w:t>(4), 321. https://doi.org/10.3390/jof6040321</w:t>
      </w:r>
    </w:p>
    <w:p w14:paraId="41B1AB8B"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Cruz, F. M., Chan, A., &amp; Rock, K. L. (2023). Pathways of MHC I cross-presentation of exogenous antigens. </w:t>
      </w:r>
      <w:r w:rsidRPr="00E54837">
        <w:rPr>
          <w:rFonts w:ascii="Arial" w:eastAsiaTheme="minorHAnsi" w:hAnsi="Arial" w:cs="Arial"/>
          <w:i/>
          <w:iCs/>
          <w:lang w:eastAsia="en-US"/>
        </w:rPr>
        <w:t>Seminars in Immunology</w:t>
      </w:r>
      <w:r w:rsidRPr="00E54837">
        <w:rPr>
          <w:rFonts w:ascii="Arial" w:eastAsiaTheme="minorHAnsi" w:hAnsi="Arial" w:cs="Arial"/>
          <w:lang w:eastAsia="en-US"/>
        </w:rPr>
        <w:t xml:space="preserve">, </w:t>
      </w:r>
      <w:r w:rsidRPr="00E54837">
        <w:rPr>
          <w:rFonts w:ascii="Arial" w:eastAsiaTheme="minorHAnsi" w:hAnsi="Arial" w:cs="Arial"/>
          <w:i/>
          <w:iCs/>
          <w:lang w:eastAsia="en-US"/>
        </w:rPr>
        <w:t>66</w:t>
      </w:r>
      <w:r w:rsidRPr="00E54837">
        <w:rPr>
          <w:rFonts w:ascii="Arial" w:eastAsiaTheme="minorHAnsi" w:hAnsi="Arial" w:cs="Arial"/>
          <w:lang w:eastAsia="en-US"/>
        </w:rPr>
        <w:t>, 101729. https://doi.org/10.1016/j.smim.2023.101729</w:t>
      </w:r>
    </w:p>
    <w:p w14:paraId="580ECDC9"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Davidson, L., Reek, J. M. P. A. van den, Bruno, M., Hunsel, F. van, Herings, R. M. C., Matzaraki, V., Boahen, C. K., Kumar, V., Groenewoud, H. M. M., Veerdonk, F. L. van de, Netea, M. G., Jong, E. M. G. J. de, &amp; Kullberg, B. J. (2022). Risk of candidiasis associated with interleukin-17 inhibitors: A real-world observational study of multiple independent sources. </w:t>
      </w:r>
      <w:r w:rsidRPr="00E54837">
        <w:rPr>
          <w:rFonts w:ascii="Arial" w:eastAsiaTheme="minorHAnsi" w:hAnsi="Arial" w:cs="Arial"/>
          <w:i/>
          <w:iCs/>
          <w:lang w:eastAsia="en-US"/>
        </w:rPr>
        <w:t>The Lancet Regional Health – Europe</w:t>
      </w:r>
      <w:r w:rsidRPr="00E54837">
        <w:rPr>
          <w:rFonts w:ascii="Arial" w:eastAsiaTheme="minorHAnsi" w:hAnsi="Arial" w:cs="Arial"/>
          <w:lang w:eastAsia="en-US"/>
        </w:rPr>
        <w:t xml:space="preserve">, </w:t>
      </w:r>
      <w:r w:rsidRPr="00E54837">
        <w:rPr>
          <w:rFonts w:ascii="Arial" w:eastAsiaTheme="minorHAnsi" w:hAnsi="Arial" w:cs="Arial"/>
          <w:i/>
          <w:iCs/>
          <w:lang w:eastAsia="en-US"/>
        </w:rPr>
        <w:t>13</w:t>
      </w:r>
      <w:r w:rsidRPr="00E54837">
        <w:rPr>
          <w:rFonts w:ascii="Arial" w:eastAsiaTheme="minorHAnsi" w:hAnsi="Arial" w:cs="Arial"/>
          <w:lang w:eastAsia="en-US"/>
        </w:rPr>
        <w:t>. https://doi.org/10.1016/j.lanepe.2021.100266</w:t>
      </w:r>
    </w:p>
    <w:p w14:paraId="4AF96D23"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Denning, D. W. (2024). Global incidence and mortality of severe fungal disease. </w:t>
      </w:r>
      <w:r w:rsidRPr="00E54837">
        <w:rPr>
          <w:rFonts w:ascii="Arial" w:eastAsiaTheme="minorHAnsi" w:hAnsi="Arial" w:cs="Arial"/>
          <w:i/>
          <w:iCs/>
          <w:lang w:eastAsia="en-US"/>
        </w:rPr>
        <w:t>The Lancet Infectious Diseases</w:t>
      </w:r>
      <w:r w:rsidRPr="00E54837">
        <w:rPr>
          <w:rFonts w:ascii="Arial" w:eastAsiaTheme="minorHAnsi" w:hAnsi="Arial" w:cs="Arial"/>
          <w:lang w:eastAsia="en-US"/>
        </w:rPr>
        <w:t xml:space="preserve">, </w:t>
      </w:r>
      <w:r w:rsidRPr="00E54837">
        <w:rPr>
          <w:rFonts w:ascii="Arial" w:eastAsiaTheme="minorHAnsi" w:hAnsi="Arial" w:cs="Arial"/>
          <w:i/>
          <w:iCs/>
          <w:lang w:eastAsia="en-US"/>
        </w:rPr>
        <w:t>24</w:t>
      </w:r>
      <w:r w:rsidRPr="00E54837">
        <w:rPr>
          <w:rFonts w:ascii="Arial" w:eastAsiaTheme="minorHAnsi" w:hAnsi="Arial" w:cs="Arial"/>
          <w:lang w:eastAsia="en-US"/>
        </w:rPr>
        <w:t>(7), e428–e438. https://doi.org/10.1016/S1473-3099(23)00692-8</w:t>
      </w:r>
    </w:p>
    <w:p w14:paraId="5DDCBEBD"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Fang, X., Lian, H., Bi, S., Liu, S., Yuan, X., &amp; Liao, C. (2022). Roles of pattern recognition receptors in response to fungal keratitis. </w:t>
      </w:r>
      <w:r w:rsidRPr="00E54837">
        <w:rPr>
          <w:rFonts w:ascii="Arial" w:eastAsiaTheme="minorHAnsi" w:hAnsi="Arial" w:cs="Arial"/>
          <w:i/>
          <w:iCs/>
          <w:lang w:eastAsia="en-US"/>
        </w:rPr>
        <w:t>Life Sciences</w:t>
      </w:r>
      <w:r w:rsidRPr="00E54837">
        <w:rPr>
          <w:rFonts w:ascii="Arial" w:eastAsiaTheme="minorHAnsi" w:hAnsi="Arial" w:cs="Arial"/>
          <w:lang w:eastAsia="en-US"/>
        </w:rPr>
        <w:t xml:space="preserve">, </w:t>
      </w:r>
      <w:r w:rsidRPr="00E54837">
        <w:rPr>
          <w:rFonts w:ascii="Arial" w:eastAsiaTheme="minorHAnsi" w:hAnsi="Arial" w:cs="Arial"/>
          <w:i/>
          <w:iCs/>
          <w:lang w:eastAsia="en-US"/>
        </w:rPr>
        <w:t>307</w:t>
      </w:r>
      <w:r w:rsidRPr="00E54837">
        <w:rPr>
          <w:rFonts w:ascii="Arial" w:eastAsiaTheme="minorHAnsi" w:hAnsi="Arial" w:cs="Arial"/>
          <w:lang w:eastAsia="en-US"/>
        </w:rPr>
        <w:t>, 120881. https://doi.org/10.1016/j.lfs.2022.120881</w:t>
      </w:r>
    </w:p>
    <w:p w14:paraId="788E4F7E"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Garcia-Bustos, V., Cabañero-Navalon, M. D., Ruiz-Gaitán, A., Salavert, M., Tormo-Mas, M. Á., &amp; Pemán, J. (2023). Climate change, animals, and Candida auris: Insights into the ecological niche of a new species from a One Health approach. </w:t>
      </w:r>
      <w:r w:rsidRPr="00E54837">
        <w:rPr>
          <w:rFonts w:ascii="Arial" w:eastAsiaTheme="minorHAnsi" w:hAnsi="Arial" w:cs="Arial"/>
          <w:i/>
          <w:iCs/>
          <w:lang w:eastAsia="en-US"/>
        </w:rPr>
        <w:t>Clinical Microbiology and Infection: The Official Publication of the European Society of Clinical Microbiology and Infectious Diseases</w:t>
      </w:r>
      <w:r w:rsidRPr="00E54837">
        <w:rPr>
          <w:rFonts w:ascii="Arial" w:eastAsiaTheme="minorHAnsi" w:hAnsi="Arial" w:cs="Arial"/>
          <w:lang w:eastAsia="en-US"/>
        </w:rPr>
        <w:t xml:space="preserve">, </w:t>
      </w:r>
      <w:r w:rsidRPr="00E54837">
        <w:rPr>
          <w:rFonts w:ascii="Arial" w:eastAsiaTheme="minorHAnsi" w:hAnsi="Arial" w:cs="Arial"/>
          <w:i/>
          <w:iCs/>
          <w:lang w:eastAsia="en-US"/>
        </w:rPr>
        <w:t>29</w:t>
      </w:r>
      <w:r w:rsidRPr="00E54837">
        <w:rPr>
          <w:rFonts w:ascii="Arial" w:eastAsiaTheme="minorHAnsi" w:hAnsi="Arial" w:cs="Arial"/>
          <w:lang w:eastAsia="en-US"/>
        </w:rPr>
        <w:t>(7), 858–862. https://doi.org/10.1016/j.cmi.2023.03.016</w:t>
      </w:r>
    </w:p>
    <w:p w14:paraId="068C9820"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lastRenderedPageBreak/>
        <w:t xml:space="preserve">Goughenour, K. D., Nair, A. S., Xu, J., Olszewski, M. A., &amp; Wozniak, K. L. (2023). Dendritic Cells: Multifunctional Roles in Host Defenses to Cryptococcus Infections. </w:t>
      </w:r>
      <w:r w:rsidRPr="00E54837">
        <w:rPr>
          <w:rFonts w:ascii="Arial" w:eastAsiaTheme="minorHAnsi" w:hAnsi="Arial" w:cs="Arial"/>
          <w:i/>
          <w:iCs/>
          <w:lang w:eastAsia="en-US"/>
        </w:rPr>
        <w:t>Journal of Fungi</w:t>
      </w:r>
      <w:r w:rsidRPr="00E54837">
        <w:rPr>
          <w:rFonts w:ascii="Arial" w:eastAsiaTheme="minorHAnsi" w:hAnsi="Arial" w:cs="Arial"/>
          <w:lang w:eastAsia="en-US"/>
        </w:rPr>
        <w:t xml:space="preserve">, </w:t>
      </w:r>
      <w:r w:rsidRPr="00E54837">
        <w:rPr>
          <w:rFonts w:ascii="Arial" w:eastAsiaTheme="minorHAnsi" w:hAnsi="Arial" w:cs="Arial"/>
          <w:i/>
          <w:iCs/>
          <w:lang w:eastAsia="en-US"/>
        </w:rPr>
        <w:t>9</w:t>
      </w:r>
      <w:r w:rsidRPr="00E54837">
        <w:rPr>
          <w:rFonts w:ascii="Arial" w:eastAsiaTheme="minorHAnsi" w:hAnsi="Arial" w:cs="Arial"/>
          <w:lang w:eastAsia="en-US"/>
        </w:rPr>
        <w:t>(11), 1050. https://doi.org/10.3390/jof9111050</w:t>
      </w:r>
    </w:p>
    <w:p w14:paraId="5AB4C722"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Hammoudi Halat, D., Younes, S., Mourad, N., &amp; Rahal, M. (2022). Allylamines, Benzylamines, and Fungal Cell Permeability: A Review of Mechanistic Effects and Usefulness against Fungal Pathogens. </w:t>
      </w:r>
      <w:r w:rsidRPr="00E54837">
        <w:rPr>
          <w:rFonts w:ascii="Arial" w:eastAsiaTheme="minorHAnsi" w:hAnsi="Arial" w:cs="Arial"/>
          <w:i/>
          <w:iCs/>
          <w:lang w:eastAsia="en-US"/>
        </w:rPr>
        <w:t>Membranes</w:t>
      </w:r>
      <w:r w:rsidRPr="00E54837">
        <w:rPr>
          <w:rFonts w:ascii="Arial" w:eastAsiaTheme="minorHAnsi" w:hAnsi="Arial" w:cs="Arial"/>
          <w:lang w:eastAsia="en-US"/>
        </w:rPr>
        <w:t xml:space="preserve">, </w:t>
      </w:r>
      <w:r w:rsidRPr="00E54837">
        <w:rPr>
          <w:rFonts w:ascii="Arial" w:eastAsiaTheme="minorHAnsi" w:hAnsi="Arial" w:cs="Arial"/>
          <w:i/>
          <w:iCs/>
          <w:lang w:eastAsia="en-US"/>
        </w:rPr>
        <w:t>12</w:t>
      </w:r>
      <w:r w:rsidRPr="00E54837">
        <w:rPr>
          <w:rFonts w:ascii="Arial" w:eastAsiaTheme="minorHAnsi" w:hAnsi="Arial" w:cs="Arial"/>
          <w:lang w:eastAsia="en-US"/>
        </w:rPr>
        <w:t>(12), 1171. https://doi.org/10.3390/membranes12121171</w:t>
      </w:r>
    </w:p>
    <w:p w14:paraId="64485671"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Hasan Pour, B. (2025). Superficial Fungal Infections and Artificial Intelligence: A Review on Current Advances and Opportunities: REVISION. </w:t>
      </w:r>
      <w:r w:rsidRPr="00E54837">
        <w:rPr>
          <w:rFonts w:ascii="Arial" w:eastAsiaTheme="minorHAnsi" w:hAnsi="Arial" w:cs="Arial"/>
          <w:i/>
          <w:iCs/>
          <w:lang w:eastAsia="en-US"/>
        </w:rPr>
        <w:t>Mycoses</w:t>
      </w:r>
      <w:r w:rsidRPr="00E54837">
        <w:rPr>
          <w:rFonts w:ascii="Arial" w:eastAsiaTheme="minorHAnsi" w:hAnsi="Arial" w:cs="Arial"/>
          <w:lang w:eastAsia="en-US"/>
        </w:rPr>
        <w:t xml:space="preserve">, </w:t>
      </w:r>
      <w:r w:rsidRPr="00E54837">
        <w:rPr>
          <w:rFonts w:ascii="Arial" w:eastAsiaTheme="minorHAnsi" w:hAnsi="Arial" w:cs="Arial"/>
          <w:i/>
          <w:iCs/>
          <w:lang w:eastAsia="en-US"/>
        </w:rPr>
        <w:t>68</w:t>
      </w:r>
      <w:r w:rsidRPr="00E54837">
        <w:rPr>
          <w:rFonts w:ascii="Arial" w:eastAsiaTheme="minorHAnsi" w:hAnsi="Arial" w:cs="Arial"/>
          <w:lang w:eastAsia="en-US"/>
        </w:rPr>
        <w:t>(1), e70007. https://doi.org/10.1111/myc.70007</w:t>
      </w:r>
    </w:p>
    <w:p w14:paraId="462906E4"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Hatinguais, R., Willment, J. A., &amp; Brown, G. D. (2020). PAMPs of the Fungal Cell Wall and Mammalian PRRs. </w:t>
      </w:r>
      <w:r w:rsidRPr="00E54837">
        <w:rPr>
          <w:rFonts w:ascii="Arial" w:eastAsiaTheme="minorHAnsi" w:hAnsi="Arial" w:cs="Arial"/>
          <w:i/>
          <w:iCs/>
          <w:lang w:eastAsia="en-US"/>
        </w:rPr>
        <w:t>Current Topics in Microbiology and Immunology</w:t>
      </w:r>
      <w:r w:rsidRPr="00E54837">
        <w:rPr>
          <w:rFonts w:ascii="Arial" w:eastAsiaTheme="minorHAnsi" w:hAnsi="Arial" w:cs="Arial"/>
          <w:lang w:eastAsia="en-US"/>
        </w:rPr>
        <w:t xml:space="preserve">, </w:t>
      </w:r>
      <w:r w:rsidRPr="00E54837">
        <w:rPr>
          <w:rFonts w:ascii="Arial" w:eastAsiaTheme="minorHAnsi" w:hAnsi="Arial" w:cs="Arial"/>
          <w:i/>
          <w:iCs/>
          <w:lang w:eastAsia="en-US"/>
        </w:rPr>
        <w:t>425</w:t>
      </w:r>
      <w:r w:rsidRPr="00E54837">
        <w:rPr>
          <w:rFonts w:ascii="Arial" w:eastAsiaTheme="minorHAnsi" w:hAnsi="Arial" w:cs="Arial"/>
          <w:lang w:eastAsia="en-US"/>
        </w:rPr>
        <w:t>, 187–223. https://doi.org/10.1007/82_2020_201</w:t>
      </w:r>
    </w:p>
    <w:p w14:paraId="2EFA2A80"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Kainz, K., Bauer, M. A., Madeo, F., &amp; Carmona-Gutierrez, D. (2020). Fungal infections in humans: The silent crisis. </w:t>
      </w:r>
      <w:r w:rsidRPr="00E54837">
        <w:rPr>
          <w:rFonts w:ascii="Arial" w:eastAsiaTheme="minorHAnsi" w:hAnsi="Arial" w:cs="Arial"/>
          <w:i/>
          <w:iCs/>
          <w:lang w:eastAsia="en-US"/>
        </w:rPr>
        <w:t>Microbial Cell</w:t>
      </w:r>
      <w:r w:rsidRPr="00E54837">
        <w:rPr>
          <w:rFonts w:ascii="Arial" w:eastAsiaTheme="minorHAnsi" w:hAnsi="Arial" w:cs="Arial"/>
          <w:lang w:eastAsia="en-US"/>
        </w:rPr>
        <w:t xml:space="preserve">, </w:t>
      </w:r>
      <w:r w:rsidRPr="00E54837">
        <w:rPr>
          <w:rFonts w:ascii="Arial" w:eastAsiaTheme="minorHAnsi" w:hAnsi="Arial" w:cs="Arial"/>
          <w:i/>
          <w:iCs/>
          <w:lang w:eastAsia="en-US"/>
        </w:rPr>
        <w:t>7</w:t>
      </w:r>
      <w:r w:rsidRPr="00E54837">
        <w:rPr>
          <w:rFonts w:ascii="Arial" w:eastAsiaTheme="minorHAnsi" w:hAnsi="Arial" w:cs="Arial"/>
          <w:lang w:eastAsia="en-US"/>
        </w:rPr>
        <w:t>(6), 143–145. https://doi.org/10.15698/mic2020.06.718</w:t>
      </w:r>
    </w:p>
    <w:p w14:paraId="4E3D49E4"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Koh, C.-H., Lee, S., Kwak, M., Kim, B.-S., &amp; Chung, Y. (2023). CD8 T-cell subsets: Heterogeneity, functions, and therapeutic potential. </w:t>
      </w:r>
      <w:r w:rsidRPr="00E54837">
        <w:rPr>
          <w:rFonts w:ascii="Arial" w:eastAsiaTheme="minorHAnsi" w:hAnsi="Arial" w:cs="Arial"/>
          <w:i/>
          <w:iCs/>
          <w:lang w:eastAsia="en-US"/>
        </w:rPr>
        <w:t>Experimental &amp; Molecular Medicine</w:t>
      </w:r>
      <w:r w:rsidRPr="00E54837">
        <w:rPr>
          <w:rFonts w:ascii="Arial" w:eastAsiaTheme="minorHAnsi" w:hAnsi="Arial" w:cs="Arial"/>
          <w:lang w:eastAsia="en-US"/>
        </w:rPr>
        <w:t xml:space="preserve">, </w:t>
      </w:r>
      <w:r w:rsidRPr="00E54837">
        <w:rPr>
          <w:rFonts w:ascii="Arial" w:eastAsiaTheme="minorHAnsi" w:hAnsi="Arial" w:cs="Arial"/>
          <w:i/>
          <w:iCs/>
          <w:lang w:eastAsia="en-US"/>
        </w:rPr>
        <w:t>55</w:t>
      </w:r>
      <w:r w:rsidRPr="00E54837">
        <w:rPr>
          <w:rFonts w:ascii="Arial" w:eastAsiaTheme="minorHAnsi" w:hAnsi="Arial" w:cs="Arial"/>
          <w:lang w:eastAsia="en-US"/>
        </w:rPr>
        <w:t>(11), 2287–2299. https://doi.org/10.1038/s12276-023-01105-x</w:t>
      </w:r>
    </w:p>
    <w:p w14:paraId="20487E0E"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Kulkarni, N. A., &amp; Nanjappa, S. G. (2025). Fungal immunization potentiates CD4+ T cell-independent cDC2 responses for cross-presentation. </w:t>
      </w:r>
      <w:r w:rsidRPr="00E54837">
        <w:rPr>
          <w:rFonts w:ascii="Arial" w:eastAsiaTheme="minorHAnsi" w:hAnsi="Arial" w:cs="Arial"/>
          <w:i/>
          <w:iCs/>
          <w:lang w:eastAsia="en-US"/>
        </w:rPr>
        <w:t>Frontiers in Immunology</w:t>
      </w:r>
      <w:r w:rsidRPr="00E54837">
        <w:rPr>
          <w:rFonts w:ascii="Arial" w:eastAsiaTheme="minorHAnsi" w:hAnsi="Arial" w:cs="Arial"/>
          <w:lang w:eastAsia="en-US"/>
        </w:rPr>
        <w:t xml:space="preserve">, </w:t>
      </w:r>
      <w:r w:rsidRPr="00E54837">
        <w:rPr>
          <w:rFonts w:ascii="Arial" w:eastAsiaTheme="minorHAnsi" w:hAnsi="Arial" w:cs="Arial"/>
          <w:i/>
          <w:iCs/>
          <w:lang w:eastAsia="en-US"/>
        </w:rPr>
        <w:t>16</w:t>
      </w:r>
      <w:r w:rsidRPr="00E54837">
        <w:rPr>
          <w:rFonts w:ascii="Arial" w:eastAsiaTheme="minorHAnsi" w:hAnsi="Arial" w:cs="Arial"/>
          <w:lang w:eastAsia="en-US"/>
        </w:rPr>
        <w:t>. https://doi.org/10.3389/fimmu.2025.1602174</w:t>
      </w:r>
    </w:p>
    <w:p w14:paraId="1818AAD7"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Lee, G. R. (2023). Molecular Mechanisms of T Helper Cell Differentiation and Functional Specialization. </w:t>
      </w:r>
      <w:r w:rsidRPr="00E54837">
        <w:rPr>
          <w:rFonts w:ascii="Arial" w:eastAsiaTheme="minorHAnsi" w:hAnsi="Arial" w:cs="Arial"/>
          <w:i/>
          <w:iCs/>
          <w:lang w:eastAsia="en-US"/>
        </w:rPr>
        <w:t>Immune Network</w:t>
      </w:r>
      <w:r w:rsidRPr="00E54837">
        <w:rPr>
          <w:rFonts w:ascii="Arial" w:eastAsiaTheme="minorHAnsi" w:hAnsi="Arial" w:cs="Arial"/>
          <w:lang w:eastAsia="en-US"/>
        </w:rPr>
        <w:t xml:space="preserve">, </w:t>
      </w:r>
      <w:r w:rsidRPr="00E54837">
        <w:rPr>
          <w:rFonts w:ascii="Arial" w:eastAsiaTheme="minorHAnsi" w:hAnsi="Arial" w:cs="Arial"/>
          <w:i/>
          <w:iCs/>
          <w:lang w:eastAsia="en-US"/>
        </w:rPr>
        <w:t>23</w:t>
      </w:r>
      <w:r w:rsidRPr="00E54837">
        <w:rPr>
          <w:rFonts w:ascii="Arial" w:eastAsiaTheme="minorHAnsi" w:hAnsi="Arial" w:cs="Arial"/>
          <w:lang w:eastAsia="en-US"/>
        </w:rPr>
        <w:t>(1), e4. https://doi.org/10.4110/in.2023.23.e4</w:t>
      </w:r>
    </w:p>
    <w:p w14:paraId="055EC616"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lastRenderedPageBreak/>
        <w:t xml:space="preserve">Li, D., Fan, S., Zhao, H., Song, J., Guo, L., Li, W., Xu, X., &amp; Li, Q. (2025). Worldwide trends and future projections of fungal skin disease burden: A comprehensive analysis from the Global Burden of Diseases study 2021. </w:t>
      </w:r>
      <w:r w:rsidRPr="00E54837">
        <w:rPr>
          <w:rFonts w:ascii="Arial" w:eastAsiaTheme="minorHAnsi" w:hAnsi="Arial" w:cs="Arial"/>
          <w:i/>
          <w:iCs/>
          <w:lang w:eastAsia="en-US"/>
        </w:rPr>
        <w:t>Frontiers in Public Health</w:t>
      </w:r>
      <w:r w:rsidRPr="00E54837">
        <w:rPr>
          <w:rFonts w:ascii="Arial" w:eastAsiaTheme="minorHAnsi" w:hAnsi="Arial" w:cs="Arial"/>
          <w:lang w:eastAsia="en-US"/>
        </w:rPr>
        <w:t xml:space="preserve">, </w:t>
      </w:r>
      <w:r w:rsidRPr="00E54837">
        <w:rPr>
          <w:rFonts w:ascii="Arial" w:eastAsiaTheme="minorHAnsi" w:hAnsi="Arial" w:cs="Arial"/>
          <w:i/>
          <w:iCs/>
          <w:lang w:eastAsia="en-US"/>
        </w:rPr>
        <w:t>13</w:t>
      </w:r>
      <w:r w:rsidRPr="00E54837">
        <w:rPr>
          <w:rFonts w:ascii="Arial" w:eastAsiaTheme="minorHAnsi" w:hAnsi="Arial" w:cs="Arial"/>
          <w:lang w:eastAsia="en-US"/>
        </w:rPr>
        <w:t>. https://doi.org/10.3389/fpubh.2025.1580221</w:t>
      </w:r>
    </w:p>
    <w:p w14:paraId="1FE1F483"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Li, M., Chen, Q., Sun, J., Shen, Y., &amp; Liu, W. (2012). Inflammatory response of human keratinocytes triggered by Sporothrix schenckii via Toll-like receptor 2 and 4. </w:t>
      </w:r>
      <w:r w:rsidRPr="00E54837">
        <w:rPr>
          <w:rFonts w:ascii="Arial" w:eastAsiaTheme="minorHAnsi" w:hAnsi="Arial" w:cs="Arial"/>
          <w:i/>
          <w:iCs/>
          <w:lang w:eastAsia="en-US"/>
        </w:rPr>
        <w:t>Journal of Dermatological Science</w:t>
      </w:r>
      <w:r w:rsidRPr="00E54837">
        <w:rPr>
          <w:rFonts w:ascii="Arial" w:eastAsiaTheme="minorHAnsi" w:hAnsi="Arial" w:cs="Arial"/>
          <w:lang w:eastAsia="en-US"/>
        </w:rPr>
        <w:t xml:space="preserve">, </w:t>
      </w:r>
      <w:r w:rsidRPr="00E54837">
        <w:rPr>
          <w:rFonts w:ascii="Arial" w:eastAsiaTheme="minorHAnsi" w:hAnsi="Arial" w:cs="Arial"/>
          <w:i/>
          <w:iCs/>
          <w:lang w:eastAsia="en-US"/>
        </w:rPr>
        <w:t>66</w:t>
      </w:r>
      <w:r w:rsidRPr="00E54837">
        <w:rPr>
          <w:rFonts w:ascii="Arial" w:eastAsiaTheme="minorHAnsi" w:hAnsi="Arial" w:cs="Arial"/>
          <w:lang w:eastAsia="en-US"/>
        </w:rPr>
        <w:t>(1), 80–82. https://doi.org/10.1016/j.jdermsci.2012.01.003</w:t>
      </w:r>
    </w:p>
    <w:p w14:paraId="3A6E1A1C"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Mendonça, A., Santos, H., Franco-Duarte, R., &amp; Sampaio, P. (2022). Fungal infections diagnosis – Past, present and future. </w:t>
      </w:r>
      <w:r w:rsidRPr="00E54837">
        <w:rPr>
          <w:rFonts w:ascii="Arial" w:eastAsiaTheme="minorHAnsi" w:hAnsi="Arial" w:cs="Arial"/>
          <w:i/>
          <w:iCs/>
          <w:lang w:eastAsia="en-US"/>
        </w:rPr>
        <w:t>Research in Microbiology</w:t>
      </w:r>
      <w:r w:rsidRPr="00E54837">
        <w:rPr>
          <w:rFonts w:ascii="Arial" w:eastAsiaTheme="minorHAnsi" w:hAnsi="Arial" w:cs="Arial"/>
          <w:lang w:eastAsia="en-US"/>
        </w:rPr>
        <w:t xml:space="preserve">, </w:t>
      </w:r>
      <w:r w:rsidRPr="00E54837">
        <w:rPr>
          <w:rFonts w:ascii="Arial" w:eastAsiaTheme="minorHAnsi" w:hAnsi="Arial" w:cs="Arial"/>
          <w:i/>
          <w:iCs/>
          <w:lang w:eastAsia="en-US"/>
        </w:rPr>
        <w:t>173</w:t>
      </w:r>
      <w:r w:rsidRPr="00E54837">
        <w:rPr>
          <w:rFonts w:ascii="Arial" w:eastAsiaTheme="minorHAnsi" w:hAnsi="Arial" w:cs="Arial"/>
          <w:lang w:eastAsia="en-US"/>
        </w:rPr>
        <w:t>(3), 103915. https://doi.org/10.1016/j.resmic.2021.103915</w:t>
      </w:r>
    </w:p>
    <w:p w14:paraId="2CEC79D1"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Moyes, D. L., Guimarães, A. J., &amp; Figueiredo, R. T. (2021). Editorial: Immunity to Fungal Infections: Insights From the Innate Immune Recognition and Antifungal Effector Mechanisms. </w:t>
      </w:r>
      <w:r w:rsidRPr="00E54837">
        <w:rPr>
          <w:rFonts w:ascii="Arial" w:eastAsiaTheme="minorHAnsi" w:hAnsi="Arial" w:cs="Arial"/>
          <w:i/>
          <w:iCs/>
          <w:lang w:eastAsia="en-US"/>
        </w:rPr>
        <w:t>Frontiers in Microbiology</w:t>
      </w:r>
      <w:r w:rsidRPr="00E54837">
        <w:rPr>
          <w:rFonts w:ascii="Arial" w:eastAsiaTheme="minorHAnsi" w:hAnsi="Arial" w:cs="Arial"/>
          <w:lang w:eastAsia="en-US"/>
        </w:rPr>
        <w:t xml:space="preserve">, </w:t>
      </w:r>
      <w:r w:rsidRPr="00E54837">
        <w:rPr>
          <w:rFonts w:ascii="Arial" w:eastAsiaTheme="minorHAnsi" w:hAnsi="Arial" w:cs="Arial"/>
          <w:i/>
          <w:iCs/>
          <w:lang w:eastAsia="en-US"/>
        </w:rPr>
        <w:t>12</w:t>
      </w:r>
      <w:r w:rsidRPr="00E54837">
        <w:rPr>
          <w:rFonts w:ascii="Arial" w:eastAsiaTheme="minorHAnsi" w:hAnsi="Arial" w:cs="Arial"/>
          <w:lang w:eastAsia="en-US"/>
        </w:rPr>
        <w:t>. https://doi.org/10.3389/fmicb.2021.714013</w:t>
      </w:r>
    </w:p>
    <w:p w14:paraId="070A1202"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Nnadi, N. E., &amp; Carter, D. A. (2021). Climate change and the emergence of fungal pathogens. </w:t>
      </w:r>
      <w:r w:rsidRPr="00E54837">
        <w:rPr>
          <w:rFonts w:ascii="Arial" w:eastAsiaTheme="minorHAnsi" w:hAnsi="Arial" w:cs="Arial"/>
          <w:i/>
          <w:iCs/>
          <w:lang w:eastAsia="en-US"/>
        </w:rPr>
        <w:t>PLOS Pathogens</w:t>
      </w:r>
      <w:r w:rsidRPr="00E54837">
        <w:rPr>
          <w:rFonts w:ascii="Arial" w:eastAsiaTheme="minorHAnsi" w:hAnsi="Arial" w:cs="Arial"/>
          <w:lang w:eastAsia="en-US"/>
        </w:rPr>
        <w:t xml:space="preserve">, </w:t>
      </w:r>
      <w:r w:rsidRPr="00E54837">
        <w:rPr>
          <w:rFonts w:ascii="Arial" w:eastAsiaTheme="minorHAnsi" w:hAnsi="Arial" w:cs="Arial"/>
          <w:i/>
          <w:iCs/>
          <w:lang w:eastAsia="en-US"/>
        </w:rPr>
        <w:t>17</w:t>
      </w:r>
      <w:r w:rsidRPr="00E54837">
        <w:rPr>
          <w:rFonts w:ascii="Arial" w:eastAsiaTheme="minorHAnsi" w:hAnsi="Arial" w:cs="Arial"/>
          <w:lang w:eastAsia="en-US"/>
        </w:rPr>
        <w:t>(4), e1009503. https://doi.org/10.1371/journal.ppat.1009503</w:t>
      </w:r>
    </w:p>
    <w:p w14:paraId="28618A5B"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Patin, E. C., Thompson, A., &amp; Orr, S. J. (2019). Pattern recognition receptors in fungal immunity. </w:t>
      </w:r>
      <w:r w:rsidRPr="00E54837">
        <w:rPr>
          <w:rFonts w:ascii="Arial" w:eastAsiaTheme="minorHAnsi" w:hAnsi="Arial" w:cs="Arial"/>
          <w:i/>
          <w:iCs/>
          <w:lang w:eastAsia="en-US"/>
        </w:rPr>
        <w:t>Seminars in Cell &amp; Developmental Biology</w:t>
      </w:r>
      <w:r w:rsidRPr="00E54837">
        <w:rPr>
          <w:rFonts w:ascii="Arial" w:eastAsiaTheme="minorHAnsi" w:hAnsi="Arial" w:cs="Arial"/>
          <w:lang w:eastAsia="en-US"/>
        </w:rPr>
        <w:t xml:space="preserve">, </w:t>
      </w:r>
      <w:r w:rsidRPr="00E54837">
        <w:rPr>
          <w:rFonts w:ascii="Arial" w:eastAsiaTheme="minorHAnsi" w:hAnsi="Arial" w:cs="Arial"/>
          <w:i/>
          <w:iCs/>
          <w:lang w:eastAsia="en-US"/>
        </w:rPr>
        <w:t>89</w:t>
      </w:r>
      <w:r w:rsidRPr="00E54837">
        <w:rPr>
          <w:rFonts w:ascii="Arial" w:eastAsiaTheme="minorHAnsi" w:hAnsi="Arial" w:cs="Arial"/>
          <w:lang w:eastAsia="en-US"/>
        </w:rPr>
        <w:t>, 24–33. https://doi.org/10.1016/j.semcdb.2018.03.003</w:t>
      </w:r>
    </w:p>
    <w:p w14:paraId="41057E4E"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Quaresma, J. A. S. (2019). Organization of the Skin Immune System and Compartmentalized Immune Responses in Infectious Diseases. </w:t>
      </w:r>
      <w:r w:rsidRPr="00E54837">
        <w:rPr>
          <w:rFonts w:ascii="Arial" w:eastAsiaTheme="minorHAnsi" w:hAnsi="Arial" w:cs="Arial"/>
          <w:i/>
          <w:iCs/>
          <w:lang w:eastAsia="en-US"/>
        </w:rPr>
        <w:t>Clinical Microbiology Reviews</w:t>
      </w:r>
      <w:r w:rsidRPr="00E54837">
        <w:rPr>
          <w:rFonts w:ascii="Arial" w:eastAsiaTheme="minorHAnsi" w:hAnsi="Arial" w:cs="Arial"/>
          <w:lang w:eastAsia="en-US"/>
        </w:rPr>
        <w:t xml:space="preserve">, </w:t>
      </w:r>
      <w:r w:rsidRPr="00E54837">
        <w:rPr>
          <w:rFonts w:ascii="Arial" w:eastAsiaTheme="minorHAnsi" w:hAnsi="Arial" w:cs="Arial"/>
          <w:i/>
          <w:iCs/>
          <w:lang w:eastAsia="en-US"/>
        </w:rPr>
        <w:t>32</w:t>
      </w:r>
      <w:r w:rsidRPr="00E54837">
        <w:rPr>
          <w:rFonts w:ascii="Arial" w:eastAsiaTheme="minorHAnsi" w:hAnsi="Arial" w:cs="Arial"/>
          <w:lang w:eastAsia="en-US"/>
        </w:rPr>
        <w:t>(4), e00034-18. https://doi.org/10.1128/CMR.00034-18</w:t>
      </w:r>
    </w:p>
    <w:p w14:paraId="0ACB477D"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lastRenderedPageBreak/>
        <w:t xml:space="preserve">Quintin, J. (2019). Fungal mediated innate immune memory, what have we learned? </w:t>
      </w:r>
      <w:r w:rsidRPr="00E54837">
        <w:rPr>
          <w:rFonts w:ascii="Arial" w:eastAsiaTheme="minorHAnsi" w:hAnsi="Arial" w:cs="Arial"/>
          <w:i/>
          <w:iCs/>
          <w:lang w:eastAsia="en-US"/>
        </w:rPr>
        <w:t>Seminars in Cell &amp; Developmental Biology</w:t>
      </w:r>
      <w:r w:rsidRPr="00E54837">
        <w:rPr>
          <w:rFonts w:ascii="Arial" w:eastAsiaTheme="minorHAnsi" w:hAnsi="Arial" w:cs="Arial"/>
          <w:lang w:eastAsia="en-US"/>
        </w:rPr>
        <w:t xml:space="preserve">, </w:t>
      </w:r>
      <w:r w:rsidRPr="00E54837">
        <w:rPr>
          <w:rFonts w:ascii="Arial" w:eastAsiaTheme="minorHAnsi" w:hAnsi="Arial" w:cs="Arial"/>
          <w:i/>
          <w:iCs/>
          <w:lang w:eastAsia="en-US"/>
        </w:rPr>
        <w:t>89</w:t>
      </w:r>
      <w:r w:rsidRPr="00E54837">
        <w:rPr>
          <w:rFonts w:ascii="Arial" w:eastAsiaTheme="minorHAnsi" w:hAnsi="Arial" w:cs="Arial"/>
          <w:lang w:eastAsia="en-US"/>
        </w:rPr>
        <w:t>, 71–77. https://doi.org/10.1016/j.semcdb.2018.05.023</w:t>
      </w:r>
    </w:p>
    <w:p w14:paraId="33822F06"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Rokas, A. (2022). Evolution of the human pathogenic lifestyle in fungi. </w:t>
      </w:r>
      <w:r w:rsidRPr="00E54837">
        <w:rPr>
          <w:rFonts w:ascii="Arial" w:eastAsiaTheme="minorHAnsi" w:hAnsi="Arial" w:cs="Arial"/>
          <w:i/>
          <w:iCs/>
          <w:lang w:eastAsia="en-US"/>
        </w:rPr>
        <w:t>Nature Microbiology</w:t>
      </w:r>
      <w:r w:rsidRPr="00E54837">
        <w:rPr>
          <w:rFonts w:ascii="Arial" w:eastAsiaTheme="minorHAnsi" w:hAnsi="Arial" w:cs="Arial"/>
          <w:lang w:eastAsia="en-US"/>
        </w:rPr>
        <w:t xml:space="preserve">, </w:t>
      </w:r>
      <w:r w:rsidRPr="00E54837">
        <w:rPr>
          <w:rFonts w:ascii="Arial" w:eastAsiaTheme="minorHAnsi" w:hAnsi="Arial" w:cs="Arial"/>
          <w:i/>
          <w:iCs/>
          <w:lang w:eastAsia="en-US"/>
        </w:rPr>
        <w:t>7</w:t>
      </w:r>
      <w:r w:rsidRPr="00E54837">
        <w:rPr>
          <w:rFonts w:ascii="Arial" w:eastAsiaTheme="minorHAnsi" w:hAnsi="Arial" w:cs="Arial"/>
          <w:lang w:eastAsia="en-US"/>
        </w:rPr>
        <w:t>(5), 607–619. https://doi.org/10.1038/s41564-022-01112-0</w:t>
      </w:r>
    </w:p>
    <w:p w14:paraId="2452BDE4"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Seagle, E. E., Williams, S. L., &amp; Chiller, T. M. (2021). Recent Trends in the Epidemiology of Fungal Infections. </w:t>
      </w:r>
      <w:r w:rsidRPr="00E54837">
        <w:rPr>
          <w:rFonts w:ascii="Arial" w:eastAsiaTheme="minorHAnsi" w:hAnsi="Arial" w:cs="Arial"/>
          <w:i/>
          <w:iCs/>
          <w:lang w:eastAsia="en-US"/>
        </w:rPr>
        <w:t>Infectious Disease Clinics of North America</w:t>
      </w:r>
      <w:r w:rsidRPr="00E54837">
        <w:rPr>
          <w:rFonts w:ascii="Arial" w:eastAsiaTheme="minorHAnsi" w:hAnsi="Arial" w:cs="Arial"/>
          <w:lang w:eastAsia="en-US"/>
        </w:rPr>
        <w:t xml:space="preserve">, </w:t>
      </w:r>
      <w:r w:rsidRPr="00E54837">
        <w:rPr>
          <w:rFonts w:ascii="Arial" w:eastAsiaTheme="minorHAnsi" w:hAnsi="Arial" w:cs="Arial"/>
          <w:i/>
          <w:iCs/>
          <w:lang w:eastAsia="en-US"/>
        </w:rPr>
        <w:t>35</w:t>
      </w:r>
      <w:r w:rsidRPr="00E54837">
        <w:rPr>
          <w:rFonts w:ascii="Arial" w:eastAsiaTheme="minorHAnsi" w:hAnsi="Arial" w:cs="Arial"/>
          <w:lang w:eastAsia="en-US"/>
        </w:rPr>
        <w:t>(2), 237–260. https://doi.org/10.1016/j.idc.2021.03.001</w:t>
      </w:r>
    </w:p>
    <w:p w14:paraId="154B9CF6"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Seidel, D., Wurster, S., Jenks, J. D., Sati, H., Gangneux, J.-P., Egger, M., Alastruey-Izquierdo, A., Ford, N. P., Chowdhary, A., Sprute, R., Cornely, O., Thompson, G. R., Hoenigl, M., &amp; Kontoyiannis, D. P. (2024). Impact of climate change and natural disasters on fungal infections. </w:t>
      </w:r>
      <w:r w:rsidRPr="00E54837">
        <w:rPr>
          <w:rFonts w:ascii="Arial" w:eastAsiaTheme="minorHAnsi" w:hAnsi="Arial" w:cs="Arial"/>
          <w:i/>
          <w:iCs/>
          <w:lang w:eastAsia="en-US"/>
        </w:rPr>
        <w:t>The Lancet Microbe</w:t>
      </w:r>
      <w:r w:rsidRPr="00E54837">
        <w:rPr>
          <w:rFonts w:ascii="Arial" w:eastAsiaTheme="minorHAnsi" w:hAnsi="Arial" w:cs="Arial"/>
          <w:lang w:eastAsia="en-US"/>
        </w:rPr>
        <w:t xml:space="preserve">, </w:t>
      </w:r>
      <w:r w:rsidRPr="00E54837">
        <w:rPr>
          <w:rFonts w:ascii="Arial" w:eastAsiaTheme="minorHAnsi" w:hAnsi="Arial" w:cs="Arial"/>
          <w:i/>
          <w:iCs/>
          <w:lang w:eastAsia="en-US"/>
        </w:rPr>
        <w:t>5</w:t>
      </w:r>
      <w:r w:rsidRPr="00E54837">
        <w:rPr>
          <w:rFonts w:ascii="Arial" w:eastAsiaTheme="minorHAnsi" w:hAnsi="Arial" w:cs="Arial"/>
          <w:lang w:eastAsia="en-US"/>
        </w:rPr>
        <w:t>(6), e594–e605. https://doi.org/10.1016/S2666-5247(24)00039-9</w:t>
      </w:r>
    </w:p>
    <w:p w14:paraId="10D147A3"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Sharma, J., Mudalagiriyappa, S., &amp; Nanjappa, S. G. (2022). T cell responses to control fungal infection in an immunological memory lens. </w:t>
      </w:r>
      <w:r w:rsidRPr="00E54837">
        <w:rPr>
          <w:rFonts w:ascii="Arial" w:eastAsiaTheme="minorHAnsi" w:hAnsi="Arial" w:cs="Arial"/>
          <w:i/>
          <w:iCs/>
          <w:lang w:eastAsia="en-US"/>
        </w:rPr>
        <w:t>Frontiers in Immunology</w:t>
      </w:r>
      <w:r w:rsidRPr="00E54837">
        <w:rPr>
          <w:rFonts w:ascii="Arial" w:eastAsiaTheme="minorHAnsi" w:hAnsi="Arial" w:cs="Arial"/>
          <w:lang w:eastAsia="en-US"/>
        </w:rPr>
        <w:t xml:space="preserve">, </w:t>
      </w:r>
      <w:r w:rsidRPr="00E54837">
        <w:rPr>
          <w:rFonts w:ascii="Arial" w:eastAsiaTheme="minorHAnsi" w:hAnsi="Arial" w:cs="Arial"/>
          <w:i/>
          <w:iCs/>
          <w:lang w:eastAsia="en-US"/>
        </w:rPr>
        <w:t>13</w:t>
      </w:r>
      <w:r w:rsidRPr="00E54837">
        <w:rPr>
          <w:rFonts w:ascii="Arial" w:eastAsiaTheme="minorHAnsi" w:hAnsi="Arial" w:cs="Arial"/>
          <w:lang w:eastAsia="en-US"/>
        </w:rPr>
        <w:t>, 905867. https://doi.org/10.3389/fimmu.2022.905867</w:t>
      </w:r>
    </w:p>
    <w:p w14:paraId="47B5E984"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Singh, R., Chandley, P., &amp; Rohatgi, S. (2023). Recent Advances in the Development of Monoclonal Antibodies and Next-Generation Antibodies. </w:t>
      </w:r>
      <w:r w:rsidRPr="00E54837">
        <w:rPr>
          <w:rFonts w:ascii="Arial" w:eastAsiaTheme="minorHAnsi" w:hAnsi="Arial" w:cs="Arial"/>
          <w:i/>
          <w:iCs/>
          <w:lang w:eastAsia="en-US"/>
        </w:rPr>
        <w:t>ImmunoHorizons</w:t>
      </w:r>
      <w:r w:rsidRPr="00E54837">
        <w:rPr>
          <w:rFonts w:ascii="Arial" w:eastAsiaTheme="minorHAnsi" w:hAnsi="Arial" w:cs="Arial"/>
          <w:lang w:eastAsia="en-US"/>
        </w:rPr>
        <w:t xml:space="preserve">, </w:t>
      </w:r>
      <w:r w:rsidRPr="00E54837">
        <w:rPr>
          <w:rFonts w:ascii="Arial" w:eastAsiaTheme="minorHAnsi" w:hAnsi="Arial" w:cs="Arial"/>
          <w:i/>
          <w:iCs/>
          <w:lang w:eastAsia="en-US"/>
        </w:rPr>
        <w:t>7</w:t>
      </w:r>
      <w:r w:rsidRPr="00E54837">
        <w:rPr>
          <w:rFonts w:ascii="Arial" w:eastAsiaTheme="minorHAnsi" w:hAnsi="Arial" w:cs="Arial"/>
          <w:lang w:eastAsia="en-US"/>
        </w:rPr>
        <w:t>(12), 886–897. https://doi.org/10.4049/immunohorizons.2300102</w:t>
      </w:r>
    </w:p>
    <w:p w14:paraId="28CC5ABA"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Szymański, M., Chmielewska, S., Czyżewska, U., Malinowska, M., &amp; Tylicki, A. (2022). Echinocandins – structure, mechanism of action and use in antifungal therapy. </w:t>
      </w:r>
      <w:r w:rsidRPr="00E54837">
        <w:rPr>
          <w:rFonts w:ascii="Arial" w:eastAsiaTheme="minorHAnsi" w:hAnsi="Arial" w:cs="Arial"/>
          <w:i/>
          <w:iCs/>
          <w:lang w:eastAsia="en-US"/>
        </w:rPr>
        <w:t>Journal of Enzyme Inhibition and Medicinal Chemistry</w:t>
      </w:r>
      <w:r w:rsidRPr="00E54837">
        <w:rPr>
          <w:rFonts w:ascii="Arial" w:eastAsiaTheme="minorHAnsi" w:hAnsi="Arial" w:cs="Arial"/>
          <w:lang w:eastAsia="en-US"/>
        </w:rPr>
        <w:t xml:space="preserve">, </w:t>
      </w:r>
      <w:r w:rsidRPr="00E54837">
        <w:rPr>
          <w:rFonts w:ascii="Arial" w:eastAsiaTheme="minorHAnsi" w:hAnsi="Arial" w:cs="Arial"/>
          <w:i/>
          <w:iCs/>
          <w:lang w:eastAsia="en-US"/>
        </w:rPr>
        <w:t>37</w:t>
      </w:r>
      <w:r w:rsidRPr="00E54837">
        <w:rPr>
          <w:rFonts w:ascii="Arial" w:eastAsiaTheme="minorHAnsi" w:hAnsi="Arial" w:cs="Arial"/>
          <w:lang w:eastAsia="en-US"/>
        </w:rPr>
        <w:t>(1), 876–894. https://doi.org/10.1080/14756366.2022.2050224</w:t>
      </w:r>
    </w:p>
    <w:p w14:paraId="42C14904"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lastRenderedPageBreak/>
        <w:t xml:space="preserve">Teixeira, M. M., Carvalho, D. T., Sousa, E., &amp; Pinto, E. (2022). New Antifungal Agents with Azole Moieties. </w:t>
      </w:r>
      <w:r w:rsidRPr="00E54837">
        <w:rPr>
          <w:rFonts w:ascii="Arial" w:eastAsiaTheme="minorHAnsi" w:hAnsi="Arial" w:cs="Arial"/>
          <w:i/>
          <w:iCs/>
          <w:lang w:eastAsia="en-US"/>
        </w:rPr>
        <w:t>Pharmaceuticals</w:t>
      </w:r>
      <w:r w:rsidRPr="00E54837">
        <w:rPr>
          <w:rFonts w:ascii="Arial" w:eastAsiaTheme="minorHAnsi" w:hAnsi="Arial" w:cs="Arial"/>
          <w:lang w:eastAsia="en-US"/>
        </w:rPr>
        <w:t xml:space="preserve">, </w:t>
      </w:r>
      <w:r w:rsidRPr="00E54837">
        <w:rPr>
          <w:rFonts w:ascii="Arial" w:eastAsiaTheme="minorHAnsi" w:hAnsi="Arial" w:cs="Arial"/>
          <w:i/>
          <w:iCs/>
          <w:lang w:eastAsia="en-US"/>
        </w:rPr>
        <w:t>15</w:t>
      </w:r>
      <w:r w:rsidRPr="00E54837">
        <w:rPr>
          <w:rFonts w:ascii="Arial" w:eastAsiaTheme="minorHAnsi" w:hAnsi="Arial" w:cs="Arial"/>
          <w:lang w:eastAsia="en-US"/>
        </w:rPr>
        <w:t>(11), 1427. https://doi.org/10.3390/ph15111427</w:t>
      </w:r>
    </w:p>
    <w:p w14:paraId="0C1B082E"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Vanreppelen, G., Wuyts, J., Van Dijck, P., &amp; Vandecruys, P. (2023). Sources of Antifungal Drugs. </w:t>
      </w:r>
      <w:r w:rsidRPr="00E54837">
        <w:rPr>
          <w:rFonts w:ascii="Arial" w:eastAsiaTheme="minorHAnsi" w:hAnsi="Arial" w:cs="Arial"/>
          <w:i/>
          <w:iCs/>
          <w:lang w:eastAsia="en-US"/>
        </w:rPr>
        <w:t>Journal of Fungi</w:t>
      </w:r>
      <w:r w:rsidRPr="00E54837">
        <w:rPr>
          <w:rFonts w:ascii="Arial" w:eastAsiaTheme="minorHAnsi" w:hAnsi="Arial" w:cs="Arial"/>
          <w:lang w:eastAsia="en-US"/>
        </w:rPr>
        <w:t xml:space="preserve">, </w:t>
      </w:r>
      <w:r w:rsidRPr="00E54837">
        <w:rPr>
          <w:rFonts w:ascii="Arial" w:eastAsiaTheme="minorHAnsi" w:hAnsi="Arial" w:cs="Arial"/>
          <w:i/>
          <w:iCs/>
          <w:lang w:eastAsia="en-US"/>
        </w:rPr>
        <w:t>9</w:t>
      </w:r>
      <w:r w:rsidRPr="00E54837">
        <w:rPr>
          <w:rFonts w:ascii="Arial" w:eastAsiaTheme="minorHAnsi" w:hAnsi="Arial" w:cs="Arial"/>
          <w:lang w:eastAsia="en-US"/>
        </w:rPr>
        <w:t>(2), 171. https://doi.org/10.3390/jof9020171</w:t>
      </w:r>
    </w:p>
    <w:p w14:paraId="04158B81"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Wang, R., Lan, C., Benlagha, K., Camara, N. O. S., Miller, H., Kubo, M., Heegaard, S., Lee, P., Yang, L., Forsman, H., Li, X., Zhai, Z., &amp; Liu, C. (2024). The interaction of innate immune and adaptive immune system. </w:t>
      </w:r>
      <w:r w:rsidRPr="00E54837">
        <w:rPr>
          <w:rFonts w:ascii="Arial" w:eastAsiaTheme="minorHAnsi" w:hAnsi="Arial" w:cs="Arial"/>
          <w:i/>
          <w:iCs/>
          <w:lang w:eastAsia="en-US"/>
        </w:rPr>
        <w:t>MedComm</w:t>
      </w:r>
      <w:r w:rsidRPr="00E54837">
        <w:rPr>
          <w:rFonts w:ascii="Arial" w:eastAsiaTheme="minorHAnsi" w:hAnsi="Arial" w:cs="Arial"/>
          <w:lang w:eastAsia="en-US"/>
        </w:rPr>
        <w:t xml:space="preserve">, </w:t>
      </w:r>
      <w:r w:rsidRPr="00E54837">
        <w:rPr>
          <w:rFonts w:ascii="Arial" w:eastAsiaTheme="minorHAnsi" w:hAnsi="Arial" w:cs="Arial"/>
          <w:i/>
          <w:iCs/>
          <w:lang w:eastAsia="en-US"/>
        </w:rPr>
        <w:t>5</w:t>
      </w:r>
      <w:r w:rsidRPr="00E54837">
        <w:rPr>
          <w:rFonts w:ascii="Arial" w:eastAsiaTheme="minorHAnsi" w:hAnsi="Arial" w:cs="Arial"/>
          <w:lang w:eastAsia="en-US"/>
        </w:rPr>
        <w:t>(10), e714. https://doi.org/10.1002/mco2.714</w:t>
      </w:r>
    </w:p>
    <w:p w14:paraId="49958F95" w14:textId="77777777" w:rsidR="00E54837" w:rsidRPr="00E54837" w:rsidRDefault="00E54837" w:rsidP="00920834">
      <w:pPr>
        <w:pStyle w:val="Bibliography"/>
        <w:jc w:val="both"/>
        <w:rPr>
          <w:rFonts w:ascii="Arial" w:eastAsiaTheme="minorHAnsi" w:hAnsi="Arial" w:cs="Arial"/>
          <w:lang w:eastAsia="en-US"/>
        </w:rPr>
      </w:pPr>
      <w:r w:rsidRPr="00E54837">
        <w:rPr>
          <w:rFonts w:ascii="Arial" w:eastAsiaTheme="minorHAnsi" w:hAnsi="Arial" w:cs="Arial"/>
          <w:lang w:eastAsia="en-US"/>
        </w:rPr>
        <w:t xml:space="preserve">Zhong, H., Lu, R.-Y., &amp; Wang, Y. (2022). Neutrophil extracellular traps in fungal infections: A seesaw battle in hosts. </w:t>
      </w:r>
      <w:r w:rsidRPr="00E54837">
        <w:rPr>
          <w:rFonts w:ascii="Arial" w:eastAsiaTheme="minorHAnsi" w:hAnsi="Arial" w:cs="Arial"/>
          <w:i/>
          <w:iCs/>
          <w:lang w:eastAsia="en-US"/>
        </w:rPr>
        <w:t>Frontiers in Immunology</w:t>
      </w:r>
      <w:r w:rsidRPr="00E54837">
        <w:rPr>
          <w:rFonts w:ascii="Arial" w:eastAsiaTheme="minorHAnsi" w:hAnsi="Arial" w:cs="Arial"/>
          <w:lang w:eastAsia="en-US"/>
        </w:rPr>
        <w:t xml:space="preserve">, </w:t>
      </w:r>
      <w:r w:rsidRPr="00E54837">
        <w:rPr>
          <w:rFonts w:ascii="Arial" w:eastAsiaTheme="minorHAnsi" w:hAnsi="Arial" w:cs="Arial"/>
          <w:i/>
          <w:iCs/>
          <w:lang w:eastAsia="en-US"/>
        </w:rPr>
        <w:t>13</w:t>
      </w:r>
      <w:r w:rsidRPr="00E54837">
        <w:rPr>
          <w:rFonts w:ascii="Arial" w:eastAsiaTheme="minorHAnsi" w:hAnsi="Arial" w:cs="Arial"/>
          <w:lang w:eastAsia="en-US"/>
        </w:rPr>
        <w:t>. https://doi.org/10.3389/fimmu.2022.977493</w:t>
      </w:r>
    </w:p>
    <w:p w14:paraId="239EB998" w14:textId="09B2180E" w:rsidR="00CA0438" w:rsidRPr="00D73B21" w:rsidRDefault="00E54837" w:rsidP="002126FF">
      <w:pPr>
        <w:pStyle w:val="Bibliography"/>
        <w:rPr>
          <w:rFonts w:ascii="Arial" w:hAnsi="Arial" w:cs="Arial"/>
        </w:rPr>
      </w:pPr>
      <w:r>
        <w:rPr>
          <w:rFonts w:ascii="Arial" w:hAnsi="Arial" w:cs="Arial"/>
        </w:rPr>
        <w:fldChar w:fldCharType="end"/>
      </w:r>
    </w:p>
    <w:p w14:paraId="54E0A83E" w14:textId="77777777" w:rsidR="004C5AF5" w:rsidRPr="00D73B21" w:rsidRDefault="004C5AF5" w:rsidP="00F87C93">
      <w:pPr>
        <w:spacing w:line="480" w:lineRule="auto"/>
        <w:rPr>
          <w:lang w:val="en-US"/>
        </w:rPr>
      </w:pPr>
    </w:p>
    <w:sectPr w:rsidR="004C5AF5" w:rsidRPr="00D73B21" w:rsidSect="00CA0438">
      <w:footerReference w:type="even" r:id="rId10"/>
      <w:footerReference w:type="default" r:id="rId1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4D45A" w14:textId="77777777" w:rsidR="009D5278" w:rsidRDefault="009D5278">
      <w:r>
        <w:separator/>
      </w:r>
    </w:p>
  </w:endnote>
  <w:endnote w:type="continuationSeparator" w:id="0">
    <w:p w14:paraId="2768EE79" w14:textId="77777777" w:rsidR="009D5278" w:rsidRDefault="009D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heme="majorEastAsia"/>
      </w:rPr>
      <w:id w:val="-520393498"/>
      <w:docPartObj>
        <w:docPartGallery w:val="Page Numbers (Bottom of Page)"/>
        <w:docPartUnique/>
      </w:docPartObj>
    </w:sdtPr>
    <w:sdtEndPr>
      <w:rPr>
        <w:rStyle w:val="PageNumber"/>
      </w:rPr>
    </w:sdtEndPr>
    <w:sdtContent>
      <w:p w14:paraId="3CE9ABF8" w14:textId="77777777" w:rsidR="00CA0438" w:rsidRDefault="00CA0438" w:rsidP="005F5A29">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sdtContent>
  </w:sdt>
  <w:p w14:paraId="6B771465" w14:textId="77777777" w:rsidR="00CA0438" w:rsidRDefault="00CA0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heme="majorEastAsia"/>
      </w:rPr>
      <w:id w:val="-77521590"/>
      <w:docPartObj>
        <w:docPartGallery w:val="Page Numbers (Bottom of Page)"/>
        <w:docPartUnique/>
      </w:docPartObj>
    </w:sdtPr>
    <w:sdtEndPr>
      <w:rPr>
        <w:rStyle w:val="PageNumber"/>
      </w:rPr>
    </w:sdtEndPr>
    <w:sdtContent>
      <w:p w14:paraId="551E2EBD" w14:textId="77777777" w:rsidR="00CA0438" w:rsidRDefault="00CA0438" w:rsidP="005F5A29">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sdtContent>
  </w:sdt>
  <w:p w14:paraId="01F3DAEF" w14:textId="77777777" w:rsidR="00CA0438" w:rsidRDefault="00CA0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D1FBA" w14:textId="77777777" w:rsidR="009D5278" w:rsidRDefault="009D5278">
      <w:r>
        <w:separator/>
      </w:r>
    </w:p>
  </w:footnote>
  <w:footnote w:type="continuationSeparator" w:id="0">
    <w:p w14:paraId="3C39213F" w14:textId="77777777" w:rsidR="009D5278" w:rsidRDefault="009D52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0A98"/>
    <w:multiLevelType w:val="multilevel"/>
    <w:tmpl w:val="1CB4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C106D"/>
    <w:multiLevelType w:val="multilevel"/>
    <w:tmpl w:val="CE20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5F2037"/>
    <w:multiLevelType w:val="multilevel"/>
    <w:tmpl w:val="32DE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F67AE4"/>
    <w:multiLevelType w:val="hybridMultilevel"/>
    <w:tmpl w:val="C1709606"/>
    <w:lvl w:ilvl="0" w:tplc="A39AECB0">
      <w:start w:val="2"/>
      <w:numFmt w:val="bullet"/>
      <w:lvlText w:val="-"/>
      <w:lvlJc w:val="left"/>
      <w:pPr>
        <w:ind w:left="440" w:hanging="360"/>
      </w:pPr>
      <w:rPr>
        <w:rFonts w:ascii="Arial" w:eastAsia="Times New Roman" w:hAnsi="Arial" w:cs="Aria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4" w15:restartNumberingAfterBreak="0">
    <w:nsid w:val="2BA52739"/>
    <w:multiLevelType w:val="multilevel"/>
    <w:tmpl w:val="EAF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8428BE"/>
    <w:multiLevelType w:val="multilevel"/>
    <w:tmpl w:val="9C3A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7D06E1"/>
    <w:multiLevelType w:val="multilevel"/>
    <w:tmpl w:val="3DD4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FB1D55"/>
    <w:multiLevelType w:val="multilevel"/>
    <w:tmpl w:val="EB6AD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526D58"/>
    <w:multiLevelType w:val="multilevel"/>
    <w:tmpl w:val="1234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AA304B"/>
    <w:multiLevelType w:val="multilevel"/>
    <w:tmpl w:val="DAAE05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8826B3"/>
    <w:multiLevelType w:val="multilevel"/>
    <w:tmpl w:val="B376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987075"/>
    <w:multiLevelType w:val="multilevel"/>
    <w:tmpl w:val="EDDC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9D1DA6"/>
    <w:multiLevelType w:val="multilevel"/>
    <w:tmpl w:val="484E36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816790"/>
    <w:multiLevelType w:val="multilevel"/>
    <w:tmpl w:val="A314D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E70F25"/>
    <w:multiLevelType w:val="multilevel"/>
    <w:tmpl w:val="5B4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536EFC"/>
    <w:multiLevelType w:val="multilevel"/>
    <w:tmpl w:val="250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BC2F34"/>
    <w:multiLevelType w:val="multilevel"/>
    <w:tmpl w:val="92264EF6"/>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upperRoman"/>
      <w:lvlText w:val="%4."/>
      <w:lvlJc w:val="left"/>
      <w:pPr>
        <w:ind w:left="3240" w:hanging="72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88409A"/>
    <w:multiLevelType w:val="multilevel"/>
    <w:tmpl w:val="4256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0441A2"/>
    <w:multiLevelType w:val="multilevel"/>
    <w:tmpl w:val="7102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2670E"/>
    <w:multiLevelType w:val="multilevel"/>
    <w:tmpl w:val="A80E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774821"/>
    <w:multiLevelType w:val="multilevel"/>
    <w:tmpl w:val="AA8EB1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014766"/>
    <w:multiLevelType w:val="multilevel"/>
    <w:tmpl w:val="D3CC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E244E3"/>
    <w:multiLevelType w:val="multilevel"/>
    <w:tmpl w:val="14A6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5E7356"/>
    <w:multiLevelType w:val="multilevel"/>
    <w:tmpl w:val="D0EA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5A7659"/>
    <w:multiLevelType w:val="multilevel"/>
    <w:tmpl w:val="0A16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9"/>
  </w:num>
  <w:num w:numId="3">
    <w:abstractNumId w:val="16"/>
  </w:num>
  <w:num w:numId="4">
    <w:abstractNumId w:val="7"/>
  </w:num>
  <w:num w:numId="5">
    <w:abstractNumId w:val="21"/>
  </w:num>
  <w:num w:numId="6">
    <w:abstractNumId w:val="15"/>
  </w:num>
  <w:num w:numId="7">
    <w:abstractNumId w:val="14"/>
  </w:num>
  <w:num w:numId="8">
    <w:abstractNumId w:val="12"/>
  </w:num>
  <w:num w:numId="9">
    <w:abstractNumId w:val="5"/>
  </w:num>
  <w:num w:numId="10">
    <w:abstractNumId w:val="18"/>
  </w:num>
  <w:num w:numId="11">
    <w:abstractNumId w:val="24"/>
  </w:num>
  <w:num w:numId="12">
    <w:abstractNumId w:val="1"/>
  </w:num>
  <w:num w:numId="13">
    <w:abstractNumId w:val="8"/>
  </w:num>
  <w:num w:numId="14">
    <w:abstractNumId w:val="6"/>
  </w:num>
  <w:num w:numId="15">
    <w:abstractNumId w:val="17"/>
  </w:num>
  <w:num w:numId="16">
    <w:abstractNumId w:val="2"/>
  </w:num>
  <w:num w:numId="17">
    <w:abstractNumId w:val="22"/>
  </w:num>
  <w:num w:numId="18">
    <w:abstractNumId w:val="4"/>
  </w:num>
  <w:num w:numId="19">
    <w:abstractNumId w:val="10"/>
  </w:num>
  <w:num w:numId="20">
    <w:abstractNumId w:val="11"/>
  </w:num>
  <w:num w:numId="21">
    <w:abstractNumId w:val="23"/>
  </w:num>
  <w:num w:numId="22">
    <w:abstractNumId w:val="19"/>
  </w:num>
  <w:num w:numId="23">
    <w:abstractNumId w:val="13"/>
  </w:num>
  <w:num w:numId="24">
    <w:abstractNumId w:val="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438"/>
    <w:rsid w:val="0000007D"/>
    <w:rsid w:val="000002E3"/>
    <w:rsid w:val="000042BF"/>
    <w:rsid w:val="00004925"/>
    <w:rsid w:val="0000509F"/>
    <w:rsid w:val="00007012"/>
    <w:rsid w:val="00011D84"/>
    <w:rsid w:val="00013BC8"/>
    <w:rsid w:val="00022F76"/>
    <w:rsid w:val="00035544"/>
    <w:rsid w:val="00044A16"/>
    <w:rsid w:val="00053C48"/>
    <w:rsid w:val="00061B5B"/>
    <w:rsid w:val="00062532"/>
    <w:rsid w:val="00067BF3"/>
    <w:rsid w:val="00072407"/>
    <w:rsid w:val="00075848"/>
    <w:rsid w:val="00075FD5"/>
    <w:rsid w:val="00076602"/>
    <w:rsid w:val="0008368F"/>
    <w:rsid w:val="000A0480"/>
    <w:rsid w:val="000A0E35"/>
    <w:rsid w:val="000A1C8C"/>
    <w:rsid w:val="000A23CC"/>
    <w:rsid w:val="000A3EED"/>
    <w:rsid w:val="000B5F93"/>
    <w:rsid w:val="000C1ADF"/>
    <w:rsid w:val="000C2A85"/>
    <w:rsid w:val="000D1D63"/>
    <w:rsid w:val="000D23D8"/>
    <w:rsid w:val="000D2862"/>
    <w:rsid w:val="000D5229"/>
    <w:rsid w:val="000E4D77"/>
    <w:rsid w:val="000E4F49"/>
    <w:rsid w:val="000E4FA5"/>
    <w:rsid w:val="00102829"/>
    <w:rsid w:val="001039A8"/>
    <w:rsid w:val="00110670"/>
    <w:rsid w:val="00110D4A"/>
    <w:rsid w:val="001119E0"/>
    <w:rsid w:val="00112673"/>
    <w:rsid w:val="0012073F"/>
    <w:rsid w:val="00120DDD"/>
    <w:rsid w:val="001236C5"/>
    <w:rsid w:val="001261E0"/>
    <w:rsid w:val="00127A8A"/>
    <w:rsid w:val="001335F9"/>
    <w:rsid w:val="0013527D"/>
    <w:rsid w:val="0013648B"/>
    <w:rsid w:val="00136D33"/>
    <w:rsid w:val="0014118B"/>
    <w:rsid w:val="00142244"/>
    <w:rsid w:val="0014516E"/>
    <w:rsid w:val="0014555C"/>
    <w:rsid w:val="001457F4"/>
    <w:rsid w:val="001514FA"/>
    <w:rsid w:val="0015562D"/>
    <w:rsid w:val="00160029"/>
    <w:rsid w:val="00161546"/>
    <w:rsid w:val="0016550E"/>
    <w:rsid w:val="00166536"/>
    <w:rsid w:val="0016695A"/>
    <w:rsid w:val="0018176A"/>
    <w:rsid w:val="0018416F"/>
    <w:rsid w:val="0018590E"/>
    <w:rsid w:val="00187103"/>
    <w:rsid w:val="00192FC8"/>
    <w:rsid w:val="00195459"/>
    <w:rsid w:val="00195EA9"/>
    <w:rsid w:val="001A4335"/>
    <w:rsid w:val="001A4390"/>
    <w:rsid w:val="001A5163"/>
    <w:rsid w:val="001A7B37"/>
    <w:rsid w:val="001B2828"/>
    <w:rsid w:val="001B7354"/>
    <w:rsid w:val="001C0A48"/>
    <w:rsid w:val="001C1F1F"/>
    <w:rsid w:val="001C4174"/>
    <w:rsid w:val="001D2102"/>
    <w:rsid w:val="001D67D4"/>
    <w:rsid w:val="001E1A76"/>
    <w:rsid w:val="001E4F44"/>
    <w:rsid w:val="001E666A"/>
    <w:rsid w:val="00200648"/>
    <w:rsid w:val="00204190"/>
    <w:rsid w:val="00205E79"/>
    <w:rsid w:val="002126FF"/>
    <w:rsid w:val="00213AB4"/>
    <w:rsid w:val="00223C22"/>
    <w:rsid w:val="002275B6"/>
    <w:rsid w:val="00230521"/>
    <w:rsid w:val="002310EC"/>
    <w:rsid w:val="002345B2"/>
    <w:rsid w:val="00240402"/>
    <w:rsid w:val="0024375B"/>
    <w:rsid w:val="00245C3C"/>
    <w:rsid w:val="0025429C"/>
    <w:rsid w:val="00254F98"/>
    <w:rsid w:val="00261A48"/>
    <w:rsid w:val="002674C3"/>
    <w:rsid w:val="00273C4F"/>
    <w:rsid w:val="00274DFA"/>
    <w:rsid w:val="00284C41"/>
    <w:rsid w:val="00290C1B"/>
    <w:rsid w:val="00291337"/>
    <w:rsid w:val="002919D4"/>
    <w:rsid w:val="00294FF9"/>
    <w:rsid w:val="00296D00"/>
    <w:rsid w:val="002A040A"/>
    <w:rsid w:val="002A63D9"/>
    <w:rsid w:val="002B1378"/>
    <w:rsid w:val="002C5FBC"/>
    <w:rsid w:val="002C61D2"/>
    <w:rsid w:val="002C6BAB"/>
    <w:rsid w:val="002E2F25"/>
    <w:rsid w:val="002F1A7C"/>
    <w:rsid w:val="002F3FAC"/>
    <w:rsid w:val="002F6AC6"/>
    <w:rsid w:val="002F6D41"/>
    <w:rsid w:val="003056FB"/>
    <w:rsid w:val="00306270"/>
    <w:rsid w:val="00307F8A"/>
    <w:rsid w:val="00310B46"/>
    <w:rsid w:val="00312448"/>
    <w:rsid w:val="0031611F"/>
    <w:rsid w:val="00321713"/>
    <w:rsid w:val="00323982"/>
    <w:rsid w:val="00330BFD"/>
    <w:rsid w:val="003324D5"/>
    <w:rsid w:val="00332FAC"/>
    <w:rsid w:val="0033628F"/>
    <w:rsid w:val="00340320"/>
    <w:rsid w:val="00346EEB"/>
    <w:rsid w:val="00347D5A"/>
    <w:rsid w:val="003536C5"/>
    <w:rsid w:val="00354633"/>
    <w:rsid w:val="003563BC"/>
    <w:rsid w:val="00361BB5"/>
    <w:rsid w:val="003641F8"/>
    <w:rsid w:val="003705E0"/>
    <w:rsid w:val="00371DD1"/>
    <w:rsid w:val="003773BD"/>
    <w:rsid w:val="00380933"/>
    <w:rsid w:val="00385152"/>
    <w:rsid w:val="003861C4"/>
    <w:rsid w:val="003907F9"/>
    <w:rsid w:val="00393DB6"/>
    <w:rsid w:val="003B1236"/>
    <w:rsid w:val="003C12D3"/>
    <w:rsid w:val="003C30D2"/>
    <w:rsid w:val="003C7949"/>
    <w:rsid w:val="003D2BF6"/>
    <w:rsid w:val="003D58D9"/>
    <w:rsid w:val="003F20C6"/>
    <w:rsid w:val="003F6382"/>
    <w:rsid w:val="004068FD"/>
    <w:rsid w:val="00411742"/>
    <w:rsid w:val="0041254E"/>
    <w:rsid w:val="004154CC"/>
    <w:rsid w:val="004178B5"/>
    <w:rsid w:val="004218D6"/>
    <w:rsid w:val="00427624"/>
    <w:rsid w:val="00431A88"/>
    <w:rsid w:val="00432697"/>
    <w:rsid w:val="00435AEB"/>
    <w:rsid w:val="00435DEE"/>
    <w:rsid w:val="00436506"/>
    <w:rsid w:val="004477BC"/>
    <w:rsid w:val="00453793"/>
    <w:rsid w:val="00464DF1"/>
    <w:rsid w:val="004707BA"/>
    <w:rsid w:val="004712A4"/>
    <w:rsid w:val="0048051F"/>
    <w:rsid w:val="00481F75"/>
    <w:rsid w:val="0048415F"/>
    <w:rsid w:val="00491090"/>
    <w:rsid w:val="00492C2F"/>
    <w:rsid w:val="00493CC1"/>
    <w:rsid w:val="00494D85"/>
    <w:rsid w:val="00496A5B"/>
    <w:rsid w:val="00497E8A"/>
    <w:rsid w:val="004C4EFF"/>
    <w:rsid w:val="004C5AF5"/>
    <w:rsid w:val="004D054D"/>
    <w:rsid w:val="004D60B3"/>
    <w:rsid w:val="004E3623"/>
    <w:rsid w:val="00500BA7"/>
    <w:rsid w:val="00503A5C"/>
    <w:rsid w:val="005163AA"/>
    <w:rsid w:val="0051648B"/>
    <w:rsid w:val="00527DF5"/>
    <w:rsid w:val="00541483"/>
    <w:rsid w:val="00541717"/>
    <w:rsid w:val="005436C8"/>
    <w:rsid w:val="005439D9"/>
    <w:rsid w:val="00543B76"/>
    <w:rsid w:val="0054722B"/>
    <w:rsid w:val="00547FE9"/>
    <w:rsid w:val="00550A2A"/>
    <w:rsid w:val="00551580"/>
    <w:rsid w:val="00555BC4"/>
    <w:rsid w:val="00557EAD"/>
    <w:rsid w:val="00560104"/>
    <w:rsid w:val="005648AC"/>
    <w:rsid w:val="005713E4"/>
    <w:rsid w:val="00573397"/>
    <w:rsid w:val="0058156F"/>
    <w:rsid w:val="00585F1E"/>
    <w:rsid w:val="00586214"/>
    <w:rsid w:val="00592FE0"/>
    <w:rsid w:val="0059322D"/>
    <w:rsid w:val="00593746"/>
    <w:rsid w:val="005A1D52"/>
    <w:rsid w:val="005A3929"/>
    <w:rsid w:val="005B5FFC"/>
    <w:rsid w:val="005C5D08"/>
    <w:rsid w:val="005D25D0"/>
    <w:rsid w:val="005D37F2"/>
    <w:rsid w:val="005D566C"/>
    <w:rsid w:val="005E15EE"/>
    <w:rsid w:val="005E6B46"/>
    <w:rsid w:val="00601188"/>
    <w:rsid w:val="0060325E"/>
    <w:rsid w:val="00604693"/>
    <w:rsid w:val="00615613"/>
    <w:rsid w:val="00622618"/>
    <w:rsid w:val="00625263"/>
    <w:rsid w:val="00625D37"/>
    <w:rsid w:val="00627401"/>
    <w:rsid w:val="00644F8B"/>
    <w:rsid w:val="00655084"/>
    <w:rsid w:val="0066248C"/>
    <w:rsid w:val="00665CE0"/>
    <w:rsid w:val="00671B6B"/>
    <w:rsid w:val="00677C62"/>
    <w:rsid w:val="00680166"/>
    <w:rsid w:val="00692D6E"/>
    <w:rsid w:val="00693073"/>
    <w:rsid w:val="006B27A5"/>
    <w:rsid w:val="006B5FB8"/>
    <w:rsid w:val="006D377B"/>
    <w:rsid w:val="006D4586"/>
    <w:rsid w:val="006D7A9B"/>
    <w:rsid w:val="006E58CE"/>
    <w:rsid w:val="006E7FF8"/>
    <w:rsid w:val="006F212D"/>
    <w:rsid w:val="006F682C"/>
    <w:rsid w:val="007142A3"/>
    <w:rsid w:val="00717E09"/>
    <w:rsid w:val="00726E2D"/>
    <w:rsid w:val="007277C8"/>
    <w:rsid w:val="007317D9"/>
    <w:rsid w:val="00736B0E"/>
    <w:rsid w:val="00742CA0"/>
    <w:rsid w:val="00742E95"/>
    <w:rsid w:val="007508B5"/>
    <w:rsid w:val="00756FD0"/>
    <w:rsid w:val="00774A35"/>
    <w:rsid w:val="00793E40"/>
    <w:rsid w:val="00794A82"/>
    <w:rsid w:val="007C1941"/>
    <w:rsid w:val="007C4AE7"/>
    <w:rsid w:val="007D4274"/>
    <w:rsid w:val="007D5F9E"/>
    <w:rsid w:val="007E070D"/>
    <w:rsid w:val="007E0CEA"/>
    <w:rsid w:val="007E2081"/>
    <w:rsid w:val="007E53B5"/>
    <w:rsid w:val="007F09AE"/>
    <w:rsid w:val="007F7789"/>
    <w:rsid w:val="00801FE6"/>
    <w:rsid w:val="00812421"/>
    <w:rsid w:val="008218D8"/>
    <w:rsid w:val="0082225E"/>
    <w:rsid w:val="00825969"/>
    <w:rsid w:val="008304C8"/>
    <w:rsid w:val="00841678"/>
    <w:rsid w:val="008438E4"/>
    <w:rsid w:val="008445F0"/>
    <w:rsid w:val="0084656E"/>
    <w:rsid w:val="00852BA6"/>
    <w:rsid w:val="0085537F"/>
    <w:rsid w:val="00861B5C"/>
    <w:rsid w:val="00864D97"/>
    <w:rsid w:val="008676F0"/>
    <w:rsid w:val="008805ED"/>
    <w:rsid w:val="00881CEC"/>
    <w:rsid w:val="00885C0C"/>
    <w:rsid w:val="008A3BDB"/>
    <w:rsid w:val="008A50B5"/>
    <w:rsid w:val="008A6E90"/>
    <w:rsid w:val="008B6466"/>
    <w:rsid w:val="008D30D3"/>
    <w:rsid w:val="008F3431"/>
    <w:rsid w:val="008F36A5"/>
    <w:rsid w:val="00913A9A"/>
    <w:rsid w:val="009176A8"/>
    <w:rsid w:val="00920834"/>
    <w:rsid w:val="009279D3"/>
    <w:rsid w:val="00940A59"/>
    <w:rsid w:val="009537CB"/>
    <w:rsid w:val="00960E6F"/>
    <w:rsid w:val="00967BFB"/>
    <w:rsid w:val="009755E8"/>
    <w:rsid w:val="00977A53"/>
    <w:rsid w:val="009922D0"/>
    <w:rsid w:val="00993572"/>
    <w:rsid w:val="0099618A"/>
    <w:rsid w:val="009961AF"/>
    <w:rsid w:val="0099625B"/>
    <w:rsid w:val="009A67C7"/>
    <w:rsid w:val="009B3AD1"/>
    <w:rsid w:val="009B633D"/>
    <w:rsid w:val="009B7E7D"/>
    <w:rsid w:val="009C19F1"/>
    <w:rsid w:val="009C3279"/>
    <w:rsid w:val="009C4079"/>
    <w:rsid w:val="009C4271"/>
    <w:rsid w:val="009C4FFA"/>
    <w:rsid w:val="009D5278"/>
    <w:rsid w:val="009D7B86"/>
    <w:rsid w:val="009E226C"/>
    <w:rsid w:val="009E37A3"/>
    <w:rsid w:val="009E412A"/>
    <w:rsid w:val="009F1A37"/>
    <w:rsid w:val="009F4C81"/>
    <w:rsid w:val="009F61BC"/>
    <w:rsid w:val="00A00405"/>
    <w:rsid w:val="00A01855"/>
    <w:rsid w:val="00A03572"/>
    <w:rsid w:val="00A04A72"/>
    <w:rsid w:val="00A05ED4"/>
    <w:rsid w:val="00A14BB8"/>
    <w:rsid w:val="00A1580A"/>
    <w:rsid w:val="00A15EF6"/>
    <w:rsid w:val="00A203D0"/>
    <w:rsid w:val="00A21FA9"/>
    <w:rsid w:val="00A34497"/>
    <w:rsid w:val="00A36399"/>
    <w:rsid w:val="00A366C5"/>
    <w:rsid w:val="00A43552"/>
    <w:rsid w:val="00A43E75"/>
    <w:rsid w:val="00A46E03"/>
    <w:rsid w:val="00A511C5"/>
    <w:rsid w:val="00A547CF"/>
    <w:rsid w:val="00A73070"/>
    <w:rsid w:val="00A769F8"/>
    <w:rsid w:val="00A81F1F"/>
    <w:rsid w:val="00A83AED"/>
    <w:rsid w:val="00A8686C"/>
    <w:rsid w:val="00A929AA"/>
    <w:rsid w:val="00A93759"/>
    <w:rsid w:val="00AA42B4"/>
    <w:rsid w:val="00AB5194"/>
    <w:rsid w:val="00AB7F36"/>
    <w:rsid w:val="00AC050E"/>
    <w:rsid w:val="00AC1B76"/>
    <w:rsid w:val="00AC7DF6"/>
    <w:rsid w:val="00AD472F"/>
    <w:rsid w:val="00AE4380"/>
    <w:rsid w:val="00AE6F4A"/>
    <w:rsid w:val="00AF241E"/>
    <w:rsid w:val="00B0395B"/>
    <w:rsid w:val="00B03D50"/>
    <w:rsid w:val="00B04095"/>
    <w:rsid w:val="00B0580C"/>
    <w:rsid w:val="00B067B2"/>
    <w:rsid w:val="00B13504"/>
    <w:rsid w:val="00B2354C"/>
    <w:rsid w:val="00B235B1"/>
    <w:rsid w:val="00B24CAB"/>
    <w:rsid w:val="00B338B6"/>
    <w:rsid w:val="00B34212"/>
    <w:rsid w:val="00B44C3C"/>
    <w:rsid w:val="00B44E33"/>
    <w:rsid w:val="00B470C2"/>
    <w:rsid w:val="00B47DFD"/>
    <w:rsid w:val="00B62FF7"/>
    <w:rsid w:val="00B76AE8"/>
    <w:rsid w:val="00B81C6B"/>
    <w:rsid w:val="00B8387E"/>
    <w:rsid w:val="00B92530"/>
    <w:rsid w:val="00B9428D"/>
    <w:rsid w:val="00B9633D"/>
    <w:rsid w:val="00B96A60"/>
    <w:rsid w:val="00BA203E"/>
    <w:rsid w:val="00BA3909"/>
    <w:rsid w:val="00BA5415"/>
    <w:rsid w:val="00BA690C"/>
    <w:rsid w:val="00BA7E97"/>
    <w:rsid w:val="00BB0A5D"/>
    <w:rsid w:val="00BB23A1"/>
    <w:rsid w:val="00BB757C"/>
    <w:rsid w:val="00BC5A7E"/>
    <w:rsid w:val="00BD1E26"/>
    <w:rsid w:val="00BD5247"/>
    <w:rsid w:val="00BE1373"/>
    <w:rsid w:val="00BE364C"/>
    <w:rsid w:val="00BE7819"/>
    <w:rsid w:val="00BF365C"/>
    <w:rsid w:val="00BF50D4"/>
    <w:rsid w:val="00C003D3"/>
    <w:rsid w:val="00C05ABD"/>
    <w:rsid w:val="00C129EC"/>
    <w:rsid w:val="00C1342A"/>
    <w:rsid w:val="00C13987"/>
    <w:rsid w:val="00C20100"/>
    <w:rsid w:val="00C27863"/>
    <w:rsid w:val="00C344B3"/>
    <w:rsid w:val="00C36167"/>
    <w:rsid w:val="00C51FE9"/>
    <w:rsid w:val="00C67F3B"/>
    <w:rsid w:val="00C730ED"/>
    <w:rsid w:val="00C73DF1"/>
    <w:rsid w:val="00C74731"/>
    <w:rsid w:val="00C779C0"/>
    <w:rsid w:val="00C942AF"/>
    <w:rsid w:val="00C94639"/>
    <w:rsid w:val="00CA0438"/>
    <w:rsid w:val="00CB7E88"/>
    <w:rsid w:val="00CC3909"/>
    <w:rsid w:val="00CC71F9"/>
    <w:rsid w:val="00CD1490"/>
    <w:rsid w:val="00CE13B0"/>
    <w:rsid w:val="00CE384B"/>
    <w:rsid w:val="00CE585F"/>
    <w:rsid w:val="00CE5893"/>
    <w:rsid w:val="00CF3BEC"/>
    <w:rsid w:val="00CF43F0"/>
    <w:rsid w:val="00CF4AA5"/>
    <w:rsid w:val="00D02198"/>
    <w:rsid w:val="00D07DE4"/>
    <w:rsid w:val="00D142C6"/>
    <w:rsid w:val="00D144F2"/>
    <w:rsid w:val="00D17A68"/>
    <w:rsid w:val="00D2641A"/>
    <w:rsid w:val="00D321C4"/>
    <w:rsid w:val="00D33968"/>
    <w:rsid w:val="00D365F1"/>
    <w:rsid w:val="00D42A36"/>
    <w:rsid w:val="00D44951"/>
    <w:rsid w:val="00D46D09"/>
    <w:rsid w:val="00D474AC"/>
    <w:rsid w:val="00D4776F"/>
    <w:rsid w:val="00D576DD"/>
    <w:rsid w:val="00D57F04"/>
    <w:rsid w:val="00D65142"/>
    <w:rsid w:val="00D73B21"/>
    <w:rsid w:val="00D74F4D"/>
    <w:rsid w:val="00D83B45"/>
    <w:rsid w:val="00D919E9"/>
    <w:rsid w:val="00DA4FC1"/>
    <w:rsid w:val="00DB3DC0"/>
    <w:rsid w:val="00DB6087"/>
    <w:rsid w:val="00DC6C6B"/>
    <w:rsid w:val="00DD3816"/>
    <w:rsid w:val="00DD5F57"/>
    <w:rsid w:val="00DE0E69"/>
    <w:rsid w:val="00DF6627"/>
    <w:rsid w:val="00E006DF"/>
    <w:rsid w:val="00E14499"/>
    <w:rsid w:val="00E22E11"/>
    <w:rsid w:val="00E27C2A"/>
    <w:rsid w:val="00E414CF"/>
    <w:rsid w:val="00E415CD"/>
    <w:rsid w:val="00E42CE4"/>
    <w:rsid w:val="00E43D33"/>
    <w:rsid w:val="00E54837"/>
    <w:rsid w:val="00E54A4E"/>
    <w:rsid w:val="00E66CD2"/>
    <w:rsid w:val="00E71170"/>
    <w:rsid w:val="00E72044"/>
    <w:rsid w:val="00E94ABD"/>
    <w:rsid w:val="00E977CF"/>
    <w:rsid w:val="00EA09DC"/>
    <w:rsid w:val="00EA55F5"/>
    <w:rsid w:val="00EA6B55"/>
    <w:rsid w:val="00EB134A"/>
    <w:rsid w:val="00EB3471"/>
    <w:rsid w:val="00EB3658"/>
    <w:rsid w:val="00EB754B"/>
    <w:rsid w:val="00EC2C09"/>
    <w:rsid w:val="00EC32E0"/>
    <w:rsid w:val="00EC474C"/>
    <w:rsid w:val="00ED2178"/>
    <w:rsid w:val="00ED394D"/>
    <w:rsid w:val="00ED6013"/>
    <w:rsid w:val="00ED7C8A"/>
    <w:rsid w:val="00EE053C"/>
    <w:rsid w:val="00EE1337"/>
    <w:rsid w:val="00EE14BE"/>
    <w:rsid w:val="00EE2A7D"/>
    <w:rsid w:val="00EF5D06"/>
    <w:rsid w:val="00EF7CF1"/>
    <w:rsid w:val="00F02BAD"/>
    <w:rsid w:val="00F032E2"/>
    <w:rsid w:val="00F03BB0"/>
    <w:rsid w:val="00F10278"/>
    <w:rsid w:val="00F16B06"/>
    <w:rsid w:val="00F212B6"/>
    <w:rsid w:val="00F2141F"/>
    <w:rsid w:val="00F34B53"/>
    <w:rsid w:val="00F35A9B"/>
    <w:rsid w:val="00F37AC9"/>
    <w:rsid w:val="00F43A80"/>
    <w:rsid w:val="00F46F32"/>
    <w:rsid w:val="00F50370"/>
    <w:rsid w:val="00F515FD"/>
    <w:rsid w:val="00F547B9"/>
    <w:rsid w:val="00F56287"/>
    <w:rsid w:val="00F5710A"/>
    <w:rsid w:val="00F674CC"/>
    <w:rsid w:val="00F81B97"/>
    <w:rsid w:val="00F87C93"/>
    <w:rsid w:val="00F96928"/>
    <w:rsid w:val="00F97CE0"/>
    <w:rsid w:val="00FA4F7C"/>
    <w:rsid w:val="00FA68F2"/>
    <w:rsid w:val="00FB1357"/>
    <w:rsid w:val="00FB19BE"/>
    <w:rsid w:val="00FB282D"/>
    <w:rsid w:val="00FB28BD"/>
    <w:rsid w:val="00FB3972"/>
    <w:rsid w:val="00FB4E80"/>
    <w:rsid w:val="00FB61BC"/>
    <w:rsid w:val="00FC5944"/>
    <w:rsid w:val="00FC7AB4"/>
    <w:rsid w:val="00FC7BD1"/>
    <w:rsid w:val="00FD0101"/>
    <w:rsid w:val="00FD1C60"/>
    <w:rsid w:val="00FD434A"/>
    <w:rsid w:val="00FD536F"/>
    <w:rsid w:val="00FD5A06"/>
    <w:rsid w:val="00FD5B8E"/>
    <w:rsid w:val="00FD6F54"/>
    <w:rsid w:val="00FE01E4"/>
    <w:rsid w:val="00FE247C"/>
    <w:rsid w:val="00FF13A6"/>
    <w:rsid w:val="00FF6A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AAB9C"/>
  <w15:chartTrackingRefBased/>
  <w15:docId w15:val="{8FB92234-9F12-2F4F-AC74-A58C7A7A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7F3B"/>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A0438"/>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CA0438"/>
    <w:pPr>
      <w:keepNext/>
      <w:keepLines/>
      <w:spacing w:before="160" w:after="80"/>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unhideWhenUsed/>
    <w:qFormat/>
    <w:rsid w:val="00CA0438"/>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CA0438"/>
    <w:pPr>
      <w:keepNext/>
      <w:keepLines/>
      <w:spacing w:before="80" w:after="40"/>
      <w:outlineLvl w:val="3"/>
    </w:pPr>
    <w:rPr>
      <w:rFonts w:eastAsiaTheme="majorEastAsia" w:cstheme="majorBidi"/>
      <w:i/>
      <w:iCs/>
      <w:color w:val="2F5496" w:themeColor="accent1" w:themeShade="BF"/>
      <w:lang w:val="en-US"/>
    </w:rPr>
  </w:style>
  <w:style w:type="paragraph" w:styleId="Heading5">
    <w:name w:val="heading 5"/>
    <w:basedOn w:val="Normal"/>
    <w:next w:val="Normal"/>
    <w:link w:val="Heading5Char"/>
    <w:uiPriority w:val="9"/>
    <w:semiHidden/>
    <w:unhideWhenUsed/>
    <w:qFormat/>
    <w:rsid w:val="00CA0438"/>
    <w:pPr>
      <w:keepNext/>
      <w:keepLines/>
      <w:spacing w:before="80" w:after="40"/>
      <w:outlineLvl w:val="4"/>
    </w:pPr>
    <w:rPr>
      <w:rFonts w:eastAsiaTheme="majorEastAsia" w:cstheme="majorBidi"/>
      <w:color w:val="2F5496" w:themeColor="accent1" w:themeShade="BF"/>
      <w:lang w:val="en-US"/>
    </w:rPr>
  </w:style>
  <w:style w:type="paragraph" w:styleId="Heading6">
    <w:name w:val="heading 6"/>
    <w:basedOn w:val="Normal"/>
    <w:next w:val="Normal"/>
    <w:link w:val="Heading6Char"/>
    <w:uiPriority w:val="9"/>
    <w:semiHidden/>
    <w:unhideWhenUsed/>
    <w:qFormat/>
    <w:rsid w:val="00CA0438"/>
    <w:pPr>
      <w:keepNext/>
      <w:keepLines/>
      <w:spacing w:before="4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CA0438"/>
    <w:pPr>
      <w:keepNext/>
      <w:keepLines/>
      <w:spacing w:before="4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CA0438"/>
    <w:pPr>
      <w:keepNext/>
      <w:keepLines/>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CA0438"/>
    <w:pPr>
      <w:keepNext/>
      <w:keepLines/>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438"/>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CA0438"/>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CA0438"/>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CA0438"/>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CA0438"/>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CA0438"/>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CA0438"/>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CA0438"/>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CA0438"/>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CA0438"/>
    <w:pPr>
      <w:spacing w:after="8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CA0438"/>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CA0438"/>
    <w:pPr>
      <w:numPr>
        <w:ilvl w:val="1"/>
      </w:numPr>
      <w:spacing w:after="160"/>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CA0438"/>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CA0438"/>
    <w:pPr>
      <w:spacing w:before="160" w:after="160"/>
      <w:jc w:val="center"/>
    </w:pPr>
    <w:rPr>
      <w:i/>
      <w:iCs/>
      <w:color w:val="404040" w:themeColor="text1" w:themeTint="BF"/>
      <w:lang w:val="en-US"/>
    </w:rPr>
  </w:style>
  <w:style w:type="character" w:customStyle="1" w:styleId="QuoteChar">
    <w:name w:val="Quote Char"/>
    <w:basedOn w:val="DefaultParagraphFont"/>
    <w:link w:val="Quote"/>
    <w:uiPriority w:val="29"/>
    <w:rsid w:val="00CA0438"/>
    <w:rPr>
      <w:i/>
      <w:iCs/>
      <w:color w:val="404040" w:themeColor="text1" w:themeTint="BF"/>
      <w:lang w:val="en-US"/>
    </w:rPr>
  </w:style>
  <w:style w:type="paragraph" w:styleId="ListParagraph">
    <w:name w:val="List Paragraph"/>
    <w:basedOn w:val="Normal"/>
    <w:uiPriority w:val="34"/>
    <w:qFormat/>
    <w:rsid w:val="00CA0438"/>
    <w:pPr>
      <w:ind w:left="720"/>
      <w:contextualSpacing/>
    </w:pPr>
    <w:rPr>
      <w:lang w:val="en-US"/>
    </w:rPr>
  </w:style>
  <w:style w:type="character" w:styleId="IntenseEmphasis">
    <w:name w:val="Intense Emphasis"/>
    <w:basedOn w:val="DefaultParagraphFont"/>
    <w:uiPriority w:val="21"/>
    <w:qFormat/>
    <w:rsid w:val="00CA0438"/>
    <w:rPr>
      <w:i/>
      <w:iCs/>
      <w:color w:val="2F5496" w:themeColor="accent1" w:themeShade="BF"/>
    </w:rPr>
  </w:style>
  <w:style w:type="paragraph" w:styleId="IntenseQuote">
    <w:name w:val="Intense Quote"/>
    <w:basedOn w:val="Normal"/>
    <w:next w:val="Normal"/>
    <w:link w:val="IntenseQuoteChar"/>
    <w:uiPriority w:val="30"/>
    <w:qFormat/>
    <w:rsid w:val="00CA04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CA0438"/>
    <w:rPr>
      <w:i/>
      <w:iCs/>
      <w:color w:val="2F5496" w:themeColor="accent1" w:themeShade="BF"/>
      <w:lang w:val="en-US"/>
    </w:rPr>
  </w:style>
  <w:style w:type="character" w:styleId="IntenseReference">
    <w:name w:val="Intense Reference"/>
    <w:basedOn w:val="DefaultParagraphFont"/>
    <w:uiPriority w:val="32"/>
    <w:qFormat/>
    <w:rsid w:val="00CA0438"/>
    <w:rPr>
      <w:b/>
      <w:bCs/>
      <w:smallCaps/>
      <w:color w:val="2F5496" w:themeColor="accent1" w:themeShade="BF"/>
      <w:spacing w:val="5"/>
    </w:rPr>
  </w:style>
  <w:style w:type="paragraph" w:styleId="Footer">
    <w:name w:val="footer"/>
    <w:basedOn w:val="Normal"/>
    <w:link w:val="FooterChar"/>
    <w:uiPriority w:val="99"/>
    <w:unhideWhenUsed/>
    <w:rsid w:val="00CA0438"/>
    <w:pPr>
      <w:tabs>
        <w:tab w:val="center" w:pos="4513"/>
        <w:tab w:val="right" w:pos="9026"/>
      </w:tabs>
    </w:pPr>
    <w:rPr>
      <w:lang w:val="en-US"/>
    </w:rPr>
  </w:style>
  <w:style w:type="character" w:customStyle="1" w:styleId="FooterChar">
    <w:name w:val="Footer Char"/>
    <w:basedOn w:val="DefaultParagraphFont"/>
    <w:link w:val="Footer"/>
    <w:uiPriority w:val="99"/>
    <w:rsid w:val="00CA0438"/>
    <w:rPr>
      <w:rFonts w:ascii="Times New Roman" w:eastAsia="Times New Roman" w:hAnsi="Times New Roman" w:cs="Times New Roman"/>
      <w:kern w:val="0"/>
      <w:lang w:val="en-US" w:eastAsia="en-GB"/>
      <w14:ligatures w14:val="none"/>
    </w:rPr>
  </w:style>
  <w:style w:type="character" w:styleId="PageNumber">
    <w:name w:val="page number"/>
    <w:basedOn w:val="DefaultParagraphFont"/>
    <w:uiPriority w:val="99"/>
    <w:semiHidden/>
    <w:unhideWhenUsed/>
    <w:rsid w:val="00CA0438"/>
  </w:style>
  <w:style w:type="paragraph" w:styleId="NormalWeb">
    <w:name w:val="Normal (Web)"/>
    <w:basedOn w:val="Normal"/>
    <w:uiPriority w:val="99"/>
    <w:unhideWhenUsed/>
    <w:rsid w:val="00CA0438"/>
    <w:pPr>
      <w:spacing w:before="100" w:beforeAutospacing="1" w:after="100" w:afterAutospacing="1"/>
    </w:pPr>
    <w:rPr>
      <w:lang w:val="en-US"/>
    </w:rPr>
  </w:style>
  <w:style w:type="character" w:styleId="Strong">
    <w:name w:val="Strong"/>
    <w:basedOn w:val="DefaultParagraphFont"/>
    <w:uiPriority w:val="22"/>
    <w:qFormat/>
    <w:rsid w:val="00CA0438"/>
    <w:rPr>
      <w:b/>
      <w:bCs/>
    </w:rPr>
  </w:style>
  <w:style w:type="paragraph" w:styleId="z-TopofForm">
    <w:name w:val="HTML Top of Form"/>
    <w:basedOn w:val="Normal"/>
    <w:next w:val="Normal"/>
    <w:link w:val="z-TopofFormChar"/>
    <w:hidden/>
    <w:uiPriority w:val="99"/>
    <w:semiHidden/>
    <w:unhideWhenUsed/>
    <w:rsid w:val="00CA0438"/>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CA0438"/>
    <w:rPr>
      <w:rFonts w:ascii="Arial" w:eastAsia="Times New Roman" w:hAnsi="Arial" w:cs="Arial"/>
      <w:vanish/>
      <w:kern w:val="0"/>
      <w:sz w:val="16"/>
      <w:szCs w:val="16"/>
      <w:lang w:val="en-US" w:eastAsia="en-GB"/>
      <w14:ligatures w14:val="none"/>
    </w:rPr>
  </w:style>
  <w:style w:type="paragraph" w:styleId="z-BottomofForm">
    <w:name w:val="HTML Bottom of Form"/>
    <w:basedOn w:val="Normal"/>
    <w:next w:val="Normal"/>
    <w:link w:val="z-BottomofFormChar"/>
    <w:hidden/>
    <w:uiPriority w:val="99"/>
    <w:semiHidden/>
    <w:unhideWhenUsed/>
    <w:rsid w:val="00CA0438"/>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CA0438"/>
    <w:rPr>
      <w:rFonts w:ascii="Arial" w:eastAsia="Times New Roman" w:hAnsi="Arial" w:cs="Arial"/>
      <w:vanish/>
      <w:kern w:val="0"/>
      <w:sz w:val="16"/>
      <w:szCs w:val="16"/>
      <w:lang w:val="en-US" w:eastAsia="en-GB"/>
      <w14:ligatures w14:val="none"/>
    </w:rPr>
  </w:style>
  <w:style w:type="character" w:styleId="Hyperlink">
    <w:name w:val="Hyperlink"/>
    <w:uiPriority w:val="99"/>
    <w:unhideWhenUsed/>
    <w:rsid w:val="00CA0438"/>
    <w:rPr>
      <w:color w:val="0000FF"/>
      <w:u w:val="single"/>
    </w:rPr>
  </w:style>
  <w:style w:type="character" w:styleId="UnresolvedMention">
    <w:name w:val="Unresolved Mention"/>
    <w:basedOn w:val="DefaultParagraphFont"/>
    <w:uiPriority w:val="99"/>
    <w:semiHidden/>
    <w:unhideWhenUsed/>
    <w:rsid w:val="00CA0438"/>
    <w:rPr>
      <w:color w:val="605E5C"/>
      <w:shd w:val="clear" w:color="auto" w:fill="E1DFDD"/>
    </w:rPr>
  </w:style>
  <w:style w:type="character" w:styleId="LineNumber">
    <w:name w:val="line number"/>
    <w:basedOn w:val="DefaultParagraphFont"/>
    <w:uiPriority w:val="99"/>
    <w:semiHidden/>
    <w:unhideWhenUsed/>
    <w:rsid w:val="00CA0438"/>
  </w:style>
  <w:style w:type="paragraph" w:customStyle="1" w:styleId="my-0">
    <w:name w:val="my-0"/>
    <w:basedOn w:val="Normal"/>
    <w:rsid w:val="00CA0438"/>
    <w:pPr>
      <w:spacing w:before="100" w:beforeAutospacing="1" w:after="100" w:afterAutospacing="1"/>
    </w:pPr>
    <w:rPr>
      <w:lang w:val="en-US"/>
    </w:rPr>
  </w:style>
  <w:style w:type="character" w:customStyle="1" w:styleId="hoverbg-super">
    <w:name w:val="hover:bg-super"/>
    <w:basedOn w:val="DefaultParagraphFont"/>
    <w:rsid w:val="00CA0438"/>
  </w:style>
  <w:style w:type="character" w:customStyle="1" w:styleId="whitespace-nowrap">
    <w:name w:val="whitespace-nowrap"/>
    <w:basedOn w:val="DefaultParagraphFont"/>
    <w:rsid w:val="00CA0438"/>
  </w:style>
  <w:style w:type="character" w:styleId="Emphasis">
    <w:name w:val="Emphasis"/>
    <w:basedOn w:val="DefaultParagraphFont"/>
    <w:uiPriority w:val="20"/>
    <w:qFormat/>
    <w:rsid w:val="00CA0438"/>
    <w:rPr>
      <w:i/>
      <w:iCs/>
    </w:rPr>
  </w:style>
  <w:style w:type="table" w:styleId="TableGrid">
    <w:name w:val="Table Grid"/>
    <w:basedOn w:val="TableNormal"/>
    <w:uiPriority w:val="39"/>
    <w:rsid w:val="00CA0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A0438"/>
    <w:pPr>
      <w:spacing w:line="480" w:lineRule="auto"/>
      <w:ind w:left="720" w:hanging="720"/>
    </w:pPr>
    <w:rPr>
      <w:lang w:val="en-US"/>
    </w:rPr>
  </w:style>
  <w:style w:type="paragraph" w:customStyle="1" w:styleId="jbd-alamat">
    <w:name w:val="jbd-alamat"/>
    <w:basedOn w:val="Normal"/>
    <w:qFormat/>
    <w:rsid w:val="005713E4"/>
    <w:pPr>
      <w:pBdr>
        <w:top w:val="nil"/>
        <w:left w:val="nil"/>
        <w:bottom w:val="nil"/>
        <w:right w:val="nil"/>
        <w:between w:val="nil"/>
        <w:bar w:val="nil"/>
      </w:pBdr>
      <w:spacing w:line="480" w:lineRule="auto"/>
      <w:jc w:val="both"/>
    </w:pPr>
    <w:rPr>
      <w:rFonts w:ascii="Arial" w:eastAsia="Arial Unicode MS" w:hAnsi="Arial" w:cs="Arial"/>
      <w:bdr w:val="nil"/>
      <w:lang w:val="en-US" w:eastAsia="en-US"/>
    </w:rPr>
  </w:style>
  <w:style w:type="character" w:customStyle="1" w:styleId="html-italic">
    <w:name w:val="html-italic"/>
    <w:basedOn w:val="DefaultParagraphFont"/>
    <w:rsid w:val="00C67F3B"/>
  </w:style>
  <w:style w:type="character" w:customStyle="1" w:styleId="dropblock">
    <w:name w:val="dropblock"/>
    <w:basedOn w:val="DefaultParagraphFont"/>
    <w:rsid w:val="0013648B"/>
  </w:style>
  <w:style w:type="character" w:customStyle="1" w:styleId="anchor-text">
    <w:name w:val="anchor-text"/>
    <w:basedOn w:val="DefaultParagraphFont"/>
    <w:rsid w:val="005648AC"/>
  </w:style>
  <w:style w:type="character" w:customStyle="1" w:styleId="small-caps">
    <w:name w:val="small-caps"/>
    <w:basedOn w:val="DefaultParagraphFont"/>
    <w:rsid w:val="00564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18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16895</Words>
  <Characters>96302</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Marwan Al-Maqtoofi</dc:creator>
  <cp:keywords/>
  <dc:description/>
  <cp:lastModifiedBy>SDI 1137</cp:lastModifiedBy>
  <cp:revision>4</cp:revision>
  <dcterms:created xsi:type="dcterms:W3CDTF">2025-10-15T17:29:00Z</dcterms:created>
  <dcterms:modified xsi:type="dcterms:W3CDTF">2025-10-16T07:47:00Z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id="VZ5DC2mq"/&gt;&lt;style id="http://www.zotero.org/styles/apa" locale="en-GB" hasBibliography="1" bibliographyStyleHasBeenSet="1"/&gt;&lt;prefs&gt;&lt;pref name="fieldType" value="Field"/&gt;&lt;/prefs&gt;&lt;/data&gt;</vt:lpwstr>
  </property>
</Properties>
</file>