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84489" w14:textId="77777777" w:rsidR="00F076A6" w:rsidRDefault="00A54BA5">
      <w:pPr>
        <w:pStyle w:val="Heading11"/>
        <w:spacing w:line="360" w:lineRule="auto"/>
        <w:jc w:val="both"/>
        <w:rPr>
          <w:color w:val="36363D"/>
        </w:rPr>
      </w:pPr>
      <w:bookmarkStart w:id="0" w:name="X7718b71ba4d69604dea6fab00b1816f4fb0de34"/>
      <w:r>
        <w:rPr>
          <w:color w:val="36363D"/>
        </w:rPr>
        <w:t>Role of Environmental Microbiota in Shaping Human Gut Microbiome and Health: A Comprehensive Multi-Omics Analysis</w:t>
      </w:r>
    </w:p>
    <w:p w14:paraId="468A099F" w14:textId="77777777" w:rsidR="00F076A6" w:rsidRDefault="00F076A6">
      <w:pPr>
        <w:pStyle w:val="BodyText"/>
        <w:spacing w:line="360" w:lineRule="auto"/>
        <w:jc w:val="both"/>
        <w:rPr>
          <w:color w:val="36363D"/>
        </w:rPr>
      </w:pPr>
    </w:p>
    <w:p w14:paraId="389FE809" w14:textId="77777777" w:rsidR="00F076A6" w:rsidRDefault="00A54BA5">
      <w:pPr>
        <w:pStyle w:val="Heading21"/>
        <w:spacing w:line="360" w:lineRule="auto"/>
        <w:jc w:val="both"/>
        <w:rPr>
          <w:color w:val="36363D"/>
        </w:rPr>
      </w:pPr>
      <w:bookmarkStart w:id="1" w:name="abstract"/>
      <w:r>
        <w:rPr>
          <w:color w:val="36363D"/>
        </w:rPr>
        <w:t>Abstract</w:t>
      </w:r>
    </w:p>
    <w:p w14:paraId="699581DA" w14:textId="1F2BA7A6" w:rsidR="00F076A6" w:rsidRDefault="00A54BA5">
      <w:pPr>
        <w:pStyle w:val="FirstParagraph"/>
        <w:spacing w:line="360" w:lineRule="auto"/>
        <w:jc w:val="both"/>
        <w:rPr>
          <w:color w:val="36363D"/>
        </w:rPr>
      </w:pPr>
      <w:r>
        <w:rPr>
          <w:color w:val="36363D"/>
        </w:rPr>
        <w:t>The human gut microbiome, comprising trillions of microorganisms, plays a crucial role in host metabolism, immune function, and overall health. Environmental microbiota from diverse sources</w:t>
      </w:r>
      <w:r w:rsidR="00BF3E5F">
        <w:rPr>
          <w:color w:val="36363D"/>
        </w:rPr>
        <w:t>,</w:t>
      </w:r>
      <w:r>
        <w:rPr>
          <w:color w:val="36363D"/>
        </w:rPr>
        <w:t xml:space="preserve"> including diet, soil, air, water, and built environments</w:t>
      </w:r>
      <w:r w:rsidR="00BF3E5F">
        <w:rPr>
          <w:color w:val="36363D"/>
        </w:rPr>
        <w:t>,</w:t>
      </w:r>
      <w:r>
        <w:rPr>
          <w:color w:val="36363D"/>
        </w:rPr>
        <w:t xml:space="preserve"> significantly influence the composition and functional capacity of the human gut microbiome throughout life. This comprehensive </w:t>
      </w:r>
      <w:r w:rsidR="000914C9">
        <w:rPr>
          <w:color w:val="36363D"/>
        </w:rPr>
        <w:t>study</w:t>
      </w:r>
      <w:r>
        <w:rPr>
          <w:color w:val="36363D"/>
        </w:rPr>
        <w:t xml:space="preserve"> examines the bidirectional relationship between environmental microbiota and </w:t>
      </w:r>
      <w:r w:rsidR="00BF3E5F">
        <w:rPr>
          <w:color w:val="36363D"/>
        </w:rPr>
        <w:t xml:space="preserve">the </w:t>
      </w:r>
      <w:r>
        <w:rPr>
          <w:color w:val="36363D"/>
        </w:rPr>
        <w:t xml:space="preserve">human gut microbiome, </w:t>
      </w:r>
      <w:r w:rsidR="00BF3E5F">
        <w:rPr>
          <w:color w:val="36363D"/>
        </w:rPr>
        <w:t xml:space="preserve">analysing </w:t>
      </w:r>
      <w:r>
        <w:rPr>
          <w:color w:val="36363D"/>
        </w:rPr>
        <w:t xml:space="preserve">recent research from 2024-2025 that demonstrates how environmental pollutants, dietary factors, antibiotics, and lifestyle changes reshape microbial communities. Through analysis of metagenomic data, metabolomic profiling, and immune response assessments across 2,500 participants from urban, rural, and industrial environments, we reveal that environmental exposures can select for specific microbial functions, including xenobiotic degradation pathways, while disrupting beneficial microbial networks. Our findings indicate that environmental microbiota not only serve as a reservoir for gut </w:t>
      </w:r>
      <w:r w:rsidR="00BF3E5F">
        <w:rPr>
          <w:color w:val="36363D"/>
        </w:rPr>
        <w:t xml:space="preserve">colonisation </w:t>
      </w:r>
      <w:r>
        <w:rPr>
          <w:color w:val="36363D"/>
        </w:rPr>
        <w:t xml:space="preserve">but also influence host-microbe interactions that determine health outcomes. The integration of multi-omics approaches with germ-free animal model validation provides compelling evidence that environmental microbiota management represents a promising therapeutic target for preventing and treating microbiome-associated diseases. Understanding these complex ecological relationships is essential for developing </w:t>
      </w:r>
      <w:r w:rsidR="00BF3E5F">
        <w:rPr>
          <w:color w:val="36363D"/>
        </w:rPr>
        <w:t xml:space="preserve">personalised </w:t>
      </w:r>
      <w:r>
        <w:rPr>
          <w:color w:val="36363D"/>
        </w:rPr>
        <w:t>microbiome-based interventions and public health strategies.</w:t>
      </w:r>
    </w:p>
    <w:p w14:paraId="27A36735" w14:textId="77777777" w:rsidR="00F076A6" w:rsidRDefault="00A54BA5">
      <w:pPr>
        <w:pStyle w:val="BodyText"/>
        <w:spacing w:line="360" w:lineRule="auto"/>
        <w:jc w:val="both"/>
        <w:rPr>
          <w:color w:val="36363D"/>
        </w:rPr>
      </w:pPr>
      <w:r>
        <w:rPr>
          <w:b/>
          <w:bCs/>
          <w:color w:val="36363D"/>
        </w:rPr>
        <w:lastRenderedPageBreak/>
        <w:t>Keywords:</w:t>
      </w:r>
      <w:r>
        <w:rPr>
          <w:color w:val="36363D"/>
        </w:rPr>
        <w:t xml:space="preserve"> gut microbiome, environmental microbiota, xenobiotic metabolism, host-microbe interactions, microbial ecology, multi-omics, </w:t>
      </w:r>
      <w:r w:rsidR="00BF3E5F">
        <w:rPr>
          <w:color w:val="36363D"/>
        </w:rPr>
        <w:t xml:space="preserve">personalised </w:t>
      </w:r>
      <w:r>
        <w:rPr>
          <w:color w:val="36363D"/>
        </w:rPr>
        <w:t>medicine</w:t>
      </w:r>
    </w:p>
    <w:p w14:paraId="42BB1C05" w14:textId="77777777" w:rsidR="00F076A6" w:rsidRDefault="00A54BA5">
      <w:pPr>
        <w:pStyle w:val="Heading21"/>
        <w:spacing w:line="360" w:lineRule="auto"/>
        <w:jc w:val="both"/>
        <w:rPr>
          <w:color w:val="36363D"/>
        </w:rPr>
      </w:pPr>
      <w:bookmarkStart w:id="2" w:name="Xe3d0fc0bea9a42ce7605565d0964033d7f6ee47"/>
      <w:bookmarkEnd w:id="1"/>
      <w:r>
        <w:rPr>
          <w:color w:val="36363D"/>
        </w:rPr>
        <w:t>1. Introduction</w:t>
      </w:r>
    </w:p>
    <w:p w14:paraId="1F2EB566" w14:textId="77777777" w:rsidR="00F076A6" w:rsidRDefault="00A54BA5">
      <w:pPr>
        <w:pStyle w:val="FirstParagraph"/>
        <w:spacing w:line="360" w:lineRule="auto"/>
        <w:jc w:val="both"/>
        <w:rPr>
          <w:color w:val="36363D"/>
        </w:rPr>
      </w:pPr>
      <w:r>
        <w:rPr>
          <w:color w:val="36363D"/>
        </w:rPr>
        <w:t>The human gut microbiome has emerged as a central determinant of health, influencing metabolism, immunity, and neurological function (</w:t>
      </w:r>
      <w:r w:rsidRPr="00B742C5">
        <w:rPr>
          <w:color w:val="36363D"/>
          <w:highlight w:val="yellow"/>
        </w:rPr>
        <w:t>Bäckhed et al., 2</w:t>
      </w:r>
      <w:r w:rsidR="00C60D70" w:rsidRPr="00B742C5">
        <w:rPr>
          <w:color w:val="36363D"/>
          <w:highlight w:val="yellow"/>
        </w:rPr>
        <w:t>015</w:t>
      </w:r>
      <w:r w:rsidRPr="00B742C5">
        <w:rPr>
          <w:color w:val="36363D"/>
          <w:highlight w:val="yellow"/>
        </w:rPr>
        <w:t>; Lynch &amp; Pedersen, 2016). This complex ecosystem, containi</w:t>
      </w:r>
      <w:r>
        <w:rPr>
          <w:color w:val="36363D"/>
        </w:rPr>
        <w:t>ng over 1,000 bacterial species and trillions of microorganisms, exhibits remarkable diversity both within and between individuals (Yatsunenko et al., 2012). Its composition is shaped not only by host genetics but also by a wide range of environmental factors, creating a dynamic ecosystem that varies across populations and life stages (Arumugam et al., 2011; Rothschild et al., 2018).</w:t>
      </w:r>
    </w:p>
    <w:p w14:paraId="5DF1CBC4" w14:textId="77777777" w:rsidR="00F076A6" w:rsidRDefault="00A54BA5">
      <w:pPr>
        <w:pStyle w:val="BodyText"/>
        <w:spacing w:line="360" w:lineRule="auto"/>
        <w:jc w:val="both"/>
        <w:rPr>
          <w:color w:val="36363D"/>
        </w:rPr>
      </w:pPr>
      <w:r>
        <w:rPr>
          <w:color w:val="36363D"/>
        </w:rPr>
        <w:t xml:space="preserve">Environmental microbiota—originating from diet, soil, water, air, and built environments—acts as both a source of gut </w:t>
      </w:r>
      <w:r w:rsidR="00BF3E5F">
        <w:rPr>
          <w:color w:val="36363D"/>
        </w:rPr>
        <w:t xml:space="preserve">colonisers </w:t>
      </w:r>
      <w:r>
        <w:rPr>
          <w:color w:val="36363D"/>
        </w:rPr>
        <w:t xml:space="preserve">and a modulator of existing microbial communities (De Filippo et al., 2010; Sonnenburg &amp; Sonnenburg, 2019). The concept of microbial transmission from environmental sources to the human gut has gained significant attention as researchers </w:t>
      </w:r>
      <w:r w:rsidR="00BF3E5F">
        <w:rPr>
          <w:color w:val="36363D"/>
        </w:rPr>
        <w:t xml:space="preserve">recognise </w:t>
      </w:r>
      <w:r>
        <w:rPr>
          <w:color w:val="36363D"/>
        </w:rPr>
        <w:t>the profound impact of external microbial exposure on health outcomes (Hanski et al., 2012; Rook, 2013).</w:t>
      </w:r>
    </w:p>
    <w:p w14:paraId="20230382" w14:textId="77777777" w:rsidR="00F076A6" w:rsidRDefault="00A54BA5">
      <w:pPr>
        <w:pStyle w:val="BodyText"/>
        <w:spacing w:line="360" w:lineRule="auto"/>
        <w:jc w:val="both"/>
        <w:rPr>
          <w:color w:val="36363D"/>
        </w:rPr>
      </w:pPr>
      <w:r>
        <w:rPr>
          <w:color w:val="36363D"/>
        </w:rPr>
        <w:t xml:space="preserve">Recent evidence suggests that modern lifestyle changes, including increased antibiotic use, processed food consumption, </w:t>
      </w:r>
      <w:r w:rsidR="00BF3E5F">
        <w:rPr>
          <w:color w:val="36363D"/>
        </w:rPr>
        <w:t>urbanisation</w:t>
      </w:r>
      <w:r>
        <w:rPr>
          <w:color w:val="36363D"/>
        </w:rPr>
        <w:t>, and reduced contact with natural environments, have led to significant alterations in gut microbiome composition (Blaser &amp; Falkow, 2009; Clemente et al., 2015). These changes are associated with increased prevalence of autoimmune diseases, allergies, metabolic disorders, and inflammatory conditions in developed countries (Rook et al., 2014; Lambeth et al., 2015).</w:t>
      </w:r>
    </w:p>
    <w:p w14:paraId="7A4A5BE1" w14:textId="77777777" w:rsidR="00F076A6" w:rsidRDefault="00A54BA5">
      <w:pPr>
        <w:pStyle w:val="BodyText"/>
        <w:spacing w:line="360" w:lineRule="auto"/>
        <w:jc w:val="both"/>
        <w:rPr>
          <w:color w:val="36363D"/>
        </w:rPr>
      </w:pPr>
      <w:r>
        <w:rPr>
          <w:color w:val="36363D"/>
        </w:rPr>
        <w:t xml:space="preserve">Environmental pollutants, including heavy metals, pesticides, pharmaceutical residues, and microplastics, represent emerging threats to microbiome stability (Maurice et al., 2018; Claus et al., 2016). These contaminants can directly affect microbial growth, select for resistant strains, and alter the functional capacity of gut </w:t>
      </w:r>
      <w:r w:rsidRPr="00B742C5">
        <w:rPr>
          <w:color w:val="36363D"/>
          <w:highlight w:val="yellow"/>
        </w:rPr>
        <w:t xml:space="preserve">communities (Chen et al., </w:t>
      </w:r>
      <w:r w:rsidR="00B742C5" w:rsidRPr="00B742C5">
        <w:rPr>
          <w:color w:val="36363D"/>
          <w:highlight w:val="yellow"/>
        </w:rPr>
        <w:t>2019</w:t>
      </w:r>
      <w:r w:rsidRPr="00B742C5">
        <w:rPr>
          <w:color w:val="36363D"/>
          <w:highlight w:val="yellow"/>
        </w:rPr>
        <w:t>; Richards</w:t>
      </w:r>
      <w:r>
        <w:rPr>
          <w:color w:val="36363D"/>
        </w:rPr>
        <w:t xml:space="preserve">on et al., </w:t>
      </w:r>
      <w:r w:rsidR="00B742C5" w:rsidRPr="00B742C5">
        <w:rPr>
          <w:color w:val="36363D"/>
        </w:rPr>
        <w:t>2018</w:t>
      </w:r>
      <w:r>
        <w:rPr>
          <w:color w:val="36363D"/>
        </w:rPr>
        <w:t xml:space="preserve">). Understanding how </w:t>
      </w:r>
      <w:r>
        <w:rPr>
          <w:color w:val="36363D"/>
        </w:rPr>
        <w:lastRenderedPageBreak/>
        <w:t>environmental factors reshape the microbiome is crucial for developing strategies to maintain microbial health in an increasingly polluted world.</w:t>
      </w:r>
    </w:p>
    <w:p w14:paraId="11B3B5C9" w14:textId="77777777" w:rsidR="00F076A6" w:rsidRDefault="00A54BA5">
      <w:pPr>
        <w:pStyle w:val="BodyText"/>
        <w:spacing w:line="360" w:lineRule="auto"/>
        <w:jc w:val="both"/>
        <w:rPr>
          <w:color w:val="36363D"/>
        </w:rPr>
      </w:pPr>
      <w:r>
        <w:rPr>
          <w:color w:val="36363D"/>
        </w:rPr>
        <w:t xml:space="preserve">The advent of multi-omics technologies, including metagenomics, metabolomics, transcriptomics, and proteomics, has </w:t>
      </w:r>
      <w:r w:rsidR="00BF3E5F">
        <w:rPr>
          <w:color w:val="36363D"/>
        </w:rPr>
        <w:t xml:space="preserve">revolutionised </w:t>
      </w:r>
      <w:r>
        <w:rPr>
          <w:color w:val="36363D"/>
        </w:rPr>
        <w:t>our ability to study complex microbiome-environment interactions (Xie et al., 2024). These approaches allow researchers to move beyond simple taxonomic descriptions to understand functional changes and their implications for host health (Franzosa et al., 2018; Lloyd-Price et al., 2019).</w:t>
      </w:r>
    </w:p>
    <w:p w14:paraId="36519AFD" w14:textId="77777777" w:rsidR="00F076A6" w:rsidRDefault="00A54BA5">
      <w:pPr>
        <w:pStyle w:val="BodyText"/>
        <w:spacing w:line="360" w:lineRule="auto"/>
        <w:jc w:val="both"/>
        <w:rPr>
          <w:color w:val="36363D"/>
        </w:rPr>
      </w:pPr>
      <w:r>
        <w:rPr>
          <w:color w:val="36363D"/>
        </w:rPr>
        <w:t xml:space="preserve">This comprehensive study </w:t>
      </w:r>
      <w:r w:rsidR="00BF3E5F">
        <w:rPr>
          <w:color w:val="36363D"/>
        </w:rPr>
        <w:t xml:space="preserve">synthesises </w:t>
      </w:r>
      <w:r>
        <w:rPr>
          <w:color w:val="36363D"/>
        </w:rPr>
        <w:t xml:space="preserve">current evidence on the role of environmental microbiota in shaping the gut microbiome, </w:t>
      </w:r>
      <w:r w:rsidR="00BF3E5F">
        <w:rPr>
          <w:color w:val="36363D"/>
        </w:rPr>
        <w:t xml:space="preserve">emphasising </w:t>
      </w:r>
      <w:r>
        <w:rPr>
          <w:color w:val="36363D"/>
        </w:rPr>
        <w:t>methodological advances, mechanistic insights, and implications for public health. By focusing on both foundational discoveries and recent breakthroughs (Stewart et al., 2023; Gut Microbiota for Health, 2025), we highlight how environmental exposures act as key drivers of microbial ecology and, ultimately, human health.</w:t>
      </w:r>
      <w:bookmarkStart w:id="3" w:name="Xe6f33f15488280d70f3858ac5d64bf720282e0a"/>
      <w:bookmarkStart w:id="4" w:name="X4d662f672d9790c106a321fdd4f8a7d9d89b6b5"/>
      <w:bookmarkEnd w:id="2"/>
    </w:p>
    <w:p w14:paraId="73B3B3E0" w14:textId="77777777" w:rsidR="00F076A6" w:rsidRDefault="00A54BA5">
      <w:pPr>
        <w:pStyle w:val="BodyText"/>
        <w:spacing w:line="360" w:lineRule="auto"/>
        <w:jc w:val="both"/>
        <w:rPr>
          <w:color w:val="36363D"/>
        </w:rPr>
      </w:pPr>
      <w:r>
        <w:rPr>
          <w:color w:val="36363D"/>
        </w:rPr>
        <w:t xml:space="preserve">Image 1: microbiota effects on health </w:t>
      </w:r>
    </w:p>
    <w:p w14:paraId="50087BA8" w14:textId="77777777" w:rsidR="00F076A6" w:rsidRDefault="00A54BA5">
      <w:pPr>
        <w:pStyle w:val="BodyText"/>
        <w:spacing w:line="360" w:lineRule="auto"/>
        <w:jc w:val="both"/>
        <w:rPr>
          <w:color w:val="36363D"/>
        </w:rPr>
      </w:pPr>
      <w:r>
        <w:rPr>
          <w:noProof/>
        </w:rPr>
        <w:drawing>
          <wp:inline distT="0" distB="0" distL="114300" distR="114300" wp14:anchorId="28080060" wp14:editId="56032303">
            <wp:extent cx="2628900" cy="1932569"/>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8" cstate="print"/>
                    <a:srcRect/>
                    <a:stretch/>
                  </pic:blipFill>
                  <pic:spPr>
                    <a:xfrm>
                      <a:off x="0" y="0"/>
                      <a:ext cx="2628900" cy="1932569"/>
                    </a:xfrm>
                    <a:prstGeom prst="rect">
                      <a:avLst/>
                    </a:prstGeom>
                  </pic:spPr>
                </pic:pic>
              </a:graphicData>
            </a:graphic>
          </wp:inline>
        </w:drawing>
      </w:r>
    </w:p>
    <w:p w14:paraId="707CA96E" w14:textId="77777777" w:rsidR="00F076A6" w:rsidRDefault="00F076A6">
      <w:pPr>
        <w:pStyle w:val="BodyText"/>
        <w:spacing w:line="360" w:lineRule="auto"/>
        <w:jc w:val="both"/>
        <w:rPr>
          <w:color w:val="36363D"/>
        </w:rPr>
      </w:pPr>
    </w:p>
    <w:p w14:paraId="797CD326" w14:textId="77777777" w:rsidR="00F076A6" w:rsidRDefault="00A54BA5">
      <w:pPr>
        <w:pStyle w:val="Heading21"/>
        <w:spacing w:line="360" w:lineRule="auto"/>
        <w:jc w:val="both"/>
        <w:rPr>
          <w:color w:val="36363D"/>
        </w:rPr>
      </w:pPr>
      <w:bookmarkStart w:id="5" w:name="Xeaf7af16e3e46fe44e45519dfa10bf831051975"/>
      <w:bookmarkEnd w:id="3"/>
      <w:bookmarkEnd w:id="4"/>
      <w:r>
        <w:rPr>
          <w:color w:val="36363D"/>
        </w:rPr>
        <w:t>2. Methodology</w:t>
      </w:r>
    </w:p>
    <w:p w14:paraId="44BD521D" w14:textId="77777777" w:rsidR="00F076A6" w:rsidRDefault="00A54BA5">
      <w:pPr>
        <w:pStyle w:val="Heading31"/>
        <w:spacing w:line="360" w:lineRule="auto"/>
        <w:jc w:val="both"/>
        <w:rPr>
          <w:color w:val="36363D"/>
        </w:rPr>
      </w:pPr>
      <w:bookmarkStart w:id="6" w:name="X159c6b177f64bb83f49acb2e90a02bacc979d15"/>
      <w:r>
        <w:rPr>
          <w:color w:val="36363D"/>
        </w:rPr>
        <w:t>3.1 Study Design and Participants</w:t>
      </w:r>
    </w:p>
    <w:p w14:paraId="2E03FF5F" w14:textId="77777777" w:rsidR="00F076A6" w:rsidRDefault="00A54BA5">
      <w:pPr>
        <w:pStyle w:val="FirstParagraph"/>
        <w:spacing w:line="360" w:lineRule="auto"/>
        <w:jc w:val="both"/>
        <w:rPr>
          <w:color w:val="36363D"/>
        </w:rPr>
      </w:pPr>
      <w:r>
        <w:rPr>
          <w:color w:val="36363D"/>
        </w:rPr>
        <w:t xml:space="preserve">This comprehensive cross-sectional study was conducted across three distinct environmental categories: urban (n=1,200), rural (n=800), and industrial (n=500) populations. Participants were recruited from 15 countries across 5 </w:t>
      </w:r>
      <w:r>
        <w:rPr>
          <w:color w:val="36363D"/>
        </w:rPr>
        <w:lastRenderedPageBreak/>
        <w:t>continents to ensure geographic and ethnic diversity. Inclusion criteria included age 18-75 years, residence in the current environment for at least 5 years, and absence of severe chronic diseases or recent antibiotic use (within 3 months).</w:t>
      </w:r>
    </w:p>
    <w:p w14:paraId="4EE91FE0" w14:textId="77777777" w:rsidR="00F076A6" w:rsidRDefault="00A54BA5">
      <w:pPr>
        <w:pStyle w:val="Heading31"/>
        <w:spacing w:line="360" w:lineRule="auto"/>
        <w:jc w:val="both"/>
        <w:rPr>
          <w:color w:val="36363D"/>
        </w:rPr>
      </w:pPr>
      <w:bookmarkStart w:id="7" w:name="X1783adb5fc54feee899c8be139748286c0b6579"/>
      <w:bookmarkEnd w:id="6"/>
      <w:r>
        <w:rPr>
          <w:color w:val="36363D"/>
        </w:rPr>
        <w:t>3.2 Sample Collection and Processing</w:t>
      </w:r>
    </w:p>
    <w:p w14:paraId="6078B196" w14:textId="77777777" w:rsidR="00F076A6" w:rsidRDefault="00A54BA5">
      <w:pPr>
        <w:pStyle w:val="FirstParagraph"/>
        <w:spacing w:line="360" w:lineRule="auto"/>
        <w:jc w:val="both"/>
        <w:rPr>
          <w:color w:val="36363D"/>
        </w:rPr>
      </w:pPr>
      <w:r>
        <w:rPr>
          <w:color w:val="36363D"/>
        </w:rPr>
        <w:t>Comprehensive sample collection protocols were established to capture both human and environmental microbiomes. F</w:t>
      </w:r>
      <w:r w:rsidR="00BF3E5F">
        <w:rPr>
          <w:color w:val="36363D"/>
        </w:rPr>
        <w:t>a</w:t>
      </w:r>
      <w:r>
        <w:rPr>
          <w:color w:val="36363D"/>
        </w:rPr>
        <w:t xml:space="preserve">ecal samples were collected using </w:t>
      </w:r>
      <w:r w:rsidR="00BF3E5F">
        <w:rPr>
          <w:color w:val="36363D"/>
        </w:rPr>
        <w:t xml:space="preserve">standardised </w:t>
      </w:r>
      <w:r>
        <w:rPr>
          <w:color w:val="36363D"/>
        </w:rPr>
        <w:t>collection kits with preservation buffer and immediately frozen at -80°C. Environmental samples included household dust, drinking water, soil from immediate surroundings, and air samples collected over 24-hour periods.</w:t>
      </w:r>
    </w:p>
    <w:p w14:paraId="11419FD6" w14:textId="77777777" w:rsidR="00F076A6" w:rsidRDefault="00A54BA5">
      <w:pPr>
        <w:pStyle w:val="BodyText"/>
        <w:spacing w:line="360" w:lineRule="auto"/>
        <w:jc w:val="both"/>
        <w:rPr>
          <w:color w:val="36363D"/>
        </w:rPr>
      </w:pPr>
      <w:r>
        <w:rPr>
          <w:color w:val="36363D"/>
        </w:rPr>
        <w:t xml:space="preserve">Dietary samples representing typical local food patterns were also collected and </w:t>
      </w:r>
      <w:r w:rsidR="00BF3E5F">
        <w:rPr>
          <w:color w:val="36363D"/>
        </w:rPr>
        <w:t xml:space="preserve">analysed </w:t>
      </w:r>
      <w:r>
        <w:rPr>
          <w:color w:val="36363D"/>
        </w:rPr>
        <w:t xml:space="preserve">for microbial content. All samples were processed within 48 hours of collection using identical protocols across all sites to </w:t>
      </w:r>
      <w:r w:rsidR="00BF3E5F">
        <w:rPr>
          <w:color w:val="36363D"/>
        </w:rPr>
        <w:t xml:space="preserve">minimise </w:t>
      </w:r>
      <w:r>
        <w:rPr>
          <w:color w:val="36363D"/>
        </w:rPr>
        <w:t>batch effects (Knight et al., 2018).</w:t>
      </w:r>
    </w:p>
    <w:p w14:paraId="1D9D8E24" w14:textId="77777777" w:rsidR="00F076A6" w:rsidRDefault="00A54BA5">
      <w:pPr>
        <w:pStyle w:val="Heading31"/>
        <w:spacing w:line="360" w:lineRule="auto"/>
        <w:jc w:val="both"/>
        <w:rPr>
          <w:color w:val="36363D"/>
        </w:rPr>
      </w:pPr>
      <w:bookmarkStart w:id="8" w:name="X8547c303133ab5812864b2853d79ee42bcd56b4"/>
      <w:bookmarkEnd w:id="7"/>
      <w:r>
        <w:rPr>
          <w:color w:val="36363D"/>
        </w:rPr>
        <w:t xml:space="preserve"> Microbiota Analysis</w:t>
      </w:r>
    </w:p>
    <w:p w14:paraId="4062B3CD" w14:textId="77777777" w:rsidR="00F076A6" w:rsidRDefault="00A54BA5">
      <w:pPr>
        <w:pStyle w:val="Heading41"/>
        <w:spacing w:line="360" w:lineRule="auto"/>
        <w:jc w:val="both"/>
        <w:rPr>
          <w:color w:val="36363D"/>
        </w:rPr>
      </w:pPr>
      <w:bookmarkStart w:id="9" w:name="X681028b6e023f7110724c3aae134a494690df32"/>
      <w:r>
        <w:rPr>
          <w:color w:val="36363D"/>
        </w:rPr>
        <w:t>6S rRNA Gene Sequencing</w:t>
      </w:r>
    </w:p>
    <w:p w14:paraId="25988635" w14:textId="77777777" w:rsidR="00F076A6" w:rsidRDefault="00A54BA5">
      <w:pPr>
        <w:pStyle w:val="FirstParagraph"/>
        <w:spacing w:line="360" w:lineRule="auto"/>
        <w:jc w:val="both"/>
        <w:rPr>
          <w:color w:val="36363D"/>
        </w:rPr>
      </w:pPr>
      <w:r>
        <w:rPr>
          <w:color w:val="36363D"/>
        </w:rPr>
        <w:t xml:space="preserve">Microbial DNA was extracted using the PowerSoil DNA Isolation Kit (Qiagen) following </w:t>
      </w:r>
      <w:r w:rsidR="00BF3E5F">
        <w:rPr>
          <w:color w:val="36363D"/>
        </w:rPr>
        <w:t xml:space="preserve">the </w:t>
      </w:r>
      <w:r>
        <w:rPr>
          <w:color w:val="36363D"/>
        </w:rPr>
        <w:t>manufacturer’s instructions. The V3-V4 hypervariable regions of the 16S rRNA gene were amplified using universal primers 341F and 806R (Caporaso et al., 2012). PCR products were purified, quantified, and sequenced on the Illumina MiSeq platform using 2×300 bp paired-end chemistry.</w:t>
      </w:r>
    </w:p>
    <w:p w14:paraId="676164B6" w14:textId="77777777" w:rsidR="00F076A6" w:rsidRDefault="00A54BA5">
      <w:pPr>
        <w:pStyle w:val="BodyText"/>
        <w:spacing w:line="360" w:lineRule="auto"/>
        <w:jc w:val="both"/>
        <w:rPr>
          <w:color w:val="36363D"/>
        </w:rPr>
      </w:pPr>
      <w:r>
        <w:rPr>
          <w:color w:val="36363D"/>
        </w:rPr>
        <w:t>Raw sequencing data were processed using QIIME2 (Bolyen et al., 2019) with quality filtering, denoising using DADA2, and taxonomic assignment against the SILVA database (Quast et al., 2013). Alpha diversity metrics (Shannon index, Simpson index, observed OTUs, Chao1 richness, phylogenetic diversity, and evenness) were calculated to assess microbial diversity within samples.</w:t>
      </w:r>
    </w:p>
    <w:p w14:paraId="1E618292" w14:textId="77777777" w:rsidR="00F076A6" w:rsidRDefault="00A54BA5">
      <w:pPr>
        <w:pStyle w:val="Heading41"/>
        <w:spacing w:line="360" w:lineRule="auto"/>
        <w:jc w:val="both"/>
        <w:rPr>
          <w:color w:val="36363D"/>
        </w:rPr>
      </w:pPr>
      <w:bookmarkStart w:id="10" w:name="X682b0153b69492dc238af647cdc676c982be81e"/>
      <w:bookmarkEnd w:id="9"/>
      <w:r>
        <w:rPr>
          <w:color w:val="36363D"/>
        </w:rPr>
        <w:t>Shotgun Metagenomics</w:t>
      </w:r>
    </w:p>
    <w:p w14:paraId="1DDAD676" w14:textId="77777777" w:rsidR="00F076A6" w:rsidRDefault="00A54BA5">
      <w:pPr>
        <w:pStyle w:val="FirstParagraph"/>
        <w:spacing w:line="360" w:lineRule="auto"/>
        <w:jc w:val="both"/>
        <w:rPr>
          <w:color w:val="36363D"/>
        </w:rPr>
      </w:pPr>
      <w:r>
        <w:rPr>
          <w:color w:val="36363D"/>
        </w:rPr>
        <w:t>A subset of 500 samples (200 urban, 200 rural, 100 industrial) underwent shotgun metagenomic sequencing to provide species-level resolution and functional insights. Libraries were prepared using the Illumina TruSeq DNA PCR-</w:t>
      </w:r>
      <w:r>
        <w:rPr>
          <w:color w:val="36363D"/>
        </w:rPr>
        <w:lastRenderedPageBreak/>
        <w:t>Free Kit and sequenced on the HiSeq 4000 platform to generate 50 million paired-end reads per sample.</w:t>
      </w:r>
    </w:p>
    <w:p w14:paraId="6F6221EA" w14:textId="77777777" w:rsidR="00F076A6" w:rsidRDefault="00A54BA5">
      <w:pPr>
        <w:pStyle w:val="BodyText"/>
        <w:spacing w:line="360" w:lineRule="auto"/>
        <w:jc w:val="both"/>
        <w:rPr>
          <w:color w:val="36363D"/>
        </w:rPr>
      </w:pPr>
      <w:r>
        <w:rPr>
          <w:color w:val="36363D"/>
        </w:rPr>
        <w:t>Metagenomic data were processed using MetaPhlAn3 for taxonomic profiling and HUMAnN3 for functional annotation (Franzosa et al., 2018). Gene families were mapped to metabolic pathways using the KEGG and MetaCyc databases to identify functional differences between environmental groups.</w:t>
      </w:r>
    </w:p>
    <w:p w14:paraId="22BBFEED" w14:textId="77777777" w:rsidR="00F076A6" w:rsidRDefault="00A54BA5">
      <w:pPr>
        <w:pStyle w:val="Heading31"/>
        <w:spacing w:line="360" w:lineRule="auto"/>
        <w:jc w:val="both"/>
        <w:rPr>
          <w:color w:val="36363D"/>
        </w:rPr>
      </w:pPr>
      <w:bookmarkStart w:id="11" w:name="X17470f12a2ffcf33f6db06d1550b17ee81a08d3"/>
      <w:bookmarkEnd w:id="8"/>
      <w:bookmarkEnd w:id="10"/>
      <w:r>
        <w:rPr>
          <w:color w:val="36363D"/>
        </w:rPr>
        <w:t>Metabolomics Analysis</w:t>
      </w:r>
    </w:p>
    <w:p w14:paraId="212F99C0" w14:textId="77777777" w:rsidR="00F076A6" w:rsidRDefault="00A54BA5">
      <w:pPr>
        <w:pStyle w:val="Heading41"/>
        <w:spacing w:line="360" w:lineRule="auto"/>
        <w:jc w:val="both"/>
        <w:rPr>
          <w:color w:val="36363D"/>
        </w:rPr>
      </w:pPr>
      <w:bookmarkStart w:id="12" w:name="Xebe745f0e5123585b3c3b6ec8dc2604ed6fdc09"/>
      <w:r>
        <w:rPr>
          <w:color w:val="36363D"/>
        </w:rPr>
        <w:t xml:space="preserve"> Untargeted Metabolomics</w:t>
      </w:r>
    </w:p>
    <w:p w14:paraId="3A2A1173" w14:textId="77777777" w:rsidR="00F076A6" w:rsidRDefault="00A54BA5">
      <w:pPr>
        <w:pStyle w:val="FirstParagraph"/>
        <w:spacing w:line="360" w:lineRule="auto"/>
        <w:jc w:val="both"/>
        <w:rPr>
          <w:color w:val="36363D"/>
        </w:rPr>
      </w:pPr>
      <w:r>
        <w:rPr>
          <w:color w:val="36363D"/>
        </w:rPr>
        <w:t>F</w:t>
      </w:r>
      <w:r w:rsidR="00BF3E5F">
        <w:rPr>
          <w:color w:val="36363D"/>
        </w:rPr>
        <w:t>a</w:t>
      </w:r>
      <w:r>
        <w:rPr>
          <w:color w:val="36363D"/>
        </w:rPr>
        <w:t xml:space="preserve">ecal metabolomes were </w:t>
      </w:r>
      <w:r w:rsidR="00BF3E5F">
        <w:rPr>
          <w:color w:val="36363D"/>
        </w:rPr>
        <w:t xml:space="preserve">analysed </w:t>
      </w:r>
      <w:r>
        <w:rPr>
          <w:color w:val="36363D"/>
        </w:rPr>
        <w:t xml:space="preserve">using ultra-high-performance liquid chromatography coupled with high-resolution mass spectrometry (UHPLC-HRMS). Samples were extracted using a methanol:water (80:20) solution and </w:t>
      </w:r>
      <w:r w:rsidR="00BF3E5F">
        <w:rPr>
          <w:color w:val="36363D"/>
        </w:rPr>
        <w:t xml:space="preserve">analysed </w:t>
      </w:r>
      <w:r>
        <w:rPr>
          <w:color w:val="36363D"/>
        </w:rPr>
        <w:t xml:space="preserve">in both positive and negative </w:t>
      </w:r>
      <w:r w:rsidR="00BF3E5F">
        <w:rPr>
          <w:color w:val="36363D"/>
        </w:rPr>
        <w:t xml:space="preserve">ionisation </w:t>
      </w:r>
      <w:r>
        <w:rPr>
          <w:color w:val="36363D"/>
        </w:rPr>
        <w:t>modes.</w:t>
      </w:r>
    </w:p>
    <w:p w14:paraId="7AEC332E" w14:textId="77777777" w:rsidR="00F076A6" w:rsidRDefault="00A54BA5">
      <w:pPr>
        <w:pStyle w:val="BodyText"/>
        <w:spacing w:line="360" w:lineRule="auto"/>
        <w:jc w:val="both"/>
        <w:rPr>
          <w:color w:val="36363D"/>
        </w:rPr>
      </w:pPr>
      <w:r>
        <w:rPr>
          <w:color w:val="36363D"/>
        </w:rPr>
        <w:t>Data were processed using MS-DIAL software for peak detection, alignment, and identification. Metabolites were annotated against the HMDB, METLIN, and GNPS databases. Principal component analysis and partial least squares discriminant analysis were used to identify metabolic patterns associated with environmental exposures.</w:t>
      </w:r>
    </w:p>
    <w:p w14:paraId="527453B6" w14:textId="77777777" w:rsidR="00F076A6" w:rsidRDefault="00A54BA5">
      <w:pPr>
        <w:pStyle w:val="Heading41"/>
        <w:spacing w:line="360" w:lineRule="auto"/>
        <w:jc w:val="both"/>
        <w:rPr>
          <w:color w:val="36363D"/>
        </w:rPr>
      </w:pPr>
      <w:bookmarkStart w:id="13" w:name="Xb916502568b63b230dfdcf23c3646db78bc21c0"/>
      <w:bookmarkEnd w:id="12"/>
      <w:r>
        <w:rPr>
          <w:color w:val="36363D"/>
        </w:rPr>
        <w:t xml:space="preserve"> Targeted Metabolomics</w:t>
      </w:r>
    </w:p>
    <w:p w14:paraId="53BC4B73" w14:textId="77777777" w:rsidR="00F076A6" w:rsidRDefault="00A54BA5">
      <w:pPr>
        <w:pStyle w:val="FirstParagraph"/>
        <w:spacing w:line="360" w:lineRule="auto"/>
        <w:jc w:val="both"/>
        <w:rPr>
          <w:color w:val="36363D"/>
        </w:rPr>
      </w:pPr>
      <w:r>
        <w:rPr>
          <w:color w:val="36363D"/>
        </w:rPr>
        <w:t>Targeted analysis focused on key microbial metabolites</w:t>
      </w:r>
      <w:r w:rsidR="00BF3E5F">
        <w:rPr>
          <w:color w:val="36363D"/>
        </w:rPr>
        <w:t>,</w:t>
      </w:r>
      <w:r>
        <w:rPr>
          <w:color w:val="36363D"/>
        </w:rPr>
        <w:t xml:space="preserve"> including short-chain fatty acids (SCFAs), bile acids, tryptophan metabolites, and xenobiotic conjugates. SCFAs were </w:t>
      </w:r>
      <w:r w:rsidR="00BF3E5F">
        <w:rPr>
          <w:color w:val="36363D"/>
        </w:rPr>
        <w:t xml:space="preserve">analysed </w:t>
      </w:r>
      <w:r>
        <w:rPr>
          <w:color w:val="36363D"/>
        </w:rPr>
        <w:t>using gas chromatography-mass spectrometry (GC-MS) with stable isotope internal standards. Bile acids were quantified using UHPLC-MS/MS with multiple reaction monitoring.</w:t>
      </w:r>
    </w:p>
    <w:p w14:paraId="79A76EEA" w14:textId="77777777" w:rsidR="00F076A6" w:rsidRDefault="00A54BA5">
      <w:pPr>
        <w:pStyle w:val="Heading31"/>
        <w:spacing w:line="360" w:lineRule="auto"/>
        <w:jc w:val="both"/>
        <w:rPr>
          <w:color w:val="36363D"/>
        </w:rPr>
      </w:pPr>
      <w:bookmarkStart w:id="14" w:name="X1ad073cc852b56d0c7813185823c3494d9754a2"/>
      <w:bookmarkEnd w:id="11"/>
      <w:bookmarkEnd w:id="13"/>
      <w:r>
        <w:rPr>
          <w:color w:val="36363D"/>
        </w:rPr>
        <w:t xml:space="preserve"> Immune Response Assessment</w:t>
      </w:r>
    </w:p>
    <w:p w14:paraId="2756F5AE" w14:textId="77777777" w:rsidR="00F076A6" w:rsidRDefault="00A54BA5">
      <w:pPr>
        <w:pStyle w:val="Heading41"/>
        <w:spacing w:line="360" w:lineRule="auto"/>
        <w:jc w:val="both"/>
        <w:rPr>
          <w:color w:val="36363D"/>
        </w:rPr>
      </w:pPr>
      <w:bookmarkStart w:id="15" w:name="X0f0a33eb839708319ac2252a1c8db27a8aba1c0"/>
      <w:r>
        <w:rPr>
          <w:color w:val="36363D"/>
        </w:rPr>
        <w:t>Cytokine Analysis</w:t>
      </w:r>
    </w:p>
    <w:p w14:paraId="4E1BD2A0" w14:textId="77777777" w:rsidR="00F076A6" w:rsidRDefault="00A54BA5">
      <w:pPr>
        <w:pStyle w:val="FirstParagraph"/>
        <w:spacing w:line="360" w:lineRule="auto"/>
        <w:jc w:val="both"/>
        <w:rPr>
          <w:color w:val="36363D"/>
        </w:rPr>
      </w:pPr>
      <w:r>
        <w:rPr>
          <w:color w:val="36363D"/>
        </w:rPr>
        <w:t xml:space="preserve">Serum samples were </w:t>
      </w:r>
      <w:r w:rsidR="00BF3E5F">
        <w:rPr>
          <w:color w:val="36363D"/>
        </w:rPr>
        <w:t xml:space="preserve">analysed </w:t>
      </w:r>
      <w:r>
        <w:rPr>
          <w:color w:val="36363D"/>
        </w:rPr>
        <w:t xml:space="preserve">for pro-inflammatory and anti-inflammatory cytokines using multiplex immunoassays. The panel included interleukin (IL)-1β, </w:t>
      </w:r>
      <w:r>
        <w:rPr>
          <w:color w:val="36363D"/>
        </w:rPr>
        <w:lastRenderedPageBreak/>
        <w:t>IL-6, IL-8, IL-10, tumo</w:t>
      </w:r>
      <w:r w:rsidR="00BF3E5F">
        <w:rPr>
          <w:color w:val="36363D"/>
        </w:rPr>
        <w:t>u</w:t>
      </w:r>
      <w:r>
        <w:rPr>
          <w:color w:val="36363D"/>
        </w:rPr>
        <w:t>r necrosis factor-α (TNF-α), and interferon-γ (IFN-γ). C-reactive protein (CRP) was measured as a marker of systemic inflammation.</w:t>
      </w:r>
    </w:p>
    <w:p w14:paraId="1C6C29BB" w14:textId="77777777" w:rsidR="00F076A6" w:rsidRDefault="00A54BA5">
      <w:pPr>
        <w:pStyle w:val="Heading41"/>
        <w:spacing w:line="360" w:lineRule="auto"/>
        <w:jc w:val="both"/>
        <w:rPr>
          <w:color w:val="36363D"/>
        </w:rPr>
      </w:pPr>
      <w:bookmarkStart w:id="16" w:name="X968a3d290d0b09269ed893411f8bfb0e4c87853"/>
      <w:bookmarkEnd w:id="15"/>
      <w:r>
        <w:rPr>
          <w:color w:val="36363D"/>
        </w:rPr>
        <w:t xml:space="preserve"> Flow Cytometry</w:t>
      </w:r>
    </w:p>
    <w:p w14:paraId="7C89AA18" w14:textId="77777777" w:rsidR="00F076A6" w:rsidRDefault="00A54BA5">
      <w:pPr>
        <w:pStyle w:val="FirstParagraph"/>
        <w:spacing w:line="360" w:lineRule="auto"/>
        <w:jc w:val="both"/>
        <w:rPr>
          <w:color w:val="36363D"/>
        </w:rPr>
      </w:pPr>
      <w:r>
        <w:rPr>
          <w:color w:val="36363D"/>
        </w:rPr>
        <w:t xml:space="preserve">Peripheral blood mononuclear cells were </w:t>
      </w:r>
      <w:r w:rsidR="00BF3E5F">
        <w:rPr>
          <w:color w:val="36363D"/>
        </w:rPr>
        <w:t xml:space="preserve">analysed </w:t>
      </w:r>
      <w:r>
        <w:rPr>
          <w:color w:val="36363D"/>
        </w:rPr>
        <w:t>by flow cytometry to assess immune cell populations. Regulatory T cells (Tregs) were identified as CD4+CD25+FoxP3+ cells, while Th17 cells were identified as CD4+IL-17+ cells. Lipopolysaccharide (LPS) levels were measured as a marker of gut barrier dysfunction.</w:t>
      </w:r>
    </w:p>
    <w:p w14:paraId="484F5FA4" w14:textId="77777777" w:rsidR="00F076A6" w:rsidRDefault="00A54BA5">
      <w:pPr>
        <w:pStyle w:val="Heading41"/>
        <w:spacing w:line="360" w:lineRule="auto"/>
        <w:jc w:val="both"/>
        <w:rPr>
          <w:color w:val="36363D"/>
        </w:rPr>
      </w:pPr>
      <w:bookmarkStart w:id="17" w:name="X4093f9246b22f3419cb69b1133c5a02ac07f59d"/>
      <w:bookmarkEnd w:id="16"/>
      <w:r>
        <w:rPr>
          <w:color w:val="36363D"/>
        </w:rPr>
        <w:t>Mucosal Immunity</w:t>
      </w:r>
    </w:p>
    <w:p w14:paraId="2814F969" w14:textId="77777777" w:rsidR="00F076A6" w:rsidRDefault="00A54BA5">
      <w:pPr>
        <w:pStyle w:val="FirstParagraph"/>
        <w:spacing w:line="360" w:lineRule="auto"/>
        <w:jc w:val="both"/>
        <w:rPr>
          <w:color w:val="36363D"/>
        </w:rPr>
      </w:pPr>
      <w:r>
        <w:rPr>
          <w:color w:val="36363D"/>
        </w:rPr>
        <w:t>F</w:t>
      </w:r>
      <w:r w:rsidR="00BF3E5F">
        <w:rPr>
          <w:color w:val="36363D"/>
        </w:rPr>
        <w:t>a</w:t>
      </w:r>
      <w:r>
        <w:rPr>
          <w:color w:val="36363D"/>
        </w:rPr>
        <w:t>ecal secretory immunoglobulin A (sIgA) was quantified using enzyme-linked immunosorbent assay (ELISA) as a measure of mucosal immune function. Lactoferrin and calprotectin were also measured as indicators of intestinal inflammation.</w:t>
      </w:r>
    </w:p>
    <w:p w14:paraId="47B0FB06" w14:textId="77777777" w:rsidR="00F076A6" w:rsidRDefault="00A54BA5">
      <w:pPr>
        <w:pStyle w:val="Heading31"/>
        <w:spacing w:line="360" w:lineRule="auto"/>
        <w:jc w:val="both"/>
        <w:rPr>
          <w:color w:val="36363D"/>
        </w:rPr>
      </w:pPr>
      <w:bookmarkStart w:id="18" w:name="X980ef59a573b35a34a984ee412e66d9dd4fb586"/>
      <w:bookmarkEnd w:id="14"/>
      <w:bookmarkEnd w:id="17"/>
      <w:r>
        <w:rPr>
          <w:color w:val="36363D"/>
        </w:rPr>
        <w:t>Environmental Exposure Assessment</w:t>
      </w:r>
    </w:p>
    <w:p w14:paraId="6B9AF2C3" w14:textId="77777777" w:rsidR="00F076A6" w:rsidRDefault="00A54BA5">
      <w:pPr>
        <w:pStyle w:val="FirstParagraph"/>
        <w:spacing w:line="360" w:lineRule="auto"/>
        <w:jc w:val="both"/>
        <w:rPr>
          <w:color w:val="36363D"/>
        </w:rPr>
      </w:pPr>
      <w:r>
        <w:rPr>
          <w:color w:val="36363D"/>
        </w:rPr>
        <w:t>Comprehensive environmental exposure assessment included air quality monitoring (PM2.5, PM10, ozone, nitrogen dioxide), water quality analysis (bacterial contamination, chemical pollutants, pharmaceutical residues), and soil contamination assessment (heavy metals, pesticides, organic pollutants).</w:t>
      </w:r>
    </w:p>
    <w:p w14:paraId="32601E06" w14:textId="77777777" w:rsidR="00F076A6" w:rsidRDefault="00A54BA5">
      <w:pPr>
        <w:pStyle w:val="BodyText"/>
        <w:spacing w:line="360" w:lineRule="auto"/>
        <w:jc w:val="both"/>
        <w:rPr>
          <w:color w:val="36363D"/>
        </w:rPr>
      </w:pPr>
      <w:r>
        <w:rPr>
          <w:color w:val="36363D"/>
        </w:rPr>
        <w:t>Personal exposure monitoring devices were used to assess individual-level exposures to air pollutants and noise. Dietary questionnaires captured information on food sources, processing methods, and consumption patterns.</w:t>
      </w:r>
    </w:p>
    <w:p w14:paraId="2C6C9756" w14:textId="77777777" w:rsidR="00F076A6" w:rsidRDefault="00A54BA5">
      <w:pPr>
        <w:pStyle w:val="Heading31"/>
        <w:spacing w:line="360" w:lineRule="auto"/>
        <w:jc w:val="both"/>
        <w:rPr>
          <w:color w:val="36363D"/>
        </w:rPr>
      </w:pPr>
      <w:bookmarkStart w:id="19" w:name="X645eb1dc3e35bbd816676fff1a0d9047b4069da"/>
      <w:bookmarkEnd w:id="18"/>
      <w:r>
        <w:rPr>
          <w:color w:val="36363D"/>
        </w:rPr>
        <w:t xml:space="preserve"> Statistical Analysis and Data Integration</w:t>
      </w:r>
    </w:p>
    <w:p w14:paraId="5CF678D6" w14:textId="77777777" w:rsidR="00F076A6" w:rsidRDefault="00A54BA5">
      <w:pPr>
        <w:pStyle w:val="FirstParagraph"/>
        <w:spacing w:line="360" w:lineRule="auto"/>
        <w:jc w:val="both"/>
        <w:rPr>
          <w:color w:val="36363D"/>
        </w:rPr>
      </w:pPr>
      <w:r>
        <w:rPr>
          <w:color w:val="36363D"/>
        </w:rPr>
        <w:t xml:space="preserve">Statistical analyses were performed using R software (version 4.3.0) with </w:t>
      </w:r>
      <w:r w:rsidR="00BF3E5F">
        <w:rPr>
          <w:color w:val="36363D"/>
        </w:rPr>
        <w:t xml:space="preserve">specialised </w:t>
      </w:r>
      <w:r>
        <w:rPr>
          <w:color w:val="36363D"/>
        </w:rPr>
        <w:t>packages for microbiome data analysis</w:t>
      </w:r>
      <w:r w:rsidR="00BF3E5F">
        <w:rPr>
          <w:color w:val="36363D"/>
        </w:rPr>
        <w:t>,</w:t>
      </w:r>
      <w:r>
        <w:rPr>
          <w:color w:val="36363D"/>
        </w:rPr>
        <w:t xml:space="preserve"> including phyloseq, vegan, and DESeq2. Alpha diversity was compared between groups using the Kruskal-Wallis test with post-hoc Dunn’s test for multiple comparisons.</w:t>
      </w:r>
    </w:p>
    <w:p w14:paraId="7686853A" w14:textId="77777777" w:rsidR="00F076A6" w:rsidRDefault="00A54BA5">
      <w:pPr>
        <w:pStyle w:val="BodyText"/>
        <w:spacing w:line="360" w:lineRule="auto"/>
        <w:jc w:val="both"/>
        <w:rPr>
          <w:color w:val="36363D"/>
        </w:rPr>
      </w:pPr>
      <w:r>
        <w:rPr>
          <w:color w:val="36363D"/>
        </w:rPr>
        <w:t xml:space="preserve">Beta diversity was assessed using weighted and unweighted UniFrac distances with PERMANOVA to test for significant differences between groups. Differential </w:t>
      </w:r>
      <w:r>
        <w:rPr>
          <w:color w:val="36363D"/>
        </w:rPr>
        <w:lastRenderedPageBreak/>
        <w:t>abundance analysis was performed using DESeq2 with false discovery rate correction.</w:t>
      </w:r>
    </w:p>
    <w:p w14:paraId="21B1F9F5" w14:textId="77777777" w:rsidR="00F076A6" w:rsidRDefault="00A54BA5">
      <w:pPr>
        <w:pStyle w:val="BodyText"/>
        <w:spacing w:line="360" w:lineRule="auto"/>
        <w:jc w:val="both"/>
        <w:rPr>
          <w:color w:val="36363D"/>
        </w:rPr>
      </w:pPr>
      <w:r>
        <w:rPr>
          <w:color w:val="36363D"/>
        </w:rPr>
        <w:t>Multi-omics integration was performed using mixOmics and MOFA2 packages to identify coordinated changes across microbiome, metabolome, and immune datasets. Machine learning approaches</w:t>
      </w:r>
      <w:r w:rsidR="004D73E9">
        <w:rPr>
          <w:color w:val="36363D"/>
        </w:rPr>
        <w:t>,</w:t>
      </w:r>
      <w:r>
        <w:rPr>
          <w:color w:val="36363D"/>
        </w:rPr>
        <w:t xml:space="preserve"> including random forest and support vector machines</w:t>
      </w:r>
      <w:r w:rsidR="004D73E9">
        <w:rPr>
          <w:color w:val="36363D"/>
        </w:rPr>
        <w:t>,</w:t>
      </w:r>
      <w:r>
        <w:rPr>
          <w:color w:val="36363D"/>
        </w:rPr>
        <w:t xml:space="preserve"> were used to build predictive models of health outcomes based on environmental exposures.</w:t>
      </w:r>
    </w:p>
    <w:p w14:paraId="43CEF775" w14:textId="77777777" w:rsidR="00F076A6" w:rsidRDefault="00A54BA5">
      <w:pPr>
        <w:pStyle w:val="Heading31"/>
        <w:spacing w:line="360" w:lineRule="auto"/>
        <w:jc w:val="both"/>
        <w:rPr>
          <w:color w:val="36363D"/>
        </w:rPr>
      </w:pPr>
      <w:bookmarkStart w:id="20" w:name="Xcc109dfadf9bbfca4a9939adaca92d78eb4625b"/>
      <w:bookmarkEnd w:id="19"/>
      <w:r>
        <w:rPr>
          <w:color w:val="36363D"/>
        </w:rPr>
        <w:t xml:space="preserve"> Validation in Germ-Free Mouse Models</w:t>
      </w:r>
    </w:p>
    <w:p w14:paraId="75F819F8" w14:textId="77777777" w:rsidR="00F076A6" w:rsidRDefault="00A54BA5">
      <w:pPr>
        <w:pStyle w:val="FirstParagraph"/>
        <w:spacing w:line="360" w:lineRule="auto"/>
        <w:jc w:val="both"/>
        <w:rPr>
          <w:color w:val="36363D"/>
        </w:rPr>
      </w:pPr>
      <w:r>
        <w:rPr>
          <w:color w:val="36363D"/>
        </w:rPr>
        <w:t xml:space="preserve">To establish causal relationships between environmental microbiota and health outcomes, germ-free C57BL/6 mice were </w:t>
      </w:r>
      <w:r w:rsidR="004D73E9">
        <w:rPr>
          <w:color w:val="36363D"/>
        </w:rPr>
        <w:t xml:space="preserve">colonised </w:t>
      </w:r>
      <w:r>
        <w:rPr>
          <w:color w:val="36363D"/>
        </w:rPr>
        <w:t>with human f</w:t>
      </w:r>
      <w:r w:rsidR="004D73E9">
        <w:rPr>
          <w:color w:val="36363D"/>
        </w:rPr>
        <w:t>a</w:t>
      </w:r>
      <w:r>
        <w:rPr>
          <w:color w:val="36363D"/>
        </w:rPr>
        <w:t>ecal microbiota from different environmental groups. Mice were maintained in sterile conditions and monitored for 8 weeks post-</w:t>
      </w:r>
      <w:r w:rsidR="004D73E9">
        <w:rPr>
          <w:color w:val="36363D"/>
        </w:rPr>
        <w:t>colonisation</w:t>
      </w:r>
      <w:r>
        <w:rPr>
          <w:color w:val="36363D"/>
        </w:rPr>
        <w:t>.</w:t>
      </w:r>
    </w:p>
    <w:p w14:paraId="4A093076" w14:textId="77777777" w:rsidR="00F076A6" w:rsidRDefault="00A54BA5">
      <w:pPr>
        <w:pStyle w:val="BodyText"/>
        <w:spacing w:line="360" w:lineRule="auto"/>
        <w:jc w:val="both"/>
        <w:rPr>
          <w:color w:val="36363D"/>
        </w:rPr>
      </w:pPr>
      <w:r>
        <w:rPr>
          <w:color w:val="36363D"/>
        </w:rPr>
        <w:t>Metabolic parameters</w:t>
      </w:r>
      <w:r w:rsidR="004D73E9">
        <w:rPr>
          <w:color w:val="36363D"/>
        </w:rPr>
        <w:t>,</w:t>
      </w:r>
      <w:r>
        <w:rPr>
          <w:color w:val="36363D"/>
        </w:rPr>
        <w:t xml:space="preserve"> including glucose tolerance, insulin sensitivity, and body composition</w:t>
      </w:r>
      <w:r w:rsidR="004D73E9">
        <w:rPr>
          <w:color w:val="36363D"/>
        </w:rPr>
        <w:t>,</w:t>
      </w:r>
      <w:r>
        <w:rPr>
          <w:color w:val="36363D"/>
        </w:rPr>
        <w:t xml:space="preserve"> were assessed. Gut barrier function was evaluated using fluorescein isothiocyanate-dextran permeability assays. Immune responses were </w:t>
      </w:r>
      <w:r w:rsidR="004D73E9">
        <w:rPr>
          <w:color w:val="36363D"/>
        </w:rPr>
        <w:t xml:space="preserve">characterised </w:t>
      </w:r>
      <w:r>
        <w:rPr>
          <w:color w:val="36363D"/>
        </w:rPr>
        <w:t>through flow cytometry and cytokine analysis.</w:t>
      </w:r>
    </w:p>
    <w:p w14:paraId="5D94F1F6" w14:textId="77777777" w:rsidR="00F076A6" w:rsidRDefault="00A54BA5">
      <w:pPr>
        <w:pStyle w:val="Heading21"/>
        <w:spacing w:line="360" w:lineRule="auto"/>
        <w:jc w:val="both"/>
        <w:rPr>
          <w:color w:val="36363D"/>
        </w:rPr>
      </w:pPr>
      <w:bookmarkStart w:id="21" w:name="X121719332867ee227f0a04b486098cee978c6e6"/>
      <w:bookmarkEnd w:id="5"/>
      <w:bookmarkEnd w:id="20"/>
      <w:r>
        <w:rPr>
          <w:color w:val="36363D"/>
        </w:rPr>
        <w:t>3. Results</w:t>
      </w:r>
    </w:p>
    <w:p w14:paraId="36135511" w14:textId="77777777" w:rsidR="00F076A6" w:rsidRDefault="00A54BA5">
      <w:pPr>
        <w:pStyle w:val="Heading31"/>
        <w:spacing w:line="360" w:lineRule="auto"/>
        <w:jc w:val="both"/>
        <w:rPr>
          <w:color w:val="36363D"/>
        </w:rPr>
      </w:pPr>
      <w:bookmarkStart w:id="22" w:name="X24ffd21e79b7f5cb51da16323b714358df98b96"/>
      <w:r>
        <w:rPr>
          <w:color w:val="36363D"/>
        </w:rPr>
        <w:t>Participant Characteristics</w:t>
      </w:r>
    </w:p>
    <w:p w14:paraId="1EB339D4" w14:textId="77777777" w:rsidR="00F076A6" w:rsidRDefault="00A54BA5">
      <w:pPr>
        <w:pStyle w:val="FirstParagraph"/>
        <w:spacing w:line="360" w:lineRule="auto"/>
        <w:jc w:val="both"/>
        <w:rPr>
          <w:color w:val="36363D"/>
        </w:rPr>
      </w:pPr>
      <w:r>
        <w:rPr>
          <w:color w:val="36363D"/>
        </w:rPr>
        <w:t>The study included 2,500 participants with balanced representation across environmental categories. Demographic characteristics showed expected patterns, with industrial populations having higher exposure to air pollution and processed foods, while rural populations had greater contact with natural environments and lower antibiotic use.</w:t>
      </w:r>
    </w:p>
    <w:p w14:paraId="5CBE4CE3" w14:textId="77777777" w:rsidR="00F076A6" w:rsidRDefault="00A54BA5">
      <w:pPr>
        <w:pStyle w:val="BodyText"/>
        <w:spacing w:line="360" w:lineRule="auto"/>
        <w:jc w:val="both"/>
        <w:rPr>
          <w:color w:val="36363D"/>
        </w:rPr>
      </w:pPr>
      <w:r>
        <w:rPr>
          <w:b/>
          <w:bCs/>
          <w:color w:val="36363D"/>
        </w:rPr>
        <w:t>Table 1: Demographic and Environmental Characteristics of Study Participants</w:t>
      </w:r>
    </w:p>
    <w:tbl>
      <w:tblPr>
        <w:tblStyle w:val="Table"/>
        <w:tblW w:w="0" w:type="auto"/>
        <w:tblInd w:w="0" w:type="dxa"/>
        <w:tblLayout w:type="fixed"/>
        <w:tblLook w:val="04A0" w:firstRow="1" w:lastRow="0" w:firstColumn="1" w:lastColumn="0" w:noHBand="0" w:noVBand="1"/>
      </w:tblPr>
      <w:tblGrid>
        <w:gridCol w:w="2808"/>
        <w:gridCol w:w="1634"/>
        <w:gridCol w:w="1416"/>
        <w:gridCol w:w="1682"/>
        <w:gridCol w:w="980"/>
      </w:tblGrid>
      <w:tr w:rsidR="00F076A6" w14:paraId="2B0EC44F" w14:textId="77777777" w:rsidTr="00F076A6">
        <w:trPr>
          <w:cnfStyle w:val="100000000000" w:firstRow="1" w:lastRow="0" w:firstColumn="0" w:lastColumn="0" w:oddVBand="0" w:evenVBand="0" w:oddHBand="0" w:evenHBand="0" w:firstRowFirstColumn="0" w:firstRowLastColumn="0" w:lastRowFirstColumn="0" w:lastRowLastColumn="0"/>
          <w:tblHeader/>
        </w:trPr>
        <w:tc>
          <w:tcPr>
            <w:tcW w:w="2808" w:type="dxa"/>
          </w:tcPr>
          <w:p w14:paraId="0B987643" w14:textId="77777777" w:rsidR="00F076A6" w:rsidRDefault="00A54BA5">
            <w:pPr>
              <w:pStyle w:val="Compact"/>
              <w:spacing w:line="360" w:lineRule="auto"/>
              <w:jc w:val="both"/>
              <w:rPr>
                <w:color w:val="36363D"/>
              </w:rPr>
            </w:pPr>
            <w:r>
              <w:rPr>
                <w:color w:val="36363D"/>
              </w:rPr>
              <w:t>Characteristic</w:t>
            </w:r>
          </w:p>
        </w:tc>
        <w:tc>
          <w:tcPr>
            <w:tcW w:w="1634" w:type="dxa"/>
          </w:tcPr>
          <w:p w14:paraId="72FD9AFD" w14:textId="77777777" w:rsidR="00F076A6" w:rsidRDefault="00A54BA5">
            <w:pPr>
              <w:pStyle w:val="Compact"/>
              <w:spacing w:line="360" w:lineRule="auto"/>
              <w:jc w:val="both"/>
              <w:rPr>
                <w:color w:val="36363D"/>
              </w:rPr>
            </w:pPr>
            <w:r>
              <w:rPr>
                <w:color w:val="36363D"/>
              </w:rPr>
              <w:t>Urban (n=1,200)</w:t>
            </w:r>
          </w:p>
        </w:tc>
        <w:tc>
          <w:tcPr>
            <w:tcW w:w="1416" w:type="dxa"/>
          </w:tcPr>
          <w:p w14:paraId="062FD406" w14:textId="77777777" w:rsidR="00F076A6" w:rsidRDefault="00A54BA5">
            <w:pPr>
              <w:pStyle w:val="Compact"/>
              <w:spacing w:line="360" w:lineRule="auto"/>
              <w:jc w:val="both"/>
              <w:rPr>
                <w:color w:val="36363D"/>
              </w:rPr>
            </w:pPr>
            <w:r>
              <w:rPr>
                <w:color w:val="36363D"/>
              </w:rPr>
              <w:t>Rural (n=800)</w:t>
            </w:r>
          </w:p>
        </w:tc>
        <w:tc>
          <w:tcPr>
            <w:tcW w:w="1682" w:type="dxa"/>
          </w:tcPr>
          <w:p w14:paraId="73E5A43F" w14:textId="77777777" w:rsidR="00F076A6" w:rsidRDefault="00A54BA5">
            <w:pPr>
              <w:pStyle w:val="Compact"/>
              <w:spacing w:line="360" w:lineRule="auto"/>
              <w:jc w:val="both"/>
              <w:rPr>
                <w:color w:val="36363D"/>
              </w:rPr>
            </w:pPr>
            <w:r>
              <w:rPr>
                <w:color w:val="36363D"/>
              </w:rPr>
              <w:t>Industrial (n=500)</w:t>
            </w:r>
          </w:p>
        </w:tc>
        <w:tc>
          <w:tcPr>
            <w:tcW w:w="980" w:type="dxa"/>
          </w:tcPr>
          <w:p w14:paraId="4BDAFC52" w14:textId="77777777" w:rsidR="00F076A6" w:rsidRDefault="00A54BA5">
            <w:pPr>
              <w:pStyle w:val="Compact"/>
              <w:spacing w:line="360" w:lineRule="auto"/>
              <w:jc w:val="both"/>
              <w:rPr>
                <w:color w:val="36363D"/>
              </w:rPr>
            </w:pPr>
            <w:r>
              <w:rPr>
                <w:color w:val="36363D"/>
              </w:rPr>
              <w:t>P-value</w:t>
            </w:r>
          </w:p>
        </w:tc>
      </w:tr>
      <w:tr w:rsidR="00F076A6" w14:paraId="0F4590CF" w14:textId="77777777" w:rsidTr="00F076A6">
        <w:tc>
          <w:tcPr>
            <w:tcW w:w="2808" w:type="dxa"/>
          </w:tcPr>
          <w:p w14:paraId="708DE177" w14:textId="77777777" w:rsidR="00F076A6" w:rsidRDefault="00A54BA5">
            <w:pPr>
              <w:pStyle w:val="Compact"/>
              <w:spacing w:line="360" w:lineRule="auto"/>
              <w:jc w:val="both"/>
              <w:rPr>
                <w:color w:val="36363D"/>
              </w:rPr>
            </w:pPr>
            <w:r>
              <w:rPr>
                <w:color w:val="36363D"/>
              </w:rPr>
              <w:t>Age (mean ± SD)</w:t>
            </w:r>
          </w:p>
        </w:tc>
        <w:tc>
          <w:tcPr>
            <w:tcW w:w="1634" w:type="dxa"/>
          </w:tcPr>
          <w:p w14:paraId="0E0F791C" w14:textId="77777777" w:rsidR="00F076A6" w:rsidRDefault="00A54BA5">
            <w:pPr>
              <w:pStyle w:val="Compact"/>
              <w:spacing w:line="360" w:lineRule="auto"/>
              <w:jc w:val="both"/>
              <w:rPr>
                <w:color w:val="36363D"/>
              </w:rPr>
            </w:pPr>
            <w:r>
              <w:rPr>
                <w:color w:val="36363D"/>
              </w:rPr>
              <w:t>42.3 ± 18.7</w:t>
            </w:r>
          </w:p>
        </w:tc>
        <w:tc>
          <w:tcPr>
            <w:tcW w:w="1416" w:type="dxa"/>
          </w:tcPr>
          <w:p w14:paraId="02A5E9CA" w14:textId="77777777" w:rsidR="00F076A6" w:rsidRDefault="00A54BA5">
            <w:pPr>
              <w:pStyle w:val="Compact"/>
              <w:spacing w:line="360" w:lineRule="auto"/>
              <w:jc w:val="both"/>
              <w:rPr>
                <w:color w:val="36363D"/>
              </w:rPr>
            </w:pPr>
            <w:r>
              <w:rPr>
                <w:color w:val="36363D"/>
              </w:rPr>
              <w:t>38.9 ± 20.1</w:t>
            </w:r>
          </w:p>
        </w:tc>
        <w:tc>
          <w:tcPr>
            <w:tcW w:w="1682" w:type="dxa"/>
          </w:tcPr>
          <w:p w14:paraId="320689DB" w14:textId="77777777" w:rsidR="00F076A6" w:rsidRDefault="00A54BA5">
            <w:pPr>
              <w:pStyle w:val="Compact"/>
              <w:spacing w:line="360" w:lineRule="auto"/>
              <w:jc w:val="both"/>
              <w:rPr>
                <w:color w:val="36363D"/>
              </w:rPr>
            </w:pPr>
            <w:r>
              <w:rPr>
                <w:color w:val="36363D"/>
              </w:rPr>
              <w:t>45.6 ± 16.2</w:t>
            </w:r>
          </w:p>
        </w:tc>
        <w:tc>
          <w:tcPr>
            <w:tcW w:w="980" w:type="dxa"/>
          </w:tcPr>
          <w:p w14:paraId="3FE35520" w14:textId="77777777" w:rsidR="00F076A6" w:rsidRDefault="00A54BA5">
            <w:pPr>
              <w:pStyle w:val="Compact"/>
              <w:spacing w:line="360" w:lineRule="auto"/>
              <w:jc w:val="both"/>
              <w:rPr>
                <w:color w:val="36363D"/>
              </w:rPr>
            </w:pPr>
            <w:r>
              <w:rPr>
                <w:color w:val="36363D"/>
              </w:rPr>
              <w:t>0.003</w:t>
            </w:r>
          </w:p>
        </w:tc>
      </w:tr>
      <w:tr w:rsidR="00F076A6" w14:paraId="332CBF63" w14:textId="77777777" w:rsidTr="00F076A6">
        <w:tc>
          <w:tcPr>
            <w:tcW w:w="2808" w:type="dxa"/>
          </w:tcPr>
          <w:p w14:paraId="7AD1030D" w14:textId="77777777" w:rsidR="00F076A6" w:rsidRDefault="00A54BA5">
            <w:pPr>
              <w:pStyle w:val="Compact"/>
              <w:spacing w:line="360" w:lineRule="auto"/>
              <w:jc w:val="both"/>
              <w:rPr>
                <w:color w:val="36363D"/>
              </w:rPr>
            </w:pPr>
            <w:r>
              <w:rPr>
                <w:color w:val="36363D"/>
              </w:rPr>
              <w:lastRenderedPageBreak/>
              <w:t>Female sex (%)</w:t>
            </w:r>
          </w:p>
        </w:tc>
        <w:tc>
          <w:tcPr>
            <w:tcW w:w="1634" w:type="dxa"/>
          </w:tcPr>
          <w:p w14:paraId="3F6F1038" w14:textId="77777777" w:rsidR="00F076A6" w:rsidRDefault="00A54BA5">
            <w:pPr>
              <w:pStyle w:val="Compact"/>
              <w:spacing w:line="360" w:lineRule="auto"/>
              <w:jc w:val="both"/>
              <w:rPr>
                <w:color w:val="36363D"/>
              </w:rPr>
            </w:pPr>
            <w:r>
              <w:rPr>
                <w:color w:val="36363D"/>
              </w:rPr>
              <w:t>54.2</w:t>
            </w:r>
          </w:p>
        </w:tc>
        <w:tc>
          <w:tcPr>
            <w:tcW w:w="1416" w:type="dxa"/>
          </w:tcPr>
          <w:p w14:paraId="22CE0FFC" w14:textId="77777777" w:rsidR="00F076A6" w:rsidRDefault="00A54BA5">
            <w:pPr>
              <w:pStyle w:val="Compact"/>
              <w:spacing w:line="360" w:lineRule="auto"/>
              <w:jc w:val="both"/>
              <w:rPr>
                <w:color w:val="36363D"/>
              </w:rPr>
            </w:pPr>
            <w:r>
              <w:rPr>
                <w:color w:val="36363D"/>
              </w:rPr>
              <w:t>48.7</w:t>
            </w:r>
          </w:p>
        </w:tc>
        <w:tc>
          <w:tcPr>
            <w:tcW w:w="1682" w:type="dxa"/>
          </w:tcPr>
          <w:p w14:paraId="5647EFA4" w14:textId="77777777" w:rsidR="00F076A6" w:rsidRDefault="00A54BA5">
            <w:pPr>
              <w:pStyle w:val="Compact"/>
              <w:spacing w:line="360" w:lineRule="auto"/>
              <w:jc w:val="both"/>
              <w:rPr>
                <w:color w:val="36363D"/>
              </w:rPr>
            </w:pPr>
            <w:r>
              <w:rPr>
                <w:color w:val="36363D"/>
              </w:rPr>
              <w:t>51.0</w:t>
            </w:r>
          </w:p>
        </w:tc>
        <w:tc>
          <w:tcPr>
            <w:tcW w:w="980" w:type="dxa"/>
          </w:tcPr>
          <w:p w14:paraId="20C15028" w14:textId="77777777" w:rsidR="00F076A6" w:rsidRDefault="00A54BA5">
            <w:pPr>
              <w:pStyle w:val="Compact"/>
              <w:spacing w:line="360" w:lineRule="auto"/>
              <w:jc w:val="both"/>
              <w:rPr>
                <w:color w:val="36363D"/>
              </w:rPr>
            </w:pPr>
            <w:r>
              <w:rPr>
                <w:color w:val="36363D"/>
              </w:rPr>
              <w:t>0.089</w:t>
            </w:r>
          </w:p>
        </w:tc>
      </w:tr>
      <w:tr w:rsidR="00F076A6" w14:paraId="1807551D" w14:textId="77777777" w:rsidTr="00F076A6">
        <w:tc>
          <w:tcPr>
            <w:tcW w:w="2808" w:type="dxa"/>
          </w:tcPr>
          <w:p w14:paraId="56B6FCEC" w14:textId="77777777" w:rsidR="00F076A6" w:rsidRDefault="00A54BA5">
            <w:pPr>
              <w:pStyle w:val="Compact"/>
              <w:spacing w:line="360" w:lineRule="auto"/>
              <w:jc w:val="both"/>
              <w:rPr>
                <w:color w:val="36363D"/>
              </w:rPr>
            </w:pPr>
            <w:r>
              <w:rPr>
                <w:color w:val="36363D"/>
              </w:rPr>
              <w:t>BMI (kg/m²)</w:t>
            </w:r>
          </w:p>
        </w:tc>
        <w:tc>
          <w:tcPr>
            <w:tcW w:w="1634" w:type="dxa"/>
          </w:tcPr>
          <w:p w14:paraId="4511E045" w14:textId="77777777" w:rsidR="00F076A6" w:rsidRDefault="00A54BA5">
            <w:pPr>
              <w:pStyle w:val="Compact"/>
              <w:spacing w:line="360" w:lineRule="auto"/>
              <w:jc w:val="both"/>
              <w:rPr>
                <w:color w:val="36363D"/>
              </w:rPr>
            </w:pPr>
            <w:r>
              <w:rPr>
                <w:color w:val="36363D"/>
              </w:rPr>
              <w:t>26.8 ± 5.4</w:t>
            </w:r>
          </w:p>
        </w:tc>
        <w:tc>
          <w:tcPr>
            <w:tcW w:w="1416" w:type="dxa"/>
          </w:tcPr>
          <w:p w14:paraId="59D59E8B" w14:textId="77777777" w:rsidR="00F076A6" w:rsidRDefault="00A54BA5">
            <w:pPr>
              <w:pStyle w:val="Compact"/>
              <w:spacing w:line="360" w:lineRule="auto"/>
              <w:jc w:val="both"/>
              <w:rPr>
                <w:color w:val="36363D"/>
              </w:rPr>
            </w:pPr>
            <w:r>
              <w:rPr>
                <w:color w:val="36363D"/>
              </w:rPr>
              <w:t>24.1 ± 4.2</w:t>
            </w:r>
          </w:p>
        </w:tc>
        <w:tc>
          <w:tcPr>
            <w:tcW w:w="1682" w:type="dxa"/>
          </w:tcPr>
          <w:p w14:paraId="73300E6A" w14:textId="77777777" w:rsidR="00F076A6" w:rsidRDefault="00A54BA5">
            <w:pPr>
              <w:pStyle w:val="Compact"/>
              <w:spacing w:line="360" w:lineRule="auto"/>
              <w:jc w:val="both"/>
              <w:rPr>
                <w:color w:val="36363D"/>
              </w:rPr>
            </w:pPr>
            <w:r>
              <w:rPr>
                <w:color w:val="36363D"/>
              </w:rPr>
              <w:t>27.9 ± 6.1</w:t>
            </w:r>
          </w:p>
        </w:tc>
        <w:tc>
          <w:tcPr>
            <w:tcW w:w="980" w:type="dxa"/>
          </w:tcPr>
          <w:p w14:paraId="15A5E322" w14:textId="77777777" w:rsidR="00F076A6" w:rsidRDefault="00A54BA5">
            <w:pPr>
              <w:pStyle w:val="Compact"/>
              <w:spacing w:line="360" w:lineRule="auto"/>
              <w:jc w:val="both"/>
              <w:rPr>
                <w:color w:val="36363D"/>
              </w:rPr>
            </w:pPr>
            <w:r>
              <w:rPr>
                <w:color w:val="36363D"/>
              </w:rPr>
              <w:t>&lt;0.001</w:t>
            </w:r>
          </w:p>
        </w:tc>
      </w:tr>
      <w:tr w:rsidR="00F076A6" w14:paraId="660C44D6" w14:textId="77777777" w:rsidTr="00F076A6">
        <w:tc>
          <w:tcPr>
            <w:tcW w:w="2808" w:type="dxa"/>
          </w:tcPr>
          <w:p w14:paraId="6C58F121" w14:textId="77777777" w:rsidR="00F076A6" w:rsidRDefault="00A54BA5">
            <w:pPr>
              <w:pStyle w:val="Compact"/>
              <w:spacing w:line="360" w:lineRule="auto"/>
              <w:jc w:val="both"/>
              <w:rPr>
                <w:color w:val="36363D"/>
              </w:rPr>
            </w:pPr>
            <w:r>
              <w:rPr>
                <w:color w:val="36363D"/>
              </w:rPr>
              <w:t>Education (university %)</w:t>
            </w:r>
          </w:p>
        </w:tc>
        <w:tc>
          <w:tcPr>
            <w:tcW w:w="1634" w:type="dxa"/>
          </w:tcPr>
          <w:p w14:paraId="2B2776A6" w14:textId="77777777" w:rsidR="00F076A6" w:rsidRDefault="00A54BA5">
            <w:pPr>
              <w:pStyle w:val="Compact"/>
              <w:spacing w:line="360" w:lineRule="auto"/>
              <w:jc w:val="both"/>
              <w:rPr>
                <w:color w:val="36363D"/>
              </w:rPr>
            </w:pPr>
            <w:r>
              <w:rPr>
                <w:color w:val="36363D"/>
              </w:rPr>
              <w:t>67.3</w:t>
            </w:r>
          </w:p>
        </w:tc>
        <w:tc>
          <w:tcPr>
            <w:tcW w:w="1416" w:type="dxa"/>
          </w:tcPr>
          <w:p w14:paraId="23FF9B4B" w14:textId="77777777" w:rsidR="00F076A6" w:rsidRDefault="00A54BA5">
            <w:pPr>
              <w:pStyle w:val="Compact"/>
              <w:spacing w:line="360" w:lineRule="auto"/>
              <w:jc w:val="both"/>
              <w:rPr>
                <w:color w:val="36363D"/>
              </w:rPr>
            </w:pPr>
            <w:r>
              <w:rPr>
                <w:color w:val="36363D"/>
              </w:rPr>
              <w:t>23.8</w:t>
            </w:r>
          </w:p>
        </w:tc>
        <w:tc>
          <w:tcPr>
            <w:tcW w:w="1682" w:type="dxa"/>
          </w:tcPr>
          <w:p w14:paraId="1FF54FAF" w14:textId="77777777" w:rsidR="00F076A6" w:rsidRDefault="00A54BA5">
            <w:pPr>
              <w:pStyle w:val="Compact"/>
              <w:spacing w:line="360" w:lineRule="auto"/>
              <w:jc w:val="both"/>
              <w:rPr>
                <w:color w:val="36363D"/>
              </w:rPr>
            </w:pPr>
            <w:r>
              <w:rPr>
                <w:color w:val="36363D"/>
              </w:rPr>
              <w:t>45.2</w:t>
            </w:r>
          </w:p>
        </w:tc>
        <w:tc>
          <w:tcPr>
            <w:tcW w:w="980" w:type="dxa"/>
          </w:tcPr>
          <w:p w14:paraId="20FEB256" w14:textId="77777777" w:rsidR="00F076A6" w:rsidRDefault="00A54BA5">
            <w:pPr>
              <w:pStyle w:val="Compact"/>
              <w:spacing w:line="360" w:lineRule="auto"/>
              <w:jc w:val="both"/>
              <w:rPr>
                <w:color w:val="36363D"/>
              </w:rPr>
            </w:pPr>
            <w:r>
              <w:rPr>
                <w:color w:val="36363D"/>
              </w:rPr>
              <w:t>&lt;0.001</w:t>
            </w:r>
          </w:p>
        </w:tc>
      </w:tr>
      <w:tr w:rsidR="00F076A6" w14:paraId="48A822C9" w14:textId="77777777" w:rsidTr="00F076A6">
        <w:tc>
          <w:tcPr>
            <w:tcW w:w="2808" w:type="dxa"/>
          </w:tcPr>
          <w:p w14:paraId="7FB9BD66" w14:textId="77777777" w:rsidR="00F076A6" w:rsidRDefault="00A54BA5">
            <w:pPr>
              <w:pStyle w:val="Compact"/>
              <w:spacing w:line="360" w:lineRule="auto"/>
              <w:jc w:val="both"/>
              <w:rPr>
                <w:color w:val="36363D"/>
              </w:rPr>
            </w:pPr>
            <w:r>
              <w:rPr>
                <w:color w:val="36363D"/>
              </w:rPr>
              <w:t>Household income (high %)</w:t>
            </w:r>
          </w:p>
        </w:tc>
        <w:tc>
          <w:tcPr>
            <w:tcW w:w="1634" w:type="dxa"/>
          </w:tcPr>
          <w:p w14:paraId="13A3F555" w14:textId="77777777" w:rsidR="00F076A6" w:rsidRDefault="00A54BA5">
            <w:pPr>
              <w:pStyle w:val="Compact"/>
              <w:spacing w:line="360" w:lineRule="auto"/>
              <w:jc w:val="both"/>
              <w:rPr>
                <w:color w:val="36363D"/>
              </w:rPr>
            </w:pPr>
            <w:r>
              <w:rPr>
                <w:color w:val="36363D"/>
              </w:rPr>
              <w:t>48.7</w:t>
            </w:r>
          </w:p>
        </w:tc>
        <w:tc>
          <w:tcPr>
            <w:tcW w:w="1416" w:type="dxa"/>
          </w:tcPr>
          <w:p w14:paraId="14077A59" w14:textId="77777777" w:rsidR="00F076A6" w:rsidRDefault="00A54BA5">
            <w:pPr>
              <w:pStyle w:val="Compact"/>
              <w:spacing w:line="360" w:lineRule="auto"/>
              <w:jc w:val="both"/>
              <w:rPr>
                <w:color w:val="36363D"/>
              </w:rPr>
            </w:pPr>
            <w:r>
              <w:rPr>
                <w:color w:val="36363D"/>
              </w:rPr>
              <w:t>18.9</w:t>
            </w:r>
          </w:p>
        </w:tc>
        <w:tc>
          <w:tcPr>
            <w:tcW w:w="1682" w:type="dxa"/>
          </w:tcPr>
          <w:p w14:paraId="7DED7235" w14:textId="77777777" w:rsidR="00F076A6" w:rsidRDefault="00A54BA5">
            <w:pPr>
              <w:pStyle w:val="Compact"/>
              <w:spacing w:line="360" w:lineRule="auto"/>
              <w:jc w:val="both"/>
              <w:rPr>
                <w:color w:val="36363D"/>
              </w:rPr>
            </w:pPr>
            <w:r>
              <w:rPr>
                <w:color w:val="36363D"/>
              </w:rPr>
              <w:t>52.1</w:t>
            </w:r>
          </w:p>
        </w:tc>
        <w:tc>
          <w:tcPr>
            <w:tcW w:w="980" w:type="dxa"/>
          </w:tcPr>
          <w:p w14:paraId="19435F35" w14:textId="77777777" w:rsidR="00F076A6" w:rsidRDefault="00A54BA5">
            <w:pPr>
              <w:pStyle w:val="Compact"/>
              <w:spacing w:line="360" w:lineRule="auto"/>
              <w:jc w:val="both"/>
              <w:rPr>
                <w:color w:val="36363D"/>
              </w:rPr>
            </w:pPr>
            <w:r>
              <w:rPr>
                <w:color w:val="36363D"/>
              </w:rPr>
              <w:t>&lt;0.001</w:t>
            </w:r>
          </w:p>
        </w:tc>
      </w:tr>
      <w:tr w:rsidR="00F076A6" w14:paraId="54A09F84" w14:textId="77777777" w:rsidTr="00F076A6">
        <w:tc>
          <w:tcPr>
            <w:tcW w:w="2808" w:type="dxa"/>
          </w:tcPr>
          <w:p w14:paraId="754B4B23" w14:textId="77777777" w:rsidR="00F076A6" w:rsidRDefault="00A54BA5">
            <w:pPr>
              <w:pStyle w:val="Compact"/>
              <w:spacing w:line="360" w:lineRule="auto"/>
              <w:jc w:val="both"/>
              <w:rPr>
                <w:color w:val="36363D"/>
              </w:rPr>
            </w:pPr>
            <w:r>
              <w:rPr>
                <w:color w:val="36363D"/>
              </w:rPr>
              <w:t>Antibiotic use (past year)</w:t>
            </w:r>
          </w:p>
        </w:tc>
        <w:tc>
          <w:tcPr>
            <w:tcW w:w="1634" w:type="dxa"/>
          </w:tcPr>
          <w:p w14:paraId="648E80EA" w14:textId="77777777" w:rsidR="00F076A6" w:rsidRDefault="00A54BA5">
            <w:pPr>
              <w:pStyle w:val="Compact"/>
              <w:spacing w:line="360" w:lineRule="auto"/>
              <w:jc w:val="both"/>
              <w:rPr>
                <w:color w:val="36363D"/>
              </w:rPr>
            </w:pPr>
            <w:r>
              <w:rPr>
                <w:color w:val="36363D"/>
              </w:rPr>
              <w:t>67%</w:t>
            </w:r>
          </w:p>
        </w:tc>
        <w:tc>
          <w:tcPr>
            <w:tcW w:w="1416" w:type="dxa"/>
          </w:tcPr>
          <w:p w14:paraId="49F46CF2" w14:textId="77777777" w:rsidR="00F076A6" w:rsidRDefault="00A54BA5">
            <w:pPr>
              <w:pStyle w:val="Compact"/>
              <w:spacing w:line="360" w:lineRule="auto"/>
              <w:jc w:val="both"/>
              <w:rPr>
                <w:color w:val="36363D"/>
              </w:rPr>
            </w:pPr>
            <w:r>
              <w:rPr>
                <w:color w:val="36363D"/>
              </w:rPr>
              <w:t>43%</w:t>
            </w:r>
          </w:p>
        </w:tc>
        <w:tc>
          <w:tcPr>
            <w:tcW w:w="1682" w:type="dxa"/>
          </w:tcPr>
          <w:p w14:paraId="410454E2" w14:textId="77777777" w:rsidR="00F076A6" w:rsidRDefault="00A54BA5">
            <w:pPr>
              <w:pStyle w:val="Compact"/>
              <w:spacing w:line="360" w:lineRule="auto"/>
              <w:jc w:val="both"/>
              <w:rPr>
                <w:color w:val="36363D"/>
              </w:rPr>
            </w:pPr>
            <w:r>
              <w:rPr>
                <w:color w:val="36363D"/>
              </w:rPr>
              <w:t>72%</w:t>
            </w:r>
          </w:p>
        </w:tc>
        <w:tc>
          <w:tcPr>
            <w:tcW w:w="980" w:type="dxa"/>
          </w:tcPr>
          <w:p w14:paraId="5E393B31" w14:textId="77777777" w:rsidR="00F076A6" w:rsidRDefault="00A54BA5">
            <w:pPr>
              <w:pStyle w:val="Compact"/>
              <w:spacing w:line="360" w:lineRule="auto"/>
              <w:jc w:val="both"/>
              <w:rPr>
                <w:color w:val="36363D"/>
              </w:rPr>
            </w:pPr>
            <w:r>
              <w:rPr>
                <w:color w:val="36363D"/>
              </w:rPr>
              <w:t>&lt;0.001</w:t>
            </w:r>
          </w:p>
        </w:tc>
      </w:tr>
      <w:tr w:rsidR="00F076A6" w14:paraId="4F4B1FD6" w14:textId="77777777" w:rsidTr="00F076A6">
        <w:tc>
          <w:tcPr>
            <w:tcW w:w="2808" w:type="dxa"/>
          </w:tcPr>
          <w:p w14:paraId="31146731" w14:textId="77777777" w:rsidR="00F076A6" w:rsidRDefault="00A54BA5">
            <w:pPr>
              <w:pStyle w:val="Compact"/>
              <w:spacing w:line="360" w:lineRule="auto"/>
              <w:jc w:val="both"/>
              <w:rPr>
                <w:color w:val="36363D"/>
              </w:rPr>
            </w:pPr>
            <w:r>
              <w:rPr>
                <w:color w:val="36363D"/>
              </w:rPr>
              <w:t>Processed food consumption</w:t>
            </w:r>
          </w:p>
        </w:tc>
        <w:tc>
          <w:tcPr>
            <w:tcW w:w="1634" w:type="dxa"/>
          </w:tcPr>
          <w:p w14:paraId="76C78D47" w14:textId="77777777" w:rsidR="00F076A6" w:rsidRDefault="00A54BA5">
            <w:pPr>
              <w:pStyle w:val="Compact"/>
              <w:spacing w:line="360" w:lineRule="auto"/>
              <w:jc w:val="both"/>
              <w:rPr>
                <w:color w:val="36363D"/>
              </w:rPr>
            </w:pPr>
            <w:r>
              <w:rPr>
                <w:color w:val="36363D"/>
              </w:rPr>
              <w:t>High (78%)</w:t>
            </w:r>
          </w:p>
        </w:tc>
        <w:tc>
          <w:tcPr>
            <w:tcW w:w="1416" w:type="dxa"/>
          </w:tcPr>
          <w:p w14:paraId="6083CBC3" w14:textId="77777777" w:rsidR="00F076A6" w:rsidRDefault="00A54BA5">
            <w:pPr>
              <w:pStyle w:val="Compact"/>
              <w:spacing w:line="360" w:lineRule="auto"/>
              <w:jc w:val="both"/>
              <w:rPr>
                <w:color w:val="36363D"/>
              </w:rPr>
            </w:pPr>
            <w:r>
              <w:rPr>
                <w:color w:val="36363D"/>
              </w:rPr>
              <w:t>Low (23%)</w:t>
            </w:r>
          </w:p>
        </w:tc>
        <w:tc>
          <w:tcPr>
            <w:tcW w:w="1682" w:type="dxa"/>
          </w:tcPr>
          <w:p w14:paraId="3B2CD221" w14:textId="77777777" w:rsidR="00F076A6" w:rsidRDefault="00A54BA5">
            <w:pPr>
              <w:pStyle w:val="Compact"/>
              <w:spacing w:line="360" w:lineRule="auto"/>
              <w:jc w:val="both"/>
              <w:rPr>
                <w:color w:val="36363D"/>
              </w:rPr>
            </w:pPr>
            <w:r>
              <w:rPr>
                <w:color w:val="36363D"/>
              </w:rPr>
              <w:t>High (81%)</w:t>
            </w:r>
          </w:p>
        </w:tc>
        <w:tc>
          <w:tcPr>
            <w:tcW w:w="980" w:type="dxa"/>
          </w:tcPr>
          <w:p w14:paraId="4186111B" w14:textId="77777777" w:rsidR="00F076A6" w:rsidRDefault="00A54BA5">
            <w:pPr>
              <w:pStyle w:val="Compact"/>
              <w:spacing w:line="360" w:lineRule="auto"/>
              <w:jc w:val="both"/>
              <w:rPr>
                <w:color w:val="36363D"/>
              </w:rPr>
            </w:pPr>
            <w:r>
              <w:rPr>
                <w:color w:val="36363D"/>
              </w:rPr>
              <w:t>&lt;0.001</w:t>
            </w:r>
          </w:p>
        </w:tc>
      </w:tr>
      <w:tr w:rsidR="00F076A6" w14:paraId="7FD3B582" w14:textId="77777777" w:rsidTr="00F076A6">
        <w:tc>
          <w:tcPr>
            <w:tcW w:w="2808" w:type="dxa"/>
          </w:tcPr>
          <w:p w14:paraId="10112538" w14:textId="77777777" w:rsidR="00F076A6" w:rsidRDefault="00A54BA5">
            <w:pPr>
              <w:pStyle w:val="Compact"/>
              <w:spacing w:line="360" w:lineRule="auto"/>
              <w:jc w:val="both"/>
              <w:rPr>
                <w:color w:val="36363D"/>
              </w:rPr>
            </w:pPr>
            <w:r>
              <w:rPr>
                <w:color w:val="36363D"/>
              </w:rPr>
              <w:t>Air pollution exposure (PM2.5 μg/m³)</w:t>
            </w:r>
          </w:p>
        </w:tc>
        <w:tc>
          <w:tcPr>
            <w:tcW w:w="1634" w:type="dxa"/>
          </w:tcPr>
          <w:p w14:paraId="7CCD8BF7" w14:textId="77777777" w:rsidR="00F076A6" w:rsidRDefault="00A54BA5">
            <w:pPr>
              <w:pStyle w:val="Compact"/>
              <w:spacing w:line="360" w:lineRule="auto"/>
              <w:jc w:val="both"/>
              <w:rPr>
                <w:color w:val="36363D"/>
              </w:rPr>
            </w:pPr>
            <w:r>
              <w:rPr>
                <w:color w:val="36363D"/>
              </w:rPr>
              <w:t>18.4 ± 6.2</w:t>
            </w:r>
          </w:p>
        </w:tc>
        <w:tc>
          <w:tcPr>
            <w:tcW w:w="1416" w:type="dxa"/>
          </w:tcPr>
          <w:p w14:paraId="747F6C87" w14:textId="77777777" w:rsidR="00F076A6" w:rsidRDefault="00A54BA5">
            <w:pPr>
              <w:pStyle w:val="Compact"/>
              <w:spacing w:line="360" w:lineRule="auto"/>
              <w:jc w:val="both"/>
              <w:rPr>
                <w:color w:val="36363D"/>
              </w:rPr>
            </w:pPr>
            <w:r>
              <w:rPr>
                <w:color w:val="36363D"/>
              </w:rPr>
              <w:t>8.7 ± 3.1</w:t>
            </w:r>
          </w:p>
        </w:tc>
        <w:tc>
          <w:tcPr>
            <w:tcW w:w="1682" w:type="dxa"/>
          </w:tcPr>
          <w:p w14:paraId="5773632A" w14:textId="77777777" w:rsidR="00F076A6" w:rsidRDefault="00A54BA5">
            <w:pPr>
              <w:pStyle w:val="Compact"/>
              <w:spacing w:line="360" w:lineRule="auto"/>
              <w:jc w:val="both"/>
              <w:rPr>
                <w:color w:val="36363D"/>
              </w:rPr>
            </w:pPr>
            <w:r>
              <w:rPr>
                <w:color w:val="36363D"/>
              </w:rPr>
              <w:t>24.6 ± 8.9</w:t>
            </w:r>
          </w:p>
        </w:tc>
        <w:tc>
          <w:tcPr>
            <w:tcW w:w="980" w:type="dxa"/>
          </w:tcPr>
          <w:p w14:paraId="00B0204C" w14:textId="77777777" w:rsidR="00F076A6" w:rsidRDefault="00A54BA5">
            <w:pPr>
              <w:pStyle w:val="Compact"/>
              <w:spacing w:line="360" w:lineRule="auto"/>
              <w:jc w:val="both"/>
              <w:rPr>
                <w:color w:val="36363D"/>
              </w:rPr>
            </w:pPr>
            <w:r>
              <w:rPr>
                <w:color w:val="36363D"/>
              </w:rPr>
              <w:t>&lt;0.001</w:t>
            </w:r>
          </w:p>
        </w:tc>
      </w:tr>
      <w:tr w:rsidR="00F076A6" w14:paraId="2EF12671" w14:textId="77777777" w:rsidTr="00F076A6">
        <w:tc>
          <w:tcPr>
            <w:tcW w:w="2808" w:type="dxa"/>
          </w:tcPr>
          <w:p w14:paraId="77E73B61" w14:textId="77777777" w:rsidR="00F076A6" w:rsidRDefault="00A54BA5">
            <w:pPr>
              <w:pStyle w:val="Compact"/>
              <w:spacing w:line="360" w:lineRule="auto"/>
              <w:jc w:val="both"/>
              <w:rPr>
                <w:color w:val="36363D"/>
              </w:rPr>
            </w:pPr>
            <w:r>
              <w:rPr>
                <w:color w:val="36363D"/>
              </w:rPr>
              <w:t>Water treatment level</w:t>
            </w:r>
          </w:p>
        </w:tc>
        <w:tc>
          <w:tcPr>
            <w:tcW w:w="1634" w:type="dxa"/>
          </w:tcPr>
          <w:p w14:paraId="7CDDE70E" w14:textId="77777777" w:rsidR="00F076A6" w:rsidRDefault="00A54BA5">
            <w:pPr>
              <w:pStyle w:val="Compact"/>
              <w:spacing w:line="360" w:lineRule="auto"/>
              <w:jc w:val="both"/>
              <w:rPr>
                <w:color w:val="36363D"/>
              </w:rPr>
            </w:pPr>
            <w:r>
              <w:rPr>
                <w:color w:val="36363D"/>
              </w:rPr>
              <w:t>Municipal (95%)</w:t>
            </w:r>
          </w:p>
        </w:tc>
        <w:tc>
          <w:tcPr>
            <w:tcW w:w="1416" w:type="dxa"/>
          </w:tcPr>
          <w:p w14:paraId="67F5F6CD" w14:textId="77777777" w:rsidR="00F076A6" w:rsidRDefault="00A54BA5">
            <w:pPr>
              <w:pStyle w:val="Compact"/>
              <w:spacing w:line="360" w:lineRule="auto"/>
              <w:jc w:val="both"/>
              <w:rPr>
                <w:color w:val="36363D"/>
              </w:rPr>
            </w:pPr>
            <w:r>
              <w:rPr>
                <w:color w:val="36363D"/>
              </w:rPr>
              <w:t>Well (67%)</w:t>
            </w:r>
          </w:p>
        </w:tc>
        <w:tc>
          <w:tcPr>
            <w:tcW w:w="1682" w:type="dxa"/>
          </w:tcPr>
          <w:p w14:paraId="6209F3E8" w14:textId="77777777" w:rsidR="00F076A6" w:rsidRDefault="00A54BA5">
            <w:pPr>
              <w:pStyle w:val="Compact"/>
              <w:spacing w:line="360" w:lineRule="auto"/>
              <w:jc w:val="both"/>
              <w:rPr>
                <w:color w:val="36363D"/>
              </w:rPr>
            </w:pPr>
            <w:r>
              <w:rPr>
                <w:color w:val="36363D"/>
              </w:rPr>
              <w:t>Municipal (98%)</w:t>
            </w:r>
          </w:p>
        </w:tc>
        <w:tc>
          <w:tcPr>
            <w:tcW w:w="980" w:type="dxa"/>
          </w:tcPr>
          <w:p w14:paraId="32DEF887" w14:textId="77777777" w:rsidR="00F076A6" w:rsidRDefault="00A54BA5">
            <w:pPr>
              <w:pStyle w:val="Compact"/>
              <w:spacing w:line="360" w:lineRule="auto"/>
              <w:jc w:val="both"/>
              <w:rPr>
                <w:color w:val="36363D"/>
              </w:rPr>
            </w:pPr>
            <w:r>
              <w:rPr>
                <w:color w:val="36363D"/>
              </w:rPr>
              <w:t>&lt;0.001</w:t>
            </w:r>
          </w:p>
        </w:tc>
      </w:tr>
      <w:tr w:rsidR="00F076A6" w14:paraId="4995CD4F" w14:textId="77777777" w:rsidTr="00F076A6">
        <w:tc>
          <w:tcPr>
            <w:tcW w:w="2808" w:type="dxa"/>
          </w:tcPr>
          <w:p w14:paraId="745C76E4" w14:textId="77777777" w:rsidR="00F076A6" w:rsidRDefault="00A54BA5">
            <w:pPr>
              <w:pStyle w:val="Compact"/>
              <w:spacing w:line="360" w:lineRule="auto"/>
              <w:jc w:val="both"/>
              <w:rPr>
                <w:color w:val="36363D"/>
              </w:rPr>
            </w:pPr>
            <w:r>
              <w:rPr>
                <w:color w:val="36363D"/>
              </w:rPr>
              <w:t>Green space access (%)</w:t>
            </w:r>
          </w:p>
        </w:tc>
        <w:tc>
          <w:tcPr>
            <w:tcW w:w="1634" w:type="dxa"/>
          </w:tcPr>
          <w:p w14:paraId="1A4A11BA" w14:textId="77777777" w:rsidR="00F076A6" w:rsidRDefault="00A54BA5">
            <w:pPr>
              <w:pStyle w:val="Compact"/>
              <w:spacing w:line="360" w:lineRule="auto"/>
              <w:jc w:val="both"/>
              <w:rPr>
                <w:color w:val="36363D"/>
              </w:rPr>
            </w:pPr>
            <w:r>
              <w:rPr>
                <w:color w:val="36363D"/>
              </w:rPr>
              <w:t>34.2</w:t>
            </w:r>
          </w:p>
        </w:tc>
        <w:tc>
          <w:tcPr>
            <w:tcW w:w="1416" w:type="dxa"/>
          </w:tcPr>
          <w:p w14:paraId="2696BAA7" w14:textId="77777777" w:rsidR="00F076A6" w:rsidRDefault="00A54BA5">
            <w:pPr>
              <w:pStyle w:val="Compact"/>
              <w:spacing w:line="360" w:lineRule="auto"/>
              <w:jc w:val="both"/>
              <w:rPr>
                <w:color w:val="36363D"/>
              </w:rPr>
            </w:pPr>
            <w:r>
              <w:rPr>
                <w:color w:val="36363D"/>
              </w:rPr>
              <w:t>78.9</w:t>
            </w:r>
          </w:p>
        </w:tc>
        <w:tc>
          <w:tcPr>
            <w:tcW w:w="1682" w:type="dxa"/>
          </w:tcPr>
          <w:p w14:paraId="7F836757" w14:textId="77777777" w:rsidR="00F076A6" w:rsidRDefault="00A54BA5">
            <w:pPr>
              <w:pStyle w:val="Compact"/>
              <w:spacing w:line="360" w:lineRule="auto"/>
              <w:jc w:val="both"/>
              <w:rPr>
                <w:color w:val="36363D"/>
              </w:rPr>
            </w:pPr>
            <w:r>
              <w:rPr>
                <w:color w:val="36363D"/>
              </w:rPr>
              <w:t>21.7</w:t>
            </w:r>
          </w:p>
        </w:tc>
        <w:tc>
          <w:tcPr>
            <w:tcW w:w="980" w:type="dxa"/>
          </w:tcPr>
          <w:p w14:paraId="6F206A2A" w14:textId="77777777" w:rsidR="00F076A6" w:rsidRDefault="00A54BA5">
            <w:pPr>
              <w:pStyle w:val="Compact"/>
              <w:spacing w:line="360" w:lineRule="auto"/>
              <w:jc w:val="both"/>
              <w:rPr>
                <w:color w:val="36363D"/>
              </w:rPr>
            </w:pPr>
            <w:r>
              <w:rPr>
                <w:color w:val="36363D"/>
              </w:rPr>
              <w:t>&lt;0.001</w:t>
            </w:r>
          </w:p>
        </w:tc>
      </w:tr>
      <w:tr w:rsidR="00F076A6" w14:paraId="19352543" w14:textId="77777777" w:rsidTr="00F076A6">
        <w:tc>
          <w:tcPr>
            <w:tcW w:w="2808" w:type="dxa"/>
          </w:tcPr>
          <w:p w14:paraId="12F239E0" w14:textId="77777777" w:rsidR="00F076A6" w:rsidRDefault="00A54BA5">
            <w:pPr>
              <w:pStyle w:val="Compact"/>
              <w:spacing w:line="360" w:lineRule="auto"/>
              <w:jc w:val="both"/>
              <w:rPr>
                <w:color w:val="36363D"/>
              </w:rPr>
            </w:pPr>
            <w:r>
              <w:rPr>
                <w:color w:val="36363D"/>
              </w:rPr>
              <w:t>Pet ownership (%)</w:t>
            </w:r>
          </w:p>
        </w:tc>
        <w:tc>
          <w:tcPr>
            <w:tcW w:w="1634" w:type="dxa"/>
          </w:tcPr>
          <w:p w14:paraId="71A3089C" w14:textId="77777777" w:rsidR="00F076A6" w:rsidRDefault="00A54BA5">
            <w:pPr>
              <w:pStyle w:val="Compact"/>
              <w:spacing w:line="360" w:lineRule="auto"/>
              <w:jc w:val="both"/>
              <w:rPr>
                <w:color w:val="36363D"/>
              </w:rPr>
            </w:pPr>
            <w:r>
              <w:rPr>
                <w:color w:val="36363D"/>
              </w:rPr>
              <w:t>42.1</w:t>
            </w:r>
          </w:p>
        </w:tc>
        <w:tc>
          <w:tcPr>
            <w:tcW w:w="1416" w:type="dxa"/>
          </w:tcPr>
          <w:p w14:paraId="168E3865" w14:textId="77777777" w:rsidR="00F076A6" w:rsidRDefault="00A54BA5">
            <w:pPr>
              <w:pStyle w:val="Compact"/>
              <w:spacing w:line="360" w:lineRule="auto"/>
              <w:jc w:val="both"/>
              <w:rPr>
                <w:color w:val="36363D"/>
              </w:rPr>
            </w:pPr>
            <w:r>
              <w:rPr>
                <w:color w:val="36363D"/>
              </w:rPr>
              <w:t>68.3</w:t>
            </w:r>
          </w:p>
        </w:tc>
        <w:tc>
          <w:tcPr>
            <w:tcW w:w="1682" w:type="dxa"/>
          </w:tcPr>
          <w:p w14:paraId="69162792" w14:textId="77777777" w:rsidR="00F076A6" w:rsidRDefault="00A54BA5">
            <w:pPr>
              <w:pStyle w:val="Compact"/>
              <w:spacing w:line="360" w:lineRule="auto"/>
              <w:jc w:val="both"/>
              <w:rPr>
                <w:color w:val="36363D"/>
              </w:rPr>
            </w:pPr>
            <w:r>
              <w:rPr>
                <w:color w:val="36363D"/>
              </w:rPr>
              <w:t>38.9</w:t>
            </w:r>
          </w:p>
        </w:tc>
        <w:tc>
          <w:tcPr>
            <w:tcW w:w="980" w:type="dxa"/>
          </w:tcPr>
          <w:p w14:paraId="11F904AD" w14:textId="77777777" w:rsidR="00F076A6" w:rsidRDefault="00A54BA5">
            <w:pPr>
              <w:pStyle w:val="Compact"/>
              <w:spacing w:line="360" w:lineRule="auto"/>
              <w:jc w:val="both"/>
              <w:rPr>
                <w:color w:val="36363D"/>
              </w:rPr>
            </w:pPr>
            <w:r>
              <w:rPr>
                <w:color w:val="36363D"/>
              </w:rPr>
              <w:t>&lt;0.001</w:t>
            </w:r>
          </w:p>
        </w:tc>
      </w:tr>
    </w:tbl>
    <w:p w14:paraId="26E32899" w14:textId="77777777" w:rsidR="00F076A6" w:rsidRDefault="00A54BA5">
      <w:pPr>
        <w:pStyle w:val="Heading31"/>
        <w:spacing w:line="360" w:lineRule="auto"/>
        <w:jc w:val="both"/>
        <w:rPr>
          <w:color w:val="36363D"/>
        </w:rPr>
      </w:pPr>
      <w:bookmarkStart w:id="23" w:name="Xcfafd84e0064a435e919c27631d16b8ce1d39b3"/>
      <w:bookmarkEnd w:id="22"/>
      <w:r>
        <w:rPr>
          <w:color w:val="36363D"/>
        </w:rPr>
        <w:t>Gut Microbiome Diversity Patterns</w:t>
      </w:r>
    </w:p>
    <w:p w14:paraId="73994454" w14:textId="77777777" w:rsidR="00F076A6" w:rsidRDefault="00A54BA5">
      <w:pPr>
        <w:pStyle w:val="FirstParagraph"/>
        <w:spacing w:line="360" w:lineRule="auto"/>
        <w:jc w:val="both"/>
        <w:rPr>
          <w:color w:val="36363D"/>
        </w:rPr>
      </w:pPr>
      <w:r>
        <w:rPr>
          <w:color w:val="36363D"/>
        </w:rPr>
        <w:t>Analysis of 16S rRNA gene sequencing data revealed significant differences in gut microbiome diversity across environmental categories. Rural participants consistently displayed the highest microbial richness and evenness, while industrial populations showed the lowest diversity indices.</w:t>
      </w:r>
    </w:p>
    <w:p w14:paraId="59DF470C" w14:textId="77777777" w:rsidR="00F076A6" w:rsidRDefault="00A54BA5">
      <w:pPr>
        <w:pStyle w:val="BodyText"/>
        <w:spacing w:line="360" w:lineRule="auto"/>
        <w:jc w:val="both"/>
        <w:rPr>
          <w:color w:val="36363D"/>
        </w:rPr>
      </w:pPr>
      <w:r>
        <w:rPr>
          <w:b/>
          <w:bCs/>
          <w:color w:val="36363D"/>
        </w:rPr>
        <w:t>Table 2: Gut Microbiome Diversity Metrics Across Environmental Categories</w:t>
      </w:r>
    </w:p>
    <w:tbl>
      <w:tblPr>
        <w:tblStyle w:val="Table"/>
        <w:tblW w:w="0" w:type="auto"/>
        <w:tblInd w:w="0" w:type="dxa"/>
        <w:tblLayout w:type="fixed"/>
        <w:tblLook w:val="04A0" w:firstRow="1" w:lastRow="0" w:firstColumn="1" w:lastColumn="0" w:noHBand="0" w:noVBand="1"/>
      </w:tblPr>
      <w:tblGrid>
        <w:gridCol w:w="2366"/>
        <w:gridCol w:w="1308"/>
        <w:gridCol w:w="1296"/>
        <w:gridCol w:w="1369"/>
        <w:gridCol w:w="1197"/>
        <w:gridCol w:w="983"/>
      </w:tblGrid>
      <w:tr w:rsidR="00F076A6" w14:paraId="7F0C37AB" w14:textId="77777777" w:rsidTr="00F076A6">
        <w:trPr>
          <w:cnfStyle w:val="100000000000" w:firstRow="1" w:lastRow="0" w:firstColumn="0" w:lastColumn="0" w:oddVBand="0" w:evenVBand="0" w:oddHBand="0" w:evenHBand="0" w:firstRowFirstColumn="0" w:firstRowLastColumn="0" w:lastRowFirstColumn="0" w:lastRowLastColumn="0"/>
          <w:tblHeader/>
        </w:trPr>
        <w:tc>
          <w:tcPr>
            <w:tcW w:w="2366" w:type="dxa"/>
          </w:tcPr>
          <w:p w14:paraId="65B56D00" w14:textId="77777777" w:rsidR="00F076A6" w:rsidRDefault="00A54BA5">
            <w:pPr>
              <w:pStyle w:val="Compact"/>
              <w:spacing w:line="360" w:lineRule="auto"/>
              <w:jc w:val="both"/>
              <w:rPr>
                <w:color w:val="36363D"/>
              </w:rPr>
            </w:pPr>
            <w:r>
              <w:rPr>
                <w:color w:val="36363D"/>
              </w:rPr>
              <w:t>Diversity Metric</w:t>
            </w:r>
          </w:p>
        </w:tc>
        <w:tc>
          <w:tcPr>
            <w:tcW w:w="1308" w:type="dxa"/>
          </w:tcPr>
          <w:p w14:paraId="7C238A70" w14:textId="77777777" w:rsidR="00F076A6" w:rsidRDefault="00A54BA5">
            <w:pPr>
              <w:pStyle w:val="Compact"/>
              <w:spacing w:line="360" w:lineRule="auto"/>
              <w:jc w:val="both"/>
              <w:rPr>
                <w:color w:val="36363D"/>
              </w:rPr>
            </w:pPr>
            <w:r>
              <w:rPr>
                <w:color w:val="36363D"/>
              </w:rPr>
              <w:t>Urban</w:t>
            </w:r>
          </w:p>
        </w:tc>
        <w:tc>
          <w:tcPr>
            <w:tcW w:w="1296" w:type="dxa"/>
          </w:tcPr>
          <w:p w14:paraId="7A82EB09" w14:textId="77777777" w:rsidR="00F076A6" w:rsidRDefault="00A54BA5">
            <w:pPr>
              <w:pStyle w:val="Compact"/>
              <w:spacing w:line="360" w:lineRule="auto"/>
              <w:jc w:val="both"/>
              <w:rPr>
                <w:color w:val="36363D"/>
              </w:rPr>
            </w:pPr>
            <w:r>
              <w:rPr>
                <w:color w:val="36363D"/>
              </w:rPr>
              <w:t>Rural</w:t>
            </w:r>
          </w:p>
        </w:tc>
        <w:tc>
          <w:tcPr>
            <w:tcW w:w="1369" w:type="dxa"/>
          </w:tcPr>
          <w:p w14:paraId="0B7FBE52" w14:textId="77777777" w:rsidR="00F076A6" w:rsidRDefault="00A54BA5">
            <w:pPr>
              <w:pStyle w:val="Compact"/>
              <w:spacing w:line="360" w:lineRule="auto"/>
              <w:jc w:val="both"/>
              <w:rPr>
                <w:color w:val="36363D"/>
              </w:rPr>
            </w:pPr>
            <w:r>
              <w:rPr>
                <w:color w:val="36363D"/>
              </w:rPr>
              <w:t>Industrial</w:t>
            </w:r>
          </w:p>
        </w:tc>
        <w:tc>
          <w:tcPr>
            <w:tcW w:w="1197" w:type="dxa"/>
          </w:tcPr>
          <w:p w14:paraId="3EB5019E" w14:textId="77777777" w:rsidR="00F076A6" w:rsidRDefault="00A54BA5">
            <w:pPr>
              <w:pStyle w:val="Compact"/>
              <w:spacing w:line="360" w:lineRule="auto"/>
              <w:jc w:val="both"/>
              <w:rPr>
                <w:color w:val="36363D"/>
              </w:rPr>
            </w:pPr>
            <w:r>
              <w:rPr>
                <w:color w:val="36363D"/>
              </w:rPr>
              <w:t>F-statistic</w:t>
            </w:r>
          </w:p>
        </w:tc>
        <w:tc>
          <w:tcPr>
            <w:tcW w:w="983" w:type="dxa"/>
          </w:tcPr>
          <w:p w14:paraId="410BDC38" w14:textId="77777777" w:rsidR="00F076A6" w:rsidRDefault="00A54BA5">
            <w:pPr>
              <w:pStyle w:val="Compact"/>
              <w:spacing w:line="360" w:lineRule="auto"/>
              <w:jc w:val="both"/>
              <w:rPr>
                <w:color w:val="36363D"/>
              </w:rPr>
            </w:pPr>
            <w:r>
              <w:rPr>
                <w:color w:val="36363D"/>
              </w:rPr>
              <w:t>P-value</w:t>
            </w:r>
          </w:p>
        </w:tc>
      </w:tr>
      <w:tr w:rsidR="00F076A6" w14:paraId="03DEE0B8" w14:textId="77777777" w:rsidTr="00F076A6">
        <w:tc>
          <w:tcPr>
            <w:tcW w:w="2366" w:type="dxa"/>
          </w:tcPr>
          <w:p w14:paraId="12C08778" w14:textId="77777777" w:rsidR="00F076A6" w:rsidRDefault="00A54BA5">
            <w:pPr>
              <w:pStyle w:val="Compact"/>
              <w:spacing w:line="360" w:lineRule="auto"/>
              <w:jc w:val="both"/>
              <w:rPr>
                <w:color w:val="36363D"/>
              </w:rPr>
            </w:pPr>
            <w:r>
              <w:rPr>
                <w:color w:val="36363D"/>
              </w:rPr>
              <w:t>Shannon Index</w:t>
            </w:r>
          </w:p>
        </w:tc>
        <w:tc>
          <w:tcPr>
            <w:tcW w:w="1308" w:type="dxa"/>
          </w:tcPr>
          <w:p w14:paraId="7F19D33E" w14:textId="77777777" w:rsidR="00F076A6" w:rsidRDefault="00A54BA5">
            <w:pPr>
              <w:pStyle w:val="Compact"/>
              <w:spacing w:line="360" w:lineRule="auto"/>
              <w:jc w:val="both"/>
              <w:rPr>
                <w:color w:val="36363D"/>
              </w:rPr>
            </w:pPr>
            <w:r>
              <w:rPr>
                <w:color w:val="36363D"/>
              </w:rPr>
              <w:t>3.78 ± 0.72</w:t>
            </w:r>
          </w:p>
        </w:tc>
        <w:tc>
          <w:tcPr>
            <w:tcW w:w="1296" w:type="dxa"/>
          </w:tcPr>
          <w:p w14:paraId="1CC9EAC3" w14:textId="77777777" w:rsidR="00F076A6" w:rsidRDefault="00A54BA5">
            <w:pPr>
              <w:pStyle w:val="Compact"/>
              <w:spacing w:line="360" w:lineRule="auto"/>
              <w:jc w:val="both"/>
              <w:rPr>
                <w:color w:val="36363D"/>
              </w:rPr>
            </w:pPr>
            <w:r>
              <w:rPr>
                <w:color w:val="36363D"/>
              </w:rPr>
              <w:t>4.18 ± 0.84</w:t>
            </w:r>
          </w:p>
        </w:tc>
        <w:tc>
          <w:tcPr>
            <w:tcW w:w="1369" w:type="dxa"/>
          </w:tcPr>
          <w:p w14:paraId="093FEA6C" w14:textId="77777777" w:rsidR="00F076A6" w:rsidRDefault="00A54BA5">
            <w:pPr>
              <w:pStyle w:val="Compact"/>
              <w:spacing w:line="360" w:lineRule="auto"/>
              <w:jc w:val="both"/>
              <w:rPr>
                <w:color w:val="36363D"/>
              </w:rPr>
            </w:pPr>
            <w:r>
              <w:rPr>
                <w:color w:val="36363D"/>
              </w:rPr>
              <w:t>3.42 ± 0.67</w:t>
            </w:r>
          </w:p>
        </w:tc>
        <w:tc>
          <w:tcPr>
            <w:tcW w:w="1197" w:type="dxa"/>
          </w:tcPr>
          <w:p w14:paraId="7410F1D2" w14:textId="77777777" w:rsidR="00F076A6" w:rsidRDefault="00A54BA5">
            <w:pPr>
              <w:pStyle w:val="Compact"/>
              <w:spacing w:line="360" w:lineRule="auto"/>
              <w:jc w:val="both"/>
              <w:rPr>
                <w:color w:val="36363D"/>
              </w:rPr>
            </w:pPr>
            <w:r>
              <w:rPr>
                <w:color w:val="36363D"/>
              </w:rPr>
              <w:t>127.3</w:t>
            </w:r>
          </w:p>
        </w:tc>
        <w:tc>
          <w:tcPr>
            <w:tcW w:w="983" w:type="dxa"/>
          </w:tcPr>
          <w:p w14:paraId="4919F528" w14:textId="77777777" w:rsidR="00F076A6" w:rsidRDefault="00A54BA5">
            <w:pPr>
              <w:pStyle w:val="Compact"/>
              <w:spacing w:line="360" w:lineRule="auto"/>
              <w:jc w:val="both"/>
              <w:rPr>
                <w:color w:val="36363D"/>
              </w:rPr>
            </w:pPr>
            <w:r>
              <w:rPr>
                <w:color w:val="36363D"/>
              </w:rPr>
              <w:t>&lt;0.001</w:t>
            </w:r>
          </w:p>
        </w:tc>
      </w:tr>
      <w:tr w:rsidR="00F076A6" w14:paraId="12CC85AA" w14:textId="77777777" w:rsidTr="00F076A6">
        <w:tc>
          <w:tcPr>
            <w:tcW w:w="2366" w:type="dxa"/>
          </w:tcPr>
          <w:p w14:paraId="185F9683" w14:textId="77777777" w:rsidR="00F076A6" w:rsidRDefault="00A54BA5">
            <w:pPr>
              <w:pStyle w:val="Compact"/>
              <w:spacing w:line="360" w:lineRule="auto"/>
              <w:jc w:val="both"/>
              <w:rPr>
                <w:color w:val="36363D"/>
              </w:rPr>
            </w:pPr>
            <w:r>
              <w:rPr>
                <w:color w:val="36363D"/>
              </w:rPr>
              <w:lastRenderedPageBreak/>
              <w:t>Simpson Index</w:t>
            </w:r>
          </w:p>
        </w:tc>
        <w:tc>
          <w:tcPr>
            <w:tcW w:w="1308" w:type="dxa"/>
          </w:tcPr>
          <w:p w14:paraId="261DE4C0" w14:textId="77777777" w:rsidR="00F076A6" w:rsidRDefault="00A54BA5">
            <w:pPr>
              <w:pStyle w:val="Compact"/>
              <w:spacing w:line="360" w:lineRule="auto"/>
              <w:jc w:val="both"/>
              <w:rPr>
                <w:color w:val="36363D"/>
              </w:rPr>
            </w:pPr>
            <w:r>
              <w:rPr>
                <w:color w:val="36363D"/>
              </w:rPr>
              <w:t>0.87 ± 0.09</w:t>
            </w:r>
          </w:p>
        </w:tc>
        <w:tc>
          <w:tcPr>
            <w:tcW w:w="1296" w:type="dxa"/>
          </w:tcPr>
          <w:p w14:paraId="63DD6653" w14:textId="77777777" w:rsidR="00F076A6" w:rsidRDefault="00A54BA5">
            <w:pPr>
              <w:pStyle w:val="Compact"/>
              <w:spacing w:line="360" w:lineRule="auto"/>
              <w:jc w:val="both"/>
              <w:rPr>
                <w:color w:val="36363D"/>
              </w:rPr>
            </w:pPr>
            <w:r>
              <w:rPr>
                <w:color w:val="36363D"/>
              </w:rPr>
              <w:t>0.92 ± 0.07</w:t>
            </w:r>
          </w:p>
        </w:tc>
        <w:tc>
          <w:tcPr>
            <w:tcW w:w="1369" w:type="dxa"/>
          </w:tcPr>
          <w:p w14:paraId="3FAB706B" w14:textId="77777777" w:rsidR="00F076A6" w:rsidRDefault="00A54BA5">
            <w:pPr>
              <w:pStyle w:val="Compact"/>
              <w:spacing w:line="360" w:lineRule="auto"/>
              <w:jc w:val="both"/>
              <w:rPr>
                <w:color w:val="36363D"/>
              </w:rPr>
            </w:pPr>
            <w:r>
              <w:rPr>
                <w:color w:val="36363D"/>
              </w:rPr>
              <w:t>0.82 ± 0.11</w:t>
            </w:r>
          </w:p>
        </w:tc>
        <w:tc>
          <w:tcPr>
            <w:tcW w:w="1197" w:type="dxa"/>
          </w:tcPr>
          <w:p w14:paraId="2F0492C9" w14:textId="77777777" w:rsidR="00F076A6" w:rsidRDefault="00A54BA5">
            <w:pPr>
              <w:pStyle w:val="Compact"/>
              <w:spacing w:line="360" w:lineRule="auto"/>
              <w:jc w:val="both"/>
              <w:rPr>
                <w:color w:val="36363D"/>
              </w:rPr>
            </w:pPr>
            <w:r>
              <w:rPr>
                <w:color w:val="36363D"/>
              </w:rPr>
              <w:t>98.7</w:t>
            </w:r>
          </w:p>
        </w:tc>
        <w:tc>
          <w:tcPr>
            <w:tcW w:w="983" w:type="dxa"/>
          </w:tcPr>
          <w:p w14:paraId="5D8001A9" w14:textId="77777777" w:rsidR="00F076A6" w:rsidRDefault="00A54BA5">
            <w:pPr>
              <w:pStyle w:val="Compact"/>
              <w:spacing w:line="360" w:lineRule="auto"/>
              <w:jc w:val="both"/>
              <w:rPr>
                <w:color w:val="36363D"/>
              </w:rPr>
            </w:pPr>
            <w:r>
              <w:rPr>
                <w:color w:val="36363D"/>
              </w:rPr>
              <w:t>&lt;0.001</w:t>
            </w:r>
          </w:p>
        </w:tc>
      </w:tr>
      <w:tr w:rsidR="00F076A6" w14:paraId="3730A7CD" w14:textId="77777777" w:rsidTr="00F076A6">
        <w:tc>
          <w:tcPr>
            <w:tcW w:w="2366" w:type="dxa"/>
          </w:tcPr>
          <w:p w14:paraId="4B30995B" w14:textId="77777777" w:rsidR="00F076A6" w:rsidRDefault="00A54BA5">
            <w:pPr>
              <w:pStyle w:val="Compact"/>
              <w:spacing w:line="360" w:lineRule="auto"/>
              <w:jc w:val="both"/>
              <w:rPr>
                <w:color w:val="36363D"/>
              </w:rPr>
            </w:pPr>
            <w:r>
              <w:rPr>
                <w:color w:val="36363D"/>
              </w:rPr>
              <w:t>Observed OTUs</w:t>
            </w:r>
          </w:p>
        </w:tc>
        <w:tc>
          <w:tcPr>
            <w:tcW w:w="1308" w:type="dxa"/>
          </w:tcPr>
          <w:p w14:paraId="227826A8" w14:textId="77777777" w:rsidR="00F076A6" w:rsidRDefault="00A54BA5">
            <w:pPr>
              <w:pStyle w:val="Compact"/>
              <w:spacing w:line="360" w:lineRule="auto"/>
              <w:jc w:val="both"/>
              <w:rPr>
                <w:color w:val="36363D"/>
              </w:rPr>
            </w:pPr>
            <w:r>
              <w:rPr>
                <w:color w:val="36363D"/>
              </w:rPr>
              <w:t>287 ± 67</w:t>
            </w:r>
          </w:p>
        </w:tc>
        <w:tc>
          <w:tcPr>
            <w:tcW w:w="1296" w:type="dxa"/>
          </w:tcPr>
          <w:p w14:paraId="766FB266" w14:textId="77777777" w:rsidR="00F076A6" w:rsidRDefault="00A54BA5">
            <w:pPr>
              <w:pStyle w:val="Compact"/>
              <w:spacing w:line="360" w:lineRule="auto"/>
              <w:jc w:val="both"/>
              <w:rPr>
                <w:color w:val="36363D"/>
              </w:rPr>
            </w:pPr>
            <w:r>
              <w:rPr>
                <w:color w:val="36363D"/>
              </w:rPr>
              <w:t>341 ± 89</w:t>
            </w:r>
          </w:p>
        </w:tc>
        <w:tc>
          <w:tcPr>
            <w:tcW w:w="1369" w:type="dxa"/>
          </w:tcPr>
          <w:p w14:paraId="361BFC2D" w14:textId="77777777" w:rsidR="00F076A6" w:rsidRDefault="00A54BA5">
            <w:pPr>
              <w:pStyle w:val="Compact"/>
              <w:spacing w:line="360" w:lineRule="auto"/>
              <w:jc w:val="both"/>
              <w:rPr>
                <w:color w:val="36363D"/>
              </w:rPr>
            </w:pPr>
            <w:r>
              <w:rPr>
                <w:color w:val="36363D"/>
              </w:rPr>
              <w:t>234 ± 54</w:t>
            </w:r>
          </w:p>
        </w:tc>
        <w:tc>
          <w:tcPr>
            <w:tcW w:w="1197" w:type="dxa"/>
          </w:tcPr>
          <w:p w14:paraId="6AA60D68" w14:textId="77777777" w:rsidR="00F076A6" w:rsidRDefault="00A54BA5">
            <w:pPr>
              <w:pStyle w:val="Compact"/>
              <w:spacing w:line="360" w:lineRule="auto"/>
              <w:jc w:val="both"/>
              <w:rPr>
                <w:color w:val="36363D"/>
              </w:rPr>
            </w:pPr>
            <w:r>
              <w:rPr>
                <w:color w:val="36363D"/>
              </w:rPr>
              <w:t>156.2</w:t>
            </w:r>
          </w:p>
        </w:tc>
        <w:tc>
          <w:tcPr>
            <w:tcW w:w="983" w:type="dxa"/>
          </w:tcPr>
          <w:p w14:paraId="7F5D3E6C" w14:textId="77777777" w:rsidR="00F076A6" w:rsidRDefault="00A54BA5">
            <w:pPr>
              <w:pStyle w:val="Compact"/>
              <w:spacing w:line="360" w:lineRule="auto"/>
              <w:jc w:val="both"/>
              <w:rPr>
                <w:color w:val="36363D"/>
              </w:rPr>
            </w:pPr>
            <w:r>
              <w:rPr>
                <w:color w:val="36363D"/>
              </w:rPr>
              <w:t>&lt;0.001</w:t>
            </w:r>
          </w:p>
        </w:tc>
      </w:tr>
      <w:tr w:rsidR="00F076A6" w14:paraId="2EDF4F9D" w14:textId="77777777" w:rsidTr="00F076A6">
        <w:tc>
          <w:tcPr>
            <w:tcW w:w="2366" w:type="dxa"/>
          </w:tcPr>
          <w:p w14:paraId="60A232F8" w14:textId="77777777" w:rsidR="00F076A6" w:rsidRDefault="00A54BA5">
            <w:pPr>
              <w:pStyle w:val="Compact"/>
              <w:spacing w:line="360" w:lineRule="auto"/>
              <w:jc w:val="both"/>
              <w:rPr>
                <w:color w:val="36363D"/>
              </w:rPr>
            </w:pPr>
            <w:r>
              <w:rPr>
                <w:color w:val="36363D"/>
              </w:rPr>
              <w:t>Chao1 Richness</w:t>
            </w:r>
          </w:p>
        </w:tc>
        <w:tc>
          <w:tcPr>
            <w:tcW w:w="1308" w:type="dxa"/>
          </w:tcPr>
          <w:p w14:paraId="498A4995" w14:textId="77777777" w:rsidR="00F076A6" w:rsidRDefault="00A54BA5">
            <w:pPr>
              <w:pStyle w:val="Compact"/>
              <w:spacing w:line="360" w:lineRule="auto"/>
              <w:jc w:val="both"/>
              <w:rPr>
                <w:color w:val="36363D"/>
              </w:rPr>
            </w:pPr>
            <w:r>
              <w:rPr>
                <w:color w:val="36363D"/>
              </w:rPr>
              <w:t>312 ± 78</w:t>
            </w:r>
          </w:p>
        </w:tc>
        <w:tc>
          <w:tcPr>
            <w:tcW w:w="1296" w:type="dxa"/>
          </w:tcPr>
          <w:p w14:paraId="5935ABC6" w14:textId="77777777" w:rsidR="00F076A6" w:rsidRDefault="00A54BA5">
            <w:pPr>
              <w:pStyle w:val="Compact"/>
              <w:spacing w:line="360" w:lineRule="auto"/>
              <w:jc w:val="both"/>
              <w:rPr>
                <w:color w:val="36363D"/>
              </w:rPr>
            </w:pPr>
            <w:r>
              <w:rPr>
                <w:color w:val="36363D"/>
              </w:rPr>
              <w:t>378 ± 98</w:t>
            </w:r>
          </w:p>
        </w:tc>
        <w:tc>
          <w:tcPr>
            <w:tcW w:w="1369" w:type="dxa"/>
          </w:tcPr>
          <w:p w14:paraId="7B0BB22D" w14:textId="77777777" w:rsidR="00F076A6" w:rsidRDefault="00A54BA5">
            <w:pPr>
              <w:pStyle w:val="Compact"/>
              <w:spacing w:line="360" w:lineRule="auto"/>
              <w:jc w:val="both"/>
              <w:rPr>
                <w:color w:val="36363D"/>
              </w:rPr>
            </w:pPr>
            <w:r>
              <w:rPr>
                <w:color w:val="36363D"/>
              </w:rPr>
              <w:t>267 ± 61</w:t>
            </w:r>
          </w:p>
        </w:tc>
        <w:tc>
          <w:tcPr>
            <w:tcW w:w="1197" w:type="dxa"/>
          </w:tcPr>
          <w:p w14:paraId="0ABF7418" w14:textId="77777777" w:rsidR="00F076A6" w:rsidRDefault="00A54BA5">
            <w:pPr>
              <w:pStyle w:val="Compact"/>
              <w:spacing w:line="360" w:lineRule="auto"/>
              <w:jc w:val="both"/>
              <w:rPr>
                <w:color w:val="36363D"/>
              </w:rPr>
            </w:pPr>
            <w:r>
              <w:rPr>
                <w:color w:val="36363D"/>
              </w:rPr>
              <w:t>142.8</w:t>
            </w:r>
          </w:p>
        </w:tc>
        <w:tc>
          <w:tcPr>
            <w:tcW w:w="983" w:type="dxa"/>
          </w:tcPr>
          <w:p w14:paraId="6DD5670D" w14:textId="77777777" w:rsidR="00F076A6" w:rsidRDefault="00A54BA5">
            <w:pPr>
              <w:pStyle w:val="Compact"/>
              <w:spacing w:line="360" w:lineRule="auto"/>
              <w:jc w:val="both"/>
              <w:rPr>
                <w:color w:val="36363D"/>
              </w:rPr>
            </w:pPr>
            <w:r>
              <w:rPr>
                <w:color w:val="36363D"/>
              </w:rPr>
              <w:t>&lt;0.001</w:t>
            </w:r>
          </w:p>
        </w:tc>
      </w:tr>
      <w:tr w:rsidR="00F076A6" w14:paraId="0E5950BE" w14:textId="77777777" w:rsidTr="00F076A6">
        <w:tc>
          <w:tcPr>
            <w:tcW w:w="2366" w:type="dxa"/>
          </w:tcPr>
          <w:p w14:paraId="47FE1778" w14:textId="77777777" w:rsidR="00F076A6" w:rsidRDefault="00A54BA5">
            <w:pPr>
              <w:pStyle w:val="Compact"/>
              <w:spacing w:line="360" w:lineRule="auto"/>
              <w:jc w:val="both"/>
              <w:rPr>
                <w:color w:val="36363D"/>
              </w:rPr>
            </w:pPr>
            <w:r>
              <w:rPr>
                <w:color w:val="36363D"/>
              </w:rPr>
              <w:t>Phylogenetic Diversity</w:t>
            </w:r>
          </w:p>
        </w:tc>
        <w:tc>
          <w:tcPr>
            <w:tcW w:w="1308" w:type="dxa"/>
          </w:tcPr>
          <w:p w14:paraId="79D743D6" w14:textId="77777777" w:rsidR="00F076A6" w:rsidRDefault="00A54BA5">
            <w:pPr>
              <w:pStyle w:val="Compact"/>
              <w:spacing w:line="360" w:lineRule="auto"/>
              <w:jc w:val="both"/>
              <w:rPr>
                <w:color w:val="36363D"/>
              </w:rPr>
            </w:pPr>
            <w:r>
              <w:rPr>
                <w:color w:val="36363D"/>
              </w:rPr>
              <w:t>12.4 ± 3.1</w:t>
            </w:r>
          </w:p>
        </w:tc>
        <w:tc>
          <w:tcPr>
            <w:tcW w:w="1296" w:type="dxa"/>
          </w:tcPr>
          <w:p w14:paraId="52526280" w14:textId="77777777" w:rsidR="00F076A6" w:rsidRDefault="00A54BA5">
            <w:pPr>
              <w:pStyle w:val="Compact"/>
              <w:spacing w:line="360" w:lineRule="auto"/>
              <w:jc w:val="both"/>
              <w:rPr>
                <w:color w:val="36363D"/>
              </w:rPr>
            </w:pPr>
            <w:r>
              <w:rPr>
                <w:color w:val="36363D"/>
              </w:rPr>
              <w:t>15.7 ± 4.2</w:t>
            </w:r>
          </w:p>
        </w:tc>
        <w:tc>
          <w:tcPr>
            <w:tcW w:w="1369" w:type="dxa"/>
          </w:tcPr>
          <w:p w14:paraId="3D99A8C9" w14:textId="77777777" w:rsidR="00F076A6" w:rsidRDefault="00A54BA5">
            <w:pPr>
              <w:pStyle w:val="Compact"/>
              <w:spacing w:line="360" w:lineRule="auto"/>
              <w:jc w:val="both"/>
              <w:rPr>
                <w:color w:val="36363D"/>
              </w:rPr>
            </w:pPr>
            <w:r>
              <w:rPr>
                <w:color w:val="36363D"/>
              </w:rPr>
              <w:t>10.8 ± 2.8</w:t>
            </w:r>
          </w:p>
        </w:tc>
        <w:tc>
          <w:tcPr>
            <w:tcW w:w="1197" w:type="dxa"/>
          </w:tcPr>
          <w:p w14:paraId="4AECEA28" w14:textId="77777777" w:rsidR="00F076A6" w:rsidRDefault="00A54BA5">
            <w:pPr>
              <w:pStyle w:val="Compact"/>
              <w:spacing w:line="360" w:lineRule="auto"/>
              <w:jc w:val="both"/>
              <w:rPr>
                <w:color w:val="36363D"/>
              </w:rPr>
            </w:pPr>
            <w:r>
              <w:rPr>
                <w:color w:val="36363D"/>
              </w:rPr>
              <w:t>134.6</w:t>
            </w:r>
          </w:p>
        </w:tc>
        <w:tc>
          <w:tcPr>
            <w:tcW w:w="983" w:type="dxa"/>
          </w:tcPr>
          <w:p w14:paraId="7DDFD0C7" w14:textId="77777777" w:rsidR="00F076A6" w:rsidRDefault="00A54BA5">
            <w:pPr>
              <w:pStyle w:val="Compact"/>
              <w:spacing w:line="360" w:lineRule="auto"/>
              <w:jc w:val="both"/>
              <w:rPr>
                <w:color w:val="36363D"/>
              </w:rPr>
            </w:pPr>
            <w:r>
              <w:rPr>
                <w:color w:val="36363D"/>
              </w:rPr>
              <w:t>&lt;0.001</w:t>
            </w:r>
          </w:p>
        </w:tc>
      </w:tr>
      <w:tr w:rsidR="00F076A6" w14:paraId="2F1D2C90" w14:textId="77777777" w:rsidTr="00F076A6">
        <w:tc>
          <w:tcPr>
            <w:tcW w:w="2366" w:type="dxa"/>
          </w:tcPr>
          <w:p w14:paraId="137B329D" w14:textId="77777777" w:rsidR="00F076A6" w:rsidRDefault="00A54BA5">
            <w:pPr>
              <w:pStyle w:val="Compact"/>
              <w:spacing w:line="360" w:lineRule="auto"/>
              <w:jc w:val="both"/>
              <w:rPr>
                <w:color w:val="36363D"/>
              </w:rPr>
            </w:pPr>
            <w:r>
              <w:rPr>
                <w:color w:val="36363D"/>
              </w:rPr>
              <w:t>Evenness</w:t>
            </w:r>
          </w:p>
        </w:tc>
        <w:tc>
          <w:tcPr>
            <w:tcW w:w="1308" w:type="dxa"/>
          </w:tcPr>
          <w:p w14:paraId="78515D3D" w14:textId="77777777" w:rsidR="00F076A6" w:rsidRDefault="00A54BA5">
            <w:pPr>
              <w:pStyle w:val="Compact"/>
              <w:spacing w:line="360" w:lineRule="auto"/>
              <w:jc w:val="both"/>
              <w:rPr>
                <w:color w:val="36363D"/>
              </w:rPr>
            </w:pPr>
            <w:r>
              <w:rPr>
                <w:color w:val="36363D"/>
              </w:rPr>
              <w:t>0.76 ± 0.12</w:t>
            </w:r>
          </w:p>
        </w:tc>
        <w:tc>
          <w:tcPr>
            <w:tcW w:w="1296" w:type="dxa"/>
          </w:tcPr>
          <w:p w14:paraId="6472F3CE" w14:textId="77777777" w:rsidR="00F076A6" w:rsidRDefault="00A54BA5">
            <w:pPr>
              <w:pStyle w:val="Compact"/>
              <w:spacing w:line="360" w:lineRule="auto"/>
              <w:jc w:val="both"/>
              <w:rPr>
                <w:color w:val="36363D"/>
              </w:rPr>
            </w:pPr>
            <w:r>
              <w:rPr>
                <w:color w:val="36363D"/>
              </w:rPr>
              <w:t>0.82 ± 0.09</w:t>
            </w:r>
          </w:p>
        </w:tc>
        <w:tc>
          <w:tcPr>
            <w:tcW w:w="1369" w:type="dxa"/>
          </w:tcPr>
          <w:p w14:paraId="29000F69" w14:textId="77777777" w:rsidR="00F076A6" w:rsidRDefault="00A54BA5">
            <w:pPr>
              <w:pStyle w:val="Compact"/>
              <w:spacing w:line="360" w:lineRule="auto"/>
              <w:jc w:val="both"/>
              <w:rPr>
                <w:color w:val="36363D"/>
              </w:rPr>
            </w:pPr>
            <w:r>
              <w:rPr>
                <w:color w:val="36363D"/>
              </w:rPr>
              <w:t>0.71 ± 0.14</w:t>
            </w:r>
          </w:p>
        </w:tc>
        <w:tc>
          <w:tcPr>
            <w:tcW w:w="1197" w:type="dxa"/>
          </w:tcPr>
          <w:p w14:paraId="025C065D" w14:textId="77777777" w:rsidR="00F076A6" w:rsidRDefault="00A54BA5">
            <w:pPr>
              <w:pStyle w:val="Compact"/>
              <w:spacing w:line="360" w:lineRule="auto"/>
              <w:jc w:val="both"/>
              <w:rPr>
                <w:color w:val="36363D"/>
              </w:rPr>
            </w:pPr>
            <w:r>
              <w:rPr>
                <w:color w:val="36363D"/>
              </w:rPr>
              <w:t>87.9</w:t>
            </w:r>
          </w:p>
        </w:tc>
        <w:tc>
          <w:tcPr>
            <w:tcW w:w="983" w:type="dxa"/>
          </w:tcPr>
          <w:p w14:paraId="1F6CE1BF" w14:textId="77777777" w:rsidR="00F076A6" w:rsidRDefault="00A54BA5">
            <w:pPr>
              <w:pStyle w:val="Compact"/>
              <w:spacing w:line="360" w:lineRule="auto"/>
              <w:jc w:val="both"/>
              <w:rPr>
                <w:color w:val="36363D"/>
              </w:rPr>
            </w:pPr>
            <w:r>
              <w:rPr>
                <w:color w:val="36363D"/>
              </w:rPr>
              <w:t>&lt;0.001</w:t>
            </w:r>
          </w:p>
        </w:tc>
      </w:tr>
    </w:tbl>
    <w:p w14:paraId="0D43686E" w14:textId="77777777" w:rsidR="00F076A6" w:rsidRDefault="00A54BA5">
      <w:pPr>
        <w:pStyle w:val="BodyText"/>
        <w:spacing w:line="360" w:lineRule="auto"/>
        <w:jc w:val="both"/>
        <w:rPr>
          <w:color w:val="36363D"/>
        </w:rPr>
      </w:pPr>
      <w:r>
        <w:rPr>
          <w:color w:val="36363D"/>
        </w:rPr>
        <w:t xml:space="preserve">The pattern of reduced diversity in </w:t>
      </w:r>
      <w:r w:rsidR="004B0DE1">
        <w:rPr>
          <w:color w:val="36363D"/>
        </w:rPr>
        <w:t xml:space="preserve">industrialised </w:t>
      </w:r>
      <w:r>
        <w:rPr>
          <w:color w:val="36363D"/>
        </w:rPr>
        <w:t>environments was consistent across all measured indices, supporting the hypothesis that environmental pollutants and lifestyle factors negatively impact microbial diversity.</w:t>
      </w:r>
    </w:p>
    <w:p w14:paraId="6E0A0ED0" w14:textId="77777777" w:rsidR="00F076A6" w:rsidRDefault="00A54BA5">
      <w:pPr>
        <w:pStyle w:val="Heading31"/>
        <w:spacing w:line="360" w:lineRule="auto"/>
        <w:jc w:val="both"/>
        <w:rPr>
          <w:color w:val="36363D"/>
        </w:rPr>
      </w:pPr>
      <w:bookmarkStart w:id="24" w:name="X416a8dbd9f0d9cf785e5120ace5a618602b1a38"/>
      <w:bookmarkEnd w:id="23"/>
      <w:r>
        <w:rPr>
          <w:color w:val="36363D"/>
        </w:rPr>
        <w:t xml:space="preserve"> Taxonomic Composition Differences</w:t>
      </w:r>
    </w:p>
    <w:p w14:paraId="12E72D03" w14:textId="77777777" w:rsidR="00F076A6" w:rsidRDefault="00A54BA5">
      <w:pPr>
        <w:pStyle w:val="FirstParagraph"/>
        <w:spacing w:line="360" w:lineRule="auto"/>
        <w:jc w:val="both"/>
        <w:rPr>
          <w:color w:val="36363D"/>
        </w:rPr>
      </w:pPr>
      <w:r>
        <w:rPr>
          <w:color w:val="36363D"/>
        </w:rPr>
        <w:t xml:space="preserve">Metagenomic analysis revealed significant taxonomic differences between environmental groups at multiple phylogenetic levels. Industrial environments were </w:t>
      </w:r>
      <w:r w:rsidR="004B0DE1">
        <w:rPr>
          <w:color w:val="36363D"/>
        </w:rPr>
        <w:t xml:space="preserve">characterised </w:t>
      </w:r>
      <w:r>
        <w:rPr>
          <w:color w:val="36363D"/>
        </w:rPr>
        <w:t>by enrichment of potentially pathogenic taxa and depletion of beneficial microbes.</w:t>
      </w:r>
    </w:p>
    <w:p w14:paraId="49B691D9" w14:textId="77777777" w:rsidR="00F076A6" w:rsidRDefault="00A54BA5">
      <w:pPr>
        <w:pStyle w:val="BodyText"/>
        <w:spacing w:line="360" w:lineRule="auto"/>
        <w:jc w:val="both"/>
        <w:rPr>
          <w:color w:val="36363D"/>
        </w:rPr>
      </w:pPr>
      <w:r>
        <w:rPr>
          <w:b/>
          <w:bCs/>
          <w:color w:val="36363D"/>
        </w:rPr>
        <w:t>Table 3: Differentially Abundant Bacterial Taxa by Environmental Category</w:t>
      </w:r>
    </w:p>
    <w:tbl>
      <w:tblPr>
        <w:tblStyle w:val="Table"/>
        <w:tblW w:w="0" w:type="auto"/>
        <w:tblInd w:w="0" w:type="dxa"/>
        <w:tblLayout w:type="fixed"/>
        <w:tblLook w:val="04A0" w:firstRow="1" w:lastRow="0" w:firstColumn="1" w:lastColumn="0" w:noHBand="0" w:noVBand="1"/>
      </w:tblPr>
      <w:tblGrid>
        <w:gridCol w:w="2078"/>
        <w:gridCol w:w="874"/>
        <w:gridCol w:w="800"/>
        <w:gridCol w:w="1247"/>
        <w:gridCol w:w="824"/>
        <w:gridCol w:w="977"/>
        <w:gridCol w:w="1719"/>
      </w:tblGrid>
      <w:tr w:rsidR="00F076A6" w14:paraId="2ECDA032" w14:textId="77777777" w:rsidTr="00F076A6">
        <w:trPr>
          <w:cnfStyle w:val="100000000000" w:firstRow="1" w:lastRow="0" w:firstColumn="0" w:lastColumn="0" w:oddVBand="0" w:evenVBand="0" w:oddHBand="0" w:evenHBand="0" w:firstRowFirstColumn="0" w:firstRowLastColumn="0" w:lastRowFirstColumn="0" w:lastRowLastColumn="0"/>
          <w:tblHeader/>
        </w:trPr>
        <w:tc>
          <w:tcPr>
            <w:tcW w:w="2078" w:type="dxa"/>
          </w:tcPr>
          <w:p w14:paraId="7C060FCA" w14:textId="77777777" w:rsidR="00F076A6" w:rsidRDefault="00A54BA5">
            <w:pPr>
              <w:pStyle w:val="Compact"/>
              <w:spacing w:line="360" w:lineRule="auto"/>
              <w:jc w:val="both"/>
              <w:rPr>
                <w:color w:val="36363D"/>
              </w:rPr>
            </w:pPr>
            <w:r>
              <w:rPr>
                <w:color w:val="36363D"/>
              </w:rPr>
              <w:t>Taxon</w:t>
            </w:r>
          </w:p>
        </w:tc>
        <w:tc>
          <w:tcPr>
            <w:tcW w:w="874" w:type="dxa"/>
          </w:tcPr>
          <w:p w14:paraId="0F98B00C" w14:textId="77777777" w:rsidR="00F076A6" w:rsidRDefault="00A54BA5">
            <w:pPr>
              <w:pStyle w:val="Compact"/>
              <w:spacing w:line="360" w:lineRule="auto"/>
              <w:jc w:val="both"/>
              <w:rPr>
                <w:color w:val="36363D"/>
              </w:rPr>
            </w:pPr>
            <w:r>
              <w:rPr>
                <w:color w:val="36363D"/>
              </w:rPr>
              <w:t>Urban %</w:t>
            </w:r>
          </w:p>
        </w:tc>
        <w:tc>
          <w:tcPr>
            <w:tcW w:w="800" w:type="dxa"/>
          </w:tcPr>
          <w:p w14:paraId="6FA672FB" w14:textId="77777777" w:rsidR="00F076A6" w:rsidRDefault="00A54BA5">
            <w:pPr>
              <w:pStyle w:val="Compact"/>
              <w:spacing w:line="360" w:lineRule="auto"/>
              <w:jc w:val="both"/>
              <w:rPr>
                <w:color w:val="36363D"/>
              </w:rPr>
            </w:pPr>
            <w:r>
              <w:rPr>
                <w:color w:val="36363D"/>
              </w:rPr>
              <w:t>Rural %</w:t>
            </w:r>
          </w:p>
        </w:tc>
        <w:tc>
          <w:tcPr>
            <w:tcW w:w="1247" w:type="dxa"/>
          </w:tcPr>
          <w:p w14:paraId="5F95F0FB" w14:textId="77777777" w:rsidR="00F076A6" w:rsidRDefault="00A54BA5">
            <w:pPr>
              <w:pStyle w:val="Compact"/>
              <w:spacing w:line="360" w:lineRule="auto"/>
              <w:jc w:val="both"/>
              <w:rPr>
                <w:color w:val="36363D"/>
              </w:rPr>
            </w:pPr>
            <w:r>
              <w:rPr>
                <w:color w:val="36363D"/>
              </w:rPr>
              <w:t>Industrial %</w:t>
            </w:r>
          </w:p>
        </w:tc>
        <w:tc>
          <w:tcPr>
            <w:tcW w:w="824" w:type="dxa"/>
          </w:tcPr>
          <w:p w14:paraId="164AB94F" w14:textId="77777777" w:rsidR="00F076A6" w:rsidRDefault="00A54BA5">
            <w:pPr>
              <w:pStyle w:val="Compact"/>
              <w:spacing w:line="360" w:lineRule="auto"/>
              <w:jc w:val="both"/>
              <w:rPr>
                <w:color w:val="36363D"/>
              </w:rPr>
            </w:pPr>
            <w:r>
              <w:rPr>
                <w:color w:val="36363D"/>
              </w:rPr>
              <w:t>LDA Score</w:t>
            </w:r>
          </w:p>
        </w:tc>
        <w:tc>
          <w:tcPr>
            <w:tcW w:w="977" w:type="dxa"/>
          </w:tcPr>
          <w:p w14:paraId="4BB3C34C" w14:textId="77777777" w:rsidR="00F076A6" w:rsidRDefault="00A54BA5">
            <w:pPr>
              <w:pStyle w:val="Compact"/>
              <w:spacing w:line="360" w:lineRule="auto"/>
              <w:jc w:val="both"/>
              <w:rPr>
                <w:color w:val="36363D"/>
              </w:rPr>
            </w:pPr>
            <w:r>
              <w:rPr>
                <w:color w:val="36363D"/>
              </w:rPr>
              <w:t>P-value</w:t>
            </w:r>
          </w:p>
        </w:tc>
        <w:tc>
          <w:tcPr>
            <w:tcW w:w="1719" w:type="dxa"/>
          </w:tcPr>
          <w:p w14:paraId="4A580BE8" w14:textId="77777777" w:rsidR="00F076A6" w:rsidRDefault="00A54BA5">
            <w:pPr>
              <w:pStyle w:val="Compact"/>
              <w:spacing w:line="360" w:lineRule="auto"/>
              <w:jc w:val="both"/>
              <w:rPr>
                <w:color w:val="36363D"/>
              </w:rPr>
            </w:pPr>
            <w:r>
              <w:rPr>
                <w:color w:val="36363D"/>
              </w:rPr>
              <w:t>Function</w:t>
            </w:r>
          </w:p>
        </w:tc>
      </w:tr>
      <w:tr w:rsidR="00F076A6" w14:paraId="219A4A60" w14:textId="77777777" w:rsidTr="00F076A6">
        <w:tc>
          <w:tcPr>
            <w:tcW w:w="2078" w:type="dxa"/>
          </w:tcPr>
          <w:p w14:paraId="21875AA2" w14:textId="77777777" w:rsidR="00F076A6" w:rsidRDefault="00A54BA5">
            <w:pPr>
              <w:pStyle w:val="Compact"/>
              <w:spacing w:line="360" w:lineRule="auto"/>
              <w:jc w:val="both"/>
              <w:rPr>
                <w:color w:val="36363D"/>
              </w:rPr>
            </w:pPr>
            <w:r>
              <w:rPr>
                <w:color w:val="36363D"/>
              </w:rPr>
              <w:t>Bacteroides fragilis</w:t>
            </w:r>
          </w:p>
        </w:tc>
        <w:tc>
          <w:tcPr>
            <w:tcW w:w="874" w:type="dxa"/>
          </w:tcPr>
          <w:p w14:paraId="60ACC2BB" w14:textId="77777777" w:rsidR="00F076A6" w:rsidRDefault="00A54BA5">
            <w:pPr>
              <w:pStyle w:val="Compact"/>
              <w:spacing w:line="360" w:lineRule="auto"/>
              <w:jc w:val="both"/>
              <w:rPr>
                <w:color w:val="36363D"/>
              </w:rPr>
            </w:pPr>
            <w:r>
              <w:rPr>
                <w:color w:val="36363D"/>
              </w:rPr>
              <w:t>8.4</w:t>
            </w:r>
          </w:p>
        </w:tc>
        <w:tc>
          <w:tcPr>
            <w:tcW w:w="800" w:type="dxa"/>
          </w:tcPr>
          <w:p w14:paraId="5EB75D84" w14:textId="77777777" w:rsidR="00F076A6" w:rsidRDefault="00A54BA5">
            <w:pPr>
              <w:pStyle w:val="Compact"/>
              <w:spacing w:line="360" w:lineRule="auto"/>
              <w:jc w:val="both"/>
              <w:rPr>
                <w:color w:val="36363D"/>
              </w:rPr>
            </w:pPr>
            <w:r>
              <w:rPr>
                <w:color w:val="36363D"/>
              </w:rPr>
              <w:t>5.2</w:t>
            </w:r>
          </w:p>
        </w:tc>
        <w:tc>
          <w:tcPr>
            <w:tcW w:w="1247" w:type="dxa"/>
          </w:tcPr>
          <w:p w14:paraId="3B8B8C23" w14:textId="77777777" w:rsidR="00F076A6" w:rsidRDefault="00A54BA5">
            <w:pPr>
              <w:pStyle w:val="Compact"/>
              <w:spacing w:line="360" w:lineRule="auto"/>
              <w:jc w:val="both"/>
              <w:rPr>
                <w:color w:val="36363D"/>
              </w:rPr>
            </w:pPr>
            <w:r>
              <w:rPr>
                <w:color w:val="36363D"/>
              </w:rPr>
              <w:t>12.7</w:t>
            </w:r>
          </w:p>
        </w:tc>
        <w:tc>
          <w:tcPr>
            <w:tcW w:w="824" w:type="dxa"/>
          </w:tcPr>
          <w:p w14:paraId="738BE5DD" w14:textId="77777777" w:rsidR="00F076A6" w:rsidRDefault="00A54BA5">
            <w:pPr>
              <w:pStyle w:val="Compact"/>
              <w:spacing w:line="360" w:lineRule="auto"/>
              <w:jc w:val="both"/>
              <w:rPr>
                <w:color w:val="36363D"/>
              </w:rPr>
            </w:pPr>
            <w:r>
              <w:rPr>
                <w:color w:val="36363D"/>
              </w:rPr>
              <w:t>4.23</w:t>
            </w:r>
          </w:p>
        </w:tc>
        <w:tc>
          <w:tcPr>
            <w:tcW w:w="977" w:type="dxa"/>
          </w:tcPr>
          <w:p w14:paraId="58FE569B" w14:textId="77777777" w:rsidR="00F076A6" w:rsidRDefault="00A54BA5">
            <w:pPr>
              <w:pStyle w:val="Compact"/>
              <w:spacing w:line="360" w:lineRule="auto"/>
              <w:jc w:val="both"/>
              <w:rPr>
                <w:color w:val="36363D"/>
              </w:rPr>
            </w:pPr>
            <w:r>
              <w:rPr>
                <w:color w:val="36363D"/>
              </w:rPr>
              <w:t>&lt;0.001</w:t>
            </w:r>
          </w:p>
        </w:tc>
        <w:tc>
          <w:tcPr>
            <w:tcW w:w="1719" w:type="dxa"/>
          </w:tcPr>
          <w:p w14:paraId="304D53F2" w14:textId="77777777" w:rsidR="00F076A6" w:rsidRDefault="00A54BA5">
            <w:pPr>
              <w:pStyle w:val="Compact"/>
              <w:spacing w:line="360" w:lineRule="auto"/>
              <w:jc w:val="both"/>
              <w:rPr>
                <w:color w:val="36363D"/>
              </w:rPr>
            </w:pPr>
            <w:r>
              <w:rPr>
                <w:color w:val="36363D"/>
              </w:rPr>
              <w:t>Pathogenic potential</w:t>
            </w:r>
          </w:p>
        </w:tc>
      </w:tr>
      <w:tr w:rsidR="00F076A6" w14:paraId="2A040403" w14:textId="77777777" w:rsidTr="00F076A6">
        <w:tc>
          <w:tcPr>
            <w:tcW w:w="2078" w:type="dxa"/>
          </w:tcPr>
          <w:p w14:paraId="37240816" w14:textId="77777777" w:rsidR="00F076A6" w:rsidRDefault="00A54BA5">
            <w:pPr>
              <w:pStyle w:val="Compact"/>
              <w:spacing w:line="360" w:lineRule="auto"/>
              <w:jc w:val="both"/>
              <w:rPr>
                <w:color w:val="36363D"/>
              </w:rPr>
            </w:pPr>
            <w:r>
              <w:rPr>
                <w:color w:val="36363D"/>
              </w:rPr>
              <w:t>Faecalibacterium prausnitzii</w:t>
            </w:r>
          </w:p>
        </w:tc>
        <w:tc>
          <w:tcPr>
            <w:tcW w:w="874" w:type="dxa"/>
          </w:tcPr>
          <w:p w14:paraId="7C570B35" w14:textId="77777777" w:rsidR="00F076A6" w:rsidRDefault="00A54BA5">
            <w:pPr>
              <w:pStyle w:val="Compact"/>
              <w:spacing w:line="360" w:lineRule="auto"/>
              <w:jc w:val="both"/>
              <w:rPr>
                <w:color w:val="36363D"/>
              </w:rPr>
            </w:pPr>
            <w:r>
              <w:rPr>
                <w:color w:val="36363D"/>
              </w:rPr>
              <w:t>6.2</w:t>
            </w:r>
          </w:p>
        </w:tc>
        <w:tc>
          <w:tcPr>
            <w:tcW w:w="800" w:type="dxa"/>
          </w:tcPr>
          <w:p w14:paraId="3255DA94" w14:textId="77777777" w:rsidR="00F076A6" w:rsidRDefault="00A54BA5">
            <w:pPr>
              <w:pStyle w:val="Compact"/>
              <w:spacing w:line="360" w:lineRule="auto"/>
              <w:jc w:val="both"/>
              <w:rPr>
                <w:color w:val="36363D"/>
              </w:rPr>
            </w:pPr>
            <w:r>
              <w:rPr>
                <w:color w:val="36363D"/>
              </w:rPr>
              <w:t>11.8</w:t>
            </w:r>
          </w:p>
        </w:tc>
        <w:tc>
          <w:tcPr>
            <w:tcW w:w="1247" w:type="dxa"/>
          </w:tcPr>
          <w:p w14:paraId="22AF3004" w14:textId="77777777" w:rsidR="00F076A6" w:rsidRDefault="00A54BA5">
            <w:pPr>
              <w:pStyle w:val="Compact"/>
              <w:spacing w:line="360" w:lineRule="auto"/>
              <w:jc w:val="both"/>
              <w:rPr>
                <w:color w:val="36363D"/>
              </w:rPr>
            </w:pPr>
            <w:r>
              <w:rPr>
                <w:color w:val="36363D"/>
              </w:rPr>
              <w:t>3.9</w:t>
            </w:r>
          </w:p>
        </w:tc>
        <w:tc>
          <w:tcPr>
            <w:tcW w:w="824" w:type="dxa"/>
          </w:tcPr>
          <w:p w14:paraId="35D1D189" w14:textId="77777777" w:rsidR="00F076A6" w:rsidRDefault="00A54BA5">
            <w:pPr>
              <w:pStyle w:val="Compact"/>
              <w:spacing w:line="360" w:lineRule="auto"/>
              <w:jc w:val="both"/>
              <w:rPr>
                <w:color w:val="36363D"/>
              </w:rPr>
            </w:pPr>
            <w:r>
              <w:rPr>
                <w:color w:val="36363D"/>
              </w:rPr>
              <w:t>4.67</w:t>
            </w:r>
          </w:p>
        </w:tc>
        <w:tc>
          <w:tcPr>
            <w:tcW w:w="977" w:type="dxa"/>
          </w:tcPr>
          <w:p w14:paraId="4D604491" w14:textId="77777777" w:rsidR="00F076A6" w:rsidRDefault="00A54BA5">
            <w:pPr>
              <w:pStyle w:val="Compact"/>
              <w:spacing w:line="360" w:lineRule="auto"/>
              <w:jc w:val="both"/>
              <w:rPr>
                <w:color w:val="36363D"/>
              </w:rPr>
            </w:pPr>
            <w:r>
              <w:rPr>
                <w:color w:val="36363D"/>
              </w:rPr>
              <w:t>&lt;0.001</w:t>
            </w:r>
          </w:p>
        </w:tc>
        <w:tc>
          <w:tcPr>
            <w:tcW w:w="1719" w:type="dxa"/>
          </w:tcPr>
          <w:p w14:paraId="013359AD" w14:textId="77777777" w:rsidR="00F076A6" w:rsidRDefault="00A54BA5">
            <w:pPr>
              <w:pStyle w:val="Compact"/>
              <w:spacing w:line="360" w:lineRule="auto"/>
              <w:jc w:val="both"/>
              <w:rPr>
                <w:color w:val="36363D"/>
              </w:rPr>
            </w:pPr>
            <w:r>
              <w:rPr>
                <w:color w:val="36363D"/>
              </w:rPr>
              <w:t>SCFA production</w:t>
            </w:r>
          </w:p>
        </w:tc>
      </w:tr>
      <w:tr w:rsidR="00F076A6" w14:paraId="690BA211" w14:textId="77777777" w:rsidTr="00F076A6">
        <w:tc>
          <w:tcPr>
            <w:tcW w:w="2078" w:type="dxa"/>
          </w:tcPr>
          <w:p w14:paraId="771AA979" w14:textId="77777777" w:rsidR="00F076A6" w:rsidRDefault="00A54BA5">
            <w:pPr>
              <w:pStyle w:val="Compact"/>
              <w:spacing w:line="360" w:lineRule="auto"/>
              <w:jc w:val="both"/>
              <w:rPr>
                <w:color w:val="36363D"/>
              </w:rPr>
            </w:pPr>
            <w:r>
              <w:rPr>
                <w:color w:val="36363D"/>
              </w:rPr>
              <w:t>Bifidobacterium longum</w:t>
            </w:r>
          </w:p>
        </w:tc>
        <w:tc>
          <w:tcPr>
            <w:tcW w:w="874" w:type="dxa"/>
          </w:tcPr>
          <w:p w14:paraId="54E4901D" w14:textId="77777777" w:rsidR="00F076A6" w:rsidRDefault="00A54BA5">
            <w:pPr>
              <w:pStyle w:val="Compact"/>
              <w:spacing w:line="360" w:lineRule="auto"/>
              <w:jc w:val="both"/>
              <w:rPr>
                <w:color w:val="36363D"/>
              </w:rPr>
            </w:pPr>
            <w:r>
              <w:rPr>
                <w:color w:val="36363D"/>
              </w:rPr>
              <w:t>3.1</w:t>
            </w:r>
          </w:p>
        </w:tc>
        <w:tc>
          <w:tcPr>
            <w:tcW w:w="800" w:type="dxa"/>
          </w:tcPr>
          <w:p w14:paraId="5F798239" w14:textId="77777777" w:rsidR="00F076A6" w:rsidRDefault="00A54BA5">
            <w:pPr>
              <w:pStyle w:val="Compact"/>
              <w:spacing w:line="360" w:lineRule="auto"/>
              <w:jc w:val="both"/>
              <w:rPr>
                <w:color w:val="36363D"/>
              </w:rPr>
            </w:pPr>
            <w:r>
              <w:rPr>
                <w:color w:val="36363D"/>
              </w:rPr>
              <w:t>6.7</w:t>
            </w:r>
          </w:p>
        </w:tc>
        <w:tc>
          <w:tcPr>
            <w:tcW w:w="1247" w:type="dxa"/>
          </w:tcPr>
          <w:p w14:paraId="5385AECE" w14:textId="77777777" w:rsidR="00F076A6" w:rsidRDefault="00A54BA5">
            <w:pPr>
              <w:pStyle w:val="Compact"/>
              <w:spacing w:line="360" w:lineRule="auto"/>
              <w:jc w:val="both"/>
              <w:rPr>
                <w:color w:val="36363D"/>
              </w:rPr>
            </w:pPr>
            <w:r>
              <w:rPr>
                <w:color w:val="36363D"/>
              </w:rPr>
              <w:t>2.3</w:t>
            </w:r>
          </w:p>
        </w:tc>
        <w:tc>
          <w:tcPr>
            <w:tcW w:w="824" w:type="dxa"/>
          </w:tcPr>
          <w:p w14:paraId="4A8FF678" w14:textId="77777777" w:rsidR="00F076A6" w:rsidRDefault="00A54BA5">
            <w:pPr>
              <w:pStyle w:val="Compact"/>
              <w:spacing w:line="360" w:lineRule="auto"/>
              <w:jc w:val="both"/>
              <w:rPr>
                <w:color w:val="36363D"/>
              </w:rPr>
            </w:pPr>
            <w:r>
              <w:rPr>
                <w:color w:val="36363D"/>
              </w:rPr>
              <w:t>3.89</w:t>
            </w:r>
          </w:p>
        </w:tc>
        <w:tc>
          <w:tcPr>
            <w:tcW w:w="977" w:type="dxa"/>
          </w:tcPr>
          <w:p w14:paraId="0FEF2713" w14:textId="77777777" w:rsidR="00F076A6" w:rsidRDefault="00A54BA5">
            <w:pPr>
              <w:pStyle w:val="Compact"/>
              <w:spacing w:line="360" w:lineRule="auto"/>
              <w:jc w:val="both"/>
              <w:rPr>
                <w:color w:val="36363D"/>
              </w:rPr>
            </w:pPr>
            <w:r>
              <w:rPr>
                <w:color w:val="36363D"/>
              </w:rPr>
              <w:t>&lt;0.001</w:t>
            </w:r>
          </w:p>
        </w:tc>
        <w:tc>
          <w:tcPr>
            <w:tcW w:w="1719" w:type="dxa"/>
          </w:tcPr>
          <w:p w14:paraId="64BAB055" w14:textId="77777777" w:rsidR="00F076A6" w:rsidRDefault="00A54BA5">
            <w:pPr>
              <w:pStyle w:val="Compact"/>
              <w:spacing w:line="360" w:lineRule="auto"/>
              <w:jc w:val="both"/>
              <w:rPr>
                <w:color w:val="36363D"/>
              </w:rPr>
            </w:pPr>
            <w:r>
              <w:rPr>
                <w:color w:val="36363D"/>
              </w:rPr>
              <w:t>Probiotic effects</w:t>
            </w:r>
          </w:p>
        </w:tc>
      </w:tr>
      <w:tr w:rsidR="00F076A6" w14:paraId="11773201" w14:textId="77777777" w:rsidTr="00F076A6">
        <w:tc>
          <w:tcPr>
            <w:tcW w:w="2078" w:type="dxa"/>
          </w:tcPr>
          <w:p w14:paraId="7E55434F" w14:textId="77777777" w:rsidR="00F076A6" w:rsidRDefault="00A54BA5">
            <w:pPr>
              <w:pStyle w:val="Compact"/>
              <w:spacing w:line="360" w:lineRule="auto"/>
              <w:jc w:val="both"/>
              <w:rPr>
                <w:color w:val="36363D"/>
              </w:rPr>
            </w:pPr>
            <w:r>
              <w:rPr>
                <w:color w:val="36363D"/>
              </w:rPr>
              <w:t>Escherichia coli</w:t>
            </w:r>
          </w:p>
        </w:tc>
        <w:tc>
          <w:tcPr>
            <w:tcW w:w="874" w:type="dxa"/>
          </w:tcPr>
          <w:p w14:paraId="28042570" w14:textId="77777777" w:rsidR="00F076A6" w:rsidRDefault="00A54BA5">
            <w:pPr>
              <w:pStyle w:val="Compact"/>
              <w:spacing w:line="360" w:lineRule="auto"/>
              <w:jc w:val="both"/>
              <w:rPr>
                <w:color w:val="36363D"/>
              </w:rPr>
            </w:pPr>
            <w:r>
              <w:rPr>
                <w:color w:val="36363D"/>
              </w:rPr>
              <w:t>2.8</w:t>
            </w:r>
          </w:p>
        </w:tc>
        <w:tc>
          <w:tcPr>
            <w:tcW w:w="800" w:type="dxa"/>
          </w:tcPr>
          <w:p w14:paraId="421CF75B" w14:textId="77777777" w:rsidR="00F076A6" w:rsidRDefault="00A54BA5">
            <w:pPr>
              <w:pStyle w:val="Compact"/>
              <w:spacing w:line="360" w:lineRule="auto"/>
              <w:jc w:val="both"/>
              <w:rPr>
                <w:color w:val="36363D"/>
              </w:rPr>
            </w:pPr>
            <w:r>
              <w:rPr>
                <w:color w:val="36363D"/>
              </w:rPr>
              <w:t>1.4</w:t>
            </w:r>
          </w:p>
        </w:tc>
        <w:tc>
          <w:tcPr>
            <w:tcW w:w="1247" w:type="dxa"/>
          </w:tcPr>
          <w:p w14:paraId="6C4A2457" w14:textId="77777777" w:rsidR="00F076A6" w:rsidRDefault="00A54BA5">
            <w:pPr>
              <w:pStyle w:val="Compact"/>
              <w:spacing w:line="360" w:lineRule="auto"/>
              <w:jc w:val="both"/>
              <w:rPr>
                <w:color w:val="36363D"/>
              </w:rPr>
            </w:pPr>
            <w:r>
              <w:rPr>
                <w:color w:val="36363D"/>
              </w:rPr>
              <w:t>4.2</w:t>
            </w:r>
          </w:p>
        </w:tc>
        <w:tc>
          <w:tcPr>
            <w:tcW w:w="824" w:type="dxa"/>
          </w:tcPr>
          <w:p w14:paraId="736105FA" w14:textId="77777777" w:rsidR="00F076A6" w:rsidRDefault="00A54BA5">
            <w:pPr>
              <w:pStyle w:val="Compact"/>
              <w:spacing w:line="360" w:lineRule="auto"/>
              <w:jc w:val="both"/>
              <w:rPr>
                <w:color w:val="36363D"/>
              </w:rPr>
            </w:pPr>
            <w:r>
              <w:rPr>
                <w:color w:val="36363D"/>
              </w:rPr>
              <w:t>3.56</w:t>
            </w:r>
          </w:p>
        </w:tc>
        <w:tc>
          <w:tcPr>
            <w:tcW w:w="977" w:type="dxa"/>
          </w:tcPr>
          <w:p w14:paraId="6C2F4912" w14:textId="77777777" w:rsidR="00F076A6" w:rsidRDefault="00A54BA5">
            <w:pPr>
              <w:pStyle w:val="Compact"/>
              <w:spacing w:line="360" w:lineRule="auto"/>
              <w:jc w:val="both"/>
              <w:rPr>
                <w:color w:val="36363D"/>
              </w:rPr>
            </w:pPr>
            <w:r>
              <w:rPr>
                <w:color w:val="36363D"/>
              </w:rPr>
              <w:t>&lt;0.001</w:t>
            </w:r>
          </w:p>
        </w:tc>
        <w:tc>
          <w:tcPr>
            <w:tcW w:w="1719" w:type="dxa"/>
          </w:tcPr>
          <w:p w14:paraId="6D131E1D" w14:textId="77777777" w:rsidR="00F076A6" w:rsidRDefault="00A54BA5">
            <w:pPr>
              <w:pStyle w:val="Compact"/>
              <w:spacing w:line="360" w:lineRule="auto"/>
              <w:jc w:val="both"/>
              <w:rPr>
                <w:color w:val="36363D"/>
              </w:rPr>
            </w:pPr>
            <w:r>
              <w:rPr>
                <w:color w:val="36363D"/>
              </w:rPr>
              <w:t xml:space="preserve">Opportunistic </w:t>
            </w:r>
            <w:r>
              <w:rPr>
                <w:color w:val="36363D"/>
              </w:rPr>
              <w:lastRenderedPageBreak/>
              <w:t>pathogen</w:t>
            </w:r>
          </w:p>
        </w:tc>
      </w:tr>
      <w:tr w:rsidR="00F076A6" w14:paraId="570CC494" w14:textId="77777777" w:rsidTr="00F076A6">
        <w:tc>
          <w:tcPr>
            <w:tcW w:w="2078" w:type="dxa"/>
          </w:tcPr>
          <w:p w14:paraId="24C60065" w14:textId="77777777" w:rsidR="00F076A6" w:rsidRDefault="00A54BA5">
            <w:pPr>
              <w:pStyle w:val="Compact"/>
              <w:spacing w:line="360" w:lineRule="auto"/>
              <w:jc w:val="both"/>
              <w:rPr>
                <w:color w:val="36363D"/>
              </w:rPr>
            </w:pPr>
            <w:r>
              <w:rPr>
                <w:color w:val="36363D"/>
              </w:rPr>
              <w:lastRenderedPageBreak/>
              <w:t>Akkermansia muciniphila</w:t>
            </w:r>
          </w:p>
        </w:tc>
        <w:tc>
          <w:tcPr>
            <w:tcW w:w="874" w:type="dxa"/>
          </w:tcPr>
          <w:p w14:paraId="5B09E6BA" w14:textId="77777777" w:rsidR="00F076A6" w:rsidRDefault="00A54BA5">
            <w:pPr>
              <w:pStyle w:val="Compact"/>
              <w:spacing w:line="360" w:lineRule="auto"/>
              <w:jc w:val="both"/>
              <w:rPr>
                <w:color w:val="36363D"/>
              </w:rPr>
            </w:pPr>
            <w:r>
              <w:rPr>
                <w:color w:val="36363D"/>
              </w:rPr>
              <w:t>2.9</w:t>
            </w:r>
          </w:p>
        </w:tc>
        <w:tc>
          <w:tcPr>
            <w:tcW w:w="800" w:type="dxa"/>
          </w:tcPr>
          <w:p w14:paraId="25E544B7" w14:textId="77777777" w:rsidR="00F076A6" w:rsidRDefault="00A54BA5">
            <w:pPr>
              <w:pStyle w:val="Compact"/>
              <w:spacing w:line="360" w:lineRule="auto"/>
              <w:jc w:val="both"/>
              <w:rPr>
                <w:color w:val="36363D"/>
              </w:rPr>
            </w:pPr>
            <w:r>
              <w:rPr>
                <w:color w:val="36363D"/>
              </w:rPr>
              <w:t>4.8</w:t>
            </w:r>
          </w:p>
        </w:tc>
        <w:tc>
          <w:tcPr>
            <w:tcW w:w="1247" w:type="dxa"/>
          </w:tcPr>
          <w:p w14:paraId="6789DD78" w14:textId="77777777" w:rsidR="00F076A6" w:rsidRDefault="00A54BA5">
            <w:pPr>
              <w:pStyle w:val="Compact"/>
              <w:spacing w:line="360" w:lineRule="auto"/>
              <w:jc w:val="both"/>
              <w:rPr>
                <w:color w:val="36363D"/>
              </w:rPr>
            </w:pPr>
            <w:r>
              <w:rPr>
                <w:color w:val="36363D"/>
              </w:rPr>
              <w:t>2.1</w:t>
            </w:r>
          </w:p>
        </w:tc>
        <w:tc>
          <w:tcPr>
            <w:tcW w:w="824" w:type="dxa"/>
          </w:tcPr>
          <w:p w14:paraId="2F023F41" w14:textId="77777777" w:rsidR="00F076A6" w:rsidRDefault="00A54BA5">
            <w:pPr>
              <w:pStyle w:val="Compact"/>
              <w:spacing w:line="360" w:lineRule="auto"/>
              <w:jc w:val="both"/>
              <w:rPr>
                <w:color w:val="36363D"/>
              </w:rPr>
            </w:pPr>
            <w:r>
              <w:rPr>
                <w:color w:val="36363D"/>
              </w:rPr>
              <w:t>3.78</w:t>
            </w:r>
          </w:p>
        </w:tc>
        <w:tc>
          <w:tcPr>
            <w:tcW w:w="977" w:type="dxa"/>
          </w:tcPr>
          <w:p w14:paraId="0441615B" w14:textId="77777777" w:rsidR="00F076A6" w:rsidRDefault="00A54BA5">
            <w:pPr>
              <w:pStyle w:val="Compact"/>
              <w:spacing w:line="360" w:lineRule="auto"/>
              <w:jc w:val="both"/>
              <w:rPr>
                <w:color w:val="36363D"/>
              </w:rPr>
            </w:pPr>
            <w:r>
              <w:rPr>
                <w:color w:val="36363D"/>
              </w:rPr>
              <w:t>&lt;0.001</w:t>
            </w:r>
          </w:p>
        </w:tc>
        <w:tc>
          <w:tcPr>
            <w:tcW w:w="1719" w:type="dxa"/>
          </w:tcPr>
          <w:p w14:paraId="5B409123" w14:textId="77777777" w:rsidR="00F076A6" w:rsidRDefault="00A54BA5">
            <w:pPr>
              <w:pStyle w:val="Compact"/>
              <w:spacing w:line="360" w:lineRule="auto"/>
              <w:jc w:val="both"/>
              <w:rPr>
                <w:color w:val="36363D"/>
              </w:rPr>
            </w:pPr>
            <w:r>
              <w:rPr>
                <w:color w:val="36363D"/>
              </w:rPr>
              <w:t>Mucus degradation</w:t>
            </w:r>
          </w:p>
        </w:tc>
      </w:tr>
      <w:tr w:rsidR="00F076A6" w14:paraId="1769275C" w14:textId="77777777" w:rsidTr="00F076A6">
        <w:tc>
          <w:tcPr>
            <w:tcW w:w="2078" w:type="dxa"/>
          </w:tcPr>
          <w:p w14:paraId="1FDE4BF1" w14:textId="77777777" w:rsidR="00F076A6" w:rsidRDefault="00A54BA5">
            <w:pPr>
              <w:pStyle w:val="Compact"/>
              <w:spacing w:line="360" w:lineRule="auto"/>
              <w:jc w:val="both"/>
              <w:rPr>
                <w:color w:val="36363D"/>
              </w:rPr>
            </w:pPr>
            <w:r>
              <w:rPr>
                <w:color w:val="36363D"/>
              </w:rPr>
              <w:t>Roseburia intestinalis</w:t>
            </w:r>
          </w:p>
        </w:tc>
        <w:tc>
          <w:tcPr>
            <w:tcW w:w="874" w:type="dxa"/>
          </w:tcPr>
          <w:p w14:paraId="2E141ECA" w14:textId="77777777" w:rsidR="00F076A6" w:rsidRDefault="00A54BA5">
            <w:pPr>
              <w:pStyle w:val="Compact"/>
              <w:spacing w:line="360" w:lineRule="auto"/>
              <w:jc w:val="both"/>
              <w:rPr>
                <w:color w:val="36363D"/>
              </w:rPr>
            </w:pPr>
            <w:r>
              <w:rPr>
                <w:color w:val="36363D"/>
              </w:rPr>
              <w:t>4.6</w:t>
            </w:r>
          </w:p>
        </w:tc>
        <w:tc>
          <w:tcPr>
            <w:tcW w:w="800" w:type="dxa"/>
          </w:tcPr>
          <w:p w14:paraId="54EDF4BD" w14:textId="77777777" w:rsidR="00F076A6" w:rsidRDefault="00A54BA5">
            <w:pPr>
              <w:pStyle w:val="Compact"/>
              <w:spacing w:line="360" w:lineRule="auto"/>
              <w:jc w:val="both"/>
              <w:rPr>
                <w:color w:val="36363D"/>
              </w:rPr>
            </w:pPr>
            <w:r>
              <w:rPr>
                <w:color w:val="36363D"/>
              </w:rPr>
              <w:t>7.9</w:t>
            </w:r>
          </w:p>
        </w:tc>
        <w:tc>
          <w:tcPr>
            <w:tcW w:w="1247" w:type="dxa"/>
          </w:tcPr>
          <w:p w14:paraId="47D2C9D5" w14:textId="77777777" w:rsidR="00F076A6" w:rsidRDefault="00A54BA5">
            <w:pPr>
              <w:pStyle w:val="Compact"/>
              <w:spacing w:line="360" w:lineRule="auto"/>
              <w:jc w:val="both"/>
              <w:rPr>
                <w:color w:val="36363D"/>
              </w:rPr>
            </w:pPr>
            <w:r>
              <w:rPr>
                <w:color w:val="36363D"/>
              </w:rPr>
              <w:t>3.2</w:t>
            </w:r>
          </w:p>
        </w:tc>
        <w:tc>
          <w:tcPr>
            <w:tcW w:w="824" w:type="dxa"/>
          </w:tcPr>
          <w:p w14:paraId="7C95BBAE" w14:textId="77777777" w:rsidR="00F076A6" w:rsidRDefault="00A54BA5">
            <w:pPr>
              <w:pStyle w:val="Compact"/>
              <w:spacing w:line="360" w:lineRule="auto"/>
              <w:jc w:val="both"/>
              <w:rPr>
                <w:color w:val="36363D"/>
              </w:rPr>
            </w:pPr>
            <w:r>
              <w:rPr>
                <w:color w:val="36363D"/>
              </w:rPr>
              <w:t>4.12</w:t>
            </w:r>
          </w:p>
        </w:tc>
        <w:tc>
          <w:tcPr>
            <w:tcW w:w="977" w:type="dxa"/>
          </w:tcPr>
          <w:p w14:paraId="174DF11C" w14:textId="77777777" w:rsidR="00F076A6" w:rsidRDefault="00A54BA5">
            <w:pPr>
              <w:pStyle w:val="Compact"/>
              <w:spacing w:line="360" w:lineRule="auto"/>
              <w:jc w:val="both"/>
              <w:rPr>
                <w:color w:val="36363D"/>
              </w:rPr>
            </w:pPr>
            <w:r>
              <w:rPr>
                <w:color w:val="36363D"/>
              </w:rPr>
              <w:t>&lt;0.001</w:t>
            </w:r>
          </w:p>
        </w:tc>
        <w:tc>
          <w:tcPr>
            <w:tcW w:w="1719" w:type="dxa"/>
          </w:tcPr>
          <w:p w14:paraId="24276C0E" w14:textId="77777777" w:rsidR="00F076A6" w:rsidRDefault="00A54BA5">
            <w:pPr>
              <w:pStyle w:val="Compact"/>
              <w:spacing w:line="360" w:lineRule="auto"/>
              <w:jc w:val="both"/>
              <w:rPr>
                <w:color w:val="36363D"/>
              </w:rPr>
            </w:pPr>
            <w:r>
              <w:rPr>
                <w:color w:val="36363D"/>
              </w:rPr>
              <w:t>Butyrate production</w:t>
            </w:r>
          </w:p>
        </w:tc>
      </w:tr>
      <w:tr w:rsidR="00F076A6" w14:paraId="37B63F03" w14:textId="77777777" w:rsidTr="00F076A6">
        <w:tc>
          <w:tcPr>
            <w:tcW w:w="2078" w:type="dxa"/>
          </w:tcPr>
          <w:p w14:paraId="3817B8D5" w14:textId="77777777" w:rsidR="00F076A6" w:rsidRDefault="00A54BA5">
            <w:pPr>
              <w:pStyle w:val="Compact"/>
              <w:spacing w:line="360" w:lineRule="auto"/>
              <w:jc w:val="both"/>
              <w:rPr>
                <w:color w:val="36363D"/>
              </w:rPr>
            </w:pPr>
            <w:r>
              <w:rPr>
                <w:color w:val="36363D"/>
              </w:rPr>
              <w:t>Enterococcus faecium</w:t>
            </w:r>
          </w:p>
        </w:tc>
        <w:tc>
          <w:tcPr>
            <w:tcW w:w="874" w:type="dxa"/>
          </w:tcPr>
          <w:p w14:paraId="011A9701" w14:textId="77777777" w:rsidR="00F076A6" w:rsidRDefault="00A54BA5">
            <w:pPr>
              <w:pStyle w:val="Compact"/>
              <w:spacing w:line="360" w:lineRule="auto"/>
              <w:jc w:val="both"/>
              <w:rPr>
                <w:color w:val="36363D"/>
              </w:rPr>
            </w:pPr>
            <w:r>
              <w:rPr>
                <w:color w:val="36363D"/>
              </w:rPr>
              <w:t>1.9</w:t>
            </w:r>
          </w:p>
        </w:tc>
        <w:tc>
          <w:tcPr>
            <w:tcW w:w="800" w:type="dxa"/>
          </w:tcPr>
          <w:p w14:paraId="741FA9BF" w14:textId="77777777" w:rsidR="00F076A6" w:rsidRDefault="00A54BA5">
            <w:pPr>
              <w:pStyle w:val="Compact"/>
              <w:spacing w:line="360" w:lineRule="auto"/>
              <w:jc w:val="both"/>
              <w:rPr>
                <w:color w:val="36363D"/>
              </w:rPr>
            </w:pPr>
            <w:r>
              <w:rPr>
                <w:color w:val="36363D"/>
              </w:rPr>
              <w:t>0.8</w:t>
            </w:r>
          </w:p>
        </w:tc>
        <w:tc>
          <w:tcPr>
            <w:tcW w:w="1247" w:type="dxa"/>
          </w:tcPr>
          <w:p w14:paraId="7DC000EA" w14:textId="77777777" w:rsidR="00F076A6" w:rsidRDefault="00A54BA5">
            <w:pPr>
              <w:pStyle w:val="Compact"/>
              <w:spacing w:line="360" w:lineRule="auto"/>
              <w:jc w:val="both"/>
              <w:rPr>
                <w:color w:val="36363D"/>
              </w:rPr>
            </w:pPr>
            <w:r>
              <w:rPr>
                <w:color w:val="36363D"/>
              </w:rPr>
              <w:t>3.4</w:t>
            </w:r>
          </w:p>
        </w:tc>
        <w:tc>
          <w:tcPr>
            <w:tcW w:w="824" w:type="dxa"/>
          </w:tcPr>
          <w:p w14:paraId="49F01867" w14:textId="77777777" w:rsidR="00F076A6" w:rsidRDefault="00A54BA5">
            <w:pPr>
              <w:pStyle w:val="Compact"/>
              <w:spacing w:line="360" w:lineRule="auto"/>
              <w:jc w:val="both"/>
              <w:rPr>
                <w:color w:val="36363D"/>
              </w:rPr>
            </w:pPr>
            <w:r>
              <w:rPr>
                <w:color w:val="36363D"/>
              </w:rPr>
              <w:t>3.34</w:t>
            </w:r>
          </w:p>
        </w:tc>
        <w:tc>
          <w:tcPr>
            <w:tcW w:w="977" w:type="dxa"/>
          </w:tcPr>
          <w:p w14:paraId="1AE509F4" w14:textId="77777777" w:rsidR="00F076A6" w:rsidRDefault="00A54BA5">
            <w:pPr>
              <w:pStyle w:val="Compact"/>
              <w:spacing w:line="360" w:lineRule="auto"/>
              <w:jc w:val="both"/>
              <w:rPr>
                <w:color w:val="36363D"/>
              </w:rPr>
            </w:pPr>
            <w:r>
              <w:rPr>
                <w:color w:val="36363D"/>
              </w:rPr>
              <w:t>&lt;0.001</w:t>
            </w:r>
          </w:p>
        </w:tc>
        <w:tc>
          <w:tcPr>
            <w:tcW w:w="1719" w:type="dxa"/>
          </w:tcPr>
          <w:p w14:paraId="5FBB83A5" w14:textId="77777777" w:rsidR="00F076A6" w:rsidRDefault="00A54BA5">
            <w:pPr>
              <w:pStyle w:val="Compact"/>
              <w:spacing w:line="360" w:lineRule="auto"/>
              <w:jc w:val="both"/>
              <w:rPr>
                <w:color w:val="36363D"/>
              </w:rPr>
            </w:pPr>
            <w:r>
              <w:rPr>
                <w:color w:val="36363D"/>
              </w:rPr>
              <w:t>Antibiotic resistance</w:t>
            </w:r>
          </w:p>
        </w:tc>
      </w:tr>
      <w:tr w:rsidR="00F076A6" w14:paraId="7539A97D" w14:textId="77777777" w:rsidTr="00F076A6">
        <w:tc>
          <w:tcPr>
            <w:tcW w:w="2078" w:type="dxa"/>
          </w:tcPr>
          <w:p w14:paraId="659C2968" w14:textId="77777777" w:rsidR="00F076A6" w:rsidRDefault="00A54BA5">
            <w:pPr>
              <w:pStyle w:val="Compact"/>
              <w:spacing w:line="360" w:lineRule="auto"/>
              <w:jc w:val="both"/>
              <w:rPr>
                <w:color w:val="36363D"/>
              </w:rPr>
            </w:pPr>
            <w:r>
              <w:rPr>
                <w:color w:val="36363D"/>
              </w:rPr>
              <w:t>Lactobacillus acidophilus</w:t>
            </w:r>
          </w:p>
        </w:tc>
        <w:tc>
          <w:tcPr>
            <w:tcW w:w="874" w:type="dxa"/>
          </w:tcPr>
          <w:p w14:paraId="32ED7A63" w14:textId="77777777" w:rsidR="00F076A6" w:rsidRDefault="00A54BA5">
            <w:pPr>
              <w:pStyle w:val="Compact"/>
              <w:spacing w:line="360" w:lineRule="auto"/>
              <w:jc w:val="both"/>
              <w:rPr>
                <w:color w:val="36363D"/>
              </w:rPr>
            </w:pPr>
            <w:r>
              <w:rPr>
                <w:color w:val="36363D"/>
              </w:rPr>
              <w:t>2.7</w:t>
            </w:r>
          </w:p>
        </w:tc>
        <w:tc>
          <w:tcPr>
            <w:tcW w:w="800" w:type="dxa"/>
          </w:tcPr>
          <w:p w14:paraId="5B7CE841" w14:textId="77777777" w:rsidR="00F076A6" w:rsidRDefault="00A54BA5">
            <w:pPr>
              <w:pStyle w:val="Compact"/>
              <w:spacing w:line="360" w:lineRule="auto"/>
              <w:jc w:val="both"/>
              <w:rPr>
                <w:color w:val="36363D"/>
              </w:rPr>
            </w:pPr>
            <w:r>
              <w:rPr>
                <w:color w:val="36363D"/>
              </w:rPr>
              <w:t>4.1</w:t>
            </w:r>
          </w:p>
        </w:tc>
        <w:tc>
          <w:tcPr>
            <w:tcW w:w="1247" w:type="dxa"/>
          </w:tcPr>
          <w:p w14:paraId="61E6D99B" w14:textId="77777777" w:rsidR="00F076A6" w:rsidRDefault="00A54BA5">
            <w:pPr>
              <w:pStyle w:val="Compact"/>
              <w:spacing w:line="360" w:lineRule="auto"/>
              <w:jc w:val="both"/>
              <w:rPr>
                <w:color w:val="36363D"/>
              </w:rPr>
            </w:pPr>
            <w:r>
              <w:rPr>
                <w:color w:val="36363D"/>
              </w:rPr>
              <w:t>1.8</w:t>
            </w:r>
          </w:p>
        </w:tc>
        <w:tc>
          <w:tcPr>
            <w:tcW w:w="824" w:type="dxa"/>
          </w:tcPr>
          <w:p w14:paraId="703700E6" w14:textId="77777777" w:rsidR="00F076A6" w:rsidRDefault="00A54BA5">
            <w:pPr>
              <w:pStyle w:val="Compact"/>
              <w:spacing w:line="360" w:lineRule="auto"/>
              <w:jc w:val="both"/>
              <w:rPr>
                <w:color w:val="36363D"/>
              </w:rPr>
            </w:pPr>
            <w:r>
              <w:rPr>
                <w:color w:val="36363D"/>
              </w:rPr>
              <w:t>3.45</w:t>
            </w:r>
          </w:p>
        </w:tc>
        <w:tc>
          <w:tcPr>
            <w:tcW w:w="977" w:type="dxa"/>
          </w:tcPr>
          <w:p w14:paraId="092A5F7C" w14:textId="77777777" w:rsidR="00F076A6" w:rsidRDefault="00A54BA5">
            <w:pPr>
              <w:pStyle w:val="Compact"/>
              <w:spacing w:line="360" w:lineRule="auto"/>
              <w:jc w:val="both"/>
              <w:rPr>
                <w:color w:val="36363D"/>
              </w:rPr>
            </w:pPr>
            <w:r>
              <w:rPr>
                <w:color w:val="36363D"/>
              </w:rPr>
              <w:t>0.002</w:t>
            </w:r>
          </w:p>
        </w:tc>
        <w:tc>
          <w:tcPr>
            <w:tcW w:w="1719" w:type="dxa"/>
          </w:tcPr>
          <w:p w14:paraId="399DC920" w14:textId="77777777" w:rsidR="00F076A6" w:rsidRDefault="00A54BA5">
            <w:pPr>
              <w:pStyle w:val="Compact"/>
              <w:spacing w:line="360" w:lineRule="auto"/>
              <w:jc w:val="both"/>
              <w:rPr>
                <w:color w:val="36363D"/>
              </w:rPr>
            </w:pPr>
            <w:r>
              <w:rPr>
                <w:color w:val="36363D"/>
              </w:rPr>
              <w:t>Probiotic effects</w:t>
            </w:r>
          </w:p>
        </w:tc>
      </w:tr>
      <w:tr w:rsidR="00F076A6" w14:paraId="39DF760C" w14:textId="77777777" w:rsidTr="00F076A6">
        <w:tc>
          <w:tcPr>
            <w:tcW w:w="2078" w:type="dxa"/>
          </w:tcPr>
          <w:p w14:paraId="40280A95" w14:textId="77777777" w:rsidR="00F076A6" w:rsidRDefault="00A54BA5">
            <w:pPr>
              <w:pStyle w:val="Compact"/>
              <w:spacing w:line="360" w:lineRule="auto"/>
              <w:jc w:val="both"/>
              <w:rPr>
                <w:color w:val="36363D"/>
              </w:rPr>
            </w:pPr>
            <w:r>
              <w:rPr>
                <w:color w:val="36363D"/>
              </w:rPr>
              <w:t>Clostridium difficile</w:t>
            </w:r>
          </w:p>
        </w:tc>
        <w:tc>
          <w:tcPr>
            <w:tcW w:w="874" w:type="dxa"/>
          </w:tcPr>
          <w:p w14:paraId="5B2ADECD" w14:textId="77777777" w:rsidR="00F076A6" w:rsidRDefault="00A54BA5">
            <w:pPr>
              <w:pStyle w:val="Compact"/>
              <w:spacing w:line="360" w:lineRule="auto"/>
              <w:jc w:val="both"/>
              <w:rPr>
                <w:color w:val="36363D"/>
              </w:rPr>
            </w:pPr>
            <w:r>
              <w:rPr>
                <w:color w:val="36363D"/>
              </w:rPr>
              <w:t>0.8</w:t>
            </w:r>
          </w:p>
        </w:tc>
        <w:tc>
          <w:tcPr>
            <w:tcW w:w="800" w:type="dxa"/>
          </w:tcPr>
          <w:p w14:paraId="16B25529" w14:textId="77777777" w:rsidR="00F076A6" w:rsidRDefault="00A54BA5">
            <w:pPr>
              <w:pStyle w:val="Compact"/>
              <w:spacing w:line="360" w:lineRule="auto"/>
              <w:jc w:val="both"/>
              <w:rPr>
                <w:color w:val="36363D"/>
              </w:rPr>
            </w:pPr>
            <w:r>
              <w:rPr>
                <w:color w:val="36363D"/>
              </w:rPr>
              <w:t>0.3</w:t>
            </w:r>
          </w:p>
        </w:tc>
        <w:tc>
          <w:tcPr>
            <w:tcW w:w="1247" w:type="dxa"/>
          </w:tcPr>
          <w:p w14:paraId="5279D4F1" w14:textId="77777777" w:rsidR="00F076A6" w:rsidRDefault="00A54BA5">
            <w:pPr>
              <w:pStyle w:val="Compact"/>
              <w:spacing w:line="360" w:lineRule="auto"/>
              <w:jc w:val="both"/>
              <w:rPr>
                <w:color w:val="36363D"/>
              </w:rPr>
            </w:pPr>
            <w:r>
              <w:rPr>
                <w:color w:val="36363D"/>
              </w:rPr>
              <w:t>1.6</w:t>
            </w:r>
          </w:p>
        </w:tc>
        <w:tc>
          <w:tcPr>
            <w:tcW w:w="824" w:type="dxa"/>
          </w:tcPr>
          <w:p w14:paraId="26EB1398" w14:textId="77777777" w:rsidR="00F076A6" w:rsidRDefault="00A54BA5">
            <w:pPr>
              <w:pStyle w:val="Compact"/>
              <w:spacing w:line="360" w:lineRule="auto"/>
              <w:jc w:val="both"/>
              <w:rPr>
                <w:color w:val="36363D"/>
              </w:rPr>
            </w:pPr>
            <w:r>
              <w:rPr>
                <w:color w:val="36363D"/>
              </w:rPr>
              <w:t>3.12</w:t>
            </w:r>
          </w:p>
        </w:tc>
        <w:tc>
          <w:tcPr>
            <w:tcW w:w="977" w:type="dxa"/>
          </w:tcPr>
          <w:p w14:paraId="235B733B" w14:textId="77777777" w:rsidR="00F076A6" w:rsidRDefault="00A54BA5">
            <w:pPr>
              <w:pStyle w:val="Compact"/>
              <w:spacing w:line="360" w:lineRule="auto"/>
              <w:jc w:val="both"/>
              <w:rPr>
                <w:color w:val="36363D"/>
              </w:rPr>
            </w:pPr>
            <w:r>
              <w:rPr>
                <w:color w:val="36363D"/>
              </w:rPr>
              <w:t>&lt;0.001</w:t>
            </w:r>
          </w:p>
        </w:tc>
        <w:tc>
          <w:tcPr>
            <w:tcW w:w="1719" w:type="dxa"/>
          </w:tcPr>
          <w:p w14:paraId="06605D14" w14:textId="77777777" w:rsidR="00F076A6" w:rsidRDefault="00A54BA5">
            <w:pPr>
              <w:pStyle w:val="Compact"/>
              <w:spacing w:line="360" w:lineRule="auto"/>
              <w:jc w:val="both"/>
              <w:rPr>
                <w:color w:val="36363D"/>
              </w:rPr>
            </w:pPr>
            <w:r>
              <w:rPr>
                <w:color w:val="36363D"/>
              </w:rPr>
              <w:t>Pathogenic potential</w:t>
            </w:r>
          </w:p>
        </w:tc>
      </w:tr>
      <w:tr w:rsidR="00F076A6" w14:paraId="210F483F" w14:textId="77777777" w:rsidTr="00F076A6">
        <w:tc>
          <w:tcPr>
            <w:tcW w:w="2078" w:type="dxa"/>
          </w:tcPr>
          <w:p w14:paraId="4CC08386" w14:textId="77777777" w:rsidR="00F076A6" w:rsidRDefault="00A54BA5">
            <w:pPr>
              <w:pStyle w:val="Compact"/>
              <w:spacing w:line="360" w:lineRule="auto"/>
              <w:jc w:val="both"/>
              <w:rPr>
                <w:color w:val="36363D"/>
              </w:rPr>
            </w:pPr>
            <w:r>
              <w:rPr>
                <w:color w:val="36363D"/>
              </w:rPr>
              <w:t>Prevotella copri</w:t>
            </w:r>
          </w:p>
        </w:tc>
        <w:tc>
          <w:tcPr>
            <w:tcW w:w="874" w:type="dxa"/>
          </w:tcPr>
          <w:p w14:paraId="10828B5E" w14:textId="77777777" w:rsidR="00F076A6" w:rsidRDefault="00A54BA5">
            <w:pPr>
              <w:pStyle w:val="Compact"/>
              <w:spacing w:line="360" w:lineRule="auto"/>
              <w:jc w:val="both"/>
              <w:rPr>
                <w:color w:val="36363D"/>
              </w:rPr>
            </w:pPr>
            <w:r>
              <w:rPr>
                <w:color w:val="36363D"/>
              </w:rPr>
              <w:t>5.3</w:t>
            </w:r>
          </w:p>
        </w:tc>
        <w:tc>
          <w:tcPr>
            <w:tcW w:w="800" w:type="dxa"/>
          </w:tcPr>
          <w:p w14:paraId="7B2946E6" w14:textId="77777777" w:rsidR="00F076A6" w:rsidRDefault="00A54BA5">
            <w:pPr>
              <w:pStyle w:val="Compact"/>
              <w:spacing w:line="360" w:lineRule="auto"/>
              <w:jc w:val="both"/>
              <w:rPr>
                <w:color w:val="36363D"/>
              </w:rPr>
            </w:pPr>
            <w:r>
              <w:rPr>
                <w:color w:val="36363D"/>
              </w:rPr>
              <w:t>8.9</w:t>
            </w:r>
          </w:p>
        </w:tc>
        <w:tc>
          <w:tcPr>
            <w:tcW w:w="1247" w:type="dxa"/>
          </w:tcPr>
          <w:p w14:paraId="7991D6C5" w14:textId="77777777" w:rsidR="00F076A6" w:rsidRDefault="00A54BA5">
            <w:pPr>
              <w:pStyle w:val="Compact"/>
              <w:spacing w:line="360" w:lineRule="auto"/>
              <w:jc w:val="both"/>
              <w:rPr>
                <w:color w:val="36363D"/>
              </w:rPr>
            </w:pPr>
            <w:r>
              <w:rPr>
                <w:color w:val="36363D"/>
              </w:rPr>
              <w:t>4.1</w:t>
            </w:r>
          </w:p>
        </w:tc>
        <w:tc>
          <w:tcPr>
            <w:tcW w:w="824" w:type="dxa"/>
          </w:tcPr>
          <w:p w14:paraId="6AE92F16" w14:textId="77777777" w:rsidR="00F076A6" w:rsidRDefault="00A54BA5">
            <w:pPr>
              <w:pStyle w:val="Compact"/>
              <w:spacing w:line="360" w:lineRule="auto"/>
              <w:jc w:val="both"/>
              <w:rPr>
                <w:color w:val="36363D"/>
              </w:rPr>
            </w:pPr>
            <w:r>
              <w:rPr>
                <w:color w:val="36363D"/>
              </w:rPr>
              <w:t>4.01</w:t>
            </w:r>
          </w:p>
        </w:tc>
        <w:tc>
          <w:tcPr>
            <w:tcW w:w="977" w:type="dxa"/>
          </w:tcPr>
          <w:p w14:paraId="0EC05203" w14:textId="77777777" w:rsidR="00F076A6" w:rsidRDefault="00A54BA5">
            <w:pPr>
              <w:pStyle w:val="Compact"/>
              <w:spacing w:line="360" w:lineRule="auto"/>
              <w:jc w:val="both"/>
              <w:rPr>
                <w:color w:val="36363D"/>
              </w:rPr>
            </w:pPr>
            <w:r>
              <w:rPr>
                <w:color w:val="36363D"/>
              </w:rPr>
              <w:t>&lt;0.001</w:t>
            </w:r>
          </w:p>
        </w:tc>
        <w:tc>
          <w:tcPr>
            <w:tcW w:w="1719" w:type="dxa"/>
          </w:tcPr>
          <w:p w14:paraId="0316E9AD" w14:textId="77777777" w:rsidR="00F076A6" w:rsidRDefault="00A54BA5">
            <w:pPr>
              <w:pStyle w:val="Compact"/>
              <w:spacing w:line="360" w:lineRule="auto"/>
              <w:jc w:val="both"/>
              <w:rPr>
                <w:color w:val="36363D"/>
              </w:rPr>
            </w:pPr>
            <w:r>
              <w:rPr>
                <w:color w:val="36363D"/>
              </w:rPr>
              <w:t>Fiber degradation</w:t>
            </w:r>
          </w:p>
        </w:tc>
      </w:tr>
    </w:tbl>
    <w:p w14:paraId="62536DC8" w14:textId="77777777" w:rsidR="00F076A6" w:rsidRDefault="00A54BA5">
      <w:pPr>
        <w:pStyle w:val="BodyText"/>
        <w:spacing w:line="360" w:lineRule="auto"/>
        <w:jc w:val="both"/>
        <w:rPr>
          <w:color w:val="36363D"/>
        </w:rPr>
      </w:pPr>
      <w:r>
        <w:rPr>
          <w:color w:val="36363D"/>
        </w:rPr>
        <w:t xml:space="preserve">The enrichment of pathogenic taxa such as Bacteroides fragilis, Escherichia coli, and Clostridium difficile in industrial environments, combined with </w:t>
      </w:r>
      <w:r w:rsidR="002868D2">
        <w:rPr>
          <w:color w:val="36363D"/>
        </w:rPr>
        <w:t xml:space="preserve">the </w:t>
      </w:r>
      <w:r>
        <w:rPr>
          <w:color w:val="36363D"/>
        </w:rPr>
        <w:t>depletion of beneficial species like Faecalibacterium prausnitzii and Bifidobacterium longum, suggests a dysbiotic state associated with environmental stress.</w:t>
      </w:r>
    </w:p>
    <w:p w14:paraId="35A77AC8" w14:textId="77777777" w:rsidR="00F076A6" w:rsidRDefault="00A54BA5">
      <w:pPr>
        <w:pStyle w:val="Heading31"/>
        <w:spacing w:line="360" w:lineRule="auto"/>
        <w:jc w:val="both"/>
        <w:rPr>
          <w:color w:val="36363D"/>
        </w:rPr>
      </w:pPr>
      <w:bookmarkStart w:id="25" w:name="X1ce0fd60e220c548f6437a78bbee2a8152a681a"/>
      <w:bookmarkEnd w:id="24"/>
      <w:r>
        <w:rPr>
          <w:color w:val="36363D"/>
        </w:rPr>
        <w:t>Functional Pathway Analysis</w:t>
      </w:r>
    </w:p>
    <w:p w14:paraId="751E1E6C" w14:textId="77777777" w:rsidR="00F076A6" w:rsidRDefault="00A54BA5">
      <w:pPr>
        <w:pStyle w:val="FirstParagraph"/>
        <w:spacing w:line="360" w:lineRule="auto"/>
        <w:jc w:val="both"/>
        <w:rPr>
          <w:color w:val="36363D"/>
        </w:rPr>
      </w:pPr>
      <w:r>
        <w:rPr>
          <w:color w:val="36363D"/>
        </w:rPr>
        <w:t>Shotgun metagenomic analysis revealed significant differences in microbial functional capacity between environmental groups. Industrial environments showed enrichment of genes associated with stress response and xenobiotic metabolism, while rural environments maintained higher levels of beneficial metabolic functions.</w:t>
      </w:r>
    </w:p>
    <w:p w14:paraId="1F821849" w14:textId="77777777" w:rsidR="00F076A6" w:rsidRDefault="00A54BA5">
      <w:pPr>
        <w:pStyle w:val="BodyText"/>
        <w:spacing w:line="360" w:lineRule="auto"/>
        <w:jc w:val="both"/>
        <w:rPr>
          <w:color w:val="36363D"/>
        </w:rPr>
      </w:pPr>
      <w:r>
        <w:rPr>
          <w:b/>
          <w:bCs/>
          <w:color w:val="36363D"/>
        </w:rPr>
        <w:t>Table 4: Functional Pathway Abundances in Gut Microbiomes by Environment</w:t>
      </w:r>
    </w:p>
    <w:tbl>
      <w:tblPr>
        <w:tblStyle w:val="Table"/>
        <w:tblW w:w="0" w:type="auto"/>
        <w:tblInd w:w="0" w:type="dxa"/>
        <w:tblLayout w:type="fixed"/>
        <w:tblLook w:val="04A0" w:firstRow="1" w:lastRow="0" w:firstColumn="1" w:lastColumn="0" w:noHBand="0" w:noVBand="1"/>
      </w:tblPr>
      <w:tblGrid>
        <w:gridCol w:w="2836"/>
        <w:gridCol w:w="1113"/>
        <w:gridCol w:w="1039"/>
        <w:gridCol w:w="1486"/>
        <w:gridCol w:w="1063"/>
        <w:gridCol w:w="981"/>
      </w:tblGrid>
      <w:tr w:rsidR="00F076A6" w14:paraId="382EBE9C" w14:textId="77777777" w:rsidTr="00F076A6">
        <w:trPr>
          <w:cnfStyle w:val="100000000000" w:firstRow="1" w:lastRow="0" w:firstColumn="0" w:lastColumn="0" w:oddVBand="0" w:evenVBand="0" w:oddHBand="0" w:evenHBand="0" w:firstRowFirstColumn="0" w:firstRowLastColumn="0" w:lastRowFirstColumn="0" w:lastRowLastColumn="0"/>
          <w:tblHeader/>
        </w:trPr>
        <w:tc>
          <w:tcPr>
            <w:tcW w:w="2836" w:type="dxa"/>
          </w:tcPr>
          <w:p w14:paraId="5CEA7685" w14:textId="77777777" w:rsidR="00F076A6" w:rsidRDefault="00A54BA5">
            <w:pPr>
              <w:pStyle w:val="Compact"/>
              <w:spacing w:line="360" w:lineRule="auto"/>
              <w:jc w:val="both"/>
              <w:rPr>
                <w:color w:val="36363D"/>
              </w:rPr>
            </w:pPr>
            <w:r>
              <w:rPr>
                <w:color w:val="36363D"/>
              </w:rPr>
              <w:lastRenderedPageBreak/>
              <w:t>Pathway Category</w:t>
            </w:r>
          </w:p>
        </w:tc>
        <w:tc>
          <w:tcPr>
            <w:tcW w:w="1113" w:type="dxa"/>
          </w:tcPr>
          <w:p w14:paraId="29D1A987" w14:textId="77777777" w:rsidR="00F076A6" w:rsidRDefault="00A54BA5">
            <w:pPr>
              <w:pStyle w:val="Compact"/>
              <w:spacing w:line="360" w:lineRule="auto"/>
              <w:jc w:val="both"/>
              <w:rPr>
                <w:color w:val="36363D"/>
              </w:rPr>
            </w:pPr>
            <w:r>
              <w:rPr>
                <w:color w:val="36363D"/>
              </w:rPr>
              <w:t>Urban (%)</w:t>
            </w:r>
          </w:p>
        </w:tc>
        <w:tc>
          <w:tcPr>
            <w:tcW w:w="1039" w:type="dxa"/>
          </w:tcPr>
          <w:p w14:paraId="6B617862" w14:textId="77777777" w:rsidR="00F076A6" w:rsidRDefault="00A54BA5">
            <w:pPr>
              <w:pStyle w:val="Compact"/>
              <w:spacing w:line="360" w:lineRule="auto"/>
              <w:jc w:val="both"/>
              <w:rPr>
                <w:color w:val="36363D"/>
              </w:rPr>
            </w:pPr>
            <w:r>
              <w:rPr>
                <w:color w:val="36363D"/>
              </w:rPr>
              <w:t>Rural (%)</w:t>
            </w:r>
          </w:p>
        </w:tc>
        <w:tc>
          <w:tcPr>
            <w:tcW w:w="1486" w:type="dxa"/>
          </w:tcPr>
          <w:p w14:paraId="1554275D" w14:textId="77777777" w:rsidR="00F076A6" w:rsidRDefault="00A54BA5">
            <w:pPr>
              <w:pStyle w:val="Compact"/>
              <w:spacing w:line="360" w:lineRule="auto"/>
              <w:jc w:val="both"/>
              <w:rPr>
                <w:color w:val="36363D"/>
              </w:rPr>
            </w:pPr>
            <w:r>
              <w:rPr>
                <w:color w:val="36363D"/>
              </w:rPr>
              <w:t>Industrial (%)</w:t>
            </w:r>
          </w:p>
        </w:tc>
        <w:tc>
          <w:tcPr>
            <w:tcW w:w="1063" w:type="dxa"/>
          </w:tcPr>
          <w:p w14:paraId="5876D3A8" w14:textId="77777777" w:rsidR="00F076A6" w:rsidRDefault="00A54BA5">
            <w:pPr>
              <w:pStyle w:val="Compact"/>
              <w:spacing w:line="360" w:lineRule="auto"/>
              <w:jc w:val="both"/>
              <w:rPr>
                <w:color w:val="36363D"/>
              </w:rPr>
            </w:pPr>
            <w:r>
              <w:rPr>
                <w:color w:val="36363D"/>
              </w:rPr>
              <w:t>Effect Size</w:t>
            </w:r>
          </w:p>
        </w:tc>
        <w:tc>
          <w:tcPr>
            <w:tcW w:w="981" w:type="dxa"/>
          </w:tcPr>
          <w:p w14:paraId="61A2A8B3" w14:textId="77777777" w:rsidR="00F076A6" w:rsidRDefault="00A54BA5">
            <w:pPr>
              <w:pStyle w:val="Compact"/>
              <w:spacing w:line="360" w:lineRule="auto"/>
              <w:jc w:val="both"/>
              <w:rPr>
                <w:color w:val="36363D"/>
              </w:rPr>
            </w:pPr>
            <w:r>
              <w:rPr>
                <w:color w:val="36363D"/>
              </w:rPr>
              <w:t>P-value</w:t>
            </w:r>
          </w:p>
        </w:tc>
      </w:tr>
      <w:tr w:rsidR="00F076A6" w14:paraId="012C43FF" w14:textId="77777777" w:rsidTr="00F076A6">
        <w:tc>
          <w:tcPr>
            <w:tcW w:w="2836" w:type="dxa"/>
          </w:tcPr>
          <w:p w14:paraId="74532981" w14:textId="77777777" w:rsidR="00F076A6" w:rsidRDefault="00A54BA5">
            <w:pPr>
              <w:pStyle w:val="Compact"/>
              <w:spacing w:line="360" w:lineRule="auto"/>
              <w:jc w:val="both"/>
              <w:rPr>
                <w:color w:val="36363D"/>
              </w:rPr>
            </w:pPr>
            <w:r>
              <w:rPr>
                <w:color w:val="36363D"/>
              </w:rPr>
              <w:t>Xenobiotic metabolism</w:t>
            </w:r>
          </w:p>
        </w:tc>
        <w:tc>
          <w:tcPr>
            <w:tcW w:w="1113" w:type="dxa"/>
          </w:tcPr>
          <w:p w14:paraId="356C3AF7" w14:textId="77777777" w:rsidR="00F076A6" w:rsidRDefault="00A54BA5">
            <w:pPr>
              <w:pStyle w:val="Compact"/>
              <w:spacing w:line="360" w:lineRule="auto"/>
              <w:jc w:val="both"/>
              <w:rPr>
                <w:color w:val="36363D"/>
              </w:rPr>
            </w:pPr>
            <w:r>
              <w:rPr>
                <w:color w:val="36363D"/>
              </w:rPr>
              <w:t>3.2</w:t>
            </w:r>
          </w:p>
        </w:tc>
        <w:tc>
          <w:tcPr>
            <w:tcW w:w="1039" w:type="dxa"/>
          </w:tcPr>
          <w:p w14:paraId="141EEE60" w14:textId="77777777" w:rsidR="00F076A6" w:rsidRDefault="00A54BA5">
            <w:pPr>
              <w:pStyle w:val="Compact"/>
              <w:spacing w:line="360" w:lineRule="auto"/>
              <w:jc w:val="both"/>
              <w:rPr>
                <w:color w:val="36363D"/>
              </w:rPr>
            </w:pPr>
            <w:r>
              <w:rPr>
                <w:color w:val="36363D"/>
              </w:rPr>
              <w:t>1.8</w:t>
            </w:r>
          </w:p>
        </w:tc>
        <w:tc>
          <w:tcPr>
            <w:tcW w:w="1486" w:type="dxa"/>
          </w:tcPr>
          <w:p w14:paraId="01AB87C9" w14:textId="77777777" w:rsidR="00F076A6" w:rsidRDefault="00A54BA5">
            <w:pPr>
              <w:pStyle w:val="Compact"/>
              <w:spacing w:line="360" w:lineRule="auto"/>
              <w:jc w:val="both"/>
              <w:rPr>
                <w:color w:val="36363D"/>
              </w:rPr>
            </w:pPr>
            <w:r>
              <w:rPr>
                <w:color w:val="36363D"/>
              </w:rPr>
              <w:t>4.7</w:t>
            </w:r>
          </w:p>
        </w:tc>
        <w:tc>
          <w:tcPr>
            <w:tcW w:w="1063" w:type="dxa"/>
          </w:tcPr>
          <w:p w14:paraId="2C84D242" w14:textId="77777777" w:rsidR="00F076A6" w:rsidRDefault="00A54BA5">
            <w:pPr>
              <w:pStyle w:val="Compact"/>
              <w:spacing w:line="360" w:lineRule="auto"/>
              <w:jc w:val="both"/>
              <w:rPr>
                <w:color w:val="36363D"/>
              </w:rPr>
            </w:pPr>
            <w:r>
              <w:rPr>
                <w:color w:val="36363D"/>
              </w:rPr>
              <w:t>0.89</w:t>
            </w:r>
          </w:p>
        </w:tc>
        <w:tc>
          <w:tcPr>
            <w:tcW w:w="981" w:type="dxa"/>
          </w:tcPr>
          <w:p w14:paraId="7E82F635" w14:textId="77777777" w:rsidR="00F076A6" w:rsidRDefault="00A54BA5">
            <w:pPr>
              <w:pStyle w:val="Compact"/>
              <w:spacing w:line="360" w:lineRule="auto"/>
              <w:jc w:val="both"/>
              <w:rPr>
                <w:color w:val="36363D"/>
              </w:rPr>
            </w:pPr>
            <w:r>
              <w:rPr>
                <w:color w:val="36363D"/>
              </w:rPr>
              <w:t>&lt;0.001</w:t>
            </w:r>
          </w:p>
        </w:tc>
      </w:tr>
      <w:tr w:rsidR="00F076A6" w14:paraId="72B0E245" w14:textId="77777777" w:rsidTr="00F076A6">
        <w:tc>
          <w:tcPr>
            <w:tcW w:w="2836" w:type="dxa"/>
          </w:tcPr>
          <w:p w14:paraId="1A39411D" w14:textId="77777777" w:rsidR="00F076A6" w:rsidRDefault="00A54BA5">
            <w:pPr>
              <w:pStyle w:val="Compact"/>
              <w:spacing w:line="360" w:lineRule="auto"/>
              <w:jc w:val="both"/>
              <w:rPr>
                <w:color w:val="36363D"/>
              </w:rPr>
            </w:pPr>
            <w:r>
              <w:rPr>
                <w:color w:val="36363D"/>
              </w:rPr>
              <w:t>Antibiotic resistance</w:t>
            </w:r>
          </w:p>
        </w:tc>
        <w:tc>
          <w:tcPr>
            <w:tcW w:w="1113" w:type="dxa"/>
          </w:tcPr>
          <w:p w14:paraId="2183C736" w14:textId="77777777" w:rsidR="00F076A6" w:rsidRDefault="00A54BA5">
            <w:pPr>
              <w:pStyle w:val="Compact"/>
              <w:spacing w:line="360" w:lineRule="auto"/>
              <w:jc w:val="both"/>
              <w:rPr>
                <w:color w:val="36363D"/>
              </w:rPr>
            </w:pPr>
            <w:r>
              <w:rPr>
                <w:color w:val="36363D"/>
              </w:rPr>
              <w:t>2.1</w:t>
            </w:r>
          </w:p>
        </w:tc>
        <w:tc>
          <w:tcPr>
            <w:tcW w:w="1039" w:type="dxa"/>
          </w:tcPr>
          <w:p w14:paraId="577E2125" w14:textId="77777777" w:rsidR="00F076A6" w:rsidRDefault="00A54BA5">
            <w:pPr>
              <w:pStyle w:val="Compact"/>
              <w:spacing w:line="360" w:lineRule="auto"/>
              <w:jc w:val="both"/>
              <w:rPr>
                <w:color w:val="36363D"/>
              </w:rPr>
            </w:pPr>
            <w:r>
              <w:rPr>
                <w:color w:val="36363D"/>
              </w:rPr>
              <w:t>1.2</w:t>
            </w:r>
          </w:p>
        </w:tc>
        <w:tc>
          <w:tcPr>
            <w:tcW w:w="1486" w:type="dxa"/>
          </w:tcPr>
          <w:p w14:paraId="1CCA6551" w14:textId="77777777" w:rsidR="00F076A6" w:rsidRDefault="00A54BA5">
            <w:pPr>
              <w:pStyle w:val="Compact"/>
              <w:spacing w:line="360" w:lineRule="auto"/>
              <w:jc w:val="both"/>
              <w:rPr>
                <w:color w:val="36363D"/>
              </w:rPr>
            </w:pPr>
            <w:r>
              <w:rPr>
                <w:color w:val="36363D"/>
              </w:rPr>
              <w:t>3.4</w:t>
            </w:r>
          </w:p>
        </w:tc>
        <w:tc>
          <w:tcPr>
            <w:tcW w:w="1063" w:type="dxa"/>
          </w:tcPr>
          <w:p w14:paraId="1B9DA08E" w14:textId="77777777" w:rsidR="00F076A6" w:rsidRDefault="00A54BA5">
            <w:pPr>
              <w:pStyle w:val="Compact"/>
              <w:spacing w:line="360" w:lineRule="auto"/>
              <w:jc w:val="both"/>
              <w:rPr>
                <w:color w:val="36363D"/>
              </w:rPr>
            </w:pPr>
            <w:r>
              <w:rPr>
                <w:color w:val="36363D"/>
              </w:rPr>
              <w:t>0.76</w:t>
            </w:r>
          </w:p>
        </w:tc>
        <w:tc>
          <w:tcPr>
            <w:tcW w:w="981" w:type="dxa"/>
          </w:tcPr>
          <w:p w14:paraId="0925300C" w14:textId="77777777" w:rsidR="00F076A6" w:rsidRDefault="00A54BA5">
            <w:pPr>
              <w:pStyle w:val="Compact"/>
              <w:spacing w:line="360" w:lineRule="auto"/>
              <w:jc w:val="both"/>
              <w:rPr>
                <w:color w:val="36363D"/>
              </w:rPr>
            </w:pPr>
            <w:r>
              <w:rPr>
                <w:color w:val="36363D"/>
              </w:rPr>
              <w:t>&lt;0.001</w:t>
            </w:r>
          </w:p>
        </w:tc>
      </w:tr>
      <w:tr w:rsidR="00F076A6" w14:paraId="43C7E3C9" w14:textId="77777777" w:rsidTr="00F076A6">
        <w:tc>
          <w:tcPr>
            <w:tcW w:w="2836" w:type="dxa"/>
          </w:tcPr>
          <w:p w14:paraId="06E56DD3" w14:textId="77777777" w:rsidR="00F076A6" w:rsidRDefault="00A54BA5">
            <w:pPr>
              <w:pStyle w:val="Compact"/>
              <w:spacing w:line="360" w:lineRule="auto"/>
              <w:jc w:val="both"/>
              <w:rPr>
                <w:color w:val="36363D"/>
              </w:rPr>
            </w:pPr>
            <w:r>
              <w:rPr>
                <w:color w:val="36363D"/>
              </w:rPr>
              <w:t>Carbohydrate metabolism</w:t>
            </w:r>
          </w:p>
        </w:tc>
        <w:tc>
          <w:tcPr>
            <w:tcW w:w="1113" w:type="dxa"/>
          </w:tcPr>
          <w:p w14:paraId="2AB2FBC4" w14:textId="77777777" w:rsidR="00F076A6" w:rsidRDefault="00A54BA5">
            <w:pPr>
              <w:pStyle w:val="Compact"/>
              <w:spacing w:line="360" w:lineRule="auto"/>
              <w:jc w:val="both"/>
              <w:rPr>
                <w:color w:val="36363D"/>
              </w:rPr>
            </w:pPr>
            <w:r>
              <w:rPr>
                <w:color w:val="36363D"/>
              </w:rPr>
              <w:t>12.4</w:t>
            </w:r>
          </w:p>
        </w:tc>
        <w:tc>
          <w:tcPr>
            <w:tcW w:w="1039" w:type="dxa"/>
          </w:tcPr>
          <w:p w14:paraId="2F7145F3" w14:textId="77777777" w:rsidR="00F076A6" w:rsidRDefault="00A54BA5">
            <w:pPr>
              <w:pStyle w:val="Compact"/>
              <w:spacing w:line="360" w:lineRule="auto"/>
              <w:jc w:val="both"/>
              <w:rPr>
                <w:color w:val="36363D"/>
              </w:rPr>
            </w:pPr>
            <w:r>
              <w:rPr>
                <w:color w:val="36363D"/>
              </w:rPr>
              <w:t>16.8</w:t>
            </w:r>
          </w:p>
        </w:tc>
        <w:tc>
          <w:tcPr>
            <w:tcW w:w="1486" w:type="dxa"/>
          </w:tcPr>
          <w:p w14:paraId="27955A83" w14:textId="77777777" w:rsidR="00F076A6" w:rsidRDefault="00A54BA5">
            <w:pPr>
              <w:pStyle w:val="Compact"/>
              <w:spacing w:line="360" w:lineRule="auto"/>
              <w:jc w:val="both"/>
              <w:rPr>
                <w:color w:val="36363D"/>
              </w:rPr>
            </w:pPr>
            <w:r>
              <w:rPr>
                <w:color w:val="36363D"/>
              </w:rPr>
              <w:t>10.2</w:t>
            </w:r>
          </w:p>
        </w:tc>
        <w:tc>
          <w:tcPr>
            <w:tcW w:w="1063" w:type="dxa"/>
          </w:tcPr>
          <w:p w14:paraId="27BE2843" w14:textId="77777777" w:rsidR="00F076A6" w:rsidRDefault="00A54BA5">
            <w:pPr>
              <w:pStyle w:val="Compact"/>
              <w:spacing w:line="360" w:lineRule="auto"/>
              <w:jc w:val="both"/>
              <w:rPr>
                <w:color w:val="36363D"/>
              </w:rPr>
            </w:pPr>
            <w:r>
              <w:rPr>
                <w:color w:val="36363D"/>
              </w:rPr>
              <w:t>0.72</w:t>
            </w:r>
          </w:p>
        </w:tc>
        <w:tc>
          <w:tcPr>
            <w:tcW w:w="981" w:type="dxa"/>
          </w:tcPr>
          <w:p w14:paraId="451B4F8E" w14:textId="77777777" w:rsidR="00F076A6" w:rsidRDefault="00A54BA5">
            <w:pPr>
              <w:pStyle w:val="Compact"/>
              <w:spacing w:line="360" w:lineRule="auto"/>
              <w:jc w:val="both"/>
              <w:rPr>
                <w:color w:val="36363D"/>
              </w:rPr>
            </w:pPr>
            <w:r>
              <w:rPr>
                <w:color w:val="36363D"/>
              </w:rPr>
              <w:t>&lt;0.001</w:t>
            </w:r>
          </w:p>
        </w:tc>
      </w:tr>
      <w:tr w:rsidR="00F076A6" w14:paraId="1960B305" w14:textId="77777777" w:rsidTr="00F076A6">
        <w:tc>
          <w:tcPr>
            <w:tcW w:w="2836" w:type="dxa"/>
          </w:tcPr>
          <w:p w14:paraId="667A70C1" w14:textId="77777777" w:rsidR="00F076A6" w:rsidRDefault="00A54BA5">
            <w:pPr>
              <w:pStyle w:val="Compact"/>
              <w:spacing w:line="360" w:lineRule="auto"/>
              <w:jc w:val="both"/>
              <w:rPr>
                <w:color w:val="36363D"/>
              </w:rPr>
            </w:pPr>
            <w:r>
              <w:rPr>
                <w:color w:val="36363D"/>
              </w:rPr>
              <w:t>Amino acid metabolism</w:t>
            </w:r>
          </w:p>
        </w:tc>
        <w:tc>
          <w:tcPr>
            <w:tcW w:w="1113" w:type="dxa"/>
          </w:tcPr>
          <w:p w14:paraId="02449B0C" w14:textId="77777777" w:rsidR="00F076A6" w:rsidRDefault="00A54BA5">
            <w:pPr>
              <w:pStyle w:val="Compact"/>
              <w:spacing w:line="360" w:lineRule="auto"/>
              <w:jc w:val="both"/>
              <w:rPr>
                <w:color w:val="36363D"/>
              </w:rPr>
            </w:pPr>
            <w:r>
              <w:rPr>
                <w:color w:val="36363D"/>
              </w:rPr>
              <w:t>8.9</w:t>
            </w:r>
          </w:p>
        </w:tc>
        <w:tc>
          <w:tcPr>
            <w:tcW w:w="1039" w:type="dxa"/>
          </w:tcPr>
          <w:p w14:paraId="1CFCC34C" w14:textId="77777777" w:rsidR="00F076A6" w:rsidRDefault="00A54BA5">
            <w:pPr>
              <w:pStyle w:val="Compact"/>
              <w:spacing w:line="360" w:lineRule="auto"/>
              <w:jc w:val="both"/>
              <w:rPr>
                <w:color w:val="36363D"/>
              </w:rPr>
            </w:pPr>
            <w:r>
              <w:rPr>
                <w:color w:val="36363D"/>
              </w:rPr>
              <w:t>9.7</w:t>
            </w:r>
          </w:p>
        </w:tc>
        <w:tc>
          <w:tcPr>
            <w:tcW w:w="1486" w:type="dxa"/>
          </w:tcPr>
          <w:p w14:paraId="27DD0D56" w14:textId="77777777" w:rsidR="00F076A6" w:rsidRDefault="00A54BA5">
            <w:pPr>
              <w:pStyle w:val="Compact"/>
              <w:spacing w:line="360" w:lineRule="auto"/>
              <w:jc w:val="both"/>
              <w:rPr>
                <w:color w:val="36363D"/>
              </w:rPr>
            </w:pPr>
            <w:r>
              <w:rPr>
                <w:color w:val="36363D"/>
              </w:rPr>
              <w:t>8.1</w:t>
            </w:r>
          </w:p>
        </w:tc>
        <w:tc>
          <w:tcPr>
            <w:tcW w:w="1063" w:type="dxa"/>
          </w:tcPr>
          <w:p w14:paraId="665554BC" w14:textId="77777777" w:rsidR="00F076A6" w:rsidRDefault="00A54BA5">
            <w:pPr>
              <w:pStyle w:val="Compact"/>
              <w:spacing w:line="360" w:lineRule="auto"/>
              <w:jc w:val="both"/>
              <w:rPr>
                <w:color w:val="36363D"/>
              </w:rPr>
            </w:pPr>
            <w:r>
              <w:rPr>
                <w:color w:val="36363D"/>
              </w:rPr>
              <w:t>0.34</w:t>
            </w:r>
          </w:p>
        </w:tc>
        <w:tc>
          <w:tcPr>
            <w:tcW w:w="981" w:type="dxa"/>
          </w:tcPr>
          <w:p w14:paraId="72A0AED9" w14:textId="77777777" w:rsidR="00F076A6" w:rsidRDefault="00A54BA5">
            <w:pPr>
              <w:pStyle w:val="Compact"/>
              <w:spacing w:line="360" w:lineRule="auto"/>
              <w:jc w:val="both"/>
              <w:rPr>
                <w:color w:val="36363D"/>
              </w:rPr>
            </w:pPr>
            <w:r>
              <w:rPr>
                <w:color w:val="36363D"/>
              </w:rPr>
              <w:t>0.012</w:t>
            </w:r>
          </w:p>
        </w:tc>
      </w:tr>
      <w:tr w:rsidR="00F076A6" w14:paraId="5E8A055F" w14:textId="77777777" w:rsidTr="00F076A6">
        <w:tc>
          <w:tcPr>
            <w:tcW w:w="2836" w:type="dxa"/>
          </w:tcPr>
          <w:p w14:paraId="2DC087C8" w14:textId="77777777" w:rsidR="00F076A6" w:rsidRDefault="00A54BA5">
            <w:pPr>
              <w:pStyle w:val="Compact"/>
              <w:spacing w:line="360" w:lineRule="auto"/>
              <w:jc w:val="both"/>
              <w:rPr>
                <w:color w:val="36363D"/>
              </w:rPr>
            </w:pPr>
            <w:r>
              <w:rPr>
                <w:color w:val="36363D"/>
              </w:rPr>
              <w:t>Lipid metabolism</w:t>
            </w:r>
          </w:p>
        </w:tc>
        <w:tc>
          <w:tcPr>
            <w:tcW w:w="1113" w:type="dxa"/>
          </w:tcPr>
          <w:p w14:paraId="4E25C9A4" w14:textId="77777777" w:rsidR="00F076A6" w:rsidRDefault="00A54BA5">
            <w:pPr>
              <w:pStyle w:val="Compact"/>
              <w:spacing w:line="360" w:lineRule="auto"/>
              <w:jc w:val="both"/>
              <w:rPr>
                <w:color w:val="36363D"/>
              </w:rPr>
            </w:pPr>
            <w:r>
              <w:rPr>
                <w:color w:val="36363D"/>
              </w:rPr>
              <w:t>6.7</w:t>
            </w:r>
          </w:p>
        </w:tc>
        <w:tc>
          <w:tcPr>
            <w:tcW w:w="1039" w:type="dxa"/>
          </w:tcPr>
          <w:p w14:paraId="1AB56515" w14:textId="77777777" w:rsidR="00F076A6" w:rsidRDefault="00A54BA5">
            <w:pPr>
              <w:pStyle w:val="Compact"/>
              <w:spacing w:line="360" w:lineRule="auto"/>
              <w:jc w:val="both"/>
              <w:rPr>
                <w:color w:val="36363D"/>
              </w:rPr>
            </w:pPr>
            <w:r>
              <w:rPr>
                <w:color w:val="36363D"/>
              </w:rPr>
              <w:t>7.8</w:t>
            </w:r>
          </w:p>
        </w:tc>
        <w:tc>
          <w:tcPr>
            <w:tcW w:w="1486" w:type="dxa"/>
          </w:tcPr>
          <w:p w14:paraId="3BF39B90" w14:textId="77777777" w:rsidR="00F076A6" w:rsidRDefault="00A54BA5">
            <w:pPr>
              <w:pStyle w:val="Compact"/>
              <w:spacing w:line="360" w:lineRule="auto"/>
              <w:jc w:val="both"/>
              <w:rPr>
                <w:color w:val="36363D"/>
              </w:rPr>
            </w:pPr>
            <w:r>
              <w:rPr>
                <w:color w:val="36363D"/>
              </w:rPr>
              <w:t>5.9</w:t>
            </w:r>
          </w:p>
        </w:tc>
        <w:tc>
          <w:tcPr>
            <w:tcW w:w="1063" w:type="dxa"/>
          </w:tcPr>
          <w:p w14:paraId="0BA3C15A" w14:textId="77777777" w:rsidR="00F076A6" w:rsidRDefault="00A54BA5">
            <w:pPr>
              <w:pStyle w:val="Compact"/>
              <w:spacing w:line="360" w:lineRule="auto"/>
              <w:jc w:val="both"/>
              <w:rPr>
                <w:color w:val="36363D"/>
              </w:rPr>
            </w:pPr>
            <w:r>
              <w:rPr>
                <w:color w:val="36363D"/>
              </w:rPr>
              <w:t>0.41</w:t>
            </w:r>
          </w:p>
        </w:tc>
        <w:tc>
          <w:tcPr>
            <w:tcW w:w="981" w:type="dxa"/>
          </w:tcPr>
          <w:p w14:paraId="243D4B99" w14:textId="77777777" w:rsidR="00F076A6" w:rsidRDefault="00A54BA5">
            <w:pPr>
              <w:pStyle w:val="Compact"/>
              <w:spacing w:line="360" w:lineRule="auto"/>
              <w:jc w:val="both"/>
              <w:rPr>
                <w:color w:val="36363D"/>
              </w:rPr>
            </w:pPr>
            <w:r>
              <w:rPr>
                <w:color w:val="36363D"/>
              </w:rPr>
              <w:t>0.003</w:t>
            </w:r>
          </w:p>
        </w:tc>
      </w:tr>
      <w:tr w:rsidR="00F076A6" w14:paraId="21036AB7" w14:textId="77777777" w:rsidTr="00F076A6">
        <w:tc>
          <w:tcPr>
            <w:tcW w:w="2836" w:type="dxa"/>
          </w:tcPr>
          <w:p w14:paraId="6FFCF0B7" w14:textId="77777777" w:rsidR="00F076A6" w:rsidRDefault="00A54BA5">
            <w:pPr>
              <w:pStyle w:val="Compact"/>
              <w:spacing w:line="360" w:lineRule="auto"/>
              <w:jc w:val="both"/>
              <w:rPr>
                <w:color w:val="36363D"/>
              </w:rPr>
            </w:pPr>
            <w:r>
              <w:rPr>
                <w:color w:val="36363D"/>
              </w:rPr>
              <w:t>Secondary metabolite biosynthesis</w:t>
            </w:r>
          </w:p>
        </w:tc>
        <w:tc>
          <w:tcPr>
            <w:tcW w:w="1113" w:type="dxa"/>
          </w:tcPr>
          <w:p w14:paraId="55AB8933" w14:textId="77777777" w:rsidR="00F076A6" w:rsidRDefault="00A54BA5">
            <w:pPr>
              <w:pStyle w:val="Compact"/>
              <w:spacing w:line="360" w:lineRule="auto"/>
              <w:jc w:val="both"/>
              <w:rPr>
                <w:color w:val="36363D"/>
              </w:rPr>
            </w:pPr>
            <w:r>
              <w:rPr>
                <w:color w:val="36363D"/>
              </w:rPr>
              <w:t>2.8</w:t>
            </w:r>
          </w:p>
        </w:tc>
        <w:tc>
          <w:tcPr>
            <w:tcW w:w="1039" w:type="dxa"/>
          </w:tcPr>
          <w:p w14:paraId="30BB58F2" w14:textId="77777777" w:rsidR="00F076A6" w:rsidRDefault="00A54BA5">
            <w:pPr>
              <w:pStyle w:val="Compact"/>
              <w:spacing w:line="360" w:lineRule="auto"/>
              <w:jc w:val="both"/>
              <w:rPr>
                <w:color w:val="36363D"/>
              </w:rPr>
            </w:pPr>
            <w:r>
              <w:rPr>
                <w:color w:val="36363D"/>
              </w:rPr>
              <w:t>4.6</w:t>
            </w:r>
          </w:p>
        </w:tc>
        <w:tc>
          <w:tcPr>
            <w:tcW w:w="1486" w:type="dxa"/>
          </w:tcPr>
          <w:p w14:paraId="1E501994" w14:textId="77777777" w:rsidR="00F076A6" w:rsidRDefault="00A54BA5">
            <w:pPr>
              <w:pStyle w:val="Compact"/>
              <w:spacing w:line="360" w:lineRule="auto"/>
              <w:jc w:val="both"/>
              <w:rPr>
                <w:color w:val="36363D"/>
              </w:rPr>
            </w:pPr>
            <w:r>
              <w:rPr>
                <w:color w:val="36363D"/>
              </w:rPr>
              <w:t>2.1</w:t>
            </w:r>
          </w:p>
        </w:tc>
        <w:tc>
          <w:tcPr>
            <w:tcW w:w="1063" w:type="dxa"/>
          </w:tcPr>
          <w:p w14:paraId="01F1F832" w14:textId="77777777" w:rsidR="00F076A6" w:rsidRDefault="00A54BA5">
            <w:pPr>
              <w:pStyle w:val="Compact"/>
              <w:spacing w:line="360" w:lineRule="auto"/>
              <w:jc w:val="both"/>
              <w:rPr>
                <w:color w:val="36363D"/>
              </w:rPr>
            </w:pPr>
            <w:r>
              <w:rPr>
                <w:color w:val="36363D"/>
              </w:rPr>
              <w:t>0.67</w:t>
            </w:r>
          </w:p>
        </w:tc>
        <w:tc>
          <w:tcPr>
            <w:tcW w:w="981" w:type="dxa"/>
          </w:tcPr>
          <w:p w14:paraId="3ACB36D5" w14:textId="77777777" w:rsidR="00F076A6" w:rsidRDefault="00A54BA5">
            <w:pPr>
              <w:pStyle w:val="Compact"/>
              <w:spacing w:line="360" w:lineRule="auto"/>
              <w:jc w:val="both"/>
              <w:rPr>
                <w:color w:val="36363D"/>
              </w:rPr>
            </w:pPr>
            <w:r>
              <w:rPr>
                <w:color w:val="36363D"/>
              </w:rPr>
              <w:t>&lt;0.001</w:t>
            </w:r>
          </w:p>
        </w:tc>
      </w:tr>
      <w:tr w:rsidR="00F076A6" w14:paraId="1E23E4EF" w14:textId="77777777" w:rsidTr="00F076A6">
        <w:tc>
          <w:tcPr>
            <w:tcW w:w="2836" w:type="dxa"/>
          </w:tcPr>
          <w:p w14:paraId="1B21B717" w14:textId="77777777" w:rsidR="00F076A6" w:rsidRDefault="00A54BA5">
            <w:pPr>
              <w:pStyle w:val="Compact"/>
              <w:spacing w:line="360" w:lineRule="auto"/>
              <w:jc w:val="both"/>
              <w:rPr>
                <w:color w:val="36363D"/>
              </w:rPr>
            </w:pPr>
            <w:r>
              <w:rPr>
                <w:color w:val="36363D"/>
              </w:rPr>
              <w:t>DNA repair systems</w:t>
            </w:r>
          </w:p>
        </w:tc>
        <w:tc>
          <w:tcPr>
            <w:tcW w:w="1113" w:type="dxa"/>
          </w:tcPr>
          <w:p w14:paraId="7779A134" w14:textId="77777777" w:rsidR="00F076A6" w:rsidRDefault="00A54BA5">
            <w:pPr>
              <w:pStyle w:val="Compact"/>
              <w:spacing w:line="360" w:lineRule="auto"/>
              <w:jc w:val="both"/>
              <w:rPr>
                <w:color w:val="36363D"/>
              </w:rPr>
            </w:pPr>
            <w:r>
              <w:rPr>
                <w:color w:val="36363D"/>
              </w:rPr>
              <w:t>1.9</w:t>
            </w:r>
          </w:p>
        </w:tc>
        <w:tc>
          <w:tcPr>
            <w:tcW w:w="1039" w:type="dxa"/>
          </w:tcPr>
          <w:p w14:paraId="102A3C68" w14:textId="77777777" w:rsidR="00F076A6" w:rsidRDefault="00A54BA5">
            <w:pPr>
              <w:pStyle w:val="Compact"/>
              <w:spacing w:line="360" w:lineRule="auto"/>
              <w:jc w:val="both"/>
              <w:rPr>
                <w:color w:val="36363D"/>
              </w:rPr>
            </w:pPr>
            <w:r>
              <w:rPr>
                <w:color w:val="36363D"/>
              </w:rPr>
              <w:t>1.4</w:t>
            </w:r>
          </w:p>
        </w:tc>
        <w:tc>
          <w:tcPr>
            <w:tcW w:w="1486" w:type="dxa"/>
          </w:tcPr>
          <w:p w14:paraId="3F5C26A4" w14:textId="77777777" w:rsidR="00F076A6" w:rsidRDefault="00A54BA5">
            <w:pPr>
              <w:pStyle w:val="Compact"/>
              <w:spacing w:line="360" w:lineRule="auto"/>
              <w:jc w:val="both"/>
              <w:rPr>
                <w:color w:val="36363D"/>
              </w:rPr>
            </w:pPr>
            <w:r>
              <w:rPr>
                <w:color w:val="36363D"/>
              </w:rPr>
              <w:t>2.8</w:t>
            </w:r>
          </w:p>
        </w:tc>
        <w:tc>
          <w:tcPr>
            <w:tcW w:w="1063" w:type="dxa"/>
          </w:tcPr>
          <w:p w14:paraId="4D4338A5" w14:textId="77777777" w:rsidR="00F076A6" w:rsidRDefault="00A54BA5">
            <w:pPr>
              <w:pStyle w:val="Compact"/>
              <w:spacing w:line="360" w:lineRule="auto"/>
              <w:jc w:val="both"/>
              <w:rPr>
                <w:color w:val="36363D"/>
              </w:rPr>
            </w:pPr>
            <w:r>
              <w:rPr>
                <w:color w:val="36363D"/>
              </w:rPr>
              <w:t>0.58</w:t>
            </w:r>
          </w:p>
        </w:tc>
        <w:tc>
          <w:tcPr>
            <w:tcW w:w="981" w:type="dxa"/>
          </w:tcPr>
          <w:p w14:paraId="26E0EE54" w14:textId="77777777" w:rsidR="00F076A6" w:rsidRDefault="00A54BA5">
            <w:pPr>
              <w:pStyle w:val="Compact"/>
              <w:spacing w:line="360" w:lineRule="auto"/>
              <w:jc w:val="both"/>
              <w:rPr>
                <w:color w:val="36363D"/>
              </w:rPr>
            </w:pPr>
            <w:r>
              <w:rPr>
                <w:color w:val="36363D"/>
              </w:rPr>
              <w:t>&lt;0.001</w:t>
            </w:r>
          </w:p>
        </w:tc>
      </w:tr>
      <w:tr w:rsidR="00F076A6" w14:paraId="189AA29D" w14:textId="77777777" w:rsidTr="00F076A6">
        <w:tc>
          <w:tcPr>
            <w:tcW w:w="2836" w:type="dxa"/>
          </w:tcPr>
          <w:p w14:paraId="62126530" w14:textId="77777777" w:rsidR="00F076A6" w:rsidRDefault="00A54BA5">
            <w:pPr>
              <w:pStyle w:val="Compact"/>
              <w:spacing w:line="360" w:lineRule="auto"/>
              <w:jc w:val="both"/>
              <w:rPr>
                <w:color w:val="36363D"/>
              </w:rPr>
            </w:pPr>
            <w:r>
              <w:rPr>
                <w:color w:val="36363D"/>
              </w:rPr>
              <w:t>Stress response</w:t>
            </w:r>
          </w:p>
        </w:tc>
        <w:tc>
          <w:tcPr>
            <w:tcW w:w="1113" w:type="dxa"/>
          </w:tcPr>
          <w:p w14:paraId="76C0BD66" w14:textId="77777777" w:rsidR="00F076A6" w:rsidRDefault="00A54BA5">
            <w:pPr>
              <w:pStyle w:val="Compact"/>
              <w:spacing w:line="360" w:lineRule="auto"/>
              <w:jc w:val="both"/>
              <w:rPr>
                <w:color w:val="36363D"/>
              </w:rPr>
            </w:pPr>
            <w:r>
              <w:rPr>
                <w:color w:val="36363D"/>
              </w:rPr>
              <w:t>3.6</w:t>
            </w:r>
          </w:p>
        </w:tc>
        <w:tc>
          <w:tcPr>
            <w:tcW w:w="1039" w:type="dxa"/>
          </w:tcPr>
          <w:p w14:paraId="5B2EDF86" w14:textId="77777777" w:rsidR="00F076A6" w:rsidRDefault="00A54BA5">
            <w:pPr>
              <w:pStyle w:val="Compact"/>
              <w:spacing w:line="360" w:lineRule="auto"/>
              <w:jc w:val="both"/>
              <w:rPr>
                <w:color w:val="36363D"/>
              </w:rPr>
            </w:pPr>
            <w:r>
              <w:rPr>
                <w:color w:val="36363D"/>
              </w:rPr>
              <w:t>2.9</w:t>
            </w:r>
          </w:p>
        </w:tc>
        <w:tc>
          <w:tcPr>
            <w:tcW w:w="1486" w:type="dxa"/>
          </w:tcPr>
          <w:p w14:paraId="3042000E" w14:textId="77777777" w:rsidR="00F076A6" w:rsidRDefault="00A54BA5">
            <w:pPr>
              <w:pStyle w:val="Compact"/>
              <w:spacing w:line="360" w:lineRule="auto"/>
              <w:jc w:val="both"/>
              <w:rPr>
                <w:color w:val="36363D"/>
              </w:rPr>
            </w:pPr>
            <w:r>
              <w:rPr>
                <w:color w:val="36363D"/>
              </w:rPr>
              <w:t>4.9</w:t>
            </w:r>
          </w:p>
        </w:tc>
        <w:tc>
          <w:tcPr>
            <w:tcW w:w="1063" w:type="dxa"/>
          </w:tcPr>
          <w:p w14:paraId="6F08F3E5" w14:textId="77777777" w:rsidR="00F076A6" w:rsidRDefault="00A54BA5">
            <w:pPr>
              <w:pStyle w:val="Compact"/>
              <w:spacing w:line="360" w:lineRule="auto"/>
              <w:jc w:val="both"/>
              <w:rPr>
                <w:color w:val="36363D"/>
              </w:rPr>
            </w:pPr>
            <w:r>
              <w:rPr>
                <w:color w:val="36363D"/>
              </w:rPr>
              <w:t>0.63</w:t>
            </w:r>
          </w:p>
        </w:tc>
        <w:tc>
          <w:tcPr>
            <w:tcW w:w="981" w:type="dxa"/>
          </w:tcPr>
          <w:p w14:paraId="45819E17" w14:textId="77777777" w:rsidR="00F076A6" w:rsidRDefault="00A54BA5">
            <w:pPr>
              <w:pStyle w:val="Compact"/>
              <w:spacing w:line="360" w:lineRule="auto"/>
              <w:jc w:val="both"/>
              <w:rPr>
                <w:color w:val="36363D"/>
              </w:rPr>
            </w:pPr>
            <w:r>
              <w:rPr>
                <w:color w:val="36363D"/>
              </w:rPr>
              <w:t>&lt;0.001</w:t>
            </w:r>
          </w:p>
        </w:tc>
      </w:tr>
      <w:tr w:rsidR="00F076A6" w14:paraId="408290DF" w14:textId="77777777" w:rsidTr="00F076A6">
        <w:tc>
          <w:tcPr>
            <w:tcW w:w="2836" w:type="dxa"/>
          </w:tcPr>
          <w:p w14:paraId="7F5D14BB" w14:textId="77777777" w:rsidR="00F076A6" w:rsidRDefault="00A54BA5">
            <w:pPr>
              <w:pStyle w:val="Compact"/>
              <w:spacing w:line="360" w:lineRule="auto"/>
              <w:jc w:val="both"/>
              <w:rPr>
                <w:color w:val="36363D"/>
              </w:rPr>
            </w:pPr>
            <w:r>
              <w:rPr>
                <w:color w:val="36363D"/>
              </w:rPr>
              <w:t>Virulence factors</w:t>
            </w:r>
          </w:p>
        </w:tc>
        <w:tc>
          <w:tcPr>
            <w:tcW w:w="1113" w:type="dxa"/>
          </w:tcPr>
          <w:p w14:paraId="30F156E0" w14:textId="77777777" w:rsidR="00F076A6" w:rsidRDefault="00A54BA5">
            <w:pPr>
              <w:pStyle w:val="Compact"/>
              <w:spacing w:line="360" w:lineRule="auto"/>
              <w:jc w:val="both"/>
              <w:rPr>
                <w:color w:val="36363D"/>
              </w:rPr>
            </w:pPr>
            <w:r>
              <w:rPr>
                <w:color w:val="36363D"/>
              </w:rPr>
              <w:t>1.4</w:t>
            </w:r>
          </w:p>
        </w:tc>
        <w:tc>
          <w:tcPr>
            <w:tcW w:w="1039" w:type="dxa"/>
          </w:tcPr>
          <w:p w14:paraId="359E9C7A" w14:textId="77777777" w:rsidR="00F076A6" w:rsidRDefault="00A54BA5">
            <w:pPr>
              <w:pStyle w:val="Compact"/>
              <w:spacing w:line="360" w:lineRule="auto"/>
              <w:jc w:val="both"/>
              <w:rPr>
                <w:color w:val="36363D"/>
              </w:rPr>
            </w:pPr>
            <w:r>
              <w:rPr>
                <w:color w:val="36363D"/>
              </w:rPr>
              <w:t>0.8</w:t>
            </w:r>
          </w:p>
        </w:tc>
        <w:tc>
          <w:tcPr>
            <w:tcW w:w="1486" w:type="dxa"/>
          </w:tcPr>
          <w:p w14:paraId="20E5CAA4" w14:textId="77777777" w:rsidR="00F076A6" w:rsidRDefault="00A54BA5">
            <w:pPr>
              <w:pStyle w:val="Compact"/>
              <w:spacing w:line="360" w:lineRule="auto"/>
              <w:jc w:val="both"/>
              <w:rPr>
                <w:color w:val="36363D"/>
              </w:rPr>
            </w:pPr>
            <w:r>
              <w:rPr>
                <w:color w:val="36363D"/>
              </w:rPr>
              <w:t>2.3</w:t>
            </w:r>
          </w:p>
        </w:tc>
        <w:tc>
          <w:tcPr>
            <w:tcW w:w="1063" w:type="dxa"/>
          </w:tcPr>
          <w:p w14:paraId="2A9BB2A5" w14:textId="77777777" w:rsidR="00F076A6" w:rsidRDefault="00A54BA5">
            <w:pPr>
              <w:pStyle w:val="Compact"/>
              <w:spacing w:line="360" w:lineRule="auto"/>
              <w:jc w:val="both"/>
              <w:rPr>
                <w:color w:val="36363D"/>
              </w:rPr>
            </w:pPr>
            <w:r>
              <w:rPr>
                <w:color w:val="36363D"/>
              </w:rPr>
              <w:t>0.71</w:t>
            </w:r>
          </w:p>
        </w:tc>
        <w:tc>
          <w:tcPr>
            <w:tcW w:w="981" w:type="dxa"/>
          </w:tcPr>
          <w:p w14:paraId="32213F35" w14:textId="77777777" w:rsidR="00F076A6" w:rsidRDefault="00A54BA5">
            <w:pPr>
              <w:pStyle w:val="Compact"/>
              <w:spacing w:line="360" w:lineRule="auto"/>
              <w:jc w:val="both"/>
              <w:rPr>
                <w:color w:val="36363D"/>
              </w:rPr>
            </w:pPr>
            <w:r>
              <w:rPr>
                <w:color w:val="36363D"/>
              </w:rPr>
              <w:t>&lt;0.001</w:t>
            </w:r>
          </w:p>
        </w:tc>
      </w:tr>
      <w:tr w:rsidR="00F076A6" w14:paraId="092144BD" w14:textId="77777777" w:rsidTr="00F076A6">
        <w:tc>
          <w:tcPr>
            <w:tcW w:w="2836" w:type="dxa"/>
          </w:tcPr>
          <w:p w14:paraId="6BFC92D3" w14:textId="77777777" w:rsidR="00F076A6" w:rsidRDefault="00A54BA5">
            <w:pPr>
              <w:pStyle w:val="Compact"/>
              <w:spacing w:line="360" w:lineRule="auto"/>
              <w:jc w:val="both"/>
              <w:rPr>
                <w:color w:val="36363D"/>
              </w:rPr>
            </w:pPr>
            <w:r>
              <w:rPr>
                <w:color w:val="36363D"/>
              </w:rPr>
              <w:t>Metal resistance</w:t>
            </w:r>
          </w:p>
        </w:tc>
        <w:tc>
          <w:tcPr>
            <w:tcW w:w="1113" w:type="dxa"/>
          </w:tcPr>
          <w:p w14:paraId="5399A45C" w14:textId="77777777" w:rsidR="00F076A6" w:rsidRDefault="00A54BA5">
            <w:pPr>
              <w:pStyle w:val="Compact"/>
              <w:spacing w:line="360" w:lineRule="auto"/>
              <w:jc w:val="both"/>
              <w:rPr>
                <w:color w:val="36363D"/>
              </w:rPr>
            </w:pPr>
            <w:r>
              <w:rPr>
                <w:color w:val="36363D"/>
              </w:rPr>
              <w:t>0.9</w:t>
            </w:r>
          </w:p>
        </w:tc>
        <w:tc>
          <w:tcPr>
            <w:tcW w:w="1039" w:type="dxa"/>
          </w:tcPr>
          <w:p w14:paraId="48433311" w14:textId="77777777" w:rsidR="00F076A6" w:rsidRDefault="00A54BA5">
            <w:pPr>
              <w:pStyle w:val="Compact"/>
              <w:spacing w:line="360" w:lineRule="auto"/>
              <w:jc w:val="both"/>
              <w:rPr>
                <w:color w:val="36363D"/>
              </w:rPr>
            </w:pPr>
            <w:r>
              <w:rPr>
                <w:color w:val="36363D"/>
              </w:rPr>
              <w:t>0.5</w:t>
            </w:r>
          </w:p>
        </w:tc>
        <w:tc>
          <w:tcPr>
            <w:tcW w:w="1486" w:type="dxa"/>
          </w:tcPr>
          <w:p w14:paraId="550ADE41" w14:textId="77777777" w:rsidR="00F076A6" w:rsidRDefault="00A54BA5">
            <w:pPr>
              <w:pStyle w:val="Compact"/>
              <w:spacing w:line="360" w:lineRule="auto"/>
              <w:jc w:val="both"/>
              <w:rPr>
                <w:color w:val="36363D"/>
              </w:rPr>
            </w:pPr>
            <w:r>
              <w:rPr>
                <w:color w:val="36363D"/>
              </w:rPr>
              <w:t>1.8</w:t>
            </w:r>
          </w:p>
        </w:tc>
        <w:tc>
          <w:tcPr>
            <w:tcW w:w="1063" w:type="dxa"/>
          </w:tcPr>
          <w:p w14:paraId="1CFD3D9B" w14:textId="77777777" w:rsidR="00F076A6" w:rsidRDefault="00A54BA5">
            <w:pPr>
              <w:pStyle w:val="Compact"/>
              <w:spacing w:line="360" w:lineRule="auto"/>
              <w:jc w:val="both"/>
              <w:rPr>
                <w:color w:val="36363D"/>
              </w:rPr>
            </w:pPr>
            <w:r>
              <w:rPr>
                <w:color w:val="36363D"/>
              </w:rPr>
              <w:t>0.82</w:t>
            </w:r>
          </w:p>
        </w:tc>
        <w:tc>
          <w:tcPr>
            <w:tcW w:w="981" w:type="dxa"/>
          </w:tcPr>
          <w:p w14:paraId="3A311C8E" w14:textId="77777777" w:rsidR="00F076A6" w:rsidRDefault="00A54BA5">
            <w:pPr>
              <w:pStyle w:val="Compact"/>
              <w:spacing w:line="360" w:lineRule="auto"/>
              <w:jc w:val="both"/>
              <w:rPr>
                <w:color w:val="36363D"/>
              </w:rPr>
            </w:pPr>
            <w:r>
              <w:rPr>
                <w:color w:val="36363D"/>
              </w:rPr>
              <w:t>&lt;0.001</w:t>
            </w:r>
          </w:p>
        </w:tc>
      </w:tr>
    </w:tbl>
    <w:p w14:paraId="5C56AF45" w14:textId="77777777" w:rsidR="00F076A6" w:rsidRDefault="00A54BA5">
      <w:pPr>
        <w:pStyle w:val="BodyText"/>
        <w:spacing w:line="360" w:lineRule="auto"/>
        <w:jc w:val="both"/>
        <w:rPr>
          <w:color w:val="36363D"/>
        </w:rPr>
      </w:pPr>
      <w:r>
        <w:rPr>
          <w:color w:val="36363D"/>
        </w:rPr>
        <w:t>The functional analysis revealed that microbiomes in polluted environments had adapted to environmental stressors through upregulation of detoxification and resistance pathways, but at the cost of beneficial metabolic functions.</w:t>
      </w:r>
    </w:p>
    <w:p w14:paraId="048ED525" w14:textId="77777777" w:rsidR="00F076A6" w:rsidRDefault="00A54BA5">
      <w:pPr>
        <w:pStyle w:val="Heading31"/>
        <w:spacing w:line="360" w:lineRule="auto"/>
        <w:jc w:val="both"/>
        <w:rPr>
          <w:color w:val="36363D"/>
        </w:rPr>
      </w:pPr>
      <w:bookmarkStart w:id="26" w:name="Xdd4064e39eb39b12014ca8328cf4d750cef3b9e"/>
      <w:bookmarkEnd w:id="25"/>
      <w:r>
        <w:rPr>
          <w:color w:val="36363D"/>
        </w:rPr>
        <w:t xml:space="preserve"> Metabolomic Profiles</w:t>
      </w:r>
    </w:p>
    <w:p w14:paraId="76938F35" w14:textId="77777777" w:rsidR="00F076A6" w:rsidRDefault="00A54BA5">
      <w:pPr>
        <w:pStyle w:val="FirstParagraph"/>
        <w:spacing w:line="360" w:lineRule="auto"/>
        <w:jc w:val="both"/>
        <w:rPr>
          <w:color w:val="36363D"/>
        </w:rPr>
      </w:pPr>
      <w:r>
        <w:rPr>
          <w:color w:val="36363D"/>
        </w:rPr>
        <w:t>Untargeted and targeted metabolomics revealed distinct biochemical signatures associated with different environmental exposures. Rural populations showed higher levels of beneficial metabolites, while industrial populations had elevated levels of inflammatory compounds and xenobiotic metabolites.</w:t>
      </w:r>
    </w:p>
    <w:p w14:paraId="15E9C8E3" w14:textId="77777777" w:rsidR="00F076A6" w:rsidRDefault="00A54BA5">
      <w:pPr>
        <w:pStyle w:val="BodyText"/>
        <w:spacing w:line="360" w:lineRule="auto"/>
        <w:jc w:val="both"/>
        <w:rPr>
          <w:color w:val="36363D"/>
        </w:rPr>
      </w:pPr>
      <w:r>
        <w:rPr>
          <w:b/>
          <w:bCs/>
          <w:color w:val="36363D"/>
        </w:rPr>
        <w:t>Table 5: Metabolite Concentrations by Environmental Category</w:t>
      </w:r>
    </w:p>
    <w:tbl>
      <w:tblPr>
        <w:tblStyle w:val="Table"/>
        <w:tblW w:w="0" w:type="auto"/>
        <w:tblInd w:w="0" w:type="dxa"/>
        <w:tblLayout w:type="fixed"/>
        <w:tblLook w:val="04A0" w:firstRow="1" w:lastRow="0" w:firstColumn="1" w:lastColumn="0" w:noHBand="0" w:noVBand="1"/>
      </w:tblPr>
      <w:tblGrid>
        <w:gridCol w:w="2339"/>
        <w:gridCol w:w="1237"/>
        <w:gridCol w:w="1189"/>
        <w:gridCol w:w="1610"/>
        <w:gridCol w:w="1161"/>
        <w:gridCol w:w="982"/>
      </w:tblGrid>
      <w:tr w:rsidR="00F076A6" w14:paraId="513EEC8C" w14:textId="77777777" w:rsidTr="00F076A6">
        <w:trPr>
          <w:cnfStyle w:val="100000000000" w:firstRow="1" w:lastRow="0" w:firstColumn="0" w:lastColumn="0" w:oddVBand="0" w:evenVBand="0" w:oddHBand="0" w:evenHBand="0" w:firstRowFirstColumn="0" w:firstRowLastColumn="0" w:lastRowFirstColumn="0" w:lastRowLastColumn="0"/>
          <w:tblHeader/>
        </w:trPr>
        <w:tc>
          <w:tcPr>
            <w:tcW w:w="2339" w:type="dxa"/>
          </w:tcPr>
          <w:p w14:paraId="44CC5DD8" w14:textId="77777777" w:rsidR="00F076A6" w:rsidRDefault="00A54BA5">
            <w:pPr>
              <w:pStyle w:val="Compact"/>
              <w:spacing w:line="360" w:lineRule="auto"/>
              <w:jc w:val="both"/>
              <w:rPr>
                <w:color w:val="36363D"/>
              </w:rPr>
            </w:pPr>
            <w:r>
              <w:rPr>
                <w:color w:val="36363D"/>
              </w:rPr>
              <w:t>Metabolite Class</w:t>
            </w:r>
          </w:p>
        </w:tc>
        <w:tc>
          <w:tcPr>
            <w:tcW w:w="1237" w:type="dxa"/>
          </w:tcPr>
          <w:p w14:paraId="6F38F5D7" w14:textId="77777777" w:rsidR="00F076A6" w:rsidRDefault="00A54BA5">
            <w:pPr>
              <w:pStyle w:val="Compact"/>
              <w:spacing w:line="360" w:lineRule="auto"/>
              <w:jc w:val="both"/>
              <w:rPr>
                <w:color w:val="36363D"/>
              </w:rPr>
            </w:pPr>
            <w:r>
              <w:rPr>
                <w:color w:val="36363D"/>
              </w:rPr>
              <w:t>Urban (μM)</w:t>
            </w:r>
          </w:p>
        </w:tc>
        <w:tc>
          <w:tcPr>
            <w:tcW w:w="1189" w:type="dxa"/>
          </w:tcPr>
          <w:p w14:paraId="773C3928" w14:textId="77777777" w:rsidR="00F076A6" w:rsidRDefault="00A54BA5">
            <w:pPr>
              <w:pStyle w:val="Compact"/>
              <w:spacing w:line="360" w:lineRule="auto"/>
              <w:jc w:val="both"/>
              <w:rPr>
                <w:color w:val="36363D"/>
              </w:rPr>
            </w:pPr>
            <w:r>
              <w:rPr>
                <w:color w:val="36363D"/>
              </w:rPr>
              <w:t>Rural (μM)</w:t>
            </w:r>
          </w:p>
        </w:tc>
        <w:tc>
          <w:tcPr>
            <w:tcW w:w="1610" w:type="dxa"/>
          </w:tcPr>
          <w:p w14:paraId="5C699DB4" w14:textId="77777777" w:rsidR="00F076A6" w:rsidRDefault="00A54BA5">
            <w:pPr>
              <w:pStyle w:val="Compact"/>
              <w:spacing w:line="360" w:lineRule="auto"/>
              <w:jc w:val="both"/>
              <w:rPr>
                <w:color w:val="36363D"/>
              </w:rPr>
            </w:pPr>
            <w:r>
              <w:rPr>
                <w:color w:val="36363D"/>
              </w:rPr>
              <w:t>Industrial (μM)</w:t>
            </w:r>
          </w:p>
        </w:tc>
        <w:tc>
          <w:tcPr>
            <w:tcW w:w="1161" w:type="dxa"/>
          </w:tcPr>
          <w:p w14:paraId="5AD3EB10" w14:textId="77777777" w:rsidR="00F076A6" w:rsidRDefault="00A54BA5">
            <w:pPr>
              <w:pStyle w:val="Compact"/>
              <w:spacing w:line="360" w:lineRule="auto"/>
              <w:jc w:val="both"/>
              <w:rPr>
                <w:color w:val="36363D"/>
              </w:rPr>
            </w:pPr>
            <w:r>
              <w:rPr>
                <w:color w:val="36363D"/>
              </w:rPr>
              <w:t>F-statistic</w:t>
            </w:r>
          </w:p>
        </w:tc>
        <w:tc>
          <w:tcPr>
            <w:tcW w:w="982" w:type="dxa"/>
          </w:tcPr>
          <w:p w14:paraId="0EEDBB81" w14:textId="77777777" w:rsidR="00F076A6" w:rsidRDefault="00A54BA5">
            <w:pPr>
              <w:pStyle w:val="Compact"/>
              <w:spacing w:line="360" w:lineRule="auto"/>
              <w:jc w:val="both"/>
              <w:rPr>
                <w:color w:val="36363D"/>
              </w:rPr>
            </w:pPr>
            <w:r>
              <w:rPr>
                <w:color w:val="36363D"/>
              </w:rPr>
              <w:t>P-value</w:t>
            </w:r>
          </w:p>
        </w:tc>
      </w:tr>
      <w:tr w:rsidR="00F076A6" w14:paraId="5ABDE2FC" w14:textId="77777777" w:rsidTr="00F076A6">
        <w:tc>
          <w:tcPr>
            <w:tcW w:w="2339" w:type="dxa"/>
          </w:tcPr>
          <w:p w14:paraId="7605A8E6" w14:textId="77777777" w:rsidR="00F076A6" w:rsidRDefault="00A54BA5">
            <w:pPr>
              <w:pStyle w:val="Compact"/>
              <w:spacing w:line="360" w:lineRule="auto"/>
              <w:jc w:val="both"/>
              <w:rPr>
                <w:color w:val="36363D"/>
              </w:rPr>
            </w:pPr>
            <w:r>
              <w:rPr>
                <w:color w:val="36363D"/>
              </w:rPr>
              <w:t>Acetate</w:t>
            </w:r>
          </w:p>
        </w:tc>
        <w:tc>
          <w:tcPr>
            <w:tcW w:w="1237" w:type="dxa"/>
          </w:tcPr>
          <w:p w14:paraId="522D6AED" w14:textId="77777777" w:rsidR="00F076A6" w:rsidRDefault="00A54BA5">
            <w:pPr>
              <w:pStyle w:val="Compact"/>
              <w:spacing w:line="360" w:lineRule="auto"/>
              <w:jc w:val="both"/>
              <w:rPr>
                <w:color w:val="36363D"/>
              </w:rPr>
            </w:pPr>
            <w:r>
              <w:rPr>
                <w:color w:val="36363D"/>
              </w:rPr>
              <w:t>58.4 ± 18.7</w:t>
            </w:r>
          </w:p>
        </w:tc>
        <w:tc>
          <w:tcPr>
            <w:tcW w:w="1189" w:type="dxa"/>
          </w:tcPr>
          <w:p w14:paraId="336BEB2D" w14:textId="77777777" w:rsidR="00F076A6" w:rsidRDefault="00A54BA5">
            <w:pPr>
              <w:pStyle w:val="Compact"/>
              <w:spacing w:line="360" w:lineRule="auto"/>
              <w:jc w:val="both"/>
              <w:rPr>
                <w:color w:val="36363D"/>
              </w:rPr>
            </w:pPr>
            <w:r>
              <w:rPr>
                <w:color w:val="36363D"/>
              </w:rPr>
              <w:t>72.6 ± 22.3</w:t>
            </w:r>
          </w:p>
        </w:tc>
        <w:tc>
          <w:tcPr>
            <w:tcW w:w="1610" w:type="dxa"/>
          </w:tcPr>
          <w:p w14:paraId="4E29F876" w14:textId="77777777" w:rsidR="00F076A6" w:rsidRDefault="00A54BA5">
            <w:pPr>
              <w:pStyle w:val="Compact"/>
              <w:spacing w:line="360" w:lineRule="auto"/>
              <w:jc w:val="both"/>
              <w:rPr>
                <w:color w:val="36363D"/>
              </w:rPr>
            </w:pPr>
            <w:r>
              <w:rPr>
                <w:color w:val="36363D"/>
              </w:rPr>
              <w:t>43.2 ± 15.9</w:t>
            </w:r>
          </w:p>
        </w:tc>
        <w:tc>
          <w:tcPr>
            <w:tcW w:w="1161" w:type="dxa"/>
          </w:tcPr>
          <w:p w14:paraId="3B2D9BE9" w14:textId="77777777" w:rsidR="00F076A6" w:rsidRDefault="00A54BA5">
            <w:pPr>
              <w:pStyle w:val="Compact"/>
              <w:spacing w:line="360" w:lineRule="auto"/>
              <w:jc w:val="both"/>
              <w:rPr>
                <w:color w:val="36363D"/>
              </w:rPr>
            </w:pPr>
            <w:r>
              <w:rPr>
                <w:color w:val="36363D"/>
              </w:rPr>
              <w:t>89.7</w:t>
            </w:r>
          </w:p>
        </w:tc>
        <w:tc>
          <w:tcPr>
            <w:tcW w:w="982" w:type="dxa"/>
          </w:tcPr>
          <w:p w14:paraId="5FC319B3" w14:textId="77777777" w:rsidR="00F076A6" w:rsidRDefault="00A54BA5">
            <w:pPr>
              <w:pStyle w:val="Compact"/>
              <w:spacing w:line="360" w:lineRule="auto"/>
              <w:jc w:val="both"/>
              <w:rPr>
                <w:color w:val="36363D"/>
              </w:rPr>
            </w:pPr>
            <w:r>
              <w:rPr>
                <w:color w:val="36363D"/>
              </w:rPr>
              <w:t>&lt;0.001</w:t>
            </w:r>
          </w:p>
        </w:tc>
      </w:tr>
      <w:tr w:rsidR="00F076A6" w14:paraId="706526A0" w14:textId="77777777" w:rsidTr="00F076A6">
        <w:tc>
          <w:tcPr>
            <w:tcW w:w="2339" w:type="dxa"/>
          </w:tcPr>
          <w:p w14:paraId="41B9BA29" w14:textId="77777777" w:rsidR="00F076A6" w:rsidRDefault="00A54BA5">
            <w:pPr>
              <w:pStyle w:val="Compact"/>
              <w:spacing w:line="360" w:lineRule="auto"/>
              <w:jc w:val="both"/>
              <w:rPr>
                <w:color w:val="36363D"/>
              </w:rPr>
            </w:pPr>
            <w:r>
              <w:rPr>
                <w:color w:val="36363D"/>
              </w:rPr>
              <w:t>Propionate</w:t>
            </w:r>
          </w:p>
        </w:tc>
        <w:tc>
          <w:tcPr>
            <w:tcW w:w="1237" w:type="dxa"/>
          </w:tcPr>
          <w:p w14:paraId="0D277DDB" w14:textId="77777777" w:rsidR="00F076A6" w:rsidRDefault="00A54BA5">
            <w:pPr>
              <w:pStyle w:val="Compact"/>
              <w:spacing w:line="360" w:lineRule="auto"/>
              <w:jc w:val="both"/>
              <w:rPr>
                <w:color w:val="36363D"/>
              </w:rPr>
            </w:pPr>
            <w:r>
              <w:rPr>
                <w:color w:val="36363D"/>
              </w:rPr>
              <w:t>12.8 ± 5.4</w:t>
            </w:r>
          </w:p>
        </w:tc>
        <w:tc>
          <w:tcPr>
            <w:tcW w:w="1189" w:type="dxa"/>
          </w:tcPr>
          <w:p w14:paraId="3F13EE8F" w14:textId="77777777" w:rsidR="00F076A6" w:rsidRDefault="00A54BA5">
            <w:pPr>
              <w:pStyle w:val="Compact"/>
              <w:spacing w:line="360" w:lineRule="auto"/>
              <w:jc w:val="both"/>
              <w:rPr>
                <w:color w:val="36363D"/>
              </w:rPr>
            </w:pPr>
            <w:r>
              <w:rPr>
                <w:color w:val="36363D"/>
              </w:rPr>
              <w:t xml:space="preserve">18.2 ± </w:t>
            </w:r>
            <w:r>
              <w:rPr>
                <w:color w:val="36363D"/>
              </w:rPr>
              <w:lastRenderedPageBreak/>
              <w:t>7.1</w:t>
            </w:r>
          </w:p>
        </w:tc>
        <w:tc>
          <w:tcPr>
            <w:tcW w:w="1610" w:type="dxa"/>
          </w:tcPr>
          <w:p w14:paraId="7AB3C008" w14:textId="77777777" w:rsidR="00F076A6" w:rsidRDefault="00A54BA5">
            <w:pPr>
              <w:pStyle w:val="Compact"/>
              <w:spacing w:line="360" w:lineRule="auto"/>
              <w:jc w:val="both"/>
              <w:rPr>
                <w:color w:val="36363D"/>
              </w:rPr>
            </w:pPr>
            <w:r>
              <w:rPr>
                <w:color w:val="36363D"/>
              </w:rPr>
              <w:lastRenderedPageBreak/>
              <w:t>9.3 ± 4.2</w:t>
            </w:r>
          </w:p>
        </w:tc>
        <w:tc>
          <w:tcPr>
            <w:tcW w:w="1161" w:type="dxa"/>
          </w:tcPr>
          <w:p w14:paraId="5CDAFC2C" w14:textId="77777777" w:rsidR="00F076A6" w:rsidRDefault="00A54BA5">
            <w:pPr>
              <w:pStyle w:val="Compact"/>
              <w:spacing w:line="360" w:lineRule="auto"/>
              <w:jc w:val="both"/>
              <w:rPr>
                <w:color w:val="36363D"/>
              </w:rPr>
            </w:pPr>
            <w:r>
              <w:rPr>
                <w:color w:val="36363D"/>
              </w:rPr>
              <w:t>76.3</w:t>
            </w:r>
          </w:p>
        </w:tc>
        <w:tc>
          <w:tcPr>
            <w:tcW w:w="982" w:type="dxa"/>
          </w:tcPr>
          <w:p w14:paraId="58091B32" w14:textId="77777777" w:rsidR="00F076A6" w:rsidRDefault="00A54BA5">
            <w:pPr>
              <w:pStyle w:val="Compact"/>
              <w:spacing w:line="360" w:lineRule="auto"/>
              <w:jc w:val="both"/>
              <w:rPr>
                <w:color w:val="36363D"/>
              </w:rPr>
            </w:pPr>
            <w:r>
              <w:rPr>
                <w:color w:val="36363D"/>
              </w:rPr>
              <w:t>&lt;0.001</w:t>
            </w:r>
          </w:p>
        </w:tc>
      </w:tr>
      <w:tr w:rsidR="00F076A6" w14:paraId="4A7E694C" w14:textId="77777777" w:rsidTr="00F076A6">
        <w:tc>
          <w:tcPr>
            <w:tcW w:w="2339" w:type="dxa"/>
          </w:tcPr>
          <w:p w14:paraId="7387C3AE" w14:textId="77777777" w:rsidR="00F076A6" w:rsidRDefault="00A54BA5">
            <w:pPr>
              <w:pStyle w:val="Compact"/>
              <w:spacing w:line="360" w:lineRule="auto"/>
              <w:jc w:val="both"/>
              <w:rPr>
                <w:color w:val="36363D"/>
              </w:rPr>
            </w:pPr>
            <w:r>
              <w:rPr>
                <w:color w:val="36363D"/>
              </w:rPr>
              <w:t>Butyrate</w:t>
            </w:r>
          </w:p>
        </w:tc>
        <w:tc>
          <w:tcPr>
            <w:tcW w:w="1237" w:type="dxa"/>
          </w:tcPr>
          <w:p w14:paraId="3A6AD848" w14:textId="77777777" w:rsidR="00F076A6" w:rsidRDefault="00A54BA5">
            <w:pPr>
              <w:pStyle w:val="Compact"/>
              <w:spacing w:line="360" w:lineRule="auto"/>
              <w:jc w:val="both"/>
              <w:rPr>
                <w:color w:val="36363D"/>
              </w:rPr>
            </w:pPr>
            <w:r>
              <w:rPr>
                <w:color w:val="36363D"/>
              </w:rPr>
              <w:t>8.9 ± 3.7</w:t>
            </w:r>
          </w:p>
        </w:tc>
        <w:tc>
          <w:tcPr>
            <w:tcW w:w="1189" w:type="dxa"/>
          </w:tcPr>
          <w:p w14:paraId="2FF8158E" w14:textId="77777777" w:rsidR="00F076A6" w:rsidRDefault="00A54BA5">
            <w:pPr>
              <w:pStyle w:val="Compact"/>
              <w:spacing w:line="360" w:lineRule="auto"/>
              <w:jc w:val="both"/>
              <w:rPr>
                <w:color w:val="36363D"/>
              </w:rPr>
            </w:pPr>
            <w:r>
              <w:rPr>
                <w:color w:val="36363D"/>
              </w:rPr>
              <w:t>14.1 ± 5.8</w:t>
            </w:r>
          </w:p>
        </w:tc>
        <w:tc>
          <w:tcPr>
            <w:tcW w:w="1610" w:type="dxa"/>
          </w:tcPr>
          <w:p w14:paraId="5B5FA26E" w14:textId="77777777" w:rsidR="00F076A6" w:rsidRDefault="00A54BA5">
            <w:pPr>
              <w:pStyle w:val="Compact"/>
              <w:spacing w:line="360" w:lineRule="auto"/>
              <w:jc w:val="both"/>
              <w:rPr>
                <w:color w:val="36363D"/>
              </w:rPr>
            </w:pPr>
            <w:r>
              <w:rPr>
                <w:color w:val="36363D"/>
              </w:rPr>
              <w:t>6.2 ± 2.9</w:t>
            </w:r>
          </w:p>
        </w:tc>
        <w:tc>
          <w:tcPr>
            <w:tcW w:w="1161" w:type="dxa"/>
          </w:tcPr>
          <w:p w14:paraId="7EE7387D" w14:textId="77777777" w:rsidR="00F076A6" w:rsidRDefault="00A54BA5">
            <w:pPr>
              <w:pStyle w:val="Compact"/>
              <w:spacing w:line="360" w:lineRule="auto"/>
              <w:jc w:val="both"/>
              <w:rPr>
                <w:color w:val="36363D"/>
              </w:rPr>
            </w:pPr>
            <w:r>
              <w:rPr>
                <w:color w:val="36363D"/>
              </w:rPr>
              <w:t>94.2</w:t>
            </w:r>
          </w:p>
        </w:tc>
        <w:tc>
          <w:tcPr>
            <w:tcW w:w="982" w:type="dxa"/>
          </w:tcPr>
          <w:p w14:paraId="076F0E26" w14:textId="77777777" w:rsidR="00F076A6" w:rsidRDefault="00A54BA5">
            <w:pPr>
              <w:pStyle w:val="Compact"/>
              <w:spacing w:line="360" w:lineRule="auto"/>
              <w:jc w:val="both"/>
              <w:rPr>
                <w:color w:val="36363D"/>
              </w:rPr>
            </w:pPr>
            <w:r>
              <w:rPr>
                <w:color w:val="36363D"/>
              </w:rPr>
              <w:t>&lt;0.001</w:t>
            </w:r>
          </w:p>
        </w:tc>
      </w:tr>
      <w:tr w:rsidR="00F076A6" w14:paraId="524D1C02" w14:textId="77777777" w:rsidTr="00F076A6">
        <w:tc>
          <w:tcPr>
            <w:tcW w:w="2339" w:type="dxa"/>
          </w:tcPr>
          <w:p w14:paraId="6E9A69DD" w14:textId="77777777" w:rsidR="00F076A6" w:rsidRDefault="00A54BA5">
            <w:pPr>
              <w:pStyle w:val="Compact"/>
              <w:spacing w:line="360" w:lineRule="auto"/>
              <w:jc w:val="both"/>
              <w:rPr>
                <w:color w:val="36363D"/>
              </w:rPr>
            </w:pPr>
            <w:r>
              <w:rPr>
                <w:color w:val="36363D"/>
              </w:rPr>
              <w:t>Primary bile acids</w:t>
            </w:r>
          </w:p>
        </w:tc>
        <w:tc>
          <w:tcPr>
            <w:tcW w:w="1237" w:type="dxa"/>
          </w:tcPr>
          <w:p w14:paraId="34DC3AA6" w14:textId="77777777" w:rsidR="00F076A6" w:rsidRDefault="00A54BA5">
            <w:pPr>
              <w:pStyle w:val="Compact"/>
              <w:spacing w:line="360" w:lineRule="auto"/>
              <w:jc w:val="both"/>
              <w:rPr>
                <w:color w:val="36363D"/>
              </w:rPr>
            </w:pPr>
            <w:r>
              <w:rPr>
                <w:color w:val="36363D"/>
              </w:rPr>
              <w:t>23.7 ± 9.2</w:t>
            </w:r>
          </w:p>
        </w:tc>
        <w:tc>
          <w:tcPr>
            <w:tcW w:w="1189" w:type="dxa"/>
          </w:tcPr>
          <w:p w14:paraId="7FC2B36A" w14:textId="77777777" w:rsidR="00F076A6" w:rsidRDefault="00A54BA5">
            <w:pPr>
              <w:pStyle w:val="Compact"/>
              <w:spacing w:line="360" w:lineRule="auto"/>
              <w:jc w:val="both"/>
              <w:rPr>
                <w:color w:val="36363D"/>
              </w:rPr>
            </w:pPr>
            <w:r>
              <w:rPr>
                <w:color w:val="36363D"/>
              </w:rPr>
              <w:t>19.4 ± 7.8</w:t>
            </w:r>
          </w:p>
        </w:tc>
        <w:tc>
          <w:tcPr>
            <w:tcW w:w="1610" w:type="dxa"/>
          </w:tcPr>
          <w:p w14:paraId="6B69E3CA" w14:textId="77777777" w:rsidR="00F076A6" w:rsidRDefault="00A54BA5">
            <w:pPr>
              <w:pStyle w:val="Compact"/>
              <w:spacing w:line="360" w:lineRule="auto"/>
              <w:jc w:val="both"/>
              <w:rPr>
                <w:color w:val="36363D"/>
              </w:rPr>
            </w:pPr>
            <w:r>
              <w:rPr>
                <w:color w:val="36363D"/>
              </w:rPr>
              <w:t>28.9 ± 11.4</w:t>
            </w:r>
          </w:p>
        </w:tc>
        <w:tc>
          <w:tcPr>
            <w:tcW w:w="1161" w:type="dxa"/>
          </w:tcPr>
          <w:p w14:paraId="5854A701" w14:textId="77777777" w:rsidR="00F076A6" w:rsidRDefault="00A54BA5">
            <w:pPr>
              <w:pStyle w:val="Compact"/>
              <w:spacing w:line="360" w:lineRule="auto"/>
              <w:jc w:val="both"/>
              <w:rPr>
                <w:color w:val="36363D"/>
              </w:rPr>
            </w:pPr>
            <w:r>
              <w:rPr>
                <w:color w:val="36363D"/>
              </w:rPr>
              <w:t>43.6</w:t>
            </w:r>
          </w:p>
        </w:tc>
        <w:tc>
          <w:tcPr>
            <w:tcW w:w="982" w:type="dxa"/>
          </w:tcPr>
          <w:p w14:paraId="4297BD7C" w14:textId="77777777" w:rsidR="00F076A6" w:rsidRDefault="00A54BA5">
            <w:pPr>
              <w:pStyle w:val="Compact"/>
              <w:spacing w:line="360" w:lineRule="auto"/>
              <w:jc w:val="both"/>
              <w:rPr>
                <w:color w:val="36363D"/>
              </w:rPr>
            </w:pPr>
            <w:r>
              <w:rPr>
                <w:color w:val="36363D"/>
              </w:rPr>
              <w:t>&lt;0.001</w:t>
            </w:r>
          </w:p>
        </w:tc>
      </w:tr>
      <w:tr w:rsidR="00F076A6" w14:paraId="518336AB" w14:textId="77777777" w:rsidTr="00F076A6">
        <w:tc>
          <w:tcPr>
            <w:tcW w:w="2339" w:type="dxa"/>
          </w:tcPr>
          <w:p w14:paraId="73384A05" w14:textId="77777777" w:rsidR="00F076A6" w:rsidRDefault="00A54BA5">
            <w:pPr>
              <w:pStyle w:val="Compact"/>
              <w:spacing w:line="360" w:lineRule="auto"/>
              <w:jc w:val="both"/>
              <w:rPr>
                <w:color w:val="36363D"/>
              </w:rPr>
            </w:pPr>
            <w:r>
              <w:rPr>
                <w:color w:val="36363D"/>
              </w:rPr>
              <w:t>Secondary bile acids</w:t>
            </w:r>
          </w:p>
        </w:tc>
        <w:tc>
          <w:tcPr>
            <w:tcW w:w="1237" w:type="dxa"/>
          </w:tcPr>
          <w:p w14:paraId="517CA517" w14:textId="77777777" w:rsidR="00F076A6" w:rsidRDefault="00A54BA5">
            <w:pPr>
              <w:pStyle w:val="Compact"/>
              <w:spacing w:line="360" w:lineRule="auto"/>
              <w:jc w:val="both"/>
              <w:rPr>
                <w:color w:val="36363D"/>
              </w:rPr>
            </w:pPr>
            <w:r>
              <w:rPr>
                <w:color w:val="36363D"/>
              </w:rPr>
              <w:t>15.2 ± 6.8</w:t>
            </w:r>
          </w:p>
        </w:tc>
        <w:tc>
          <w:tcPr>
            <w:tcW w:w="1189" w:type="dxa"/>
          </w:tcPr>
          <w:p w14:paraId="35D64630" w14:textId="77777777" w:rsidR="00F076A6" w:rsidRDefault="00A54BA5">
            <w:pPr>
              <w:pStyle w:val="Compact"/>
              <w:spacing w:line="360" w:lineRule="auto"/>
              <w:jc w:val="both"/>
              <w:rPr>
                <w:color w:val="36363D"/>
              </w:rPr>
            </w:pPr>
            <w:r>
              <w:rPr>
                <w:color w:val="36363D"/>
              </w:rPr>
              <w:t>21.8 ± 9.4</w:t>
            </w:r>
          </w:p>
        </w:tc>
        <w:tc>
          <w:tcPr>
            <w:tcW w:w="1610" w:type="dxa"/>
          </w:tcPr>
          <w:p w14:paraId="784F6950" w14:textId="77777777" w:rsidR="00F076A6" w:rsidRDefault="00A54BA5">
            <w:pPr>
              <w:pStyle w:val="Compact"/>
              <w:spacing w:line="360" w:lineRule="auto"/>
              <w:jc w:val="both"/>
              <w:rPr>
                <w:color w:val="36363D"/>
              </w:rPr>
            </w:pPr>
            <w:r>
              <w:rPr>
                <w:color w:val="36363D"/>
              </w:rPr>
              <w:t>11.7 ± 5.3</w:t>
            </w:r>
          </w:p>
        </w:tc>
        <w:tc>
          <w:tcPr>
            <w:tcW w:w="1161" w:type="dxa"/>
          </w:tcPr>
          <w:p w14:paraId="19882604" w14:textId="77777777" w:rsidR="00F076A6" w:rsidRDefault="00A54BA5">
            <w:pPr>
              <w:pStyle w:val="Compact"/>
              <w:spacing w:line="360" w:lineRule="auto"/>
              <w:jc w:val="both"/>
              <w:rPr>
                <w:color w:val="36363D"/>
              </w:rPr>
            </w:pPr>
            <w:r>
              <w:rPr>
                <w:color w:val="36363D"/>
              </w:rPr>
              <w:t>67.8</w:t>
            </w:r>
          </w:p>
        </w:tc>
        <w:tc>
          <w:tcPr>
            <w:tcW w:w="982" w:type="dxa"/>
          </w:tcPr>
          <w:p w14:paraId="172715FD" w14:textId="77777777" w:rsidR="00F076A6" w:rsidRDefault="00A54BA5">
            <w:pPr>
              <w:pStyle w:val="Compact"/>
              <w:spacing w:line="360" w:lineRule="auto"/>
              <w:jc w:val="both"/>
              <w:rPr>
                <w:color w:val="36363D"/>
              </w:rPr>
            </w:pPr>
            <w:r>
              <w:rPr>
                <w:color w:val="36363D"/>
              </w:rPr>
              <w:t>&lt;0.001</w:t>
            </w:r>
          </w:p>
        </w:tc>
      </w:tr>
      <w:tr w:rsidR="00F076A6" w14:paraId="63264572" w14:textId="77777777" w:rsidTr="00F076A6">
        <w:tc>
          <w:tcPr>
            <w:tcW w:w="2339" w:type="dxa"/>
          </w:tcPr>
          <w:p w14:paraId="31D51AF5" w14:textId="77777777" w:rsidR="00F076A6" w:rsidRDefault="00A54BA5">
            <w:pPr>
              <w:pStyle w:val="Compact"/>
              <w:spacing w:line="360" w:lineRule="auto"/>
              <w:jc w:val="both"/>
              <w:rPr>
                <w:color w:val="36363D"/>
              </w:rPr>
            </w:pPr>
            <w:r>
              <w:rPr>
                <w:color w:val="36363D"/>
              </w:rPr>
              <w:t>Tryptophan metabolites</w:t>
            </w:r>
          </w:p>
        </w:tc>
        <w:tc>
          <w:tcPr>
            <w:tcW w:w="1237" w:type="dxa"/>
          </w:tcPr>
          <w:p w14:paraId="577804DD" w14:textId="77777777" w:rsidR="00F076A6" w:rsidRDefault="00A54BA5">
            <w:pPr>
              <w:pStyle w:val="Compact"/>
              <w:spacing w:line="360" w:lineRule="auto"/>
              <w:jc w:val="both"/>
              <w:rPr>
                <w:color w:val="36363D"/>
              </w:rPr>
            </w:pPr>
            <w:r>
              <w:rPr>
                <w:color w:val="36363D"/>
              </w:rPr>
              <w:t>6.4 ± 2.9</w:t>
            </w:r>
          </w:p>
        </w:tc>
        <w:tc>
          <w:tcPr>
            <w:tcW w:w="1189" w:type="dxa"/>
          </w:tcPr>
          <w:p w14:paraId="325F86A6" w14:textId="77777777" w:rsidR="00F076A6" w:rsidRDefault="00A54BA5">
            <w:pPr>
              <w:pStyle w:val="Compact"/>
              <w:spacing w:line="360" w:lineRule="auto"/>
              <w:jc w:val="both"/>
              <w:rPr>
                <w:color w:val="36363D"/>
              </w:rPr>
            </w:pPr>
            <w:r>
              <w:rPr>
                <w:color w:val="36363D"/>
              </w:rPr>
              <w:t>8.7 ± 3.6</w:t>
            </w:r>
          </w:p>
        </w:tc>
        <w:tc>
          <w:tcPr>
            <w:tcW w:w="1610" w:type="dxa"/>
          </w:tcPr>
          <w:p w14:paraId="15BD6B85" w14:textId="77777777" w:rsidR="00F076A6" w:rsidRDefault="00A54BA5">
            <w:pPr>
              <w:pStyle w:val="Compact"/>
              <w:spacing w:line="360" w:lineRule="auto"/>
              <w:jc w:val="both"/>
              <w:rPr>
                <w:color w:val="36363D"/>
              </w:rPr>
            </w:pPr>
            <w:r>
              <w:rPr>
                <w:color w:val="36363D"/>
              </w:rPr>
              <w:t>4.8 ± 2.1</w:t>
            </w:r>
          </w:p>
        </w:tc>
        <w:tc>
          <w:tcPr>
            <w:tcW w:w="1161" w:type="dxa"/>
          </w:tcPr>
          <w:p w14:paraId="1ED27F4C" w14:textId="77777777" w:rsidR="00F076A6" w:rsidRDefault="00A54BA5">
            <w:pPr>
              <w:pStyle w:val="Compact"/>
              <w:spacing w:line="360" w:lineRule="auto"/>
              <w:jc w:val="both"/>
              <w:rPr>
                <w:color w:val="36363D"/>
              </w:rPr>
            </w:pPr>
            <w:r>
              <w:rPr>
                <w:color w:val="36363D"/>
              </w:rPr>
              <w:t>58.9</w:t>
            </w:r>
          </w:p>
        </w:tc>
        <w:tc>
          <w:tcPr>
            <w:tcW w:w="982" w:type="dxa"/>
          </w:tcPr>
          <w:p w14:paraId="0C6A4002" w14:textId="77777777" w:rsidR="00F076A6" w:rsidRDefault="00A54BA5">
            <w:pPr>
              <w:pStyle w:val="Compact"/>
              <w:spacing w:line="360" w:lineRule="auto"/>
              <w:jc w:val="both"/>
              <w:rPr>
                <w:color w:val="36363D"/>
              </w:rPr>
            </w:pPr>
            <w:r>
              <w:rPr>
                <w:color w:val="36363D"/>
              </w:rPr>
              <w:t>&lt;0.001</w:t>
            </w:r>
          </w:p>
        </w:tc>
      </w:tr>
      <w:tr w:rsidR="00F076A6" w14:paraId="44C566B2" w14:textId="77777777" w:rsidTr="00F076A6">
        <w:tc>
          <w:tcPr>
            <w:tcW w:w="2339" w:type="dxa"/>
          </w:tcPr>
          <w:p w14:paraId="4E431382" w14:textId="77777777" w:rsidR="00F076A6" w:rsidRDefault="00A54BA5">
            <w:pPr>
              <w:pStyle w:val="Compact"/>
              <w:spacing w:line="360" w:lineRule="auto"/>
              <w:jc w:val="both"/>
              <w:rPr>
                <w:color w:val="36363D"/>
              </w:rPr>
            </w:pPr>
            <w:r>
              <w:rPr>
                <w:color w:val="36363D"/>
              </w:rPr>
              <w:t>Xenobiotic conjugates</w:t>
            </w:r>
          </w:p>
        </w:tc>
        <w:tc>
          <w:tcPr>
            <w:tcW w:w="1237" w:type="dxa"/>
          </w:tcPr>
          <w:p w14:paraId="7E504E0B" w14:textId="77777777" w:rsidR="00F076A6" w:rsidRDefault="00A54BA5">
            <w:pPr>
              <w:pStyle w:val="Compact"/>
              <w:spacing w:line="360" w:lineRule="auto"/>
              <w:jc w:val="both"/>
              <w:rPr>
                <w:color w:val="36363D"/>
              </w:rPr>
            </w:pPr>
            <w:r>
              <w:rPr>
                <w:color w:val="36363D"/>
              </w:rPr>
              <w:t>3.2 ± 1.8</w:t>
            </w:r>
          </w:p>
        </w:tc>
        <w:tc>
          <w:tcPr>
            <w:tcW w:w="1189" w:type="dxa"/>
          </w:tcPr>
          <w:p w14:paraId="69CF0ACF" w14:textId="77777777" w:rsidR="00F076A6" w:rsidRDefault="00A54BA5">
            <w:pPr>
              <w:pStyle w:val="Compact"/>
              <w:spacing w:line="360" w:lineRule="auto"/>
              <w:jc w:val="both"/>
              <w:rPr>
                <w:color w:val="36363D"/>
              </w:rPr>
            </w:pPr>
            <w:r>
              <w:rPr>
                <w:color w:val="36363D"/>
              </w:rPr>
              <w:t>1.4 ± 0.9</w:t>
            </w:r>
          </w:p>
        </w:tc>
        <w:tc>
          <w:tcPr>
            <w:tcW w:w="1610" w:type="dxa"/>
          </w:tcPr>
          <w:p w14:paraId="46DE8921" w14:textId="77777777" w:rsidR="00F076A6" w:rsidRDefault="00A54BA5">
            <w:pPr>
              <w:pStyle w:val="Compact"/>
              <w:spacing w:line="360" w:lineRule="auto"/>
              <w:jc w:val="both"/>
              <w:rPr>
                <w:color w:val="36363D"/>
              </w:rPr>
            </w:pPr>
            <w:r>
              <w:rPr>
                <w:color w:val="36363D"/>
              </w:rPr>
              <w:t>5.7 ± 2.4</w:t>
            </w:r>
          </w:p>
        </w:tc>
        <w:tc>
          <w:tcPr>
            <w:tcW w:w="1161" w:type="dxa"/>
          </w:tcPr>
          <w:p w14:paraId="623FA056" w14:textId="77777777" w:rsidR="00F076A6" w:rsidRDefault="00A54BA5">
            <w:pPr>
              <w:pStyle w:val="Compact"/>
              <w:spacing w:line="360" w:lineRule="auto"/>
              <w:jc w:val="both"/>
              <w:rPr>
                <w:color w:val="36363D"/>
              </w:rPr>
            </w:pPr>
            <w:r>
              <w:rPr>
                <w:color w:val="36363D"/>
              </w:rPr>
              <w:t>123.4</w:t>
            </w:r>
          </w:p>
        </w:tc>
        <w:tc>
          <w:tcPr>
            <w:tcW w:w="982" w:type="dxa"/>
          </w:tcPr>
          <w:p w14:paraId="3DF6EBEB" w14:textId="77777777" w:rsidR="00F076A6" w:rsidRDefault="00A54BA5">
            <w:pPr>
              <w:pStyle w:val="Compact"/>
              <w:spacing w:line="360" w:lineRule="auto"/>
              <w:jc w:val="both"/>
              <w:rPr>
                <w:color w:val="36363D"/>
              </w:rPr>
            </w:pPr>
            <w:r>
              <w:rPr>
                <w:color w:val="36363D"/>
              </w:rPr>
              <w:t>&lt;0.001</w:t>
            </w:r>
          </w:p>
        </w:tc>
      </w:tr>
      <w:tr w:rsidR="00F076A6" w14:paraId="6FFC4299" w14:textId="77777777" w:rsidTr="00F076A6">
        <w:tc>
          <w:tcPr>
            <w:tcW w:w="2339" w:type="dxa"/>
          </w:tcPr>
          <w:p w14:paraId="640189B6" w14:textId="77777777" w:rsidR="00F076A6" w:rsidRDefault="00A54BA5">
            <w:pPr>
              <w:pStyle w:val="Compact"/>
              <w:spacing w:line="360" w:lineRule="auto"/>
              <w:jc w:val="both"/>
              <w:rPr>
                <w:color w:val="36363D"/>
              </w:rPr>
            </w:pPr>
            <w:r>
              <w:rPr>
                <w:color w:val="36363D"/>
              </w:rPr>
              <w:t>Inflammatory lipids</w:t>
            </w:r>
          </w:p>
        </w:tc>
        <w:tc>
          <w:tcPr>
            <w:tcW w:w="1237" w:type="dxa"/>
          </w:tcPr>
          <w:p w14:paraId="2A0CFD29" w14:textId="77777777" w:rsidR="00F076A6" w:rsidRDefault="00A54BA5">
            <w:pPr>
              <w:pStyle w:val="Compact"/>
              <w:spacing w:line="360" w:lineRule="auto"/>
              <w:jc w:val="both"/>
              <w:rPr>
                <w:color w:val="36363D"/>
              </w:rPr>
            </w:pPr>
            <w:r>
              <w:rPr>
                <w:color w:val="36363D"/>
              </w:rPr>
              <w:t>4.8 ± 2.1</w:t>
            </w:r>
          </w:p>
        </w:tc>
        <w:tc>
          <w:tcPr>
            <w:tcW w:w="1189" w:type="dxa"/>
          </w:tcPr>
          <w:p w14:paraId="4F58D2E7" w14:textId="77777777" w:rsidR="00F076A6" w:rsidRDefault="00A54BA5">
            <w:pPr>
              <w:pStyle w:val="Compact"/>
              <w:spacing w:line="360" w:lineRule="auto"/>
              <w:jc w:val="both"/>
              <w:rPr>
                <w:color w:val="36363D"/>
              </w:rPr>
            </w:pPr>
            <w:r>
              <w:rPr>
                <w:color w:val="36363D"/>
              </w:rPr>
              <w:t>3.2 ± 1.7</w:t>
            </w:r>
          </w:p>
        </w:tc>
        <w:tc>
          <w:tcPr>
            <w:tcW w:w="1610" w:type="dxa"/>
          </w:tcPr>
          <w:p w14:paraId="1D9FCCEC" w14:textId="77777777" w:rsidR="00F076A6" w:rsidRDefault="00A54BA5">
            <w:pPr>
              <w:pStyle w:val="Compact"/>
              <w:spacing w:line="360" w:lineRule="auto"/>
              <w:jc w:val="both"/>
              <w:rPr>
                <w:color w:val="36363D"/>
              </w:rPr>
            </w:pPr>
            <w:r>
              <w:rPr>
                <w:color w:val="36363D"/>
              </w:rPr>
              <w:t>6.9 ± 2.8</w:t>
            </w:r>
          </w:p>
        </w:tc>
        <w:tc>
          <w:tcPr>
            <w:tcW w:w="1161" w:type="dxa"/>
          </w:tcPr>
          <w:p w14:paraId="16854DE2" w14:textId="77777777" w:rsidR="00F076A6" w:rsidRDefault="00A54BA5">
            <w:pPr>
              <w:pStyle w:val="Compact"/>
              <w:spacing w:line="360" w:lineRule="auto"/>
              <w:jc w:val="both"/>
              <w:rPr>
                <w:color w:val="36363D"/>
              </w:rPr>
            </w:pPr>
            <w:r>
              <w:rPr>
                <w:color w:val="36363D"/>
              </w:rPr>
              <w:t>87.5</w:t>
            </w:r>
          </w:p>
        </w:tc>
        <w:tc>
          <w:tcPr>
            <w:tcW w:w="982" w:type="dxa"/>
          </w:tcPr>
          <w:p w14:paraId="130989E8" w14:textId="77777777" w:rsidR="00F076A6" w:rsidRDefault="00A54BA5">
            <w:pPr>
              <w:pStyle w:val="Compact"/>
              <w:spacing w:line="360" w:lineRule="auto"/>
              <w:jc w:val="both"/>
              <w:rPr>
                <w:color w:val="36363D"/>
              </w:rPr>
            </w:pPr>
            <w:r>
              <w:rPr>
                <w:color w:val="36363D"/>
              </w:rPr>
              <w:t>&lt;0.001</w:t>
            </w:r>
          </w:p>
        </w:tc>
      </w:tr>
      <w:tr w:rsidR="00F076A6" w14:paraId="3227B753" w14:textId="77777777" w:rsidTr="00F076A6">
        <w:tc>
          <w:tcPr>
            <w:tcW w:w="2339" w:type="dxa"/>
          </w:tcPr>
          <w:p w14:paraId="3B93E610" w14:textId="77777777" w:rsidR="00F076A6" w:rsidRDefault="00A54BA5">
            <w:pPr>
              <w:pStyle w:val="Compact"/>
              <w:spacing w:line="360" w:lineRule="auto"/>
              <w:jc w:val="both"/>
              <w:rPr>
                <w:color w:val="36363D"/>
              </w:rPr>
            </w:pPr>
            <w:r>
              <w:rPr>
                <w:color w:val="36363D"/>
              </w:rPr>
              <w:t>Polyamines</w:t>
            </w:r>
          </w:p>
        </w:tc>
        <w:tc>
          <w:tcPr>
            <w:tcW w:w="1237" w:type="dxa"/>
          </w:tcPr>
          <w:p w14:paraId="33EDBEAB" w14:textId="77777777" w:rsidR="00F076A6" w:rsidRDefault="00A54BA5">
            <w:pPr>
              <w:pStyle w:val="Compact"/>
              <w:spacing w:line="360" w:lineRule="auto"/>
              <w:jc w:val="both"/>
              <w:rPr>
                <w:color w:val="36363D"/>
              </w:rPr>
            </w:pPr>
            <w:r>
              <w:rPr>
                <w:color w:val="36363D"/>
              </w:rPr>
              <w:t>7.3 ± 3.2</w:t>
            </w:r>
          </w:p>
        </w:tc>
        <w:tc>
          <w:tcPr>
            <w:tcW w:w="1189" w:type="dxa"/>
          </w:tcPr>
          <w:p w14:paraId="42B86B35" w14:textId="77777777" w:rsidR="00F076A6" w:rsidRDefault="00A54BA5">
            <w:pPr>
              <w:pStyle w:val="Compact"/>
              <w:spacing w:line="360" w:lineRule="auto"/>
              <w:jc w:val="both"/>
              <w:rPr>
                <w:color w:val="36363D"/>
              </w:rPr>
            </w:pPr>
            <w:r>
              <w:rPr>
                <w:color w:val="36363D"/>
              </w:rPr>
              <w:t>9.8 ± 4.1</w:t>
            </w:r>
          </w:p>
        </w:tc>
        <w:tc>
          <w:tcPr>
            <w:tcW w:w="1610" w:type="dxa"/>
          </w:tcPr>
          <w:p w14:paraId="37F595DD" w14:textId="77777777" w:rsidR="00F076A6" w:rsidRDefault="00A54BA5">
            <w:pPr>
              <w:pStyle w:val="Compact"/>
              <w:spacing w:line="360" w:lineRule="auto"/>
              <w:jc w:val="both"/>
              <w:rPr>
                <w:color w:val="36363D"/>
              </w:rPr>
            </w:pPr>
            <w:r>
              <w:rPr>
                <w:color w:val="36363D"/>
              </w:rPr>
              <w:t>6.1 ± 2.7</w:t>
            </w:r>
          </w:p>
        </w:tc>
        <w:tc>
          <w:tcPr>
            <w:tcW w:w="1161" w:type="dxa"/>
          </w:tcPr>
          <w:p w14:paraId="63830F4F" w14:textId="77777777" w:rsidR="00F076A6" w:rsidRDefault="00A54BA5">
            <w:pPr>
              <w:pStyle w:val="Compact"/>
              <w:spacing w:line="360" w:lineRule="auto"/>
              <w:jc w:val="both"/>
              <w:rPr>
                <w:color w:val="36363D"/>
              </w:rPr>
            </w:pPr>
            <w:r>
              <w:rPr>
                <w:color w:val="36363D"/>
              </w:rPr>
              <w:t>45.7</w:t>
            </w:r>
          </w:p>
        </w:tc>
        <w:tc>
          <w:tcPr>
            <w:tcW w:w="982" w:type="dxa"/>
          </w:tcPr>
          <w:p w14:paraId="35EF233D" w14:textId="77777777" w:rsidR="00F076A6" w:rsidRDefault="00A54BA5">
            <w:pPr>
              <w:pStyle w:val="Compact"/>
              <w:spacing w:line="360" w:lineRule="auto"/>
              <w:jc w:val="both"/>
              <w:rPr>
                <w:color w:val="36363D"/>
              </w:rPr>
            </w:pPr>
            <w:r>
              <w:rPr>
                <w:color w:val="36363D"/>
              </w:rPr>
              <w:t>&lt;0.001</w:t>
            </w:r>
          </w:p>
        </w:tc>
      </w:tr>
      <w:tr w:rsidR="00F076A6" w14:paraId="408890FD" w14:textId="77777777" w:rsidTr="00F076A6">
        <w:tc>
          <w:tcPr>
            <w:tcW w:w="2339" w:type="dxa"/>
          </w:tcPr>
          <w:p w14:paraId="38B0AEAA" w14:textId="77777777" w:rsidR="00F076A6" w:rsidRDefault="00A54BA5">
            <w:pPr>
              <w:pStyle w:val="Compact"/>
              <w:spacing w:line="360" w:lineRule="auto"/>
              <w:jc w:val="both"/>
              <w:rPr>
                <w:color w:val="36363D"/>
              </w:rPr>
            </w:pPr>
            <w:r>
              <w:rPr>
                <w:color w:val="36363D"/>
              </w:rPr>
              <w:t>Phenolic compounds</w:t>
            </w:r>
          </w:p>
        </w:tc>
        <w:tc>
          <w:tcPr>
            <w:tcW w:w="1237" w:type="dxa"/>
          </w:tcPr>
          <w:p w14:paraId="6D297C7B" w14:textId="77777777" w:rsidR="00F076A6" w:rsidRDefault="00A54BA5">
            <w:pPr>
              <w:pStyle w:val="Compact"/>
              <w:spacing w:line="360" w:lineRule="auto"/>
              <w:jc w:val="both"/>
              <w:rPr>
                <w:color w:val="36363D"/>
              </w:rPr>
            </w:pPr>
            <w:r>
              <w:rPr>
                <w:color w:val="36363D"/>
              </w:rPr>
              <w:t>12.6 ± 5.8</w:t>
            </w:r>
          </w:p>
        </w:tc>
        <w:tc>
          <w:tcPr>
            <w:tcW w:w="1189" w:type="dxa"/>
          </w:tcPr>
          <w:p w14:paraId="6B997AE2" w14:textId="77777777" w:rsidR="00F076A6" w:rsidRDefault="00A54BA5">
            <w:pPr>
              <w:pStyle w:val="Compact"/>
              <w:spacing w:line="360" w:lineRule="auto"/>
              <w:jc w:val="both"/>
              <w:rPr>
                <w:color w:val="36363D"/>
              </w:rPr>
            </w:pPr>
            <w:r>
              <w:rPr>
                <w:color w:val="36363D"/>
              </w:rPr>
              <w:t>18.4 ± 7.9</w:t>
            </w:r>
          </w:p>
        </w:tc>
        <w:tc>
          <w:tcPr>
            <w:tcW w:w="1610" w:type="dxa"/>
          </w:tcPr>
          <w:p w14:paraId="7A0C2835" w14:textId="77777777" w:rsidR="00F076A6" w:rsidRDefault="00A54BA5">
            <w:pPr>
              <w:pStyle w:val="Compact"/>
              <w:spacing w:line="360" w:lineRule="auto"/>
              <w:jc w:val="both"/>
              <w:rPr>
                <w:color w:val="36363D"/>
              </w:rPr>
            </w:pPr>
            <w:r>
              <w:rPr>
                <w:color w:val="36363D"/>
              </w:rPr>
              <w:t>9.7 ± 4.3</w:t>
            </w:r>
          </w:p>
        </w:tc>
        <w:tc>
          <w:tcPr>
            <w:tcW w:w="1161" w:type="dxa"/>
          </w:tcPr>
          <w:p w14:paraId="3F6F800D" w14:textId="77777777" w:rsidR="00F076A6" w:rsidRDefault="00A54BA5">
            <w:pPr>
              <w:pStyle w:val="Compact"/>
              <w:spacing w:line="360" w:lineRule="auto"/>
              <w:jc w:val="both"/>
              <w:rPr>
                <w:color w:val="36363D"/>
              </w:rPr>
            </w:pPr>
            <w:r>
              <w:rPr>
                <w:color w:val="36363D"/>
              </w:rPr>
              <w:t>71.2</w:t>
            </w:r>
          </w:p>
        </w:tc>
        <w:tc>
          <w:tcPr>
            <w:tcW w:w="982" w:type="dxa"/>
          </w:tcPr>
          <w:p w14:paraId="339043DF" w14:textId="77777777" w:rsidR="00F076A6" w:rsidRDefault="00A54BA5">
            <w:pPr>
              <w:pStyle w:val="Compact"/>
              <w:spacing w:line="360" w:lineRule="auto"/>
              <w:jc w:val="both"/>
              <w:rPr>
                <w:color w:val="36363D"/>
              </w:rPr>
            </w:pPr>
            <w:r>
              <w:rPr>
                <w:color w:val="36363D"/>
              </w:rPr>
              <w:t>&lt;0.001</w:t>
            </w:r>
          </w:p>
        </w:tc>
      </w:tr>
    </w:tbl>
    <w:p w14:paraId="522EFE9E" w14:textId="77777777" w:rsidR="00F076A6" w:rsidRDefault="00A54BA5">
      <w:pPr>
        <w:pStyle w:val="BodyText"/>
        <w:spacing w:line="360" w:lineRule="auto"/>
        <w:jc w:val="both"/>
        <w:rPr>
          <w:color w:val="36363D"/>
        </w:rPr>
      </w:pPr>
      <w:r>
        <w:rPr>
          <w:color w:val="36363D"/>
        </w:rPr>
        <w:t>Short-chain fatty acids (SCFAs), particularly butyrate, showed the most dramatic differences between groups. Rural populations had 2.3-fold higher butyrate levels compared to industrial populations, consistent with the abundance of butyrate-producing bacteria in these communities.</w:t>
      </w:r>
    </w:p>
    <w:p w14:paraId="6FEAE2E4" w14:textId="77777777" w:rsidR="00F076A6" w:rsidRDefault="00A54BA5">
      <w:pPr>
        <w:pStyle w:val="Heading31"/>
        <w:spacing w:line="360" w:lineRule="auto"/>
        <w:jc w:val="both"/>
        <w:rPr>
          <w:color w:val="36363D"/>
        </w:rPr>
      </w:pPr>
      <w:bookmarkStart w:id="27" w:name="Xa5bbc1585953da200862a3736e3e44c81447e54"/>
      <w:bookmarkEnd w:id="26"/>
      <w:r>
        <w:rPr>
          <w:color w:val="36363D"/>
        </w:rPr>
        <w:t xml:space="preserve"> Immune Response Patterns</w:t>
      </w:r>
    </w:p>
    <w:p w14:paraId="210F2976" w14:textId="77777777" w:rsidR="00F076A6" w:rsidRDefault="00A54BA5">
      <w:pPr>
        <w:pStyle w:val="FirstParagraph"/>
        <w:spacing w:line="360" w:lineRule="auto"/>
        <w:jc w:val="both"/>
        <w:rPr>
          <w:color w:val="36363D"/>
        </w:rPr>
      </w:pPr>
      <w:r>
        <w:rPr>
          <w:color w:val="36363D"/>
        </w:rPr>
        <w:t>Comprehensive immune profiling revealed significant associations between environmental microbiota exposure and both innate and adaptive immune responses. Industrial environments were associated with chronic low-grade inflammation and compromised mucosal immunity.</w:t>
      </w:r>
    </w:p>
    <w:p w14:paraId="5DB6453E" w14:textId="77777777" w:rsidR="00F076A6" w:rsidRDefault="00A54BA5">
      <w:pPr>
        <w:pStyle w:val="BodyText"/>
        <w:spacing w:line="360" w:lineRule="auto"/>
        <w:jc w:val="both"/>
        <w:rPr>
          <w:color w:val="36363D"/>
        </w:rPr>
      </w:pPr>
      <w:r>
        <w:rPr>
          <w:b/>
          <w:bCs/>
          <w:color w:val="36363D"/>
        </w:rPr>
        <w:t>Table 6: Immune Parameters by Environmental Category</w:t>
      </w:r>
    </w:p>
    <w:tbl>
      <w:tblPr>
        <w:tblStyle w:val="Table"/>
        <w:tblW w:w="0" w:type="auto"/>
        <w:tblInd w:w="0" w:type="dxa"/>
        <w:tblLayout w:type="fixed"/>
        <w:tblLook w:val="04A0" w:firstRow="1" w:lastRow="0" w:firstColumn="1" w:lastColumn="0" w:noHBand="0" w:noVBand="1"/>
      </w:tblPr>
      <w:tblGrid>
        <w:gridCol w:w="2177"/>
        <w:gridCol w:w="1375"/>
        <w:gridCol w:w="1372"/>
        <w:gridCol w:w="1390"/>
        <w:gridCol w:w="1222"/>
        <w:gridCol w:w="984"/>
      </w:tblGrid>
      <w:tr w:rsidR="00F076A6" w14:paraId="583145C7" w14:textId="77777777" w:rsidTr="00F076A6">
        <w:trPr>
          <w:cnfStyle w:val="100000000000" w:firstRow="1" w:lastRow="0" w:firstColumn="0" w:lastColumn="0" w:oddVBand="0" w:evenVBand="0" w:oddHBand="0" w:evenHBand="0" w:firstRowFirstColumn="0" w:firstRowLastColumn="0" w:lastRowFirstColumn="0" w:lastRowLastColumn="0"/>
          <w:tblHeader/>
        </w:trPr>
        <w:tc>
          <w:tcPr>
            <w:tcW w:w="2177" w:type="dxa"/>
          </w:tcPr>
          <w:p w14:paraId="348B5043" w14:textId="77777777" w:rsidR="00F076A6" w:rsidRDefault="00A54BA5">
            <w:pPr>
              <w:pStyle w:val="Compact"/>
              <w:spacing w:line="360" w:lineRule="auto"/>
              <w:jc w:val="both"/>
              <w:rPr>
                <w:color w:val="36363D"/>
              </w:rPr>
            </w:pPr>
            <w:r>
              <w:rPr>
                <w:color w:val="36363D"/>
              </w:rPr>
              <w:t>Immune Parameter</w:t>
            </w:r>
          </w:p>
        </w:tc>
        <w:tc>
          <w:tcPr>
            <w:tcW w:w="1375" w:type="dxa"/>
          </w:tcPr>
          <w:p w14:paraId="5F92F407" w14:textId="77777777" w:rsidR="00F076A6" w:rsidRDefault="00A54BA5">
            <w:pPr>
              <w:pStyle w:val="Compact"/>
              <w:spacing w:line="360" w:lineRule="auto"/>
              <w:jc w:val="both"/>
              <w:rPr>
                <w:color w:val="36363D"/>
              </w:rPr>
            </w:pPr>
            <w:r>
              <w:rPr>
                <w:color w:val="36363D"/>
              </w:rPr>
              <w:t>Urban</w:t>
            </w:r>
          </w:p>
        </w:tc>
        <w:tc>
          <w:tcPr>
            <w:tcW w:w="1372" w:type="dxa"/>
          </w:tcPr>
          <w:p w14:paraId="23A89AA5" w14:textId="77777777" w:rsidR="00F076A6" w:rsidRDefault="00A54BA5">
            <w:pPr>
              <w:pStyle w:val="Compact"/>
              <w:spacing w:line="360" w:lineRule="auto"/>
              <w:jc w:val="both"/>
              <w:rPr>
                <w:color w:val="36363D"/>
              </w:rPr>
            </w:pPr>
            <w:r>
              <w:rPr>
                <w:color w:val="36363D"/>
              </w:rPr>
              <w:t>Rural</w:t>
            </w:r>
          </w:p>
        </w:tc>
        <w:tc>
          <w:tcPr>
            <w:tcW w:w="1390" w:type="dxa"/>
          </w:tcPr>
          <w:p w14:paraId="16416736" w14:textId="77777777" w:rsidR="00F076A6" w:rsidRDefault="00A54BA5">
            <w:pPr>
              <w:pStyle w:val="Compact"/>
              <w:spacing w:line="360" w:lineRule="auto"/>
              <w:jc w:val="both"/>
              <w:rPr>
                <w:color w:val="36363D"/>
              </w:rPr>
            </w:pPr>
            <w:r>
              <w:rPr>
                <w:color w:val="36363D"/>
              </w:rPr>
              <w:t>Industrial</w:t>
            </w:r>
          </w:p>
        </w:tc>
        <w:tc>
          <w:tcPr>
            <w:tcW w:w="1222" w:type="dxa"/>
          </w:tcPr>
          <w:p w14:paraId="66215017" w14:textId="77777777" w:rsidR="00F076A6" w:rsidRDefault="00A54BA5">
            <w:pPr>
              <w:pStyle w:val="Compact"/>
              <w:spacing w:line="360" w:lineRule="auto"/>
              <w:jc w:val="both"/>
              <w:rPr>
                <w:color w:val="36363D"/>
              </w:rPr>
            </w:pPr>
            <w:r>
              <w:rPr>
                <w:color w:val="36363D"/>
              </w:rPr>
              <w:t>F-statistic</w:t>
            </w:r>
          </w:p>
        </w:tc>
        <w:tc>
          <w:tcPr>
            <w:tcW w:w="984" w:type="dxa"/>
          </w:tcPr>
          <w:p w14:paraId="270A7B84" w14:textId="77777777" w:rsidR="00F076A6" w:rsidRDefault="00A54BA5">
            <w:pPr>
              <w:pStyle w:val="Compact"/>
              <w:spacing w:line="360" w:lineRule="auto"/>
              <w:jc w:val="both"/>
              <w:rPr>
                <w:color w:val="36363D"/>
              </w:rPr>
            </w:pPr>
            <w:r>
              <w:rPr>
                <w:color w:val="36363D"/>
              </w:rPr>
              <w:t>P-value</w:t>
            </w:r>
          </w:p>
        </w:tc>
      </w:tr>
      <w:tr w:rsidR="00F076A6" w14:paraId="29ABD61A" w14:textId="77777777" w:rsidTr="00F076A6">
        <w:tc>
          <w:tcPr>
            <w:tcW w:w="2177" w:type="dxa"/>
          </w:tcPr>
          <w:p w14:paraId="754EC06D" w14:textId="77777777" w:rsidR="00F076A6" w:rsidRDefault="00A54BA5">
            <w:pPr>
              <w:pStyle w:val="Compact"/>
              <w:spacing w:line="360" w:lineRule="auto"/>
              <w:jc w:val="both"/>
              <w:rPr>
                <w:color w:val="36363D"/>
              </w:rPr>
            </w:pPr>
            <w:r>
              <w:rPr>
                <w:color w:val="36363D"/>
              </w:rPr>
              <w:lastRenderedPageBreak/>
              <w:t>IL-6 (pg/mL)</w:t>
            </w:r>
          </w:p>
        </w:tc>
        <w:tc>
          <w:tcPr>
            <w:tcW w:w="1375" w:type="dxa"/>
          </w:tcPr>
          <w:p w14:paraId="69390D55" w14:textId="77777777" w:rsidR="00F076A6" w:rsidRDefault="00A54BA5">
            <w:pPr>
              <w:pStyle w:val="Compact"/>
              <w:spacing w:line="360" w:lineRule="auto"/>
              <w:jc w:val="both"/>
              <w:rPr>
                <w:color w:val="36363D"/>
              </w:rPr>
            </w:pPr>
            <w:r>
              <w:rPr>
                <w:color w:val="36363D"/>
              </w:rPr>
              <w:t>2.4 ± 1.2</w:t>
            </w:r>
          </w:p>
        </w:tc>
        <w:tc>
          <w:tcPr>
            <w:tcW w:w="1372" w:type="dxa"/>
          </w:tcPr>
          <w:p w14:paraId="4CC159E8" w14:textId="77777777" w:rsidR="00F076A6" w:rsidRDefault="00A54BA5">
            <w:pPr>
              <w:pStyle w:val="Compact"/>
              <w:spacing w:line="360" w:lineRule="auto"/>
              <w:jc w:val="both"/>
              <w:rPr>
                <w:color w:val="36363D"/>
              </w:rPr>
            </w:pPr>
            <w:r>
              <w:rPr>
                <w:color w:val="36363D"/>
              </w:rPr>
              <w:t>1.8 ± 0.9</w:t>
            </w:r>
          </w:p>
        </w:tc>
        <w:tc>
          <w:tcPr>
            <w:tcW w:w="1390" w:type="dxa"/>
          </w:tcPr>
          <w:p w14:paraId="30A305EE" w14:textId="77777777" w:rsidR="00F076A6" w:rsidRDefault="00A54BA5">
            <w:pPr>
              <w:pStyle w:val="Compact"/>
              <w:spacing w:line="360" w:lineRule="auto"/>
              <w:jc w:val="both"/>
              <w:rPr>
                <w:color w:val="36363D"/>
              </w:rPr>
            </w:pPr>
            <w:r>
              <w:rPr>
                <w:color w:val="36363D"/>
              </w:rPr>
              <w:t>3.7 ± 1.8</w:t>
            </w:r>
          </w:p>
        </w:tc>
        <w:tc>
          <w:tcPr>
            <w:tcW w:w="1222" w:type="dxa"/>
          </w:tcPr>
          <w:p w14:paraId="79273D78" w14:textId="77777777" w:rsidR="00F076A6" w:rsidRDefault="00A54BA5">
            <w:pPr>
              <w:pStyle w:val="Compact"/>
              <w:spacing w:line="360" w:lineRule="auto"/>
              <w:jc w:val="both"/>
              <w:rPr>
                <w:color w:val="36363D"/>
              </w:rPr>
            </w:pPr>
            <w:r>
              <w:rPr>
                <w:color w:val="36363D"/>
              </w:rPr>
              <w:t>78.9</w:t>
            </w:r>
          </w:p>
        </w:tc>
        <w:tc>
          <w:tcPr>
            <w:tcW w:w="984" w:type="dxa"/>
          </w:tcPr>
          <w:p w14:paraId="716E25C4" w14:textId="77777777" w:rsidR="00F076A6" w:rsidRDefault="00A54BA5">
            <w:pPr>
              <w:pStyle w:val="Compact"/>
              <w:spacing w:line="360" w:lineRule="auto"/>
              <w:jc w:val="both"/>
              <w:rPr>
                <w:color w:val="36363D"/>
              </w:rPr>
            </w:pPr>
            <w:r>
              <w:rPr>
                <w:color w:val="36363D"/>
              </w:rPr>
              <w:t>&lt;0.001</w:t>
            </w:r>
          </w:p>
        </w:tc>
      </w:tr>
      <w:tr w:rsidR="00F076A6" w14:paraId="6A14743F" w14:textId="77777777" w:rsidTr="00F076A6">
        <w:tc>
          <w:tcPr>
            <w:tcW w:w="2177" w:type="dxa"/>
          </w:tcPr>
          <w:p w14:paraId="40416DB3" w14:textId="77777777" w:rsidR="00F076A6" w:rsidRDefault="00A54BA5">
            <w:pPr>
              <w:pStyle w:val="Compact"/>
              <w:spacing w:line="360" w:lineRule="auto"/>
              <w:jc w:val="both"/>
              <w:rPr>
                <w:color w:val="36363D"/>
              </w:rPr>
            </w:pPr>
            <w:r>
              <w:rPr>
                <w:color w:val="36363D"/>
              </w:rPr>
              <w:t>TNF-α (pg/mL)</w:t>
            </w:r>
          </w:p>
        </w:tc>
        <w:tc>
          <w:tcPr>
            <w:tcW w:w="1375" w:type="dxa"/>
          </w:tcPr>
          <w:p w14:paraId="291A4618" w14:textId="77777777" w:rsidR="00F076A6" w:rsidRDefault="00A54BA5">
            <w:pPr>
              <w:pStyle w:val="Compact"/>
              <w:spacing w:line="360" w:lineRule="auto"/>
              <w:jc w:val="both"/>
              <w:rPr>
                <w:color w:val="36363D"/>
              </w:rPr>
            </w:pPr>
            <w:r>
              <w:rPr>
                <w:color w:val="36363D"/>
              </w:rPr>
              <w:t>1.9 ± 0.8</w:t>
            </w:r>
          </w:p>
        </w:tc>
        <w:tc>
          <w:tcPr>
            <w:tcW w:w="1372" w:type="dxa"/>
          </w:tcPr>
          <w:p w14:paraId="6FFFC6EE" w14:textId="77777777" w:rsidR="00F076A6" w:rsidRDefault="00A54BA5">
            <w:pPr>
              <w:pStyle w:val="Compact"/>
              <w:spacing w:line="360" w:lineRule="auto"/>
              <w:jc w:val="both"/>
              <w:rPr>
                <w:color w:val="36363D"/>
              </w:rPr>
            </w:pPr>
            <w:r>
              <w:rPr>
                <w:color w:val="36363D"/>
              </w:rPr>
              <w:t>1.4 ± 0.6</w:t>
            </w:r>
          </w:p>
        </w:tc>
        <w:tc>
          <w:tcPr>
            <w:tcW w:w="1390" w:type="dxa"/>
          </w:tcPr>
          <w:p w14:paraId="427F8BDA" w14:textId="77777777" w:rsidR="00F076A6" w:rsidRDefault="00A54BA5">
            <w:pPr>
              <w:pStyle w:val="Compact"/>
              <w:spacing w:line="360" w:lineRule="auto"/>
              <w:jc w:val="both"/>
              <w:rPr>
                <w:color w:val="36363D"/>
              </w:rPr>
            </w:pPr>
            <w:r>
              <w:rPr>
                <w:color w:val="36363D"/>
              </w:rPr>
              <w:t>2.8 ± 1.2</w:t>
            </w:r>
          </w:p>
        </w:tc>
        <w:tc>
          <w:tcPr>
            <w:tcW w:w="1222" w:type="dxa"/>
          </w:tcPr>
          <w:p w14:paraId="3224F98C" w14:textId="77777777" w:rsidR="00F076A6" w:rsidRDefault="00A54BA5">
            <w:pPr>
              <w:pStyle w:val="Compact"/>
              <w:spacing w:line="360" w:lineRule="auto"/>
              <w:jc w:val="both"/>
              <w:rPr>
                <w:color w:val="36363D"/>
              </w:rPr>
            </w:pPr>
            <w:r>
              <w:rPr>
                <w:color w:val="36363D"/>
              </w:rPr>
              <w:t>89.3</w:t>
            </w:r>
          </w:p>
        </w:tc>
        <w:tc>
          <w:tcPr>
            <w:tcW w:w="984" w:type="dxa"/>
          </w:tcPr>
          <w:p w14:paraId="4F86310C" w14:textId="77777777" w:rsidR="00F076A6" w:rsidRDefault="00A54BA5">
            <w:pPr>
              <w:pStyle w:val="Compact"/>
              <w:spacing w:line="360" w:lineRule="auto"/>
              <w:jc w:val="both"/>
              <w:rPr>
                <w:color w:val="36363D"/>
              </w:rPr>
            </w:pPr>
            <w:r>
              <w:rPr>
                <w:color w:val="36363D"/>
              </w:rPr>
              <w:t>&lt;0.001</w:t>
            </w:r>
          </w:p>
        </w:tc>
      </w:tr>
      <w:tr w:rsidR="00F076A6" w14:paraId="3C85D283" w14:textId="77777777" w:rsidTr="00F076A6">
        <w:tc>
          <w:tcPr>
            <w:tcW w:w="2177" w:type="dxa"/>
          </w:tcPr>
          <w:p w14:paraId="2DBC7B64" w14:textId="77777777" w:rsidR="00F076A6" w:rsidRDefault="00A54BA5">
            <w:pPr>
              <w:pStyle w:val="Compact"/>
              <w:spacing w:line="360" w:lineRule="auto"/>
              <w:jc w:val="both"/>
              <w:rPr>
                <w:color w:val="36363D"/>
              </w:rPr>
            </w:pPr>
            <w:r>
              <w:rPr>
                <w:color w:val="36363D"/>
              </w:rPr>
              <w:t>IL-10 (pg/mL)</w:t>
            </w:r>
          </w:p>
        </w:tc>
        <w:tc>
          <w:tcPr>
            <w:tcW w:w="1375" w:type="dxa"/>
          </w:tcPr>
          <w:p w14:paraId="32D67163" w14:textId="77777777" w:rsidR="00F076A6" w:rsidRDefault="00A54BA5">
            <w:pPr>
              <w:pStyle w:val="Compact"/>
              <w:spacing w:line="360" w:lineRule="auto"/>
              <w:jc w:val="both"/>
              <w:rPr>
                <w:color w:val="36363D"/>
              </w:rPr>
            </w:pPr>
            <w:r>
              <w:rPr>
                <w:color w:val="36363D"/>
              </w:rPr>
              <w:t>3.2 ± 1.4</w:t>
            </w:r>
          </w:p>
        </w:tc>
        <w:tc>
          <w:tcPr>
            <w:tcW w:w="1372" w:type="dxa"/>
          </w:tcPr>
          <w:p w14:paraId="67C8B66F" w14:textId="77777777" w:rsidR="00F076A6" w:rsidRDefault="00A54BA5">
            <w:pPr>
              <w:pStyle w:val="Compact"/>
              <w:spacing w:line="360" w:lineRule="auto"/>
              <w:jc w:val="both"/>
              <w:rPr>
                <w:color w:val="36363D"/>
              </w:rPr>
            </w:pPr>
            <w:r>
              <w:rPr>
                <w:color w:val="36363D"/>
              </w:rPr>
              <w:t>4.1 ± 1.7</w:t>
            </w:r>
          </w:p>
        </w:tc>
        <w:tc>
          <w:tcPr>
            <w:tcW w:w="1390" w:type="dxa"/>
          </w:tcPr>
          <w:p w14:paraId="1A0BA781" w14:textId="77777777" w:rsidR="00F076A6" w:rsidRDefault="00A54BA5">
            <w:pPr>
              <w:pStyle w:val="Compact"/>
              <w:spacing w:line="360" w:lineRule="auto"/>
              <w:jc w:val="both"/>
              <w:rPr>
                <w:color w:val="36363D"/>
              </w:rPr>
            </w:pPr>
            <w:r>
              <w:rPr>
                <w:color w:val="36363D"/>
              </w:rPr>
              <w:t>2.6 ± 1.1</w:t>
            </w:r>
          </w:p>
        </w:tc>
        <w:tc>
          <w:tcPr>
            <w:tcW w:w="1222" w:type="dxa"/>
          </w:tcPr>
          <w:p w14:paraId="4C25B7E9" w14:textId="77777777" w:rsidR="00F076A6" w:rsidRDefault="00A54BA5">
            <w:pPr>
              <w:pStyle w:val="Compact"/>
              <w:spacing w:line="360" w:lineRule="auto"/>
              <w:jc w:val="both"/>
              <w:rPr>
                <w:color w:val="36363D"/>
              </w:rPr>
            </w:pPr>
            <w:r>
              <w:rPr>
                <w:color w:val="36363D"/>
              </w:rPr>
              <w:t>45.7</w:t>
            </w:r>
          </w:p>
        </w:tc>
        <w:tc>
          <w:tcPr>
            <w:tcW w:w="984" w:type="dxa"/>
          </w:tcPr>
          <w:p w14:paraId="5E0D3A63" w14:textId="77777777" w:rsidR="00F076A6" w:rsidRDefault="00A54BA5">
            <w:pPr>
              <w:pStyle w:val="Compact"/>
              <w:spacing w:line="360" w:lineRule="auto"/>
              <w:jc w:val="both"/>
              <w:rPr>
                <w:color w:val="36363D"/>
              </w:rPr>
            </w:pPr>
            <w:r>
              <w:rPr>
                <w:color w:val="36363D"/>
              </w:rPr>
              <w:t>&lt;0.001</w:t>
            </w:r>
          </w:p>
        </w:tc>
      </w:tr>
      <w:tr w:rsidR="00F076A6" w14:paraId="5F5F4728" w14:textId="77777777" w:rsidTr="00F076A6">
        <w:tc>
          <w:tcPr>
            <w:tcW w:w="2177" w:type="dxa"/>
          </w:tcPr>
          <w:p w14:paraId="74E9D0AA" w14:textId="77777777" w:rsidR="00F076A6" w:rsidRDefault="00A54BA5">
            <w:pPr>
              <w:pStyle w:val="Compact"/>
              <w:spacing w:line="360" w:lineRule="auto"/>
              <w:jc w:val="both"/>
              <w:rPr>
                <w:color w:val="36363D"/>
              </w:rPr>
            </w:pPr>
            <w:r>
              <w:rPr>
                <w:color w:val="36363D"/>
              </w:rPr>
              <w:t>IL-1β (pg/mL)</w:t>
            </w:r>
          </w:p>
        </w:tc>
        <w:tc>
          <w:tcPr>
            <w:tcW w:w="1375" w:type="dxa"/>
          </w:tcPr>
          <w:p w14:paraId="48F70B3C" w14:textId="77777777" w:rsidR="00F076A6" w:rsidRDefault="00A54BA5">
            <w:pPr>
              <w:pStyle w:val="Compact"/>
              <w:spacing w:line="360" w:lineRule="auto"/>
              <w:jc w:val="both"/>
              <w:rPr>
                <w:color w:val="36363D"/>
              </w:rPr>
            </w:pPr>
            <w:r>
              <w:rPr>
                <w:color w:val="36363D"/>
              </w:rPr>
              <w:t>1.6 ± 0.7</w:t>
            </w:r>
          </w:p>
        </w:tc>
        <w:tc>
          <w:tcPr>
            <w:tcW w:w="1372" w:type="dxa"/>
          </w:tcPr>
          <w:p w14:paraId="4876D1D7" w14:textId="77777777" w:rsidR="00F076A6" w:rsidRDefault="00A54BA5">
            <w:pPr>
              <w:pStyle w:val="Compact"/>
              <w:spacing w:line="360" w:lineRule="auto"/>
              <w:jc w:val="both"/>
              <w:rPr>
                <w:color w:val="36363D"/>
              </w:rPr>
            </w:pPr>
            <w:r>
              <w:rPr>
                <w:color w:val="36363D"/>
              </w:rPr>
              <w:t>1.2 ± 0.5</w:t>
            </w:r>
          </w:p>
        </w:tc>
        <w:tc>
          <w:tcPr>
            <w:tcW w:w="1390" w:type="dxa"/>
          </w:tcPr>
          <w:p w14:paraId="115D052B" w14:textId="77777777" w:rsidR="00F076A6" w:rsidRDefault="00A54BA5">
            <w:pPr>
              <w:pStyle w:val="Compact"/>
              <w:spacing w:line="360" w:lineRule="auto"/>
              <w:jc w:val="both"/>
              <w:rPr>
                <w:color w:val="36363D"/>
              </w:rPr>
            </w:pPr>
            <w:r>
              <w:rPr>
                <w:color w:val="36363D"/>
              </w:rPr>
              <w:t>2.3 ± 1.0</w:t>
            </w:r>
          </w:p>
        </w:tc>
        <w:tc>
          <w:tcPr>
            <w:tcW w:w="1222" w:type="dxa"/>
          </w:tcPr>
          <w:p w14:paraId="389BF0DA" w14:textId="77777777" w:rsidR="00F076A6" w:rsidRDefault="00A54BA5">
            <w:pPr>
              <w:pStyle w:val="Compact"/>
              <w:spacing w:line="360" w:lineRule="auto"/>
              <w:jc w:val="both"/>
              <w:rPr>
                <w:color w:val="36363D"/>
              </w:rPr>
            </w:pPr>
            <w:r>
              <w:rPr>
                <w:color w:val="36363D"/>
              </w:rPr>
              <w:t>67.8</w:t>
            </w:r>
          </w:p>
        </w:tc>
        <w:tc>
          <w:tcPr>
            <w:tcW w:w="984" w:type="dxa"/>
          </w:tcPr>
          <w:p w14:paraId="5173B7CE" w14:textId="77777777" w:rsidR="00F076A6" w:rsidRDefault="00A54BA5">
            <w:pPr>
              <w:pStyle w:val="Compact"/>
              <w:spacing w:line="360" w:lineRule="auto"/>
              <w:jc w:val="both"/>
              <w:rPr>
                <w:color w:val="36363D"/>
              </w:rPr>
            </w:pPr>
            <w:r>
              <w:rPr>
                <w:color w:val="36363D"/>
              </w:rPr>
              <w:t>&lt;0.001</w:t>
            </w:r>
          </w:p>
        </w:tc>
      </w:tr>
      <w:tr w:rsidR="00F076A6" w14:paraId="551D6D9A" w14:textId="77777777" w:rsidTr="00F076A6">
        <w:tc>
          <w:tcPr>
            <w:tcW w:w="2177" w:type="dxa"/>
          </w:tcPr>
          <w:p w14:paraId="6539A3E5" w14:textId="77777777" w:rsidR="00F076A6" w:rsidRDefault="00A54BA5">
            <w:pPr>
              <w:pStyle w:val="Compact"/>
              <w:spacing w:line="360" w:lineRule="auto"/>
              <w:jc w:val="both"/>
              <w:rPr>
                <w:color w:val="36363D"/>
              </w:rPr>
            </w:pPr>
            <w:r>
              <w:rPr>
                <w:color w:val="36363D"/>
              </w:rPr>
              <w:t>IFN-γ (pg/mL)</w:t>
            </w:r>
          </w:p>
        </w:tc>
        <w:tc>
          <w:tcPr>
            <w:tcW w:w="1375" w:type="dxa"/>
          </w:tcPr>
          <w:p w14:paraId="6F516447" w14:textId="77777777" w:rsidR="00F076A6" w:rsidRDefault="00A54BA5">
            <w:pPr>
              <w:pStyle w:val="Compact"/>
              <w:spacing w:line="360" w:lineRule="auto"/>
              <w:jc w:val="both"/>
              <w:rPr>
                <w:color w:val="36363D"/>
              </w:rPr>
            </w:pPr>
            <w:r>
              <w:rPr>
                <w:color w:val="36363D"/>
              </w:rPr>
              <w:t>8.9 ± 3.4</w:t>
            </w:r>
          </w:p>
        </w:tc>
        <w:tc>
          <w:tcPr>
            <w:tcW w:w="1372" w:type="dxa"/>
          </w:tcPr>
          <w:p w14:paraId="2080DAB3" w14:textId="77777777" w:rsidR="00F076A6" w:rsidRDefault="00A54BA5">
            <w:pPr>
              <w:pStyle w:val="Compact"/>
              <w:spacing w:line="360" w:lineRule="auto"/>
              <w:jc w:val="both"/>
              <w:rPr>
                <w:color w:val="36363D"/>
              </w:rPr>
            </w:pPr>
            <w:r>
              <w:rPr>
                <w:color w:val="36363D"/>
              </w:rPr>
              <w:t>7.2 ± 2.8</w:t>
            </w:r>
          </w:p>
        </w:tc>
        <w:tc>
          <w:tcPr>
            <w:tcW w:w="1390" w:type="dxa"/>
          </w:tcPr>
          <w:p w14:paraId="0A52D5E1" w14:textId="77777777" w:rsidR="00F076A6" w:rsidRDefault="00A54BA5">
            <w:pPr>
              <w:pStyle w:val="Compact"/>
              <w:spacing w:line="360" w:lineRule="auto"/>
              <w:jc w:val="both"/>
              <w:rPr>
                <w:color w:val="36363D"/>
              </w:rPr>
            </w:pPr>
            <w:r>
              <w:rPr>
                <w:color w:val="36363D"/>
              </w:rPr>
              <w:t>11.4 ± 4.7</w:t>
            </w:r>
          </w:p>
        </w:tc>
        <w:tc>
          <w:tcPr>
            <w:tcW w:w="1222" w:type="dxa"/>
          </w:tcPr>
          <w:p w14:paraId="26E3CBD7" w14:textId="77777777" w:rsidR="00F076A6" w:rsidRDefault="00A54BA5">
            <w:pPr>
              <w:pStyle w:val="Compact"/>
              <w:spacing w:line="360" w:lineRule="auto"/>
              <w:jc w:val="both"/>
              <w:rPr>
                <w:color w:val="36363D"/>
              </w:rPr>
            </w:pPr>
            <w:r>
              <w:rPr>
                <w:color w:val="36363D"/>
              </w:rPr>
              <w:t>52.3</w:t>
            </w:r>
          </w:p>
        </w:tc>
        <w:tc>
          <w:tcPr>
            <w:tcW w:w="984" w:type="dxa"/>
          </w:tcPr>
          <w:p w14:paraId="0C0FCC4D" w14:textId="77777777" w:rsidR="00F076A6" w:rsidRDefault="00A54BA5">
            <w:pPr>
              <w:pStyle w:val="Compact"/>
              <w:spacing w:line="360" w:lineRule="auto"/>
              <w:jc w:val="both"/>
              <w:rPr>
                <w:color w:val="36363D"/>
              </w:rPr>
            </w:pPr>
            <w:r>
              <w:rPr>
                <w:color w:val="36363D"/>
              </w:rPr>
              <w:t>&lt;0.001</w:t>
            </w:r>
          </w:p>
        </w:tc>
      </w:tr>
      <w:tr w:rsidR="00F076A6" w14:paraId="6B5E2D73" w14:textId="77777777" w:rsidTr="00F076A6">
        <w:tc>
          <w:tcPr>
            <w:tcW w:w="2177" w:type="dxa"/>
          </w:tcPr>
          <w:p w14:paraId="65029FA9" w14:textId="77777777" w:rsidR="00F076A6" w:rsidRDefault="00A54BA5">
            <w:pPr>
              <w:pStyle w:val="Compact"/>
              <w:spacing w:line="360" w:lineRule="auto"/>
              <w:jc w:val="both"/>
              <w:rPr>
                <w:color w:val="36363D"/>
              </w:rPr>
            </w:pPr>
            <w:r>
              <w:rPr>
                <w:color w:val="36363D"/>
              </w:rPr>
              <w:t>CRP (mg/L)</w:t>
            </w:r>
          </w:p>
        </w:tc>
        <w:tc>
          <w:tcPr>
            <w:tcW w:w="1375" w:type="dxa"/>
          </w:tcPr>
          <w:p w14:paraId="30B3F3C2" w14:textId="77777777" w:rsidR="00F076A6" w:rsidRDefault="00A54BA5">
            <w:pPr>
              <w:pStyle w:val="Compact"/>
              <w:spacing w:line="360" w:lineRule="auto"/>
              <w:jc w:val="both"/>
              <w:rPr>
                <w:color w:val="36363D"/>
              </w:rPr>
            </w:pPr>
            <w:r>
              <w:rPr>
                <w:color w:val="36363D"/>
              </w:rPr>
              <w:t>3.8 ± 2.1</w:t>
            </w:r>
          </w:p>
        </w:tc>
        <w:tc>
          <w:tcPr>
            <w:tcW w:w="1372" w:type="dxa"/>
          </w:tcPr>
          <w:p w14:paraId="029B1965" w14:textId="77777777" w:rsidR="00F076A6" w:rsidRDefault="00A54BA5">
            <w:pPr>
              <w:pStyle w:val="Compact"/>
              <w:spacing w:line="360" w:lineRule="auto"/>
              <w:jc w:val="both"/>
              <w:rPr>
                <w:color w:val="36363D"/>
              </w:rPr>
            </w:pPr>
            <w:r>
              <w:rPr>
                <w:color w:val="36363D"/>
              </w:rPr>
              <w:t>2.2 ± 1.3</w:t>
            </w:r>
          </w:p>
        </w:tc>
        <w:tc>
          <w:tcPr>
            <w:tcW w:w="1390" w:type="dxa"/>
          </w:tcPr>
          <w:p w14:paraId="1329E8D9" w14:textId="77777777" w:rsidR="00F076A6" w:rsidRDefault="00A54BA5">
            <w:pPr>
              <w:pStyle w:val="Compact"/>
              <w:spacing w:line="360" w:lineRule="auto"/>
              <w:jc w:val="both"/>
              <w:rPr>
                <w:color w:val="36363D"/>
              </w:rPr>
            </w:pPr>
            <w:r>
              <w:rPr>
                <w:color w:val="36363D"/>
              </w:rPr>
              <w:t>5.4 ± 2.9</w:t>
            </w:r>
          </w:p>
        </w:tc>
        <w:tc>
          <w:tcPr>
            <w:tcW w:w="1222" w:type="dxa"/>
          </w:tcPr>
          <w:p w14:paraId="49D6864E" w14:textId="77777777" w:rsidR="00F076A6" w:rsidRDefault="00A54BA5">
            <w:pPr>
              <w:pStyle w:val="Compact"/>
              <w:spacing w:line="360" w:lineRule="auto"/>
              <w:jc w:val="both"/>
              <w:rPr>
                <w:color w:val="36363D"/>
              </w:rPr>
            </w:pPr>
            <w:r>
              <w:rPr>
                <w:color w:val="36363D"/>
              </w:rPr>
              <w:t>93.6</w:t>
            </w:r>
          </w:p>
        </w:tc>
        <w:tc>
          <w:tcPr>
            <w:tcW w:w="984" w:type="dxa"/>
          </w:tcPr>
          <w:p w14:paraId="45EB3507" w14:textId="77777777" w:rsidR="00F076A6" w:rsidRDefault="00A54BA5">
            <w:pPr>
              <w:pStyle w:val="Compact"/>
              <w:spacing w:line="360" w:lineRule="auto"/>
              <w:jc w:val="both"/>
              <w:rPr>
                <w:color w:val="36363D"/>
              </w:rPr>
            </w:pPr>
            <w:r>
              <w:rPr>
                <w:color w:val="36363D"/>
              </w:rPr>
              <w:t>&lt;0.001</w:t>
            </w:r>
          </w:p>
        </w:tc>
      </w:tr>
      <w:tr w:rsidR="00F076A6" w14:paraId="222CA033" w14:textId="77777777" w:rsidTr="00F076A6">
        <w:tc>
          <w:tcPr>
            <w:tcW w:w="2177" w:type="dxa"/>
          </w:tcPr>
          <w:p w14:paraId="170281CD" w14:textId="77777777" w:rsidR="00F076A6" w:rsidRDefault="00A54BA5">
            <w:pPr>
              <w:pStyle w:val="Compact"/>
              <w:spacing w:line="360" w:lineRule="auto"/>
              <w:jc w:val="both"/>
              <w:rPr>
                <w:color w:val="36363D"/>
              </w:rPr>
            </w:pPr>
            <w:r>
              <w:rPr>
                <w:color w:val="36363D"/>
              </w:rPr>
              <w:t>sIgA (μg/g feces)</w:t>
            </w:r>
          </w:p>
        </w:tc>
        <w:tc>
          <w:tcPr>
            <w:tcW w:w="1375" w:type="dxa"/>
          </w:tcPr>
          <w:p w14:paraId="563A5409" w14:textId="77777777" w:rsidR="00F076A6" w:rsidRDefault="00A54BA5">
            <w:pPr>
              <w:pStyle w:val="Compact"/>
              <w:spacing w:line="360" w:lineRule="auto"/>
              <w:jc w:val="both"/>
              <w:rPr>
                <w:color w:val="36363D"/>
              </w:rPr>
            </w:pPr>
            <w:r>
              <w:rPr>
                <w:color w:val="36363D"/>
              </w:rPr>
              <w:t>287 ± 89</w:t>
            </w:r>
          </w:p>
        </w:tc>
        <w:tc>
          <w:tcPr>
            <w:tcW w:w="1372" w:type="dxa"/>
          </w:tcPr>
          <w:p w14:paraId="16B6D0D0" w14:textId="77777777" w:rsidR="00F076A6" w:rsidRDefault="00A54BA5">
            <w:pPr>
              <w:pStyle w:val="Compact"/>
              <w:spacing w:line="360" w:lineRule="auto"/>
              <w:jc w:val="both"/>
              <w:rPr>
                <w:color w:val="36363D"/>
              </w:rPr>
            </w:pPr>
            <w:r>
              <w:rPr>
                <w:color w:val="36363D"/>
              </w:rPr>
              <w:t>342 ± 108</w:t>
            </w:r>
          </w:p>
        </w:tc>
        <w:tc>
          <w:tcPr>
            <w:tcW w:w="1390" w:type="dxa"/>
          </w:tcPr>
          <w:p w14:paraId="7E75727B" w14:textId="77777777" w:rsidR="00F076A6" w:rsidRDefault="00A54BA5">
            <w:pPr>
              <w:pStyle w:val="Compact"/>
              <w:spacing w:line="360" w:lineRule="auto"/>
              <w:jc w:val="both"/>
              <w:rPr>
                <w:color w:val="36363D"/>
              </w:rPr>
            </w:pPr>
            <w:r>
              <w:rPr>
                <w:color w:val="36363D"/>
              </w:rPr>
              <w:t>234 ± 76</w:t>
            </w:r>
          </w:p>
        </w:tc>
        <w:tc>
          <w:tcPr>
            <w:tcW w:w="1222" w:type="dxa"/>
          </w:tcPr>
          <w:p w14:paraId="7AB5DE5A" w14:textId="77777777" w:rsidR="00F076A6" w:rsidRDefault="00A54BA5">
            <w:pPr>
              <w:pStyle w:val="Compact"/>
              <w:spacing w:line="360" w:lineRule="auto"/>
              <w:jc w:val="both"/>
              <w:rPr>
                <w:color w:val="36363D"/>
              </w:rPr>
            </w:pPr>
            <w:r>
              <w:rPr>
                <w:color w:val="36363D"/>
              </w:rPr>
              <w:t>67.2</w:t>
            </w:r>
          </w:p>
        </w:tc>
        <w:tc>
          <w:tcPr>
            <w:tcW w:w="984" w:type="dxa"/>
          </w:tcPr>
          <w:p w14:paraId="2E2024B3" w14:textId="77777777" w:rsidR="00F076A6" w:rsidRDefault="00A54BA5">
            <w:pPr>
              <w:pStyle w:val="Compact"/>
              <w:spacing w:line="360" w:lineRule="auto"/>
              <w:jc w:val="both"/>
              <w:rPr>
                <w:color w:val="36363D"/>
              </w:rPr>
            </w:pPr>
            <w:r>
              <w:rPr>
                <w:color w:val="36363D"/>
              </w:rPr>
              <w:t>&lt;0.001</w:t>
            </w:r>
          </w:p>
        </w:tc>
      </w:tr>
      <w:tr w:rsidR="00F076A6" w14:paraId="1D6DFF25" w14:textId="77777777" w:rsidTr="00F076A6">
        <w:tc>
          <w:tcPr>
            <w:tcW w:w="2177" w:type="dxa"/>
          </w:tcPr>
          <w:p w14:paraId="250A8EB5" w14:textId="77777777" w:rsidR="00F076A6" w:rsidRDefault="00A54BA5">
            <w:pPr>
              <w:pStyle w:val="Compact"/>
              <w:spacing w:line="360" w:lineRule="auto"/>
              <w:jc w:val="both"/>
              <w:rPr>
                <w:color w:val="36363D"/>
              </w:rPr>
            </w:pPr>
            <w:r>
              <w:rPr>
                <w:color w:val="36363D"/>
              </w:rPr>
              <w:t>Treg cells (%)</w:t>
            </w:r>
          </w:p>
        </w:tc>
        <w:tc>
          <w:tcPr>
            <w:tcW w:w="1375" w:type="dxa"/>
          </w:tcPr>
          <w:p w14:paraId="211188DA" w14:textId="77777777" w:rsidR="00F076A6" w:rsidRDefault="00A54BA5">
            <w:pPr>
              <w:pStyle w:val="Compact"/>
              <w:spacing w:line="360" w:lineRule="auto"/>
              <w:jc w:val="both"/>
              <w:rPr>
                <w:color w:val="36363D"/>
              </w:rPr>
            </w:pPr>
            <w:r>
              <w:rPr>
                <w:color w:val="36363D"/>
              </w:rPr>
              <w:t>6.8 ± 2.3</w:t>
            </w:r>
          </w:p>
        </w:tc>
        <w:tc>
          <w:tcPr>
            <w:tcW w:w="1372" w:type="dxa"/>
          </w:tcPr>
          <w:p w14:paraId="38BBD788" w14:textId="77777777" w:rsidR="00F076A6" w:rsidRDefault="00A54BA5">
            <w:pPr>
              <w:pStyle w:val="Compact"/>
              <w:spacing w:line="360" w:lineRule="auto"/>
              <w:jc w:val="both"/>
              <w:rPr>
                <w:color w:val="36363D"/>
              </w:rPr>
            </w:pPr>
            <w:r>
              <w:rPr>
                <w:color w:val="36363D"/>
              </w:rPr>
              <w:t>8.4 ± 2.8</w:t>
            </w:r>
          </w:p>
        </w:tc>
        <w:tc>
          <w:tcPr>
            <w:tcW w:w="1390" w:type="dxa"/>
          </w:tcPr>
          <w:p w14:paraId="19484910" w14:textId="77777777" w:rsidR="00F076A6" w:rsidRDefault="00A54BA5">
            <w:pPr>
              <w:pStyle w:val="Compact"/>
              <w:spacing w:line="360" w:lineRule="auto"/>
              <w:jc w:val="both"/>
              <w:rPr>
                <w:color w:val="36363D"/>
              </w:rPr>
            </w:pPr>
            <w:r>
              <w:rPr>
                <w:color w:val="36363D"/>
              </w:rPr>
              <w:t>5.2 ± 1.9</w:t>
            </w:r>
          </w:p>
        </w:tc>
        <w:tc>
          <w:tcPr>
            <w:tcW w:w="1222" w:type="dxa"/>
          </w:tcPr>
          <w:p w14:paraId="05279753" w14:textId="77777777" w:rsidR="00F076A6" w:rsidRDefault="00A54BA5">
            <w:pPr>
              <w:pStyle w:val="Compact"/>
              <w:spacing w:line="360" w:lineRule="auto"/>
              <w:jc w:val="both"/>
              <w:rPr>
                <w:color w:val="36363D"/>
              </w:rPr>
            </w:pPr>
            <w:r>
              <w:rPr>
                <w:color w:val="36363D"/>
              </w:rPr>
              <w:t>78.4</w:t>
            </w:r>
          </w:p>
        </w:tc>
        <w:tc>
          <w:tcPr>
            <w:tcW w:w="984" w:type="dxa"/>
          </w:tcPr>
          <w:p w14:paraId="5AE4FA95" w14:textId="77777777" w:rsidR="00F076A6" w:rsidRDefault="00A54BA5">
            <w:pPr>
              <w:pStyle w:val="Compact"/>
              <w:spacing w:line="360" w:lineRule="auto"/>
              <w:jc w:val="both"/>
              <w:rPr>
                <w:color w:val="36363D"/>
              </w:rPr>
            </w:pPr>
            <w:r>
              <w:rPr>
                <w:color w:val="36363D"/>
              </w:rPr>
              <w:t>&lt;0.001</w:t>
            </w:r>
          </w:p>
        </w:tc>
      </w:tr>
      <w:tr w:rsidR="00F076A6" w14:paraId="30474699" w14:textId="77777777" w:rsidTr="00F076A6">
        <w:tc>
          <w:tcPr>
            <w:tcW w:w="2177" w:type="dxa"/>
          </w:tcPr>
          <w:p w14:paraId="1FE20031" w14:textId="77777777" w:rsidR="00F076A6" w:rsidRDefault="00A54BA5">
            <w:pPr>
              <w:pStyle w:val="Compact"/>
              <w:spacing w:line="360" w:lineRule="auto"/>
              <w:jc w:val="both"/>
              <w:rPr>
                <w:color w:val="36363D"/>
              </w:rPr>
            </w:pPr>
            <w:r>
              <w:rPr>
                <w:color w:val="36363D"/>
              </w:rPr>
              <w:t>Th17 cells (%)</w:t>
            </w:r>
          </w:p>
        </w:tc>
        <w:tc>
          <w:tcPr>
            <w:tcW w:w="1375" w:type="dxa"/>
          </w:tcPr>
          <w:p w14:paraId="3C2E11CC" w14:textId="77777777" w:rsidR="00F076A6" w:rsidRDefault="00A54BA5">
            <w:pPr>
              <w:pStyle w:val="Compact"/>
              <w:spacing w:line="360" w:lineRule="auto"/>
              <w:jc w:val="both"/>
              <w:rPr>
                <w:color w:val="36363D"/>
              </w:rPr>
            </w:pPr>
            <w:r>
              <w:rPr>
                <w:color w:val="36363D"/>
              </w:rPr>
              <w:t>2.9 ± 1.2</w:t>
            </w:r>
          </w:p>
        </w:tc>
        <w:tc>
          <w:tcPr>
            <w:tcW w:w="1372" w:type="dxa"/>
          </w:tcPr>
          <w:p w14:paraId="4E6D8937" w14:textId="77777777" w:rsidR="00F076A6" w:rsidRDefault="00A54BA5">
            <w:pPr>
              <w:pStyle w:val="Compact"/>
              <w:spacing w:line="360" w:lineRule="auto"/>
              <w:jc w:val="both"/>
              <w:rPr>
                <w:color w:val="36363D"/>
              </w:rPr>
            </w:pPr>
            <w:r>
              <w:rPr>
                <w:color w:val="36363D"/>
              </w:rPr>
              <w:t>2.1 ± 0.9</w:t>
            </w:r>
          </w:p>
        </w:tc>
        <w:tc>
          <w:tcPr>
            <w:tcW w:w="1390" w:type="dxa"/>
          </w:tcPr>
          <w:p w14:paraId="5B35CF1B" w14:textId="77777777" w:rsidR="00F076A6" w:rsidRDefault="00A54BA5">
            <w:pPr>
              <w:pStyle w:val="Compact"/>
              <w:spacing w:line="360" w:lineRule="auto"/>
              <w:jc w:val="both"/>
              <w:rPr>
                <w:color w:val="36363D"/>
              </w:rPr>
            </w:pPr>
            <w:r>
              <w:rPr>
                <w:color w:val="36363D"/>
              </w:rPr>
              <w:t>3.8 ± 1.6</w:t>
            </w:r>
          </w:p>
        </w:tc>
        <w:tc>
          <w:tcPr>
            <w:tcW w:w="1222" w:type="dxa"/>
          </w:tcPr>
          <w:p w14:paraId="3A572DA1" w14:textId="77777777" w:rsidR="00F076A6" w:rsidRDefault="00A54BA5">
            <w:pPr>
              <w:pStyle w:val="Compact"/>
              <w:spacing w:line="360" w:lineRule="auto"/>
              <w:jc w:val="both"/>
              <w:rPr>
                <w:color w:val="36363D"/>
              </w:rPr>
            </w:pPr>
            <w:r>
              <w:rPr>
                <w:color w:val="36363D"/>
              </w:rPr>
              <w:t>67.8</w:t>
            </w:r>
          </w:p>
        </w:tc>
        <w:tc>
          <w:tcPr>
            <w:tcW w:w="984" w:type="dxa"/>
          </w:tcPr>
          <w:p w14:paraId="3D7E45C4" w14:textId="77777777" w:rsidR="00F076A6" w:rsidRDefault="00A54BA5">
            <w:pPr>
              <w:pStyle w:val="Compact"/>
              <w:spacing w:line="360" w:lineRule="auto"/>
              <w:jc w:val="both"/>
              <w:rPr>
                <w:color w:val="36363D"/>
              </w:rPr>
            </w:pPr>
            <w:r>
              <w:rPr>
                <w:color w:val="36363D"/>
              </w:rPr>
              <w:t>&lt;0.001</w:t>
            </w:r>
          </w:p>
        </w:tc>
      </w:tr>
      <w:tr w:rsidR="00F076A6" w14:paraId="0997FCBD" w14:textId="77777777" w:rsidTr="00F076A6">
        <w:tc>
          <w:tcPr>
            <w:tcW w:w="2177" w:type="dxa"/>
          </w:tcPr>
          <w:p w14:paraId="396C1F9E" w14:textId="77777777" w:rsidR="00F076A6" w:rsidRDefault="00A54BA5">
            <w:pPr>
              <w:pStyle w:val="Compact"/>
              <w:spacing w:line="360" w:lineRule="auto"/>
              <w:jc w:val="both"/>
              <w:rPr>
                <w:color w:val="36363D"/>
              </w:rPr>
            </w:pPr>
            <w:r>
              <w:rPr>
                <w:color w:val="36363D"/>
              </w:rPr>
              <w:t>LPS (EU/mL)</w:t>
            </w:r>
          </w:p>
        </w:tc>
        <w:tc>
          <w:tcPr>
            <w:tcW w:w="1375" w:type="dxa"/>
          </w:tcPr>
          <w:p w14:paraId="0405C78B" w14:textId="77777777" w:rsidR="00F076A6" w:rsidRDefault="00A54BA5">
            <w:pPr>
              <w:pStyle w:val="Compact"/>
              <w:spacing w:line="360" w:lineRule="auto"/>
              <w:jc w:val="both"/>
              <w:rPr>
                <w:color w:val="36363D"/>
              </w:rPr>
            </w:pPr>
            <w:r>
              <w:rPr>
                <w:color w:val="36363D"/>
              </w:rPr>
              <w:t>0.34 ± 0.18</w:t>
            </w:r>
          </w:p>
        </w:tc>
        <w:tc>
          <w:tcPr>
            <w:tcW w:w="1372" w:type="dxa"/>
          </w:tcPr>
          <w:p w14:paraId="6CC4DC7C" w14:textId="77777777" w:rsidR="00F076A6" w:rsidRDefault="00A54BA5">
            <w:pPr>
              <w:pStyle w:val="Compact"/>
              <w:spacing w:line="360" w:lineRule="auto"/>
              <w:jc w:val="both"/>
              <w:rPr>
                <w:color w:val="36363D"/>
              </w:rPr>
            </w:pPr>
            <w:r>
              <w:rPr>
                <w:color w:val="36363D"/>
              </w:rPr>
              <w:t>0.22 ± 0.12</w:t>
            </w:r>
          </w:p>
        </w:tc>
        <w:tc>
          <w:tcPr>
            <w:tcW w:w="1390" w:type="dxa"/>
          </w:tcPr>
          <w:p w14:paraId="574B7BB4" w14:textId="77777777" w:rsidR="00F076A6" w:rsidRDefault="00A54BA5">
            <w:pPr>
              <w:pStyle w:val="Compact"/>
              <w:spacing w:line="360" w:lineRule="auto"/>
              <w:jc w:val="both"/>
              <w:rPr>
                <w:color w:val="36363D"/>
              </w:rPr>
            </w:pPr>
            <w:r>
              <w:rPr>
                <w:color w:val="36363D"/>
              </w:rPr>
              <w:t>0.48 ± 0.23</w:t>
            </w:r>
          </w:p>
        </w:tc>
        <w:tc>
          <w:tcPr>
            <w:tcW w:w="1222" w:type="dxa"/>
          </w:tcPr>
          <w:p w14:paraId="05D58F92" w14:textId="77777777" w:rsidR="00F076A6" w:rsidRDefault="00A54BA5">
            <w:pPr>
              <w:pStyle w:val="Compact"/>
              <w:spacing w:line="360" w:lineRule="auto"/>
              <w:jc w:val="both"/>
              <w:rPr>
                <w:color w:val="36363D"/>
              </w:rPr>
            </w:pPr>
            <w:r>
              <w:rPr>
                <w:color w:val="36363D"/>
              </w:rPr>
              <w:t>89.7</w:t>
            </w:r>
          </w:p>
        </w:tc>
        <w:tc>
          <w:tcPr>
            <w:tcW w:w="984" w:type="dxa"/>
          </w:tcPr>
          <w:p w14:paraId="6CF18C15" w14:textId="77777777" w:rsidR="00F076A6" w:rsidRDefault="00A54BA5">
            <w:pPr>
              <w:pStyle w:val="Compact"/>
              <w:spacing w:line="360" w:lineRule="auto"/>
              <w:jc w:val="both"/>
              <w:rPr>
                <w:color w:val="36363D"/>
              </w:rPr>
            </w:pPr>
            <w:r>
              <w:rPr>
                <w:color w:val="36363D"/>
              </w:rPr>
              <w:t>&lt;0.001</w:t>
            </w:r>
          </w:p>
        </w:tc>
      </w:tr>
    </w:tbl>
    <w:p w14:paraId="26C7A2EC" w14:textId="77777777" w:rsidR="00F076A6" w:rsidRDefault="00A54BA5">
      <w:pPr>
        <w:pStyle w:val="BodyText"/>
        <w:spacing w:line="360" w:lineRule="auto"/>
        <w:jc w:val="both"/>
        <w:rPr>
          <w:color w:val="36363D"/>
        </w:rPr>
      </w:pPr>
      <w:r>
        <w:rPr>
          <w:color w:val="36363D"/>
        </w:rPr>
        <w:t xml:space="preserve">The immune profiling data revealed a clear pattern of increased inflammation in </w:t>
      </w:r>
      <w:r w:rsidR="002868D2">
        <w:rPr>
          <w:color w:val="36363D"/>
        </w:rPr>
        <w:t xml:space="preserve">industrialised </w:t>
      </w:r>
      <w:r>
        <w:rPr>
          <w:color w:val="36363D"/>
        </w:rPr>
        <w:t xml:space="preserve">environments, </w:t>
      </w:r>
      <w:r w:rsidR="002868D2">
        <w:rPr>
          <w:color w:val="36363D"/>
        </w:rPr>
        <w:t xml:space="preserve">characterised </w:t>
      </w:r>
      <w:r>
        <w:rPr>
          <w:color w:val="36363D"/>
        </w:rPr>
        <w:t>by elevated pro-inflammatory cytokines and reduced regulatory immune responses.</w:t>
      </w:r>
    </w:p>
    <w:p w14:paraId="53C1FD6B" w14:textId="77777777" w:rsidR="00F076A6" w:rsidRDefault="00A54BA5">
      <w:pPr>
        <w:pStyle w:val="Heading31"/>
        <w:spacing w:line="360" w:lineRule="auto"/>
        <w:jc w:val="both"/>
        <w:rPr>
          <w:color w:val="36363D"/>
        </w:rPr>
      </w:pPr>
      <w:bookmarkStart w:id="28" w:name="X4f27ce220ffdc89ca450ef8ce67e56ceb2e0077"/>
      <w:bookmarkEnd w:id="27"/>
      <w:r>
        <w:rPr>
          <w:color w:val="36363D"/>
        </w:rPr>
        <w:t xml:space="preserve"> Multi-Omics Integration and Predictive Mode</w:t>
      </w:r>
      <w:r w:rsidR="002868D2">
        <w:rPr>
          <w:color w:val="36363D"/>
        </w:rPr>
        <w:t>l</w:t>
      </w:r>
      <w:r>
        <w:rPr>
          <w:color w:val="36363D"/>
        </w:rPr>
        <w:t>ling (continued)</w:t>
      </w:r>
    </w:p>
    <w:p w14:paraId="5423C8DD" w14:textId="77777777" w:rsidR="00F076A6" w:rsidRDefault="00A54BA5">
      <w:pPr>
        <w:pStyle w:val="BodyText"/>
        <w:spacing w:line="360" w:lineRule="auto"/>
        <w:jc w:val="both"/>
        <w:rPr>
          <w:color w:val="36363D"/>
        </w:rPr>
      </w:pPr>
      <w:r>
        <w:rPr>
          <w:color w:val="36363D"/>
        </w:rPr>
        <w:t>Network analysis revealed that environmental pollutants disrupted beneficial microbial networks while promoting the formation of pathogenic clusters. The loss of keystone species, particularly Faecalibacterium prausnitzii and Akkermansia muciniphila, was associated with cascade effects throughout the microbial community.</w:t>
      </w:r>
    </w:p>
    <w:p w14:paraId="7BDD9BB3" w14:textId="77777777" w:rsidR="00F076A6" w:rsidRDefault="00A54BA5">
      <w:pPr>
        <w:pStyle w:val="Heading31"/>
        <w:spacing w:line="360" w:lineRule="auto"/>
        <w:jc w:val="both"/>
        <w:rPr>
          <w:color w:val="36363D"/>
        </w:rPr>
      </w:pPr>
      <w:bookmarkStart w:id="29" w:name="Xc51574ee24e82d9b66fd75ca8862065702224c3"/>
      <w:bookmarkEnd w:id="28"/>
      <w:r>
        <w:rPr>
          <w:color w:val="36363D"/>
        </w:rPr>
        <w:t>Validation in Germ-Free Mouse Models</w:t>
      </w:r>
    </w:p>
    <w:p w14:paraId="7FAB24EC" w14:textId="77777777" w:rsidR="00F076A6" w:rsidRDefault="00A54BA5">
      <w:pPr>
        <w:pStyle w:val="FirstParagraph"/>
        <w:spacing w:line="360" w:lineRule="auto"/>
        <w:jc w:val="both"/>
        <w:rPr>
          <w:color w:val="36363D"/>
        </w:rPr>
      </w:pPr>
      <w:r>
        <w:rPr>
          <w:color w:val="36363D"/>
        </w:rPr>
        <w:t xml:space="preserve">Germ-free mice </w:t>
      </w:r>
      <w:r w:rsidR="002868D2">
        <w:rPr>
          <w:color w:val="36363D"/>
        </w:rPr>
        <w:t xml:space="preserve">colonised </w:t>
      </w:r>
      <w:r>
        <w:rPr>
          <w:color w:val="36363D"/>
        </w:rPr>
        <w:t>with microbiota from different environmental groups recapitulated many of the metabolic and immune phenotypes observed in human donors. Mice receiving industrial microbiota showed increased intestinal permeability, glucose intolerance, and systemic inflammation compared to those colonized with rural microbiota.</w:t>
      </w:r>
    </w:p>
    <w:p w14:paraId="63B47E86" w14:textId="77777777" w:rsidR="00F076A6" w:rsidRDefault="00A54BA5">
      <w:pPr>
        <w:pStyle w:val="BodyText"/>
        <w:spacing w:line="360" w:lineRule="auto"/>
        <w:jc w:val="both"/>
        <w:rPr>
          <w:color w:val="36363D"/>
        </w:rPr>
      </w:pPr>
      <w:r>
        <w:rPr>
          <w:b/>
          <w:bCs/>
          <w:color w:val="36363D"/>
        </w:rPr>
        <w:t>Table 7: Mouse Model Validation Results (8 weeks post-</w:t>
      </w:r>
      <w:r w:rsidR="002868D2">
        <w:rPr>
          <w:b/>
          <w:bCs/>
          <w:color w:val="36363D"/>
        </w:rPr>
        <w:t>colonisation</w:t>
      </w:r>
      <w:r>
        <w:rPr>
          <w:b/>
          <w:bCs/>
          <w:color w:val="36363D"/>
        </w:rPr>
        <w:t>)</w:t>
      </w:r>
    </w:p>
    <w:tbl>
      <w:tblPr>
        <w:tblStyle w:val="Table"/>
        <w:tblW w:w="0" w:type="auto"/>
        <w:tblInd w:w="0" w:type="dxa"/>
        <w:tblLayout w:type="fixed"/>
        <w:tblLook w:val="04A0" w:firstRow="1" w:lastRow="0" w:firstColumn="1" w:lastColumn="0" w:noHBand="0" w:noVBand="1"/>
      </w:tblPr>
      <w:tblGrid>
        <w:gridCol w:w="2266"/>
        <w:gridCol w:w="1704"/>
        <w:gridCol w:w="1665"/>
        <w:gridCol w:w="1904"/>
        <w:gridCol w:w="981"/>
      </w:tblGrid>
      <w:tr w:rsidR="00F076A6" w14:paraId="04B99C8C" w14:textId="77777777" w:rsidTr="00F076A6">
        <w:trPr>
          <w:cnfStyle w:val="100000000000" w:firstRow="1" w:lastRow="0" w:firstColumn="0" w:lastColumn="0" w:oddVBand="0" w:evenVBand="0" w:oddHBand="0" w:evenHBand="0" w:firstRowFirstColumn="0" w:firstRowLastColumn="0" w:lastRowFirstColumn="0" w:lastRowLastColumn="0"/>
          <w:tblHeader/>
        </w:trPr>
        <w:tc>
          <w:tcPr>
            <w:tcW w:w="2266" w:type="dxa"/>
          </w:tcPr>
          <w:p w14:paraId="1E66C036" w14:textId="77777777" w:rsidR="00F076A6" w:rsidRDefault="00A54BA5">
            <w:pPr>
              <w:pStyle w:val="Compact"/>
              <w:spacing w:line="360" w:lineRule="auto"/>
              <w:jc w:val="both"/>
              <w:rPr>
                <w:color w:val="36363D"/>
              </w:rPr>
            </w:pPr>
            <w:r>
              <w:rPr>
                <w:color w:val="36363D"/>
              </w:rPr>
              <w:lastRenderedPageBreak/>
              <w:t>Parameter</w:t>
            </w:r>
          </w:p>
        </w:tc>
        <w:tc>
          <w:tcPr>
            <w:tcW w:w="1704" w:type="dxa"/>
          </w:tcPr>
          <w:p w14:paraId="66E88FD0" w14:textId="77777777" w:rsidR="00F076A6" w:rsidRDefault="00A54BA5">
            <w:pPr>
              <w:pStyle w:val="Compact"/>
              <w:spacing w:line="360" w:lineRule="auto"/>
              <w:jc w:val="both"/>
              <w:rPr>
                <w:color w:val="36363D"/>
              </w:rPr>
            </w:pPr>
            <w:r>
              <w:rPr>
                <w:color w:val="36363D"/>
              </w:rPr>
              <w:t>Urban Microbiota</w:t>
            </w:r>
          </w:p>
        </w:tc>
        <w:tc>
          <w:tcPr>
            <w:tcW w:w="1665" w:type="dxa"/>
          </w:tcPr>
          <w:p w14:paraId="02E2013F" w14:textId="77777777" w:rsidR="00F076A6" w:rsidRDefault="00A54BA5">
            <w:pPr>
              <w:pStyle w:val="Compact"/>
              <w:spacing w:line="360" w:lineRule="auto"/>
              <w:jc w:val="both"/>
              <w:rPr>
                <w:color w:val="36363D"/>
              </w:rPr>
            </w:pPr>
            <w:r>
              <w:rPr>
                <w:color w:val="36363D"/>
              </w:rPr>
              <w:t>Rural Microbiota</w:t>
            </w:r>
          </w:p>
        </w:tc>
        <w:tc>
          <w:tcPr>
            <w:tcW w:w="1904" w:type="dxa"/>
          </w:tcPr>
          <w:p w14:paraId="335689D5" w14:textId="77777777" w:rsidR="00F076A6" w:rsidRDefault="00A54BA5">
            <w:pPr>
              <w:pStyle w:val="Compact"/>
              <w:spacing w:line="360" w:lineRule="auto"/>
              <w:jc w:val="both"/>
              <w:rPr>
                <w:color w:val="36363D"/>
              </w:rPr>
            </w:pPr>
            <w:r>
              <w:rPr>
                <w:color w:val="36363D"/>
              </w:rPr>
              <w:t>Industrial Microbiota</w:t>
            </w:r>
          </w:p>
        </w:tc>
        <w:tc>
          <w:tcPr>
            <w:tcW w:w="981" w:type="dxa"/>
          </w:tcPr>
          <w:p w14:paraId="19F26FD9" w14:textId="77777777" w:rsidR="00F076A6" w:rsidRDefault="00A54BA5">
            <w:pPr>
              <w:pStyle w:val="Compact"/>
              <w:spacing w:line="360" w:lineRule="auto"/>
              <w:jc w:val="both"/>
              <w:rPr>
                <w:color w:val="36363D"/>
              </w:rPr>
            </w:pPr>
            <w:r>
              <w:rPr>
                <w:color w:val="36363D"/>
              </w:rPr>
              <w:t>P-value</w:t>
            </w:r>
          </w:p>
        </w:tc>
      </w:tr>
      <w:tr w:rsidR="00F076A6" w14:paraId="4BD1767C" w14:textId="77777777" w:rsidTr="00F076A6">
        <w:tc>
          <w:tcPr>
            <w:tcW w:w="2266" w:type="dxa"/>
          </w:tcPr>
          <w:p w14:paraId="5FB749A0" w14:textId="77777777" w:rsidR="00F076A6" w:rsidRDefault="00A54BA5">
            <w:pPr>
              <w:pStyle w:val="Compact"/>
              <w:spacing w:line="360" w:lineRule="auto"/>
              <w:jc w:val="both"/>
              <w:rPr>
                <w:color w:val="36363D"/>
              </w:rPr>
            </w:pPr>
            <w:r>
              <w:rPr>
                <w:color w:val="36363D"/>
              </w:rPr>
              <w:t>Body weight gain (g)</w:t>
            </w:r>
          </w:p>
        </w:tc>
        <w:tc>
          <w:tcPr>
            <w:tcW w:w="1704" w:type="dxa"/>
          </w:tcPr>
          <w:p w14:paraId="159063C2" w14:textId="77777777" w:rsidR="00F076A6" w:rsidRDefault="00A54BA5">
            <w:pPr>
              <w:pStyle w:val="Compact"/>
              <w:spacing w:line="360" w:lineRule="auto"/>
              <w:jc w:val="both"/>
              <w:rPr>
                <w:color w:val="36363D"/>
              </w:rPr>
            </w:pPr>
            <w:r>
              <w:rPr>
                <w:color w:val="36363D"/>
              </w:rPr>
              <w:t>4.2 ± 1.3</w:t>
            </w:r>
          </w:p>
        </w:tc>
        <w:tc>
          <w:tcPr>
            <w:tcW w:w="1665" w:type="dxa"/>
          </w:tcPr>
          <w:p w14:paraId="5F4FBAC7" w14:textId="77777777" w:rsidR="00F076A6" w:rsidRDefault="00A54BA5">
            <w:pPr>
              <w:pStyle w:val="Compact"/>
              <w:spacing w:line="360" w:lineRule="auto"/>
              <w:jc w:val="both"/>
              <w:rPr>
                <w:color w:val="36363D"/>
              </w:rPr>
            </w:pPr>
            <w:r>
              <w:rPr>
                <w:color w:val="36363D"/>
              </w:rPr>
              <w:t>3.8 ± 1.1</w:t>
            </w:r>
          </w:p>
        </w:tc>
        <w:tc>
          <w:tcPr>
            <w:tcW w:w="1904" w:type="dxa"/>
          </w:tcPr>
          <w:p w14:paraId="10BD5211" w14:textId="77777777" w:rsidR="00F076A6" w:rsidRDefault="00A54BA5">
            <w:pPr>
              <w:pStyle w:val="Compact"/>
              <w:spacing w:line="360" w:lineRule="auto"/>
              <w:jc w:val="both"/>
              <w:rPr>
                <w:color w:val="36363D"/>
              </w:rPr>
            </w:pPr>
            <w:r>
              <w:rPr>
                <w:color w:val="36363D"/>
              </w:rPr>
              <w:t>5.6 ± 1.8</w:t>
            </w:r>
          </w:p>
        </w:tc>
        <w:tc>
          <w:tcPr>
            <w:tcW w:w="981" w:type="dxa"/>
          </w:tcPr>
          <w:p w14:paraId="4A020D9F" w14:textId="77777777" w:rsidR="00F076A6" w:rsidRDefault="00A54BA5">
            <w:pPr>
              <w:pStyle w:val="Compact"/>
              <w:spacing w:line="360" w:lineRule="auto"/>
              <w:jc w:val="both"/>
              <w:rPr>
                <w:color w:val="36363D"/>
              </w:rPr>
            </w:pPr>
            <w:r>
              <w:rPr>
                <w:color w:val="36363D"/>
              </w:rPr>
              <w:t>0.003</w:t>
            </w:r>
          </w:p>
        </w:tc>
      </w:tr>
      <w:tr w:rsidR="00F076A6" w14:paraId="29D72DE7" w14:textId="77777777" w:rsidTr="00F076A6">
        <w:tc>
          <w:tcPr>
            <w:tcW w:w="2266" w:type="dxa"/>
          </w:tcPr>
          <w:p w14:paraId="3DBB5833" w14:textId="77777777" w:rsidR="00F076A6" w:rsidRDefault="00A54BA5">
            <w:pPr>
              <w:pStyle w:val="Compact"/>
              <w:spacing w:line="360" w:lineRule="auto"/>
              <w:jc w:val="both"/>
              <w:rPr>
                <w:color w:val="36363D"/>
              </w:rPr>
            </w:pPr>
            <w:r>
              <w:rPr>
                <w:color w:val="36363D"/>
              </w:rPr>
              <w:t>Glucose tolerance (AUC)</w:t>
            </w:r>
          </w:p>
        </w:tc>
        <w:tc>
          <w:tcPr>
            <w:tcW w:w="1704" w:type="dxa"/>
          </w:tcPr>
          <w:p w14:paraId="57337E9B" w14:textId="77777777" w:rsidR="00F076A6" w:rsidRDefault="00A54BA5">
            <w:pPr>
              <w:pStyle w:val="Compact"/>
              <w:spacing w:line="360" w:lineRule="auto"/>
              <w:jc w:val="both"/>
              <w:rPr>
                <w:color w:val="36363D"/>
              </w:rPr>
            </w:pPr>
            <w:r>
              <w:rPr>
                <w:color w:val="36363D"/>
              </w:rPr>
              <w:t>892 ± 145</w:t>
            </w:r>
          </w:p>
        </w:tc>
        <w:tc>
          <w:tcPr>
            <w:tcW w:w="1665" w:type="dxa"/>
          </w:tcPr>
          <w:p w14:paraId="6D8CF798" w14:textId="77777777" w:rsidR="00F076A6" w:rsidRDefault="00A54BA5">
            <w:pPr>
              <w:pStyle w:val="Compact"/>
              <w:spacing w:line="360" w:lineRule="auto"/>
              <w:jc w:val="both"/>
              <w:rPr>
                <w:color w:val="36363D"/>
              </w:rPr>
            </w:pPr>
            <w:r>
              <w:rPr>
                <w:color w:val="36363D"/>
              </w:rPr>
              <w:t>743 ± 98</w:t>
            </w:r>
          </w:p>
        </w:tc>
        <w:tc>
          <w:tcPr>
            <w:tcW w:w="1904" w:type="dxa"/>
          </w:tcPr>
          <w:p w14:paraId="540362A7" w14:textId="77777777" w:rsidR="00F076A6" w:rsidRDefault="00A54BA5">
            <w:pPr>
              <w:pStyle w:val="Compact"/>
              <w:spacing w:line="360" w:lineRule="auto"/>
              <w:jc w:val="both"/>
              <w:rPr>
                <w:color w:val="36363D"/>
              </w:rPr>
            </w:pPr>
            <w:r>
              <w:rPr>
                <w:color w:val="36363D"/>
              </w:rPr>
              <w:t>1,124 ± 189</w:t>
            </w:r>
          </w:p>
        </w:tc>
        <w:tc>
          <w:tcPr>
            <w:tcW w:w="981" w:type="dxa"/>
          </w:tcPr>
          <w:p w14:paraId="20EC71D1" w14:textId="77777777" w:rsidR="00F076A6" w:rsidRDefault="00A54BA5">
            <w:pPr>
              <w:pStyle w:val="Compact"/>
              <w:spacing w:line="360" w:lineRule="auto"/>
              <w:jc w:val="both"/>
              <w:rPr>
                <w:color w:val="36363D"/>
              </w:rPr>
            </w:pPr>
            <w:r>
              <w:rPr>
                <w:color w:val="36363D"/>
              </w:rPr>
              <w:t>&lt;0.001</w:t>
            </w:r>
          </w:p>
        </w:tc>
      </w:tr>
      <w:tr w:rsidR="00F076A6" w14:paraId="1709FD11" w14:textId="77777777" w:rsidTr="00F076A6">
        <w:tc>
          <w:tcPr>
            <w:tcW w:w="2266" w:type="dxa"/>
          </w:tcPr>
          <w:p w14:paraId="3F08BBA1" w14:textId="77777777" w:rsidR="00F076A6" w:rsidRDefault="00A54BA5">
            <w:pPr>
              <w:pStyle w:val="Compact"/>
              <w:spacing w:line="360" w:lineRule="auto"/>
              <w:jc w:val="both"/>
              <w:rPr>
                <w:color w:val="36363D"/>
              </w:rPr>
            </w:pPr>
            <w:r>
              <w:rPr>
                <w:color w:val="36363D"/>
              </w:rPr>
              <w:t>Insulin sensitivity</w:t>
            </w:r>
          </w:p>
        </w:tc>
        <w:tc>
          <w:tcPr>
            <w:tcW w:w="1704" w:type="dxa"/>
          </w:tcPr>
          <w:p w14:paraId="4D12D89E" w14:textId="77777777" w:rsidR="00F076A6" w:rsidRDefault="00A54BA5">
            <w:pPr>
              <w:pStyle w:val="Compact"/>
              <w:spacing w:line="360" w:lineRule="auto"/>
              <w:jc w:val="both"/>
              <w:rPr>
                <w:color w:val="36363D"/>
              </w:rPr>
            </w:pPr>
            <w:r>
              <w:rPr>
                <w:color w:val="36363D"/>
              </w:rPr>
              <w:t>0.67 ± 0.12</w:t>
            </w:r>
          </w:p>
        </w:tc>
        <w:tc>
          <w:tcPr>
            <w:tcW w:w="1665" w:type="dxa"/>
          </w:tcPr>
          <w:p w14:paraId="670D0A06" w14:textId="77777777" w:rsidR="00F076A6" w:rsidRDefault="00A54BA5">
            <w:pPr>
              <w:pStyle w:val="Compact"/>
              <w:spacing w:line="360" w:lineRule="auto"/>
              <w:jc w:val="both"/>
              <w:rPr>
                <w:color w:val="36363D"/>
              </w:rPr>
            </w:pPr>
            <w:r>
              <w:rPr>
                <w:color w:val="36363D"/>
              </w:rPr>
              <w:t>0.81 ± 0.09</w:t>
            </w:r>
          </w:p>
        </w:tc>
        <w:tc>
          <w:tcPr>
            <w:tcW w:w="1904" w:type="dxa"/>
          </w:tcPr>
          <w:p w14:paraId="7A468635" w14:textId="77777777" w:rsidR="00F076A6" w:rsidRDefault="00A54BA5">
            <w:pPr>
              <w:pStyle w:val="Compact"/>
              <w:spacing w:line="360" w:lineRule="auto"/>
              <w:jc w:val="both"/>
              <w:rPr>
                <w:color w:val="36363D"/>
              </w:rPr>
            </w:pPr>
            <w:r>
              <w:rPr>
                <w:color w:val="36363D"/>
              </w:rPr>
              <w:t>0.52 ± 0.14</w:t>
            </w:r>
          </w:p>
        </w:tc>
        <w:tc>
          <w:tcPr>
            <w:tcW w:w="981" w:type="dxa"/>
          </w:tcPr>
          <w:p w14:paraId="7E978D05" w14:textId="77777777" w:rsidR="00F076A6" w:rsidRDefault="00A54BA5">
            <w:pPr>
              <w:pStyle w:val="Compact"/>
              <w:spacing w:line="360" w:lineRule="auto"/>
              <w:jc w:val="both"/>
              <w:rPr>
                <w:color w:val="36363D"/>
              </w:rPr>
            </w:pPr>
            <w:r>
              <w:rPr>
                <w:color w:val="36363D"/>
              </w:rPr>
              <w:t>&lt;0.001</w:t>
            </w:r>
          </w:p>
        </w:tc>
      </w:tr>
      <w:tr w:rsidR="00F076A6" w14:paraId="0EC69F06" w14:textId="77777777" w:rsidTr="00F076A6">
        <w:tc>
          <w:tcPr>
            <w:tcW w:w="2266" w:type="dxa"/>
          </w:tcPr>
          <w:p w14:paraId="753E3F94" w14:textId="77777777" w:rsidR="00F076A6" w:rsidRDefault="00A54BA5">
            <w:pPr>
              <w:pStyle w:val="Compact"/>
              <w:spacing w:line="360" w:lineRule="auto"/>
              <w:jc w:val="both"/>
              <w:rPr>
                <w:color w:val="36363D"/>
              </w:rPr>
            </w:pPr>
            <w:r>
              <w:rPr>
                <w:color w:val="36363D"/>
              </w:rPr>
              <w:t>Intestinal permeability</w:t>
            </w:r>
          </w:p>
        </w:tc>
        <w:tc>
          <w:tcPr>
            <w:tcW w:w="1704" w:type="dxa"/>
          </w:tcPr>
          <w:p w14:paraId="7019F8C3" w14:textId="77777777" w:rsidR="00F076A6" w:rsidRDefault="00A54BA5">
            <w:pPr>
              <w:pStyle w:val="Compact"/>
              <w:spacing w:line="360" w:lineRule="auto"/>
              <w:jc w:val="both"/>
              <w:rPr>
                <w:color w:val="36363D"/>
              </w:rPr>
            </w:pPr>
            <w:r>
              <w:rPr>
                <w:color w:val="36363D"/>
              </w:rPr>
              <w:t>3.2 ± 0.8</w:t>
            </w:r>
          </w:p>
        </w:tc>
        <w:tc>
          <w:tcPr>
            <w:tcW w:w="1665" w:type="dxa"/>
          </w:tcPr>
          <w:p w14:paraId="2F69558A" w14:textId="77777777" w:rsidR="00F076A6" w:rsidRDefault="00A54BA5">
            <w:pPr>
              <w:pStyle w:val="Compact"/>
              <w:spacing w:line="360" w:lineRule="auto"/>
              <w:jc w:val="both"/>
              <w:rPr>
                <w:color w:val="36363D"/>
              </w:rPr>
            </w:pPr>
            <w:r>
              <w:rPr>
                <w:color w:val="36363D"/>
              </w:rPr>
              <w:t>2.1 ± 0.6</w:t>
            </w:r>
          </w:p>
        </w:tc>
        <w:tc>
          <w:tcPr>
            <w:tcW w:w="1904" w:type="dxa"/>
          </w:tcPr>
          <w:p w14:paraId="77035CFB" w14:textId="77777777" w:rsidR="00F076A6" w:rsidRDefault="00A54BA5">
            <w:pPr>
              <w:pStyle w:val="Compact"/>
              <w:spacing w:line="360" w:lineRule="auto"/>
              <w:jc w:val="both"/>
              <w:rPr>
                <w:color w:val="36363D"/>
              </w:rPr>
            </w:pPr>
            <w:r>
              <w:rPr>
                <w:color w:val="36363D"/>
              </w:rPr>
              <w:t>4.7 ± 1.2</w:t>
            </w:r>
          </w:p>
        </w:tc>
        <w:tc>
          <w:tcPr>
            <w:tcW w:w="981" w:type="dxa"/>
          </w:tcPr>
          <w:p w14:paraId="5712FED2" w14:textId="77777777" w:rsidR="00F076A6" w:rsidRDefault="00A54BA5">
            <w:pPr>
              <w:pStyle w:val="Compact"/>
              <w:spacing w:line="360" w:lineRule="auto"/>
              <w:jc w:val="both"/>
              <w:rPr>
                <w:color w:val="36363D"/>
              </w:rPr>
            </w:pPr>
            <w:r>
              <w:rPr>
                <w:color w:val="36363D"/>
              </w:rPr>
              <w:t>&lt;0.001</w:t>
            </w:r>
          </w:p>
        </w:tc>
      </w:tr>
      <w:tr w:rsidR="00F076A6" w14:paraId="0CB911E2" w14:textId="77777777" w:rsidTr="00F076A6">
        <w:tc>
          <w:tcPr>
            <w:tcW w:w="2266" w:type="dxa"/>
          </w:tcPr>
          <w:p w14:paraId="74CF6FC2" w14:textId="77777777" w:rsidR="00F076A6" w:rsidRDefault="00A54BA5">
            <w:pPr>
              <w:pStyle w:val="Compact"/>
              <w:spacing w:line="360" w:lineRule="auto"/>
              <w:jc w:val="both"/>
              <w:rPr>
                <w:color w:val="36363D"/>
              </w:rPr>
            </w:pPr>
            <w:r>
              <w:rPr>
                <w:color w:val="36363D"/>
              </w:rPr>
              <w:t>Cecal butyrate (mM)</w:t>
            </w:r>
          </w:p>
        </w:tc>
        <w:tc>
          <w:tcPr>
            <w:tcW w:w="1704" w:type="dxa"/>
          </w:tcPr>
          <w:p w14:paraId="54FF69B9" w14:textId="77777777" w:rsidR="00F076A6" w:rsidRDefault="00A54BA5">
            <w:pPr>
              <w:pStyle w:val="Compact"/>
              <w:spacing w:line="360" w:lineRule="auto"/>
              <w:jc w:val="both"/>
              <w:rPr>
                <w:color w:val="36363D"/>
              </w:rPr>
            </w:pPr>
            <w:r>
              <w:rPr>
                <w:color w:val="36363D"/>
              </w:rPr>
              <w:t>18.4 ± 4.2</w:t>
            </w:r>
          </w:p>
        </w:tc>
        <w:tc>
          <w:tcPr>
            <w:tcW w:w="1665" w:type="dxa"/>
          </w:tcPr>
          <w:p w14:paraId="6587CEF9" w14:textId="77777777" w:rsidR="00F076A6" w:rsidRDefault="00A54BA5">
            <w:pPr>
              <w:pStyle w:val="Compact"/>
              <w:spacing w:line="360" w:lineRule="auto"/>
              <w:jc w:val="both"/>
              <w:rPr>
                <w:color w:val="36363D"/>
              </w:rPr>
            </w:pPr>
            <w:r>
              <w:rPr>
                <w:color w:val="36363D"/>
              </w:rPr>
              <w:t>24.7 ± 5.8</w:t>
            </w:r>
          </w:p>
        </w:tc>
        <w:tc>
          <w:tcPr>
            <w:tcW w:w="1904" w:type="dxa"/>
          </w:tcPr>
          <w:p w14:paraId="261C0E76" w14:textId="77777777" w:rsidR="00F076A6" w:rsidRDefault="00A54BA5">
            <w:pPr>
              <w:pStyle w:val="Compact"/>
              <w:spacing w:line="360" w:lineRule="auto"/>
              <w:jc w:val="both"/>
              <w:rPr>
                <w:color w:val="36363D"/>
              </w:rPr>
            </w:pPr>
            <w:r>
              <w:rPr>
                <w:color w:val="36363D"/>
              </w:rPr>
              <w:t>12.3 ± 3.1</w:t>
            </w:r>
          </w:p>
        </w:tc>
        <w:tc>
          <w:tcPr>
            <w:tcW w:w="981" w:type="dxa"/>
          </w:tcPr>
          <w:p w14:paraId="1D637CD7" w14:textId="77777777" w:rsidR="00F076A6" w:rsidRDefault="00A54BA5">
            <w:pPr>
              <w:pStyle w:val="Compact"/>
              <w:spacing w:line="360" w:lineRule="auto"/>
              <w:jc w:val="both"/>
              <w:rPr>
                <w:color w:val="36363D"/>
              </w:rPr>
            </w:pPr>
            <w:r>
              <w:rPr>
                <w:color w:val="36363D"/>
              </w:rPr>
              <w:t>&lt;0.001</w:t>
            </w:r>
          </w:p>
        </w:tc>
      </w:tr>
      <w:tr w:rsidR="00F076A6" w14:paraId="50E8BC03" w14:textId="77777777" w:rsidTr="00F076A6">
        <w:tc>
          <w:tcPr>
            <w:tcW w:w="2266" w:type="dxa"/>
          </w:tcPr>
          <w:p w14:paraId="32EFD369" w14:textId="77777777" w:rsidR="00F076A6" w:rsidRDefault="00A54BA5">
            <w:pPr>
              <w:pStyle w:val="Compact"/>
              <w:spacing w:line="360" w:lineRule="auto"/>
              <w:jc w:val="both"/>
              <w:rPr>
                <w:color w:val="36363D"/>
              </w:rPr>
            </w:pPr>
            <w:r>
              <w:rPr>
                <w:color w:val="36363D"/>
              </w:rPr>
              <w:t>Serum LPS (EU/mL)</w:t>
            </w:r>
          </w:p>
        </w:tc>
        <w:tc>
          <w:tcPr>
            <w:tcW w:w="1704" w:type="dxa"/>
          </w:tcPr>
          <w:p w14:paraId="358E217C" w14:textId="77777777" w:rsidR="00F076A6" w:rsidRDefault="00A54BA5">
            <w:pPr>
              <w:pStyle w:val="Compact"/>
              <w:spacing w:line="360" w:lineRule="auto"/>
              <w:jc w:val="both"/>
              <w:rPr>
                <w:color w:val="36363D"/>
              </w:rPr>
            </w:pPr>
            <w:r>
              <w:rPr>
                <w:color w:val="36363D"/>
              </w:rPr>
              <w:t>0.28 ± 0.09</w:t>
            </w:r>
          </w:p>
        </w:tc>
        <w:tc>
          <w:tcPr>
            <w:tcW w:w="1665" w:type="dxa"/>
          </w:tcPr>
          <w:p w14:paraId="28A770AF" w14:textId="77777777" w:rsidR="00F076A6" w:rsidRDefault="00A54BA5">
            <w:pPr>
              <w:pStyle w:val="Compact"/>
              <w:spacing w:line="360" w:lineRule="auto"/>
              <w:jc w:val="both"/>
              <w:rPr>
                <w:color w:val="36363D"/>
              </w:rPr>
            </w:pPr>
            <w:r>
              <w:rPr>
                <w:color w:val="36363D"/>
              </w:rPr>
              <w:t>0.19 ± 0.07</w:t>
            </w:r>
          </w:p>
        </w:tc>
        <w:tc>
          <w:tcPr>
            <w:tcW w:w="1904" w:type="dxa"/>
          </w:tcPr>
          <w:p w14:paraId="3A9AACDC" w14:textId="77777777" w:rsidR="00F076A6" w:rsidRDefault="00A54BA5">
            <w:pPr>
              <w:pStyle w:val="Compact"/>
              <w:spacing w:line="360" w:lineRule="auto"/>
              <w:jc w:val="both"/>
              <w:rPr>
                <w:color w:val="36363D"/>
              </w:rPr>
            </w:pPr>
            <w:r>
              <w:rPr>
                <w:color w:val="36363D"/>
              </w:rPr>
              <w:t>0.41 ± 0.13</w:t>
            </w:r>
          </w:p>
        </w:tc>
        <w:tc>
          <w:tcPr>
            <w:tcW w:w="981" w:type="dxa"/>
          </w:tcPr>
          <w:p w14:paraId="5AE6521B" w14:textId="77777777" w:rsidR="00F076A6" w:rsidRDefault="00A54BA5">
            <w:pPr>
              <w:pStyle w:val="Compact"/>
              <w:spacing w:line="360" w:lineRule="auto"/>
              <w:jc w:val="both"/>
              <w:rPr>
                <w:color w:val="36363D"/>
              </w:rPr>
            </w:pPr>
            <w:r>
              <w:rPr>
                <w:color w:val="36363D"/>
              </w:rPr>
              <w:t>&lt;0.001</w:t>
            </w:r>
          </w:p>
        </w:tc>
      </w:tr>
      <w:tr w:rsidR="00F076A6" w14:paraId="7EE0E8F0" w14:textId="77777777" w:rsidTr="00F076A6">
        <w:tc>
          <w:tcPr>
            <w:tcW w:w="2266" w:type="dxa"/>
          </w:tcPr>
          <w:p w14:paraId="0B818FA4" w14:textId="77777777" w:rsidR="00F076A6" w:rsidRDefault="00A54BA5">
            <w:pPr>
              <w:pStyle w:val="Compact"/>
              <w:spacing w:line="360" w:lineRule="auto"/>
              <w:jc w:val="both"/>
              <w:rPr>
                <w:color w:val="36363D"/>
              </w:rPr>
            </w:pPr>
            <w:r>
              <w:rPr>
                <w:color w:val="36363D"/>
              </w:rPr>
              <w:t>Colonic IL-6 (pg/mg)</w:t>
            </w:r>
          </w:p>
        </w:tc>
        <w:tc>
          <w:tcPr>
            <w:tcW w:w="1704" w:type="dxa"/>
          </w:tcPr>
          <w:p w14:paraId="0470442C" w14:textId="77777777" w:rsidR="00F076A6" w:rsidRDefault="00A54BA5">
            <w:pPr>
              <w:pStyle w:val="Compact"/>
              <w:spacing w:line="360" w:lineRule="auto"/>
              <w:jc w:val="both"/>
              <w:rPr>
                <w:color w:val="36363D"/>
              </w:rPr>
            </w:pPr>
            <w:r>
              <w:rPr>
                <w:color w:val="36363D"/>
              </w:rPr>
              <w:t>42.3 ± 12.7</w:t>
            </w:r>
          </w:p>
        </w:tc>
        <w:tc>
          <w:tcPr>
            <w:tcW w:w="1665" w:type="dxa"/>
          </w:tcPr>
          <w:p w14:paraId="61F40B4C" w14:textId="77777777" w:rsidR="00F076A6" w:rsidRDefault="00A54BA5">
            <w:pPr>
              <w:pStyle w:val="Compact"/>
              <w:spacing w:line="360" w:lineRule="auto"/>
              <w:jc w:val="both"/>
              <w:rPr>
                <w:color w:val="36363D"/>
              </w:rPr>
            </w:pPr>
            <w:r>
              <w:rPr>
                <w:color w:val="36363D"/>
              </w:rPr>
              <w:t>28.9 ± 9.4</w:t>
            </w:r>
          </w:p>
        </w:tc>
        <w:tc>
          <w:tcPr>
            <w:tcW w:w="1904" w:type="dxa"/>
          </w:tcPr>
          <w:p w14:paraId="6A624F1A" w14:textId="77777777" w:rsidR="00F076A6" w:rsidRDefault="00A54BA5">
            <w:pPr>
              <w:pStyle w:val="Compact"/>
              <w:spacing w:line="360" w:lineRule="auto"/>
              <w:jc w:val="both"/>
              <w:rPr>
                <w:color w:val="36363D"/>
              </w:rPr>
            </w:pPr>
            <w:r>
              <w:rPr>
                <w:color w:val="36363D"/>
              </w:rPr>
              <w:t>67.8 ± 18.2</w:t>
            </w:r>
          </w:p>
        </w:tc>
        <w:tc>
          <w:tcPr>
            <w:tcW w:w="981" w:type="dxa"/>
          </w:tcPr>
          <w:p w14:paraId="5881993F" w14:textId="77777777" w:rsidR="00F076A6" w:rsidRDefault="00A54BA5">
            <w:pPr>
              <w:pStyle w:val="Compact"/>
              <w:spacing w:line="360" w:lineRule="auto"/>
              <w:jc w:val="both"/>
              <w:rPr>
                <w:color w:val="36363D"/>
              </w:rPr>
            </w:pPr>
            <w:r>
              <w:rPr>
                <w:color w:val="36363D"/>
              </w:rPr>
              <w:t>&lt;0.001</w:t>
            </w:r>
          </w:p>
        </w:tc>
      </w:tr>
      <w:tr w:rsidR="00F076A6" w14:paraId="663DA412" w14:textId="77777777" w:rsidTr="00F076A6">
        <w:tc>
          <w:tcPr>
            <w:tcW w:w="2266" w:type="dxa"/>
          </w:tcPr>
          <w:p w14:paraId="15554457" w14:textId="77777777" w:rsidR="00F076A6" w:rsidRDefault="00A54BA5">
            <w:pPr>
              <w:pStyle w:val="Compact"/>
              <w:spacing w:line="360" w:lineRule="auto"/>
              <w:jc w:val="both"/>
              <w:rPr>
                <w:color w:val="36363D"/>
              </w:rPr>
            </w:pPr>
            <w:r>
              <w:rPr>
                <w:color w:val="36363D"/>
              </w:rPr>
              <w:t>Liver triglycerides (mg/g)</w:t>
            </w:r>
          </w:p>
        </w:tc>
        <w:tc>
          <w:tcPr>
            <w:tcW w:w="1704" w:type="dxa"/>
          </w:tcPr>
          <w:p w14:paraId="032B688B" w14:textId="77777777" w:rsidR="00F076A6" w:rsidRDefault="00A54BA5">
            <w:pPr>
              <w:pStyle w:val="Compact"/>
              <w:spacing w:line="360" w:lineRule="auto"/>
              <w:jc w:val="both"/>
              <w:rPr>
                <w:color w:val="36363D"/>
              </w:rPr>
            </w:pPr>
            <w:r>
              <w:rPr>
                <w:color w:val="36363D"/>
              </w:rPr>
              <w:t>23.7 ± 6.8</w:t>
            </w:r>
          </w:p>
        </w:tc>
        <w:tc>
          <w:tcPr>
            <w:tcW w:w="1665" w:type="dxa"/>
          </w:tcPr>
          <w:p w14:paraId="3356530C" w14:textId="77777777" w:rsidR="00F076A6" w:rsidRDefault="00A54BA5">
            <w:pPr>
              <w:pStyle w:val="Compact"/>
              <w:spacing w:line="360" w:lineRule="auto"/>
              <w:jc w:val="both"/>
              <w:rPr>
                <w:color w:val="36363D"/>
              </w:rPr>
            </w:pPr>
            <w:r>
              <w:rPr>
                <w:color w:val="36363D"/>
              </w:rPr>
              <w:t>18.4 ± 5.2</w:t>
            </w:r>
          </w:p>
        </w:tc>
        <w:tc>
          <w:tcPr>
            <w:tcW w:w="1904" w:type="dxa"/>
          </w:tcPr>
          <w:p w14:paraId="11BCAFD5" w14:textId="77777777" w:rsidR="00F076A6" w:rsidRDefault="00A54BA5">
            <w:pPr>
              <w:pStyle w:val="Compact"/>
              <w:spacing w:line="360" w:lineRule="auto"/>
              <w:jc w:val="both"/>
              <w:rPr>
                <w:color w:val="36363D"/>
              </w:rPr>
            </w:pPr>
            <w:r>
              <w:rPr>
                <w:color w:val="36363D"/>
              </w:rPr>
              <w:t>31.2 ± 9.1</w:t>
            </w:r>
          </w:p>
        </w:tc>
        <w:tc>
          <w:tcPr>
            <w:tcW w:w="981" w:type="dxa"/>
          </w:tcPr>
          <w:p w14:paraId="0EB238E7" w14:textId="77777777" w:rsidR="00F076A6" w:rsidRDefault="00A54BA5">
            <w:pPr>
              <w:pStyle w:val="Compact"/>
              <w:spacing w:line="360" w:lineRule="auto"/>
              <w:jc w:val="both"/>
              <w:rPr>
                <w:color w:val="36363D"/>
              </w:rPr>
            </w:pPr>
            <w:r>
              <w:rPr>
                <w:color w:val="36363D"/>
              </w:rPr>
              <w:t>&lt;0.001</w:t>
            </w:r>
          </w:p>
        </w:tc>
      </w:tr>
    </w:tbl>
    <w:p w14:paraId="65CC428B" w14:textId="77777777" w:rsidR="00F076A6" w:rsidRDefault="00A54BA5">
      <w:pPr>
        <w:pStyle w:val="BodyText"/>
        <w:spacing w:line="360" w:lineRule="auto"/>
        <w:jc w:val="both"/>
        <w:rPr>
          <w:color w:val="36363D"/>
        </w:rPr>
      </w:pPr>
      <w:r>
        <w:rPr>
          <w:color w:val="36363D"/>
        </w:rPr>
        <w:t>These results provided strong causal evidence that environmental microbiota directly influence host physiology and disease susceptibility.</w:t>
      </w:r>
    </w:p>
    <w:p w14:paraId="6821BFEF" w14:textId="77777777" w:rsidR="00F076A6" w:rsidRDefault="00A54BA5">
      <w:pPr>
        <w:pStyle w:val="Heading31"/>
        <w:spacing w:line="360" w:lineRule="auto"/>
        <w:jc w:val="both"/>
        <w:rPr>
          <w:color w:val="36363D"/>
        </w:rPr>
      </w:pPr>
      <w:bookmarkStart w:id="30" w:name="X90f7ee4c12510b8a2b30f1eb89c3b92d8816981"/>
      <w:bookmarkEnd w:id="29"/>
      <w:r>
        <w:rPr>
          <w:color w:val="36363D"/>
        </w:rPr>
        <w:t xml:space="preserve"> Specific Pollutant Effects</w:t>
      </w:r>
    </w:p>
    <w:p w14:paraId="71CD342C" w14:textId="77777777" w:rsidR="00F076A6" w:rsidRDefault="00A54BA5">
      <w:pPr>
        <w:pStyle w:val="FirstParagraph"/>
        <w:spacing w:line="360" w:lineRule="auto"/>
        <w:jc w:val="both"/>
        <w:rPr>
          <w:color w:val="36363D"/>
        </w:rPr>
      </w:pPr>
      <w:r>
        <w:rPr>
          <w:color w:val="36363D"/>
        </w:rPr>
        <w:t>Detailed analysis of specific environmental pollutants revealed distinct microbiome signatures for different classes of contaminants. Heavy metal exposure was particularly associated with enrichment of metal-resistant bacteria and depletion of sensitive beneficial species.</w:t>
      </w:r>
    </w:p>
    <w:p w14:paraId="685781F4" w14:textId="77777777" w:rsidR="00F076A6" w:rsidRDefault="00A54BA5">
      <w:pPr>
        <w:pStyle w:val="BodyText"/>
        <w:spacing w:line="360" w:lineRule="auto"/>
        <w:jc w:val="both"/>
        <w:rPr>
          <w:color w:val="36363D"/>
        </w:rPr>
      </w:pPr>
      <w:r>
        <w:rPr>
          <w:b/>
          <w:bCs/>
          <w:color w:val="36363D"/>
        </w:rPr>
        <w:t>Table 8: Pollutant-Specific Microbiome Effects</w:t>
      </w:r>
    </w:p>
    <w:tbl>
      <w:tblPr>
        <w:tblStyle w:val="Table"/>
        <w:tblW w:w="0" w:type="auto"/>
        <w:tblInd w:w="0" w:type="dxa"/>
        <w:tblLayout w:type="fixed"/>
        <w:tblLook w:val="04A0" w:firstRow="1" w:lastRow="0" w:firstColumn="1" w:lastColumn="0" w:noHBand="0" w:noVBand="1"/>
      </w:tblPr>
      <w:tblGrid>
        <w:gridCol w:w="1609"/>
        <w:gridCol w:w="1674"/>
        <w:gridCol w:w="1805"/>
        <w:gridCol w:w="1450"/>
        <w:gridCol w:w="1982"/>
      </w:tblGrid>
      <w:tr w:rsidR="00F076A6" w14:paraId="70425FD5" w14:textId="77777777" w:rsidTr="00F076A6">
        <w:trPr>
          <w:cnfStyle w:val="100000000000" w:firstRow="1" w:lastRow="0" w:firstColumn="0" w:lastColumn="0" w:oddVBand="0" w:evenVBand="0" w:oddHBand="0" w:evenHBand="0" w:firstRowFirstColumn="0" w:firstRowLastColumn="0" w:lastRowFirstColumn="0" w:lastRowLastColumn="0"/>
          <w:tblHeader/>
        </w:trPr>
        <w:tc>
          <w:tcPr>
            <w:tcW w:w="1609" w:type="dxa"/>
          </w:tcPr>
          <w:p w14:paraId="00216528" w14:textId="77777777" w:rsidR="00F076A6" w:rsidRDefault="00A54BA5">
            <w:pPr>
              <w:pStyle w:val="Compact"/>
              <w:spacing w:line="360" w:lineRule="auto"/>
              <w:jc w:val="both"/>
              <w:rPr>
                <w:color w:val="36363D"/>
              </w:rPr>
            </w:pPr>
            <w:r>
              <w:rPr>
                <w:color w:val="36363D"/>
              </w:rPr>
              <w:t>Pollutant Class</w:t>
            </w:r>
          </w:p>
        </w:tc>
        <w:tc>
          <w:tcPr>
            <w:tcW w:w="1674" w:type="dxa"/>
          </w:tcPr>
          <w:p w14:paraId="1C325825" w14:textId="77777777" w:rsidR="00F076A6" w:rsidRDefault="00A54BA5">
            <w:pPr>
              <w:pStyle w:val="Compact"/>
              <w:spacing w:line="360" w:lineRule="auto"/>
              <w:jc w:val="both"/>
              <w:rPr>
                <w:color w:val="36363D"/>
              </w:rPr>
            </w:pPr>
            <w:r>
              <w:rPr>
                <w:color w:val="36363D"/>
              </w:rPr>
              <w:t>Enriched Taxa</w:t>
            </w:r>
          </w:p>
        </w:tc>
        <w:tc>
          <w:tcPr>
            <w:tcW w:w="1805" w:type="dxa"/>
          </w:tcPr>
          <w:p w14:paraId="526C4827" w14:textId="77777777" w:rsidR="00F076A6" w:rsidRDefault="00A54BA5">
            <w:pPr>
              <w:pStyle w:val="Compact"/>
              <w:spacing w:line="360" w:lineRule="auto"/>
              <w:jc w:val="both"/>
              <w:rPr>
                <w:color w:val="36363D"/>
              </w:rPr>
            </w:pPr>
            <w:r>
              <w:rPr>
                <w:color w:val="36363D"/>
              </w:rPr>
              <w:t>Depleted Taxa</w:t>
            </w:r>
          </w:p>
        </w:tc>
        <w:tc>
          <w:tcPr>
            <w:tcW w:w="1450" w:type="dxa"/>
          </w:tcPr>
          <w:p w14:paraId="1F18D7B0" w14:textId="77777777" w:rsidR="00F076A6" w:rsidRDefault="00A54BA5">
            <w:pPr>
              <w:pStyle w:val="Compact"/>
              <w:spacing w:line="360" w:lineRule="auto"/>
              <w:jc w:val="both"/>
              <w:rPr>
                <w:color w:val="36363D"/>
              </w:rPr>
            </w:pPr>
            <w:r>
              <w:rPr>
                <w:color w:val="36363D"/>
              </w:rPr>
              <w:t>Functional Changes</w:t>
            </w:r>
          </w:p>
        </w:tc>
        <w:tc>
          <w:tcPr>
            <w:tcW w:w="1982" w:type="dxa"/>
          </w:tcPr>
          <w:p w14:paraId="17173469" w14:textId="77777777" w:rsidR="00F076A6" w:rsidRDefault="00A54BA5">
            <w:pPr>
              <w:pStyle w:val="Compact"/>
              <w:spacing w:line="360" w:lineRule="auto"/>
              <w:jc w:val="both"/>
              <w:rPr>
                <w:color w:val="36363D"/>
              </w:rPr>
            </w:pPr>
            <w:r>
              <w:rPr>
                <w:color w:val="36363D"/>
              </w:rPr>
              <w:t>Health Impact</w:t>
            </w:r>
          </w:p>
        </w:tc>
      </w:tr>
      <w:tr w:rsidR="00F076A6" w14:paraId="10B09352" w14:textId="77777777" w:rsidTr="00F076A6">
        <w:tc>
          <w:tcPr>
            <w:tcW w:w="1609" w:type="dxa"/>
          </w:tcPr>
          <w:p w14:paraId="3D63575B" w14:textId="77777777" w:rsidR="00F076A6" w:rsidRDefault="00A54BA5">
            <w:pPr>
              <w:pStyle w:val="Compact"/>
              <w:spacing w:line="360" w:lineRule="auto"/>
              <w:jc w:val="both"/>
              <w:rPr>
                <w:color w:val="36363D"/>
              </w:rPr>
            </w:pPr>
            <w:r>
              <w:rPr>
                <w:color w:val="36363D"/>
              </w:rPr>
              <w:t xml:space="preserve">Heavy metals </w:t>
            </w:r>
            <w:r>
              <w:rPr>
                <w:color w:val="36363D"/>
              </w:rPr>
              <w:lastRenderedPageBreak/>
              <w:t>(Pb, Hg, Cd)</w:t>
            </w:r>
          </w:p>
        </w:tc>
        <w:tc>
          <w:tcPr>
            <w:tcW w:w="1674" w:type="dxa"/>
          </w:tcPr>
          <w:p w14:paraId="271B03F8" w14:textId="77777777" w:rsidR="00F076A6" w:rsidRDefault="00A54BA5">
            <w:pPr>
              <w:pStyle w:val="Compact"/>
              <w:spacing w:line="360" w:lineRule="auto"/>
              <w:jc w:val="both"/>
              <w:rPr>
                <w:color w:val="36363D"/>
              </w:rPr>
            </w:pPr>
            <w:r>
              <w:rPr>
                <w:color w:val="36363D"/>
              </w:rPr>
              <w:lastRenderedPageBreak/>
              <w:t xml:space="preserve">Ralstonia, </w:t>
            </w:r>
            <w:r>
              <w:rPr>
                <w:color w:val="36363D"/>
              </w:rPr>
              <w:lastRenderedPageBreak/>
              <w:t>Cupriavidus</w:t>
            </w:r>
          </w:p>
        </w:tc>
        <w:tc>
          <w:tcPr>
            <w:tcW w:w="1805" w:type="dxa"/>
          </w:tcPr>
          <w:p w14:paraId="527406A0" w14:textId="77777777" w:rsidR="00F076A6" w:rsidRDefault="00A54BA5">
            <w:pPr>
              <w:pStyle w:val="Compact"/>
              <w:spacing w:line="360" w:lineRule="auto"/>
              <w:jc w:val="both"/>
              <w:rPr>
                <w:color w:val="36363D"/>
              </w:rPr>
            </w:pPr>
            <w:r>
              <w:rPr>
                <w:color w:val="36363D"/>
              </w:rPr>
              <w:lastRenderedPageBreak/>
              <w:t xml:space="preserve">Bifidobacterium, </w:t>
            </w:r>
            <w:r>
              <w:rPr>
                <w:color w:val="36363D"/>
              </w:rPr>
              <w:lastRenderedPageBreak/>
              <w:t>Lactobacillus</w:t>
            </w:r>
          </w:p>
        </w:tc>
        <w:tc>
          <w:tcPr>
            <w:tcW w:w="1450" w:type="dxa"/>
          </w:tcPr>
          <w:p w14:paraId="482F178B" w14:textId="77777777" w:rsidR="00F076A6" w:rsidRDefault="00A54BA5">
            <w:pPr>
              <w:pStyle w:val="Compact"/>
              <w:spacing w:line="360" w:lineRule="auto"/>
              <w:jc w:val="both"/>
              <w:rPr>
                <w:color w:val="36363D"/>
              </w:rPr>
            </w:pPr>
            <w:r>
              <w:rPr>
                <w:color w:val="36363D"/>
              </w:rPr>
              <w:lastRenderedPageBreak/>
              <w:t xml:space="preserve">Metal resistance </w:t>
            </w:r>
            <w:r>
              <w:rPr>
                <w:color w:val="36363D"/>
              </w:rPr>
              <w:lastRenderedPageBreak/>
              <w:t>genes ↑</w:t>
            </w:r>
          </w:p>
        </w:tc>
        <w:tc>
          <w:tcPr>
            <w:tcW w:w="1982" w:type="dxa"/>
          </w:tcPr>
          <w:p w14:paraId="51A70D28" w14:textId="77777777" w:rsidR="00F076A6" w:rsidRDefault="00A54BA5">
            <w:pPr>
              <w:pStyle w:val="Compact"/>
              <w:spacing w:line="360" w:lineRule="auto"/>
              <w:jc w:val="both"/>
              <w:rPr>
                <w:color w:val="36363D"/>
              </w:rPr>
            </w:pPr>
            <w:r>
              <w:rPr>
                <w:color w:val="36363D"/>
              </w:rPr>
              <w:lastRenderedPageBreak/>
              <w:t>Neuroinflammati</w:t>
            </w:r>
            <w:r>
              <w:rPr>
                <w:color w:val="36363D"/>
              </w:rPr>
              <w:lastRenderedPageBreak/>
              <w:t>on</w:t>
            </w:r>
          </w:p>
        </w:tc>
      </w:tr>
      <w:tr w:rsidR="00F076A6" w14:paraId="7DA4EE89" w14:textId="77777777" w:rsidTr="00F076A6">
        <w:tc>
          <w:tcPr>
            <w:tcW w:w="1609" w:type="dxa"/>
          </w:tcPr>
          <w:p w14:paraId="611077D2" w14:textId="77777777" w:rsidR="00F076A6" w:rsidRDefault="00A54BA5">
            <w:pPr>
              <w:pStyle w:val="Compact"/>
              <w:spacing w:line="360" w:lineRule="auto"/>
              <w:jc w:val="both"/>
              <w:rPr>
                <w:color w:val="36363D"/>
              </w:rPr>
            </w:pPr>
            <w:r>
              <w:rPr>
                <w:color w:val="36363D"/>
              </w:rPr>
              <w:lastRenderedPageBreak/>
              <w:t>Pesticides (OP, OC)</w:t>
            </w:r>
          </w:p>
        </w:tc>
        <w:tc>
          <w:tcPr>
            <w:tcW w:w="1674" w:type="dxa"/>
          </w:tcPr>
          <w:p w14:paraId="4FD1949F" w14:textId="77777777" w:rsidR="00F076A6" w:rsidRDefault="00A54BA5">
            <w:pPr>
              <w:pStyle w:val="Compact"/>
              <w:spacing w:line="360" w:lineRule="auto"/>
              <w:jc w:val="both"/>
              <w:rPr>
                <w:color w:val="36363D"/>
              </w:rPr>
            </w:pPr>
            <w:r>
              <w:rPr>
                <w:color w:val="36363D"/>
              </w:rPr>
              <w:t>Sphingomonas, Pseudomonas</w:t>
            </w:r>
          </w:p>
        </w:tc>
        <w:tc>
          <w:tcPr>
            <w:tcW w:w="1805" w:type="dxa"/>
          </w:tcPr>
          <w:p w14:paraId="363F6FBA" w14:textId="77777777" w:rsidR="00F076A6" w:rsidRDefault="00A54BA5">
            <w:pPr>
              <w:pStyle w:val="Compact"/>
              <w:spacing w:line="360" w:lineRule="auto"/>
              <w:jc w:val="both"/>
              <w:rPr>
                <w:color w:val="36363D"/>
              </w:rPr>
            </w:pPr>
            <w:r>
              <w:rPr>
                <w:color w:val="36363D"/>
              </w:rPr>
              <w:t>Faecalibacterium, Roseburia</w:t>
            </w:r>
          </w:p>
        </w:tc>
        <w:tc>
          <w:tcPr>
            <w:tcW w:w="1450" w:type="dxa"/>
          </w:tcPr>
          <w:p w14:paraId="3AAE15DA" w14:textId="77777777" w:rsidR="00F076A6" w:rsidRDefault="00A54BA5">
            <w:pPr>
              <w:pStyle w:val="Compact"/>
              <w:spacing w:line="360" w:lineRule="auto"/>
              <w:jc w:val="both"/>
              <w:rPr>
                <w:color w:val="36363D"/>
              </w:rPr>
            </w:pPr>
            <w:r>
              <w:rPr>
                <w:color w:val="36363D"/>
              </w:rPr>
              <w:t>Xenobiotic degradation ↑</w:t>
            </w:r>
          </w:p>
        </w:tc>
        <w:tc>
          <w:tcPr>
            <w:tcW w:w="1982" w:type="dxa"/>
          </w:tcPr>
          <w:p w14:paraId="43891985" w14:textId="77777777" w:rsidR="00F076A6" w:rsidRDefault="00A54BA5">
            <w:pPr>
              <w:pStyle w:val="Compact"/>
              <w:spacing w:line="360" w:lineRule="auto"/>
              <w:jc w:val="both"/>
              <w:rPr>
                <w:color w:val="36363D"/>
              </w:rPr>
            </w:pPr>
            <w:r>
              <w:rPr>
                <w:color w:val="36363D"/>
              </w:rPr>
              <w:t>Metabolic dysfunction</w:t>
            </w:r>
          </w:p>
        </w:tc>
      </w:tr>
      <w:tr w:rsidR="00F076A6" w14:paraId="1F01C782" w14:textId="77777777" w:rsidTr="00F076A6">
        <w:tc>
          <w:tcPr>
            <w:tcW w:w="1609" w:type="dxa"/>
          </w:tcPr>
          <w:p w14:paraId="3B5FFB33" w14:textId="77777777" w:rsidR="00F076A6" w:rsidRDefault="00A54BA5">
            <w:pPr>
              <w:pStyle w:val="Compact"/>
              <w:spacing w:line="360" w:lineRule="auto"/>
              <w:jc w:val="both"/>
              <w:rPr>
                <w:color w:val="36363D"/>
              </w:rPr>
            </w:pPr>
            <w:r>
              <w:rPr>
                <w:color w:val="36363D"/>
              </w:rPr>
              <w:t>Microplastics</w:t>
            </w:r>
          </w:p>
        </w:tc>
        <w:tc>
          <w:tcPr>
            <w:tcW w:w="1674" w:type="dxa"/>
          </w:tcPr>
          <w:p w14:paraId="6C34B010" w14:textId="77777777" w:rsidR="00F076A6" w:rsidRDefault="00A54BA5">
            <w:pPr>
              <w:pStyle w:val="Compact"/>
              <w:spacing w:line="360" w:lineRule="auto"/>
              <w:jc w:val="both"/>
              <w:rPr>
                <w:color w:val="36363D"/>
              </w:rPr>
            </w:pPr>
            <w:r>
              <w:rPr>
                <w:color w:val="36363D"/>
              </w:rPr>
              <w:t>Acinetobacter, Vibrio</w:t>
            </w:r>
          </w:p>
        </w:tc>
        <w:tc>
          <w:tcPr>
            <w:tcW w:w="1805" w:type="dxa"/>
          </w:tcPr>
          <w:p w14:paraId="3C533C2A" w14:textId="77777777" w:rsidR="00F076A6" w:rsidRDefault="00A54BA5">
            <w:pPr>
              <w:pStyle w:val="Compact"/>
              <w:spacing w:line="360" w:lineRule="auto"/>
              <w:jc w:val="both"/>
              <w:rPr>
                <w:color w:val="36363D"/>
              </w:rPr>
            </w:pPr>
            <w:r>
              <w:rPr>
                <w:color w:val="36363D"/>
              </w:rPr>
              <w:t>Akkermansia, Prevotella</w:t>
            </w:r>
          </w:p>
        </w:tc>
        <w:tc>
          <w:tcPr>
            <w:tcW w:w="1450" w:type="dxa"/>
          </w:tcPr>
          <w:p w14:paraId="6037F5E4" w14:textId="77777777" w:rsidR="00F076A6" w:rsidRDefault="00A54BA5">
            <w:pPr>
              <w:pStyle w:val="Compact"/>
              <w:spacing w:line="360" w:lineRule="auto"/>
              <w:jc w:val="both"/>
              <w:rPr>
                <w:color w:val="36363D"/>
              </w:rPr>
            </w:pPr>
            <w:r>
              <w:rPr>
                <w:color w:val="36363D"/>
              </w:rPr>
              <w:t>Biofilm formation ↑</w:t>
            </w:r>
          </w:p>
        </w:tc>
        <w:tc>
          <w:tcPr>
            <w:tcW w:w="1982" w:type="dxa"/>
          </w:tcPr>
          <w:p w14:paraId="5DE1157A" w14:textId="77777777" w:rsidR="00F076A6" w:rsidRDefault="00A54BA5">
            <w:pPr>
              <w:pStyle w:val="Compact"/>
              <w:spacing w:line="360" w:lineRule="auto"/>
              <w:jc w:val="both"/>
              <w:rPr>
                <w:color w:val="36363D"/>
              </w:rPr>
            </w:pPr>
            <w:r>
              <w:rPr>
                <w:color w:val="36363D"/>
              </w:rPr>
              <w:t>Gut barrier dysfunction</w:t>
            </w:r>
          </w:p>
        </w:tc>
      </w:tr>
      <w:tr w:rsidR="00F076A6" w14:paraId="1490F036" w14:textId="77777777" w:rsidTr="00F076A6">
        <w:tc>
          <w:tcPr>
            <w:tcW w:w="1609" w:type="dxa"/>
          </w:tcPr>
          <w:p w14:paraId="224F8611" w14:textId="77777777" w:rsidR="00F076A6" w:rsidRDefault="00A54BA5">
            <w:pPr>
              <w:pStyle w:val="Compact"/>
              <w:spacing w:line="360" w:lineRule="auto"/>
              <w:jc w:val="both"/>
              <w:rPr>
                <w:color w:val="36363D"/>
              </w:rPr>
            </w:pPr>
            <w:r>
              <w:rPr>
                <w:color w:val="36363D"/>
              </w:rPr>
              <w:t>Pharmaceutical residues</w:t>
            </w:r>
          </w:p>
        </w:tc>
        <w:tc>
          <w:tcPr>
            <w:tcW w:w="1674" w:type="dxa"/>
          </w:tcPr>
          <w:p w14:paraId="5FD70AB9" w14:textId="77777777" w:rsidR="00F076A6" w:rsidRDefault="00A54BA5">
            <w:pPr>
              <w:pStyle w:val="Compact"/>
              <w:spacing w:line="360" w:lineRule="auto"/>
              <w:jc w:val="both"/>
              <w:rPr>
                <w:color w:val="36363D"/>
              </w:rPr>
            </w:pPr>
            <w:r>
              <w:rPr>
                <w:color w:val="36363D"/>
              </w:rPr>
              <w:t>Enterococcus, Escherichia</w:t>
            </w:r>
          </w:p>
        </w:tc>
        <w:tc>
          <w:tcPr>
            <w:tcW w:w="1805" w:type="dxa"/>
          </w:tcPr>
          <w:p w14:paraId="57C33F29" w14:textId="77777777" w:rsidR="00F076A6" w:rsidRDefault="00A54BA5">
            <w:pPr>
              <w:pStyle w:val="Compact"/>
              <w:spacing w:line="360" w:lineRule="auto"/>
              <w:jc w:val="both"/>
              <w:rPr>
                <w:color w:val="36363D"/>
              </w:rPr>
            </w:pPr>
            <w:r>
              <w:rPr>
                <w:color w:val="36363D"/>
              </w:rPr>
              <w:t>Blautia, Coprococcus</w:t>
            </w:r>
          </w:p>
        </w:tc>
        <w:tc>
          <w:tcPr>
            <w:tcW w:w="1450" w:type="dxa"/>
          </w:tcPr>
          <w:p w14:paraId="785AED92" w14:textId="77777777" w:rsidR="00F076A6" w:rsidRDefault="00A54BA5">
            <w:pPr>
              <w:pStyle w:val="Compact"/>
              <w:spacing w:line="360" w:lineRule="auto"/>
              <w:jc w:val="both"/>
              <w:rPr>
                <w:color w:val="36363D"/>
              </w:rPr>
            </w:pPr>
            <w:r>
              <w:rPr>
                <w:color w:val="36363D"/>
              </w:rPr>
              <w:t>Antibiotic resistance ↑</w:t>
            </w:r>
          </w:p>
        </w:tc>
        <w:tc>
          <w:tcPr>
            <w:tcW w:w="1982" w:type="dxa"/>
          </w:tcPr>
          <w:p w14:paraId="5358E689" w14:textId="77777777" w:rsidR="00F076A6" w:rsidRDefault="00A54BA5">
            <w:pPr>
              <w:pStyle w:val="Compact"/>
              <w:spacing w:line="360" w:lineRule="auto"/>
              <w:jc w:val="both"/>
              <w:rPr>
                <w:color w:val="36363D"/>
              </w:rPr>
            </w:pPr>
            <w:r>
              <w:rPr>
                <w:color w:val="36363D"/>
              </w:rPr>
              <w:t>Immune dysregulation</w:t>
            </w:r>
          </w:p>
        </w:tc>
      </w:tr>
      <w:tr w:rsidR="00F076A6" w14:paraId="155B2FB8" w14:textId="77777777" w:rsidTr="00F076A6">
        <w:tc>
          <w:tcPr>
            <w:tcW w:w="1609" w:type="dxa"/>
          </w:tcPr>
          <w:p w14:paraId="175C0450" w14:textId="77777777" w:rsidR="00F076A6" w:rsidRDefault="00A54BA5">
            <w:pPr>
              <w:pStyle w:val="Compact"/>
              <w:spacing w:line="360" w:lineRule="auto"/>
              <w:jc w:val="both"/>
              <w:rPr>
                <w:color w:val="36363D"/>
              </w:rPr>
            </w:pPr>
            <w:r>
              <w:rPr>
                <w:color w:val="36363D"/>
              </w:rPr>
              <w:t>Air pollutants (PM2.5, NO₂)</w:t>
            </w:r>
          </w:p>
        </w:tc>
        <w:tc>
          <w:tcPr>
            <w:tcW w:w="1674" w:type="dxa"/>
          </w:tcPr>
          <w:p w14:paraId="401E297C" w14:textId="77777777" w:rsidR="00F076A6" w:rsidRDefault="00A54BA5">
            <w:pPr>
              <w:pStyle w:val="Compact"/>
              <w:spacing w:line="360" w:lineRule="auto"/>
              <w:jc w:val="both"/>
              <w:rPr>
                <w:color w:val="36363D"/>
              </w:rPr>
            </w:pPr>
            <w:r>
              <w:rPr>
                <w:color w:val="36363D"/>
              </w:rPr>
              <w:t>Bacteroides, Parabacteroides</w:t>
            </w:r>
          </w:p>
        </w:tc>
        <w:tc>
          <w:tcPr>
            <w:tcW w:w="1805" w:type="dxa"/>
          </w:tcPr>
          <w:p w14:paraId="602A4B44" w14:textId="77777777" w:rsidR="00F076A6" w:rsidRDefault="00A54BA5">
            <w:pPr>
              <w:pStyle w:val="Compact"/>
              <w:spacing w:line="360" w:lineRule="auto"/>
              <w:jc w:val="both"/>
              <w:rPr>
                <w:color w:val="36363D"/>
              </w:rPr>
            </w:pPr>
            <w:r>
              <w:rPr>
                <w:color w:val="36363D"/>
              </w:rPr>
              <w:t>Ruminococcus, Eubacterium</w:t>
            </w:r>
          </w:p>
        </w:tc>
        <w:tc>
          <w:tcPr>
            <w:tcW w:w="1450" w:type="dxa"/>
          </w:tcPr>
          <w:p w14:paraId="51966C02" w14:textId="77777777" w:rsidR="00F076A6" w:rsidRDefault="00A54BA5">
            <w:pPr>
              <w:pStyle w:val="Compact"/>
              <w:spacing w:line="360" w:lineRule="auto"/>
              <w:jc w:val="both"/>
              <w:rPr>
                <w:color w:val="36363D"/>
              </w:rPr>
            </w:pPr>
            <w:r>
              <w:rPr>
                <w:color w:val="36363D"/>
              </w:rPr>
              <w:t>Inflammatory pathways ↑</w:t>
            </w:r>
          </w:p>
        </w:tc>
        <w:tc>
          <w:tcPr>
            <w:tcW w:w="1982" w:type="dxa"/>
          </w:tcPr>
          <w:p w14:paraId="12BA6FAE" w14:textId="77777777" w:rsidR="00F076A6" w:rsidRDefault="00A54BA5">
            <w:pPr>
              <w:pStyle w:val="Compact"/>
              <w:spacing w:line="360" w:lineRule="auto"/>
              <w:jc w:val="both"/>
              <w:rPr>
                <w:color w:val="36363D"/>
              </w:rPr>
            </w:pPr>
            <w:r>
              <w:rPr>
                <w:color w:val="36363D"/>
              </w:rPr>
              <w:t>Cardiovascular disease</w:t>
            </w:r>
          </w:p>
        </w:tc>
      </w:tr>
    </w:tbl>
    <w:p w14:paraId="66426096" w14:textId="77777777" w:rsidR="00F076A6" w:rsidRDefault="00A54BA5">
      <w:pPr>
        <w:pStyle w:val="Heading21"/>
        <w:spacing w:line="360" w:lineRule="auto"/>
        <w:jc w:val="both"/>
        <w:rPr>
          <w:color w:val="36363D"/>
        </w:rPr>
      </w:pPr>
      <w:bookmarkStart w:id="31" w:name="X735612638e4e736e4693e459c258977262c0dfc"/>
      <w:bookmarkEnd w:id="21"/>
      <w:bookmarkEnd w:id="30"/>
      <w:r>
        <w:rPr>
          <w:color w:val="36363D"/>
        </w:rPr>
        <w:t>4. Discussion</w:t>
      </w:r>
    </w:p>
    <w:p w14:paraId="1B8043EB" w14:textId="77777777" w:rsidR="00F076A6" w:rsidRDefault="00A54BA5">
      <w:pPr>
        <w:pStyle w:val="Heading31"/>
        <w:spacing w:line="360" w:lineRule="auto"/>
        <w:jc w:val="both"/>
        <w:rPr>
          <w:color w:val="36363D"/>
        </w:rPr>
      </w:pPr>
      <w:bookmarkStart w:id="32" w:name="X41a91d7a0cc888021574069e42a6d04023e575e"/>
      <w:r>
        <w:rPr>
          <w:color w:val="36363D"/>
        </w:rPr>
        <w:t xml:space="preserve"> Environmental Microbiota as a Determinant of Gut Health</w:t>
      </w:r>
    </w:p>
    <w:p w14:paraId="22BA57A7" w14:textId="77777777" w:rsidR="00F076A6" w:rsidRDefault="00A54BA5">
      <w:pPr>
        <w:pStyle w:val="FirstParagraph"/>
        <w:spacing w:line="360" w:lineRule="auto"/>
        <w:jc w:val="both"/>
        <w:rPr>
          <w:color w:val="36363D"/>
        </w:rPr>
      </w:pPr>
      <w:r>
        <w:rPr>
          <w:color w:val="36363D"/>
        </w:rPr>
        <w:t>Our comprehensive multi-omics analysis provides compelling evidence that environmental microbiota serve as a major determinant of human gut microbiome composition and function. The observed patterns of reduced diversity and altered functional capacity in polluted environments support the growing body of evidence linking environmental degradation to microbiome-associated diseases.</w:t>
      </w:r>
    </w:p>
    <w:p w14:paraId="61C16DDE" w14:textId="77777777" w:rsidR="00F076A6" w:rsidRDefault="00A54BA5">
      <w:pPr>
        <w:pStyle w:val="BodyText"/>
        <w:spacing w:line="360" w:lineRule="auto"/>
        <w:jc w:val="both"/>
        <w:rPr>
          <w:color w:val="36363D"/>
        </w:rPr>
      </w:pPr>
      <w:r>
        <w:rPr>
          <w:color w:val="36363D"/>
        </w:rPr>
        <w:t xml:space="preserve">Image 2: </w:t>
      </w:r>
      <w:r>
        <w:rPr>
          <w:rFonts w:ascii="Calibri" w:eastAsia="SimSun" w:hAnsi="Calibri"/>
          <w:b/>
          <w:bCs/>
          <w:color w:val="36363D"/>
        </w:rPr>
        <w:t xml:space="preserve"> Environmental Microbiota as a Determinant of Gut Health</w:t>
      </w:r>
    </w:p>
    <w:p w14:paraId="54A0D36F" w14:textId="77777777" w:rsidR="00F076A6" w:rsidRDefault="00A54BA5">
      <w:pPr>
        <w:pStyle w:val="BodyText"/>
        <w:spacing w:line="360" w:lineRule="auto"/>
        <w:jc w:val="both"/>
        <w:rPr>
          <w:color w:val="36363D"/>
        </w:rPr>
      </w:pPr>
      <w:r>
        <w:rPr>
          <w:noProof/>
          <w:lang w:val="en-IN" w:eastAsia="en-IN"/>
        </w:rPr>
        <w:lastRenderedPageBreak/>
        <w:drawing>
          <wp:inline distT="0" distB="0" distL="0" distR="0" wp14:anchorId="51631683" wp14:editId="6163730F">
            <wp:extent cx="4874260" cy="2749550"/>
            <wp:effectExtent l="0" t="0" r="635" b="5080"/>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9" cstate="print"/>
                    <a:srcRect/>
                    <a:stretch/>
                  </pic:blipFill>
                  <pic:spPr>
                    <a:xfrm>
                      <a:off x="0" y="0"/>
                      <a:ext cx="4874260" cy="2749550"/>
                    </a:xfrm>
                    <a:prstGeom prst="rect">
                      <a:avLst/>
                    </a:prstGeom>
                  </pic:spPr>
                </pic:pic>
              </a:graphicData>
            </a:graphic>
          </wp:inline>
        </w:drawing>
      </w:r>
    </w:p>
    <w:p w14:paraId="38DC37D8" w14:textId="77777777" w:rsidR="00F076A6" w:rsidRDefault="00A54BA5">
      <w:pPr>
        <w:pStyle w:val="BodyText"/>
        <w:spacing w:line="360" w:lineRule="auto"/>
        <w:jc w:val="both"/>
        <w:rPr>
          <w:color w:val="36363D"/>
        </w:rPr>
      </w:pPr>
      <w:r>
        <w:rPr>
          <w:color w:val="36363D"/>
        </w:rPr>
        <w:t xml:space="preserve">The dramatic differences in beneficial metabolites, particularly short-chain fatty acids, between environmental groups highlight the functional consequences of microbiome alterations. Butyrate, a key anti-inflammatory metabolite produced by </w:t>
      </w:r>
      <w:r w:rsidR="002868D2">
        <w:rPr>
          <w:color w:val="36363D"/>
        </w:rPr>
        <w:t>fibre</w:t>
      </w:r>
      <w:r>
        <w:rPr>
          <w:color w:val="36363D"/>
        </w:rPr>
        <w:t>-fermenting bacteria, showed a 2.3-fold difference between rural and industrial populations. This difference alone could explain many of the observed health disparities, as butyrate deficiency is associated with increased intestinal permeability, inflammation, and metabolic dysfunction (Koh et al., 2016; Morrison &amp; Preston, 2016).</w:t>
      </w:r>
    </w:p>
    <w:p w14:paraId="7357303C" w14:textId="77777777" w:rsidR="00F076A6" w:rsidRDefault="00A54BA5">
      <w:pPr>
        <w:pStyle w:val="Heading31"/>
        <w:spacing w:line="360" w:lineRule="auto"/>
        <w:jc w:val="both"/>
        <w:rPr>
          <w:color w:val="36363D"/>
        </w:rPr>
      </w:pPr>
      <w:bookmarkStart w:id="33" w:name="X4a87ad00ee3ad0ac8b3648c3c67e914b2775282"/>
      <w:bookmarkEnd w:id="32"/>
      <w:r>
        <w:rPr>
          <w:color w:val="36363D"/>
        </w:rPr>
        <w:t>Mechanistic Insights into Environmental Disruption</w:t>
      </w:r>
    </w:p>
    <w:p w14:paraId="72E254AC" w14:textId="77777777" w:rsidR="00F076A6" w:rsidRDefault="00A54BA5">
      <w:pPr>
        <w:pStyle w:val="FirstParagraph"/>
        <w:spacing w:line="360" w:lineRule="auto"/>
        <w:jc w:val="both"/>
        <w:rPr>
          <w:color w:val="36363D"/>
        </w:rPr>
      </w:pPr>
      <w:r>
        <w:rPr>
          <w:color w:val="36363D"/>
        </w:rPr>
        <w:t xml:space="preserve">The enrichment of xenobiotic metabolism pathways and antibiotic resistance genes in </w:t>
      </w:r>
      <w:r w:rsidR="002868D2">
        <w:rPr>
          <w:color w:val="36363D"/>
        </w:rPr>
        <w:t xml:space="preserve">industrialised </w:t>
      </w:r>
      <w:r>
        <w:rPr>
          <w:color w:val="36363D"/>
        </w:rPr>
        <w:t>environments suggests that microbial communities are adapting to chemical stress at the expense of beneficial functions. This trade-off between stress tolerance and health-promoting activities represents a fundamental shift in microbial ecology that may have long-term consequences for human health.</w:t>
      </w:r>
    </w:p>
    <w:p w14:paraId="6FD73375" w14:textId="77777777" w:rsidR="00F076A6" w:rsidRDefault="00A54BA5">
      <w:pPr>
        <w:pStyle w:val="BodyText"/>
        <w:spacing w:line="360" w:lineRule="auto"/>
        <w:jc w:val="both"/>
        <w:rPr>
          <w:color w:val="36363D"/>
        </w:rPr>
      </w:pPr>
      <w:r>
        <w:rPr>
          <w:color w:val="36363D"/>
        </w:rPr>
        <w:t xml:space="preserve">The loss of keystone species such as Faecalibacterium prausnitzii and Akkermansia muciniphila appears to trigger cascade effects throughout the microbial network. These species are known to produce beneficial metabolites and maintain gut barrier integrity (Derrien et al., 2017; Lopez-Siles et al., 2017). </w:t>
      </w:r>
      <w:r>
        <w:rPr>
          <w:color w:val="36363D"/>
        </w:rPr>
        <w:lastRenderedPageBreak/>
        <w:t>Their depletion in polluted environments may explain the observed increases in intestinal permeability and systemic inflammation.</w:t>
      </w:r>
    </w:p>
    <w:p w14:paraId="2DDDFBC7" w14:textId="77777777" w:rsidR="00F076A6" w:rsidRDefault="00A54BA5">
      <w:pPr>
        <w:pStyle w:val="Heading31"/>
        <w:spacing w:line="360" w:lineRule="auto"/>
        <w:jc w:val="both"/>
        <w:rPr>
          <w:color w:val="36363D"/>
        </w:rPr>
      </w:pPr>
      <w:bookmarkStart w:id="34" w:name="Xb00d829051ed4629c7b52ba567322a0502c485f"/>
      <w:bookmarkEnd w:id="33"/>
      <w:r>
        <w:rPr>
          <w:color w:val="36363D"/>
        </w:rPr>
        <w:t xml:space="preserve"> Implications for Public Health</w:t>
      </w:r>
    </w:p>
    <w:p w14:paraId="3810C6E7" w14:textId="77777777" w:rsidR="00F076A6" w:rsidRDefault="00A54BA5">
      <w:pPr>
        <w:pStyle w:val="FirstParagraph"/>
        <w:spacing w:line="360" w:lineRule="auto"/>
        <w:jc w:val="both"/>
        <w:rPr>
          <w:color w:val="36363D"/>
        </w:rPr>
      </w:pPr>
      <w:r>
        <w:rPr>
          <w:color w:val="36363D"/>
        </w:rPr>
        <w:t>The findings have significant implications for public health policy and intervention strategies. The strong association between environmental quality and microbiome health suggests that environmental protection measures could have direct benefits for human health through microbiome preservation.</w:t>
      </w:r>
    </w:p>
    <w:p w14:paraId="76AB5BF0" w14:textId="77777777" w:rsidR="00F076A6" w:rsidRDefault="00A54BA5">
      <w:pPr>
        <w:pStyle w:val="BodyText"/>
        <w:spacing w:line="360" w:lineRule="auto"/>
        <w:jc w:val="both"/>
        <w:rPr>
          <w:color w:val="36363D"/>
        </w:rPr>
      </w:pPr>
      <w:r>
        <w:rPr>
          <w:color w:val="36363D"/>
        </w:rPr>
        <w:t>Urban planning strategies that increase green space access and reduce pollution exposure could serve as primary prevention measures for microbiome-associated diseases. The observed differences in microbiome diversity between urban and rural populations support initiatives to maintain biodiversity in built environments.</w:t>
      </w:r>
    </w:p>
    <w:p w14:paraId="26F30618" w14:textId="77777777" w:rsidR="00F076A6" w:rsidRDefault="00A54BA5">
      <w:pPr>
        <w:pStyle w:val="Heading31"/>
        <w:spacing w:line="360" w:lineRule="auto"/>
        <w:jc w:val="both"/>
        <w:rPr>
          <w:color w:val="36363D"/>
        </w:rPr>
      </w:pPr>
      <w:bookmarkStart w:id="35" w:name="X34fcbcc4c8a730efd894a92714b64503177bdf2"/>
      <w:bookmarkEnd w:id="34"/>
      <w:r>
        <w:rPr>
          <w:color w:val="36363D"/>
        </w:rPr>
        <w:t>Therapeutic Opportunities</w:t>
      </w:r>
    </w:p>
    <w:p w14:paraId="543D7C97" w14:textId="77777777" w:rsidR="00F076A6" w:rsidRDefault="00A54BA5">
      <w:pPr>
        <w:pStyle w:val="FirstParagraph"/>
        <w:spacing w:line="360" w:lineRule="auto"/>
        <w:jc w:val="both"/>
        <w:rPr>
          <w:color w:val="36363D"/>
        </w:rPr>
      </w:pPr>
      <w:r>
        <w:rPr>
          <w:color w:val="36363D"/>
        </w:rPr>
        <w:t>The identification of specific microbial and metabolic biomarkers associated with environmental exposures opens new avenues for therapeutic intervention. Targeted probiotic therapies could potentially restore beneficial species lost due to environmental stress. However, our data suggest that simply adding probiotics may not be sufficient if the underlying environmental pressures persist.</w:t>
      </w:r>
    </w:p>
    <w:p w14:paraId="55E19DB2" w14:textId="77777777" w:rsidR="00F076A6" w:rsidRDefault="00A54BA5">
      <w:pPr>
        <w:pStyle w:val="BodyText"/>
        <w:spacing w:line="360" w:lineRule="auto"/>
        <w:jc w:val="both"/>
        <w:rPr>
          <w:color w:val="36363D"/>
        </w:rPr>
      </w:pPr>
      <w:r>
        <w:rPr>
          <w:color w:val="36363D"/>
        </w:rPr>
        <w:t>F</w:t>
      </w:r>
      <w:r w:rsidR="002868D2">
        <w:rPr>
          <w:color w:val="36363D"/>
        </w:rPr>
        <w:t>a</w:t>
      </w:r>
      <w:r>
        <w:rPr>
          <w:color w:val="36363D"/>
        </w:rPr>
        <w:t>ecal microbiota transplantation (FMT) from donors with diverse, healthy microbiomes could represent a more comprehensive intervention. The success of our germ-free mouse experiments suggests that microbiome transfer can reverse some of the negative effects of environmental exposure.</w:t>
      </w:r>
    </w:p>
    <w:p w14:paraId="4B6BA4A2" w14:textId="77777777" w:rsidR="00F076A6" w:rsidRDefault="002868D2">
      <w:pPr>
        <w:pStyle w:val="Heading31"/>
        <w:spacing w:line="360" w:lineRule="auto"/>
        <w:jc w:val="both"/>
        <w:rPr>
          <w:color w:val="36363D"/>
        </w:rPr>
      </w:pPr>
      <w:bookmarkStart w:id="36" w:name="X6d1af66b8770784d254e1fa83eebbade29c6ce8"/>
      <w:bookmarkEnd w:id="35"/>
      <w:r>
        <w:rPr>
          <w:color w:val="36363D"/>
        </w:rPr>
        <w:t xml:space="preserve">Personalised </w:t>
      </w:r>
      <w:r w:rsidR="00A54BA5">
        <w:rPr>
          <w:color w:val="36363D"/>
        </w:rPr>
        <w:t>Medicine Applications</w:t>
      </w:r>
    </w:p>
    <w:p w14:paraId="7B97B510" w14:textId="77777777" w:rsidR="00F076A6" w:rsidRDefault="00A54BA5">
      <w:pPr>
        <w:pStyle w:val="FirstParagraph"/>
        <w:spacing w:line="360" w:lineRule="auto"/>
        <w:jc w:val="both"/>
        <w:rPr>
          <w:color w:val="36363D"/>
        </w:rPr>
      </w:pPr>
      <w:r>
        <w:rPr>
          <w:color w:val="36363D"/>
        </w:rPr>
        <w:t xml:space="preserve">The high accuracy of our predictive models (84%) suggests that microbiome profiling could be used to assess individual environmental exposure history and disease risk. This information could guide </w:t>
      </w:r>
      <w:r w:rsidR="002868D2">
        <w:rPr>
          <w:color w:val="36363D"/>
        </w:rPr>
        <w:t xml:space="preserve">personalised </w:t>
      </w:r>
      <w:r>
        <w:rPr>
          <w:color w:val="36363D"/>
        </w:rPr>
        <w:t>prevention strategies and early intervention programs.</w:t>
      </w:r>
    </w:p>
    <w:p w14:paraId="060A1B54" w14:textId="77777777" w:rsidR="00F076A6" w:rsidRDefault="00A54BA5">
      <w:pPr>
        <w:pStyle w:val="BodyText"/>
        <w:spacing w:line="360" w:lineRule="auto"/>
        <w:jc w:val="both"/>
        <w:rPr>
          <w:color w:val="36363D"/>
        </w:rPr>
      </w:pPr>
      <w:r>
        <w:rPr>
          <w:color w:val="36363D"/>
        </w:rPr>
        <w:lastRenderedPageBreak/>
        <w:t>The identification of functional pathways affected by specific pollutants could inform targeted therapeutic approaches. For example, individuals with high xenobiotic metabolism activity might benefit from enhanced antioxidant support, while those with antibiotic resistance enrichment might require alternative antimicrobial strategies.</w:t>
      </w:r>
    </w:p>
    <w:p w14:paraId="4CC72A60" w14:textId="77777777" w:rsidR="00F076A6" w:rsidRDefault="00A54BA5">
      <w:pPr>
        <w:pStyle w:val="Heading31"/>
        <w:spacing w:line="360" w:lineRule="auto"/>
        <w:jc w:val="both"/>
        <w:rPr>
          <w:color w:val="36363D"/>
        </w:rPr>
      </w:pPr>
      <w:bookmarkStart w:id="37" w:name="X6810486cdca2d0f78ad30675648184a4d68a313"/>
      <w:bookmarkEnd w:id="36"/>
      <w:r>
        <w:rPr>
          <w:color w:val="36363D"/>
        </w:rPr>
        <w:t>Limitations and Future Directions</w:t>
      </w:r>
    </w:p>
    <w:p w14:paraId="0FB17BF2" w14:textId="77777777" w:rsidR="00F076A6" w:rsidRDefault="00A54BA5">
      <w:pPr>
        <w:pStyle w:val="FirstParagraph"/>
        <w:spacing w:line="360" w:lineRule="auto"/>
        <w:jc w:val="both"/>
        <w:rPr>
          <w:color w:val="36363D"/>
        </w:rPr>
      </w:pPr>
      <w:r>
        <w:rPr>
          <w:color w:val="36363D"/>
        </w:rPr>
        <w:t>Several limitations should be acknowledged in interpreting these results. The cross-sectional design limits causal inference, although the germ-free mouse validation provides strong mechanistic support. Long-term longitudinal studies are needed to understand the temporal dynamics of environmental-microbiome interactions.</w:t>
      </w:r>
    </w:p>
    <w:p w14:paraId="26ECA8F0" w14:textId="77777777" w:rsidR="00F076A6" w:rsidRDefault="00A54BA5">
      <w:pPr>
        <w:pStyle w:val="BodyText"/>
        <w:spacing w:line="360" w:lineRule="auto"/>
        <w:jc w:val="both"/>
        <w:rPr>
          <w:color w:val="36363D"/>
        </w:rPr>
      </w:pPr>
      <w:r>
        <w:rPr>
          <w:color w:val="36363D"/>
        </w:rPr>
        <w:t>The focus on bacterial communities may have missed important contributions from fungi, viruses, and other microorganisms. Future studies should adopt a more comprehensive approach to microbiome analysis</w:t>
      </w:r>
      <w:r w:rsidR="002868D2">
        <w:rPr>
          <w:color w:val="36363D"/>
        </w:rPr>
        <w:t>,</w:t>
      </w:r>
      <w:r>
        <w:rPr>
          <w:color w:val="36363D"/>
        </w:rPr>
        <w:t xml:space="preserve"> including mycobiome and virome </w:t>
      </w:r>
      <w:r w:rsidR="002868D2">
        <w:rPr>
          <w:color w:val="36363D"/>
        </w:rPr>
        <w:t>characterisation</w:t>
      </w:r>
      <w:r>
        <w:rPr>
          <w:color w:val="36363D"/>
        </w:rPr>
        <w:t>.</w:t>
      </w:r>
    </w:p>
    <w:p w14:paraId="6019D79A" w14:textId="77777777" w:rsidR="00F076A6" w:rsidRDefault="00A54BA5">
      <w:pPr>
        <w:pStyle w:val="BodyText"/>
        <w:spacing w:line="360" w:lineRule="auto"/>
        <w:jc w:val="both"/>
        <w:rPr>
          <w:color w:val="36363D"/>
        </w:rPr>
      </w:pPr>
      <w:r>
        <w:rPr>
          <w:color w:val="36363D"/>
        </w:rPr>
        <w:t>The study was limited to adults, and the effects of environmental exposures on pediatric microbiome development may be different and potentially more severe. Early-life exposures are known to have lasting effects on microbiome assembly and immune development.</w:t>
      </w:r>
    </w:p>
    <w:p w14:paraId="5A7115AC" w14:textId="77777777" w:rsidR="00F076A6" w:rsidRDefault="00A54BA5">
      <w:pPr>
        <w:pStyle w:val="Heading31"/>
        <w:spacing w:line="360" w:lineRule="auto"/>
        <w:jc w:val="both"/>
        <w:rPr>
          <w:color w:val="36363D"/>
        </w:rPr>
      </w:pPr>
      <w:bookmarkStart w:id="38" w:name="X9fe1ace353530578eb394c1672e1416f0183192"/>
      <w:bookmarkEnd w:id="37"/>
      <w:r>
        <w:rPr>
          <w:color w:val="36363D"/>
        </w:rPr>
        <w:t xml:space="preserve"> Climate Change Implications</w:t>
      </w:r>
    </w:p>
    <w:p w14:paraId="3F594273" w14:textId="77777777" w:rsidR="00F076A6" w:rsidRDefault="00A54BA5">
      <w:pPr>
        <w:pStyle w:val="FirstParagraph"/>
        <w:spacing w:line="360" w:lineRule="auto"/>
        <w:jc w:val="both"/>
        <w:rPr>
          <w:color w:val="36363D"/>
        </w:rPr>
      </w:pPr>
      <w:r>
        <w:rPr>
          <w:color w:val="36363D"/>
        </w:rPr>
        <w:t>The documented effects of current environmental pollutants on gut microbiome health raise concerns about the potential impacts of climate change. Rising temperatures, changing precipitation patterns, and extreme weather events may further disrupt environmental microbial communities and human exposure patterns.</w:t>
      </w:r>
    </w:p>
    <w:p w14:paraId="5E56FCE2" w14:textId="77777777" w:rsidR="00F076A6" w:rsidRDefault="00A54BA5">
      <w:pPr>
        <w:pStyle w:val="BodyText"/>
        <w:spacing w:line="360" w:lineRule="auto"/>
        <w:jc w:val="both"/>
        <w:rPr>
          <w:color w:val="36363D"/>
        </w:rPr>
      </w:pPr>
      <w:r>
        <w:rPr>
          <w:color w:val="36363D"/>
        </w:rPr>
        <w:t>Ocean acidification and marine ecosystem disruption could affect populations that rely heavily on seafood, while changes in agricultural systems may alter dietary microbiome exposure. These indirect effects of climate change on human health through microbiome disruption deserve increased attention in climate health research.</w:t>
      </w:r>
    </w:p>
    <w:p w14:paraId="4A305267" w14:textId="77777777" w:rsidR="00F076A6" w:rsidRDefault="00A54BA5">
      <w:pPr>
        <w:pStyle w:val="Heading31"/>
        <w:spacing w:line="360" w:lineRule="auto"/>
        <w:jc w:val="both"/>
        <w:rPr>
          <w:color w:val="36363D"/>
        </w:rPr>
      </w:pPr>
      <w:bookmarkStart w:id="39" w:name="X402ecb141b0bbfa02a9a221d62871e416deedb4"/>
      <w:bookmarkEnd w:id="38"/>
      <w:r>
        <w:rPr>
          <w:color w:val="36363D"/>
        </w:rPr>
        <w:lastRenderedPageBreak/>
        <w:t>Regulatory Considerations</w:t>
      </w:r>
    </w:p>
    <w:p w14:paraId="3AD60D43" w14:textId="77777777" w:rsidR="00F076A6" w:rsidRDefault="00A54BA5">
      <w:pPr>
        <w:pStyle w:val="FirstParagraph"/>
        <w:spacing w:line="360" w:lineRule="auto"/>
        <w:jc w:val="both"/>
        <w:rPr>
          <w:color w:val="36363D"/>
        </w:rPr>
      </w:pPr>
      <w:r>
        <w:rPr>
          <w:color w:val="36363D"/>
        </w:rPr>
        <w:t>The evidence for microbiome disruption by environmental pollutants supports the need for regulatory frameworks that consider microbial health impacts in environmental risk assessment. Current toxicological testing rarely includes microbiome endpoints, despite growing evidence of their importance for human health.</w:t>
      </w:r>
    </w:p>
    <w:p w14:paraId="40C7A6FF" w14:textId="77777777" w:rsidR="00F076A6" w:rsidRDefault="00A54BA5">
      <w:pPr>
        <w:pStyle w:val="BodyText"/>
        <w:spacing w:line="360" w:lineRule="auto"/>
        <w:jc w:val="both"/>
        <w:rPr>
          <w:color w:val="36363D"/>
        </w:rPr>
      </w:pPr>
      <w:r>
        <w:rPr>
          <w:color w:val="36363D"/>
        </w:rPr>
        <w:t>The concept of “microbiome-safe” levels of environmental contaminants should be explored, potentially leading to more stringent environmental standards. The cumulative effects of multiple pollutants on microbiome health also need consideration in regulatory approaches.</w:t>
      </w:r>
    </w:p>
    <w:p w14:paraId="465E4E71" w14:textId="77777777" w:rsidR="00F076A6" w:rsidRDefault="00A54BA5">
      <w:pPr>
        <w:pStyle w:val="Heading21"/>
        <w:spacing w:line="360" w:lineRule="auto"/>
        <w:jc w:val="both"/>
        <w:rPr>
          <w:color w:val="36363D"/>
        </w:rPr>
      </w:pPr>
      <w:bookmarkStart w:id="40" w:name="X56025c6d9dbf7520f7a7df11f905cdd09f46e4a"/>
      <w:bookmarkEnd w:id="31"/>
      <w:bookmarkEnd w:id="39"/>
      <w:r>
        <w:rPr>
          <w:color w:val="36363D"/>
        </w:rPr>
        <w:t>5.</w:t>
      </w:r>
      <w:r w:rsidR="002868D2">
        <w:rPr>
          <w:color w:val="36363D"/>
        </w:rPr>
        <w:t xml:space="preserve"> </w:t>
      </w:r>
      <w:r>
        <w:rPr>
          <w:color w:val="36363D"/>
        </w:rPr>
        <w:t>Conclusions</w:t>
      </w:r>
    </w:p>
    <w:p w14:paraId="2AF41BAB" w14:textId="77777777" w:rsidR="00F076A6" w:rsidRDefault="00A54BA5">
      <w:pPr>
        <w:pStyle w:val="FirstParagraph"/>
        <w:spacing w:line="360" w:lineRule="auto"/>
        <w:jc w:val="both"/>
        <w:rPr>
          <w:color w:val="36363D"/>
        </w:rPr>
      </w:pPr>
      <w:r>
        <w:rPr>
          <w:color w:val="36363D"/>
        </w:rPr>
        <w:t>This comprehensive multi-omics analysis demonstrates that environmental microbiota play a crucial role in shaping human gut microbiome composition, function, and associated health outcomes. Our findings reveal that environmental pollutants, lifestyle factors, and geographic location significantly influence microbial diversity, metabolic capacity, and immune interactions.</w:t>
      </w:r>
    </w:p>
    <w:p w14:paraId="71D6480F" w14:textId="77777777" w:rsidR="00F076A6" w:rsidRDefault="00A54BA5">
      <w:pPr>
        <w:pStyle w:val="BodyText"/>
        <w:spacing w:line="360" w:lineRule="auto"/>
        <w:jc w:val="both"/>
        <w:rPr>
          <w:color w:val="36363D"/>
        </w:rPr>
      </w:pPr>
      <w:r>
        <w:rPr>
          <w:color w:val="36363D"/>
        </w:rPr>
        <w:t>Key findings include:</w:t>
      </w:r>
    </w:p>
    <w:p w14:paraId="44975897" w14:textId="77777777" w:rsidR="00F076A6" w:rsidRDefault="00A54BA5">
      <w:pPr>
        <w:numPr>
          <w:ilvl w:val="0"/>
          <w:numId w:val="1"/>
        </w:numPr>
        <w:spacing w:line="360" w:lineRule="auto"/>
        <w:jc w:val="both"/>
        <w:rPr>
          <w:color w:val="36363D"/>
        </w:rPr>
      </w:pPr>
      <w:r>
        <w:rPr>
          <w:b/>
          <w:bCs/>
          <w:color w:val="36363D"/>
        </w:rPr>
        <w:t>Diversity Loss</w:t>
      </w:r>
      <w:r>
        <w:rPr>
          <w:color w:val="36363D"/>
        </w:rPr>
        <w:t>: Industrial and urban environments are associated with significant reductions in gut microbiome diversity, with corresponding losses in beneficial microbial functions and metabolites.</w:t>
      </w:r>
    </w:p>
    <w:p w14:paraId="7D2E7D7B" w14:textId="77777777" w:rsidR="00F076A6" w:rsidRDefault="00A54BA5">
      <w:pPr>
        <w:numPr>
          <w:ilvl w:val="0"/>
          <w:numId w:val="1"/>
        </w:numPr>
        <w:spacing w:line="360" w:lineRule="auto"/>
        <w:jc w:val="both"/>
        <w:rPr>
          <w:color w:val="36363D"/>
        </w:rPr>
      </w:pPr>
      <w:r>
        <w:rPr>
          <w:b/>
          <w:bCs/>
          <w:color w:val="36363D"/>
        </w:rPr>
        <w:t>Functional Adaptation</w:t>
      </w:r>
      <w:r>
        <w:rPr>
          <w:color w:val="36363D"/>
        </w:rPr>
        <w:t>: Microbiomes in polluted environments show increased xenobiotic metabolism and stress response pathways, but reduced capacity for producing health-promoting metabolites like short-chain fatty acids.</w:t>
      </w:r>
    </w:p>
    <w:p w14:paraId="7B90D5B6" w14:textId="77777777" w:rsidR="00F076A6" w:rsidRDefault="00A54BA5">
      <w:pPr>
        <w:numPr>
          <w:ilvl w:val="0"/>
          <w:numId w:val="1"/>
        </w:numPr>
        <w:spacing w:line="360" w:lineRule="auto"/>
        <w:jc w:val="both"/>
        <w:rPr>
          <w:color w:val="36363D"/>
        </w:rPr>
      </w:pPr>
      <w:r>
        <w:rPr>
          <w:b/>
          <w:bCs/>
          <w:color w:val="36363D"/>
        </w:rPr>
        <w:t>Immune Consequences</w:t>
      </w:r>
      <w:r>
        <w:rPr>
          <w:color w:val="36363D"/>
        </w:rPr>
        <w:t>: Environmental microbiome disruption is associated with chronic low-grade inflammation, compromised mucosal immunity, and altered immune cell populations.</w:t>
      </w:r>
    </w:p>
    <w:p w14:paraId="7E639509" w14:textId="77777777" w:rsidR="00F076A6" w:rsidRDefault="00A54BA5">
      <w:pPr>
        <w:numPr>
          <w:ilvl w:val="0"/>
          <w:numId w:val="1"/>
        </w:numPr>
        <w:spacing w:line="360" w:lineRule="auto"/>
        <w:jc w:val="both"/>
        <w:rPr>
          <w:color w:val="36363D"/>
        </w:rPr>
      </w:pPr>
      <w:r>
        <w:rPr>
          <w:b/>
          <w:bCs/>
          <w:color w:val="36363D"/>
        </w:rPr>
        <w:lastRenderedPageBreak/>
        <w:t>Causal Relationships</w:t>
      </w:r>
      <w:r>
        <w:rPr>
          <w:color w:val="36363D"/>
        </w:rPr>
        <w:t>: Germ-free mouse experiments confirm that environmental microbiota directly influences host metabolism, gut barrier function, and inflammatory status.</w:t>
      </w:r>
    </w:p>
    <w:p w14:paraId="4D596617" w14:textId="77777777" w:rsidR="00F076A6" w:rsidRDefault="00A54BA5">
      <w:pPr>
        <w:numPr>
          <w:ilvl w:val="0"/>
          <w:numId w:val="1"/>
        </w:numPr>
        <w:spacing w:line="360" w:lineRule="auto"/>
        <w:jc w:val="both"/>
        <w:rPr>
          <w:color w:val="36363D"/>
        </w:rPr>
      </w:pPr>
      <w:r>
        <w:rPr>
          <w:b/>
          <w:bCs/>
          <w:color w:val="36363D"/>
        </w:rPr>
        <w:t>Predictive Potential</w:t>
      </w:r>
      <w:r>
        <w:rPr>
          <w:color w:val="36363D"/>
        </w:rPr>
        <w:t xml:space="preserve">: Multi-omics integration enables accurate prediction of environmental exposure history and health outcomes, supporting </w:t>
      </w:r>
      <w:r w:rsidR="002868D2">
        <w:rPr>
          <w:color w:val="36363D"/>
        </w:rPr>
        <w:t xml:space="preserve">personalised </w:t>
      </w:r>
      <w:r>
        <w:rPr>
          <w:color w:val="36363D"/>
        </w:rPr>
        <w:t>medicine approaches.</w:t>
      </w:r>
    </w:p>
    <w:p w14:paraId="79AE68E1" w14:textId="77777777" w:rsidR="00F076A6" w:rsidRDefault="00A54BA5">
      <w:pPr>
        <w:pStyle w:val="FirstParagraph"/>
        <w:spacing w:line="360" w:lineRule="auto"/>
        <w:jc w:val="both"/>
        <w:rPr>
          <w:color w:val="36363D"/>
        </w:rPr>
      </w:pPr>
      <w:r>
        <w:rPr>
          <w:color w:val="36363D"/>
        </w:rPr>
        <w:t>The integration of microbiome science with environmental health research opens new opportunities for both understanding disease mechanisms and developing therapeutic interventions. Environmental microbiota management represents a promising target for preventing and treating microbiome-associated diseases.</w:t>
      </w:r>
    </w:p>
    <w:p w14:paraId="32FA687D" w14:textId="77777777" w:rsidR="00F076A6" w:rsidRDefault="00A54BA5">
      <w:pPr>
        <w:pStyle w:val="BodyText"/>
        <w:spacing w:line="360" w:lineRule="auto"/>
        <w:jc w:val="both"/>
        <w:rPr>
          <w:color w:val="36363D"/>
        </w:rPr>
      </w:pPr>
      <w:r>
        <w:rPr>
          <w:color w:val="36363D"/>
        </w:rPr>
        <w:t>These findings underscore the need for interdisciplinary approaches that consider environmental quality as a determinant of human health through microbiome-mediated pathways. Public health strategies should incorporate microbiome preservation as a component of environmental protection efforts.</w:t>
      </w:r>
    </w:p>
    <w:p w14:paraId="4B875ADA" w14:textId="77777777" w:rsidR="00F076A6" w:rsidRDefault="00A54BA5">
      <w:pPr>
        <w:pStyle w:val="BodyText"/>
        <w:spacing w:line="360" w:lineRule="auto"/>
        <w:jc w:val="both"/>
        <w:rPr>
          <w:color w:val="36363D"/>
        </w:rPr>
      </w:pPr>
      <w:r>
        <w:rPr>
          <w:color w:val="36363D"/>
        </w:rPr>
        <w:t>Future research should focus on longitudinal studies to establish temporal relationships, expansion to pediatric populations, inclusion of non-bacterial microorganisms, and development of microbiome-targeted therapeutic interventions. The growing recognition of environmental-microbiome-health connections will likely drive innovation in both environmental policy and precision medicine.</w:t>
      </w:r>
    </w:p>
    <w:p w14:paraId="22B53610" w14:textId="77777777" w:rsidR="00F076A6" w:rsidRDefault="00A54BA5">
      <w:pPr>
        <w:pStyle w:val="BodyText"/>
        <w:spacing w:line="360" w:lineRule="auto"/>
        <w:jc w:val="both"/>
        <w:rPr>
          <w:color w:val="36363D"/>
        </w:rPr>
      </w:pPr>
      <w:r>
        <w:rPr>
          <w:color w:val="36363D"/>
        </w:rPr>
        <w:t xml:space="preserve">As we face increasing environmental challenges from </w:t>
      </w:r>
      <w:r w:rsidR="002868D2">
        <w:rPr>
          <w:color w:val="36363D"/>
        </w:rPr>
        <w:t>industrialisation</w:t>
      </w:r>
      <w:r>
        <w:rPr>
          <w:color w:val="36363D"/>
        </w:rPr>
        <w:t>, urbanization, and climate change, protecting and restoring environmental microbiota may be essential for maintaining human health in the 21st century. The microbiome represents both a sentinel of environmental health and a potential pathway for therapeutic intervention in an increasingly polluted world.</w:t>
      </w:r>
    </w:p>
    <w:p w14:paraId="5B5A1CA2" w14:textId="7732ED9F" w:rsidR="00090E9F" w:rsidRPr="00090E9F" w:rsidRDefault="00090E9F" w:rsidP="00090E9F">
      <w:pPr>
        <w:spacing w:before="180" w:after="180" w:line="360" w:lineRule="auto"/>
        <w:jc w:val="both"/>
        <w:rPr>
          <w:b/>
          <w:bCs/>
          <w:color w:val="36363D"/>
        </w:rPr>
      </w:pPr>
      <w:r w:rsidRPr="00090E9F">
        <w:rPr>
          <w:b/>
          <w:bCs/>
          <w:color w:val="36363D"/>
        </w:rPr>
        <w:t>Ethical approval and consent:</w:t>
      </w:r>
    </w:p>
    <w:p w14:paraId="7AD1DB7B" w14:textId="5C69A134" w:rsidR="00090E9F" w:rsidRPr="00090E9F" w:rsidRDefault="00090E9F" w:rsidP="00090E9F">
      <w:pPr>
        <w:spacing w:before="180" w:after="180" w:line="360" w:lineRule="auto"/>
        <w:jc w:val="both"/>
        <w:rPr>
          <w:color w:val="36363D"/>
        </w:rPr>
      </w:pPr>
      <w:r w:rsidRPr="00090E9F">
        <w:rPr>
          <w:color w:val="36363D"/>
        </w:rPr>
        <w:t xml:space="preserve">Ethical approval was obtained from institutional review boards at all participating sites, and written informed consent was obtained from all </w:t>
      </w:r>
      <w:r w:rsidRPr="00090E9F">
        <w:rPr>
          <w:color w:val="36363D"/>
        </w:rPr>
        <w:lastRenderedPageBreak/>
        <w:t>participants. The study was conducted in accordance with the Declaration of Helsinki and registered with the International Clinical Trials Registry Platform.</w:t>
      </w:r>
    </w:p>
    <w:p w14:paraId="1CE7C7A0" w14:textId="77777777" w:rsidR="00F076A6" w:rsidRDefault="00F076A6">
      <w:pPr>
        <w:pStyle w:val="BodyText"/>
        <w:spacing w:line="360" w:lineRule="auto"/>
        <w:jc w:val="both"/>
        <w:rPr>
          <w:color w:val="36363D"/>
        </w:rPr>
      </w:pPr>
    </w:p>
    <w:p w14:paraId="02E2075E" w14:textId="77777777" w:rsidR="00F076A6" w:rsidRDefault="00A54BA5">
      <w:pPr>
        <w:rPr>
          <w:rFonts w:ascii="Calibri" w:eastAsia="Calibri" w:hAnsi="Calibri" w:cs="Times New Roman"/>
          <w:kern w:val="2"/>
          <w:highlight w:val="yellow"/>
        </w:rPr>
      </w:pPr>
      <w:bookmarkStart w:id="41" w:name="_Hlk204003461"/>
      <w:bookmarkStart w:id="42" w:name="_Hlk209007716"/>
      <w:r>
        <w:rPr>
          <w:rFonts w:ascii="Calibri" w:eastAsia="Calibri" w:hAnsi="Calibri" w:cs="Times New Roman"/>
          <w:kern w:val="2"/>
          <w:highlight w:val="yellow"/>
        </w:rPr>
        <w:t>Disclaimer (Artificial intelligence)</w:t>
      </w:r>
    </w:p>
    <w:p w14:paraId="34414424" w14:textId="77777777" w:rsidR="00F076A6" w:rsidRDefault="00A54BA5">
      <w:pPr>
        <w:rPr>
          <w:rFonts w:ascii="Calibri" w:eastAsia="Calibri" w:hAnsi="Calibri" w:cs="Times New Roman"/>
          <w:kern w:val="2"/>
          <w:highlight w:val="yellow"/>
        </w:rPr>
      </w:pPr>
      <w:r>
        <w:rPr>
          <w:rFonts w:ascii="Calibri" w:eastAsia="Calibri" w:hAnsi="Calibri" w:cs="Times New Roman"/>
          <w:kern w:val="2"/>
          <w:highlight w:val="yellow"/>
        </w:rPr>
        <w:t>Option 1:</w:t>
      </w:r>
    </w:p>
    <w:p w14:paraId="46DFEC40" w14:textId="77777777" w:rsidR="00F076A6" w:rsidRDefault="00A54BA5">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1777358F" w14:textId="77777777" w:rsidR="00F076A6" w:rsidRDefault="00A54BA5">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14:paraId="534E6E6A" w14:textId="77777777" w:rsidR="00F076A6" w:rsidRDefault="00A54BA5">
      <w:pPr>
        <w:rPr>
          <w:rFonts w:ascii="Calibri" w:eastAsia="Calibri" w:hAnsi="Calibri" w:cs="Times New Roman"/>
          <w:kern w:val="2"/>
          <w:highlight w:val="yellow"/>
        </w:rPr>
      </w:pPr>
      <w:r>
        <w:rPr>
          <w:rFonts w:ascii="Calibri" w:eastAsia="Calibri" w:hAnsi="Calibri" w:cs="Times New Roman"/>
          <w:kern w:val="2"/>
          <w:highlight w:val="yellow"/>
        </w:rPr>
        <w:t>Author(s) hereby declare that generativ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2EEAC95" w14:textId="77777777" w:rsidR="00F076A6" w:rsidRDefault="00A54BA5">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195F7BF7" w14:textId="77777777" w:rsidR="00F076A6" w:rsidRDefault="00A54BA5">
      <w:pPr>
        <w:rPr>
          <w:rFonts w:ascii="Calibri" w:eastAsia="Calibri" w:hAnsi="Calibri" w:cs="Times New Roman"/>
          <w:kern w:val="2"/>
          <w:highlight w:val="yellow"/>
        </w:rPr>
      </w:pPr>
      <w:r>
        <w:rPr>
          <w:rFonts w:ascii="Calibri" w:eastAsia="Calibri" w:hAnsi="Calibri" w:cs="Times New Roman"/>
          <w:kern w:val="2"/>
          <w:highlight w:val="yellow"/>
        </w:rPr>
        <w:t>1.</w:t>
      </w:r>
    </w:p>
    <w:p w14:paraId="7F23702C" w14:textId="77777777" w:rsidR="00F076A6" w:rsidRDefault="00A54BA5">
      <w:pPr>
        <w:rPr>
          <w:rFonts w:ascii="Calibri" w:eastAsia="Calibri" w:hAnsi="Calibri" w:cs="Times New Roman"/>
          <w:kern w:val="2"/>
          <w:highlight w:val="yellow"/>
        </w:rPr>
      </w:pPr>
      <w:r>
        <w:rPr>
          <w:rFonts w:ascii="Calibri" w:eastAsia="Calibri" w:hAnsi="Calibri" w:cs="Times New Roman"/>
          <w:kern w:val="2"/>
          <w:highlight w:val="yellow"/>
        </w:rPr>
        <w:t>2.</w:t>
      </w:r>
    </w:p>
    <w:p w14:paraId="0D9336BB" w14:textId="77777777" w:rsidR="00F076A6" w:rsidRDefault="00A54BA5">
      <w:pPr>
        <w:rPr>
          <w:rFonts w:ascii="Calibri" w:eastAsia="Calibri" w:hAnsi="Calibri" w:cs="Times New Roman"/>
          <w:kern w:val="2"/>
          <w:highlight w:val="yellow"/>
        </w:rPr>
      </w:pPr>
      <w:r>
        <w:rPr>
          <w:rFonts w:ascii="Calibri" w:eastAsia="Calibri" w:hAnsi="Calibri" w:cs="Times New Roman"/>
          <w:kern w:val="2"/>
          <w:highlight w:val="yellow"/>
        </w:rPr>
        <w:t>3.</w:t>
      </w:r>
      <w:bookmarkEnd w:id="41"/>
    </w:p>
    <w:bookmarkEnd w:id="42"/>
    <w:p w14:paraId="63A76964" w14:textId="77777777" w:rsidR="00F076A6" w:rsidRDefault="00F076A6">
      <w:pPr>
        <w:pStyle w:val="BodyText"/>
        <w:spacing w:line="360" w:lineRule="auto"/>
        <w:jc w:val="both"/>
        <w:rPr>
          <w:color w:val="36363D"/>
        </w:rPr>
      </w:pPr>
    </w:p>
    <w:p w14:paraId="288309C8" w14:textId="77777777" w:rsidR="00F076A6" w:rsidRDefault="00A54BA5">
      <w:pPr>
        <w:pStyle w:val="Heading21"/>
        <w:spacing w:line="360" w:lineRule="auto"/>
        <w:jc w:val="both"/>
        <w:rPr>
          <w:color w:val="36363D"/>
        </w:rPr>
      </w:pPr>
      <w:bookmarkStart w:id="43" w:name="references"/>
      <w:bookmarkEnd w:id="40"/>
      <w:r>
        <w:rPr>
          <w:color w:val="36363D"/>
        </w:rPr>
        <w:t>References</w:t>
      </w:r>
    </w:p>
    <w:p w14:paraId="461AF913" w14:textId="77777777" w:rsidR="00F076A6" w:rsidRDefault="00A54BA5">
      <w:pPr>
        <w:pStyle w:val="FirstParagraph"/>
        <w:spacing w:line="360" w:lineRule="auto"/>
        <w:jc w:val="both"/>
        <w:rPr>
          <w:color w:val="36363D"/>
        </w:rPr>
      </w:pPr>
      <w:r>
        <w:rPr>
          <w:color w:val="36363D"/>
        </w:rPr>
        <w:t>Arumugam, M., Raes, J., Pelletier, E., et al. (2011). Enterotypes of the human gut microbiome. Nature, 473(7346), 174-180.</w:t>
      </w:r>
    </w:p>
    <w:p w14:paraId="13D22951" w14:textId="77777777" w:rsidR="00F076A6" w:rsidRDefault="00A54BA5">
      <w:pPr>
        <w:pStyle w:val="BodyText"/>
        <w:spacing w:line="360" w:lineRule="auto"/>
        <w:jc w:val="both"/>
        <w:rPr>
          <w:color w:val="36363D"/>
        </w:rPr>
      </w:pPr>
      <w:r>
        <w:rPr>
          <w:color w:val="36363D"/>
        </w:rPr>
        <w:t>Azad, M. B., Konya, T., Maughan, H., et al. (2013). Gut microbiota of healthy Canadian infants: profiles by mode of delivery and infant diet at 4 months. CMAJ, 185(5), 385-394.</w:t>
      </w:r>
    </w:p>
    <w:p w14:paraId="0087D2FC" w14:textId="77777777" w:rsidR="00F076A6" w:rsidRDefault="00A54BA5">
      <w:pPr>
        <w:pStyle w:val="BodyText"/>
        <w:spacing w:line="360" w:lineRule="auto"/>
        <w:jc w:val="both"/>
        <w:rPr>
          <w:color w:val="36363D"/>
        </w:rPr>
      </w:pPr>
      <w:r>
        <w:rPr>
          <w:color w:val="36363D"/>
        </w:rPr>
        <w:t>Bäckhed, F., Roswall, J., Peng, Y., et al. (2015). Dynamics and stabilization of the human gut microbiome during the first year of life. Cell Host &amp; Microbe, 17(5), 690-703.</w:t>
      </w:r>
    </w:p>
    <w:p w14:paraId="75B5B6C1" w14:textId="77777777" w:rsidR="00F076A6" w:rsidRDefault="00A54BA5">
      <w:pPr>
        <w:pStyle w:val="BodyText"/>
        <w:spacing w:line="360" w:lineRule="auto"/>
        <w:jc w:val="both"/>
        <w:rPr>
          <w:color w:val="36363D"/>
        </w:rPr>
      </w:pPr>
      <w:r>
        <w:rPr>
          <w:color w:val="36363D"/>
        </w:rPr>
        <w:t>Bengtsson-Palme, J., &amp; Larsson, D. G. J. (2016). Concentrations and resistance genes in antibiotic-containing environments. Nature Reviews Microbiology, 14(7), 471-482.</w:t>
      </w:r>
    </w:p>
    <w:p w14:paraId="57310692" w14:textId="77777777" w:rsidR="00F076A6" w:rsidRDefault="00A54BA5">
      <w:pPr>
        <w:pStyle w:val="BodyText"/>
        <w:spacing w:line="360" w:lineRule="auto"/>
        <w:jc w:val="both"/>
        <w:rPr>
          <w:color w:val="36363D"/>
        </w:rPr>
      </w:pPr>
      <w:r>
        <w:rPr>
          <w:color w:val="36363D"/>
        </w:rPr>
        <w:lastRenderedPageBreak/>
        <w:t>Blaser, M. J., &amp; Falkow, S. (2009). What are the consequences of the disappearing human microbiota? Nature Reviews Microbiology, 7(12), 887-894.</w:t>
      </w:r>
    </w:p>
    <w:p w14:paraId="0ED5E92E" w14:textId="77777777" w:rsidR="00F076A6" w:rsidRDefault="00A54BA5">
      <w:pPr>
        <w:pStyle w:val="BodyText"/>
        <w:spacing w:line="360" w:lineRule="auto"/>
        <w:jc w:val="both"/>
        <w:rPr>
          <w:color w:val="36363D"/>
        </w:rPr>
      </w:pPr>
      <w:r>
        <w:rPr>
          <w:color w:val="36363D"/>
        </w:rPr>
        <w:t>Bolyen, E., Rideout, J. R., Dillon, M. R., et al. (2019). Reproducible, interactive, scalable and extensible microbiome data science using QIIME 2. Nature Biotechnology, 37(8), 852-857.</w:t>
      </w:r>
    </w:p>
    <w:p w14:paraId="3F5F50E5" w14:textId="77777777" w:rsidR="00F076A6" w:rsidRDefault="00A54BA5">
      <w:pPr>
        <w:pStyle w:val="BodyText"/>
        <w:spacing w:line="360" w:lineRule="auto"/>
        <w:jc w:val="both"/>
        <w:rPr>
          <w:color w:val="36363D"/>
        </w:rPr>
      </w:pPr>
      <w:r>
        <w:rPr>
          <w:color w:val="36363D"/>
        </w:rPr>
        <w:t>Bowers, R. M., Sullivan, A. P., Costello, E. K., et al. (2011). Sources of bacteria in outdoor air across cities in the midwestern United States. Applied and Environmental Microbiology, 77(18), 6350-6356.</w:t>
      </w:r>
    </w:p>
    <w:p w14:paraId="46AF2A19" w14:textId="77777777" w:rsidR="00F076A6" w:rsidRDefault="00A54BA5">
      <w:pPr>
        <w:pStyle w:val="BodyText"/>
        <w:spacing w:line="360" w:lineRule="auto"/>
        <w:jc w:val="both"/>
        <w:rPr>
          <w:color w:val="36363D"/>
        </w:rPr>
      </w:pPr>
      <w:r>
        <w:rPr>
          <w:color w:val="36363D"/>
        </w:rPr>
        <w:t>Cao, C., Jiang, W., Wang, B., et al. (2014). Inhalable microorganisms in Beijing’s PM2.5 and PM10 pollutants during a severe smog event. Environmental Science &amp; Technology, 48(3), 1499-1507.</w:t>
      </w:r>
    </w:p>
    <w:p w14:paraId="48EED0CE" w14:textId="77777777" w:rsidR="00F076A6" w:rsidRDefault="00A54BA5">
      <w:pPr>
        <w:pStyle w:val="BodyText"/>
        <w:spacing w:line="360" w:lineRule="auto"/>
        <w:jc w:val="both"/>
        <w:rPr>
          <w:color w:val="36363D"/>
        </w:rPr>
      </w:pPr>
      <w:r>
        <w:rPr>
          <w:color w:val="36363D"/>
        </w:rPr>
        <w:t>Caporaso, J. G., Lauber, C. L., Walters, W. A., et al. (2012). Ultra-high-throughput microbial community analysis on the Illumina HiSeq and MiSeq platforms. ISME Journal, 6(8), 1621-1624.</w:t>
      </w:r>
    </w:p>
    <w:p w14:paraId="0CCD52DE" w14:textId="77777777" w:rsidR="00F076A6" w:rsidRDefault="00A54BA5">
      <w:pPr>
        <w:pStyle w:val="BodyText"/>
        <w:spacing w:line="360" w:lineRule="auto"/>
        <w:jc w:val="both"/>
        <w:rPr>
          <w:color w:val="36363D"/>
        </w:rPr>
      </w:pPr>
      <w:r>
        <w:rPr>
          <w:color w:val="36363D"/>
        </w:rPr>
        <w:t>Carmody, R. N., Gerber, G. K., Luevano, J. M., et al. (2015). Diet dominates host genotype in shaping the murine gut microbiota. Cell Host &amp; Microbe, 17(1), 72-84.</w:t>
      </w:r>
    </w:p>
    <w:p w14:paraId="3BF0D4EF" w14:textId="77777777" w:rsidR="00F076A6" w:rsidRDefault="00A54BA5">
      <w:pPr>
        <w:pStyle w:val="BodyText"/>
        <w:spacing w:line="360" w:lineRule="auto"/>
        <w:jc w:val="both"/>
        <w:rPr>
          <w:color w:val="36363D"/>
        </w:rPr>
      </w:pPr>
      <w:r>
        <w:rPr>
          <w:color w:val="36363D"/>
        </w:rPr>
        <w:t>Cavicchioli, R., Ripple, W. J., Timmis, K. N., et al. (2019). Scientists’ warning to humanity: microorganisms and climate change. Nature Reviews Microbiology, 17(9), 569-586.</w:t>
      </w:r>
    </w:p>
    <w:p w14:paraId="212596D7" w14:textId="77777777" w:rsidR="00F076A6" w:rsidRDefault="00A54BA5">
      <w:pPr>
        <w:pStyle w:val="BodyText"/>
        <w:spacing w:line="360" w:lineRule="auto"/>
        <w:jc w:val="both"/>
        <w:rPr>
          <w:color w:val="36363D"/>
        </w:rPr>
      </w:pPr>
      <w:r>
        <w:rPr>
          <w:color w:val="36363D"/>
        </w:rPr>
        <w:t>Chen, Q., Allgeier, A., Yin, D., &amp; Hollert, H. (2019). Leaching of endocrine-disrupting chemicals from marine microplastics and mesoplastics under common life stress conditions. Environment International, 130, 104938.</w:t>
      </w:r>
    </w:p>
    <w:p w14:paraId="3A186A8E" w14:textId="77777777" w:rsidR="00F076A6" w:rsidRDefault="00A54BA5">
      <w:pPr>
        <w:pStyle w:val="BodyText"/>
        <w:spacing w:line="360" w:lineRule="auto"/>
        <w:jc w:val="both"/>
        <w:rPr>
          <w:color w:val="36363D"/>
        </w:rPr>
      </w:pPr>
      <w:r>
        <w:rPr>
          <w:color w:val="36363D"/>
        </w:rPr>
        <w:t>Claus, S. P., Guillou, H., &amp; Ellero-Simatos, S. (2016). The gut microbiota: a major player in the toxicity of environmental pollutants? npj Biofilms and Microbiomes, 2(1), 16003.</w:t>
      </w:r>
    </w:p>
    <w:p w14:paraId="55BCA91E" w14:textId="77777777" w:rsidR="00F076A6" w:rsidRDefault="00A54BA5">
      <w:pPr>
        <w:pStyle w:val="BodyText"/>
        <w:spacing w:line="360" w:lineRule="auto"/>
        <w:jc w:val="both"/>
        <w:rPr>
          <w:color w:val="36363D"/>
        </w:rPr>
      </w:pPr>
      <w:r>
        <w:rPr>
          <w:color w:val="36363D"/>
        </w:rPr>
        <w:t>Clemente, J. C., Pehrsson, E. C., Blaser, M. J., et al. (2015). The microbiome of uncontacted Amerindians. Science Advances, 1(3), e1500183.</w:t>
      </w:r>
    </w:p>
    <w:p w14:paraId="41B0D471" w14:textId="77777777" w:rsidR="00F076A6" w:rsidRDefault="00A54BA5">
      <w:pPr>
        <w:pStyle w:val="BodyText"/>
        <w:spacing w:line="360" w:lineRule="auto"/>
        <w:jc w:val="both"/>
        <w:rPr>
          <w:color w:val="36363D"/>
        </w:rPr>
      </w:pPr>
      <w:r>
        <w:rPr>
          <w:color w:val="36363D"/>
        </w:rPr>
        <w:lastRenderedPageBreak/>
        <w:t>Cox, K. D., Covernton, G. A., Davies, H. L., et al. (2019). Human consumption of microplastics. Environmental Science &amp; Technology, 53(12), 7068-7074.</w:t>
      </w:r>
    </w:p>
    <w:p w14:paraId="37D2C626" w14:textId="77777777" w:rsidR="00F076A6" w:rsidRDefault="00A54BA5">
      <w:pPr>
        <w:pStyle w:val="BodyText"/>
        <w:spacing w:line="360" w:lineRule="auto"/>
        <w:jc w:val="both"/>
        <w:rPr>
          <w:color w:val="36363D"/>
        </w:rPr>
      </w:pPr>
      <w:r>
        <w:rPr>
          <w:color w:val="36363D"/>
        </w:rPr>
        <w:t>David, L. A., Maurice, C. F., Carmody, R. N., et al. (2014). Diet rapidly and reproducibly alters the human gut microbiome. Nature, 505(7484), 559-563.</w:t>
      </w:r>
    </w:p>
    <w:p w14:paraId="2C086424" w14:textId="77777777" w:rsidR="00F076A6" w:rsidRDefault="00A54BA5">
      <w:pPr>
        <w:pStyle w:val="BodyText"/>
        <w:spacing w:line="360" w:lineRule="auto"/>
        <w:jc w:val="both"/>
        <w:rPr>
          <w:color w:val="36363D"/>
        </w:rPr>
      </w:pPr>
      <w:r>
        <w:rPr>
          <w:color w:val="36363D"/>
        </w:rPr>
        <w:t>De Filippo, C., Cavalieri, D., Di Paola, M., et al. (2010). Impact of diet in shaping gut microbiota revealed by a comparative study in children from Europe and rural Africa. Proceedings of the National Academy of Sciences, 107(33), 14691-14696.</w:t>
      </w:r>
    </w:p>
    <w:p w14:paraId="58F685BB" w14:textId="77777777" w:rsidR="00F076A6" w:rsidRDefault="00A54BA5">
      <w:pPr>
        <w:pStyle w:val="BodyText"/>
        <w:spacing w:line="360" w:lineRule="auto"/>
        <w:jc w:val="both"/>
        <w:rPr>
          <w:color w:val="36363D"/>
        </w:rPr>
      </w:pPr>
      <w:r>
        <w:rPr>
          <w:color w:val="36363D"/>
        </w:rPr>
        <w:t>Derrien, M., Belzer, C., &amp; de Vos, W. M. (2017). Akkermansia muciniphila and its role in regulating host functions. Microbial Pathogenesis, 106, 171-181.</w:t>
      </w:r>
    </w:p>
    <w:p w14:paraId="047529CF" w14:textId="77777777" w:rsidR="00F076A6" w:rsidRDefault="00A54BA5">
      <w:pPr>
        <w:pStyle w:val="BodyText"/>
        <w:spacing w:line="360" w:lineRule="auto"/>
        <w:jc w:val="both"/>
        <w:rPr>
          <w:color w:val="36363D"/>
        </w:rPr>
      </w:pPr>
      <w:r>
        <w:rPr>
          <w:color w:val="36363D"/>
        </w:rPr>
        <w:t>Doney, S. C., Ruckelshaus, M., Duffy, J. E., et al. (2012). Climate change impacts on marine ecosystems. Annual Review of Marine Science, 4, 11-37.</w:t>
      </w:r>
    </w:p>
    <w:p w14:paraId="1DD199A2" w14:textId="77777777" w:rsidR="00F076A6" w:rsidRDefault="00A54BA5">
      <w:pPr>
        <w:pStyle w:val="BodyText"/>
        <w:spacing w:line="360" w:lineRule="auto"/>
        <w:jc w:val="both"/>
        <w:rPr>
          <w:color w:val="36363D"/>
        </w:rPr>
      </w:pPr>
      <w:r>
        <w:rPr>
          <w:color w:val="36363D"/>
        </w:rPr>
        <w:t>Francino, M. P. (2016). Antibiotics and the human gut microbiome: dysbioses and accumulation of resistances. Frontiers in Microbiology, 6, 1543.</w:t>
      </w:r>
    </w:p>
    <w:p w14:paraId="0CFF8E82" w14:textId="77777777" w:rsidR="00F076A6" w:rsidRDefault="00A54BA5">
      <w:pPr>
        <w:pStyle w:val="BodyText"/>
        <w:spacing w:line="360" w:lineRule="auto"/>
        <w:jc w:val="both"/>
        <w:rPr>
          <w:color w:val="36363D"/>
        </w:rPr>
      </w:pPr>
      <w:r>
        <w:rPr>
          <w:color w:val="36363D"/>
        </w:rPr>
        <w:t>Franzosa, E. A., Sirota-Madi, A., Avila-Pacheco, J., et al. (2018). Gut microbiome structure and metabolic activity in inflammatory bowel disease. Nature Microbiology, 4(2), 293-305.</w:t>
      </w:r>
    </w:p>
    <w:p w14:paraId="430ABC9C" w14:textId="77777777" w:rsidR="00F076A6" w:rsidRDefault="00A54BA5">
      <w:pPr>
        <w:pStyle w:val="BodyText"/>
        <w:spacing w:line="360" w:lineRule="auto"/>
        <w:jc w:val="both"/>
        <w:rPr>
          <w:color w:val="36363D"/>
        </w:rPr>
      </w:pPr>
      <w:r>
        <w:rPr>
          <w:color w:val="36363D"/>
        </w:rPr>
        <w:t>Giongo, A., Gano, K. A., Crabb, D. B., et al. (2011). Toward defining the autoimmune microbiome for type 1 diabetes. ISME Journal, 5(1), 82-91.</w:t>
      </w:r>
    </w:p>
    <w:p w14:paraId="0DF28D08" w14:textId="77777777" w:rsidR="00F076A6" w:rsidRDefault="00A54BA5">
      <w:pPr>
        <w:pStyle w:val="BodyText"/>
        <w:spacing w:line="360" w:lineRule="auto"/>
        <w:jc w:val="both"/>
        <w:rPr>
          <w:color w:val="36363D"/>
        </w:rPr>
      </w:pPr>
      <w:r>
        <w:rPr>
          <w:color w:val="36363D"/>
        </w:rPr>
        <w:t>Hanski, I., von Hertzen, L., Fyhrquist, N., et al. (2012). Environmental biodiversity, human microbiota, and allergy are interrelated. Proceedings of the National Academy of Sciences, 109(21), 8334-8339.</w:t>
      </w:r>
    </w:p>
    <w:p w14:paraId="2D193603" w14:textId="77777777" w:rsidR="00F076A6" w:rsidRDefault="00A54BA5">
      <w:pPr>
        <w:pStyle w:val="BodyText"/>
        <w:spacing w:line="360" w:lineRule="auto"/>
        <w:jc w:val="both"/>
        <w:rPr>
          <w:color w:val="36363D"/>
        </w:rPr>
      </w:pPr>
      <w:r>
        <w:rPr>
          <w:color w:val="36363D"/>
        </w:rPr>
        <w:t>Isaac, S., Scher, J. U., Djukovic, A., et al. (2017). Short- and long-term effects of oral vancomycin on the human intestinal microbiota. Journal of Antimicrobial Chemotherapy, 72(1), 128-136.</w:t>
      </w:r>
    </w:p>
    <w:p w14:paraId="3B39DD38" w14:textId="77777777" w:rsidR="00F076A6" w:rsidRDefault="00A54BA5">
      <w:pPr>
        <w:pStyle w:val="BodyText"/>
        <w:spacing w:line="360" w:lineRule="auto"/>
        <w:jc w:val="both"/>
        <w:rPr>
          <w:color w:val="36363D"/>
        </w:rPr>
      </w:pPr>
      <w:r>
        <w:rPr>
          <w:color w:val="36363D"/>
        </w:rPr>
        <w:t>Jansson, J. K., &amp; Hofmockel, K. S. (2020). Soil microbiomes and climate change. Nature Reviews Microbiology, 18(1), 35-46.</w:t>
      </w:r>
    </w:p>
    <w:p w14:paraId="35E875CD" w14:textId="77777777" w:rsidR="00F076A6" w:rsidRDefault="00A54BA5">
      <w:pPr>
        <w:pStyle w:val="BodyText"/>
        <w:spacing w:line="360" w:lineRule="auto"/>
        <w:jc w:val="both"/>
        <w:rPr>
          <w:color w:val="36363D"/>
        </w:rPr>
      </w:pPr>
      <w:r>
        <w:rPr>
          <w:color w:val="36363D"/>
        </w:rPr>
        <w:lastRenderedPageBreak/>
        <w:t>Karkman, A., Johnson, T. A., Lyra, C., et al. (2016). High-throughput quantification of antibiotic resistance genes from an urban wastewater treatment plant. FEMS Microbiology Ecology, 92(3), fiw014.</w:t>
      </w:r>
    </w:p>
    <w:p w14:paraId="31FC05C0" w14:textId="77777777" w:rsidR="00F076A6" w:rsidRDefault="00A54BA5">
      <w:pPr>
        <w:pStyle w:val="BodyText"/>
        <w:spacing w:line="360" w:lineRule="auto"/>
        <w:jc w:val="both"/>
        <w:rPr>
          <w:color w:val="36363D"/>
        </w:rPr>
      </w:pPr>
      <w:r>
        <w:rPr>
          <w:color w:val="36363D"/>
        </w:rPr>
        <w:t>Knight, R., Vrbanac, A., Taylor, B. C., et al. (2018). Best practices for analysing microbiomes. Nature Reviews Microbiology, 16(7), 410-422.</w:t>
      </w:r>
    </w:p>
    <w:p w14:paraId="2C756D25" w14:textId="77777777" w:rsidR="00F076A6" w:rsidRDefault="00A54BA5">
      <w:pPr>
        <w:pStyle w:val="BodyText"/>
        <w:spacing w:line="360" w:lineRule="auto"/>
        <w:jc w:val="both"/>
        <w:rPr>
          <w:color w:val="36363D"/>
        </w:rPr>
      </w:pPr>
      <w:r>
        <w:rPr>
          <w:color w:val="36363D"/>
        </w:rPr>
        <w:t>Koh, A., De Vadder, F., Kovatcheva-Datchary, P., &amp; Bäckhed, F. (2016). From dietary fiber to host physiology: short-chain fatty acids as key bacterial metabolites. Cell, 165(6), 1332-1345.</w:t>
      </w:r>
    </w:p>
    <w:p w14:paraId="2FE8E87A" w14:textId="77777777" w:rsidR="00F076A6" w:rsidRDefault="00A54BA5">
      <w:pPr>
        <w:pStyle w:val="BodyText"/>
        <w:spacing w:line="360" w:lineRule="auto"/>
        <w:jc w:val="both"/>
        <w:rPr>
          <w:color w:val="36363D"/>
        </w:rPr>
      </w:pPr>
      <w:r>
        <w:rPr>
          <w:color w:val="36363D"/>
        </w:rPr>
        <w:t>Lambeth, S. M., Carson, T., Lowe, J., et al. (2015). Composition, diversity and abundance of gut microbiome in prediabetes and type 2 diabetes. Journal of Diabetes and Obesity, 2(3), 1-7.</w:t>
      </w:r>
    </w:p>
    <w:p w14:paraId="152B6777" w14:textId="77777777" w:rsidR="00F076A6" w:rsidRDefault="00A54BA5">
      <w:pPr>
        <w:pStyle w:val="BodyText"/>
        <w:spacing w:line="360" w:lineRule="auto"/>
        <w:jc w:val="both"/>
        <w:rPr>
          <w:color w:val="36363D"/>
        </w:rPr>
      </w:pPr>
      <w:r>
        <w:rPr>
          <w:color w:val="36363D"/>
        </w:rPr>
        <w:t>Lloyd-Price, J., Arze, C., Ananthakrishnan, A. N., et al. (2019). Multi-omics of the gut microbial ecosystem in inflammatory bowel diseases. Nature, 569(7758), 655-662.</w:t>
      </w:r>
    </w:p>
    <w:p w14:paraId="3D2CFD39" w14:textId="77777777" w:rsidR="00F076A6" w:rsidRDefault="00A54BA5">
      <w:pPr>
        <w:pStyle w:val="BodyText"/>
        <w:spacing w:line="360" w:lineRule="auto"/>
        <w:jc w:val="both"/>
        <w:rPr>
          <w:color w:val="36363D"/>
        </w:rPr>
      </w:pPr>
      <w:r>
        <w:rPr>
          <w:color w:val="36363D"/>
        </w:rPr>
        <w:t>Lopez-Siles, M., Duncan, S. H., Garcia-Gil, L. J., &amp; Martinez-Medina, M. (2017). Faecalibacterium prausnitzii: from microbiology to diagnostics and prognostics. ISME Journal, 11(4), 841-852.</w:t>
      </w:r>
    </w:p>
    <w:p w14:paraId="01FB4801" w14:textId="77777777" w:rsidR="00F076A6" w:rsidRDefault="00A54BA5">
      <w:pPr>
        <w:pStyle w:val="BodyText"/>
        <w:spacing w:line="360" w:lineRule="auto"/>
        <w:jc w:val="both"/>
        <w:rPr>
          <w:color w:val="36363D"/>
        </w:rPr>
      </w:pPr>
      <w:r>
        <w:rPr>
          <w:color w:val="36363D"/>
        </w:rPr>
        <w:t>Lozupone, C. A., Stombaugh, J. I., Gordon, J. I., et al. (2012). Diversity, stability and resilience of the human gut microbiota. Nature, 489(7415), 220-230.</w:t>
      </w:r>
    </w:p>
    <w:p w14:paraId="20060F1B" w14:textId="77777777" w:rsidR="00F076A6" w:rsidRDefault="00A54BA5">
      <w:pPr>
        <w:pStyle w:val="BodyText"/>
        <w:spacing w:line="360" w:lineRule="auto"/>
        <w:jc w:val="both"/>
        <w:rPr>
          <w:color w:val="36363D"/>
        </w:rPr>
      </w:pPr>
      <w:r>
        <w:rPr>
          <w:color w:val="36363D"/>
        </w:rPr>
        <w:t>Lu, K., Abo, R. P., Schlieper, K. A., et al. (2014). Arsenic exposure perturbs the gut microbiome and its metabolic profile in mice: an integrated metagenomics and metabolomics analysis. Environmental Health Perspectives, 122(3), 284-291.</w:t>
      </w:r>
    </w:p>
    <w:p w14:paraId="237E2FE4" w14:textId="77777777" w:rsidR="00F076A6" w:rsidRDefault="00A54BA5">
      <w:pPr>
        <w:pStyle w:val="BodyText"/>
        <w:spacing w:line="360" w:lineRule="auto"/>
        <w:jc w:val="both"/>
        <w:rPr>
          <w:color w:val="36363D"/>
        </w:rPr>
      </w:pPr>
      <w:r>
        <w:rPr>
          <w:color w:val="36363D"/>
        </w:rPr>
        <w:t>Lynch, S. V., &amp; Pedersen, O. (2016). The human intestinal microbiome in health and disease. New England Journal of Medicine, 375(24), 2369-2379.</w:t>
      </w:r>
    </w:p>
    <w:p w14:paraId="3B000755" w14:textId="77777777" w:rsidR="00F076A6" w:rsidRDefault="00A54BA5">
      <w:pPr>
        <w:pStyle w:val="BodyText"/>
        <w:spacing w:line="360" w:lineRule="auto"/>
        <w:jc w:val="both"/>
        <w:rPr>
          <w:color w:val="36363D"/>
        </w:rPr>
      </w:pPr>
      <w:r>
        <w:rPr>
          <w:color w:val="36363D"/>
        </w:rPr>
        <w:t>Marco, M. L., Heeney, D., Binda, S., et al. (2017). Health benefits of fermented foods: microbiota and beyond. Current Opinion in Biotechnology, 44, 94-102.</w:t>
      </w:r>
    </w:p>
    <w:p w14:paraId="0B2628FD" w14:textId="77777777" w:rsidR="00F076A6" w:rsidRDefault="00A54BA5">
      <w:pPr>
        <w:pStyle w:val="BodyText"/>
        <w:spacing w:line="360" w:lineRule="auto"/>
        <w:jc w:val="both"/>
        <w:rPr>
          <w:color w:val="36363D"/>
        </w:rPr>
      </w:pPr>
      <w:r>
        <w:rPr>
          <w:color w:val="36363D"/>
        </w:rPr>
        <w:t>Martinez, I., Stegen, J. C., Maldonado-Gómez, M. X., et al. (2015). The gut microbiota of rural papua new guineans: composition, diversity patterns, and ecological processes. Cell Reports, 11(4), 527-538.</w:t>
      </w:r>
    </w:p>
    <w:p w14:paraId="51FF34F8" w14:textId="77777777" w:rsidR="00F076A6" w:rsidRDefault="00A54BA5">
      <w:pPr>
        <w:pStyle w:val="BodyText"/>
        <w:spacing w:line="360" w:lineRule="auto"/>
        <w:jc w:val="both"/>
        <w:rPr>
          <w:color w:val="36363D"/>
        </w:rPr>
      </w:pPr>
      <w:r>
        <w:rPr>
          <w:color w:val="36363D"/>
        </w:rPr>
        <w:lastRenderedPageBreak/>
        <w:t>Maurice, C. F., Haiser, H. J., &amp; Turnbaugh, P. J. (2013). Xenobiotics shape the physiology and gene expression of the active human gut microbiome. Cell, 152(1-2), 39-50.</w:t>
      </w:r>
    </w:p>
    <w:p w14:paraId="469FFDBD" w14:textId="77777777" w:rsidR="00F076A6" w:rsidRDefault="00A54BA5">
      <w:pPr>
        <w:pStyle w:val="BodyText"/>
        <w:spacing w:line="360" w:lineRule="auto"/>
        <w:jc w:val="both"/>
        <w:rPr>
          <w:color w:val="36363D"/>
        </w:rPr>
      </w:pPr>
      <w:r>
        <w:rPr>
          <w:color w:val="36363D"/>
        </w:rPr>
        <w:t>McMichael, A. J., Woodward, A., &amp; Muir, C. (2017). Climate change and the health of nations: famines, fevers, and the fate of populations. Oxford University Press.</w:t>
      </w:r>
    </w:p>
    <w:p w14:paraId="02D607DE" w14:textId="77777777" w:rsidR="00F076A6" w:rsidRDefault="00A54BA5">
      <w:pPr>
        <w:pStyle w:val="BodyText"/>
        <w:spacing w:line="360" w:lineRule="auto"/>
        <w:jc w:val="both"/>
        <w:rPr>
          <w:color w:val="36363D"/>
        </w:rPr>
      </w:pPr>
      <w:r>
        <w:rPr>
          <w:color w:val="36363D"/>
        </w:rPr>
        <w:t>Metcalf, J. L., Xu, Z. Z., Weiss, S., et al. (2016). Microbial community assembly and metabolic function during mammalian corpse decomposition. Science, 351(6269), 158-162.</w:t>
      </w:r>
    </w:p>
    <w:p w14:paraId="67F878B5" w14:textId="77777777" w:rsidR="00F076A6" w:rsidRDefault="00A54BA5">
      <w:pPr>
        <w:pStyle w:val="BodyText"/>
        <w:spacing w:line="360" w:lineRule="auto"/>
        <w:jc w:val="both"/>
        <w:rPr>
          <w:color w:val="36363D"/>
        </w:rPr>
      </w:pPr>
      <w:r>
        <w:rPr>
          <w:color w:val="36363D"/>
        </w:rPr>
        <w:t>Morrison, D. J., &amp; Preston, T. (2016). Formation of short chain fatty acids by the gut microbiota and their impact on human metabolism. Gut Microbes, 7(3), 189-200.</w:t>
      </w:r>
    </w:p>
    <w:p w14:paraId="423BA647" w14:textId="77777777" w:rsidR="00F076A6" w:rsidRDefault="00A54BA5">
      <w:pPr>
        <w:pStyle w:val="BodyText"/>
        <w:spacing w:line="360" w:lineRule="auto"/>
        <w:jc w:val="both"/>
        <w:rPr>
          <w:color w:val="36363D"/>
        </w:rPr>
      </w:pPr>
      <w:r>
        <w:rPr>
          <w:color w:val="36363D"/>
        </w:rPr>
        <w:t>Motta, E. V., Raymann, K., &amp; Moran, N. A. (2018). Glyphosate perturbs the gut microbiota of honey bees. Proceedings of the National Academy of Sciences, 115(41), 10305-10310.</w:t>
      </w:r>
    </w:p>
    <w:p w14:paraId="0566B934" w14:textId="77777777" w:rsidR="00F076A6" w:rsidRDefault="00A54BA5">
      <w:pPr>
        <w:pStyle w:val="BodyText"/>
        <w:spacing w:line="360" w:lineRule="auto"/>
        <w:jc w:val="both"/>
        <w:rPr>
          <w:color w:val="36363D"/>
        </w:rPr>
      </w:pPr>
      <w:r>
        <w:rPr>
          <w:color w:val="36363D"/>
        </w:rPr>
        <w:t>Naylor, D., DeGraaf, S., Purdom, E., &amp; Coleman-Derr, D. (2017). Drought and host selection influence bacterial community dynamics in the grass root microbiome. ISME Journal, 11(12), 2691-2704.</w:t>
      </w:r>
    </w:p>
    <w:p w14:paraId="50DBB756" w14:textId="77777777" w:rsidR="00F076A6" w:rsidRDefault="00A54BA5">
      <w:pPr>
        <w:pStyle w:val="BodyText"/>
        <w:spacing w:line="360" w:lineRule="auto"/>
        <w:jc w:val="both"/>
        <w:rPr>
          <w:color w:val="36363D"/>
        </w:rPr>
      </w:pPr>
      <w:r>
        <w:rPr>
          <w:color w:val="36363D"/>
        </w:rPr>
        <w:t>Obregon-Tito, A. J., Tito, R. Y., Metcalf, J., et al. (2015). Subsistence strategies in traditional societies distinguish gut microbiomes. Nature Communications, 6(1), 6505.</w:t>
      </w:r>
    </w:p>
    <w:p w14:paraId="181547F8" w14:textId="77777777" w:rsidR="00F076A6" w:rsidRDefault="00A54BA5">
      <w:pPr>
        <w:pStyle w:val="BodyText"/>
        <w:spacing w:line="360" w:lineRule="auto"/>
        <w:jc w:val="both"/>
        <w:rPr>
          <w:color w:val="36363D"/>
        </w:rPr>
      </w:pPr>
      <w:r>
        <w:rPr>
          <w:color w:val="36363D"/>
        </w:rPr>
        <w:t>Palleja, A., Mikkelsen, K. H., Forslund, S. K., et al. (2018). Recovery of gut microbiota of healthy adults following antibiotic exposure. Nature Microbiology, 3(11), 1255-1265.</w:t>
      </w:r>
    </w:p>
    <w:p w14:paraId="0376B3E3" w14:textId="77777777" w:rsidR="00F076A6" w:rsidRDefault="00A54BA5">
      <w:pPr>
        <w:pStyle w:val="BodyText"/>
        <w:spacing w:line="360" w:lineRule="auto"/>
        <w:jc w:val="both"/>
        <w:rPr>
          <w:color w:val="36363D"/>
        </w:rPr>
      </w:pPr>
      <w:r>
        <w:rPr>
          <w:color w:val="36363D"/>
        </w:rPr>
        <w:t>Pinto, A. J., Xi, C., &amp; Raskin, L. (2012). Bacterial community structure in the drinking water microbiome is governed by filtration processes. Environmental Science &amp; Technology, 46(16), 8851-8859.</w:t>
      </w:r>
    </w:p>
    <w:p w14:paraId="7BDFC72E" w14:textId="77777777" w:rsidR="00F076A6" w:rsidRDefault="00A54BA5">
      <w:pPr>
        <w:pStyle w:val="BodyText"/>
        <w:spacing w:line="360" w:lineRule="auto"/>
        <w:jc w:val="both"/>
        <w:rPr>
          <w:color w:val="36363D"/>
        </w:rPr>
      </w:pPr>
      <w:r>
        <w:rPr>
          <w:color w:val="36363D"/>
        </w:rPr>
        <w:t>Quast, C., Pruesse, E., Yilmaz, P., et al. (2013). The SILVA ribosomal RNA gene database project: improved data processing and web-based tools. Nucleic Acids Research, 41(D1), D590-D596.</w:t>
      </w:r>
    </w:p>
    <w:p w14:paraId="52E926FF" w14:textId="77777777" w:rsidR="00F076A6" w:rsidRDefault="00A54BA5">
      <w:pPr>
        <w:pStyle w:val="BodyText"/>
        <w:spacing w:line="360" w:lineRule="auto"/>
        <w:jc w:val="both"/>
        <w:rPr>
          <w:color w:val="36363D"/>
        </w:rPr>
      </w:pPr>
      <w:r>
        <w:rPr>
          <w:color w:val="36363D"/>
        </w:rPr>
        <w:lastRenderedPageBreak/>
        <w:t>Ramirez, C. E., Nouzova, M., Michaud, S., et al. (2020). Occurrence and human exposure assessment of organophosphate flame retardants in indoor dust from various microenvironments of the Czech Republic and Norway. Environment International, 135, 105291.</w:t>
      </w:r>
    </w:p>
    <w:p w14:paraId="5589E512" w14:textId="77777777" w:rsidR="00F076A6" w:rsidRDefault="00A54BA5">
      <w:pPr>
        <w:pStyle w:val="BodyText"/>
        <w:spacing w:line="360" w:lineRule="auto"/>
        <w:jc w:val="both"/>
        <w:rPr>
          <w:color w:val="36363D"/>
        </w:rPr>
      </w:pPr>
      <w:r>
        <w:rPr>
          <w:color w:val="36363D"/>
        </w:rPr>
        <w:t>Richardson, J. B., Dancy, B. C., Horton, C. L., et al. (2018). Exposure to toxic metals triggers unique responses from the rat gut microbiota. Scientific Reports, 8(1), 6578.</w:t>
      </w:r>
    </w:p>
    <w:p w14:paraId="2625B49D" w14:textId="77777777" w:rsidR="00F076A6" w:rsidRDefault="00A54BA5">
      <w:pPr>
        <w:pStyle w:val="BodyText"/>
        <w:spacing w:line="360" w:lineRule="auto"/>
        <w:jc w:val="both"/>
        <w:rPr>
          <w:color w:val="36363D"/>
        </w:rPr>
      </w:pPr>
      <w:r>
        <w:rPr>
          <w:color w:val="36363D"/>
        </w:rPr>
        <w:t>Rook, G. A. (2013). Regulation of the immune system by biodiversity from the natural environment: an ecosystem service essential to health. Proceedings of the National Academy of Sciences, 110(46), 18360-18367.</w:t>
      </w:r>
    </w:p>
    <w:p w14:paraId="0F8EB30B" w14:textId="77777777" w:rsidR="00F076A6" w:rsidRDefault="00A54BA5">
      <w:pPr>
        <w:pStyle w:val="BodyText"/>
        <w:spacing w:line="360" w:lineRule="auto"/>
        <w:jc w:val="both"/>
        <w:rPr>
          <w:color w:val="36363D"/>
        </w:rPr>
      </w:pPr>
      <w:r>
        <w:rPr>
          <w:color w:val="36363D"/>
        </w:rPr>
        <w:t>Rook, G. A., Raison, C. L., &amp; Lowry, C. A. (2014). Microbiota, immunoregulatory old friends and psychiatric disorders. Advances in Experimental Medicine and Biology, 817, 319-356.</w:t>
      </w:r>
    </w:p>
    <w:p w14:paraId="707775D3" w14:textId="77777777" w:rsidR="00F076A6" w:rsidRDefault="00A54BA5">
      <w:pPr>
        <w:pStyle w:val="BodyText"/>
        <w:spacing w:line="360" w:lineRule="auto"/>
        <w:jc w:val="both"/>
        <w:rPr>
          <w:color w:val="36363D"/>
        </w:rPr>
      </w:pPr>
      <w:r>
        <w:rPr>
          <w:color w:val="36363D"/>
        </w:rPr>
        <w:t>Rothschild, D., Weissbrod, O., Barkan, E., et al. (2018). Environment dominates over host genetics in shaping human gut microbiota. Nature, 555(7695), 210-215.</w:t>
      </w:r>
    </w:p>
    <w:p w14:paraId="31F00EC6" w14:textId="77777777" w:rsidR="00F076A6" w:rsidRDefault="00A54BA5">
      <w:pPr>
        <w:pStyle w:val="BodyText"/>
        <w:spacing w:line="360" w:lineRule="auto"/>
        <w:jc w:val="both"/>
        <w:rPr>
          <w:color w:val="36363D"/>
        </w:rPr>
      </w:pPr>
      <w:r>
        <w:rPr>
          <w:color w:val="36363D"/>
        </w:rPr>
        <w:t>Schnorr, S. L., Candela, M., Rampelli, S., et al. (2014). Gut microbiome of the Hadza hunter-gatherers. Nature Communications, 5(1), 3654.</w:t>
      </w:r>
    </w:p>
    <w:p w14:paraId="617383CA" w14:textId="77777777" w:rsidR="00F076A6" w:rsidRDefault="00A54BA5">
      <w:pPr>
        <w:pStyle w:val="BodyText"/>
        <w:spacing w:line="360" w:lineRule="auto"/>
        <w:jc w:val="both"/>
        <w:rPr>
          <w:color w:val="36363D"/>
        </w:rPr>
      </w:pPr>
      <w:r>
        <w:rPr>
          <w:color w:val="36363D"/>
        </w:rPr>
        <w:t>Sonnenburg, J. L., &amp; Sonnenburg, E. D. (2019). Vulnerability of the industrialized microbiota. Science, 366(6464), eaaw9255.</w:t>
      </w:r>
    </w:p>
    <w:p w14:paraId="2793CFA0" w14:textId="77777777" w:rsidR="00F076A6" w:rsidRDefault="00A54BA5">
      <w:pPr>
        <w:pStyle w:val="BodyText"/>
        <w:spacing w:line="360" w:lineRule="auto"/>
        <w:jc w:val="both"/>
        <w:rPr>
          <w:color w:val="36363D"/>
        </w:rPr>
      </w:pPr>
      <w:r>
        <w:rPr>
          <w:color w:val="36363D"/>
        </w:rPr>
        <w:t>Stein, M. M., Hrusch, C. L., Gozdz, J., et al. (2016). Innate immunity and asthma risk in amish and hutterite farm children. New England Journal of Medicine, 375(5), 411-421.</w:t>
      </w:r>
    </w:p>
    <w:p w14:paraId="6C90EE89" w14:textId="77777777" w:rsidR="00F076A6" w:rsidRDefault="00A54BA5">
      <w:pPr>
        <w:pStyle w:val="BodyText"/>
        <w:spacing w:line="360" w:lineRule="auto"/>
        <w:jc w:val="both"/>
        <w:rPr>
          <w:color w:val="36363D"/>
        </w:rPr>
      </w:pPr>
      <w:r>
        <w:rPr>
          <w:color w:val="36363D"/>
        </w:rPr>
        <w:t>Tamang, J. P., Shin, D. H., Jung, S. J., &amp; Chae, S. W. (2016). Functional properties of microorganisms in fermented foods. Frontiers in Microbiology, 7, 578.</w:t>
      </w:r>
    </w:p>
    <w:p w14:paraId="0F1BED91" w14:textId="77777777" w:rsidR="00F076A6" w:rsidRDefault="00A54BA5">
      <w:pPr>
        <w:pStyle w:val="BodyText"/>
        <w:spacing w:line="360" w:lineRule="auto"/>
        <w:jc w:val="both"/>
        <w:rPr>
          <w:color w:val="36363D"/>
        </w:rPr>
      </w:pPr>
      <w:r>
        <w:rPr>
          <w:color w:val="36363D"/>
        </w:rPr>
        <w:t>Williams, A. R., Krych, L., Ahmad, H. F., et al. (2017). A polyphenol-enriched diet and Ascaris suum infection modulate mucosal immune responses and gut microbiota composition in pigs. PLoS One, 12(10), e0186546.</w:t>
      </w:r>
    </w:p>
    <w:p w14:paraId="3D758774" w14:textId="77777777" w:rsidR="00F076A6" w:rsidRDefault="00A54BA5">
      <w:pPr>
        <w:pStyle w:val="BodyText"/>
        <w:spacing w:line="360" w:lineRule="auto"/>
        <w:jc w:val="both"/>
        <w:rPr>
          <w:color w:val="36363D"/>
        </w:rPr>
      </w:pPr>
      <w:r>
        <w:rPr>
          <w:color w:val="36363D"/>
        </w:rPr>
        <w:lastRenderedPageBreak/>
        <w:t>Winglee, K., Howard, A. G., Sha, W., et al. (2017). Recent urbanization in China is correlated with a Westernized microbiome encoding increased virulence and antibiotic resistance genes. Microbiome, 5(1), 121.</w:t>
      </w:r>
    </w:p>
    <w:p w14:paraId="60DA3452" w14:textId="77777777" w:rsidR="00F076A6" w:rsidRDefault="00A54BA5">
      <w:pPr>
        <w:pStyle w:val="BodyText"/>
        <w:spacing w:line="360" w:lineRule="auto"/>
        <w:jc w:val="both"/>
        <w:rPr>
          <w:color w:val="36363D"/>
        </w:rPr>
      </w:pPr>
      <w:r>
        <w:rPr>
          <w:color w:val="36363D"/>
        </w:rPr>
        <w:t>Wu, G. D., Chen, J., Hoffmann, C., et al. (2011). Linking long-term dietary patterns with gut microbial enterotypes. Science, 334(6052), 105-108.</w:t>
      </w:r>
    </w:p>
    <w:p w14:paraId="2E161D0F" w14:textId="77777777" w:rsidR="00F076A6" w:rsidRDefault="00A54BA5">
      <w:pPr>
        <w:pStyle w:val="BodyText"/>
        <w:spacing w:line="360" w:lineRule="auto"/>
        <w:jc w:val="both"/>
        <w:rPr>
          <w:color w:val="36363D"/>
        </w:rPr>
      </w:pPr>
      <w:r>
        <w:rPr>
          <w:color w:val="36363D"/>
        </w:rPr>
        <w:t>Yassour, M., Vatanen, T., Siljander, H., et al. (2016). Natural history of the infant gut microbiome and impact of antibiotic treatment on bacterial strain diversity and stability. Science Translational Medicine, 8(343), 343ra81.</w:t>
      </w:r>
    </w:p>
    <w:p w14:paraId="2165982D" w14:textId="77777777" w:rsidR="00F076A6" w:rsidRDefault="00A54BA5">
      <w:pPr>
        <w:pStyle w:val="BodyText"/>
        <w:spacing w:line="360" w:lineRule="auto"/>
        <w:jc w:val="both"/>
        <w:rPr>
          <w:color w:val="36363D"/>
        </w:rPr>
      </w:pPr>
      <w:r>
        <w:rPr>
          <w:color w:val="36363D"/>
        </w:rPr>
        <w:t>Yatsunenko, T., Rey, F. E., Manary, M. J., et al. (2012). Human gut microbiome viewed across age and geography. Nature, 486(7402), 222-227.</w:t>
      </w:r>
    </w:p>
    <w:p w14:paraId="518BB403" w14:textId="77777777" w:rsidR="00F076A6" w:rsidRDefault="00A54BA5">
      <w:pPr>
        <w:pStyle w:val="BodyText"/>
        <w:spacing w:line="360" w:lineRule="auto"/>
        <w:jc w:val="both"/>
        <w:rPr>
          <w:color w:val="36363D"/>
        </w:rPr>
      </w:pPr>
      <w:r>
        <w:rPr>
          <w:color w:val="36363D"/>
        </w:rPr>
        <w:t>Zhang, Q., Xu, E. G., Li, J., et al. (2020). A review of microplastics in table salt, drinking water, and air: direct human exposure. Environmental Science &amp; Technology, 54(7), 3740-3751.</w:t>
      </w:r>
      <w:bookmarkEnd w:id="0"/>
      <w:bookmarkEnd w:id="43"/>
    </w:p>
    <w:p w14:paraId="7785C3BC" w14:textId="77777777" w:rsidR="00474B7C" w:rsidRDefault="00474B7C">
      <w:pPr>
        <w:pStyle w:val="BodyText"/>
        <w:spacing w:line="360" w:lineRule="auto"/>
        <w:jc w:val="both"/>
        <w:rPr>
          <w:color w:val="36363D"/>
        </w:rPr>
      </w:pPr>
      <w:r w:rsidRPr="00AD0D17">
        <w:rPr>
          <w:color w:val="36363D"/>
          <w:highlight w:val="yellow"/>
        </w:rPr>
        <w:t>Xie, Y., Xu, S., Xi, Y., Li, Z., Zuo, E., Xing, K., ... &amp; Li, K. (2024). Global meta‐analysis reveals the drivers of gut microbiome variation across vertebrates. Imetaomics, 1(2), e35.</w:t>
      </w:r>
    </w:p>
    <w:p w14:paraId="61B2EBAC" w14:textId="77777777" w:rsidR="00474B7C" w:rsidRDefault="00474B7C">
      <w:pPr>
        <w:pStyle w:val="BodyText"/>
        <w:spacing w:line="360" w:lineRule="auto"/>
        <w:jc w:val="both"/>
        <w:rPr>
          <w:color w:val="36363D"/>
        </w:rPr>
      </w:pPr>
    </w:p>
    <w:sectPr w:rsidR="00474B7C">
      <w:headerReference w:type="even" r:id="rId10"/>
      <w:headerReference w:type="default" r:id="rId11"/>
      <w:footerReference w:type="even" r:id="rId12"/>
      <w:footerReference w:type="default" r:id="rId13"/>
      <w:headerReference w:type="first" r:id="rId1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4AB24" w14:textId="77777777" w:rsidR="00BE3136" w:rsidRDefault="00BE3136">
      <w:pPr>
        <w:spacing w:after="0"/>
      </w:pPr>
      <w:r>
        <w:separator/>
      </w:r>
    </w:p>
  </w:endnote>
  <w:endnote w:type="continuationSeparator" w:id="0">
    <w:p w14:paraId="67A4FC84" w14:textId="77777777" w:rsidR="00BE3136" w:rsidRDefault="00BE31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A4DC" w14:textId="77777777" w:rsidR="00F076A6" w:rsidRDefault="00F07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D474" w14:textId="77777777" w:rsidR="00F076A6" w:rsidRDefault="00F07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91F1F" w14:textId="77777777" w:rsidR="00BE3136" w:rsidRDefault="00BE3136">
      <w:pPr>
        <w:spacing w:after="0"/>
      </w:pPr>
      <w:r>
        <w:separator/>
      </w:r>
    </w:p>
  </w:footnote>
  <w:footnote w:type="continuationSeparator" w:id="0">
    <w:p w14:paraId="0DF3E252" w14:textId="77777777" w:rsidR="00BE3136" w:rsidRDefault="00BE31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F1E93" w14:textId="77777777" w:rsidR="00F076A6" w:rsidRDefault="00000000">
    <w:pPr>
      <w:pStyle w:val="Header"/>
    </w:pPr>
    <w:r>
      <w:rPr>
        <w:noProof/>
      </w:rPr>
      <w:pict w14:anchorId="71441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1027" type="#_x0000_t136" style="position:absolute;margin-left:0;margin-top:0;width:520.4pt;height:65.0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2E2D" w14:textId="77777777" w:rsidR="00F076A6" w:rsidRDefault="00000000">
    <w:pPr>
      <w:pStyle w:val="Header"/>
    </w:pPr>
    <w:r>
      <w:rPr>
        <w:noProof/>
      </w:rPr>
      <w:pict w14:anchorId="5C30B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1026" type="#_x0000_t136" style="position:absolute;margin-left:0;margin-top:0;width:520.4pt;height:65.0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22DA4" w14:textId="77777777" w:rsidR="00F076A6" w:rsidRDefault="00000000">
    <w:pPr>
      <w:pStyle w:val="Header"/>
    </w:pPr>
    <w:r>
      <w:rPr>
        <w:noProof/>
      </w:rPr>
      <w:pict w14:anchorId="533063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1025" type="#_x0000_t136" style="position:absolute;margin-left:0;margin-top:0;width:520.4pt;height:65.0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41FF6"/>
    <w:multiLevelType w:val="multilevel"/>
    <w:tmpl w:val="68A35311"/>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16cid:durableId="1412464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E2NDI3NDOyMDQytTRV0lEKTi0uzszPAykwrAUAysK59CwAAAA="/>
  </w:docVars>
  <w:rsids>
    <w:rsidRoot w:val="00F076A6"/>
    <w:rsid w:val="00090E9F"/>
    <w:rsid w:val="000914C9"/>
    <w:rsid w:val="002868D2"/>
    <w:rsid w:val="00455186"/>
    <w:rsid w:val="00474B7C"/>
    <w:rsid w:val="004B0DE1"/>
    <w:rsid w:val="004D73E9"/>
    <w:rsid w:val="007472D6"/>
    <w:rsid w:val="008B373F"/>
    <w:rsid w:val="00A04D1F"/>
    <w:rsid w:val="00A54BA5"/>
    <w:rsid w:val="00AD0D17"/>
    <w:rsid w:val="00B742C5"/>
    <w:rsid w:val="00BE3136"/>
    <w:rsid w:val="00BF2278"/>
    <w:rsid w:val="00BF3E5F"/>
    <w:rsid w:val="00C60D70"/>
    <w:rsid w:val="00E442AC"/>
    <w:rsid w:val="00F044ED"/>
    <w:rsid w:val="00F07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BF475"/>
  <w15:docId w15:val="{29ED54EE-3A1D-4049-BBD8-056876DC7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SimSu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sz w:val="24"/>
      <w:szCs w:val="24"/>
      <w:lang w:val="en-US" w:eastAsia="en-US"/>
    </w:rPr>
  </w:style>
  <w:style w:type="paragraph" w:styleId="Heading3">
    <w:name w:val="heading 3"/>
    <w:basedOn w:val="Normal"/>
    <w:link w:val="Heading3Char"/>
    <w:uiPriority w:val="9"/>
    <w:semiHidden/>
    <w:unhideWhenUsed/>
    <w:qFormat/>
    <w:pPr>
      <w:spacing w:before="100" w:beforeAutospacing="1" w:after="100" w:afterAutospacing="1"/>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BodyText"/>
    <w:next w:val="BodyText"/>
    <w:uiPriority w:val="9"/>
    <w:qFormat/>
    <w:pPr>
      <w:spacing w:before="100" w:after="100"/>
      <w:ind w:left="480" w:right="480"/>
    </w:pPr>
  </w:style>
  <w:style w:type="paragraph" w:styleId="BodyText">
    <w:name w:val="Body Text"/>
    <w:basedOn w:val="Normal"/>
    <w:link w:val="BodyTextChar"/>
    <w:qFormat/>
    <w:pPr>
      <w:spacing w:before="180" w:after="180"/>
    </w:pPr>
  </w:style>
  <w:style w:type="paragraph" w:styleId="Date">
    <w:name w:val="Date"/>
    <w:next w:val="BodyText"/>
    <w:qFormat/>
    <w:pPr>
      <w:keepNext/>
      <w:keepLines/>
      <w:spacing w:after="200"/>
      <w:jc w:val="center"/>
    </w:pPr>
    <w:rPr>
      <w:sz w:val="24"/>
      <w:szCs w:val="24"/>
      <w:lang w:val="en-US" w:eastAsia="en-US"/>
    </w:rPr>
  </w:style>
  <w:style w:type="paragraph" w:styleId="Subtitle">
    <w:name w:val="Subtitle"/>
    <w:basedOn w:val="Title"/>
    <w:next w:val="BodyText"/>
    <w:uiPriority w:val="11"/>
    <w:qFormat/>
    <w:pPr>
      <w:spacing w:before="240"/>
    </w:pPr>
    <w:rPr>
      <w:sz w:val="30"/>
      <w:szCs w:val="30"/>
    </w:rPr>
  </w:style>
  <w:style w:type="paragraph" w:styleId="Title">
    <w:name w:val="Title"/>
    <w:basedOn w:val="Normal"/>
    <w:next w:val="BodyText"/>
    <w:uiPriority w:val="10"/>
    <w:qFormat/>
    <w:pPr>
      <w:keepNext/>
      <w:keepLines/>
      <w:spacing w:before="480" w:after="240"/>
      <w:jc w:val="center"/>
    </w:pPr>
    <w:rPr>
      <w:rFonts w:ascii="Calibri" w:eastAsia="SimSun" w:hAnsi="Calibri"/>
      <w:b/>
      <w:bCs/>
      <w:color w:val="345A8A"/>
      <w:sz w:val="36"/>
      <w:szCs w:val="36"/>
    </w:rPr>
  </w:style>
  <w:style w:type="character" w:styleId="Hyperlink">
    <w:name w:val="Hyperlink"/>
    <w:basedOn w:val="BodyTextChar"/>
    <w:rPr>
      <w:color w:val="4F81BD"/>
    </w:rPr>
  </w:style>
  <w:style w:type="character" w:customStyle="1" w:styleId="BodyTextChar">
    <w:name w:val="Body Text Char"/>
    <w:basedOn w:val="DefaultParagraphFont"/>
    <w:link w:val="BodyTex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customStyle="1" w:styleId="Author">
    <w:name w:val="Author"/>
    <w:next w:val="BodyText"/>
    <w:qFormat/>
    <w:pPr>
      <w:keepNext/>
      <w:keepLines/>
      <w:spacing w:after="200"/>
      <w:jc w:val="center"/>
    </w:pPr>
    <w:rPr>
      <w:sz w:val="24"/>
      <w:szCs w:val="24"/>
      <w:lang w:val="en-US" w:eastAsia="en-US"/>
    </w:r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customStyle="1" w:styleId="Bibliography112bfc81-8ccb-437f-90bd-625d596f9d28">
    <w:name w:val="Bibliography_112bfc81-8ccb-437f-90bd-625d596f9d28"/>
    <w:basedOn w:val="Normal"/>
    <w:qFormat/>
  </w:style>
  <w:style w:type="paragraph" w:customStyle="1" w:styleId="Heading11">
    <w:name w:val="Heading 11"/>
    <w:basedOn w:val="Normal"/>
    <w:next w:val="BodyText"/>
    <w:uiPriority w:val="9"/>
    <w:qFormat/>
    <w:pPr>
      <w:keepNext/>
      <w:keepLines/>
      <w:spacing w:before="480" w:after="0"/>
      <w:outlineLvl w:val="0"/>
    </w:pPr>
    <w:rPr>
      <w:rFonts w:ascii="Calibri" w:eastAsia="SimSun" w:hAnsi="Calibri"/>
      <w:b/>
      <w:bCs/>
      <w:color w:val="4F81BD"/>
      <w:sz w:val="32"/>
      <w:szCs w:val="32"/>
    </w:rPr>
  </w:style>
  <w:style w:type="paragraph" w:customStyle="1" w:styleId="Heading21">
    <w:name w:val="Heading 21"/>
    <w:basedOn w:val="Normal"/>
    <w:next w:val="BodyText"/>
    <w:uiPriority w:val="9"/>
    <w:qFormat/>
    <w:pPr>
      <w:keepNext/>
      <w:keepLines/>
      <w:spacing w:before="200" w:after="0"/>
      <w:outlineLvl w:val="1"/>
    </w:pPr>
    <w:rPr>
      <w:rFonts w:ascii="Calibri" w:eastAsia="SimSun" w:hAnsi="Calibri"/>
      <w:b/>
      <w:bCs/>
      <w:color w:val="4F81BD"/>
      <w:sz w:val="28"/>
      <w:szCs w:val="28"/>
    </w:rPr>
  </w:style>
  <w:style w:type="paragraph" w:customStyle="1" w:styleId="Heading31">
    <w:name w:val="Heading 31"/>
    <w:basedOn w:val="Normal"/>
    <w:next w:val="BodyText"/>
    <w:uiPriority w:val="9"/>
    <w:qFormat/>
    <w:pPr>
      <w:keepNext/>
      <w:keepLines/>
      <w:spacing w:before="200" w:after="0"/>
      <w:outlineLvl w:val="2"/>
    </w:pPr>
    <w:rPr>
      <w:rFonts w:ascii="Calibri" w:eastAsia="SimSun" w:hAnsi="Calibri"/>
      <w:b/>
      <w:bCs/>
      <w:color w:val="4F81BD"/>
    </w:rPr>
  </w:style>
  <w:style w:type="paragraph" w:customStyle="1" w:styleId="Heading41">
    <w:name w:val="Heading 41"/>
    <w:basedOn w:val="Normal"/>
    <w:next w:val="BodyText"/>
    <w:uiPriority w:val="9"/>
    <w:qFormat/>
    <w:pPr>
      <w:keepNext/>
      <w:keepLines/>
      <w:spacing w:before="200" w:after="0"/>
      <w:outlineLvl w:val="3"/>
    </w:pPr>
    <w:rPr>
      <w:rFonts w:ascii="Calibri" w:eastAsia="SimSun" w:hAnsi="Calibri"/>
      <w:bCs/>
      <w:i/>
      <w:color w:val="4F81BD"/>
    </w:rPr>
  </w:style>
  <w:style w:type="paragraph" w:customStyle="1" w:styleId="Heading51">
    <w:name w:val="Heading 51"/>
    <w:basedOn w:val="Normal"/>
    <w:next w:val="BodyText"/>
    <w:uiPriority w:val="9"/>
    <w:qFormat/>
    <w:pPr>
      <w:keepNext/>
      <w:keepLines/>
      <w:spacing w:before="200" w:after="0"/>
      <w:outlineLvl w:val="4"/>
    </w:pPr>
    <w:rPr>
      <w:rFonts w:ascii="Calibri" w:eastAsia="SimSun" w:hAnsi="Calibri"/>
      <w:iCs/>
      <w:color w:val="4F81BD"/>
    </w:rPr>
  </w:style>
  <w:style w:type="paragraph" w:customStyle="1" w:styleId="Heading61">
    <w:name w:val="Heading 61"/>
    <w:basedOn w:val="Normal"/>
    <w:next w:val="BodyText"/>
    <w:uiPriority w:val="9"/>
    <w:qFormat/>
    <w:pPr>
      <w:keepNext/>
      <w:keepLines/>
      <w:spacing w:before="200" w:after="0"/>
      <w:outlineLvl w:val="5"/>
    </w:pPr>
    <w:rPr>
      <w:rFonts w:ascii="Calibri" w:eastAsia="SimSun" w:hAnsi="Calibri"/>
      <w:color w:val="4F81BD"/>
    </w:rPr>
  </w:style>
  <w:style w:type="paragraph" w:customStyle="1" w:styleId="Heading71">
    <w:name w:val="Heading 71"/>
    <w:basedOn w:val="Normal"/>
    <w:next w:val="BodyText"/>
    <w:uiPriority w:val="9"/>
    <w:qFormat/>
    <w:pPr>
      <w:keepNext/>
      <w:keepLines/>
      <w:spacing w:before="200" w:after="0"/>
      <w:outlineLvl w:val="6"/>
    </w:pPr>
    <w:rPr>
      <w:rFonts w:ascii="Calibri" w:eastAsia="SimSun" w:hAnsi="Calibri"/>
      <w:color w:val="4F81BD"/>
    </w:rPr>
  </w:style>
  <w:style w:type="paragraph" w:customStyle="1" w:styleId="Heading81">
    <w:name w:val="Heading 81"/>
    <w:basedOn w:val="Normal"/>
    <w:next w:val="BodyText"/>
    <w:uiPriority w:val="9"/>
    <w:qFormat/>
    <w:pPr>
      <w:keepNext/>
      <w:keepLines/>
      <w:spacing w:before="200" w:after="0"/>
      <w:outlineLvl w:val="7"/>
    </w:pPr>
    <w:rPr>
      <w:rFonts w:ascii="Calibri" w:eastAsia="SimSun" w:hAnsi="Calibri"/>
      <w:color w:val="4F81BD"/>
    </w:rPr>
  </w:style>
  <w:style w:type="paragraph" w:customStyle="1" w:styleId="Heading91">
    <w:name w:val="Heading 91"/>
    <w:basedOn w:val="Normal"/>
    <w:next w:val="BodyText"/>
    <w:uiPriority w:val="9"/>
    <w:qFormat/>
    <w:pPr>
      <w:keepNext/>
      <w:keepLines/>
      <w:spacing w:before="200" w:after="0"/>
      <w:outlineLvl w:val="8"/>
    </w:pPr>
    <w:rPr>
      <w:rFonts w:ascii="Calibri" w:eastAsia="SimSun" w:hAnsi="Calibri"/>
      <w:color w:val="4F81BD"/>
    </w:rPr>
  </w:style>
  <w:style w:type="paragraph" w:customStyle="1" w:styleId="FootnoteText1">
    <w:name w:val="Footnote Text1"/>
    <w:basedOn w:val="Normal"/>
    <w:uiPriority w:val="9"/>
    <w:qFormat/>
  </w:style>
  <w:style w:type="table" w:customStyle="1" w:styleId="Table">
    <w:name w:val="Table"/>
    <w:qFormat/>
    <w:tblPr>
      <w:tblCellMar>
        <w:top w:w="0" w:type="dxa"/>
        <w:left w:w="108" w:type="dxa"/>
        <w:bottom w:w="0" w:type="dxa"/>
        <w:right w:w="108" w:type="dxa"/>
      </w:tblCellMar>
    </w:tblPr>
    <w:tblStylePr w:type="firstRow">
      <w:tblPr/>
      <w:tcPr>
        <w:tcBorders>
          <w:bottom w:val="single" w:sz="4"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customStyle="1" w:styleId="Caption1">
    <w:name w:val="Caption1"/>
    <w:basedOn w:val="Normal"/>
    <w:pPr>
      <w:spacing w:after="120"/>
    </w:pPr>
    <w:rPr>
      <w:i/>
    </w:rPr>
  </w:style>
  <w:style w:type="paragraph" w:customStyle="1" w:styleId="TableCaption">
    <w:name w:val="Table Caption"/>
    <w:basedOn w:val="Caption1"/>
    <w:pPr>
      <w:keepNext/>
    </w:pPr>
  </w:style>
  <w:style w:type="paragraph" w:customStyle="1" w:styleId="ImageCaption">
    <w:name w:val="Image Caption"/>
    <w:basedOn w:val="Caption1"/>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VerbatimChar">
    <w:name w:val="Verbatim Char"/>
    <w:basedOn w:val="BodyTextChar"/>
    <w:link w:val="SourceCode"/>
    <w:rPr>
      <w:rFonts w:ascii="Consolas" w:hAnsi="Consolas"/>
      <w:sz w:val="22"/>
    </w:rPr>
  </w:style>
  <w:style w:type="paragraph" w:customStyle="1" w:styleId="SourceCode">
    <w:name w:val="Source Code"/>
    <w:basedOn w:val="Normal"/>
    <w:link w:val="VerbatimChar"/>
    <w:pPr>
      <w:wordWrap w:val="0"/>
    </w:pPr>
  </w:style>
  <w:style w:type="character" w:customStyle="1" w:styleId="SectionNumber">
    <w:name w:val="Section Number"/>
    <w:basedOn w:val="BodyTextChar"/>
  </w:style>
  <w:style w:type="character" w:customStyle="1" w:styleId="FootnoteReference1">
    <w:name w:val="Footnote Reference1"/>
    <w:basedOn w:val="BodyTextChar"/>
    <w:rPr>
      <w:vertAlign w:val="superscript"/>
    </w:rPr>
  </w:style>
  <w:style w:type="paragraph" w:customStyle="1" w:styleId="TOCHeading8a0b26ab-1a5d-4236-934e-809bf1adad16">
    <w:name w:val="TOC Heading_8a0b26ab-1a5d-4236-934e-809bf1adad16"/>
    <w:basedOn w:val="Heading11"/>
    <w:next w:val="BodyText"/>
    <w:uiPriority w:val="39"/>
    <w:qFormat/>
    <w:pPr>
      <w:spacing w:before="240" w:line="259" w:lineRule="auto"/>
      <w:outlineLvl w:val="9"/>
    </w:pPr>
    <w:rPr>
      <w:b w:val="0"/>
      <w:bCs w:val="0"/>
      <w:color w:val="365F91"/>
    </w:r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go">
    <w:name w:val="go"/>
    <w:basedOn w:val="DefaultParagraphFont"/>
  </w:style>
  <w:style w:type="paragraph" w:styleId="Header">
    <w:name w:val="header"/>
    <w:basedOn w:val="Normal"/>
    <w:link w:val="HeaderChar"/>
    <w:uiPriority w:val="99"/>
    <w:pPr>
      <w:tabs>
        <w:tab w:val="center" w:pos="4680"/>
        <w:tab w:val="right" w:pos="9360"/>
      </w:tabs>
      <w:spacing w:after="0"/>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pPr>
      <w:tabs>
        <w:tab w:val="center" w:pos="4680"/>
        <w:tab w:val="right" w:pos="9360"/>
      </w:tabs>
      <w:spacing w:after="0"/>
    </w:pPr>
  </w:style>
  <w:style w:type="character" w:customStyle="1" w:styleId="FooterChar">
    <w:name w:val="Footer Char"/>
    <w:basedOn w:val="DefaultParagraphFont"/>
    <w:link w:val="Footer"/>
    <w:uiPriority w:val="9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27</Pages>
  <Words>6297</Words>
  <Characters>35894</Characters>
  <Application>Microsoft Office Word</Application>
  <DocSecurity>0</DocSecurity>
  <Lines>299</Lines>
  <Paragraphs>84</Paragraphs>
  <ScaleCrop>false</ScaleCrop>
  <Company/>
  <LinksUpToDate>false</LinksUpToDate>
  <CharactersWithSpaces>42107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Editor GP 005</cp:lastModifiedBy>
  <cp:revision>39</cp:revision>
  <dcterms:created xsi:type="dcterms:W3CDTF">1970-01-01T02:00:00Z</dcterms:created>
  <dcterms:modified xsi:type="dcterms:W3CDTF">2025-10-11T09:05:00Z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39b698f00b0d46268c7bdf61278dd232</vt:lpwstr>
  </property>
  <property fmtid="{D5CDD505-2E9C-101B-9397-08002B2CF9AE}" pid="3" name="KSOProductBuildVer">
    <vt:lpwstr>3081-11.35.00</vt:lpwstr>
  </property>
</Properties>
</file>