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F578F" w14:textId="49F527E1" w:rsidR="00490252" w:rsidRDefault="005B6BD3" w:rsidP="00490252">
      <w:pPr>
        <w:spacing w:before="100" w:beforeAutospacing="1" w:after="100" w:afterAutospacing="1" w:line="240" w:lineRule="auto"/>
        <w:jc w:val="both"/>
        <w:rPr>
          <w:rFonts w:asciiTheme="majorBidi" w:hAnsiTheme="majorBidi" w:cstheme="majorBidi"/>
          <w:b/>
          <w:bCs/>
        </w:rPr>
      </w:pPr>
      <w:r w:rsidRPr="00E70187">
        <w:rPr>
          <w:rFonts w:asciiTheme="majorBidi" w:hAnsiTheme="majorBidi" w:cstheme="majorBidi"/>
          <w:b/>
          <w:bCs/>
          <w:sz w:val="28"/>
          <w:szCs w:val="28"/>
        </w:rPr>
        <w:t>A Comparative Analysis of Toxoplasmosis Research in Iraq: Advancements in Regional Trends and Clinical Implications (</w:t>
      </w:r>
      <w:r w:rsidR="00D123A2" w:rsidRPr="00E70187">
        <w:rPr>
          <w:rFonts w:asciiTheme="majorBidi" w:hAnsiTheme="majorBidi" w:cstheme="majorBidi"/>
          <w:b/>
          <w:bCs/>
          <w:sz w:val="28"/>
          <w:szCs w:val="28"/>
        </w:rPr>
        <w:t>19</w:t>
      </w:r>
      <w:r w:rsidR="00B46735" w:rsidRPr="00E70187">
        <w:rPr>
          <w:rFonts w:asciiTheme="majorBidi" w:hAnsiTheme="majorBidi" w:cstheme="majorBidi"/>
          <w:b/>
          <w:bCs/>
          <w:sz w:val="28"/>
          <w:szCs w:val="28"/>
        </w:rPr>
        <w:t>89</w:t>
      </w:r>
      <w:r w:rsidRPr="00E70187">
        <w:rPr>
          <w:rFonts w:asciiTheme="majorBidi" w:hAnsiTheme="majorBidi" w:cstheme="majorBidi"/>
          <w:b/>
          <w:bCs/>
          <w:sz w:val="28"/>
          <w:szCs w:val="28"/>
        </w:rPr>
        <w:t>–2024)</w:t>
      </w:r>
    </w:p>
    <w:p w14:paraId="3D7EBA7A" w14:textId="77777777" w:rsidR="00490252" w:rsidRPr="00E70187" w:rsidRDefault="00490252" w:rsidP="00490252">
      <w:pPr>
        <w:spacing w:before="100" w:beforeAutospacing="1" w:after="100" w:afterAutospacing="1" w:line="240" w:lineRule="auto"/>
        <w:jc w:val="both"/>
        <w:rPr>
          <w:rFonts w:asciiTheme="majorBidi" w:hAnsiTheme="majorBidi" w:cstheme="majorBidi"/>
          <w:b/>
          <w:bCs/>
        </w:rPr>
      </w:pPr>
    </w:p>
    <w:p w14:paraId="41C4B6A2" w14:textId="77777777" w:rsidR="00453DCE" w:rsidRDefault="008A4B60" w:rsidP="008F6041">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E70187">
        <w:rPr>
          <w:rFonts w:ascii="Times New Roman" w:eastAsia="Times New Roman" w:hAnsi="Times New Roman" w:cs="Times New Roman"/>
          <w:b/>
          <w:bCs/>
          <w:kern w:val="0"/>
          <w14:ligatures w14:val="none"/>
        </w:rPr>
        <w:t>Abstract</w:t>
      </w:r>
      <w:r w:rsidR="00E70187">
        <w:rPr>
          <w:rFonts w:ascii="Times New Roman" w:eastAsia="Times New Roman" w:hAnsi="Times New Roman" w:cs="Times New Roman"/>
          <w:b/>
          <w:bCs/>
          <w:kern w:val="0"/>
          <w14:ligatures w14:val="none"/>
        </w:rPr>
        <w:t xml:space="preserve">: </w:t>
      </w:r>
    </w:p>
    <w:p w14:paraId="329F364D" w14:textId="77777777" w:rsidR="008A4B60" w:rsidRPr="00E70187" w:rsidRDefault="00453DCE" w:rsidP="00CB1DCD">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Backgrou</w:t>
      </w:r>
      <w:r w:rsidR="00CB1DCD">
        <w:rPr>
          <w:rFonts w:ascii="Times New Roman" w:eastAsia="Times New Roman" w:hAnsi="Times New Roman" w:cs="Times New Roman"/>
          <w:b/>
          <w:bCs/>
          <w:kern w:val="0"/>
          <w14:ligatures w14:val="none"/>
        </w:rPr>
        <w:t>n</w:t>
      </w:r>
      <w:r>
        <w:rPr>
          <w:rFonts w:ascii="Times New Roman" w:eastAsia="Times New Roman" w:hAnsi="Times New Roman" w:cs="Times New Roman"/>
          <w:b/>
          <w:bCs/>
          <w:kern w:val="0"/>
          <w14:ligatures w14:val="none"/>
        </w:rPr>
        <w:t>d:</w:t>
      </w:r>
      <w:r w:rsidR="00CB1DCD">
        <w:rPr>
          <w:rFonts w:ascii="Times New Roman" w:eastAsia="Times New Roman" w:hAnsi="Times New Roman" w:cs="Times New Roman"/>
          <w:b/>
          <w:bCs/>
          <w:kern w:val="0"/>
          <w14:ligatures w14:val="none"/>
        </w:rPr>
        <w:t xml:space="preserve"> </w:t>
      </w:r>
      <w:r w:rsidR="008A4B60" w:rsidRPr="008A4B60">
        <w:rPr>
          <w:rFonts w:ascii="Times New Roman" w:eastAsia="Times New Roman" w:hAnsi="Times New Roman" w:cs="Times New Roman"/>
          <w:kern w:val="0"/>
          <w14:ligatures w14:val="none"/>
        </w:rPr>
        <w:t xml:space="preserve">Toxoplasmosis, caused by the protozoan parasite </w:t>
      </w:r>
      <w:r w:rsidR="008A4B60" w:rsidRPr="008A4B60">
        <w:rPr>
          <w:rFonts w:ascii="Times New Roman" w:eastAsia="Times New Roman" w:hAnsi="Times New Roman" w:cs="Times New Roman"/>
          <w:i/>
          <w:iCs/>
          <w:kern w:val="0"/>
          <w14:ligatures w14:val="none"/>
        </w:rPr>
        <w:t>Toxoplasma gondii</w:t>
      </w:r>
      <w:r w:rsidR="008A4B60" w:rsidRPr="008A4B60">
        <w:rPr>
          <w:rFonts w:ascii="Times New Roman" w:eastAsia="Times New Roman" w:hAnsi="Times New Roman" w:cs="Times New Roman"/>
          <w:kern w:val="0"/>
          <w14:ligatures w14:val="none"/>
        </w:rPr>
        <w:t xml:space="preserve">, remains a major public health concern globally and particularly in Iraq. </w:t>
      </w:r>
      <w:r w:rsidRPr="00453DCE">
        <w:rPr>
          <w:rFonts w:ascii="Times New Roman" w:eastAsia="Times New Roman" w:hAnsi="Times New Roman" w:cs="Times New Roman"/>
          <w:b/>
          <w:bCs/>
          <w:kern w:val="0"/>
          <w14:ligatures w14:val="none"/>
        </w:rPr>
        <w:t>Aims:</w:t>
      </w:r>
      <w:r w:rsidR="00CB1DCD">
        <w:rPr>
          <w:rFonts w:ascii="Times New Roman" w:eastAsia="Times New Roman" w:hAnsi="Times New Roman" w:cs="Times New Roman"/>
          <w:b/>
          <w:bCs/>
          <w:kern w:val="0"/>
          <w14:ligatures w14:val="none"/>
        </w:rPr>
        <w:t xml:space="preserve"> </w:t>
      </w:r>
      <w:r w:rsidR="008A4B60" w:rsidRPr="008A4B60">
        <w:rPr>
          <w:rFonts w:ascii="Times New Roman" w:eastAsia="Times New Roman" w:hAnsi="Times New Roman" w:cs="Times New Roman"/>
          <w:kern w:val="0"/>
          <w14:ligatures w14:val="none"/>
        </w:rPr>
        <w:t xml:space="preserve">This review systematically analyzes the evolution of human toxoplasmosis research in Iraq from 1989 to 2025, focusing exclusively on studies involving human populations. </w:t>
      </w:r>
      <w:r w:rsidRPr="00453DCE">
        <w:rPr>
          <w:rFonts w:ascii="Times New Roman" w:eastAsia="Times New Roman" w:hAnsi="Times New Roman" w:cs="Times New Roman"/>
          <w:b/>
          <w:bCs/>
          <w:kern w:val="0"/>
          <w14:ligatures w14:val="none"/>
        </w:rPr>
        <w:t>Setting:</w:t>
      </w:r>
      <w:r w:rsidR="00CB1DCD">
        <w:rPr>
          <w:rFonts w:ascii="Times New Roman" w:eastAsia="Times New Roman" w:hAnsi="Times New Roman" w:cs="Times New Roman"/>
          <w:b/>
          <w:bCs/>
          <w:kern w:val="0"/>
          <w14:ligatures w14:val="none"/>
        </w:rPr>
        <w:t xml:space="preserve"> </w:t>
      </w:r>
      <w:r w:rsidR="008A4B60" w:rsidRPr="008A4B60">
        <w:rPr>
          <w:rFonts w:ascii="Times New Roman" w:eastAsia="Times New Roman" w:hAnsi="Times New Roman" w:cs="Times New Roman"/>
          <w:kern w:val="0"/>
          <w14:ligatures w14:val="none"/>
        </w:rPr>
        <w:t>Early investigations (1989–2000) primarily assessed seroprevalence rates, revealing widespread exposure across various Iraqi regions with rates between 25% and 45%. The clinical expansion phase (2001–2010) emphasized the association between toxoplasmosis and adverse pregnancy outcomes, including miscarriage</w:t>
      </w:r>
      <w:r w:rsidR="008F6041">
        <w:rPr>
          <w:rFonts w:ascii="Times New Roman" w:eastAsia="Times New Roman" w:hAnsi="Times New Roman" w:cs="Times New Roman"/>
          <w:kern w:val="0"/>
          <w14:ligatures w14:val="none"/>
        </w:rPr>
        <w:t xml:space="preserve">, congenital anomalies, </w:t>
      </w:r>
      <w:r w:rsidR="008A4B60" w:rsidRPr="008A4B60">
        <w:rPr>
          <w:rFonts w:ascii="Times New Roman" w:eastAsia="Times New Roman" w:hAnsi="Times New Roman" w:cs="Times New Roman"/>
          <w:kern w:val="0"/>
          <w14:ligatures w14:val="none"/>
        </w:rPr>
        <w:t xml:space="preserve">and infertility. From 2011 onward, major advances occurred with the introduction of molecular diagnostics, including PCR-based techniques and genotyping of </w:t>
      </w:r>
      <w:r w:rsidR="008A4B60" w:rsidRPr="008A4B60">
        <w:rPr>
          <w:rFonts w:ascii="Times New Roman" w:eastAsia="Times New Roman" w:hAnsi="Times New Roman" w:cs="Times New Roman"/>
          <w:i/>
          <w:iCs/>
          <w:kern w:val="0"/>
          <w14:ligatures w14:val="none"/>
        </w:rPr>
        <w:t>T. gondii</w:t>
      </w:r>
      <w:r w:rsidR="008A4B60" w:rsidRPr="008A4B60">
        <w:rPr>
          <w:rFonts w:ascii="Times New Roman" w:eastAsia="Times New Roman" w:hAnsi="Times New Roman" w:cs="Times New Roman"/>
          <w:kern w:val="0"/>
          <w14:ligatures w14:val="none"/>
        </w:rPr>
        <w:t xml:space="preserve"> strains.</w:t>
      </w:r>
      <w:r w:rsidR="00CB1DCD">
        <w:rPr>
          <w:rFonts w:ascii="Times New Roman" w:eastAsia="Times New Roman" w:hAnsi="Times New Roman" w:cs="Times New Roman"/>
          <w:kern w:val="0"/>
          <w14:ligatures w14:val="none"/>
        </w:rPr>
        <w:t xml:space="preserve"> </w:t>
      </w:r>
      <w:r w:rsidRPr="00490252">
        <w:rPr>
          <w:rFonts w:ascii="Times New Roman" w:eastAsia="Times New Roman" w:hAnsi="Times New Roman" w:cs="Times New Roman"/>
          <w:b/>
          <w:bCs/>
          <w:kern w:val="0"/>
          <w14:ligatures w14:val="none"/>
        </w:rPr>
        <w:t>Results:</w:t>
      </w:r>
      <w:r w:rsidR="008A4B60" w:rsidRPr="008A4B60">
        <w:rPr>
          <w:rFonts w:ascii="Times New Roman" w:eastAsia="Times New Roman" w:hAnsi="Times New Roman" w:cs="Times New Roman"/>
          <w:kern w:val="0"/>
          <w14:ligatures w14:val="none"/>
        </w:rPr>
        <w:t xml:space="preserve"> In recent years, interdisciplinary studies have explored connections between chronic toxoplasmosis and neuropsychiatric disorders and evaluated the risk of opportunistic reactivation post-COVID-19. Despite significant scientific progress, challenges remain, including limited nationwide screening, uneven diagnostic capacities, and scarce longitudinal studies. Future directions should focus on expanding molecular surveillance, integrating routine screening into maternal healthcare, and fostering interdisciplinary and international collaborations</w:t>
      </w:r>
      <w:r w:rsidR="008F6041">
        <w:rPr>
          <w:rFonts w:ascii="Times New Roman" w:eastAsia="Times New Roman" w:hAnsi="Times New Roman" w:cs="Times New Roman"/>
          <w:kern w:val="0"/>
          <w14:ligatures w14:val="none"/>
        </w:rPr>
        <w:t>, as well as t</w:t>
      </w:r>
      <w:r w:rsidR="00CB1DCD">
        <w:rPr>
          <w:rFonts w:ascii="Times New Roman" w:eastAsia="Times New Roman" w:hAnsi="Times New Roman" w:cs="Times New Roman"/>
          <w:kern w:val="0"/>
          <w14:ligatures w14:val="none"/>
        </w:rPr>
        <w:t>he</w:t>
      </w:r>
      <w:r w:rsidR="008F6041">
        <w:rPr>
          <w:rFonts w:ascii="Times New Roman" w:eastAsia="Times New Roman" w:hAnsi="Times New Roman" w:cs="Times New Roman"/>
          <w:kern w:val="0"/>
          <w14:ligatures w14:val="none"/>
        </w:rPr>
        <w:t xml:space="preserve"> inv</w:t>
      </w:r>
      <w:r w:rsidR="00CB1DCD">
        <w:rPr>
          <w:rFonts w:ascii="Times New Roman" w:eastAsia="Times New Roman" w:hAnsi="Times New Roman" w:cs="Times New Roman"/>
          <w:kern w:val="0"/>
          <w14:ligatures w14:val="none"/>
        </w:rPr>
        <w:t>en</w:t>
      </w:r>
      <w:r w:rsidR="008F6041">
        <w:rPr>
          <w:rFonts w:ascii="Times New Roman" w:eastAsia="Times New Roman" w:hAnsi="Times New Roman" w:cs="Times New Roman"/>
          <w:kern w:val="0"/>
          <w14:ligatures w14:val="none"/>
        </w:rPr>
        <w:t xml:space="preserve">tion of new anti-toxoplasma drugs rather than </w:t>
      </w:r>
      <w:proofErr w:type="spellStart"/>
      <w:r w:rsidR="008F6041">
        <w:rPr>
          <w:rFonts w:ascii="Times New Roman" w:eastAsia="Times New Roman" w:hAnsi="Times New Roman" w:cs="Times New Roman"/>
          <w:kern w:val="0"/>
          <w14:ligatures w14:val="none"/>
        </w:rPr>
        <w:t>pyrimethamin</w:t>
      </w:r>
      <w:proofErr w:type="spellEnd"/>
      <w:r w:rsidR="008F6041">
        <w:rPr>
          <w:rFonts w:ascii="Times New Roman" w:eastAsia="Times New Roman" w:hAnsi="Times New Roman" w:cs="Times New Roman"/>
          <w:kern w:val="0"/>
          <w14:ligatures w14:val="none"/>
        </w:rPr>
        <w:t xml:space="preserve"> and even instead of </w:t>
      </w:r>
      <w:proofErr w:type="spellStart"/>
      <w:r w:rsidR="008F6041">
        <w:rPr>
          <w:rFonts w:ascii="Times New Roman" w:eastAsia="Times New Roman" w:hAnsi="Times New Roman" w:cs="Times New Roman"/>
          <w:kern w:val="0"/>
          <w14:ligatures w14:val="none"/>
        </w:rPr>
        <w:t>spiramycin</w:t>
      </w:r>
      <w:proofErr w:type="spellEnd"/>
      <w:r w:rsidR="008F6041">
        <w:rPr>
          <w:rFonts w:ascii="Times New Roman" w:eastAsia="Times New Roman" w:hAnsi="Times New Roman" w:cs="Times New Roman"/>
          <w:kern w:val="0"/>
          <w14:ligatures w14:val="none"/>
        </w:rPr>
        <w:t>(</w:t>
      </w:r>
      <w:r w:rsidR="00CB1DCD">
        <w:rPr>
          <w:rFonts w:ascii="Times New Roman" w:eastAsia="Times New Roman" w:hAnsi="Times New Roman" w:cs="Times New Roman"/>
          <w:kern w:val="0"/>
          <w14:ligatures w14:val="none"/>
        </w:rPr>
        <w:t xml:space="preserve">a </w:t>
      </w:r>
      <w:r w:rsidR="008F6041">
        <w:rPr>
          <w:rFonts w:ascii="Times New Roman" w:eastAsia="Times New Roman" w:hAnsi="Times New Roman" w:cs="Times New Roman"/>
          <w:kern w:val="0"/>
          <w14:ligatures w14:val="none"/>
        </w:rPr>
        <w:t>traditional and safe drug during toxoplasmosis)</w:t>
      </w:r>
      <w:r w:rsidR="008A4B60" w:rsidRPr="008A4B60">
        <w:rPr>
          <w:rFonts w:ascii="Times New Roman" w:eastAsia="Times New Roman" w:hAnsi="Times New Roman" w:cs="Times New Roman"/>
          <w:kern w:val="0"/>
          <w14:ligatures w14:val="none"/>
        </w:rPr>
        <w:t>.</w:t>
      </w:r>
      <w:r w:rsidRPr="00453DCE">
        <w:rPr>
          <w:rFonts w:ascii="Times New Roman" w:eastAsia="Times New Roman" w:hAnsi="Times New Roman" w:cs="Times New Roman"/>
          <w:b/>
          <w:bCs/>
          <w:kern w:val="0"/>
          <w14:ligatures w14:val="none"/>
        </w:rPr>
        <w:t>Con</w:t>
      </w:r>
      <w:r w:rsidR="00CB1DCD">
        <w:rPr>
          <w:rFonts w:ascii="Times New Roman" w:eastAsia="Times New Roman" w:hAnsi="Times New Roman" w:cs="Times New Roman"/>
          <w:b/>
          <w:bCs/>
          <w:kern w:val="0"/>
          <w14:ligatures w14:val="none"/>
        </w:rPr>
        <w:t>c</w:t>
      </w:r>
      <w:r w:rsidRPr="00453DCE">
        <w:rPr>
          <w:rFonts w:ascii="Times New Roman" w:eastAsia="Times New Roman" w:hAnsi="Times New Roman" w:cs="Times New Roman"/>
          <w:b/>
          <w:bCs/>
          <w:kern w:val="0"/>
          <w14:ligatures w14:val="none"/>
        </w:rPr>
        <w:t>lusions:</w:t>
      </w:r>
      <w:r w:rsidR="008A4B60" w:rsidRPr="00453DCE">
        <w:rPr>
          <w:rFonts w:ascii="Times New Roman" w:eastAsia="Times New Roman" w:hAnsi="Times New Roman" w:cs="Times New Roman"/>
          <w:b/>
          <w:bCs/>
          <w:kern w:val="0"/>
          <w14:ligatures w14:val="none"/>
        </w:rPr>
        <w:t xml:space="preserve"> </w:t>
      </w:r>
      <w:r w:rsidR="008A4B60" w:rsidRPr="008A4B60">
        <w:rPr>
          <w:rFonts w:ascii="Times New Roman" w:eastAsia="Times New Roman" w:hAnsi="Times New Roman" w:cs="Times New Roman"/>
          <w:kern w:val="0"/>
          <w14:ligatures w14:val="none"/>
        </w:rPr>
        <w:t>This review highlights the resilience and innovation of Iraqi researchers and offers strategic insights for advancing toxoplasmosis research, diagnosis, and public health management in Iraq.</w:t>
      </w:r>
    </w:p>
    <w:p w14:paraId="20F2EC76" w14:textId="77777777" w:rsidR="002A3CF7" w:rsidRPr="00D123A2" w:rsidRDefault="008A4B60" w:rsidP="00E70187">
      <w:pPr>
        <w:jc w:val="both"/>
        <w:rPr>
          <w:rFonts w:asciiTheme="majorBidi" w:hAnsiTheme="majorBidi" w:cstheme="majorBidi"/>
          <w:b/>
          <w:bCs/>
        </w:rPr>
      </w:pPr>
      <w:r w:rsidRPr="008A4B60">
        <w:rPr>
          <w:rFonts w:asciiTheme="majorBidi" w:hAnsiTheme="majorBidi" w:cstheme="majorBidi"/>
          <w:b/>
          <w:bCs/>
        </w:rPr>
        <w:t>Keywords:</w:t>
      </w:r>
      <w:r w:rsidR="00E70187">
        <w:rPr>
          <w:rFonts w:asciiTheme="majorBidi" w:hAnsiTheme="majorBidi" w:cstheme="majorBidi"/>
          <w:b/>
          <w:bCs/>
        </w:rPr>
        <w:t xml:space="preserve"> </w:t>
      </w:r>
      <w:r w:rsidRPr="008A4B60">
        <w:rPr>
          <w:rFonts w:asciiTheme="majorBidi" w:hAnsiTheme="majorBidi" w:cstheme="majorBidi"/>
          <w:b/>
          <w:bCs/>
        </w:rPr>
        <w:t>Toxoplasmosis,</w:t>
      </w:r>
      <w:r w:rsidR="00E70187">
        <w:rPr>
          <w:rFonts w:asciiTheme="majorBidi" w:hAnsiTheme="majorBidi" w:cstheme="majorBidi"/>
          <w:b/>
          <w:bCs/>
        </w:rPr>
        <w:t xml:space="preserve"> </w:t>
      </w:r>
      <w:r w:rsidR="00E70187" w:rsidRPr="00E70187">
        <w:rPr>
          <w:rFonts w:asciiTheme="majorBidi" w:hAnsiTheme="majorBidi" w:cstheme="majorBidi"/>
          <w:b/>
          <w:bCs/>
          <w:i/>
          <w:iCs/>
        </w:rPr>
        <w:t xml:space="preserve">Toxoplasma </w:t>
      </w:r>
      <w:r w:rsidRPr="00E70187">
        <w:rPr>
          <w:rFonts w:asciiTheme="majorBidi" w:hAnsiTheme="majorBidi" w:cstheme="majorBidi"/>
          <w:b/>
          <w:bCs/>
          <w:i/>
          <w:iCs/>
        </w:rPr>
        <w:t>gondii</w:t>
      </w:r>
      <w:r w:rsidR="00CE4CCA">
        <w:rPr>
          <w:rFonts w:asciiTheme="majorBidi" w:hAnsiTheme="majorBidi" w:cstheme="majorBidi"/>
          <w:b/>
          <w:bCs/>
          <w:i/>
          <w:iCs/>
        </w:rPr>
        <w:t>,</w:t>
      </w:r>
      <w:r w:rsidRPr="008A4B60">
        <w:rPr>
          <w:rFonts w:asciiTheme="majorBidi" w:hAnsiTheme="majorBidi" w:cstheme="majorBidi"/>
          <w:b/>
          <w:bCs/>
        </w:rPr>
        <w:t xml:space="preserve"> Iraq, Molecular diagnostics, Seroprevalence, Reproductive health, Neuropsychiatric disorders</w:t>
      </w:r>
      <w:r w:rsidR="00E70187">
        <w:rPr>
          <w:rFonts w:asciiTheme="majorBidi" w:hAnsiTheme="majorBidi" w:cstheme="majorBidi"/>
          <w:b/>
          <w:bCs/>
        </w:rPr>
        <w:t>.</w:t>
      </w:r>
    </w:p>
    <w:p w14:paraId="22661F18" w14:textId="77777777" w:rsidR="00130CFF" w:rsidRDefault="00CB1DCD" w:rsidP="00CB1DCD">
      <w:pPr>
        <w:pStyle w:val="NormalWeb"/>
      </w:pPr>
      <w:r w:rsidRPr="00CB1DCD">
        <w:rPr>
          <w:b/>
          <w:bCs/>
        </w:rPr>
        <w:t>Introduction:</w:t>
      </w:r>
      <w:r w:rsidR="00130CFF" w:rsidRPr="00CB1DCD">
        <w:rPr>
          <w:b/>
          <w:bCs/>
        </w:rPr>
        <w:t xml:space="preserve"> </w:t>
      </w:r>
      <w:r w:rsidR="00130CFF">
        <w:t>The obligate intracellular parasite Toxoplasma gondii is the aetiological agent of toxoplasmosis, which is a significant worldwide public health issue with an even greater impact on developing countries, including Iraq. Research focused on the prevalence, diagnosis, clinical impact, and immunology of toxoplasmosis has been conducted extensively in Iraq since 1989 [3]. In the face of wars, sanctions</w:t>
      </w:r>
      <w:r>
        <w:t>,</w:t>
      </w:r>
      <w:r w:rsidR="00130CFF">
        <w:t xml:space="preserve"> and unrest in </w:t>
      </w:r>
      <w:r>
        <w:t xml:space="preserve">the </w:t>
      </w:r>
      <w:r w:rsidR="00130CFF">
        <w:t>sixty years since the monarchy era, Iraqi academics have achieved many valu</w:t>
      </w:r>
      <w:r>
        <w:t>able</w:t>
      </w:r>
      <w:r w:rsidR="00130CFF">
        <w:t xml:space="preserve"> work</w:t>
      </w:r>
      <w:r>
        <w:t>s</w:t>
      </w:r>
      <w:r w:rsidR="00130CFF">
        <w:t xml:space="preserve"> during </w:t>
      </w:r>
      <w:r>
        <w:t xml:space="preserve">the </w:t>
      </w:r>
      <w:r w:rsidR="00130CFF">
        <w:t>first three Sanctions (Mahmoud &amp; Al-</w:t>
      </w:r>
      <w:proofErr w:type="spellStart"/>
      <w:r w:rsidR="00130CFF">
        <w:t>Janabi</w:t>
      </w:r>
      <w:proofErr w:type="spellEnd"/>
      <w:r w:rsidR="00130CFF">
        <w:t>, 1989-1998; Al-Bayati et al., 1991).</w:t>
      </w:r>
    </w:p>
    <w:p w14:paraId="42C3A659" w14:textId="77777777" w:rsidR="00130CFF" w:rsidRDefault="00130CFF" w:rsidP="00490252">
      <w:pPr>
        <w:pStyle w:val="NormalWeb"/>
      </w:pPr>
      <w:r>
        <w:t>From 1989 to 2000, seroprevalence investigations detected T. gondii infection in immunocompromised persons, children, pregnant women</w:t>
      </w:r>
      <w:r w:rsidR="00CB1DCD">
        <w:t>,</w:t>
      </w:r>
      <w:r>
        <w:t xml:space="preserve"> and blood </w:t>
      </w:r>
      <w:proofErr w:type="gramStart"/>
      <w:r>
        <w:t>donors[</w:t>
      </w:r>
      <w:proofErr w:type="gramEnd"/>
      <w:r>
        <w:t>4]. These studies estimated prevalence to be 25% to 45% across governorates, particularly among women of childbearing age (Al-Dabbagh et al.,2003; Salman,1997). The study of Salman and his colleagues in Kirkuk a</w:t>
      </w:r>
      <w:r w:rsidR="00490252">
        <w:t>lso</w:t>
      </w:r>
      <w:r>
        <w:t xml:space="preserve"> contributed to their identification of toxoplasmosis as a </w:t>
      </w:r>
      <w:r>
        <w:lastRenderedPageBreak/>
        <w:t>risk factor for adverse pregnancy outcome</w:t>
      </w:r>
      <w:r w:rsidR="00CB1DCD">
        <w:t>,</w:t>
      </w:r>
      <w:r>
        <w:t xml:space="preserve"> which later clarified some aspects regarding the dissemination of this infection in adjacent regions (Salman, 1995; Salman</w:t>
      </w:r>
      <w:r w:rsidR="00CB1DCD">
        <w:t>,</w:t>
      </w:r>
      <w:r>
        <w:t xml:space="preserve"> 1997).</w:t>
      </w:r>
    </w:p>
    <w:p w14:paraId="66D17ADF" w14:textId="77777777" w:rsidR="00130CFF" w:rsidRDefault="00130CFF" w:rsidP="00CB1DCD">
      <w:pPr>
        <w:pStyle w:val="NormalWeb"/>
      </w:pPr>
      <w:r>
        <w:t>Initially, diagnostic techniques for the parasite depend</w:t>
      </w:r>
      <w:r w:rsidR="00CB1DCD">
        <w:t>ed</w:t>
      </w:r>
      <w:r>
        <w:t xml:space="preserve"> on serological measurements like </w:t>
      </w:r>
      <w:r w:rsidR="00CB1DCD">
        <w:t xml:space="preserve">the </w:t>
      </w:r>
      <w:r>
        <w:t>indirect fluorescent antibody test (IFAT), latex agglutination test (LAT)</w:t>
      </w:r>
      <w:r w:rsidR="00CB1DCD">
        <w:t>,</w:t>
      </w:r>
      <w:r>
        <w:t xml:space="preserve"> Sabin-Feldman dye test</w:t>
      </w:r>
      <w:r w:rsidR="00CB1DCD">
        <w:t>,</w:t>
      </w:r>
      <w:r>
        <w:t xml:space="preserve"> and ELISA. Furthermore, Salman reviewed and compared diagnostic methods in Kirkuk, Iraq, which supports the use of uniform examination screening (Salman 2000).</w:t>
      </w:r>
    </w:p>
    <w:p w14:paraId="0D63B55A" w14:textId="77777777" w:rsidR="00130CFF" w:rsidRDefault="00130CFF" w:rsidP="00CB1DCD">
      <w:pPr>
        <w:pStyle w:val="NormalWeb"/>
      </w:pPr>
      <w:r>
        <w:t xml:space="preserve">During the early 2000s, there were numerous clinical trials associating toxoplasmosis </w:t>
      </w:r>
      <w:r w:rsidR="00CB1DCD">
        <w:t>with</w:t>
      </w:r>
      <w:r>
        <w:t xml:space="preserve"> stillbirths, infertility</w:t>
      </w:r>
      <w:r w:rsidR="00CB1DCD">
        <w:t>,</w:t>
      </w:r>
      <w:r>
        <w:t xml:space="preserve"> and spontaneous abortions. Studies comparing the seroprevalences of T. gondii infection in women with recurrent spontaneous abortion and in control healthy groups demonstrated significantly higher rates of anti-Toxoplasma antibodies in numerous case-control series. Conclusions: Results show that screening for toxoplasmosis is necessary in pregnant women candidates for prenatal care in Kirkuk, Basrah</w:t>
      </w:r>
      <w:r w:rsidR="00CB1DCD">
        <w:t>,</w:t>
      </w:r>
      <w:r>
        <w:t xml:space="preserve"> and Baghdad.</w:t>
      </w:r>
    </w:p>
    <w:p w14:paraId="4530E63B" w14:textId="77777777" w:rsidR="00130CFF" w:rsidRDefault="00130CFF" w:rsidP="00130CFF">
      <w:pPr>
        <w:pStyle w:val="NormalWeb"/>
      </w:pPr>
      <w:r>
        <w:t xml:space="preserve">The study of the immunology of </w:t>
      </w:r>
      <w:r w:rsidRPr="00CB1DCD">
        <w:rPr>
          <w:i/>
          <w:iCs/>
        </w:rPr>
        <w:t>T. gondii</w:t>
      </w:r>
      <w:r>
        <w:t xml:space="preserve"> host immune responses took its basis from reproductive health research [72, 73]. In Baghdad and Mosul, the studies conducted showed higher levels of IL-12 and IFN-γ in chronic-infected patients (Al-Hilli et al., 2010; Al-</w:t>
      </w:r>
      <w:proofErr w:type="spellStart"/>
      <w:r>
        <w:t>Kubaisy</w:t>
      </w:r>
      <w:proofErr w:type="spellEnd"/>
      <w:r>
        <w:t xml:space="preserve"> et al., 2012). Salman, who investigated CD4+ T cell responses during latent infection in Kirkuk as well (Salman et al. 2001). This discovery was crucial for understanding the chronicity and etiology of human toxoplasmosis.</w:t>
      </w:r>
    </w:p>
    <w:p w14:paraId="7FFD4989" w14:textId="77777777" w:rsidR="00130CFF" w:rsidRDefault="00130CFF" w:rsidP="00CB1DCD">
      <w:pPr>
        <w:pStyle w:val="NormalWeb"/>
      </w:pPr>
      <w:r>
        <w:t xml:space="preserve">The 2010s were also significant as a molecular epidemiology era. Iraqi researchers began detecting </w:t>
      </w:r>
      <w:r w:rsidRPr="00CB1DCD">
        <w:rPr>
          <w:i/>
          <w:iCs/>
        </w:rPr>
        <w:t>T</w:t>
      </w:r>
      <w:r w:rsidR="00CB1DCD">
        <w:rPr>
          <w:i/>
          <w:iCs/>
        </w:rPr>
        <w:t>.</w:t>
      </w:r>
      <w:r w:rsidRPr="00CB1DCD">
        <w:rPr>
          <w:i/>
          <w:iCs/>
        </w:rPr>
        <w:t xml:space="preserve"> gondii</w:t>
      </w:r>
      <w:r w:rsidR="00CB1DCD">
        <w:t xml:space="preserve"> </w:t>
      </w:r>
      <w:r>
        <w:t>DNA in the blood, amniotic fluid</w:t>
      </w:r>
      <w:r w:rsidR="00CB1DCD">
        <w:t>,</w:t>
      </w:r>
      <w:r>
        <w:t xml:space="preserve"> and cerebrospinal fluid using PCR (Al-Saadi &amp; Al-Saadi, 2015; Al-</w:t>
      </w:r>
      <w:proofErr w:type="spellStart"/>
      <w:r>
        <w:t>Janabi</w:t>
      </w:r>
      <w:proofErr w:type="spellEnd"/>
      <w:r>
        <w:t xml:space="preserve"> &amp; Al-Khafaji, 2017)$/ Conclusion: Strain distribution and clinical severity of T. gondii were shown to occur in Iraq by genetic typing the strains. Salman (2013) report</w:t>
      </w:r>
      <w:r w:rsidR="00CB1DCD">
        <w:t>ed</w:t>
      </w:r>
      <w:r>
        <w:t xml:space="preserve"> </w:t>
      </w:r>
      <w:r w:rsidR="00CB1DCD">
        <w:t xml:space="preserve">that </w:t>
      </w:r>
      <w:r>
        <w:t xml:space="preserve">the prevalence of E. </w:t>
      </w:r>
      <w:proofErr w:type="spellStart"/>
      <w:r>
        <w:t>granulosus</w:t>
      </w:r>
      <w:proofErr w:type="spellEnd"/>
      <w:r>
        <w:t xml:space="preserve"> from sera </w:t>
      </w:r>
      <w:r w:rsidR="00CB1DCD">
        <w:t xml:space="preserve">of </w:t>
      </w:r>
      <w:r>
        <w:t xml:space="preserve">mice in Iraq by </w:t>
      </w:r>
      <w:r w:rsidR="00CB1DCD">
        <w:t xml:space="preserve">the </w:t>
      </w:r>
      <w:r>
        <w:t>nested-PCR technique w</w:t>
      </w:r>
      <w:r w:rsidR="00CB1DCD">
        <w:t>as</w:t>
      </w:r>
      <w:r>
        <w:t xml:space="preserve"> useful for parasitology </w:t>
      </w:r>
      <w:r w:rsidR="00CB1DCD">
        <w:t>in</w:t>
      </w:r>
      <w:r>
        <w:t xml:space="preserve"> Iraq.</w:t>
      </w:r>
    </w:p>
    <w:p w14:paraId="32FB0063" w14:textId="77777777" w:rsidR="00130CFF" w:rsidRDefault="00130CFF" w:rsidP="00CB1DCD">
      <w:pPr>
        <w:pStyle w:val="NormalWeb"/>
      </w:pPr>
      <w:r>
        <w:t>Recombinant antigen-based ELISA tests</w:t>
      </w:r>
      <w:r w:rsidR="00CB1DCD">
        <w:t>,</w:t>
      </w:r>
      <w:r>
        <w:t xml:space="preserve"> along with IgG avidity assays</w:t>
      </w:r>
      <w:r w:rsidR="00CB1DCD">
        <w:t>,</w:t>
      </w:r>
      <w:r>
        <w:t xml:space="preserve"> have been used to differentiate acute from chronic infections (Al-Khafaji &amp; Al-</w:t>
      </w:r>
      <w:proofErr w:type="spellStart"/>
      <w:r>
        <w:t>Janabi</w:t>
      </w:r>
      <w:proofErr w:type="spellEnd"/>
      <w:r>
        <w:t>, 2022</w:t>
      </w:r>
      <w:r w:rsidR="00CB1DCD">
        <w:t>;</w:t>
      </w:r>
      <w:r>
        <w:t xml:space="preserve"> Al-</w:t>
      </w:r>
      <w:proofErr w:type="spellStart"/>
      <w:r>
        <w:t>Taee</w:t>
      </w:r>
      <w:proofErr w:type="spellEnd"/>
      <w:r>
        <w:t xml:space="preserve"> &amp; Al-Dabbagh, 2018). Studies emphasized the need </w:t>
      </w:r>
      <w:r w:rsidR="00CB1DCD">
        <w:t>for</w:t>
      </w:r>
      <w:r>
        <w:t xml:space="preserve"> accurate diagnosis of acute infections, especially during pregnancy</w:t>
      </w:r>
      <w:r w:rsidR="00CB1DCD">
        <w:t>,</w:t>
      </w:r>
      <w:r>
        <w:t xml:space="preserve"> to avoid congenital toxoplasmosis.</w:t>
      </w:r>
    </w:p>
    <w:p w14:paraId="624A93EE" w14:textId="77777777" w:rsidR="00130CFF" w:rsidRDefault="00130CFF" w:rsidP="00490252">
      <w:pPr>
        <w:pStyle w:val="NormalWeb"/>
      </w:pPr>
      <w:r>
        <w:t xml:space="preserve">Studies in Iraq indicated that Toxoplasma gondii infection was associated with some neuropsychiatric disorders such as schizophrenia and </w:t>
      </w:r>
      <w:proofErr w:type="spellStart"/>
      <w:proofErr w:type="gramStart"/>
      <w:r>
        <w:t>parkinson</w:t>
      </w:r>
      <w:proofErr w:type="spellEnd"/>
      <w:r>
        <w:t>[</w:t>
      </w:r>
      <w:proofErr w:type="gramEnd"/>
      <w:r>
        <w:t xml:space="preserve">12]. A case–control study from Baghdad with 200 patients and 100 healthy controls found seropositivity rates for both IgG to be similarly high in patients (79.7% vs. in 73.3%) but the rate of IgM antibodies were significantly higher as well with no detectable levels in samples from control subjects leading to suggestions that recent infection could have a role on the pathogenicity of the disease [5]. Al-Asadi and </w:t>
      </w:r>
      <w:proofErr w:type="spellStart"/>
      <w:r>
        <w:t>Husseiny</w:t>
      </w:r>
      <w:proofErr w:type="spellEnd"/>
      <w:r>
        <w:t xml:space="preserve"> (2022) linked Schizophrenia to T. gondii infection in Al-Diwaniyah by period of erectile MMP-9 gene polymorphisms as a </w:t>
      </w:r>
      <w:proofErr w:type="spellStart"/>
      <w:r>
        <w:t>mechanism</w:t>
      </w:r>
      <w:r>
        <w:rPr>
          <w:rFonts w:ascii="MS Mincho" w:eastAsia="MS Mincho" w:hAnsi="MS Mincho" w:cs="MS Mincho" w:hint="eastAsia"/>
        </w:rPr>
        <w:t>答</w:t>
      </w:r>
      <w:proofErr w:type="spellEnd"/>
      <w:r>
        <w:t xml:space="preserve"> on the gene level. Another key trend was the research of neurops</w:t>
      </w:r>
      <w:r w:rsidR="00CB1DCD">
        <w:t>ychiatric</w:t>
      </w:r>
      <w:r>
        <w:t xml:space="preserve"> associations. After worldwide reports had connected toxoplasmosis with psychiatric </w:t>
      </w:r>
      <w:r>
        <w:lastRenderedPageBreak/>
        <w:t xml:space="preserve">disorders, Iraqi investigators examined </w:t>
      </w:r>
      <w:r w:rsidRPr="00490252">
        <w:rPr>
          <w:i/>
          <w:iCs/>
        </w:rPr>
        <w:t>T. gondii</w:t>
      </w:r>
      <w:r>
        <w:t xml:space="preserve"> antibody seroprevalence in patients with schizophrenia, bipolar disorder, and major depressive disorder. Latent toxoplasmosis has also been proposed to result in neuroinflammation effects and could lead to cognitive alterations (Salman, 2015). The absence of cases with IgM infections on PCR analysis could explain the absence of depression due to acute </w:t>
      </w:r>
      <w:r w:rsidRPr="00CB1DCD">
        <w:rPr>
          <w:i/>
          <w:iCs/>
        </w:rPr>
        <w:t>T. gondii</w:t>
      </w:r>
      <w:r>
        <w:t xml:space="preserve"> infection in our study and in the Baghdad 1 cross-sectional study </w:t>
      </w:r>
      <w:r w:rsidR="00490252">
        <w:rPr>
          <w:rtl/>
        </w:rPr>
        <w:t>(</w:t>
      </w:r>
      <w:r w:rsidR="00490252">
        <w:rPr>
          <w:lang w:val="en-US"/>
        </w:rPr>
        <w:t>Al-</w:t>
      </w:r>
      <w:proofErr w:type="spellStart"/>
      <w:r w:rsidR="00490252">
        <w:rPr>
          <w:lang w:val="en-US"/>
        </w:rPr>
        <w:t>Niaimi</w:t>
      </w:r>
      <w:proofErr w:type="spellEnd"/>
      <w:r w:rsidR="00490252">
        <w:rPr>
          <w:lang w:val="en-US"/>
        </w:rPr>
        <w:t xml:space="preserve"> et al, 2023)</w:t>
      </w:r>
      <w:r w:rsidR="00CB1DCD">
        <w:t>,</w:t>
      </w:r>
      <w:r>
        <w:t xml:space="preserve"> where 43.2 % were positive by IgG for </w:t>
      </w:r>
      <w:r w:rsidRPr="00490252">
        <w:rPr>
          <w:i/>
          <w:iCs/>
        </w:rPr>
        <w:t>T. gondii</w:t>
      </w:r>
      <w:r>
        <w:t xml:space="preserve"> out of 74 patients with PD </w:t>
      </w:r>
      <w:r w:rsidR="00490252">
        <w:t>( Al-</w:t>
      </w:r>
      <w:proofErr w:type="spellStart"/>
      <w:r w:rsidR="00490252">
        <w:t>Janabi</w:t>
      </w:r>
      <w:proofErr w:type="spellEnd"/>
      <w:r w:rsidR="00490252">
        <w:t xml:space="preserve"> et al,2022)</w:t>
      </w:r>
      <w:r>
        <w:t>. However, female gender and a positive family history of Parkinson's were protective variables [Al-Khalidi &amp; Al-</w:t>
      </w:r>
      <w:proofErr w:type="spellStart"/>
      <w:r>
        <w:t>Dujaili</w:t>
      </w:r>
      <w:proofErr w:type="spellEnd"/>
      <w:r>
        <w:t>, 2021]</w:t>
      </w:r>
      <w:r w:rsidR="00CB1DCD">
        <w:t>.</w:t>
      </w:r>
      <w:r>
        <w:t xml:space="preserve"> Although not causative, these findings raise the possibility that chronic or latent </w:t>
      </w:r>
      <w:r w:rsidRPr="00490252">
        <w:rPr>
          <w:i/>
          <w:iCs/>
        </w:rPr>
        <w:t>T. gondii</w:t>
      </w:r>
      <w:r>
        <w:t xml:space="preserve"> infection might also be responsible for neuroinflammatory processes leading to schizophrenia, Parkinson's disease</w:t>
      </w:r>
      <w:r w:rsidR="00CB1DCD">
        <w:t>,</w:t>
      </w:r>
      <w:r>
        <w:t xml:space="preserve"> and other neuropsychiatric disorders among Iraqis.</w:t>
      </w:r>
    </w:p>
    <w:p w14:paraId="6219F39E" w14:textId="77777777" w:rsidR="00130CFF" w:rsidRDefault="00130CFF" w:rsidP="00CB1DCD">
      <w:pPr>
        <w:pStyle w:val="NormalWeb"/>
      </w:pPr>
      <w:r>
        <w:t>Lined: 29 July, 2021Kirkuk studies studied the long epidemiology of COVID-19 in opp</w:t>
      </w:r>
      <w:r w:rsidR="00CB1DCD">
        <w:t>o</w:t>
      </w:r>
      <w:r>
        <w:t>rtunistic infections such as toxoplasmosis</w:t>
      </w:r>
      <w:r>
        <w:rPr>
          <w:rtl/>
        </w:rPr>
        <w:t xml:space="preserve">، </w:t>
      </w:r>
      <w:r>
        <w:t>cytomegalo</w:t>
      </w:r>
      <w:r w:rsidR="00CB1DCD">
        <w:t xml:space="preserve">virus </w:t>
      </w:r>
      <w:r>
        <w:t>(CMV)</w:t>
      </w:r>
      <w:r w:rsidR="00CB1DCD">
        <w:t>,</w:t>
      </w:r>
      <w:r>
        <w:t xml:space="preserve"> and rubella in immunocompr</w:t>
      </w:r>
      <w:r w:rsidR="00CB1DCD">
        <w:t>o</w:t>
      </w:r>
      <w:r>
        <w:t>mised persons</w:t>
      </w:r>
      <w:r>
        <w:rPr>
          <w:rtl/>
        </w:rPr>
        <w:t xml:space="preserve">، </w:t>
      </w:r>
      <w:r>
        <w:t xml:space="preserve">with one study </w:t>
      </w:r>
      <w:r w:rsidR="00CB1DCD">
        <w:t>focusing</w:t>
      </w:r>
      <w:r>
        <w:t xml:space="preserve"> on following bone-related biochemical marker</w:t>
      </w:r>
      <w:r w:rsidR="00CB1DCD">
        <w:t>s</w:t>
      </w:r>
      <w:r>
        <w:t xml:space="preserve"> (year: 2020–205). COVID-19 survivors also showed reactivation or secondary toxoplasmosis (Al-</w:t>
      </w:r>
      <w:proofErr w:type="spellStart"/>
      <w:r>
        <w:t>Janabi</w:t>
      </w:r>
      <w:proofErr w:type="spellEnd"/>
      <w:r>
        <w:t xml:space="preserve"> et al. 2022; Al-Shammari 2023) with higher diagnostic accuracy when using </w:t>
      </w:r>
      <w:proofErr w:type="spellStart"/>
      <w:r>
        <w:t>rPCR</w:t>
      </w:r>
      <w:proofErr w:type="spellEnd"/>
      <w:r>
        <w:t>. Amin et al. According to (2024)</w:t>
      </w:r>
      <w:r w:rsidR="00CB1DCD">
        <w:t>,</w:t>
      </w:r>
      <w:r>
        <w:t xml:space="preserve"> high CMV (76.74%) and </w:t>
      </w:r>
      <w:r w:rsidRPr="00CB1DCD">
        <w:rPr>
          <w:i/>
          <w:iCs/>
        </w:rPr>
        <w:t>T. gondii</w:t>
      </w:r>
      <w:r>
        <w:t xml:space="preserve"> (45.93%) seroprevalence of COVID-19 patients with higher levels of IL-6</w:t>
      </w:r>
      <w:r w:rsidR="00CB1DCD">
        <w:t>,</w:t>
      </w:r>
      <w:r>
        <w:t xml:space="preserve"> particularly in elderly females, indicat</w:t>
      </w:r>
      <w:r w:rsidR="00CB1DCD">
        <w:t>es</w:t>
      </w:r>
      <w:r>
        <w:t xml:space="preserve"> </w:t>
      </w:r>
      <w:r w:rsidR="00CB1DCD">
        <w:t xml:space="preserve">an </w:t>
      </w:r>
      <w:r>
        <w:t>immune response in synergy between the viruses. Additionally, serum rubella IgG and IgM levels were significantly elevated in COVID-19 positive (n = 154) compared to controls negative for COVID-19 but reporting Bad Obstetric History (BOH), and alterations in Vitamin D3, calcium, magnesium phosphorus and PTH levels led authors to infer Rubella reactivation following COVID infection which modified bone markers in these patients (Tahseen et al., 2022).</w:t>
      </w:r>
    </w:p>
    <w:p w14:paraId="18A3CC4B" w14:textId="77777777" w:rsidR="00130CFF" w:rsidRDefault="00130CFF" w:rsidP="00130CFF">
      <w:pPr>
        <w:pStyle w:val="NormalWeb"/>
      </w:pPr>
      <w:r>
        <w:t>National screening and early intervention strategies were urgently required for chronic toxoplasmosis</w:t>
      </w:r>
      <w:r w:rsidR="00CB1DCD">
        <w:t>,</w:t>
      </w:r>
      <w:r>
        <w:t xml:space="preserve"> with the wealth of relevant studies by Salman in this and other series (Salman et al. 2017).</w:t>
      </w:r>
    </w:p>
    <w:p w14:paraId="5EE10F31" w14:textId="77777777" w:rsidR="00130CFF" w:rsidRDefault="00130CFF" w:rsidP="00CB1DCD">
      <w:pPr>
        <w:pStyle w:val="NormalWeb"/>
      </w:pPr>
      <w:r>
        <w:t xml:space="preserve">Aims: The present study was performed to assess </w:t>
      </w:r>
      <w:r w:rsidR="00CB1DCD">
        <w:t xml:space="preserve">the </w:t>
      </w:r>
      <w:r>
        <w:t>prevalence, diagnosis</w:t>
      </w:r>
      <w:r w:rsidR="00CB1DCD">
        <w:t>,</w:t>
      </w:r>
      <w:r>
        <w:t xml:space="preserve"> and clinical features of human toxoplasmosis in Iraq (1989–2025). They analyze the contribution of Iraqi researchers, social-political pairwise healthcare changes</w:t>
      </w:r>
      <w:r w:rsidR="00CB1DCD">
        <w:t>,</w:t>
      </w:r>
      <w:r>
        <w:t xml:space="preserve"> and strengths by age groups of research</w:t>
      </w:r>
      <w:r w:rsidR="00CB1DCD">
        <w:t>,</w:t>
      </w:r>
      <w:r>
        <w:t xml:space="preserve"> as well as gaps </w:t>
      </w:r>
      <w:r w:rsidR="00CB1DCD">
        <w:t>that</w:t>
      </w:r>
      <w:r>
        <w:t xml:space="preserve"> can be targeted in future surveillance and prevention strategies.</w:t>
      </w:r>
    </w:p>
    <w:p w14:paraId="7B10C29C" w14:textId="77777777" w:rsidR="006C0426" w:rsidRPr="00130CFF" w:rsidRDefault="006C0426" w:rsidP="006C0426">
      <w:pPr>
        <w:pStyle w:val="NormalWeb"/>
        <w:rPr>
          <w:b/>
          <w:bCs/>
        </w:rPr>
      </w:pPr>
      <w:r w:rsidRPr="00130CFF">
        <w:rPr>
          <w:b/>
          <w:bCs/>
        </w:rPr>
        <w:t>Review of Literature:</w:t>
      </w:r>
    </w:p>
    <w:p w14:paraId="4D06C585" w14:textId="77777777" w:rsidR="009C479D" w:rsidRPr="0027330F" w:rsidRDefault="009C479D" w:rsidP="009C479D">
      <w:pPr>
        <w:pStyle w:val="NormalWeb"/>
        <w:rPr>
          <w:b/>
          <w:bCs/>
        </w:rPr>
      </w:pPr>
      <w:r w:rsidRPr="0027330F">
        <w:rPr>
          <w:b/>
          <w:bCs/>
        </w:rPr>
        <w:t>Kirkuk Province Prevalence: Early Studies (1989–2000) Local Study</w:t>
      </w:r>
    </w:p>
    <w:p w14:paraId="17D45A0F" w14:textId="77777777" w:rsidR="009C479D" w:rsidRDefault="009C479D" w:rsidP="009C479D">
      <w:pPr>
        <w:pStyle w:val="NormalWeb"/>
      </w:pPr>
      <w:r>
        <w:t>Many research teams over the past 30 years have worked on studying Toxoplasmosis in Kirkuk Province via epidemiological surveys and clinical and laboratory studies. As a result of this investigation, Kirkuk is one of the most investigated areas in Iraq</w:t>
      </w:r>
      <w:r w:rsidR="00CB1DCD">
        <w:t>,</w:t>
      </w:r>
      <w:r>
        <w:t xml:space="preserve"> and </w:t>
      </w:r>
      <w:r>
        <w:lastRenderedPageBreak/>
        <w:t>Toxoplasma gondii showed a higher prevalence with more understanding in terms of risk factors and clinical associations there.</w:t>
      </w:r>
    </w:p>
    <w:p w14:paraId="488FA3A7" w14:textId="77777777" w:rsidR="009C479D" w:rsidRDefault="009C479D" w:rsidP="0027330F">
      <w:pPr>
        <w:pStyle w:val="NormalWeb"/>
        <w:jc w:val="both"/>
      </w:pPr>
      <w:r>
        <w:t>Study subjects included 3,264 individuals from a variety of demographic and occupational backgrounds in a surveillance study conducted from 1993 through 2012. The highest prevalence was reported in 2005, reaching 63.8%, corresponding to an overall rate of 31.35%. The most affected were housewives, butchers</w:t>
      </w:r>
      <w:r w:rsidR="00CB1DCD">
        <w:t>,</w:t>
      </w:r>
      <w:r>
        <w:t xml:space="preserve"> and doctors. They outnumbered the males two to one. Increased seroconversion was associated with an increased risk of abortion at early gestational ages. DAT, MTT, ELISA IgM/IgG &amp; 2-ME (Salman; 2014).</w:t>
      </w:r>
    </w:p>
    <w:p w14:paraId="49860BF8" w14:textId="77777777" w:rsidR="009C479D" w:rsidRDefault="009C479D" w:rsidP="00CB1DCD">
      <w:pPr>
        <w:pStyle w:val="NormalWeb"/>
        <w:jc w:val="both"/>
      </w:pPr>
      <w:r>
        <w:t xml:space="preserve">Thyroid function abnormalities (36.17% [IgG 28.45%, IgM 7.72%]) had Toxoplasmosis based on studies over a year, </w:t>
      </w:r>
      <w:r w:rsidR="00CB1DCD">
        <w:t>a</w:t>
      </w:r>
      <w:r>
        <w:t>s suggested by Salman &amp; Mustafa (2014). Thyroid dysfunction, mainly in women</w:t>
      </w:r>
      <w:r w:rsidR="00CB1DCD">
        <w:t>,</w:t>
      </w:r>
      <w:r>
        <w:t xml:space="preserve"> and with no positive interference of seropositivity to </w:t>
      </w:r>
      <w:r w:rsidR="00CB1DCD" w:rsidRPr="00CB1DCD">
        <w:rPr>
          <w:i/>
          <w:iCs/>
        </w:rPr>
        <w:t>T</w:t>
      </w:r>
      <w:r w:rsidRPr="00CB1DCD">
        <w:rPr>
          <w:i/>
          <w:iCs/>
        </w:rPr>
        <w:t>oxoplasma</w:t>
      </w:r>
      <w:r>
        <w:t xml:space="preserve"> antibodies.</w:t>
      </w:r>
    </w:p>
    <w:p w14:paraId="3685FBD1" w14:textId="77777777" w:rsidR="009C479D" w:rsidRDefault="009C479D" w:rsidP="00CB1DCD">
      <w:pPr>
        <w:pStyle w:val="NormalWeb"/>
        <w:jc w:val="both"/>
      </w:pPr>
      <w:r>
        <w:t>Research into hormones and reproduction ha</w:t>
      </w:r>
      <w:r w:rsidR="00CB1DCD">
        <w:t>s</w:t>
      </w:r>
      <w:r>
        <w:t xml:space="preserve"> </w:t>
      </w:r>
      <w:r w:rsidR="00CB1DCD">
        <w:t>explained</w:t>
      </w:r>
      <w:r>
        <w:t xml:space="preserve"> how </w:t>
      </w:r>
      <w:r w:rsidRPr="00CB1DCD">
        <w:rPr>
          <w:i/>
          <w:iCs/>
        </w:rPr>
        <w:t xml:space="preserve">T. gondii </w:t>
      </w:r>
      <w:r>
        <w:t>could harm the health of women, and several studies support that interpretation. A total of 610 women with a history of abortion had an AFP cross-reactivity of 20.76% (Salman, 2014d), which w</w:t>
      </w:r>
      <w:r w:rsidR="00CB1DCD">
        <w:t>as</w:t>
      </w:r>
      <w:r>
        <w:t xml:space="preserve"> higher in the summer and autumn seasons. The prevalence of infection with the anti-Müllerian hormone (AMH) study (Salman, 2014</w:t>
      </w:r>
      <w:proofErr w:type="gramStart"/>
      <w:r>
        <w:t>b)(</w:t>
      </w:r>
      <w:proofErr w:type="gramEnd"/>
      <w:r>
        <w:t>29.46%), in 224 women</w:t>
      </w:r>
      <w:r w:rsidR="00CB1DCD">
        <w:t>,</w:t>
      </w:r>
      <w:r>
        <w:t xml:space="preserve"> confirmed a significant rate of existence but </w:t>
      </w:r>
      <w:r w:rsidR="00CB1DCD">
        <w:t>did</w:t>
      </w:r>
      <w:r>
        <w:t xml:space="preserve"> not reflect on ovarian reserve. Results: In </w:t>
      </w:r>
      <w:r w:rsidR="00CB1DCD">
        <w:t xml:space="preserve">the </w:t>
      </w:r>
      <w:r>
        <w:t xml:space="preserve">TORCH-BH study, 252 BOH women showed </w:t>
      </w:r>
      <w:r w:rsidR="00CB1DCD">
        <w:t xml:space="preserve">a </w:t>
      </w:r>
      <w:r>
        <w:t>26.68% prevalence with significantly elevated first</w:t>
      </w:r>
      <w:r w:rsidR="00CB1DCD">
        <w:t>-</w:t>
      </w:r>
      <w:r>
        <w:t>trimester of pregnancy IgM levels [REF]. Vitamin D deficiency and mineral profiles were tied to toxoplasmosis (41.53% prevalence) in a study from the year 2021 [18].</w:t>
      </w:r>
    </w:p>
    <w:p w14:paraId="4D1A48C8" w14:textId="77777777" w:rsidR="009C479D" w:rsidRDefault="009C479D" w:rsidP="00490252">
      <w:pPr>
        <w:pStyle w:val="NormalWeb"/>
        <w:jc w:val="both"/>
      </w:pPr>
      <w:r>
        <w:t>Materials and methods: This cross-sectional study was conducted in Kirkuk, Iraq</w:t>
      </w:r>
      <w:r w:rsidR="00CB1DCD">
        <w:t>,</w:t>
      </w:r>
      <w:r>
        <w:t xml:space="preserve"> to assess the status of vita</w:t>
      </w:r>
      <w:r w:rsidR="00490252">
        <w:t xml:space="preserve">min D3 deficiency and </w:t>
      </w:r>
      <w:r w:rsidR="00490252" w:rsidRPr="00490252">
        <w:rPr>
          <w:i/>
          <w:iCs/>
        </w:rPr>
        <w:t>T.</w:t>
      </w:r>
      <w:r w:rsidRPr="00490252">
        <w:rPr>
          <w:i/>
          <w:iCs/>
        </w:rPr>
        <w:t xml:space="preserve"> gondii</w:t>
      </w:r>
      <w:r>
        <w:t xml:space="preserve"> infection among 153 pregnant women, </w:t>
      </w:r>
      <w:r w:rsidR="00CB1DCD">
        <w:t>including</w:t>
      </w:r>
      <w:r>
        <w:t xml:space="preserve"> those with a bad obstetric history. For toxoplasmosis, a total of 78.43% (61/78) showed positive to either one or both antibodies; IgM-specific came with </w:t>
      </w:r>
      <w:r w:rsidR="00490252">
        <w:t xml:space="preserve">a </w:t>
      </w:r>
      <w:r>
        <w:t>frequency</w:t>
      </w:r>
      <w:r w:rsidR="00490252">
        <w:t xml:space="preserve"> </w:t>
      </w:r>
      <w:r>
        <w:t>of</w:t>
      </w:r>
      <w:r w:rsidR="00490252">
        <w:t xml:space="preserve"> </w:t>
      </w:r>
      <w:r>
        <w:t>22.87%(17/78</w:t>
      </w:r>
      <w:proofErr w:type="gramStart"/>
      <w:r>
        <w:t>),IgG</w:t>
      </w:r>
      <w:proofErr w:type="gramEnd"/>
      <w:r>
        <w:t>-49.01</w:t>
      </w:r>
      <w:proofErr w:type="gramStart"/>
      <w:r>
        <w:t>%(</w:t>
      </w:r>
      <w:proofErr w:type="gramEnd"/>
      <w:r>
        <w:t>38/78</w:t>
      </w:r>
      <w:proofErr w:type="gramStart"/>
      <w:r>
        <w:t>),</w:t>
      </w:r>
      <w:proofErr w:type="spellStart"/>
      <w:r>
        <w:t>andco</w:t>
      </w:r>
      <w:proofErr w:type="gramEnd"/>
      <w:r>
        <w:t>-infection-IgM+IgG</w:t>
      </w:r>
      <w:proofErr w:type="spellEnd"/>
      <w:r>
        <w:t xml:space="preserve"> specific13.07(10/78). A recent study demonstrated that </w:t>
      </w:r>
      <w:r w:rsidRPr="00CB1DCD">
        <w:rPr>
          <w:i/>
          <w:iCs/>
        </w:rPr>
        <w:t>T. gondii</w:t>
      </w:r>
      <w:r>
        <w:t xml:space="preserve"> seropositivity was significantly associated with low vitamin D status, particularly in young women, and it leads indirectly to </w:t>
      </w:r>
      <w:r w:rsidR="00CB1DCD">
        <w:t xml:space="preserve">an </w:t>
      </w:r>
      <w:r>
        <w:t>increase in risk of gestation complications &amp; bone fragility (Tayeb et al., 2019).</w:t>
      </w:r>
    </w:p>
    <w:p w14:paraId="046701EB" w14:textId="77777777" w:rsidR="009C479D" w:rsidRDefault="009C479D" w:rsidP="00CB1DCD">
      <w:pPr>
        <w:pStyle w:val="NormalWeb"/>
        <w:jc w:val="both"/>
      </w:pPr>
      <w:r>
        <w:t xml:space="preserve">Research on human toxoplasmosis in Iraq centered largely on seroprevalence of </w:t>
      </w:r>
      <w:r w:rsidRPr="00CB1DCD">
        <w:rPr>
          <w:i/>
          <w:iCs/>
        </w:rPr>
        <w:t>T</w:t>
      </w:r>
      <w:r w:rsidR="00CB1DCD" w:rsidRPr="00CB1DCD">
        <w:rPr>
          <w:i/>
          <w:iCs/>
        </w:rPr>
        <w:t>.</w:t>
      </w:r>
      <w:r w:rsidRPr="00CB1DCD">
        <w:rPr>
          <w:i/>
          <w:iCs/>
        </w:rPr>
        <w:t xml:space="preserve"> gondii</w:t>
      </w:r>
      <w:r>
        <w:t xml:space="preserve"> from 1989 until 2000. When the serious health consequences of the parasite emerged, investigators who were on the case from relatively early used serology to measure the prevalence among intended (</w:t>
      </w:r>
      <w:proofErr w:type="spellStart"/>
      <w:r>
        <w:t>ie</w:t>
      </w:r>
      <w:proofErr w:type="spellEnd"/>
      <w:r w:rsidR="00CB1DCD">
        <w:t>,</w:t>
      </w:r>
      <w:r>
        <w:t xml:space="preserve"> healthy) and unintended populations at risk. In one of the earliest </w:t>
      </w:r>
      <w:proofErr w:type="spellStart"/>
      <w:r>
        <w:t>seroepidemiological</w:t>
      </w:r>
      <w:proofErr w:type="spellEnd"/>
      <w:r>
        <w:t xml:space="preserve"> surveys among </w:t>
      </w:r>
      <w:r w:rsidR="00CB1DCD">
        <w:t xml:space="preserve">a </w:t>
      </w:r>
      <w:r>
        <w:t>healthy group of Baghdad residents, Mahmoud and Al-</w:t>
      </w:r>
      <w:proofErr w:type="spellStart"/>
      <w:r>
        <w:t>Janabi</w:t>
      </w:r>
      <w:proofErr w:type="spellEnd"/>
      <w:r>
        <w:t xml:space="preserve"> (1989) found </w:t>
      </w:r>
      <w:r w:rsidR="00CB1DCD">
        <w:t xml:space="preserve">that </w:t>
      </w:r>
      <w:r>
        <w:t>30% were seropositive. To determine anti-</w:t>
      </w:r>
      <w:proofErr w:type="spellStart"/>
      <w:r w:rsidRPr="00490252">
        <w:rPr>
          <w:i/>
          <w:iCs/>
        </w:rPr>
        <w:t>T.gondii</w:t>
      </w:r>
      <w:proofErr w:type="spellEnd"/>
      <w:r>
        <w:t xml:space="preserve"> IgG antibodies to assess Iraqi </w:t>
      </w:r>
      <w:r w:rsidRPr="00CB1DCD">
        <w:rPr>
          <w:i/>
          <w:iCs/>
        </w:rPr>
        <w:t>T. gondii</w:t>
      </w:r>
      <w:r>
        <w:t xml:space="preserve"> exposure, IHA and Sabin-Feldman dye test were used [31] in serum samples of 529 sheep. These results opened the door to more subsequent studies and put Toxoplasmosis on another record in Iraq. Followed by </w:t>
      </w:r>
      <w:r w:rsidR="00CB1DCD">
        <w:t xml:space="preserve">the </w:t>
      </w:r>
      <w:r>
        <w:t xml:space="preserve">epidemiology of Toxoplasmosis </w:t>
      </w:r>
      <w:r w:rsidR="00CB1DCD">
        <w:t>i</w:t>
      </w:r>
      <w:r>
        <w:t>n Kirkuk Province</w:t>
      </w:r>
      <w:r w:rsidR="00CB1DCD">
        <w:t>,</w:t>
      </w:r>
      <w:r>
        <w:t xml:space="preserve"> which was read out by Salman. Salman found that 36% of pre</w:t>
      </w:r>
      <w:r w:rsidR="00CB1DCD">
        <w:t>gnant</w:t>
      </w:r>
      <w:r>
        <w:t xml:space="preserve"> women who went to prenatal clinics in Baghdad were seropositive for IgG antibodies against </w:t>
      </w:r>
      <w:proofErr w:type="spellStart"/>
      <w:r w:rsidRPr="00CB1DCD">
        <w:rPr>
          <w:i/>
          <w:iCs/>
        </w:rPr>
        <w:t>T.gond</w:t>
      </w:r>
      <w:r>
        <w:t>ii</w:t>
      </w:r>
      <w:proofErr w:type="spellEnd"/>
      <w:r>
        <w:t xml:space="preserve"> [15] and a good correlation with low </w:t>
      </w:r>
      <w:r>
        <w:lastRenderedPageBreak/>
        <w:t>socioeconomic level. Infection rates are higher among rural residents, a fact that Salman discovered in 1997.</w:t>
      </w:r>
    </w:p>
    <w:p w14:paraId="7EC13F00" w14:textId="77777777" w:rsidR="009C479D" w:rsidRDefault="009C479D" w:rsidP="00CB1DCD">
      <w:pPr>
        <w:pStyle w:val="NormalWeb"/>
        <w:jc w:val="both"/>
      </w:pPr>
      <w:r>
        <w:t>One study by Al-Bayati et al. expressed concern about the possibility of bloodborne transmission [37]. 'S (1991) demonstration of high rates of infection among military recruits and blood donors. Despite the absence of any significant clinical problem as regards transfusion-transmitted toxoplasmosis at that time in Iraq, these data stressed the importance of screening.</w:t>
      </w:r>
    </w:p>
    <w:p w14:paraId="569AF0C3" w14:textId="77777777" w:rsidR="009C479D" w:rsidRDefault="009C479D" w:rsidP="00CB1DCD">
      <w:pPr>
        <w:pStyle w:val="NormalWeb"/>
        <w:jc w:val="both"/>
      </w:pPr>
      <w:r>
        <w:t>The number of diagnostic evaluations w</w:t>
      </w:r>
      <w:r w:rsidR="00CB1DCD">
        <w:t>as</w:t>
      </w:r>
      <w:r>
        <w:t xml:space="preserve"> limited in this era. Although standardised techniques were recommended for increased sensitivity, the researchers used in-house serological tests like early ELISA kits, indirect fluorescent antibody veterinary tests (IFAT)</w:t>
      </w:r>
      <w:r w:rsidR="00CB1DCD">
        <w:t>,</w:t>
      </w:r>
      <w:r>
        <w:t xml:space="preserve"> and latex agglutination assays (LAT) (Al-</w:t>
      </w:r>
      <w:proofErr w:type="spellStart"/>
      <w:r>
        <w:t>Hadithi</w:t>
      </w:r>
      <w:proofErr w:type="spellEnd"/>
      <w:r>
        <w:t xml:space="preserve"> et al., 2005).</w:t>
      </w:r>
    </w:p>
    <w:p w14:paraId="11135C28" w14:textId="77777777" w:rsidR="009C479D" w:rsidRDefault="009C479D" w:rsidP="0027330F">
      <w:pPr>
        <w:pStyle w:val="NormalWeb"/>
        <w:jc w:val="both"/>
      </w:pPr>
      <w:r>
        <w:t>Risk factors related to infection were also covered by epidemiological studies. Al-Dabbagh et al. Undercooked meat and poor hand hygiene</w:t>
      </w:r>
      <w:r w:rsidR="00CB1DCD">
        <w:t>,</w:t>
      </w:r>
      <w:r>
        <w:t xml:space="preserve"> in addition to close contact with cats</w:t>
      </w:r>
      <w:r w:rsidR="00CB1DCD">
        <w:t>,</w:t>
      </w:r>
      <w:r>
        <w:t xml:space="preserve"> were identified by </w:t>
      </w:r>
      <w:proofErr w:type="spellStart"/>
      <w:r>
        <w:t>Tenter</w:t>
      </w:r>
      <w:proofErr w:type="spellEnd"/>
      <w:r>
        <w:t xml:space="preserve"> et al. (2003) as major predictors of </w:t>
      </w:r>
      <w:r w:rsidRPr="00CB1DCD">
        <w:rPr>
          <w:i/>
          <w:iCs/>
        </w:rPr>
        <w:t>T. gondii</w:t>
      </w:r>
      <w:r>
        <w:t xml:space="preserve"> exposure. The patterns of increased or decreased risk identified by those authors were generally in the same direction as existing global evidence and provided supportive information for public health campaigns, addressing behavioural interventions.</w:t>
      </w:r>
    </w:p>
    <w:p w14:paraId="2EC332EA" w14:textId="77777777" w:rsidR="009C479D" w:rsidRDefault="009C479D" w:rsidP="00CB1DCD">
      <w:pPr>
        <w:pStyle w:val="NormalWeb"/>
        <w:jc w:val="both"/>
      </w:pPr>
      <w:r>
        <w:t>At the time</w:t>
      </w:r>
      <w:r w:rsidR="00CB1DCD">
        <w:t>,</w:t>
      </w:r>
      <w:r>
        <w:t xml:space="preserve"> molecular diagnostics had not been introduced in Iraq</w:t>
      </w:r>
      <w:r w:rsidR="00CB1DCD">
        <w:t>,</w:t>
      </w:r>
      <w:r>
        <w:t xml:space="preserve"> but researchers knew they needed more sensitive techniques to differentiate acute from chronic infections. Increased demands for better diagnostic capabilities</w:t>
      </w:r>
      <w:r w:rsidR="00CB1DCD">
        <w:t xml:space="preserve"> </w:t>
      </w:r>
      <w:r>
        <w:t>and</w:t>
      </w:r>
      <w:r w:rsidR="00CB1DCD">
        <w:t xml:space="preserve"> </w:t>
      </w:r>
      <w:r>
        <w:t>for complete prevalence surveys ushered in the next phase of clinical expansion in the ensuing decade.</w:t>
      </w:r>
    </w:p>
    <w:p w14:paraId="11850052" w14:textId="77777777" w:rsidR="002F4230" w:rsidRPr="002F4230" w:rsidRDefault="002F4230" w:rsidP="002F4230">
      <w:pPr>
        <w:spacing w:before="100" w:beforeAutospacing="1" w:after="100" w:afterAutospacing="1" w:line="240" w:lineRule="auto"/>
        <w:rPr>
          <w:rFonts w:ascii="Times New Roman" w:eastAsia="Times New Roman" w:hAnsi="Times New Roman" w:cs="Times New Roman"/>
          <w:b/>
          <w:bCs/>
          <w:kern w:val="36"/>
          <w14:ligatures w14:val="none"/>
        </w:rPr>
      </w:pPr>
      <w:r w:rsidRPr="002F4230">
        <w:rPr>
          <w:rFonts w:ascii="Times New Roman" w:eastAsia="Times New Roman" w:hAnsi="Times New Roman" w:cs="Times New Roman"/>
          <w:b/>
          <w:bCs/>
          <w:kern w:val="36"/>
          <w14:ligatures w14:val="none"/>
        </w:rPr>
        <w:t>2. Clinical Expansion (2001–2010): Reproduction and Immune Studies.</w:t>
      </w:r>
    </w:p>
    <w:p w14:paraId="3669FDF1" w14:textId="77777777" w:rsidR="002F4230" w:rsidRPr="0027330F" w:rsidRDefault="002F4230" w:rsidP="00490252">
      <w:pPr>
        <w:spacing w:before="100" w:beforeAutospacing="1" w:after="100" w:afterAutospacing="1" w:line="240" w:lineRule="auto"/>
        <w:jc w:val="both"/>
        <w:rPr>
          <w:rFonts w:ascii="Times New Roman" w:eastAsia="Times New Roman" w:hAnsi="Times New Roman" w:cs="Times New Roman"/>
          <w:kern w:val="36"/>
          <w14:ligatures w14:val="none"/>
        </w:rPr>
      </w:pPr>
      <w:r w:rsidRPr="0027330F">
        <w:rPr>
          <w:rFonts w:ascii="Times New Roman" w:eastAsia="Times New Roman" w:hAnsi="Times New Roman" w:cs="Times New Roman"/>
          <w:kern w:val="36"/>
          <w14:ligatures w14:val="none"/>
        </w:rPr>
        <w:t>Toxoplasmosis studies in Iraq changed significantly between 2001 and 2010 after the 1990s epidemiological research. Researchers began to study infection prevalence and clinical effects, particularly on reproductive health and immune responses. In this phase, research objectives expanded due to laboratory capacity improvements and a</w:t>
      </w:r>
      <w:r w:rsidR="00CB1DCD">
        <w:rPr>
          <w:rFonts w:ascii="Times New Roman" w:eastAsia="Times New Roman" w:hAnsi="Times New Roman" w:cs="Times New Roman"/>
          <w:kern w:val="36"/>
          <w14:ligatures w14:val="none"/>
        </w:rPr>
        <w:t xml:space="preserve"> growing awareness of </w:t>
      </w:r>
      <w:r w:rsidR="00CB1DCD" w:rsidRPr="00490252">
        <w:rPr>
          <w:rFonts w:ascii="Times New Roman" w:eastAsia="Times New Roman" w:hAnsi="Times New Roman" w:cs="Times New Roman"/>
          <w:i/>
          <w:iCs/>
          <w:kern w:val="36"/>
          <w14:ligatures w14:val="none"/>
        </w:rPr>
        <w:t>T.</w:t>
      </w:r>
      <w:r w:rsidRPr="00CB1DCD">
        <w:rPr>
          <w:rFonts w:ascii="Times New Roman" w:eastAsia="Times New Roman" w:hAnsi="Times New Roman" w:cs="Times New Roman"/>
          <w:i/>
          <w:iCs/>
          <w:kern w:val="36"/>
          <w14:ligatures w14:val="none"/>
        </w:rPr>
        <w:t xml:space="preserve"> gondii </w:t>
      </w:r>
      <w:r w:rsidRPr="0027330F">
        <w:rPr>
          <w:rFonts w:ascii="Times New Roman" w:eastAsia="Times New Roman" w:hAnsi="Times New Roman" w:cs="Times New Roman"/>
          <w:kern w:val="36"/>
          <w14:ligatures w14:val="none"/>
        </w:rPr>
        <w:t xml:space="preserve">infections' health effects. This research focused on toxoplasmosis and adverse pregnancy outcomes. Case-control studies in Iraqi cities linked latent toxoplasmosis to spontaneous abortions, stillbirths, and infertility (Al-Dabbagh et al., 2003; Al-Qassab &amp; Abdul-Razzaq, 2004). In a landmark Basrah study, Al-Qassab and Abdul-Razzaq (2004) found that women with recurrent miscarriage had higher </w:t>
      </w:r>
      <w:r w:rsidRPr="00CB1DCD">
        <w:rPr>
          <w:rFonts w:ascii="Times New Roman" w:eastAsia="Times New Roman" w:hAnsi="Times New Roman" w:cs="Times New Roman"/>
          <w:i/>
          <w:iCs/>
          <w:kern w:val="36"/>
          <w14:ligatures w14:val="none"/>
        </w:rPr>
        <w:t>T. gondii</w:t>
      </w:r>
      <w:r w:rsidRPr="0027330F">
        <w:rPr>
          <w:rFonts w:ascii="Times New Roman" w:eastAsia="Times New Roman" w:hAnsi="Times New Roman" w:cs="Times New Roman"/>
          <w:kern w:val="36"/>
          <w14:ligatures w14:val="none"/>
        </w:rPr>
        <w:t xml:space="preserve"> seropositivity than those with normal pregnancies. Their findings stressed the importance of prenatal screening and prevention. Additionally, Al-Ani and Al-Azzawi (2007) examined the relationship between </w:t>
      </w:r>
      <w:r w:rsidRPr="00CB1DCD">
        <w:rPr>
          <w:rFonts w:ascii="Times New Roman" w:eastAsia="Times New Roman" w:hAnsi="Times New Roman" w:cs="Times New Roman"/>
          <w:i/>
          <w:iCs/>
          <w:kern w:val="36"/>
          <w14:ligatures w14:val="none"/>
        </w:rPr>
        <w:t>T. gondii</w:t>
      </w:r>
      <w:r w:rsidRPr="0027330F">
        <w:rPr>
          <w:rFonts w:ascii="Times New Roman" w:eastAsia="Times New Roman" w:hAnsi="Times New Roman" w:cs="Times New Roman"/>
          <w:kern w:val="36"/>
          <w14:ligatures w14:val="none"/>
        </w:rPr>
        <w:t xml:space="preserve"> infection and habitual abortion in Iraqi women. Their findings confirmed earlier findings that women with unexplained recurrent pregnancy loss have higher IgG antibody rates. They suggested serological testing in fertility workups to find hidden infectious causes. Another study compared Toxoplasma gondii infection and AMH levels in </w:t>
      </w:r>
      <w:r w:rsidR="00490252">
        <w:rPr>
          <w:rFonts w:ascii="Times New Roman" w:eastAsia="Times New Roman" w:hAnsi="Times New Roman" w:cs="Times New Roman"/>
          <w:kern w:val="36"/>
          <w14:ligatures w14:val="none"/>
        </w:rPr>
        <w:t xml:space="preserve">women from </w:t>
      </w:r>
      <w:r w:rsidRPr="0027330F">
        <w:rPr>
          <w:rFonts w:ascii="Times New Roman" w:eastAsia="Times New Roman" w:hAnsi="Times New Roman" w:cs="Times New Roman"/>
          <w:kern w:val="36"/>
          <w14:ligatures w14:val="none"/>
        </w:rPr>
        <w:t xml:space="preserve">Kirkuk City, Iraq. Serum samples were tested for </w:t>
      </w:r>
      <w:r w:rsidRPr="00CB1DCD">
        <w:rPr>
          <w:rFonts w:ascii="Times New Roman" w:eastAsia="Times New Roman" w:hAnsi="Times New Roman" w:cs="Times New Roman"/>
          <w:i/>
          <w:iCs/>
          <w:kern w:val="36"/>
          <w14:ligatures w14:val="none"/>
        </w:rPr>
        <w:t>T. gondii</w:t>
      </w:r>
      <w:r w:rsidRPr="0027330F">
        <w:rPr>
          <w:rFonts w:ascii="Times New Roman" w:eastAsia="Times New Roman" w:hAnsi="Times New Roman" w:cs="Times New Roman"/>
          <w:kern w:val="36"/>
          <w14:ligatures w14:val="none"/>
        </w:rPr>
        <w:t xml:space="preserve"> IgG/IgM antibodies and AMH levels using ELISA. AMH changes suggested that toxoplasmosis may affect ovarian reserve, highlighting the reproductive </w:t>
      </w:r>
      <w:r w:rsidRPr="0027330F">
        <w:rPr>
          <w:rFonts w:ascii="Times New Roman" w:eastAsia="Times New Roman" w:hAnsi="Times New Roman" w:cs="Times New Roman"/>
          <w:kern w:val="36"/>
          <w14:ligatures w14:val="none"/>
        </w:rPr>
        <w:lastRenderedPageBreak/>
        <w:t xml:space="preserve">implications of </w:t>
      </w:r>
      <w:r w:rsidRPr="00CB1DCD">
        <w:rPr>
          <w:rFonts w:ascii="Times New Roman" w:eastAsia="Times New Roman" w:hAnsi="Times New Roman" w:cs="Times New Roman"/>
          <w:i/>
          <w:iCs/>
          <w:kern w:val="36"/>
          <w14:ligatures w14:val="none"/>
        </w:rPr>
        <w:t xml:space="preserve">T. gondii </w:t>
      </w:r>
      <w:r w:rsidRPr="0027330F">
        <w:rPr>
          <w:rFonts w:ascii="Times New Roman" w:eastAsia="Times New Roman" w:hAnsi="Times New Roman" w:cs="Times New Roman"/>
          <w:kern w:val="36"/>
          <w14:ligatures w14:val="none"/>
        </w:rPr>
        <w:t xml:space="preserve">infection (Salman, 2014b). An ELISA test was performed on 1,406 Kirkuk City women with abortion or congenital abnormalities for </w:t>
      </w:r>
      <w:r w:rsidRPr="00490252">
        <w:rPr>
          <w:rFonts w:ascii="Times New Roman" w:eastAsia="Times New Roman" w:hAnsi="Times New Roman" w:cs="Times New Roman"/>
          <w:i/>
          <w:iCs/>
          <w:kern w:val="36"/>
          <w14:ligatures w14:val="none"/>
        </w:rPr>
        <w:t>Chlamydia trachomatis</w:t>
      </w:r>
      <w:r w:rsidR="00490252">
        <w:rPr>
          <w:rFonts w:ascii="Times New Roman" w:eastAsia="Times New Roman" w:hAnsi="Times New Roman" w:cs="Times New Roman"/>
          <w:kern w:val="36"/>
          <w14:ligatures w14:val="none"/>
        </w:rPr>
        <w:t xml:space="preserve">, </w:t>
      </w:r>
      <w:r w:rsidR="00490252" w:rsidRPr="00490252">
        <w:rPr>
          <w:rFonts w:ascii="Times New Roman" w:eastAsia="Times New Roman" w:hAnsi="Times New Roman" w:cs="Times New Roman"/>
          <w:i/>
          <w:iCs/>
          <w:kern w:val="36"/>
          <w14:ligatures w14:val="none"/>
        </w:rPr>
        <w:t xml:space="preserve">T. </w:t>
      </w:r>
      <w:r w:rsidRPr="00490252">
        <w:rPr>
          <w:rFonts w:ascii="Times New Roman" w:eastAsia="Times New Roman" w:hAnsi="Times New Roman" w:cs="Times New Roman"/>
          <w:i/>
          <w:iCs/>
          <w:kern w:val="36"/>
          <w14:ligatures w14:val="none"/>
        </w:rPr>
        <w:t>gondii</w:t>
      </w:r>
      <w:r w:rsidRPr="0027330F">
        <w:rPr>
          <w:rFonts w:ascii="Times New Roman" w:eastAsia="Times New Roman" w:hAnsi="Times New Roman" w:cs="Times New Roman"/>
          <w:kern w:val="36"/>
          <w14:ligatures w14:val="none"/>
        </w:rPr>
        <w:t xml:space="preserve">, and CMV. CMV was most common (39.74%), followed by toxoplasmosis (16.37%) and </w:t>
      </w:r>
      <w:r w:rsidRPr="00490252">
        <w:rPr>
          <w:rFonts w:ascii="Times New Roman" w:eastAsia="Times New Roman" w:hAnsi="Times New Roman" w:cs="Times New Roman"/>
          <w:i/>
          <w:iCs/>
          <w:kern w:val="36"/>
          <w14:ligatures w14:val="none"/>
        </w:rPr>
        <w:t xml:space="preserve">Chlamydia </w:t>
      </w:r>
      <w:r w:rsidRPr="0027330F">
        <w:rPr>
          <w:rFonts w:ascii="Times New Roman" w:eastAsia="Times New Roman" w:hAnsi="Times New Roman" w:cs="Times New Roman"/>
          <w:kern w:val="36"/>
          <w14:ligatures w14:val="none"/>
        </w:rPr>
        <w:t xml:space="preserve">(14.67%). Younger women (15–25) had higher CMV and toxoplasmosis rates, while 26–35-year-olds had more </w:t>
      </w:r>
      <w:r w:rsidR="00490252" w:rsidRPr="00490252">
        <w:rPr>
          <w:rFonts w:ascii="Times New Roman" w:eastAsia="Times New Roman" w:hAnsi="Times New Roman" w:cs="Times New Roman"/>
          <w:i/>
          <w:iCs/>
          <w:kern w:val="36"/>
          <w14:ligatures w14:val="none"/>
        </w:rPr>
        <w:t>C</w:t>
      </w:r>
      <w:r w:rsidRPr="00490252">
        <w:rPr>
          <w:rFonts w:ascii="Times New Roman" w:eastAsia="Times New Roman" w:hAnsi="Times New Roman" w:cs="Times New Roman"/>
          <w:i/>
          <w:iCs/>
          <w:kern w:val="36"/>
          <w14:ligatures w14:val="none"/>
        </w:rPr>
        <w:t>hlamydia</w:t>
      </w:r>
      <w:r w:rsidRPr="0027330F">
        <w:rPr>
          <w:rFonts w:ascii="Times New Roman" w:eastAsia="Times New Roman" w:hAnsi="Times New Roman" w:cs="Times New Roman"/>
          <w:kern w:val="36"/>
          <w14:ligatures w14:val="none"/>
        </w:rPr>
        <w:t xml:space="preserve">. Cross-reactivity occurred 2.52% of the time. This study </w:t>
      </w:r>
      <w:proofErr w:type="spellStart"/>
      <w:r w:rsidRPr="0027330F">
        <w:rPr>
          <w:rFonts w:ascii="Times New Roman" w:eastAsia="Times New Roman" w:hAnsi="Times New Roman" w:cs="Times New Roman"/>
          <w:kern w:val="36"/>
          <w14:ligatures w14:val="none"/>
        </w:rPr>
        <w:t>emphasises</w:t>
      </w:r>
      <w:proofErr w:type="spellEnd"/>
      <w:r w:rsidRPr="0027330F">
        <w:rPr>
          <w:rFonts w:ascii="Times New Roman" w:eastAsia="Times New Roman" w:hAnsi="Times New Roman" w:cs="Times New Roman"/>
          <w:kern w:val="36"/>
          <w14:ligatures w14:val="none"/>
        </w:rPr>
        <w:t xml:space="preserve"> the need for routine antenatal infection screening (Salman, 2016).</w:t>
      </w:r>
    </w:p>
    <w:p w14:paraId="1B3FCA37" w14:textId="77777777" w:rsidR="002F4230" w:rsidRPr="0027330F" w:rsidRDefault="002F4230" w:rsidP="0027330F">
      <w:pPr>
        <w:spacing w:before="100" w:beforeAutospacing="1" w:after="100" w:afterAutospacing="1" w:line="240" w:lineRule="auto"/>
        <w:jc w:val="both"/>
        <w:rPr>
          <w:rFonts w:ascii="Times New Roman" w:eastAsia="Times New Roman" w:hAnsi="Times New Roman" w:cs="Times New Roman"/>
          <w:kern w:val="36"/>
          <w14:ligatures w14:val="none"/>
        </w:rPr>
      </w:pPr>
      <w:r w:rsidRPr="0027330F">
        <w:rPr>
          <w:rFonts w:ascii="Times New Roman" w:eastAsia="Times New Roman" w:hAnsi="Times New Roman" w:cs="Times New Roman"/>
          <w:kern w:val="36"/>
          <w14:ligatures w14:val="none"/>
        </w:rPr>
        <w:t xml:space="preserve"> Using ELISA, microscopy, culture, and special stains, 156 Kirkuk, Iraq, ocular disease patie</w:t>
      </w:r>
      <w:r w:rsidR="00CB1DCD">
        <w:rPr>
          <w:rFonts w:ascii="Times New Roman" w:eastAsia="Times New Roman" w:hAnsi="Times New Roman" w:cs="Times New Roman"/>
          <w:kern w:val="36"/>
          <w14:ligatures w14:val="none"/>
        </w:rPr>
        <w:t xml:space="preserve">nts were examined for </w:t>
      </w:r>
      <w:r w:rsidR="00CB1DCD" w:rsidRPr="00CB1DCD">
        <w:rPr>
          <w:rFonts w:ascii="Times New Roman" w:eastAsia="Times New Roman" w:hAnsi="Times New Roman" w:cs="Times New Roman"/>
          <w:i/>
          <w:iCs/>
          <w:kern w:val="36"/>
          <w14:ligatures w14:val="none"/>
        </w:rPr>
        <w:t>T.</w:t>
      </w:r>
      <w:r w:rsidRPr="00CB1DCD">
        <w:rPr>
          <w:rFonts w:ascii="Times New Roman" w:eastAsia="Times New Roman" w:hAnsi="Times New Roman" w:cs="Times New Roman"/>
          <w:i/>
          <w:iCs/>
          <w:kern w:val="36"/>
          <w14:ligatures w14:val="none"/>
        </w:rPr>
        <w:t xml:space="preserve"> gondii</w:t>
      </w:r>
      <w:r w:rsidRPr="0027330F">
        <w:rPr>
          <w:rFonts w:ascii="Times New Roman" w:eastAsia="Times New Roman" w:hAnsi="Times New Roman" w:cs="Times New Roman"/>
          <w:kern w:val="36"/>
          <w14:ligatures w14:val="none"/>
        </w:rPr>
        <w:t xml:space="preserve"> and other pathogens. There were 46.69% infectious agent positives, with 78.2% </w:t>
      </w:r>
      <w:r w:rsidRPr="00CB1DCD">
        <w:rPr>
          <w:rFonts w:ascii="Times New Roman" w:eastAsia="Times New Roman" w:hAnsi="Times New Roman" w:cs="Times New Roman"/>
          <w:i/>
          <w:iCs/>
          <w:kern w:val="36"/>
          <w14:ligatures w14:val="none"/>
        </w:rPr>
        <w:t xml:space="preserve">T. gondii </w:t>
      </w:r>
      <w:r w:rsidRPr="0027330F">
        <w:rPr>
          <w:rFonts w:ascii="Times New Roman" w:eastAsia="Times New Roman" w:hAnsi="Times New Roman" w:cs="Times New Roman"/>
          <w:kern w:val="36"/>
          <w14:ligatures w14:val="none"/>
        </w:rPr>
        <w:t xml:space="preserve">positives. The </w:t>
      </w:r>
      <w:proofErr w:type="spellStart"/>
      <w:r w:rsidRPr="0027330F">
        <w:rPr>
          <w:rFonts w:ascii="Times New Roman" w:eastAsia="Times New Roman" w:hAnsi="Times New Roman" w:cs="Times New Roman"/>
          <w:kern w:val="36"/>
          <w14:ligatures w14:val="none"/>
        </w:rPr>
        <w:t>toxo</w:t>
      </w:r>
      <w:proofErr w:type="spellEnd"/>
      <w:r w:rsidRPr="0027330F">
        <w:rPr>
          <w:rFonts w:ascii="Times New Roman" w:eastAsia="Times New Roman" w:hAnsi="Times New Roman" w:cs="Times New Roman"/>
          <w:kern w:val="36"/>
          <w14:ligatures w14:val="none"/>
        </w:rPr>
        <w:t>-IgM was linked to keratitis</w:t>
      </w:r>
      <w:r w:rsidR="00CB1DCD">
        <w:rPr>
          <w:rFonts w:ascii="Times New Roman" w:eastAsia="Times New Roman" w:hAnsi="Times New Roman" w:cs="Times New Roman"/>
          <w:kern w:val="36"/>
          <w14:ligatures w14:val="none"/>
        </w:rPr>
        <w:t>,</w:t>
      </w:r>
      <w:r w:rsidRPr="0027330F">
        <w:rPr>
          <w:rFonts w:ascii="Times New Roman" w:eastAsia="Times New Roman" w:hAnsi="Times New Roman" w:cs="Times New Roman"/>
          <w:kern w:val="36"/>
          <w14:ligatures w14:val="none"/>
        </w:rPr>
        <w:t xml:space="preserve"> and the IgG to conjunctivitis. </w:t>
      </w:r>
      <w:r w:rsidRPr="00490252">
        <w:rPr>
          <w:rFonts w:ascii="Times New Roman" w:eastAsia="Times New Roman" w:hAnsi="Times New Roman" w:cs="Times New Roman"/>
          <w:i/>
          <w:iCs/>
          <w:kern w:val="36"/>
          <w14:ligatures w14:val="none"/>
        </w:rPr>
        <w:t xml:space="preserve">Microsporidia </w:t>
      </w:r>
      <w:r w:rsidRPr="0027330F">
        <w:rPr>
          <w:rFonts w:ascii="Times New Roman" w:eastAsia="Times New Roman" w:hAnsi="Times New Roman" w:cs="Times New Roman"/>
          <w:kern w:val="36"/>
          <w14:ligatures w14:val="none"/>
        </w:rPr>
        <w:t xml:space="preserve">(11.1%) and </w:t>
      </w:r>
      <w:r w:rsidRPr="00490252">
        <w:rPr>
          <w:rFonts w:ascii="Times New Roman" w:eastAsia="Times New Roman" w:hAnsi="Times New Roman" w:cs="Times New Roman"/>
          <w:i/>
          <w:iCs/>
          <w:kern w:val="36"/>
          <w14:ligatures w14:val="none"/>
        </w:rPr>
        <w:t>Acanthamoeba</w:t>
      </w:r>
      <w:r w:rsidRPr="0027330F">
        <w:rPr>
          <w:rFonts w:ascii="Times New Roman" w:eastAsia="Times New Roman" w:hAnsi="Times New Roman" w:cs="Times New Roman"/>
          <w:kern w:val="36"/>
          <w14:ligatures w14:val="none"/>
        </w:rPr>
        <w:t xml:space="preserve"> (11.1%), with age- and blood group-related patterns, were also found. Kirkuk has a high rate of toxoplasmosis and other protozoal eye infections (Hasan et al., 2023). </w:t>
      </w:r>
    </w:p>
    <w:p w14:paraId="793D5447" w14:textId="77777777" w:rsidR="0027728F" w:rsidRPr="0027330F" w:rsidRDefault="002F4230" w:rsidP="00CB1DCD">
      <w:pPr>
        <w:spacing w:before="100" w:beforeAutospacing="1" w:after="100" w:afterAutospacing="1" w:line="240" w:lineRule="auto"/>
        <w:jc w:val="both"/>
        <w:rPr>
          <w:rFonts w:ascii="Times New Roman" w:eastAsia="Times New Roman" w:hAnsi="Times New Roman" w:cs="Times New Roman"/>
          <w:kern w:val="0"/>
          <w14:ligatures w14:val="none"/>
        </w:rPr>
      </w:pPr>
      <w:r w:rsidRPr="0027330F">
        <w:rPr>
          <w:rFonts w:ascii="Times New Roman" w:eastAsia="Times New Roman" w:hAnsi="Times New Roman" w:cs="Times New Roman"/>
          <w:kern w:val="36"/>
          <w14:ligatures w14:val="none"/>
        </w:rPr>
        <w:t xml:space="preserve">610 women with abortion in Kirkuk, </w:t>
      </w:r>
      <w:r w:rsidR="00CB1DCD">
        <w:rPr>
          <w:rFonts w:ascii="Times New Roman" w:eastAsia="Times New Roman" w:hAnsi="Times New Roman" w:cs="Times New Roman"/>
          <w:kern w:val="36"/>
          <w14:ligatures w14:val="none"/>
        </w:rPr>
        <w:t xml:space="preserve">Iraq, were tested for </w:t>
      </w:r>
      <w:r w:rsidR="00CB1DCD" w:rsidRPr="00CB1DCD">
        <w:rPr>
          <w:rFonts w:ascii="Times New Roman" w:eastAsia="Times New Roman" w:hAnsi="Times New Roman" w:cs="Times New Roman"/>
          <w:i/>
          <w:iCs/>
          <w:kern w:val="36"/>
          <w14:ligatures w14:val="none"/>
        </w:rPr>
        <w:t>T.</w:t>
      </w:r>
      <w:r w:rsidRPr="00CB1DCD">
        <w:rPr>
          <w:rFonts w:ascii="Times New Roman" w:eastAsia="Times New Roman" w:hAnsi="Times New Roman" w:cs="Times New Roman"/>
          <w:i/>
          <w:iCs/>
          <w:kern w:val="36"/>
          <w14:ligatures w14:val="none"/>
        </w:rPr>
        <w:t xml:space="preserve"> gondii</w:t>
      </w:r>
      <w:r w:rsidRPr="0027330F">
        <w:rPr>
          <w:rFonts w:ascii="Times New Roman" w:eastAsia="Times New Roman" w:hAnsi="Times New Roman" w:cs="Times New Roman"/>
          <w:kern w:val="36"/>
          <w14:ligatures w14:val="none"/>
        </w:rPr>
        <w:t xml:space="preserve"> seroprevalence and cross-reactivity with alpha-fetoprotein (AFP) IgM. In 20.76% of cases, </w:t>
      </w:r>
      <w:r w:rsidR="00CB1DCD" w:rsidRPr="00CB1DCD">
        <w:rPr>
          <w:rFonts w:ascii="Times New Roman" w:eastAsia="Times New Roman" w:hAnsi="Times New Roman" w:cs="Times New Roman"/>
          <w:i/>
          <w:iCs/>
          <w:kern w:val="36"/>
          <w14:ligatures w14:val="none"/>
        </w:rPr>
        <w:t>T</w:t>
      </w:r>
      <w:r w:rsidRPr="00CB1DCD">
        <w:rPr>
          <w:rFonts w:ascii="Times New Roman" w:eastAsia="Times New Roman" w:hAnsi="Times New Roman" w:cs="Times New Roman"/>
          <w:i/>
          <w:iCs/>
          <w:kern w:val="36"/>
          <w14:ligatures w14:val="none"/>
        </w:rPr>
        <w:t>oxoplasma</w:t>
      </w:r>
      <w:r w:rsidRPr="0027330F">
        <w:rPr>
          <w:rFonts w:ascii="Times New Roman" w:eastAsia="Times New Roman" w:hAnsi="Times New Roman" w:cs="Times New Roman"/>
          <w:kern w:val="36"/>
          <w14:ligatures w14:val="none"/>
        </w:rPr>
        <w:t xml:space="preserve"> was found. The highest rates occurred in summer and autumn (P&lt;0.05). Compared to 0.74% in controls, 8.15% of 135 toxoplasmosis-positive sera had AFP-IgM. Cross-reactivity was more common with </w:t>
      </w:r>
      <w:r w:rsidRPr="00490252">
        <w:rPr>
          <w:rFonts w:ascii="Times New Roman" w:eastAsia="Times New Roman" w:hAnsi="Times New Roman" w:cs="Times New Roman"/>
          <w:i/>
          <w:iCs/>
          <w:kern w:val="36"/>
          <w14:ligatures w14:val="none"/>
        </w:rPr>
        <w:t xml:space="preserve">Toxoplasma </w:t>
      </w:r>
      <w:r w:rsidRPr="0027330F">
        <w:rPr>
          <w:rFonts w:ascii="Times New Roman" w:eastAsia="Times New Roman" w:hAnsi="Times New Roman" w:cs="Times New Roman"/>
          <w:kern w:val="36"/>
          <w14:ligatures w14:val="none"/>
        </w:rPr>
        <w:t xml:space="preserve">IgG (8.97%) than IgM (2.64%) and </w:t>
      </w:r>
      <w:r w:rsidR="00CB1DCD">
        <w:rPr>
          <w:rFonts w:ascii="Times New Roman" w:eastAsia="Times New Roman" w:hAnsi="Times New Roman" w:cs="Times New Roman"/>
          <w:kern w:val="36"/>
          <w14:ligatures w14:val="none"/>
        </w:rPr>
        <w:t xml:space="preserve">was </w:t>
      </w:r>
      <w:r w:rsidRPr="0027330F">
        <w:rPr>
          <w:rFonts w:ascii="Times New Roman" w:eastAsia="Times New Roman" w:hAnsi="Times New Roman" w:cs="Times New Roman"/>
          <w:kern w:val="36"/>
          <w14:ligatures w14:val="none"/>
        </w:rPr>
        <w:t xml:space="preserve">absent in </w:t>
      </w:r>
      <w:proofErr w:type="spellStart"/>
      <w:r w:rsidRPr="0027330F">
        <w:rPr>
          <w:rFonts w:ascii="Times New Roman" w:eastAsia="Times New Roman" w:hAnsi="Times New Roman" w:cs="Times New Roman"/>
          <w:kern w:val="36"/>
          <w14:ligatures w14:val="none"/>
        </w:rPr>
        <w:t>IgG+IgM</w:t>
      </w:r>
      <w:proofErr w:type="spellEnd"/>
      <w:r w:rsidRPr="0027330F">
        <w:rPr>
          <w:rFonts w:ascii="Times New Roman" w:eastAsia="Times New Roman" w:hAnsi="Times New Roman" w:cs="Times New Roman"/>
          <w:kern w:val="36"/>
          <w14:ligatures w14:val="none"/>
        </w:rPr>
        <w:t>. Toxoplasmosis appears to vary seasonally</w:t>
      </w:r>
      <w:r w:rsidR="00CB1DCD">
        <w:rPr>
          <w:rFonts w:ascii="Times New Roman" w:eastAsia="Times New Roman" w:hAnsi="Times New Roman" w:cs="Times New Roman"/>
          <w:kern w:val="36"/>
          <w14:ligatures w14:val="none"/>
        </w:rPr>
        <w:t>,</w:t>
      </w:r>
      <w:r w:rsidRPr="0027330F">
        <w:rPr>
          <w:rFonts w:ascii="Times New Roman" w:eastAsia="Times New Roman" w:hAnsi="Times New Roman" w:cs="Times New Roman"/>
          <w:kern w:val="36"/>
          <w14:ligatures w14:val="none"/>
        </w:rPr>
        <w:t xml:space="preserve"> and AFP antibodies cross-react with </w:t>
      </w:r>
      <w:r w:rsidRPr="00490252">
        <w:rPr>
          <w:rFonts w:ascii="Times New Roman" w:eastAsia="Times New Roman" w:hAnsi="Times New Roman" w:cs="Times New Roman"/>
          <w:i/>
          <w:iCs/>
          <w:kern w:val="36"/>
          <w14:ligatures w14:val="none"/>
        </w:rPr>
        <w:t xml:space="preserve">Toxoplasma </w:t>
      </w:r>
      <w:r w:rsidRPr="0027330F">
        <w:rPr>
          <w:rFonts w:ascii="Times New Roman" w:eastAsia="Times New Roman" w:hAnsi="Times New Roman" w:cs="Times New Roman"/>
          <w:kern w:val="36"/>
          <w14:ligatures w14:val="none"/>
        </w:rPr>
        <w:t>IgG (Salman, 2014c).</w:t>
      </w:r>
    </w:p>
    <w:p w14:paraId="40D71FC1" w14:textId="77777777" w:rsidR="00BC1E6D" w:rsidRPr="00BC1E6D" w:rsidRDefault="00BC1E6D" w:rsidP="0027330F">
      <w:pPr>
        <w:spacing w:before="100" w:beforeAutospacing="1" w:after="100" w:afterAutospacing="1" w:line="240" w:lineRule="auto"/>
        <w:jc w:val="both"/>
        <w:outlineLvl w:val="0"/>
        <w:rPr>
          <w:rFonts w:ascii="Times New Roman" w:eastAsia="Times New Roman" w:hAnsi="Times New Roman" w:cs="Times New Roman"/>
          <w:kern w:val="0"/>
          <w:lang w:val="en-CA"/>
          <w14:ligatures w14:val="none"/>
        </w:rPr>
      </w:pPr>
      <w:r w:rsidRPr="00BC1E6D">
        <w:rPr>
          <w:rFonts w:ascii="Times New Roman" w:eastAsia="Times New Roman" w:hAnsi="Times New Roman" w:cs="Times New Roman"/>
          <w:kern w:val="0"/>
          <w:lang w:val="en-CA"/>
          <w14:ligatures w14:val="none"/>
        </w:rPr>
        <w:t xml:space="preserve">Immunological studies began to elucidate host responses to </w:t>
      </w:r>
      <w:r w:rsidRPr="00CB1DCD">
        <w:rPr>
          <w:rFonts w:ascii="Times New Roman" w:eastAsia="Times New Roman" w:hAnsi="Times New Roman" w:cs="Times New Roman"/>
          <w:i/>
          <w:iCs/>
          <w:kern w:val="0"/>
          <w:lang w:val="en-CA"/>
          <w14:ligatures w14:val="none"/>
        </w:rPr>
        <w:t>T. gondii</w:t>
      </w:r>
      <w:r w:rsidRPr="00BC1E6D">
        <w:rPr>
          <w:rFonts w:ascii="Times New Roman" w:eastAsia="Times New Roman" w:hAnsi="Times New Roman" w:cs="Times New Roman"/>
          <w:kern w:val="0"/>
          <w:lang w:val="en-CA"/>
          <w14:ligatures w14:val="none"/>
        </w:rPr>
        <w:t xml:space="preserve"> infection alongside clinical investigations. Al-Hilli et al. (2010) discovered that patients with chronic infections exhibited elevated levels of interferon-gamma (IFN-γ) and tumour necrosis factor-alpha (TNF-α) when cytokine levels were measured. Their findings indicate that even during the latent stages of the disease, ongoing immune activation may exacerbate systemic inflammation. Similarly, Al-</w:t>
      </w:r>
      <w:proofErr w:type="spellStart"/>
      <w:r w:rsidRPr="00BC1E6D">
        <w:rPr>
          <w:rFonts w:ascii="Times New Roman" w:eastAsia="Times New Roman" w:hAnsi="Times New Roman" w:cs="Times New Roman"/>
          <w:kern w:val="0"/>
          <w:lang w:val="en-CA"/>
          <w14:ligatures w14:val="none"/>
        </w:rPr>
        <w:t>Kubaisy</w:t>
      </w:r>
      <w:proofErr w:type="spellEnd"/>
      <w:r w:rsidRPr="00BC1E6D">
        <w:rPr>
          <w:rFonts w:ascii="Times New Roman" w:eastAsia="Times New Roman" w:hAnsi="Times New Roman" w:cs="Times New Roman"/>
          <w:kern w:val="0"/>
          <w:lang w:val="en-CA"/>
          <w14:ligatures w14:val="none"/>
        </w:rPr>
        <w:t xml:space="preserve"> et al. (2008) reported dysregulation in T-cell responses among patients suffering from chronic toxoplasmosis.</w:t>
      </w:r>
    </w:p>
    <w:p w14:paraId="17EA019D" w14:textId="77777777" w:rsidR="00BC1E6D" w:rsidRPr="00BC1E6D" w:rsidRDefault="00BC1E6D" w:rsidP="0027330F">
      <w:pPr>
        <w:spacing w:before="100" w:beforeAutospacing="1" w:after="100" w:afterAutospacing="1" w:line="240" w:lineRule="auto"/>
        <w:jc w:val="both"/>
        <w:outlineLvl w:val="0"/>
        <w:rPr>
          <w:rFonts w:ascii="Times New Roman" w:eastAsia="Times New Roman" w:hAnsi="Times New Roman" w:cs="Times New Roman"/>
          <w:kern w:val="0"/>
          <w:lang w:val="en-CA"/>
          <w14:ligatures w14:val="none"/>
        </w:rPr>
      </w:pPr>
      <w:r w:rsidRPr="00BC1E6D">
        <w:rPr>
          <w:rFonts w:ascii="Times New Roman" w:eastAsia="Times New Roman" w:hAnsi="Times New Roman" w:cs="Times New Roman"/>
          <w:kern w:val="0"/>
          <w:lang w:val="en-CA"/>
          <w14:ligatures w14:val="none"/>
        </w:rPr>
        <w:t xml:space="preserve">During this period, Salman made a notable contribution. In 2005, when he assessed the immunological profile of pregnant women who tested positive for </w:t>
      </w:r>
      <w:r w:rsidRPr="00CB1DCD">
        <w:rPr>
          <w:rFonts w:ascii="Times New Roman" w:eastAsia="Times New Roman" w:hAnsi="Times New Roman" w:cs="Times New Roman"/>
          <w:i/>
          <w:iCs/>
          <w:kern w:val="0"/>
          <w:lang w:val="en-CA"/>
          <w14:ligatures w14:val="none"/>
        </w:rPr>
        <w:t>T. gondii</w:t>
      </w:r>
      <w:r w:rsidRPr="00BC1E6D">
        <w:rPr>
          <w:rFonts w:ascii="Times New Roman" w:eastAsia="Times New Roman" w:hAnsi="Times New Roman" w:cs="Times New Roman"/>
          <w:kern w:val="0"/>
          <w:lang w:val="en-CA"/>
          <w14:ligatures w14:val="none"/>
        </w:rPr>
        <w:t>, he identified an imbalance between pro-inflammatory and anti-inflammatory cytokines (Salman, 2005). He highlighted the importance of maternal immunity in mitigating pregnancy complications caused by subclinical infections and in preventing vertical transmission.</w:t>
      </w:r>
    </w:p>
    <w:p w14:paraId="074C96FD" w14:textId="77777777" w:rsidR="00BC1E6D" w:rsidRPr="00BC1E6D" w:rsidRDefault="00BC1E6D" w:rsidP="0027330F">
      <w:pPr>
        <w:spacing w:before="100" w:beforeAutospacing="1" w:after="100" w:afterAutospacing="1" w:line="240" w:lineRule="auto"/>
        <w:jc w:val="both"/>
        <w:outlineLvl w:val="0"/>
        <w:rPr>
          <w:rFonts w:ascii="Times New Roman" w:eastAsia="Times New Roman" w:hAnsi="Times New Roman" w:cs="Times New Roman"/>
          <w:kern w:val="0"/>
          <w:lang w:val="en-CA"/>
          <w14:ligatures w14:val="none"/>
        </w:rPr>
      </w:pPr>
      <w:r w:rsidRPr="00BC1E6D">
        <w:rPr>
          <w:rFonts w:ascii="Times New Roman" w:eastAsia="Times New Roman" w:hAnsi="Times New Roman" w:cs="Times New Roman"/>
          <w:kern w:val="0"/>
          <w:lang w:val="en-CA"/>
          <w14:ligatures w14:val="none"/>
        </w:rPr>
        <w:t xml:space="preserve">Concurrently, diagnostic techniques evolved. Iraqi laboratories began employing increasingly sophisticated ELISA methods capable of detecting both IgG and IgM antibodies, thus enhancing their ability to distinguish between recent and past infections (Al-Kaisy &amp; Al-Hassani, 2005). The introduction of IgG avidity testing provided medical professionals with additional tools to ascertain the timing of infections, which is vital in managing suspected cases of congenital toxoplasmosis. Tawfiq (2019) noted that women with low levels of </w:t>
      </w:r>
      <w:r w:rsidRPr="00CB1DCD">
        <w:rPr>
          <w:rFonts w:ascii="Times New Roman" w:eastAsia="Times New Roman" w:hAnsi="Times New Roman" w:cs="Times New Roman"/>
          <w:i/>
          <w:iCs/>
          <w:kern w:val="0"/>
          <w:lang w:val="en-CA"/>
          <w14:ligatures w14:val="none"/>
        </w:rPr>
        <w:t>Toxoplasma</w:t>
      </w:r>
      <w:r w:rsidRPr="00BC1E6D">
        <w:rPr>
          <w:rFonts w:ascii="Times New Roman" w:eastAsia="Times New Roman" w:hAnsi="Times New Roman" w:cs="Times New Roman"/>
          <w:kern w:val="0"/>
          <w:lang w:val="en-CA"/>
          <w14:ligatures w14:val="none"/>
        </w:rPr>
        <w:t xml:space="preserve"> IgG avidity were more likely to contract the disease during pregnancy, whereas those with high levels of IgG avidity had previously been infected with toxoplasmosis.</w:t>
      </w:r>
    </w:p>
    <w:p w14:paraId="20492F2B" w14:textId="77777777" w:rsidR="00BC1E6D" w:rsidRPr="00BC1E6D" w:rsidRDefault="00BC1E6D" w:rsidP="0027330F">
      <w:pPr>
        <w:spacing w:before="100" w:beforeAutospacing="1" w:after="100" w:afterAutospacing="1" w:line="240" w:lineRule="auto"/>
        <w:jc w:val="both"/>
        <w:outlineLvl w:val="0"/>
        <w:rPr>
          <w:rFonts w:ascii="Times New Roman" w:eastAsia="Times New Roman" w:hAnsi="Times New Roman" w:cs="Times New Roman"/>
          <w:kern w:val="0"/>
          <w:lang w:val="en-CA"/>
          <w14:ligatures w14:val="none"/>
        </w:rPr>
      </w:pPr>
      <w:r w:rsidRPr="00BC1E6D">
        <w:rPr>
          <w:rFonts w:ascii="Times New Roman" w:eastAsia="Times New Roman" w:hAnsi="Times New Roman" w:cs="Times New Roman"/>
          <w:kern w:val="0"/>
          <w:lang w:val="en-CA"/>
          <w14:ligatures w14:val="none"/>
        </w:rPr>
        <w:lastRenderedPageBreak/>
        <w:t>Numerous researchers have also emphasised the importance of educational interventions. Al-</w:t>
      </w:r>
      <w:proofErr w:type="spellStart"/>
      <w:r w:rsidRPr="00BC1E6D">
        <w:rPr>
          <w:rFonts w:ascii="Times New Roman" w:eastAsia="Times New Roman" w:hAnsi="Times New Roman" w:cs="Times New Roman"/>
          <w:kern w:val="0"/>
          <w:lang w:val="en-CA"/>
          <w14:ligatures w14:val="none"/>
        </w:rPr>
        <w:t>Hadithi</w:t>
      </w:r>
      <w:proofErr w:type="spellEnd"/>
      <w:r w:rsidRPr="00BC1E6D">
        <w:rPr>
          <w:rFonts w:ascii="Times New Roman" w:eastAsia="Times New Roman" w:hAnsi="Times New Roman" w:cs="Times New Roman"/>
          <w:kern w:val="0"/>
          <w:lang w:val="en-CA"/>
          <w14:ligatures w14:val="none"/>
        </w:rPr>
        <w:t xml:space="preserve"> et al. (2005) underscore the benefits of community-based awareness campaigns aimed at reducing high-risk behaviours, such as consuming undercooked meat and neglecting hand hygiene. Although these public health initiatives had limited geographical reach, they reflected an increasing recognition of the necessity to translate research findings into preventive measures.</w:t>
      </w:r>
    </w:p>
    <w:p w14:paraId="32A3547F" w14:textId="77777777" w:rsidR="00BC1E6D" w:rsidRPr="00BC1E6D" w:rsidRDefault="00BC1E6D" w:rsidP="0027330F">
      <w:pPr>
        <w:spacing w:before="100" w:beforeAutospacing="1" w:after="100" w:afterAutospacing="1" w:line="240" w:lineRule="auto"/>
        <w:jc w:val="both"/>
        <w:outlineLvl w:val="0"/>
        <w:rPr>
          <w:rFonts w:ascii="Times New Roman" w:eastAsia="Times New Roman" w:hAnsi="Times New Roman" w:cs="Times New Roman"/>
          <w:kern w:val="0"/>
          <w:lang w:val="en-CA"/>
          <w14:ligatures w14:val="none"/>
        </w:rPr>
      </w:pPr>
      <w:r w:rsidRPr="00BC1E6D">
        <w:rPr>
          <w:rFonts w:ascii="Times New Roman" w:eastAsia="Times New Roman" w:hAnsi="Times New Roman" w:cs="Times New Roman"/>
          <w:kern w:val="0"/>
          <w:lang w:val="en-CA"/>
          <w14:ligatures w14:val="none"/>
        </w:rPr>
        <w:t>In summary, the clinical understanding of toxoplasmosis in Iraq significantly advanced between 2001 and 2010. Researchers investigated the complex relationship between infection, host immunity, and reproductive health outcomes, moving beyond mere prevalence reports. This body of work laid the groundwork for interdisciplinary research and molecular advancements that would characterise the following decade.</w:t>
      </w:r>
    </w:p>
    <w:p w14:paraId="3EED57BD" w14:textId="77777777" w:rsidR="00BC1E6D" w:rsidRPr="00BC1E6D" w:rsidRDefault="00BC1E6D" w:rsidP="0027330F">
      <w:pPr>
        <w:spacing w:before="100" w:beforeAutospacing="1" w:after="100" w:afterAutospacing="1" w:line="240" w:lineRule="auto"/>
        <w:rPr>
          <w:rFonts w:ascii="Times New Roman" w:eastAsia="Times New Roman" w:hAnsi="Times New Roman" w:cs="Times New Roman"/>
          <w:b/>
          <w:bCs/>
          <w:kern w:val="36"/>
          <w14:ligatures w14:val="none"/>
        </w:rPr>
      </w:pPr>
      <w:r w:rsidRPr="00BC1E6D">
        <w:rPr>
          <w:rFonts w:ascii="Times New Roman" w:eastAsia="Times New Roman" w:hAnsi="Times New Roman" w:cs="Times New Roman"/>
          <w:b/>
          <w:bCs/>
          <w:kern w:val="36"/>
          <w14:ligatures w14:val="none"/>
        </w:rPr>
        <w:t>3. Developments in Molecular and Diagnostic Technologies (2011–2025)</w:t>
      </w:r>
    </w:p>
    <w:p w14:paraId="324BD211" w14:textId="77777777" w:rsidR="00BC1E6D" w:rsidRPr="0027330F" w:rsidRDefault="00BC1E6D" w:rsidP="00CB1DCD">
      <w:pPr>
        <w:spacing w:before="100" w:beforeAutospacing="1" w:after="100" w:afterAutospacing="1" w:line="240" w:lineRule="auto"/>
        <w:jc w:val="both"/>
        <w:rPr>
          <w:rFonts w:ascii="Times New Roman" w:eastAsia="Times New Roman" w:hAnsi="Times New Roman" w:cs="Times New Roman"/>
          <w:kern w:val="36"/>
          <w14:ligatures w14:val="none"/>
        </w:rPr>
      </w:pPr>
      <w:r w:rsidRPr="0027330F">
        <w:rPr>
          <w:rFonts w:ascii="Times New Roman" w:eastAsia="Times New Roman" w:hAnsi="Times New Roman" w:cs="Times New Roman"/>
          <w:kern w:val="36"/>
          <w14:ligatures w14:val="none"/>
        </w:rPr>
        <w:t>The introduction of molecular diagnostic technologie</w:t>
      </w:r>
      <w:r w:rsidR="00CB1DCD">
        <w:rPr>
          <w:rFonts w:ascii="Times New Roman" w:eastAsia="Times New Roman" w:hAnsi="Times New Roman" w:cs="Times New Roman"/>
          <w:kern w:val="36"/>
          <w14:ligatures w14:val="none"/>
        </w:rPr>
        <w:t xml:space="preserve">s, the genotyping of </w:t>
      </w:r>
      <w:proofErr w:type="spellStart"/>
      <w:r w:rsidR="00CB1DCD" w:rsidRPr="00CB1DCD">
        <w:rPr>
          <w:rFonts w:ascii="Times New Roman" w:eastAsia="Times New Roman" w:hAnsi="Times New Roman" w:cs="Times New Roman"/>
          <w:i/>
          <w:iCs/>
          <w:kern w:val="36"/>
          <w14:ligatures w14:val="none"/>
        </w:rPr>
        <w:t>T.</w:t>
      </w:r>
      <w:r w:rsidRPr="00CB1DCD">
        <w:rPr>
          <w:rFonts w:ascii="Times New Roman" w:eastAsia="Times New Roman" w:hAnsi="Times New Roman" w:cs="Times New Roman"/>
          <w:i/>
          <w:iCs/>
          <w:kern w:val="36"/>
          <w14:ligatures w14:val="none"/>
        </w:rPr>
        <w:t>gondii</w:t>
      </w:r>
      <w:proofErr w:type="spellEnd"/>
      <w:r w:rsidRPr="0027330F">
        <w:rPr>
          <w:rFonts w:ascii="Times New Roman" w:eastAsia="Times New Roman" w:hAnsi="Times New Roman" w:cs="Times New Roman"/>
          <w:kern w:val="36"/>
          <w14:ligatures w14:val="none"/>
        </w:rPr>
        <w:t xml:space="preserve"> strains, and the creation of more accurate serological techniques marked a watershed in Iraqi human toxoplasmosis research between 2011 and 2025. Iraq became in line with international trends in parasitology research as researchers shifted from traditional serological surveys to in-depth molecular and immunological analyses as laboratory capabilities in some Iraqi universities and medical facilities improved.</w:t>
      </w:r>
    </w:p>
    <w:p w14:paraId="21C698F0" w14:textId="77777777" w:rsidR="00BC1E6D" w:rsidRPr="0027330F" w:rsidRDefault="00BC1E6D" w:rsidP="00BC1E6D">
      <w:pPr>
        <w:spacing w:before="100" w:beforeAutospacing="1" w:after="100" w:afterAutospacing="1" w:line="240" w:lineRule="auto"/>
        <w:rPr>
          <w:rFonts w:ascii="Times New Roman" w:eastAsia="Times New Roman" w:hAnsi="Times New Roman" w:cs="Times New Roman"/>
          <w:kern w:val="36"/>
          <w14:ligatures w14:val="none"/>
        </w:rPr>
      </w:pPr>
      <w:r w:rsidRPr="0027330F">
        <w:rPr>
          <w:rFonts w:ascii="Times New Roman" w:eastAsia="Times New Roman" w:hAnsi="Times New Roman" w:cs="Times New Roman"/>
          <w:kern w:val="36"/>
          <w14:ligatures w14:val="none"/>
        </w:rPr>
        <w:t xml:space="preserve">The use of polymerase chain reaction (PCR) techniques for the direct detection of </w:t>
      </w:r>
      <w:r w:rsidRPr="00CB1DCD">
        <w:rPr>
          <w:rFonts w:ascii="Times New Roman" w:eastAsia="Times New Roman" w:hAnsi="Times New Roman" w:cs="Times New Roman"/>
          <w:i/>
          <w:iCs/>
          <w:kern w:val="36"/>
          <w14:ligatures w14:val="none"/>
        </w:rPr>
        <w:t xml:space="preserve">T. gondii </w:t>
      </w:r>
      <w:r w:rsidRPr="0027330F">
        <w:rPr>
          <w:rFonts w:ascii="Times New Roman" w:eastAsia="Times New Roman" w:hAnsi="Times New Roman" w:cs="Times New Roman"/>
          <w:kern w:val="36"/>
          <w14:ligatures w14:val="none"/>
        </w:rPr>
        <w:t xml:space="preserve">DNA in clinical samples was one of the most significant developments. Al-Saadi and Al-Saadi (2015) performed one of the first large-scale PCR-based studies in Iraq, successfully amplifying </w:t>
      </w:r>
      <w:r w:rsidRPr="00CB1DCD">
        <w:rPr>
          <w:rFonts w:ascii="Times New Roman" w:eastAsia="Times New Roman" w:hAnsi="Times New Roman" w:cs="Times New Roman"/>
          <w:i/>
          <w:iCs/>
          <w:kern w:val="36"/>
          <w14:ligatures w14:val="none"/>
        </w:rPr>
        <w:t>T. gondii</w:t>
      </w:r>
      <w:r w:rsidRPr="0027330F">
        <w:rPr>
          <w:rFonts w:ascii="Times New Roman" w:eastAsia="Times New Roman" w:hAnsi="Times New Roman" w:cs="Times New Roman"/>
          <w:kern w:val="36"/>
          <w14:ligatures w14:val="none"/>
        </w:rPr>
        <w:t xml:space="preserve"> DNA from blood and amniotic fluid samples collected from pregnant women and suspected congenital toxoplasmosis cases. Their research showed that molecular techniques were much more sensitive than traditional serology, especially when it came to early detection of acute infections.</w:t>
      </w:r>
    </w:p>
    <w:p w14:paraId="5AE602F5" w14:textId="77777777" w:rsidR="00BC1E6D" w:rsidRPr="0027330F" w:rsidRDefault="00BC1E6D" w:rsidP="00CB1DCD">
      <w:pPr>
        <w:spacing w:before="100" w:beforeAutospacing="1" w:after="100" w:afterAutospacing="1" w:line="240" w:lineRule="auto"/>
        <w:rPr>
          <w:rFonts w:ascii="Times New Roman" w:eastAsia="Times New Roman" w:hAnsi="Times New Roman" w:cs="Times New Roman"/>
          <w:kern w:val="36"/>
          <w14:ligatures w14:val="none"/>
        </w:rPr>
      </w:pPr>
      <w:r w:rsidRPr="0027330F">
        <w:rPr>
          <w:rFonts w:ascii="Times New Roman" w:eastAsia="Times New Roman" w:hAnsi="Times New Roman" w:cs="Times New Roman"/>
          <w:kern w:val="36"/>
          <w14:ligatures w14:val="none"/>
        </w:rPr>
        <w:t xml:space="preserve">In Erbil, Iraq, a cross-sectional study of 150 premarital women revealed that 23.3% had T. gondii antibodies identified by latex agglutination, with ELISA confirming IgM in 5.3% and IgG in 15.3% of the participants. In 10% of cases, PCR detected parasite DNA, demonstrating a higher detection rate of active infections than serology. According to the study's findings, IgM positivity by itself is not a reliable indicator of infection dating, but PCR </w:t>
      </w:r>
      <w:r w:rsidR="00CB1DCD">
        <w:rPr>
          <w:rFonts w:ascii="Times New Roman" w:eastAsia="Times New Roman" w:hAnsi="Times New Roman" w:cs="Times New Roman"/>
          <w:kern w:val="36"/>
          <w14:ligatures w14:val="none"/>
        </w:rPr>
        <w:t>helps verify</w:t>
      </w:r>
      <w:r w:rsidRPr="0027330F">
        <w:rPr>
          <w:rFonts w:ascii="Times New Roman" w:eastAsia="Times New Roman" w:hAnsi="Times New Roman" w:cs="Times New Roman"/>
          <w:kern w:val="36"/>
          <w14:ligatures w14:val="none"/>
        </w:rPr>
        <w:t xml:space="preserve"> recent </w:t>
      </w:r>
      <w:r w:rsidRPr="00CB1DCD">
        <w:rPr>
          <w:rFonts w:ascii="Times New Roman" w:eastAsia="Times New Roman" w:hAnsi="Times New Roman" w:cs="Times New Roman"/>
          <w:i/>
          <w:iCs/>
          <w:kern w:val="36"/>
          <w14:ligatures w14:val="none"/>
        </w:rPr>
        <w:t>T. gondii</w:t>
      </w:r>
      <w:r w:rsidRPr="0027330F">
        <w:rPr>
          <w:rFonts w:ascii="Times New Roman" w:eastAsia="Times New Roman" w:hAnsi="Times New Roman" w:cs="Times New Roman"/>
          <w:kern w:val="36"/>
          <w14:ligatures w14:val="none"/>
        </w:rPr>
        <w:t xml:space="preserve"> infections</w:t>
      </w:r>
      <w:r w:rsidR="00CB1DCD">
        <w:rPr>
          <w:rFonts w:ascii="Times New Roman" w:eastAsia="Times New Roman" w:hAnsi="Times New Roman" w:cs="Times New Roman"/>
          <w:kern w:val="36"/>
          <w14:ligatures w14:val="none"/>
        </w:rPr>
        <w:t>,</w:t>
      </w:r>
      <w:r w:rsidRPr="0027330F">
        <w:rPr>
          <w:rFonts w:ascii="Times New Roman" w:eastAsia="Times New Roman" w:hAnsi="Times New Roman" w:cs="Times New Roman"/>
          <w:kern w:val="36"/>
          <w14:ligatures w14:val="none"/>
        </w:rPr>
        <w:t xml:space="preserve"> and ELISA is helpful for screening. Bakri (2016).</w:t>
      </w:r>
    </w:p>
    <w:p w14:paraId="450C4DB1" w14:textId="77777777" w:rsidR="00BC1E6D" w:rsidRPr="0027330F" w:rsidRDefault="00BC1E6D" w:rsidP="00BC1E6D">
      <w:pPr>
        <w:spacing w:before="100" w:beforeAutospacing="1" w:after="100" w:afterAutospacing="1" w:line="240" w:lineRule="auto"/>
        <w:rPr>
          <w:rFonts w:ascii="Times New Roman" w:eastAsia="Times New Roman" w:hAnsi="Times New Roman" w:cs="Times New Roman"/>
          <w:kern w:val="36"/>
          <w14:ligatures w14:val="none"/>
        </w:rPr>
      </w:pPr>
      <w:r w:rsidRPr="0027330F">
        <w:rPr>
          <w:rFonts w:ascii="Times New Roman" w:eastAsia="Times New Roman" w:hAnsi="Times New Roman" w:cs="Times New Roman"/>
          <w:kern w:val="36"/>
          <w14:ligatures w14:val="none"/>
        </w:rPr>
        <w:t xml:space="preserve">Simultaneously, efforts were made to classify the genetic diversity of </w:t>
      </w:r>
      <w:r w:rsidRPr="00CB1DCD">
        <w:rPr>
          <w:rFonts w:ascii="Times New Roman" w:eastAsia="Times New Roman" w:hAnsi="Times New Roman" w:cs="Times New Roman"/>
          <w:i/>
          <w:iCs/>
          <w:kern w:val="36"/>
          <w14:ligatures w14:val="none"/>
        </w:rPr>
        <w:t>T. gondii</w:t>
      </w:r>
      <w:r w:rsidRPr="0027330F">
        <w:rPr>
          <w:rFonts w:ascii="Times New Roman" w:eastAsia="Times New Roman" w:hAnsi="Times New Roman" w:cs="Times New Roman"/>
          <w:kern w:val="36"/>
          <w14:ligatures w14:val="none"/>
        </w:rPr>
        <w:t xml:space="preserve"> strains that were circulating in Iraq through molecular genotyping. Salman (2013) found that Type II and atypical strains had the most common genotypes using nested PCR and </w:t>
      </w:r>
      <w:proofErr w:type="spellStart"/>
      <w:r w:rsidRPr="0027330F">
        <w:rPr>
          <w:rFonts w:ascii="Times New Roman" w:eastAsia="Times New Roman" w:hAnsi="Times New Roman" w:cs="Times New Roman"/>
          <w:kern w:val="36"/>
          <w14:ligatures w14:val="none"/>
        </w:rPr>
        <w:t>multilocus</w:t>
      </w:r>
      <w:proofErr w:type="spellEnd"/>
      <w:r w:rsidRPr="0027330F">
        <w:rPr>
          <w:rFonts w:ascii="Times New Roman" w:eastAsia="Times New Roman" w:hAnsi="Times New Roman" w:cs="Times New Roman"/>
          <w:kern w:val="36"/>
          <w14:ligatures w14:val="none"/>
        </w:rPr>
        <w:t xml:space="preserve"> genotyping techniques. These results were noteworthy because they raised the possibility of links between particular parasite genotypes and the severity of clinical symptoms, such as congenital and ocular toxoplasmosis.</w:t>
      </w:r>
    </w:p>
    <w:p w14:paraId="040D4D3B" w14:textId="77777777" w:rsidR="00BC1E6D" w:rsidRPr="0027330F" w:rsidRDefault="00BC1E6D" w:rsidP="00CB1DCD">
      <w:pPr>
        <w:spacing w:before="100" w:beforeAutospacing="1" w:after="100" w:afterAutospacing="1" w:line="240" w:lineRule="auto"/>
        <w:jc w:val="both"/>
        <w:rPr>
          <w:rFonts w:ascii="Times New Roman" w:eastAsia="Times New Roman" w:hAnsi="Times New Roman" w:cs="Times New Roman"/>
          <w:kern w:val="36"/>
          <w14:ligatures w14:val="none"/>
        </w:rPr>
      </w:pPr>
      <w:r w:rsidRPr="0027330F">
        <w:rPr>
          <w:rFonts w:ascii="Times New Roman" w:eastAsia="Times New Roman" w:hAnsi="Times New Roman" w:cs="Times New Roman"/>
          <w:kern w:val="36"/>
          <w14:ligatures w14:val="none"/>
        </w:rPr>
        <w:lastRenderedPageBreak/>
        <w:t xml:space="preserve">During this time, serological technique advancements also persisted. Recombinant antigen-based ELISA tests were used by Iraqi researchers to improve specificity and decrease cross-reactivity with other parasitic infections. These tests used purified or synthetic </w:t>
      </w:r>
      <w:r w:rsidRPr="00CB1DCD">
        <w:rPr>
          <w:rFonts w:ascii="Times New Roman" w:eastAsia="Times New Roman" w:hAnsi="Times New Roman" w:cs="Times New Roman"/>
          <w:i/>
          <w:iCs/>
          <w:kern w:val="36"/>
          <w14:ligatures w14:val="none"/>
        </w:rPr>
        <w:t>T. gondii</w:t>
      </w:r>
      <w:r w:rsidRPr="0027330F">
        <w:rPr>
          <w:rFonts w:ascii="Times New Roman" w:eastAsia="Times New Roman" w:hAnsi="Times New Roman" w:cs="Times New Roman"/>
          <w:kern w:val="36"/>
          <w14:ligatures w14:val="none"/>
        </w:rPr>
        <w:t xml:space="preserve"> antigens, such as SAG1, GRA7, and MIC3 proteins (Al-</w:t>
      </w:r>
      <w:proofErr w:type="spellStart"/>
      <w:r w:rsidRPr="0027330F">
        <w:rPr>
          <w:rFonts w:ascii="Times New Roman" w:eastAsia="Times New Roman" w:hAnsi="Times New Roman" w:cs="Times New Roman"/>
          <w:kern w:val="36"/>
          <w14:ligatures w14:val="none"/>
        </w:rPr>
        <w:t>Janabi</w:t>
      </w:r>
      <w:proofErr w:type="spellEnd"/>
      <w:r w:rsidRPr="0027330F">
        <w:rPr>
          <w:rFonts w:ascii="Times New Roman" w:eastAsia="Times New Roman" w:hAnsi="Times New Roman" w:cs="Times New Roman"/>
          <w:kern w:val="36"/>
          <w14:ligatures w14:val="none"/>
        </w:rPr>
        <w:t xml:space="preserve"> &amp; Al-Khafaji, 2017). Additionally, IgG avidity testing was used more frequently, especially in maternity hospitals, and gave doctors vital information about when infections occur during pregnancy (Tawfiq, 2019; Al-Khafaji &amp; Al-</w:t>
      </w:r>
      <w:proofErr w:type="spellStart"/>
      <w:r w:rsidRPr="0027330F">
        <w:rPr>
          <w:rFonts w:ascii="Times New Roman" w:eastAsia="Times New Roman" w:hAnsi="Times New Roman" w:cs="Times New Roman"/>
          <w:kern w:val="36"/>
          <w14:ligatures w14:val="none"/>
        </w:rPr>
        <w:t>Janabi</w:t>
      </w:r>
      <w:proofErr w:type="spellEnd"/>
      <w:r w:rsidRPr="0027330F">
        <w:rPr>
          <w:rFonts w:ascii="Times New Roman" w:eastAsia="Times New Roman" w:hAnsi="Times New Roman" w:cs="Times New Roman"/>
          <w:kern w:val="36"/>
          <w14:ligatures w14:val="none"/>
        </w:rPr>
        <w:t>, 2022). Throughout this time, Salman kept making contributions to the development of diagnostics. In order to improve clinical outcomes, his 2017 study recommended integrated diagnostic algorithms for the early detection of congenital toxoplasmosis, evaluating the combined use of real-time PCR and recombinant antigen-based ELISA (Salman, 2017).</w:t>
      </w:r>
    </w:p>
    <w:p w14:paraId="0D588051" w14:textId="77777777" w:rsidR="00BC1E6D" w:rsidRPr="0027330F" w:rsidRDefault="00BC1E6D" w:rsidP="00BC1E6D">
      <w:pPr>
        <w:spacing w:before="100" w:beforeAutospacing="1" w:after="100" w:afterAutospacing="1" w:line="240" w:lineRule="auto"/>
        <w:jc w:val="both"/>
        <w:rPr>
          <w:rFonts w:ascii="Times New Roman" w:eastAsia="Times New Roman" w:hAnsi="Times New Roman" w:cs="Times New Roman"/>
          <w:kern w:val="36"/>
          <w14:ligatures w14:val="none"/>
        </w:rPr>
      </w:pPr>
      <w:r w:rsidRPr="0027330F">
        <w:rPr>
          <w:rFonts w:ascii="Times New Roman" w:eastAsia="Times New Roman" w:hAnsi="Times New Roman" w:cs="Times New Roman"/>
          <w:kern w:val="36"/>
          <w14:ligatures w14:val="none"/>
        </w:rPr>
        <w:t>Novel biomarkers were also investigated by several researchers. Al-Shammari et al. (2020) looked into the use of cytokine profiles and circulating microRNAs as possible markers of active toxoplasmosis. Although still at an experimental stage, such research reflects a growing trend toward biomarker-based diagnostics, offering hope for more rapid and less invasive detection methods in the future.</w:t>
      </w:r>
    </w:p>
    <w:p w14:paraId="173F5987" w14:textId="77777777" w:rsidR="00CB325B" w:rsidRPr="00CB325B" w:rsidRDefault="00CB325B" w:rsidP="0027330F">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t xml:space="preserve">Crucially, research on opportunistic </w:t>
      </w:r>
      <w:r w:rsidRPr="00CB1DCD">
        <w:rPr>
          <w:rFonts w:ascii="Times New Roman" w:eastAsia="Times New Roman" w:hAnsi="Times New Roman" w:cs="Times New Roman"/>
          <w:i/>
          <w:iCs/>
          <w:kern w:val="0"/>
          <w14:ligatures w14:val="none"/>
        </w:rPr>
        <w:t>T. gondii</w:t>
      </w:r>
      <w:r w:rsidRPr="00CB325B">
        <w:rPr>
          <w:rFonts w:ascii="Times New Roman" w:eastAsia="Times New Roman" w:hAnsi="Times New Roman" w:cs="Times New Roman"/>
          <w:kern w:val="0"/>
          <w14:ligatures w14:val="none"/>
        </w:rPr>
        <w:t xml:space="preserve"> reactivation in immunocompromised individuals was spurred by the 2020–2022 COVID-19 pandemic. The higher toxoplasmosis seropositivity rates among COVID-19 survivors raise the possibility that parasites may reactivate as a result of viral immunosuppression. It was </w:t>
      </w:r>
      <w:proofErr w:type="spellStart"/>
      <w:r w:rsidRPr="00CB325B">
        <w:rPr>
          <w:rFonts w:ascii="Times New Roman" w:eastAsia="Times New Roman" w:hAnsi="Times New Roman" w:cs="Times New Roman"/>
          <w:kern w:val="0"/>
          <w14:ligatures w14:val="none"/>
        </w:rPr>
        <w:t>emphasised</w:t>
      </w:r>
      <w:proofErr w:type="spellEnd"/>
      <w:r w:rsidRPr="00CB325B">
        <w:rPr>
          <w:rFonts w:ascii="Times New Roman" w:eastAsia="Times New Roman" w:hAnsi="Times New Roman" w:cs="Times New Roman"/>
          <w:kern w:val="0"/>
          <w14:ligatures w14:val="none"/>
        </w:rPr>
        <w:t xml:space="preserve"> that better high-risk patient screening was essential both during and after viral outbreaks. </w:t>
      </w:r>
    </w:p>
    <w:p w14:paraId="745A490F" w14:textId="77777777" w:rsidR="00CB325B" w:rsidRPr="00CB325B" w:rsidRDefault="00CB325B" w:rsidP="0027330F">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t>Although unevenly, public health initiatives started incorporating molecular diagnoses into standard monitoring systems. Baghdad, Basrah, and Mosul universities collaborated to establish baseline molecular parasitology units for clinical diagnosis and research (Al-</w:t>
      </w:r>
      <w:proofErr w:type="spellStart"/>
      <w:r w:rsidRPr="00CB325B">
        <w:rPr>
          <w:rFonts w:ascii="Times New Roman" w:eastAsia="Times New Roman" w:hAnsi="Times New Roman" w:cs="Times New Roman"/>
          <w:kern w:val="0"/>
          <w14:ligatures w14:val="none"/>
        </w:rPr>
        <w:t>Hadithi</w:t>
      </w:r>
      <w:proofErr w:type="spellEnd"/>
      <w:r w:rsidRPr="00CB325B">
        <w:rPr>
          <w:rFonts w:ascii="Times New Roman" w:eastAsia="Times New Roman" w:hAnsi="Times New Roman" w:cs="Times New Roman"/>
          <w:kern w:val="0"/>
          <w14:ligatures w14:val="none"/>
        </w:rPr>
        <w:t xml:space="preserve"> et al., 2023). </w:t>
      </w:r>
    </w:p>
    <w:p w14:paraId="46B1CD6B" w14:textId="77777777" w:rsidR="00CB325B" w:rsidRPr="00CB325B" w:rsidRDefault="00CB325B" w:rsidP="0027330F">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t xml:space="preserve">Despite advancements, challenges remained. Funding limitations and supply chain disruptions resulted in a shortage of molecular testing kits, reagents, and sequencing facilities. It is challenging to </w:t>
      </w:r>
      <w:proofErr w:type="spellStart"/>
      <w:r w:rsidRPr="00CB325B">
        <w:rPr>
          <w:rFonts w:ascii="Times New Roman" w:eastAsia="Times New Roman" w:hAnsi="Times New Roman" w:cs="Times New Roman"/>
          <w:kern w:val="0"/>
          <w14:ligatures w14:val="none"/>
        </w:rPr>
        <w:t>generalise</w:t>
      </w:r>
      <w:proofErr w:type="spellEnd"/>
      <w:r w:rsidRPr="00CB325B">
        <w:rPr>
          <w:rFonts w:ascii="Times New Roman" w:eastAsia="Times New Roman" w:hAnsi="Times New Roman" w:cs="Times New Roman"/>
          <w:kern w:val="0"/>
          <w14:ligatures w14:val="none"/>
        </w:rPr>
        <w:t xml:space="preserve"> molecular epidemiology findings because the majority of studies did not sample every province in Iraq. </w:t>
      </w:r>
    </w:p>
    <w:p w14:paraId="2E225D36" w14:textId="77777777" w:rsidR="00CB325B" w:rsidRPr="00CB325B" w:rsidRDefault="00CB325B" w:rsidP="0027330F">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t xml:space="preserve">But the achievements from 2011 to 2025 were significant. Despite difficult circumstances, Iraqi toxoplasmosis research contributed globally by using contemporary molecular, serological, and multidisciplinary techniques. </w:t>
      </w:r>
    </w:p>
    <w:p w14:paraId="775EA433" w14:textId="77777777" w:rsidR="00CB325B" w:rsidRPr="0027330F" w:rsidRDefault="00CB325B" w:rsidP="00CB325B">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27330F">
        <w:rPr>
          <w:rFonts w:ascii="Times New Roman" w:eastAsia="Times New Roman" w:hAnsi="Times New Roman" w:cs="Times New Roman"/>
          <w:b/>
          <w:bCs/>
          <w:kern w:val="0"/>
          <w14:ligatures w14:val="none"/>
        </w:rPr>
        <w:t xml:space="preserve">4. Novel themes COVID-19, neuropsychiatry, and public health </w:t>
      </w:r>
    </w:p>
    <w:p w14:paraId="04CE3297" w14:textId="77777777" w:rsidR="00CB325B" w:rsidRPr="00CB325B" w:rsidRDefault="00CB325B" w:rsidP="0027330F">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t>From 2015 to 2025, Iraqi research on human toxoplasmosis investigated novel interdisciplinary topics such as the possible connections between neuropsyc</w:t>
      </w:r>
      <w:r w:rsidR="00CB1DCD">
        <w:rPr>
          <w:rFonts w:ascii="Times New Roman" w:eastAsia="Times New Roman" w:hAnsi="Times New Roman" w:cs="Times New Roman"/>
          <w:kern w:val="0"/>
          <w14:ligatures w14:val="none"/>
        </w:rPr>
        <w:t xml:space="preserve">hiatric disorders and </w:t>
      </w:r>
      <w:r w:rsidR="00CB1DCD" w:rsidRPr="00CB1DCD">
        <w:rPr>
          <w:rFonts w:ascii="Times New Roman" w:eastAsia="Times New Roman" w:hAnsi="Times New Roman" w:cs="Times New Roman"/>
          <w:i/>
          <w:iCs/>
          <w:kern w:val="0"/>
          <w14:ligatures w14:val="none"/>
        </w:rPr>
        <w:t>T.</w:t>
      </w:r>
      <w:r w:rsidRPr="00CB1DCD">
        <w:rPr>
          <w:rFonts w:ascii="Times New Roman" w:eastAsia="Times New Roman" w:hAnsi="Times New Roman" w:cs="Times New Roman"/>
          <w:i/>
          <w:iCs/>
          <w:kern w:val="0"/>
          <w14:ligatures w14:val="none"/>
        </w:rPr>
        <w:t xml:space="preserve"> gondii</w:t>
      </w:r>
      <w:r w:rsidRPr="00CB325B">
        <w:rPr>
          <w:rFonts w:ascii="Times New Roman" w:eastAsia="Times New Roman" w:hAnsi="Times New Roman" w:cs="Times New Roman"/>
          <w:kern w:val="0"/>
          <w14:ligatures w14:val="none"/>
        </w:rPr>
        <w:t xml:space="preserve"> infection, the influence of the COVID-19 pandemic on infection dynamics, and public health concerns. This shift in study focus has been brought about by a growing understanding of the various and frequently subtle effects of chronic toxoplasmosis infections, which go beyond immunological and reproductive outcomes. </w:t>
      </w:r>
    </w:p>
    <w:p w14:paraId="75777A48" w14:textId="77777777" w:rsidR="00CB325B" w:rsidRPr="00CB325B" w:rsidRDefault="00CB325B" w:rsidP="0027330F">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lastRenderedPageBreak/>
        <w:t xml:space="preserve">Neuropsychiatric disorders and toxoplasmosis were specifically examined. Based on research conducted globally, Iraqi researchers investigated the local impacts of a latent infection caused by </w:t>
      </w:r>
      <w:r w:rsidRPr="00CB1DCD">
        <w:rPr>
          <w:rFonts w:ascii="Times New Roman" w:eastAsia="Times New Roman" w:hAnsi="Times New Roman" w:cs="Times New Roman"/>
          <w:i/>
          <w:iCs/>
          <w:kern w:val="0"/>
          <w14:ligatures w14:val="none"/>
        </w:rPr>
        <w:t>T. gondii</w:t>
      </w:r>
      <w:r w:rsidRPr="00CB325B">
        <w:rPr>
          <w:rFonts w:ascii="Times New Roman" w:eastAsia="Times New Roman" w:hAnsi="Times New Roman" w:cs="Times New Roman"/>
          <w:kern w:val="0"/>
          <w14:ligatures w14:val="none"/>
        </w:rPr>
        <w:t xml:space="preserve"> on suicidal </w:t>
      </w:r>
      <w:proofErr w:type="spellStart"/>
      <w:r w:rsidRPr="00CB325B">
        <w:rPr>
          <w:rFonts w:ascii="Times New Roman" w:eastAsia="Times New Roman" w:hAnsi="Times New Roman" w:cs="Times New Roman"/>
          <w:kern w:val="0"/>
          <w14:ligatures w14:val="none"/>
        </w:rPr>
        <w:t>behaviour</w:t>
      </w:r>
      <w:proofErr w:type="spellEnd"/>
      <w:r w:rsidRPr="00CB325B">
        <w:rPr>
          <w:rFonts w:ascii="Times New Roman" w:eastAsia="Times New Roman" w:hAnsi="Times New Roman" w:cs="Times New Roman"/>
          <w:kern w:val="0"/>
          <w14:ligatures w14:val="none"/>
        </w:rPr>
        <w:t xml:space="preserve">, depression, and schizophrenia. According to a case-control study carried out in Baghdad by Al-Hassani et al. (2018), seroprevalence rates of </w:t>
      </w:r>
      <w:r w:rsidRPr="00CB1DCD">
        <w:rPr>
          <w:rFonts w:ascii="Times New Roman" w:eastAsia="Times New Roman" w:hAnsi="Times New Roman" w:cs="Times New Roman"/>
          <w:i/>
          <w:iCs/>
          <w:kern w:val="0"/>
          <w14:ligatures w14:val="none"/>
        </w:rPr>
        <w:t>T. gondii</w:t>
      </w:r>
      <w:r w:rsidRPr="00CB325B">
        <w:rPr>
          <w:rFonts w:ascii="Times New Roman" w:eastAsia="Times New Roman" w:hAnsi="Times New Roman" w:cs="Times New Roman"/>
          <w:kern w:val="0"/>
          <w14:ligatures w14:val="none"/>
        </w:rPr>
        <w:t xml:space="preserve"> were higher in patients with major depressive disorder and schizophrenia than in healthy controls. Al-Shammari et al. (2020) suggested that parasite-induced neuroinflammatory pathways could be the cause of mental symptoms by connecting chronic toxoplasmosis to cognitive deficits. </w:t>
      </w:r>
    </w:p>
    <w:p w14:paraId="039B1B8A" w14:textId="77777777" w:rsidR="00CB325B" w:rsidRPr="00CB325B" w:rsidRDefault="00CB325B" w:rsidP="0027330F">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t xml:space="preserve">A significant study on the neurological effects of latent toxoplasmosis in healthy people was carried out by Salman (2015). Given that seropositive patients exhibited mild but significant memory and executive function abnormalities, the impact of a persistent infection may be greater than previously believed. </w:t>
      </w:r>
    </w:p>
    <w:p w14:paraId="707C2883" w14:textId="77777777" w:rsidR="00CB325B" w:rsidRPr="00CB325B" w:rsidRDefault="00CB325B" w:rsidP="0027330F">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t xml:space="preserve">Another significant concern was the impact of COVID-19 on the epidemiology of toxoplasmosis. The immunological dysregulation caused by COVID-19 raised concerns about opportunistic infections such as </w:t>
      </w:r>
      <w:r w:rsidRPr="00CB1DCD">
        <w:rPr>
          <w:rFonts w:ascii="Times New Roman" w:eastAsia="Times New Roman" w:hAnsi="Times New Roman" w:cs="Times New Roman"/>
          <w:i/>
          <w:iCs/>
          <w:kern w:val="0"/>
          <w14:ligatures w14:val="none"/>
        </w:rPr>
        <w:t>T. gondii</w:t>
      </w:r>
      <w:r w:rsidRPr="00CB325B">
        <w:rPr>
          <w:rFonts w:ascii="Times New Roman" w:eastAsia="Times New Roman" w:hAnsi="Times New Roman" w:cs="Times New Roman"/>
          <w:kern w:val="0"/>
          <w14:ligatures w14:val="none"/>
        </w:rPr>
        <w:t xml:space="preserve"> reactivation. A higher rate of active toxoplasmosis was discovered among COVID-19 survivors, especially those with severe or prolonged illness histories, according to one of the first studies conducted in Iraq to look at this intersection. Post-COVID-19 treatment should confirm latent infections in immunocompromised patients. </w:t>
      </w:r>
    </w:p>
    <w:p w14:paraId="662B304F" w14:textId="77777777" w:rsidR="00CB325B" w:rsidRPr="00CB325B" w:rsidRDefault="00CB325B" w:rsidP="00CB1DCD">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t xml:space="preserve">Public health experts </w:t>
      </w:r>
      <w:proofErr w:type="spellStart"/>
      <w:r w:rsidRPr="00CB325B">
        <w:rPr>
          <w:rFonts w:ascii="Times New Roman" w:eastAsia="Times New Roman" w:hAnsi="Times New Roman" w:cs="Times New Roman"/>
          <w:kern w:val="0"/>
          <w14:ligatures w14:val="none"/>
        </w:rPr>
        <w:t>emphasised</w:t>
      </w:r>
      <w:proofErr w:type="spellEnd"/>
      <w:r w:rsidRPr="00CB325B">
        <w:rPr>
          <w:rFonts w:ascii="Times New Roman" w:eastAsia="Times New Roman" w:hAnsi="Times New Roman" w:cs="Times New Roman"/>
          <w:kern w:val="0"/>
          <w14:ligatures w14:val="none"/>
        </w:rPr>
        <w:t xml:space="preserve"> integrated infectious </w:t>
      </w:r>
      <w:r w:rsidR="00CB1DCD">
        <w:rPr>
          <w:rFonts w:ascii="Times New Roman" w:eastAsia="Times New Roman" w:hAnsi="Times New Roman" w:cs="Times New Roman"/>
          <w:kern w:val="0"/>
          <w14:ligatures w14:val="none"/>
        </w:rPr>
        <w:t>disease</w:t>
      </w:r>
      <w:r w:rsidRPr="00CB325B">
        <w:rPr>
          <w:rFonts w:ascii="Times New Roman" w:eastAsia="Times New Roman" w:hAnsi="Times New Roman" w:cs="Times New Roman"/>
          <w:kern w:val="0"/>
          <w14:ligatures w14:val="none"/>
        </w:rPr>
        <w:t xml:space="preserve"> management in addition to direct clinical trials. According to Al-</w:t>
      </w:r>
      <w:proofErr w:type="spellStart"/>
      <w:r w:rsidRPr="00CB325B">
        <w:rPr>
          <w:rFonts w:ascii="Times New Roman" w:eastAsia="Times New Roman" w:hAnsi="Times New Roman" w:cs="Times New Roman"/>
          <w:kern w:val="0"/>
          <w14:ligatures w14:val="none"/>
        </w:rPr>
        <w:t>Hadithi</w:t>
      </w:r>
      <w:proofErr w:type="spellEnd"/>
      <w:r w:rsidRPr="00CB325B">
        <w:rPr>
          <w:rFonts w:ascii="Times New Roman" w:eastAsia="Times New Roman" w:hAnsi="Times New Roman" w:cs="Times New Roman"/>
          <w:kern w:val="0"/>
          <w14:ligatures w14:val="none"/>
        </w:rPr>
        <w:t xml:space="preserve"> et al. (2023), national maternal health programs should incorporate toxoplasmosis screening with TORCH complex testing for other maternal illnesses, such as rubella and cytomegalovirus. They specifically supported HIV/AIDS patients, transplant recipients, and expectant mothers with health education. </w:t>
      </w:r>
    </w:p>
    <w:p w14:paraId="21E93752" w14:textId="77777777" w:rsidR="00CB325B" w:rsidRPr="00CB325B" w:rsidRDefault="00CB325B" w:rsidP="00CB1DCD">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t xml:space="preserve">For Iraqi researchers, the lack of national screening programs, low public knowledge of toxoplasmosis, and unequal access to diagnostic facilities remained problems. </w:t>
      </w:r>
      <w:r w:rsidR="00CB1DCD">
        <w:rPr>
          <w:rFonts w:ascii="Times New Roman" w:eastAsia="Times New Roman" w:hAnsi="Times New Roman" w:cs="Times New Roman"/>
          <w:kern w:val="0"/>
          <w14:ligatures w14:val="none"/>
        </w:rPr>
        <w:t>T</w:t>
      </w:r>
      <w:r w:rsidRPr="00CB325B">
        <w:rPr>
          <w:rFonts w:ascii="Times New Roman" w:eastAsia="Times New Roman" w:hAnsi="Times New Roman" w:cs="Times New Roman"/>
          <w:kern w:val="0"/>
          <w14:ligatures w14:val="none"/>
        </w:rPr>
        <w:t xml:space="preserve">o support extensive epidemiological surveys and the application of better diagnostic and </w:t>
      </w:r>
      <w:r w:rsidR="00CB1DCD">
        <w:rPr>
          <w:rFonts w:ascii="Times New Roman" w:eastAsia="Times New Roman" w:hAnsi="Times New Roman" w:cs="Times New Roman"/>
          <w:kern w:val="0"/>
          <w14:ligatures w14:val="none"/>
        </w:rPr>
        <w:t>t</w:t>
      </w:r>
      <w:r w:rsidRPr="00CB325B">
        <w:rPr>
          <w:rFonts w:ascii="Times New Roman" w:eastAsia="Times New Roman" w:hAnsi="Times New Roman" w:cs="Times New Roman"/>
          <w:kern w:val="0"/>
          <w14:ligatures w14:val="none"/>
        </w:rPr>
        <w:t xml:space="preserve">herapeutic techniques, Al-Moussawi and Al-Khafaji (2018) urged greater international cooperation. </w:t>
      </w:r>
    </w:p>
    <w:p w14:paraId="0AFBF87E" w14:textId="77777777" w:rsidR="00CB1DCD" w:rsidRDefault="00CB325B" w:rsidP="00CB1DCD">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CB325B">
        <w:rPr>
          <w:rFonts w:ascii="Times New Roman" w:eastAsia="Times New Roman" w:hAnsi="Times New Roman" w:cs="Times New Roman"/>
          <w:kern w:val="0"/>
          <w14:ligatures w14:val="none"/>
        </w:rPr>
        <w:t>The topics from 2015 to 2025 illustrate the evolution of toxoplasmosis research in Iraq. Scientists looked at the infection's effects on public health infrastructure, immunosuppression, and neuropsychiatry. This interdisciplinary effort offers prospects for further study and disease control while bringing Iraq's scientific trajectory into line w</w:t>
      </w:r>
      <w:r w:rsidR="00CB1DCD">
        <w:rPr>
          <w:rFonts w:ascii="Times New Roman" w:eastAsia="Times New Roman" w:hAnsi="Times New Roman" w:cs="Times New Roman"/>
          <w:kern w:val="0"/>
          <w14:ligatures w14:val="none"/>
        </w:rPr>
        <w:t xml:space="preserve">ith international advancements. </w:t>
      </w:r>
    </w:p>
    <w:p w14:paraId="7F78B9FC" w14:textId="77777777" w:rsidR="00A92D42" w:rsidRPr="00CB1DCD" w:rsidRDefault="00CB1DCD" w:rsidP="00CB1DCD">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CB1DCD">
        <w:rPr>
          <w:rFonts w:ascii="Times New Roman" w:eastAsia="Times New Roman" w:hAnsi="Times New Roman" w:cs="Times New Roman"/>
          <w:b/>
          <w:bCs/>
          <w:kern w:val="0"/>
          <w14:ligatures w14:val="none"/>
        </w:rPr>
        <w:t>Methodology:</w:t>
      </w:r>
      <w:r>
        <w:rPr>
          <w:rFonts w:ascii="Times New Roman" w:eastAsia="Times New Roman" w:hAnsi="Times New Roman" w:cs="Times New Roman"/>
          <w:b/>
          <w:bCs/>
          <w:kern w:val="0"/>
          <w14:ligatures w14:val="none"/>
        </w:rPr>
        <w:t xml:space="preserve"> </w:t>
      </w:r>
      <w:r w:rsidR="00A92D42">
        <w:t>Methods of Search</w:t>
      </w:r>
      <w:r>
        <w:t xml:space="preserve">. </w:t>
      </w:r>
      <w:r w:rsidR="00A92D42">
        <w:t>In order to gather and examine published research articles about human toxoplasmosis in Iraq from 1989 to 2025, a systematic review was carried out.</w:t>
      </w:r>
    </w:p>
    <w:p w14:paraId="5583EBEF" w14:textId="77777777" w:rsidR="00A92D42" w:rsidRDefault="00A92D42" w:rsidP="0027330F">
      <w:pPr>
        <w:pStyle w:val="NormalWeb"/>
        <w:jc w:val="both"/>
      </w:pPr>
      <w:r>
        <w:t>Electronic searches of major scientific databases, such as PubMed, Google Scholar, ResearchGate, and local Iraqi medical journal archives, were used to find pertinent studies.</w:t>
      </w:r>
    </w:p>
    <w:p w14:paraId="40FF2589" w14:textId="77777777" w:rsidR="00A92D42" w:rsidRDefault="00A92D42" w:rsidP="0027330F">
      <w:pPr>
        <w:pStyle w:val="NormalWeb"/>
        <w:jc w:val="both"/>
      </w:pPr>
      <w:r>
        <w:lastRenderedPageBreak/>
        <w:t>Keyword combinations such as "</w:t>
      </w:r>
      <w:r w:rsidR="00CB1DCD">
        <w:t>Toxoplasmosis Iraq", "</w:t>
      </w:r>
      <w:r w:rsidR="00CB1DCD" w:rsidRPr="00CB1DCD">
        <w:rPr>
          <w:i/>
          <w:iCs/>
        </w:rPr>
        <w:t>T.</w:t>
      </w:r>
      <w:r w:rsidRPr="00CB1DCD">
        <w:rPr>
          <w:i/>
          <w:iCs/>
        </w:rPr>
        <w:t xml:space="preserve"> gondii prevalence Iraq", "Toxoplasmosis pregnancy Iraq", "Molecular diagnosis</w:t>
      </w:r>
      <w:r>
        <w:t xml:space="preserve"> toxoplasmosis Iraq", "Toxoplasmosis neuropsychiatry Iraq", and "COVID-19 and toxoplasmosis Iraq" were among the search terms used. To find more pertinent studies, manual searches of the reference lists in the articles that were retrieved were also conducted.</w:t>
      </w:r>
    </w:p>
    <w:p w14:paraId="174FE053" w14:textId="77777777" w:rsidR="00A92D42" w:rsidRPr="0027330F" w:rsidRDefault="00A92D42" w:rsidP="00A92D42">
      <w:pPr>
        <w:pStyle w:val="NormalWeb"/>
        <w:rPr>
          <w:b/>
          <w:bCs/>
        </w:rPr>
      </w:pPr>
      <w:r w:rsidRPr="0027330F">
        <w:rPr>
          <w:b/>
          <w:bCs/>
        </w:rPr>
        <w:t>Criteria for Inclusion</w:t>
      </w:r>
    </w:p>
    <w:p w14:paraId="6E5D84AD" w14:textId="77777777" w:rsidR="00A92D42" w:rsidRDefault="00A92D42" w:rsidP="00CB1DCD">
      <w:pPr>
        <w:pStyle w:val="NormalWeb"/>
        <w:jc w:val="both"/>
      </w:pPr>
      <w:r>
        <w:t xml:space="preserve">Studies that satisfied the following requirements were accepted: carried out from January 1989 to December 2025. centred on human subjects (adults, psychiatric patients, immunocompromised people, pregnant women, etc.). Participants who were Iraqi nationals or who lived in Iraq were involved. </w:t>
      </w:r>
      <w:r w:rsidR="00CB1DCD">
        <w:t>D</w:t>
      </w:r>
      <w:r>
        <w:t xml:space="preserve">iscussed topics </w:t>
      </w:r>
      <w:r w:rsidR="00CB1DCD">
        <w:t>about</w:t>
      </w:r>
      <w:r>
        <w:t xml:space="preserve"> toxoplasmosis' prevalence, diagnosis, clinical effects, immunology, molecular research, or neuropsychiatric correlations. </w:t>
      </w:r>
      <w:r w:rsidR="00CB1DCD">
        <w:t>P</w:t>
      </w:r>
      <w:r>
        <w:t>ublished in credible academic sources or peer-reviewed journals.</w:t>
      </w:r>
    </w:p>
    <w:p w14:paraId="14B7C75A" w14:textId="77777777" w:rsidR="00A92D42" w:rsidRPr="0027330F" w:rsidRDefault="00A92D42" w:rsidP="00A92D42">
      <w:pPr>
        <w:pStyle w:val="NormalWeb"/>
        <w:rPr>
          <w:b/>
          <w:bCs/>
        </w:rPr>
      </w:pPr>
      <w:r w:rsidRPr="0027330F">
        <w:rPr>
          <w:b/>
          <w:bCs/>
        </w:rPr>
        <w:t>Criteria for Exclusion</w:t>
      </w:r>
    </w:p>
    <w:p w14:paraId="69678DC0" w14:textId="77777777" w:rsidR="00A92D42" w:rsidRDefault="00A92D42" w:rsidP="00CB1DCD">
      <w:pPr>
        <w:pStyle w:val="NormalWeb"/>
        <w:jc w:val="both"/>
      </w:pPr>
      <w:r>
        <w:t xml:space="preserve">Studies of the following kinds were not included: studies with no human data that are solely focused on animals (such as cats or livestock). </w:t>
      </w:r>
      <w:r w:rsidR="00CB1DCD">
        <w:t>S</w:t>
      </w:r>
      <w:r>
        <w:t xml:space="preserve">tudies conducted outside of Iraq or that have nothing to do with Iraqis. </w:t>
      </w:r>
      <w:r w:rsidR="00CB1DCD">
        <w:t>C</w:t>
      </w:r>
      <w:r>
        <w:t>ase studies involving fewer than five patients</w:t>
      </w:r>
      <w:r w:rsidR="00CB1DCD">
        <w:t>,</w:t>
      </w:r>
      <w:r>
        <w:t xml:space="preserve"> newspaper reports, unpublished theses, or non-peer-reviewed articles, unless they are extremely pertinent.</w:t>
      </w:r>
    </w:p>
    <w:p w14:paraId="44B5F895" w14:textId="77777777" w:rsidR="00A92D42" w:rsidRDefault="00A92D42" w:rsidP="00A92D42">
      <w:pPr>
        <w:pStyle w:val="NormalWeb"/>
      </w:pPr>
      <w:r>
        <w:t>Organisation and Extraction of Data</w:t>
      </w:r>
    </w:p>
    <w:p w14:paraId="140E534F" w14:textId="77777777" w:rsidR="00A92D42" w:rsidRDefault="00A92D42" w:rsidP="00CB1DCD">
      <w:pPr>
        <w:pStyle w:val="NormalWeb"/>
        <w:jc w:val="both"/>
      </w:pPr>
      <w:r>
        <w:t xml:space="preserve">The following information was taken from each included study: the year of publication and the author or authors. The population under study includes groups such as psychiatric patients, blood donors, and pregnant women. Location of study (e.g., Kirkuk, Basrah, Baghdad). </w:t>
      </w:r>
      <w:r w:rsidR="00CB1DCD">
        <w:t>U</w:t>
      </w:r>
      <w:r>
        <w:t>sed diagnostic techniques (e.g., PCR, avidity tests, ELISA). Key findings (prevalence rates, clinical correlations, and molecular or immunological outcomes)</w:t>
      </w:r>
    </w:p>
    <w:p w14:paraId="049EB5C0" w14:textId="77777777" w:rsidR="00A92D42" w:rsidRDefault="00A92D42" w:rsidP="0027330F">
      <w:pPr>
        <w:pStyle w:val="NormalWeb"/>
        <w:jc w:val="both"/>
      </w:pPr>
      <w:r>
        <w:t>Following that, the studies were categorised and examined according to:  Chronological periods (1989–2000, 2001–2010, 2011–2025). We focused on various themes such as prevalence studies, immunology, molecular diagnostics, reproductive health studies, emerging fields like neuropsychiatry, and the impact of COVID-19. Thematic focus includes prevalence studies, immunology, molecular diagnostics, reproductive health studies, and emerging fields such as neuropsychiatry and the impact of COVID-19.</w:t>
      </w:r>
    </w:p>
    <w:p w14:paraId="57AF3521" w14:textId="77777777" w:rsidR="009C0FBF" w:rsidRPr="00DF019B" w:rsidRDefault="009C0FBF" w:rsidP="0027330F">
      <w:pPr>
        <w:spacing w:before="100" w:beforeAutospacing="1" w:after="100" w:afterAutospacing="1" w:line="240" w:lineRule="auto"/>
        <w:jc w:val="both"/>
        <w:outlineLvl w:val="0"/>
        <w:rPr>
          <w:rFonts w:ascii="Times New Roman" w:eastAsia="Times New Roman" w:hAnsi="Times New Roman" w:cs="Times New Roman"/>
          <w:b/>
          <w:bCs/>
          <w:kern w:val="36"/>
          <w14:ligatures w14:val="none"/>
        </w:rPr>
      </w:pPr>
      <w:r w:rsidRPr="00DF019B">
        <w:rPr>
          <w:rFonts w:ascii="Times New Roman" w:eastAsia="Times New Roman" w:hAnsi="Times New Roman" w:cs="Times New Roman"/>
          <w:b/>
          <w:bCs/>
          <w:kern w:val="36"/>
          <w14:ligatures w14:val="none"/>
        </w:rPr>
        <w:t>Results</w:t>
      </w:r>
      <w:r w:rsidR="00DF019B">
        <w:rPr>
          <w:rFonts w:ascii="Times New Roman" w:eastAsia="Times New Roman" w:hAnsi="Times New Roman" w:cs="Times New Roman"/>
          <w:b/>
          <w:bCs/>
          <w:kern w:val="36"/>
          <w14:ligatures w14:val="none"/>
        </w:rPr>
        <w:t>:</w:t>
      </w:r>
    </w:p>
    <w:p w14:paraId="77961D89" w14:textId="77777777" w:rsidR="00CB1DCD" w:rsidRDefault="00A92D42" w:rsidP="00CB1DCD">
      <w:pPr>
        <w:pStyle w:val="NormalWeb"/>
        <w:numPr>
          <w:ilvl w:val="0"/>
          <w:numId w:val="15"/>
        </w:numPr>
        <w:jc w:val="both"/>
        <w:rPr>
          <w:u w:val="single"/>
        </w:rPr>
      </w:pPr>
      <w:r w:rsidRPr="00CB1DCD">
        <w:rPr>
          <w:u w:val="single"/>
        </w:rPr>
        <w:t>Principal Results (1989–2025):</w:t>
      </w:r>
      <w:r w:rsidR="00CB1DCD">
        <w:rPr>
          <w:u w:val="single"/>
        </w:rPr>
        <w:t xml:space="preserve"> </w:t>
      </w:r>
      <w:r>
        <w:t>An analysis of Iraqi human toxoplasmosis research from 1989 to 2025 revealed consistent trends and significant advancements.</w:t>
      </w:r>
    </w:p>
    <w:p w14:paraId="54F7F5D9" w14:textId="77777777" w:rsidR="00A92D42" w:rsidRPr="00CB1DCD" w:rsidRDefault="00A92D42" w:rsidP="00CB1DCD">
      <w:pPr>
        <w:pStyle w:val="NormalWeb"/>
        <w:numPr>
          <w:ilvl w:val="0"/>
          <w:numId w:val="15"/>
        </w:numPr>
        <w:jc w:val="both"/>
        <w:rPr>
          <w:u w:val="single"/>
        </w:rPr>
      </w:pPr>
      <w:r w:rsidRPr="00CB1DCD">
        <w:rPr>
          <w:u w:val="single"/>
        </w:rPr>
        <w:t>Prevalence and seropositivity trends</w:t>
      </w:r>
    </w:p>
    <w:p w14:paraId="479F6105" w14:textId="77777777" w:rsidR="00A92D42" w:rsidRDefault="00A92D42" w:rsidP="0027330F">
      <w:pPr>
        <w:pStyle w:val="NormalWeb"/>
        <w:jc w:val="both"/>
      </w:pPr>
      <w:r>
        <w:t xml:space="preserve">Early research (1989–2000) discovered significant </w:t>
      </w:r>
      <w:r w:rsidRPr="00CB1DCD">
        <w:rPr>
          <w:i/>
          <w:iCs/>
        </w:rPr>
        <w:t>T. gondii</w:t>
      </w:r>
      <w:r>
        <w:t xml:space="preserve"> seroprevalence in Iraqi individuals. Salman (1995) reported 36% seropositivity in pregnant Baghdad women, </w:t>
      </w:r>
      <w:r>
        <w:lastRenderedPageBreak/>
        <w:t>while Mahmoud and Al-</w:t>
      </w:r>
      <w:proofErr w:type="spellStart"/>
      <w:r>
        <w:t>Janabi</w:t>
      </w:r>
      <w:proofErr w:type="spellEnd"/>
      <w:r>
        <w:t xml:space="preserve"> (1989) reported 30% seropositivity in healthy individuals. Infection rates are higher in villages than in cities (Salman, 1997; Al-Dabbagh et al., 2003).</w:t>
      </w:r>
    </w:p>
    <w:p w14:paraId="4859D8D4" w14:textId="77777777" w:rsidR="00A92D42" w:rsidRPr="00CB1DCD" w:rsidRDefault="00A92D42" w:rsidP="0027330F">
      <w:pPr>
        <w:pStyle w:val="NormalWeb"/>
        <w:jc w:val="both"/>
        <w:rPr>
          <w:b/>
          <w:bCs/>
        </w:rPr>
      </w:pPr>
      <w:r w:rsidRPr="00CB1DCD">
        <w:rPr>
          <w:b/>
          <w:bCs/>
        </w:rPr>
        <w:t>Clinical and reproductive outcome relationships</w:t>
      </w:r>
    </w:p>
    <w:p w14:paraId="39E018F4" w14:textId="77777777" w:rsidR="00A92D42" w:rsidRDefault="00A92D42" w:rsidP="0027330F">
      <w:pPr>
        <w:pStyle w:val="NormalWeb"/>
        <w:jc w:val="both"/>
      </w:pPr>
      <w:r>
        <w:t>Studies conducted between 2001 and 2010 found a strong correlation between poor reproductive outcomes and chronic toxoplasmosis. Al-Dabbagh et al. (2003) and Al-Qassab &amp; Abdul-Razzaq (2004) found that women who experienced spontaneous abortion and repeated miscarriages had higher seropositivity rates than healthy pregnant controls. Al-Ani &amp; Al-Azzawi (2007) confirmed these connections.</w:t>
      </w:r>
    </w:p>
    <w:p w14:paraId="652A1D9B" w14:textId="77777777" w:rsidR="00A92D42" w:rsidRPr="00CB1DCD" w:rsidRDefault="00A92D42" w:rsidP="0027330F">
      <w:pPr>
        <w:pStyle w:val="NormalWeb"/>
        <w:jc w:val="both"/>
        <w:rPr>
          <w:b/>
          <w:bCs/>
        </w:rPr>
      </w:pPr>
      <w:r w:rsidRPr="00CB1DCD">
        <w:rPr>
          <w:b/>
          <w:bCs/>
        </w:rPr>
        <w:t>Information on Immunology</w:t>
      </w:r>
    </w:p>
    <w:p w14:paraId="1BBEC2C4" w14:textId="77777777" w:rsidR="00A92D42" w:rsidRDefault="00A92D42" w:rsidP="0027330F">
      <w:pPr>
        <w:pStyle w:val="NormalWeb"/>
        <w:jc w:val="both"/>
      </w:pPr>
      <w:r>
        <w:t>Research on the immunopathological effects of latent toxoplasmosis started in 2005. IFN-γ and TNF-α levels were higher in chronically infected individuals, suggesting that immune activation continues even in latent infections (Salman 2005; Al-Hilli et al. 2010).</w:t>
      </w:r>
    </w:p>
    <w:p w14:paraId="00428B8F" w14:textId="77777777" w:rsidR="00A92D42" w:rsidRPr="00CB1DCD" w:rsidRDefault="00A92D42" w:rsidP="0027330F">
      <w:pPr>
        <w:pStyle w:val="NormalWeb"/>
        <w:jc w:val="both"/>
        <w:rPr>
          <w:b/>
          <w:bCs/>
        </w:rPr>
      </w:pPr>
      <w:r w:rsidRPr="00CB1DCD">
        <w:rPr>
          <w:b/>
          <w:bCs/>
        </w:rPr>
        <w:t>Developments in Molecular Diagnostics</w:t>
      </w:r>
    </w:p>
    <w:p w14:paraId="13F0A2D3" w14:textId="77777777" w:rsidR="00A92D42" w:rsidRDefault="00A92D42" w:rsidP="0027330F">
      <w:pPr>
        <w:pStyle w:val="NormalWeb"/>
        <w:jc w:val="both"/>
      </w:pPr>
      <w:r>
        <w:t>Molecular diagnostics improved detection sensitivity from 2011 to 2025. 90% of suspected cases tested positive for PCR, compared to 65–70% with traditional ELISA testing (Al-Saadi &amp; Al-Saadi, 2015). When Salman (2013) genotyped strains, he discovered that Type II genotypes were more common.</w:t>
      </w:r>
    </w:p>
    <w:p w14:paraId="11A34323" w14:textId="77777777" w:rsidR="00A92D42" w:rsidRPr="00CB1DCD" w:rsidRDefault="00A92D42" w:rsidP="0027330F">
      <w:pPr>
        <w:pStyle w:val="NormalWeb"/>
        <w:jc w:val="both"/>
        <w:rPr>
          <w:b/>
          <w:bCs/>
        </w:rPr>
      </w:pPr>
      <w:r w:rsidRPr="00CB1DCD">
        <w:rPr>
          <w:b/>
          <w:bCs/>
        </w:rPr>
        <w:t>New areas of study</w:t>
      </w:r>
    </w:p>
    <w:p w14:paraId="3F534653" w14:textId="77777777" w:rsidR="00A92D42" w:rsidRDefault="00A92D42" w:rsidP="0027330F">
      <w:pPr>
        <w:pStyle w:val="NormalWeb"/>
        <w:jc w:val="both"/>
      </w:pPr>
      <w:r>
        <w:t>After 2015, researchers began investigating neuropsychiatric disorders and toxoplasmosis. Al-Hassani et al. (2018) found that seroprevalence is higher in patients with schizophrenia. Al-</w:t>
      </w:r>
      <w:proofErr w:type="spellStart"/>
      <w:r>
        <w:t>Janabi</w:t>
      </w:r>
      <w:proofErr w:type="spellEnd"/>
      <w:r>
        <w:t xml:space="preserve"> et al. (2022) also looked at latent toxoplasmosis reactivation in post-COVID-19 patients, which is a developing clinical issue.</w:t>
      </w:r>
    </w:p>
    <w:p w14:paraId="78BDBB6B" w14:textId="77777777" w:rsidR="00A92D42" w:rsidRPr="00CB1DCD" w:rsidRDefault="00CB1DCD" w:rsidP="0027330F">
      <w:pPr>
        <w:pStyle w:val="NormalWeb"/>
        <w:jc w:val="both"/>
        <w:rPr>
          <w:b/>
          <w:bCs/>
        </w:rPr>
      </w:pPr>
      <w:r>
        <w:rPr>
          <w:b/>
          <w:bCs/>
        </w:rPr>
        <w:t>3.</w:t>
      </w:r>
      <w:r w:rsidR="00A92D42" w:rsidRPr="00CB1DCD">
        <w:rPr>
          <w:b/>
          <w:bCs/>
        </w:rPr>
        <w:t xml:space="preserve"> Examine Similarities</w:t>
      </w:r>
    </w:p>
    <w:p w14:paraId="21CBDF0D" w14:textId="77777777" w:rsidR="00A92D42" w:rsidRDefault="00A92D42" w:rsidP="00CB1DCD">
      <w:pPr>
        <w:pStyle w:val="NormalWeb"/>
        <w:jc w:val="both"/>
      </w:pPr>
      <w:r>
        <w:t>We found significant parallels and differences when comparing prevalence rates, diagnostic techniques, clinical correlations, and future research topics.</w:t>
      </w:r>
      <w:r w:rsidR="00CB1DCD">
        <w:t xml:space="preserve"> </w:t>
      </w:r>
      <w:r>
        <w:t>Although it varies by region, the prevalence rate is constant.</w:t>
      </w:r>
      <w:r w:rsidR="00CB1DCD">
        <w:t xml:space="preserve"> </w:t>
      </w:r>
      <w:r>
        <w:t>Despite methodological differences, studies conducted over several decades showed significant seroprevalence rates (25–45%). Infection rates are higher in rural than in urban areas (Salman, 1997; Al-Dabbagh et al., 2003). Iraqi provinces differed in terms of food, cleanliness, and exposure to cats.</w:t>
      </w:r>
    </w:p>
    <w:p w14:paraId="2538ADD9" w14:textId="77777777" w:rsidR="00A92D42" w:rsidRPr="00CB1DCD" w:rsidRDefault="00CB1DCD" w:rsidP="0027330F">
      <w:pPr>
        <w:pStyle w:val="NormalWeb"/>
        <w:jc w:val="both"/>
        <w:rPr>
          <w:b/>
          <w:bCs/>
        </w:rPr>
      </w:pPr>
      <w:r w:rsidRPr="00CB1DCD">
        <w:rPr>
          <w:b/>
          <w:bCs/>
        </w:rPr>
        <w:t>4.</w:t>
      </w:r>
      <w:r>
        <w:rPr>
          <w:b/>
          <w:bCs/>
        </w:rPr>
        <w:t xml:space="preserve"> </w:t>
      </w:r>
      <w:r w:rsidR="00A92D42" w:rsidRPr="00CB1DCD">
        <w:rPr>
          <w:b/>
          <w:bCs/>
        </w:rPr>
        <w:t>Diagnostic Techniques and Their Impact</w:t>
      </w:r>
    </w:p>
    <w:p w14:paraId="0A72132F" w14:textId="77777777" w:rsidR="00A92D42" w:rsidRDefault="00A92D42" w:rsidP="0027330F">
      <w:pPr>
        <w:pStyle w:val="NormalWeb"/>
        <w:jc w:val="both"/>
      </w:pPr>
      <w:r>
        <w:t>The ability of early studies to identify active infections was restricted by LAT, IHA, and early ELISA kits. After 2011, PCR and recombinant antigen ELISA enhanced diagnostic sensitivity and specificity (Al-Saadi &amp; Al-Saadi, 2015; Al-</w:t>
      </w:r>
      <w:proofErr w:type="spellStart"/>
      <w:r>
        <w:t>Janabi</w:t>
      </w:r>
      <w:proofErr w:type="spellEnd"/>
      <w:r>
        <w:t xml:space="preserve"> &amp; Al-Khafaji, 2017). To </w:t>
      </w:r>
      <w:r>
        <w:lastRenderedPageBreak/>
        <w:t>differentiate between acute and chronic infections in pregnant women, IgG avidity testing became crucial.</w:t>
      </w:r>
    </w:p>
    <w:p w14:paraId="5556B223" w14:textId="77777777" w:rsidR="00A92D42" w:rsidRDefault="00A92D42" w:rsidP="0027330F">
      <w:pPr>
        <w:pStyle w:val="NormalWeb"/>
        <w:jc w:val="both"/>
      </w:pPr>
      <w:r w:rsidRPr="00CB1DCD">
        <w:rPr>
          <w:b/>
          <w:bCs/>
        </w:rPr>
        <w:t xml:space="preserve">Time-Strengthened Clinical Correlations: </w:t>
      </w:r>
      <w:r>
        <w:t>Although the exact dates of infection were unknown, early research found a link between toxoplasmosis and miscarriage. Subsequent studies using improved serological testing (Al-Kaisy &amp; Al-Hassani, 2005) and molecular confirmation (Al-Saadi &amp; Al-Saadi, 2015) validated the links between active infections and unfavourable pregnancy outcomes.</w:t>
      </w:r>
    </w:p>
    <w:p w14:paraId="79FCCE2A" w14:textId="77777777" w:rsidR="00A92D42" w:rsidRDefault="00A92D42" w:rsidP="0027330F">
      <w:pPr>
        <w:pStyle w:val="NormalWeb"/>
        <w:jc w:val="both"/>
      </w:pPr>
      <w:r>
        <w:t>Increasing the Focus of Research: Prevalence and pregnancy outcomes were the main topics of early studies. Following 2015, studies were conducted on COVID-19 post-viral reactivation (Al-</w:t>
      </w:r>
      <w:proofErr w:type="spellStart"/>
      <w:r>
        <w:t>Janabi</w:t>
      </w:r>
      <w:proofErr w:type="spellEnd"/>
      <w:r>
        <w:t>, 2022) and neuropsychiatric effects (Al-Hassani et al., 2018; Al-Shammari, 2020).</w:t>
      </w:r>
    </w:p>
    <w:p w14:paraId="727E1F36" w14:textId="77777777" w:rsidR="00A92D42" w:rsidRDefault="00A92D42" w:rsidP="0027330F">
      <w:pPr>
        <w:pStyle w:val="NormalWeb"/>
        <w:jc w:val="both"/>
      </w:pPr>
      <w:r>
        <w:t>Improvements to the Study Design: Early research was characterised by cross-sectional methods and small sample sizes. Subsequent studies improved scientific rigour by utilising larger samples, case-control techniques, molecular confirmations, and multicenter collaborations.</w:t>
      </w:r>
    </w:p>
    <w:p w14:paraId="6B80417E" w14:textId="77777777" w:rsidR="00CB1DCD" w:rsidRPr="00CB1DCD" w:rsidRDefault="009C0FBF" w:rsidP="00490252">
      <w:pPr>
        <w:jc w:val="both"/>
        <w:rPr>
          <w:rFonts w:asciiTheme="majorBidi" w:eastAsia="MS Mincho" w:hAnsiTheme="majorBidi" w:cstheme="majorBidi"/>
          <w:kern w:val="0"/>
          <w14:ligatures w14:val="none"/>
        </w:rPr>
      </w:pPr>
      <w:r w:rsidRPr="00DF019B">
        <w:rPr>
          <w:rFonts w:ascii="Times New Roman" w:eastAsia="Times New Roman" w:hAnsi="Times New Roman" w:cs="Times New Roman"/>
          <w:b/>
          <w:bCs/>
          <w:kern w:val="0"/>
          <w14:ligatures w14:val="none"/>
        </w:rPr>
        <w:t>Discussion</w:t>
      </w:r>
      <w:r w:rsidR="00DF019B">
        <w:rPr>
          <w:rFonts w:ascii="Times New Roman" w:eastAsia="Times New Roman" w:hAnsi="Times New Roman" w:cs="Times New Roman"/>
          <w:b/>
          <w:bCs/>
          <w:kern w:val="0"/>
          <w14:ligatures w14:val="none"/>
        </w:rPr>
        <w:t>:</w:t>
      </w:r>
      <w:r w:rsidR="00CB1DCD" w:rsidRPr="00CB1DCD">
        <w:rPr>
          <w:rFonts w:ascii="Cambria" w:eastAsia="MS Mincho" w:hAnsi="Cambria" w:cs="Arial"/>
          <w:kern w:val="0"/>
          <w:sz w:val="22"/>
          <w:szCs w:val="22"/>
          <w14:ligatures w14:val="none"/>
        </w:rPr>
        <w:t xml:space="preserve"> </w:t>
      </w:r>
      <w:r w:rsidR="00CB1DCD" w:rsidRPr="00CB1DCD">
        <w:rPr>
          <w:rFonts w:asciiTheme="majorBidi" w:eastAsia="MS Mincho" w:hAnsiTheme="majorBidi" w:cstheme="majorBidi"/>
          <w:kern w:val="0"/>
          <w14:ligatures w14:val="none"/>
        </w:rPr>
        <w:t>The results of this review strongly reinforce its overall conclusions. Epidemiological surveillance and clinical investigations consistently demonstrate t</w:t>
      </w:r>
      <w:r w:rsidR="00490252">
        <w:rPr>
          <w:rFonts w:asciiTheme="majorBidi" w:eastAsia="MS Mincho" w:hAnsiTheme="majorBidi" w:cstheme="majorBidi"/>
          <w:kern w:val="0"/>
          <w14:ligatures w14:val="none"/>
        </w:rPr>
        <w:t xml:space="preserve">hat the prevalence of </w:t>
      </w:r>
      <w:r w:rsidR="00490252" w:rsidRPr="00490252">
        <w:rPr>
          <w:rFonts w:asciiTheme="majorBidi" w:eastAsia="MS Mincho" w:hAnsiTheme="majorBidi" w:cstheme="majorBidi"/>
          <w:i/>
          <w:iCs/>
          <w:kern w:val="0"/>
          <w14:ligatures w14:val="none"/>
        </w:rPr>
        <w:t>T.</w:t>
      </w:r>
      <w:r w:rsidR="00CB1DCD" w:rsidRPr="00490252">
        <w:rPr>
          <w:rFonts w:asciiTheme="majorBidi" w:eastAsia="MS Mincho" w:hAnsiTheme="majorBidi" w:cstheme="majorBidi"/>
          <w:i/>
          <w:iCs/>
          <w:kern w:val="0"/>
          <w14:ligatures w14:val="none"/>
        </w:rPr>
        <w:t xml:space="preserve"> gondii</w:t>
      </w:r>
      <w:r w:rsidR="00CB1DCD" w:rsidRPr="00CB1DCD">
        <w:rPr>
          <w:rFonts w:asciiTheme="majorBidi" w:eastAsia="MS Mincho" w:hAnsiTheme="majorBidi" w:cstheme="majorBidi"/>
          <w:kern w:val="0"/>
          <w14:ligatures w14:val="none"/>
        </w:rPr>
        <w:t xml:space="preserve"> infection in Kirkuk remains high, with certain occupational and demographic groups particularly vulnerable (Al-</w:t>
      </w:r>
      <w:proofErr w:type="spellStart"/>
      <w:r w:rsidR="00CB1DCD" w:rsidRPr="00CB1DCD">
        <w:rPr>
          <w:rFonts w:asciiTheme="majorBidi" w:eastAsia="MS Mincho" w:hAnsiTheme="majorBidi" w:cstheme="majorBidi"/>
          <w:kern w:val="0"/>
          <w14:ligatures w14:val="none"/>
        </w:rPr>
        <w:t>Hadithi</w:t>
      </w:r>
      <w:proofErr w:type="spellEnd"/>
      <w:r w:rsidR="00CB1DCD" w:rsidRPr="00CB1DCD">
        <w:rPr>
          <w:rFonts w:asciiTheme="majorBidi" w:eastAsia="MS Mincho" w:hAnsiTheme="majorBidi" w:cstheme="majorBidi"/>
          <w:kern w:val="0"/>
          <w14:ligatures w14:val="none"/>
        </w:rPr>
        <w:t xml:space="preserve"> et al., 2005; Salman, 2014c). Kirkuk provides a valuable epidemiological perspective by linking toxoplasmosis to reproductive health complications, thyroid dysfunction, nutritional deficiencies, and seasonal patterns of transmission (Tayeb et al., 2019; Tahseen et al., 2022). Incorporating such region-specific evidence strengthens the national research narrative, underscores the need for targeted interventions, and highlights the importance of longitudinal surveillance in guiding effective public health policy (Salman, 2017; Hasan et al., 2023).</w:t>
      </w:r>
      <w:r w:rsidR="00CB1DCD" w:rsidRPr="00CB1DCD">
        <w:rPr>
          <w:rFonts w:asciiTheme="majorBidi" w:eastAsia="MS Mincho" w:hAnsiTheme="majorBidi" w:cstheme="majorBidi"/>
          <w:kern w:val="0"/>
          <w14:ligatures w14:val="none"/>
        </w:rPr>
        <w:br/>
      </w:r>
      <w:r w:rsidR="00CB1DCD" w:rsidRPr="00CB1DCD">
        <w:rPr>
          <w:rFonts w:asciiTheme="majorBidi" w:eastAsia="MS Mincho" w:hAnsiTheme="majorBidi" w:cstheme="majorBidi"/>
          <w:kern w:val="0"/>
          <w14:ligatures w14:val="none"/>
        </w:rPr>
        <w:br/>
        <w:t xml:space="preserve">Over the past three decades, Iraqi research on human toxoplasmosis has evolved in response to shifting public health priorities, technological innovation, and broader socioeconomic conditions. The trajectory of publications reflects a gradual transition from </w:t>
      </w:r>
      <w:proofErr w:type="spellStart"/>
      <w:r w:rsidR="00CB1DCD" w:rsidRPr="00CB1DCD">
        <w:rPr>
          <w:rFonts w:asciiTheme="majorBidi" w:eastAsia="MS Mincho" w:hAnsiTheme="majorBidi" w:cstheme="majorBidi"/>
          <w:kern w:val="0"/>
          <w14:ligatures w14:val="none"/>
        </w:rPr>
        <w:t>sero</w:t>
      </w:r>
      <w:proofErr w:type="spellEnd"/>
      <w:r w:rsidR="00CB1DCD" w:rsidRPr="00CB1DCD">
        <w:rPr>
          <w:rFonts w:asciiTheme="majorBidi" w:eastAsia="MS Mincho" w:hAnsiTheme="majorBidi" w:cstheme="majorBidi"/>
          <w:kern w:val="0"/>
          <w14:ligatures w14:val="none"/>
        </w:rPr>
        <w:t>-epidemiological surveys to molecular, immunological, and interdisciplinary approaches. Foundational studies conducted in the 1980s and 1990s confirmed the high endemicity of toxoplasmosis in Iraq and provided essential baseline data (Mahmoud &amp; Al-</w:t>
      </w:r>
      <w:proofErr w:type="spellStart"/>
      <w:r w:rsidR="00CB1DCD" w:rsidRPr="00CB1DCD">
        <w:rPr>
          <w:rFonts w:asciiTheme="majorBidi" w:eastAsia="MS Mincho" w:hAnsiTheme="majorBidi" w:cstheme="majorBidi"/>
          <w:kern w:val="0"/>
          <w14:ligatures w14:val="none"/>
        </w:rPr>
        <w:t>Janabi</w:t>
      </w:r>
      <w:proofErr w:type="spellEnd"/>
      <w:r w:rsidR="00CB1DCD" w:rsidRPr="00CB1DCD">
        <w:rPr>
          <w:rFonts w:asciiTheme="majorBidi" w:eastAsia="MS Mincho" w:hAnsiTheme="majorBidi" w:cstheme="majorBidi"/>
          <w:kern w:val="0"/>
          <w14:ligatures w14:val="none"/>
        </w:rPr>
        <w:t>, 1989; Salman, 1995; Al-Bayati et al., 1991). Between 2001 and 2010, research increasingly focused on reproductive health, identifying associations between toxoplasmosis and spontaneous abortion, infertility, and other adverse pregnancy outcomes (Al-Dabbagh et al., 2003; Al-Saad et al., 2012; Salman, 1997). These findings emphasized that toxoplasmosis, though frequently asymptomatic, represents a significant and under</w:t>
      </w:r>
      <w:r w:rsidR="00CB1DCD">
        <w:rPr>
          <w:rFonts w:asciiTheme="majorBidi" w:eastAsia="MS Mincho" w:hAnsiTheme="majorBidi" w:cstheme="majorBidi"/>
          <w:kern w:val="0"/>
          <w14:ligatures w14:val="none"/>
        </w:rPr>
        <w:t>-</w:t>
      </w:r>
      <w:r w:rsidR="00CB1DCD" w:rsidRPr="00CB1DCD">
        <w:rPr>
          <w:rFonts w:asciiTheme="majorBidi" w:eastAsia="MS Mincho" w:hAnsiTheme="majorBidi" w:cstheme="majorBidi"/>
          <w:kern w:val="0"/>
          <w14:ligatures w14:val="none"/>
        </w:rPr>
        <w:t>recognized risk to maternal and fetal health.</w:t>
      </w:r>
      <w:r w:rsidR="00CB1DCD" w:rsidRPr="00CB1DCD">
        <w:rPr>
          <w:rFonts w:asciiTheme="majorBidi" w:eastAsia="MS Mincho" w:hAnsiTheme="majorBidi" w:cstheme="majorBidi"/>
          <w:kern w:val="0"/>
          <w14:ligatures w14:val="none"/>
        </w:rPr>
        <w:br/>
      </w:r>
      <w:r w:rsidR="00CB1DCD" w:rsidRPr="00CB1DCD">
        <w:rPr>
          <w:rFonts w:asciiTheme="majorBidi" w:eastAsia="MS Mincho" w:hAnsiTheme="majorBidi" w:cstheme="majorBidi"/>
          <w:kern w:val="0"/>
          <w14:ligatures w14:val="none"/>
        </w:rPr>
        <w:br/>
      </w:r>
      <w:r w:rsidR="00CB1DCD" w:rsidRPr="00CB1DCD">
        <w:rPr>
          <w:rFonts w:asciiTheme="majorBidi" w:eastAsia="MS Mincho" w:hAnsiTheme="majorBidi" w:cstheme="majorBidi"/>
          <w:kern w:val="0"/>
          <w14:ligatures w14:val="none"/>
        </w:rPr>
        <w:lastRenderedPageBreak/>
        <w:t>The introduction of molecular diagnostics after 2010 marked a critical advancement. PCR-based techniques and recombinant antigen assays improved the ability to differentiate acute from chronic infections and provided better risk assessment for congenital toxoplasmosis (Al-Saadi &amp; Al-Saadi, 2015; Al-</w:t>
      </w:r>
      <w:proofErr w:type="spellStart"/>
      <w:r w:rsidR="00CB1DCD" w:rsidRPr="00CB1DCD">
        <w:rPr>
          <w:rFonts w:asciiTheme="majorBidi" w:eastAsia="MS Mincho" w:hAnsiTheme="majorBidi" w:cstheme="majorBidi"/>
          <w:kern w:val="0"/>
          <w14:ligatures w14:val="none"/>
        </w:rPr>
        <w:t>Janabi</w:t>
      </w:r>
      <w:proofErr w:type="spellEnd"/>
      <w:r w:rsidR="00CB1DCD" w:rsidRPr="00CB1DCD">
        <w:rPr>
          <w:rFonts w:asciiTheme="majorBidi" w:eastAsia="MS Mincho" w:hAnsiTheme="majorBidi" w:cstheme="majorBidi"/>
          <w:kern w:val="0"/>
          <w14:ligatures w14:val="none"/>
        </w:rPr>
        <w:t xml:space="preserve"> &amp; Al-Khafaji, 2017; Salman, 2013). These methodological improvements enhanced diagnostic accuracy and aligned Iraqi research with international standards. More recently, investigations have expanded to include immunological biomarkers and genetic associations, situating toxoplasmosis within the broader framework of systemic and psychiatric diseases (Al-Hassani et al., 2018; Al-Asadi &amp; Al-</w:t>
      </w:r>
      <w:proofErr w:type="spellStart"/>
      <w:r w:rsidR="00CB1DCD" w:rsidRPr="00CB1DCD">
        <w:rPr>
          <w:rFonts w:asciiTheme="majorBidi" w:eastAsia="MS Mincho" w:hAnsiTheme="majorBidi" w:cstheme="majorBidi"/>
          <w:kern w:val="0"/>
          <w14:ligatures w14:val="none"/>
        </w:rPr>
        <w:t>Husseiny</w:t>
      </w:r>
      <w:proofErr w:type="spellEnd"/>
      <w:r w:rsidR="00CB1DCD" w:rsidRPr="00CB1DCD">
        <w:rPr>
          <w:rFonts w:asciiTheme="majorBidi" w:eastAsia="MS Mincho" w:hAnsiTheme="majorBidi" w:cstheme="majorBidi"/>
          <w:kern w:val="0"/>
          <w14:ligatures w14:val="none"/>
        </w:rPr>
        <w:t>, 2022; Al-</w:t>
      </w:r>
      <w:proofErr w:type="spellStart"/>
      <w:r w:rsidR="00CB1DCD" w:rsidRPr="00CB1DCD">
        <w:rPr>
          <w:rFonts w:asciiTheme="majorBidi" w:eastAsia="MS Mincho" w:hAnsiTheme="majorBidi" w:cstheme="majorBidi"/>
          <w:kern w:val="0"/>
          <w14:ligatures w14:val="none"/>
        </w:rPr>
        <w:t>Niaimi</w:t>
      </w:r>
      <w:proofErr w:type="spellEnd"/>
      <w:r w:rsidR="00CB1DCD" w:rsidRPr="00CB1DCD">
        <w:rPr>
          <w:rFonts w:asciiTheme="majorBidi" w:eastAsia="MS Mincho" w:hAnsiTheme="majorBidi" w:cstheme="majorBidi"/>
          <w:kern w:val="0"/>
          <w14:ligatures w14:val="none"/>
        </w:rPr>
        <w:t xml:space="preserve"> et al., 2023).</w:t>
      </w:r>
      <w:r w:rsidR="00CB1DCD" w:rsidRPr="00CB1DCD">
        <w:rPr>
          <w:rFonts w:asciiTheme="majorBidi" w:eastAsia="MS Mincho" w:hAnsiTheme="majorBidi" w:cstheme="majorBidi"/>
          <w:kern w:val="0"/>
          <w14:ligatures w14:val="none"/>
        </w:rPr>
        <w:br/>
      </w:r>
      <w:r w:rsidR="00CB1DCD" w:rsidRPr="00CB1DCD">
        <w:rPr>
          <w:rFonts w:asciiTheme="majorBidi" w:eastAsia="MS Mincho" w:hAnsiTheme="majorBidi" w:cstheme="majorBidi"/>
          <w:kern w:val="0"/>
          <w14:ligatures w14:val="none"/>
        </w:rPr>
        <w:br/>
        <w:t>Iraqi scholars have also actively contributed to the global debate on the neuropsychiatric dimensions of latent toxoplasmosis. Evidence linking chronic infection with schizophrenia, bipolar disorder, and Parkinson’s disease has brought Iraqi research to the forefront of this developing field (Al-Khalidi &amp; Al-</w:t>
      </w:r>
      <w:proofErr w:type="spellStart"/>
      <w:r w:rsidR="00CB1DCD" w:rsidRPr="00CB1DCD">
        <w:rPr>
          <w:rFonts w:asciiTheme="majorBidi" w:eastAsia="MS Mincho" w:hAnsiTheme="majorBidi" w:cstheme="majorBidi"/>
          <w:kern w:val="0"/>
          <w14:ligatures w14:val="none"/>
        </w:rPr>
        <w:t>Dujaili</w:t>
      </w:r>
      <w:proofErr w:type="spellEnd"/>
      <w:r w:rsidR="00CB1DCD" w:rsidRPr="00CB1DCD">
        <w:rPr>
          <w:rFonts w:asciiTheme="majorBidi" w:eastAsia="MS Mincho" w:hAnsiTheme="majorBidi" w:cstheme="majorBidi"/>
          <w:kern w:val="0"/>
          <w14:ligatures w14:val="none"/>
        </w:rPr>
        <w:t>, 2021; Al-Shammari et al., 2023). Furthermore, the COVID-19 pandemic stimulated innovative studies on toxoplasmosis reactivation and viral co-infections, demonstrating the adaptability of Iraqi research to emerging public health challenges (Al-</w:t>
      </w:r>
      <w:proofErr w:type="spellStart"/>
      <w:r w:rsidR="00CB1DCD" w:rsidRPr="00CB1DCD">
        <w:rPr>
          <w:rFonts w:asciiTheme="majorBidi" w:eastAsia="MS Mincho" w:hAnsiTheme="majorBidi" w:cstheme="majorBidi"/>
          <w:kern w:val="0"/>
          <w14:ligatures w14:val="none"/>
        </w:rPr>
        <w:t>Janabi</w:t>
      </w:r>
      <w:proofErr w:type="spellEnd"/>
      <w:r w:rsidR="00CB1DCD" w:rsidRPr="00CB1DCD">
        <w:rPr>
          <w:rFonts w:asciiTheme="majorBidi" w:eastAsia="MS Mincho" w:hAnsiTheme="majorBidi" w:cstheme="majorBidi"/>
          <w:kern w:val="0"/>
          <w14:ligatures w14:val="none"/>
        </w:rPr>
        <w:t xml:space="preserve"> et al., 2022; Amin et al., 2024).</w:t>
      </w:r>
      <w:r w:rsidR="00CB1DCD" w:rsidRPr="00CB1DCD">
        <w:rPr>
          <w:rFonts w:asciiTheme="majorBidi" w:eastAsia="MS Mincho" w:hAnsiTheme="majorBidi" w:cstheme="majorBidi"/>
          <w:kern w:val="0"/>
          <w14:ligatures w14:val="none"/>
        </w:rPr>
        <w:br/>
      </w:r>
      <w:r w:rsidR="00CB1DCD" w:rsidRPr="00CB1DCD">
        <w:rPr>
          <w:rFonts w:asciiTheme="majorBidi" w:eastAsia="MS Mincho" w:hAnsiTheme="majorBidi" w:cstheme="majorBidi"/>
          <w:kern w:val="0"/>
          <w14:ligatures w14:val="none"/>
        </w:rPr>
        <w:br/>
        <w:t>Despite these notable contributions, several limitations persist. Early reliance on low-sensitivity serological assays likely introduced misclassification and limited the accuracy of prevalence estimates. While molecular techniques have gained traction since 2010, rural regions remain under-represented, as most molecular and clinical studies have been concentrated in Baghdad, Basrah, and Kirkuk. Consequently, comprehensive nationwide prevalence data and detailed risk profiles remain lacking (Al-</w:t>
      </w:r>
      <w:proofErr w:type="spellStart"/>
      <w:r w:rsidR="00CB1DCD" w:rsidRPr="00CB1DCD">
        <w:rPr>
          <w:rFonts w:asciiTheme="majorBidi" w:eastAsia="MS Mincho" w:hAnsiTheme="majorBidi" w:cstheme="majorBidi"/>
          <w:kern w:val="0"/>
          <w14:ligatures w14:val="none"/>
        </w:rPr>
        <w:t>Jubori</w:t>
      </w:r>
      <w:proofErr w:type="spellEnd"/>
      <w:r w:rsidR="00CB1DCD" w:rsidRPr="00CB1DCD">
        <w:rPr>
          <w:rFonts w:asciiTheme="majorBidi" w:eastAsia="MS Mincho" w:hAnsiTheme="majorBidi" w:cstheme="majorBidi"/>
          <w:kern w:val="0"/>
          <w14:ligatures w14:val="none"/>
        </w:rPr>
        <w:t>, 2005; Salman, 2014c). Furthermore, the predominance of cross-sectional and case-control designs has restricted the capacity to conduct longitudinal assessments, particularly regarding congenital toxoplasmosis and long-term neuropsychiatric outcomes.</w:t>
      </w:r>
      <w:r w:rsidR="00CB1DCD" w:rsidRPr="00CB1DCD">
        <w:rPr>
          <w:rFonts w:asciiTheme="majorBidi" w:eastAsia="MS Mincho" w:hAnsiTheme="majorBidi" w:cstheme="majorBidi"/>
          <w:kern w:val="0"/>
          <w14:ligatures w14:val="none"/>
        </w:rPr>
        <w:br/>
      </w:r>
      <w:r w:rsidR="00CB1DCD" w:rsidRPr="00CB1DCD">
        <w:rPr>
          <w:rFonts w:asciiTheme="majorBidi" w:eastAsia="MS Mincho" w:hAnsiTheme="majorBidi" w:cstheme="majorBidi"/>
          <w:kern w:val="0"/>
          <w14:ligatures w14:val="none"/>
        </w:rPr>
        <w:br/>
        <w:t>Constraints within the healthcare system have further shaped research outcomes. Periods of conflict, sanctions, and political instability limited funding, delayed access to reagents, and restricted researcher mobility. These challenges reduced sample sizes and slowed the adoption of contemporary diagnostic procedures (Salman, 2016; Al-</w:t>
      </w:r>
      <w:proofErr w:type="spellStart"/>
      <w:r w:rsidR="00CB1DCD" w:rsidRPr="00CB1DCD">
        <w:rPr>
          <w:rFonts w:asciiTheme="majorBidi" w:eastAsia="MS Mincho" w:hAnsiTheme="majorBidi" w:cstheme="majorBidi"/>
          <w:kern w:val="0"/>
          <w14:ligatures w14:val="none"/>
        </w:rPr>
        <w:t>Kubaisy</w:t>
      </w:r>
      <w:proofErr w:type="spellEnd"/>
      <w:r w:rsidR="00CB1DCD" w:rsidRPr="00CB1DCD">
        <w:rPr>
          <w:rFonts w:asciiTheme="majorBidi" w:eastAsia="MS Mincho" w:hAnsiTheme="majorBidi" w:cstheme="majorBidi"/>
          <w:kern w:val="0"/>
          <w14:ligatures w14:val="none"/>
        </w:rPr>
        <w:t xml:space="preserve"> et al., 2012). A particularly significant gap is the absence of a national prenatal screening program for T. gondii, despite robust evidence confirming its role in adverse pregnancy outcomes. Screening currently remains sporadic and dependent on hospital-based initiatives or isolated research projects (Al-Saad et al., 2012; Salman, 2017).</w:t>
      </w:r>
      <w:r w:rsidR="00CB1DCD" w:rsidRPr="00CB1DCD">
        <w:rPr>
          <w:rFonts w:asciiTheme="majorBidi" w:eastAsia="MS Mincho" w:hAnsiTheme="majorBidi" w:cstheme="majorBidi"/>
          <w:kern w:val="0"/>
          <w14:ligatures w14:val="none"/>
        </w:rPr>
        <w:br/>
      </w:r>
      <w:r w:rsidR="00CB1DCD" w:rsidRPr="00CB1DCD">
        <w:rPr>
          <w:rFonts w:asciiTheme="majorBidi" w:eastAsia="MS Mincho" w:hAnsiTheme="majorBidi" w:cstheme="majorBidi"/>
          <w:kern w:val="0"/>
          <w14:ligatures w14:val="none"/>
        </w:rPr>
        <w:br/>
        <w:t xml:space="preserve">Nonetheless, Iraqi toxoplasmosis research has continued to mirror global scientific developments. Investigations have progressed from descriptive prevalence studies to more sophisticated work addressing reproductive implications, immunological mechanisms, </w:t>
      </w:r>
      <w:r w:rsidR="00CB1DCD" w:rsidRPr="00CB1DCD">
        <w:rPr>
          <w:rFonts w:asciiTheme="majorBidi" w:eastAsia="MS Mincho" w:hAnsiTheme="majorBidi" w:cstheme="majorBidi"/>
          <w:kern w:val="0"/>
          <w14:ligatures w14:val="none"/>
        </w:rPr>
        <w:lastRenderedPageBreak/>
        <w:t>molecular epidemiology, psychiatry, and virology. Since 2015, the introduction of real-time PCR, IgG avidity testing, and biomarker analyses (including cytokines and microRNAs) has represented a significant technical advance, enabling Iraqi researchers to contribute valuable insights into chronic toxoplasmosis and its systemic health consequences (Al-Hilli et al., 2010; Al-Khafaji &amp; Al-</w:t>
      </w:r>
      <w:proofErr w:type="spellStart"/>
      <w:r w:rsidR="00CB1DCD" w:rsidRPr="00CB1DCD">
        <w:rPr>
          <w:rFonts w:asciiTheme="majorBidi" w:eastAsia="MS Mincho" w:hAnsiTheme="majorBidi" w:cstheme="majorBidi"/>
          <w:kern w:val="0"/>
          <w14:ligatures w14:val="none"/>
        </w:rPr>
        <w:t>Janabi</w:t>
      </w:r>
      <w:proofErr w:type="spellEnd"/>
      <w:r w:rsidR="00CB1DCD" w:rsidRPr="00CB1DCD">
        <w:rPr>
          <w:rFonts w:asciiTheme="majorBidi" w:eastAsia="MS Mincho" w:hAnsiTheme="majorBidi" w:cstheme="majorBidi"/>
          <w:kern w:val="0"/>
          <w14:ligatures w14:val="none"/>
        </w:rPr>
        <w:t>, 2022). Collectively, these developments demonstrate the resilience of Iraqi science and highlight the potential for deeper integration into international infectious disease research networks.</w:t>
      </w:r>
    </w:p>
    <w:p w14:paraId="325D67C0" w14:textId="77777777" w:rsidR="00CB1DCD" w:rsidRDefault="00CB1DCD" w:rsidP="00490252">
      <w:pPr>
        <w:pStyle w:val="NormalWeb"/>
      </w:pPr>
      <w:r w:rsidRPr="00CB1DCD">
        <w:rPr>
          <w:b/>
          <w:bCs/>
        </w:rPr>
        <w:t>Prospective Trajectories</w:t>
      </w:r>
      <w:r>
        <w:t xml:space="preserve"> </w:t>
      </w:r>
      <w:r>
        <w:br/>
        <w:t xml:space="preserve">Future directions for enhancing toxoplasmosis research and public health in Iraq should prioritise the expansion of nationwide molecular surveillance via extensive genotyping and PCR screening across all provinces to ascertain strain diversity, monitor regional variations, and trace emerging virulent types. Incorporating </w:t>
      </w:r>
      <w:r w:rsidRPr="00CB1DCD">
        <w:rPr>
          <w:i/>
          <w:iCs/>
        </w:rPr>
        <w:t>T. gondii</w:t>
      </w:r>
      <w:r>
        <w:t xml:space="preserve"> screening into standard antenatal programmes, such as national TORCH panels, might aid in preventing congenital infections and enhancing pregnancy outcomes. The promotion of public health education is equally vital, focusing on safe food handling, adequate hand hygiene, and responsible cat care to mitigate primary infections via community-based efforts. Longitudinal cohort studies including seropositive individuals, such as pregnant women and mental patients, are essential to elucidate long-term health outcomes and possible causal relationships. Simultaneously, promoting interdisciplinary research that explores the relationships between toxoplasmosis and illnesses, including mental illness, cancer, and autoimmune disorders, may yield novel clinical and societal insights. Ultimately, enhancing international partnerships with regional and worldwide research institutes will be necessary to create diagnostic capabilities, training, and multicentric studies that will boost Iraq's position in global infectious disease research.</w:t>
      </w:r>
    </w:p>
    <w:p w14:paraId="4461F6A8" w14:textId="77777777" w:rsidR="00490252" w:rsidRDefault="00CB1DCD" w:rsidP="00490252">
      <w:pPr>
        <w:pStyle w:val="NormalWeb"/>
        <w:jc w:val="both"/>
      </w:pPr>
      <w:r>
        <w:t>C</w:t>
      </w:r>
      <w:r w:rsidR="009C0FBF" w:rsidRPr="009C0FBF">
        <w:rPr>
          <w:b/>
          <w:bCs/>
        </w:rPr>
        <w:t>onclusion</w:t>
      </w:r>
      <w:r>
        <w:rPr>
          <w:b/>
          <w:bCs/>
        </w:rPr>
        <w:t>s:</w:t>
      </w:r>
      <w:r w:rsidR="00813CA6" w:rsidRPr="00813CA6">
        <w:t xml:space="preserve"> </w:t>
      </w:r>
      <w:r w:rsidR="00813CA6">
        <w:t>This evaluation of Iraqi research on human toxoplasmosis (1989–2025) demonstrates a scientific development propelled by both domestic aspirations and external obstacles such as resource limitations and political unrest. Over the course of four decades, Iraqi research advanced from serological surveys to molecular, immunological, and transdisciplinary investigations.</w:t>
      </w:r>
      <w:r>
        <w:t xml:space="preserve"> </w:t>
      </w:r>
      <w:r w:rsidR="00813CA6">
        <w:t>Studies conducted in the earl</w:t>
      </w:r>
      <w:r>
        <w:t xml:space="preserve">y 2000s demonstrated </w:t>
      </w:r>
      <w:proofErr w:type="spellStart"/>
      <w:r w:rsidRPr="00CB1DCD">
        <w:rPr>
          <w:i/>
          <w:iCs/>
        </w:rPr>
        <w:t>T.</w:t>
      </w:r>
      <w:r w:rsidR="00813CA6" w:rsidRPr="00CB1DCD">
        <w:rPr>
          <w:i/>
          <w:iCs/>
        </w:rPr>
        <w:t>gondii's</w:t>
      </w:r>
      <w:proofErr w:type="spellEnd"/>
      <w:r w:rsidR="00813CA6">
        <w:t xml:space="preserve"> high endemicity, particularly among women of reproductive age, and connected it to unfavorable pregnancy outcomes. While neuropsychiatric connections and opportunistic infections—particularly during COVID-19—have increased the infection's clinical significance beyond maternal–foetal health, molecular diagnostics and genotyping have improved detection and strain characterisation since 2010.</w:t>
      </w:r>
      <w:r>
        <w:t xml:space="preserve"> </w:t>
      </w:r>
      <w:r w:rsidR="00813CA6">
        <w:t>There are still problems with unequal access to diagnostics, no nationwide screening, and few large-scale studies conducted in rural areas. Nonetheless, the persistence and creativity of Iraqi researchers show their growing participation in global toxoplasmosis research. Multidisciplinary investigations, screenings in public health programs, nationwide molecular surveillance, and improved international collaboration should be the next steps. Filling in these gaps could significantly enhance health and lessen the impact of this prevalent, often disregarded parasitic disease.</w:t>
      </w:r>
    </w:p>
    <w:p w14:paraId="7D4076ED" w14:textId="77777777" w:rsidR="00CB1DCD" w:rsidRDefault="00CB1DCD" w:rsidP="00490252">
      <w:pPr>
        <w:pStyle w:val="NormalWeb"/>
        <w:jc w:val="both"/>
      </w:pPr>
      <w:r w:rsidRPr="00CB1DCD">
        <w:rPr>
          <w:b/>
          <w:bCs/>
        </w:rPr>
        <w:lastRenderedPageBreak/>
        <w:t>Recommendations</w:t>
      </w:r>
      <w:r>
        <w:rPr>
          <w:b/>
          <w:bCs/>
        </w:rPr>
        <w:t xml:space="preserve"> and future path</w:t>
      </w:r>
      <w:r w:rsidRPr="00CB1DCD">
        <w:rPr>
          <w:b/>
          <w:bCs/>
        </w:rPr>
        <w:t>:</w:t>
      </w:r>
      <w:r>
        <w:rPr>
          <w:b/>
          <w:bCs/>
        </w:rPr>
        <w:t xml:space="preserve"> </w:t>
      </w:r>
      <w:r>
        <w:t xml:space="preserve">Screening for </w:t>
      </w:r>
      <w:proofErr w:type="spellStart"/>
      <w:proofErr w:type="gramStart"/>
      <w:r w:rsidRPr="00CB1DCD">
        <w:rPr>
          <w:i/>
          <w:iCs/>
        </w:rPr>
        <w:t>T.gondii</w:t>
      </w:r>
      <w:proofErr w:type="spellEnd"/>
      <w:proofErr w:type="gramEnd"/>
      <w:r>
        <w:t xml:space="preserve"> is proposed within national TORCH antenatal testing to aid in preventing vertical transmission, and access to PCR assays should be expanded. Genotyping of </w:t>
      </w:r>
      <w:r w:rsidRPr="00490252">
        <w:rPr>
          <w:i/>
          <w:iCs/>
        </w:rPr>
        <w:t>T. gondii</w:t>
      </w:r>
      <w:r>
        <w:t xml:space="preserve"> strains on a nationwide scale should be introduced, combined with expansion of laboratory facilities and training in diagnostics and bioinformatics. Preventative measures– Public health initiatives, such as those focused on safe food-handling, good hygiene, and caring for pets, are vital to reduce the spread of disease. Long-term effects are important to evaluate in longitudinal cohorts, especially for pregnant women and individu</w:t>
      </w:r>
      <w:r w:rsidR="00490252">
        <w:t xml:space="preserve">als with psychiatric disorders. </w:t>
      </w:r>
      <w:r>
        <w:t>Given the influence of epidemiological and environmental factors on G6PD prevalence, future approaches should focus on molecular surveillance, expand antenatal testing, and increase public health awareness. Interdisciplinary studies of chronic toxoplasmosis, involvement in international research networks, will also increase Iraq's capacity to conduct infectious disease research.</w:t>
      </w:r>
    </w:p>
    <w:p w14:paraId="2A55A5CE" w14:textId="77777777" w:rsidR="00642B5B" w:rsidRDefault="00642B5B" w:rsidP="00642B5B">
      <w:pPr>
        <w:pStyle w:val="NormalWeb"/>
        <w:jc w:val="both"/>
      </w:pPr>
      <w:r>
        <w:t>Disclaimer (Artificial intelligence)</w:t>
      </w:r>
    </w:p>
    <w:p w14:paraId="32C68842" w14:textId="77777777" w:rsidR="00642B5B" w:rsidRDefault="00642B5B" w:rsidP="00642B5B">
      <w:pPr>
        <w:pStyle w:val="NormalWeb"/>
        <w:jc w:val="both"/>
      </w:pPr>
      <w:r>
        <w:t xml:space="preserve">Option 1: </w:t>
      </w:r>
    </w:p>
    <w:p w14:paraId="05661D34" w14:textId="77777777" w:rsidR="00642B5B" w:rsidRDefault="00642B5B" w:rsidP="00642B5B">
      <w:pPr>
        <w:pStyle w:val="NormalWeb"/>
        <w:jc w:val="both"/>
      </w:pPr>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p>
    <w:p w14:paraId="397B0379" w14:textId="77777777" w:rsidR="00642B5B" w:rsidRDefault="00642B5B" w:rsidP="00642B5B">
      <w:pPr>
        <w:pStyle w:val="NormalWeb"/>
        <w:jc w:val="both"/>
      </w:pPr>
      <w:r>
        <w:t xml:space="preserve">Option 2: </w:t>
      </w:r>
    </w:p>
    <w:p w14:paraId="3F40F98C" w14:textId="77777777" w:rsidR="00642B5B" w:rsidRDefault="00642B5B" w:rsidP="00642B5B">
      <w:pPr>
        <w:pStyle w:val="NormalWeb"/>
        <w:jc w:val="both"/>
      </w:pPr>
      <w:r>
        <w:t xml:space="preserve">Author(s) hereby </w:t>
      </w:r>
      <w:proofErr w:type="gramStart"/>
      <w:r>
        <w:t>declare</w:t>
      </w:r>
      <w:proofErr w:type="gramEnd"/>
      <w: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B2395D" w14:textId="77777777" w:rsidR="00642B5B" w:rsidRDefault="00642B5B" w:rsidP="00642B5B">
      <w:pPr>
        <w:pStyle w:val="NormalWeb"/>
        <w:jc w:val="both"/>
      </w:pPr>
      <w:r>
        <w:t>Details of the AI usage are given below:</w:t>
      </w:r>
    </w:p>
    <w:p w14:paraId="624F85E4" w14:textId="77777777" w:rsidR="00642B5B" w:rsidRDefault="00642B5B" w:rsidP="00642B5B">
      <w:pPr>
        <w:pStyle w:val="NormalWeb"/>
        <w:jc w:val="both"/>
      </w:pPr>
      <w:r>
        <w:t>1.</w:t>
      </w:r>
    </w:p>
    <w:p w14:paraId="1FD06541" w14:textId="77777777" w:rsidR="00642B5B" w:rsidRDefault="00642B5B" w:rsidP="00642B5B">
      <w:pPr>
        <w:pStyle w:val="NormalWeb"/>
        <w:jc w:val="both"/>
      </w:pPr>
      <w:r>
        <w:t>2.</w:t>
      </w:r>
    </w:p>
    <w:p w14:paraId="3FEAF4A6" w14:textId="18C937E5" w:rsidR="00642B5B" w:rsidRDefault="00642B5B" w:rsidP="00642B5B">
      <w:pPr>
        <w:pStyle w:val="NormalWeb"/>
        <w:jc w:val="both"/>
      </w:pPr>
      <w:r>
        <w:t>3.</w:t>
      </w:r>
    </w:p>
    <w:p w14:paraId="2D1F5184" w14:textId="77777777" w:rsidR="008F6041" w:rsidRDefault="00B4246F" w:rsidP="00CB1DCD">
      <w:pPr>
        <w:pStyle w:val="NormalWeb"/>
        <w:jc w:val="both"/>
      </w:pPr>
      <w:r w:rsidRPr="00B4246F">
        <w:rPr>
          <w:b/>
          <w:bCs/>
        </w:rPr>
        <w:t>References:</w:t>
      </w:r>
      <w:r w:rsidR="008F6041" w:rsidRPr="008F6041">
        <w:t xml:space="preserve"> </w:t>
      </w:r>
    </w:p>
    <w:p w14:paraId="258712B1" w14:textId="77777777"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BE1752">
        <w:rPr>
          <w:rFonts w:asciiTheme="majorBidi" w:eastAsia="MS Mincho" w:hAnsiTheme="majorBidi" w:cstheme="majorBidi"/>
          <w:kern w:val="0"/>
          <w:highlight w:val="red"/>
          <w14:ligatures w14:val="none"/>
        </w:rPr>
        <w:t>Al-Bayati, Z. A., Al-</w:t>
      </w:r>
      <w:proofErr w:type="spellStart"/>
      <w:r w:rsidRPr="00BE1752">
        <w:rPr>
          <w:rFonts w:asciiTheme="majorBidi" w:eastAsia="MS Mincho" w:hAnsiTheme="majorBidi" w:cstheme="majorBidi"/>
          <w:kern w:val="0"/>
          <w:highlight w:val="red"/>
          <w14:ligatures w14:val="none"/>
        </w:rPr>
        <w:t>Janabi</w:t>
      </w:r>
      <w:proofErr w:type="spellEnd"/>
      <w:r w:rsidRPr="00BE1752">
        <w:rPr>
          <w:rFonts w:asciiTheme="majorBidi" w:eastAsia="MS Mincho" w:hAnsiTheme="majorBidi" w:cstheme="majorBidi"/>
          <w:kern w:val="0"/>
          <w:highlight w:val="red"/>
          <w14:ligatures w14:val="none"/>
        </w:rPr>
        <w:t xml:space="preserve">, M. K., &amp; Abdul-Jabbar, A. (1991). </w:t>
      </w:r>
      <w:proofErr w:type="spellStart"/>
      <w:r w:rsidRPr="00BE1752">
        <w:rPr>
          <w:rFonts w:asciiTheme="majorBidi" w:eastAsia="MS Mincho" w:hAnsiTheme="majorBidi" w:cstheme="majorBidi"/>
          <w:kern w:val="0"/>
          <w:highlight w:val="red"/>
          <w14:ligatures w14:val="none"/>
        </w:rPr>
        <w:t>Seroepidemiology</w:t>
      </w:r>
      <w:proofErr w:type="spellEnd"/>
      <w:r w:rsidRPr="00BE1752">
        <w:rPr>
          <w:rFonts w:asciiTheme="majorBidi" w:eastAsia="MS Mincho" w:hAnsiTheme="majorBidi" w:cstheme="majorBidi"/>
          <w:kern w:val="0"/>
          <w:highlight w:val="red"/>
          <w14:ligatures w14:val="none"/>
        </w:rPr>
        <w:t xml:space="preserve"> of toxoplasmosis in Iraq. Iraqi Journal of Medical Sciences, 30(2), 105–110.</w:t>
      </w:r>
    </w:p>
    <w:p w14:paraId="49E4CCB1" w14:textId="77777777"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BE1752">
        <w:rPr>
          <w:rFonts w:asciiTheme="majorBidi" w:eastAsia="MS Mincho" w:hAnsiTheme="majorBidi" w:cstheme="majorBidi"/>
          <w:kern w:val="0"/>
          <w:highlight w:val="red"/>
          <w14:ligatures w14:val="none"/>
        </w:rPr>
        <w:t>Al-Dabbagh, S. A., Al-Qassab, F. H., &amp; Abdul-Razzaq, H. S. (2003). Association of toxoplasmosis with spontaneous abortion in Iraqi women. Eastern Mediterranean Health Journal, 9(3), 480–485.</w:t>
      </w:r>
    </w:p>
    <w:p w14:paraId="698D8B93" w14:textId="77777777"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BE1752">
        <w:rPr>
          <w:rFonts w:asciiTheme="majorBidi" w:eastAsia="MS Mincho" w:hAnsiTheme="majorBidi" w:cstheme="majorBidi"/>
          <w:kern w:val="0"/>
          <w:highlight w:val="red"/>
          <w14:ligatures w14:val="none"/>
        </w:rPr>
        <w:lastRenderedPageBreak/>
        <w:t>Al-</w:t>
      </w:r>
      <w:proofErr w:type="spellStart"/>
      <w:r w:rsidRPr="00BE1752">
        <w:rPr>
          <w:rFonts w:asciiTheme="majorBidi" w:eastAsia="MS Mincho" w:hAnsiTheme="majorBidi" w:cstheme="majorBidi"/>
          <w:kern w:val="0"/>
          <w:highlight w:val="red"/>
          <w14:ligatures w14:val="none"/>
        </w:rPr>
        <w:t>Hadithi</w:t>
      </w:r>
      <w:proofErr w:type="spellEnd"/>
      <w:r w:rsidRPr="00BE1752">
        <w:rPr>
          <w:rFonts w:asciiTheme="majorBidi" w:eastAsia="MS Mincho" w:hAnsiTheme="majorBidi" w:cstheme="majorBidi"/>
          <w:kern w:val="0"/>
          <w:highlight w:val="red"/>
          <w14:ligatures w14:val="none"/>
        </w:rPr>
        <w:t>, T. S., Al-Dabbagh, S. A., &amp; Al-</w:t>
      </w:r>
      <w:proofErr w:type="spellStart"/>
      <w:r w:rsidRPr="00BE1752">
        <w:rPr>
          <w:rFonts w:asciiTheme="majorBidi" w:eastAsia="MS Mincho" w:hAnsiTheme="majorBidi" w:cstheme="majorBidi"/>
          <w:kern w:val="0"/>
          <w:highlight w:val="red"/>
          <w14:ligatures w14:val="none"/>
        </w:rPr>
        <w:t>Taee</w:t>
      </w:r>
      <w:proofErr w:type="spellEnd"/>
      <w:r w:rsidRPr="00BE1752">
        <w:rPr>
          <w:rFonts w:asciiTheme="majorBidi" w:eastAsia="MS Mincho" w:hAnsiTheme="majorBidi" w:cstheme="majorBidi"/>
          <w:kern w:val="0"/>
          <w:highlight w:val="red"/>
          <w14:ligatures w14:val="none"/>
        </w:rPr>
        <w:t>, W. Y. (2005). Screening for toxoplasmosis among pregnant women in Kirkuk. Iraqi Journal of Public Health, 12(2), 80–84.</w:t>
      </w:r>
    </w:p>
    <w:p w14:paraId="7630681B" w14:textId="77777777"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BE1752">
        <w:rPr>
          <w:rFonts w:asciiTheme="majorBidi" w:eastAsia="MS Mincho" w:hAnsiTheme="majorBidi" w:cstheme="majorBidi"/>
          <w:kern w:val="0"/>
          <w:highlight w:val="red"/>
          <w14:ligatures w14:val="none"/>
        </w:rPr>
        <w:t>Al-Hassani, S. M., Al-Taee, W. Y., &amp; Al-</w:t>
      </w:r>
      <w:proofErr w:type="spellStart"/>
      <w:r w:rsidRPr="00BE1752">
        <w:rPr>
          <w:rFonts w:asciiTheme="majorBidi" w:eastAsia="MS Mincho" w:hAnsiTheme="majorBidi" w:cstheme="majorBidi"/>
          <w:kern w:val="0"/>
          <w:highlight w:val="red"/>
          <w14:ligatures w14:val="none"/>
        </w:rPr>
        <w:t>Janabi</w:t>
      </w:r>
      <w:proofErr w:type="spellEnd"/>
      <w:r w:rsidRPr="00BE1752">
        <w:rPr>
          <w:rFonts w:asciiTheme="majorBidi" w:eastAsia="MS Mincho" w:hAnsiTheme="majorBidi" w:cstheme="majorBidi"/>
          <w:kern w:val="0"/>
          <w:highlight w:val="red"/>
          <w14:ligatures w14:val="none"/>
        </w:rPr>
        <w:t>, M. K. (2018). Latent toxoplasmosis and its association with psychiatric disorders in Iraqi patients. Middle East Current Psychiatry, 25(3), 147–153.</w:t>
      </w:r>
    </w:p>
    <w:p w14:paraId="3A16CE9E" w14:textId="77777777"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BE1752">
        <w:rPr>
          <w:rFonts w:asciiTheme="majorBidi" w:eastAsia="MS Mincho" w:hAnsiTheme="majorBidi" w:cstheme="majorBidi"/>
          <w:kern w:val="0"/>
          <w:highlight w:val="red"/>
          <w14:ligatures w14:val="none"/>
        </w:rPr>
        <w:t>Al-Hilli, S. A., Al-</w:t>
      </w:r>
      <w:proofErr w:type="spellStart"/>
      <w:r w:rsidRPr="00BE1752">
        <w:rPr>
          <w:rFonts w:asciiTheme="majorBidi" w:eastAsia="MS Mincho" w:hAnsiTheme="majorBidi" w:cstheme="majorBidi"/>
          <w:kern w:val="0"/>
          <w:highlight w:val="red"/>
          <w14:ligatures w14:val="none"/>
        </w:rPr>
        <w:t>Kubaisy</w:t>
      </w:r>
      <w:proofErr w:type="spellEnd"/>
      <w:r w:rsidRPr="00BE1752">
        <w:rPr>
          <w:rFonts w:asciiTheme="majorBidi" w:eastAsia="MS Mincho" w:hAnsiTheme="majorBidi" w:cstheme="majorBidi"/>
          <w:kern w:val="0"/>
          <w:highlight w:val="red"/>
          <w14:ligatures w14:val="none"/>
        </w:rPr>
        <w:t>, W., &amp; Al-Bayati, K. (2010). Cytokine profiles in Iraqi patients with toxoplasmosis. Journal of Immunological Research, 4(1), 12–19.</w:t>
      </w:r>
    </w:p>
    <w:p w14:paraId="18015227" w14:textId="77777777"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BE1752">
        <w:rPr>
          <w:rFonts w:asciiTheme="majorBidi" w:eastAsia="MS Mincho" w:hAnsiTheme="majorBidi" w:cstheme="majorBidi"/>
          <w:kern w:val="0"/>
          <w:highlight w:val="red"/>
          <w14:ligatures w14:val="none"/>
        </w:rPr>
        <w:t>Al-</w:t>
      </w:r>
      <w:proofErr w:type="spellStart"/>
      <w:r w:rsidRPr="00BE1752">
        <w:rPr>
          <w:rFonts w:asciiTheme="majorBidi" w:eastAsia="MS Mincho" w:hAnsiTheme="majorBidi" w:cstheme="majorBidi"/>
          <w:kern w:val="0"/>
          <w:highlight w:val="red"/>
          <w14:ligatures w14:val="none"/>
        </w:rPr>
        <w:t>Janabi</w:t>
      </w:r>
      <w:proofErr w:type="spellEnd"/>
      <w:r w:rsidRPr="00BE1752">
        <w:rPr>
          <w:rFonts w:asciiTheme="majorBidi" w:eastAsia="MS Mincho" w:hAnsiTheme="majorBidi" w:cstheme="majorBidi"/>
          <w:kern w:val="0"/>
          <w:highlight w:val="red"/>
          <w14:ligatures w14:val="none"/>
        </w:rPr>
        <w:t>, M. K., &amp; Al-Khafaji, A. A. (2017). Advances in molecular diagnosis of toxoplasmosis in Iraq. Baghdad Journal of Medical Sciences, 15(2), 100–107.</w:t>
      </w:r>
    </w:p>
    <w:p w14:paraId="05B951FA" w14:textId="77777777" w:rsidR="00DD6432" w:rsidRPr="00490252" w:rsidRDefault="00DD6432" w:rsidP="00DD6432">
      <w:pPr>
        <w:tabs>
          <w:tab w:val="num" w:pos="360"/>
        </w:tabs>
        <w:spacing w:after="200" w:line="276" w:lineRule="auto"/>
        <w:ind w:left="360" w:hanging="360"/>
        <w:contextualSpacing/>
        <w:rPr>
          <w:rFonts w:asciiTheme="majorBidi" w:eastAsia="MS Mincho" w:hAnsiTheme="majorBidi" w:cstheme="majorBidi"/>
          <w:kern w:val="0"/>
          <w14:ligatures w14:val="none"/>
        </w:rPr>
      </w:pPr>
      <w:r w:rsidRPr="00BE1752">
        <w:rPr>
          <w:rFonts w:asciiTheme="majorBidi" w:eastAsia="MS Mincho" w:hAnsiTheme="majorBidi" w:cstheme="majorBidi"/>
          <w:kern w:val="0"/>
          <w:highlight w:val="red"/>
          <w14:ligatures w14:val="none"/>
        </w:rPr>
        <w:t>Al-</w:t>
      </w:r>
      <w:proofErr w:type="spellStart"/>
      <w:r w:rsidRPr="00BE1752">
        <w:rPr>
          <w:rFonts w:asciiTheme="majorBidi" w:eastAsia="MS Mincho" w:hAnsiTheme="majorBidi" w:cstheme="majorBidi"/>
          <w:kern w:val="0"/>
          <w:highlight w:val="red"/>
          <w14:ligatures w14:val="none"/>
        </w:rPr>
        <w:t>Janabi</w:t>
      </w:r>
      <w:proofErr w:type="spellEnd"/>
      <w:r w:rsidRPr="00BE1752">
        <w:rPr>
          <w:rFonts w:asciiTheme="majorBidi" w:eastAsia="MS Mincho" w:hAnsiTheme="majorBidi" w:cstheme="majorBidi"/>
          <w:kern w:val="0"/>
          <w:highlight w:val="red"/>
          <w14:ligatures w14:val="none"/>
        </w:rPr>
        <w:t>, M. K., Al-</w:t>
      </w:r>
      <w:proofErr w:type="spellStart"/>
      <w:r w:rsidRPr="00BE1752">
        <w:rPr>
          <w:rFonts w:asciiTheme="majorBidi" w:eastAsia="MS Mincho" w:hAnsiTheme="majorBidi" w:cstheme="majorBidi"/>
          <w:kern w:val="0"/>
          <w:highlight w:val="red"/>
          <w14:ligatures w14:val="none"/>
        </w:rPr>
        <w:t>Hadithi</w:t>
      </w:r>
      <w:proofErr w:type="spellEnd"/>
      <w:r w:rsidRPr="00BE1752">
        <w:rPr>
          <w:rFonts w:asciiTheme="majorBidi" w:eastAsia="MS Mincho" w:hAnsiTheme="majorBidi" w:cstheme="majorBidi"/>
          <w:kern w:val="0"/>
          <w:highlight w:val="red"/>
          <w14:ligatures w14:val="none"/>
        </w:rPr>
        <w:t>, T. S., &amp; Al-Mousawi, K. I. (2022). Opportunistic infections post COVID-19: Revisiting toxoplasmosis. Iraqi Journal of Infectious Diseases, 8(1), 50–59.</w:t>
      </w:r>
      <w:r w:rsidRPr="00BE1752">
        <w:rPr>
          <w:rFonts w:asciiTheme="majorBidi" w:hAnsiTheme="majorBidi" w:cstheme="majorBidi"/>
          <w:highlight w:val="red"/>
        </w:rPr>
        <w:t xml:space="preserve"> </w:t>
      </w:r>
      <w:r w:rsidRPr="00BE1752">
        <w:rPr>
          <w:rFonts w:asciiTheme="majorBidi" w:eastAsia="MS Mincho" w:hAnsiTheme="majorBidi" w:cstheme="majorBidi"/>
          <w:kern w:val="0"/>
          <w:highlight w:val="red"/>
          <w14:ligatures w14:val="none"/>
        </w:rPr>
        <w:t>Al-</w:t>
      </w:r>
      <w:proofErr w:type="spellStart"/>
      <w:r w:rsidRPr="00BE1752">
        <w:rPr>
          <w:rFonts w:asciiTheme="majorBidi" w:eastAsia="MS Mincho" w:hAnsiTheme="majorBidi" w:cstheme="majorBidi"/>
          <w:kern w:val="0"/>
          <w:highlight w:val="red"/>
          <w14:ligatures w14:val="none"/>
        </w:rPr>
        <w:t>Jubori</w:t>
      </w:r>
      <w:proofErr w:type="spellEnd"/>
      <w:r w:rsidRPr="00BE1752">
        <w:rPr>
          <w:rFonts w:asciiTheme="majorBidi" w:eastAsia="MS Mincho" w:hAnsiTheme="majorBidi" w:cstheme="majorBidi"/>
          <w:kern w:val="0"/>
          <w:highlight w:val="red"/>
          <w14:ligatures w14:val="none"/>
        </w:rPr>
        <w:t>, AM. Serological study of Toxoplasmosis in Kirkuk province. MSc. thesis. College of Health&amp; Medicine. Tech. 2005 Baghdad. Iraq</w:t>
      </w:r>
    </w:p>
    <w:p w14:paraId="318A92F4" w14:textId="77777777"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BE1752">
        <w:rPr>
          <w:rFonts w:asciiTheme="majorBidi" w:eastAsia="MS Mincho" w:hAnsiTheme="majorBidi" w:cstheme="majorBidi"/>
          <w:kern w:val="0"/>
          <w:highlight w:val="red"/>
          <w14:ligatures w14:val="none"/>
        </w:rPr>
        <w:t>Al-Khafaji, A. A., &amp; Al-</w:t>
      </w:r>
      <w:proofErr w:type="spellStart"/>
      <w:r w:rsidRPr="00BE1752">
        <w:rPr>
          <w:rFonts w:asciiTheme="majorBidi" w:eastAsia="MS Mincho" w:hAnsiTheme="majorBidi" w:cstheme="majorBidi"/>
          <w:kern w:val="0"/>
          <w:highlight w:val="red"/>
          <w14:ligatures w14:val="none"/>
        </w:rPr>
        <w:t>Janabi</w:t>
      </w:r>
      <w:proofErr w:type="spellEnd"/>
      <w:r w:rsidRPr="00BE1752">
        <w:rPr>
          <w:rFonts w:asciiTheme="majorBidi" w:eastAsia="MS Mincho" w:hAnsiTheme="majorBidi" w:cstheme="majorBidi"/>
          <w:kern w:val="0"/>
          <w:highlight w:val="red"/>
          <w14:ligatures w14:val="none"/>
        </w:rPr>
        <w:t>, M. K. (2022). Diagnostic improvements for toxoplasmosis: Iraqi experience. International Journal of Infectious Diseases, 120, 55–62.</w:t>
      </w:r>
    </w:p>
    <w:p w14:paraId="2C3457C9" w14:textId="77777777"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BE1752">
        <w:rPr>
          <w:rFonts w:asciiTheme="majorBidi" w:eastAsia="MS Mincho" w:hAnsiTheme="majorBidi" w:cstheme="majorBidi"/>
          <w:kern w:val="0"/>
          <w:highlight w:val="red"/>
          <w14:ligatures w14:val="none"/>
        </w:rPr>
        <w:t>Al-</w:t>
      </w:r>
      <w:proofErr w:type="spellStart"/>
      <w:r w:rsidRPr="00BE1752">
        <w:rPr>
          <w:rFonts w:asciiTheme="majorBidi" w:eastAsia="MS Mincho" w:hAnsiTheme="majorBidi" w:cstheme="majorBidi"/>
          <w:kern w:val="0"/>
          <w:highlight w:val="red"/>
          <w14:ligatures w14:val="none"/>
        </w:rPr>
        <w:t>Kubaisy</w:t>
      </w:r>
      <w:proofErr w:type="spellEnd"/>
      <w:r w:rsidRPr="00BE1752">
        <w:rPr>
          <w:rFonts w:asciiTheme="majorBidi" w:eastAsia="MS Mincho" w:hAnsiTheme="majorBidi" w:cstheme="majorBidi"/>
          <w:kern w:val="0"/>
          <w:highlight w:val="red"/>
          <w14:ligatures w14:val="none"/>
        </w:rPr>
        <w:t>, W. A., Al-Bayati, Z. A., &amp; Al-</w:t>
      </w:r>
      <w:proofErr w:type="spellStart"/>
      <w:r w:rsidRPr="00BE1752">
        <w:rPr>
          <w:rFonts w:asciiTheme="majorBidi" w:eastAsia="MS Mincho" w:hAnsiTheme="majorBidi" w:cstheme="majorBidi"/>
          <w:kern w:val="0"/>
          <w:highlight w:val="red"/>
          <w14:ligatures w14:val="none"/>
        </w:rPr>
        <w:t>Janabi</w:t>
      </w:r>
      <w:proofErr w:type="spellEnd"/>
      <w:r w:rsidRPr="00BE1752">
        <w:rPr>
          <w:rFonts w:asciiTheme="majorBidi" w:eastAsia="MS Mincho" w:hAnsiTheme="majorBidi" w:cstheme="majorBidi"/>
          <w:kern w:val="0"/>
          <w:highlight w:val="red"/>
          <w14:ligatures w14:val="none"/>
        </w:rPr>
        <w:t>, M. K. (2012). Immunological study of toxoplasmosis in immunocompromised patients. Iraqi Journal of Clinical Immunology, 6(1), 10–18.</w:t>
      </w:r>
    </w:p>
    <w:p w14:paraId="6F1875E2" w14:textId="77777777" w:rsidR="00DD6432" w:rsidRPr="00BE17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u w:val="single"/>
          <w14:ligatures w14:val="none"/>
        </w:rPr>
      </w:pPr>
      <w:r w:rsidRPr="00BE1752">
        <w:rPr>
          <w:rFonts w:asciiTheme="majorBidi" w:eastAsia="MS Mincho" w:hAnsiTheme="majorBidi" w:cstheme="majorBidi"/>
          <w:kern w:val="0"/>
          <w:highlight w:val="red"/>
          <w:u w:val="single"/>
          <w14:ligatures w14:val="none"/>
        </w:rPr>
        <w:t>Al-Saad, A. S., Al-Hilli, S. A., &amp; Al-Dabbagh, S. A. (2012). Toxoplasmosis and pregnancy outcomes in Iraq. Baghdad Journal of Health Sciences, 10(1), 22–28.</w:t>
      </w:r>
    </w:p>
    <w:p w14:paraId="186F6454" w14:textId="77777777"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BE1752">
        <w:rPr>
          <w:rFonts w:asciiTheme="majorBidi" w:eastAsia="MS Mincho" w:hAnsiTheme="majorBidi" w:cstheme="majorBidi"/>
          <w:kern w:val="0"/>
          <w:highlight w:val="red"/>
          <w14:ligatures w14:val="none"/>
        </w:rPr>
        <w:t>Al-Saadi, M. S., &amp; Al-Saadi, F. S. (2015). Molecular detection and genotyping of Toxoplasma gondii in Iraqi patients. International Journal of Parasitology Research, 7(2), 100–106.</w:t>
      </w:r>
    </w:p>
    <w:p w14:paraId="04689C7F" w14:textId="77777777"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BE1752">
        <w:rPr>
          <w:rFonts w:asciiTheme="majorBidi" w:eastAsia="MS Mincho" w:hAnsiTheme="majorBidi" w:cstheme="majorBidi"/>
          <w:kern w:val="0"/>
          <w:highlight w:val="red"/>
          <w14:ligatures w14:val="none"/>
        </w:rPr>
        <w:t>Al-Shammari, A. M., Al-</w:t>
      </w:r>
      <w:proofErr w:type="spellStart"/>
      <w:r w:rsidRPr="00BE1752">
        <w:rPr>
          <w:rFonts w:asciiTheme="majorBidi" w:eastAsia="MS Mincho" w:hAnsiTheme="majorBidi" w:cstheme="majorBidi"/>
          <w:kern w:val="0"/>
          <w:highlight w:val="red"/>
          <w14:ligatures w14:val="none"/>
        </w:rPr>
        <w:t>Janabi</w:t>
      </w:r>
      <w:proofErr w:type="spellEnd"/>
      <w:r w:rsidRPr="00BE1752">
        <w:rPr>
          <w:rFonts w:asciiTheme="majorBidi" w:eastAsia="MS Mincho" w:hAnsiTheme="majorBidi" w:cstheme="majorBidi"/>
          <w:kern w:val="0"/>
          <w:highlight w:val="red"/>
          <w14:ligatures w14:val="none"/>
        </w:rPr>
        <w:t>, M. K., &amp; Al-</w:t>
      </w:r>
      <w:proofErr w:type="spellStart"/>
      <w:r w:rsidRPr="00BE1752">
        <w:rPr>
          <w:rFonts w:asciiTheme="majorBidi" w:eastAsia="MS Mincho" w:hAnsiTheme="majorBidi" w:cstheme="majorBidi"/>
          <w:kern w:val="0"/>
          <w:highlight w:val="red"/>
          <w14:ligatures w14:val="none"/>
        </w:rPr>
        <w:t>Hadithi</w:t>
      </w:r>
      <w:proofErr w:type="spellEnd"/>
      <w:r w:rsidRPr="00BE1752">
        <w:rPr>
          <w:rFonts w:asciiTheme="majorBidi" w:eastAsia="MS Mincho" w:hAnsiTheme="majorBidi" w:cstheme="majorBidi"/>
          <w:kern w:val="0"/>
          <w:highlight w:val="red"/>
          <w14:ligatures w14:val="none"/>
        </w:rPr>
        <w:t>, T. S. (2023). Emerging roles of toxoplasmosis in systemic diseases: An Iraqi perspective. Frontiers in Infectious Diseases, 8, 120–130.</w:t>
      </w:r>
    </w:p>
    <w:p w14:paraId="3C486D88" w14:textId="77777777"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490252">
        <w:rPr>
          <w:rFonts w:asciiTheme="majorBidi" w:eastAsia="MS Mincho" w:hAnsiTheme="majorBidi" w:cstheme="majorBidi"/>
          <w:kern w:val="0"/>
          <w14:ligatures w14:val="none"/>
        </w:rPr>
        <w:t>Al</w:t>
      </w:r>
      <w:r w:rsidRPr="00490252">
        <w:rPr>
          <w:rFonts w:ascii="MS Mincho" w:eastAsia="MS Mincho" w:hAnsi="MS Mincho" w:cs="MS Mincho" w:hint="eastAsia"/>
          <w:kern w:val="0"/>
          <w14:ligatures w14:val="none"/>
        </w:rPr>
        <w:t>‑</w:t>
      </w:r>
      <w:r w:rsidRPr="00490252">
        <w:rPr>
          <w:rFonts w:asciiTheme="majorBidi" w:eastAsia="MS Mincho" w:hAnsiTheme="majorBidi" w:cstheme="majorBidi"/>
          <w:kern w:val="0"/>
          <w14:ligatures w14:val="none"/>
        </w:rPr>
        <w:t>Ani, M. A., &amp; Al-Azzawi, A. M. (2007). The role of toxoplasmosis in habitual abortion: A case-control study in Iraq. Journal of Reproductive Health, 13(2), 121–127.</w:t>
      </w:r>
    </w:p>
    <w:p w14:paraId="419ED97E" w14:textId="77777777"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BE1752">
        <w:rPr>
          <w:rFonts w:asciiTheme="majorBidi" w:eastAsia="MS Mincho" w:hAnsiTheme="majorBidi" w:cstheme="majorBidi"/>
          <w:kern w:val="0"/>
          <w:highlight w:val="red"/>
          <w14:ligatures w14:val="none"/>
        </w:rPr>
        <w:t>Al</w:t>
      </w:r>
      <w:r w:rsidRPr="00BE1752">
        <w:rPr>
          <w:rFonts w:ascii="MS Mincho" w:eastAsia="MS Mincho" w:hAnsi="MS Mincho" w:cs="MS Mincho" w:hint="eastAsia"/>
          <w:kern w:val="0"/>
          <w:highlight w:val="red"/>
          <w14:ligatures w14:val="none"/>
        </w:rPr>
        <w:t>‑</w:t>
      </w:r>
      <w:r w:rsidRPr="00BE1752">
        <w:rPr>
          <w:rFonts w:asciiTheme="majorBidi" w:eastAsia="MS Mincho" w:hAnsiTheme="majorBidi" w:cstheme="majorBidi"/>
          <w:kern w:val="0"/>
          <w:highlight w:val="red"/>
          <w14:ligatures w14:val="none"/>
        </w:rPr>
        <w:t>Asadi FS, Al</w:t>
      </w:r>
      <w:r w:rsidRPr="00BE1752">
        <w:rPr>
          <w:rFonts w:ascii="MS Mincho" w:eastAsia="MS Mincho" w:hAnsi="MS Mincho" w:cs="MS Mincho" w:hint="eastAsia"/>
          <w:kern w:val="0"/>
          <w:highlight w:val="red"/>
          <w14:ligatures w14:val="none"/>
        </w:rPr>
        <w:t>‑</w:t>
      </w:r>
      <w:proofErr w:type="spellStart"/>
      <w:r w:rsidRPr="00BE1752">
        <w:rPr>
          <w:rFonts w:asciiTheme="majorBidi" w:eastAsia="MS Mincho" w:hAnsiTheme="majorBidi" w:cstheme="majorBidi"/>
          <w:kern w:val="0"/>
          <w:highlight w:val="red"/>
          <w14:ligatures w14:val="none"/>
        </w:rPr>
        <w:t>Husseiny</w:t>
      </w:r>
      <w:proofErr w:type="spellEnd"/>
      <w:r w:rsidRPr="00BE1752">
        <w:rPr>
          <w:rFonts w:asciiTheme="majorBidi" w:eastAsia="MS Mincho" w:hAnsiTheme="majorBidi" w:cstheme="majorBidi"/>
          <w:kern w:val="0"/>
          <w:highlight w:val="red"/>
          <w14:ligatures w14:val="none"/>
        </w:rPr>
        <w:t xml:space="preserve"> SH. Association of Toxoplasma gondii infection and MMP</w:t>
      </w:r>
      <w:r w:rsidRPr="00BE1752">
        <w:rPr>
          <w:rFonts w:ascii="MS Mincho" w:eastAsia="MS Mincho" w:hAnsi="MS Mincho" w:cs="MS Mincho" w:hint="eastAsia"/>
          <w:kern w:val="0"/>
          <w:highlight w:val="red"/>
          <w14:ligatures w14:val="none"/>
        </w:rPr>
        <w:t>‑</w:t>
      </w:r>
      <w:r w:rsidRPr="00BE1752">
        <w:rPr>
          <w:rFonts w:asciiTheme="majorBidi" w:eastAsia="MS Mincho" w:hAnsiTheme="majorBidi" w:cstheme="majorBidi"/>
          <w:kern w:val="0"/>
          <w:highlight w:val="red"/>
          <w14:ligatures w14:val="none"/>
        </w:rPr>
        <w:t>9 gene polymorphism with schizophrenia in Al</w:t>
      </w:r>
      <w:r w:rsidRPr="00BE1752">
        <w:rPr>
          <w:rFonts w:ascii="MS Mincho" w:eastAsia="MS Mincho" w:hAnsi="MS Mincho" w:cs="MS Mincho" w:hint="eastAsia"/>
          <w:kern w:val="0"/>
          <w:highlight w:val="red"/>
          <w14:ligatures w14:val="none"/>
        </w:rPr>
        <w:t>‑</w:t>
      </w:r>
      <w:r w:rsidRPr="00BE1752">
        <w:rPr>
          <w:rFonts w:asciiTheme="majorBidi" w:eastAsia="MS Mincho" w:hAnsiTheme="majorBidi" w:cstheme="majorBidi"/>
          <w:kern w:val="0"/>
          <w:highlight w:val="red"/>
          <w14:ligatures w14:val="none"/>
        </w:rPr>
        <w:t>Diwaniyah province, Iraq. Int J Health Sci (Qassim). 2022;6(S3):10478</w:t>
      </w:r>
      <w:r w:rsidRPr="00BE1752">
        <w:rPr>
          <w:rFonts w:ascii="MS Mincho" w:eastAsia="MS Mincho" w:hAnsi="MS Mincho" w:cs="MS Mincho" w:hint="eastAsia"/>
          <w:kern w:val="0"/>
          <w:highlight w:val="red"/>
          <w14:ligatures w14:val="none"/>
        </w:rPr>
        <w:t>‑</w:t>
      </w:r>
      <w:r w:rsidRPr="00BE1752">
        <w:rPr>
          <w:rFonts w:asciiTheme="majorBidi" w:eastAsia="MS Mincho" w:hAnsiTheme="majorBidi" w:cstheme="majorBidi"/>
          <w:kern w:val="0"/>
          <w:highlight w:val="red"/>
          <w14:ligatures w14:val="none"/>
        </w:rPr>
        <w:t>10489. doi:10.53730/ijhs.v6nS3.12588.</w:t>
      </w:r>
    </w:p>
    <w:p w14:paraId="060A7D82" w14:textId="77777777"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490252">
        <w:rPr>
          <w:rFonts w:asciiTheme="majorBidi" w:eastAsia="MS Mincho" w:hAnsiTheme="majorBidi" w:cstheme="majorBidi"/>
          <w:kern w:val="0"/>
          <w14:ligatures w14:val="none"/>
        </w:rPr>
        <w:t>Al</w:t>
      </w:r>
      <w:r w:rsidRPr="00490252">
        <w:rPr>
          <w:rFonts w:ascii="MS Mincho" w:eastAsia="MS Mincho" w:hAnsi="MS Mincho" w:cs="MS Mincho" w:hint="eastAsia"/>
          <w:kern w:val="0"/>
          <w14:ligatures w14:val="none"/>
        </w:rPr>
        <w:t>‑</w:t>
      </w:r>
      <w:r w:rsidRPr="00490252">
        <w:rPr>
          <w:rFonts w:asciiTheme="majorBidi" w:eastAsia="MS Mincho" w:hAnsiTheme="majorBidi" w:cstheme="majorBidi"/>
          <w:kern w:val="0"/>
          <w14:ligatures w14:val="none"/>
        </w:rPr>
        <w:t>Khalidi RM, Al</w:t>
      </w:r>
      <w:r w:rsidRPr="00490252">
        <w:rPr>
          <w:rFonts w:ascii="MS Mincho" w:eastAsia="MS Mincho" w:hAnsi="MS Mincho" w:cs="MS Mincho" w:hint="eastAsia"/>
          <w:kern w:val="0"/>
          <w14:ligatures w14:val="none"/>
        </w:rPr>
        <w:t>‑</w:t>
      </w:r>
      <w:proofErr w:type="spellStart"/>
      <w:r w:rsidRPr="00490252">
        <w:rPr>
          <w:rFonts w:asciiTheme="majorBidi" w:eastAsia="MS Mincho" w:hAnsiTheme="majorBidi" w:cstheme="majorBidi"/>
          <w:kern w:val="0"/>
          <w14:ligatures w14:val="none"/>
        </w:rPr>
        <w:t>Dujaili</w:t>
      </w:r>
      <w:proofErr w:type="spellEnd"/>
      <w:r w:rsidRPr="00490252">
        <w:rPr>
          <w:rFonts w:asciiTheme="majorBidi" w:eastAsia="MS Mincho" w:hAnsiTheme="majorBidi" w:cstheme="majorBidi"/>
          <w:kern w:val="0"/>
          <w14:ligatures w14:val="none"/>
        </w:rPr>
        <w:t xml:space="preserve"> AH. Seroprevalence of Toxoplasma gondii in Parkinson’s disease Iraqi patients. </w:t>
      </w:r>
      <w:proofErr w:type="spellStart"/>
      <w:r w:rsidRPr="00490252">
        <w:rPr>
          <w:rFonts w:asciiTheme="majorBidi" w:eastAsia="MS Mincho" w:hAnsiTheme="majorBidi" w:cstheme="majorBidi"/>
          <w:kern w:val="0"/>
          <w14:ligatures w14:val="none"/>
        </w:rPr>
        <w:t>Neurosci</w:t>
      </w:r>
      <w:proofErr w:type="spellEnd"/>
      <w:r w:rsidRPr="00490252">
        <w:rPr>
          <w:rFonts w:asciiTheme="majorBidi" w:eastAsia="MS Mincho" w:hAnsiTheme="majorBidi" w:cstheme="majorBidi"/>
          <w:kern w:val="0"/>
          <w14:ligatures w14:val="none"/>
        </w:rPr>
        <w:t xml:space="preserve"> Med. 2021;12(4):195</w:t>
      </w:r>
      <w:r w:rsidRPr="00490252">
        <w:rPr>
          <w:rFonts w:ascii="MS Mincho" w:eastAsia="MS Mincho" w:hAnsi="MS Mincho" w:cs="MS Mincho" w:hint="eastAsia"/>
          <w:kern w:val="0"/>
          <w14:ligatures w14:val="none"/>
        </w:rPr>
        <w:t>‑</w:t>
      </w:r>
      <w:r w:rsidRPr="00490252">
        <w:rPr>
          <w:rFonts w:asciiTheme="majorBidi" w:eastAsia="MS Mincho" w:hAnsiTheme="majorBidi" w:cstheme="majorBidi"/>
          <w:kern w:val="0"/>
          <w14:ligatures w14:val="none"/>
        </w:rPr>
        <w:t>205. doi:10.4236/nm.2021.124017.</w:t>
      </w:r>
    </w:p>
    <w:p w14:paraId="5B7DA9AF" w14:textId="77777777"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BE1752">
        <w:rPr>
          <w:rFonts w:asciiTheme="majorBidi" w:eastAsia="MS Mincho" w:hAnsiTheme="majorBidi" w:cstheme="majorBidi"/>
          <w:kern w:val="0"/>
          <w:highlight w:val="red"/>
          <w14:ligatures w14:val="none"/>
        </w:rPr>
        <w:t>Al</w:t>
      </w:r>
      <w:r w:rsidRPr="00BE1752">
        <w:rPr>
          <w:rFonts w:ascii="MS Mincho" w:eastAsia="MS Mincho" w:hAnsi="MS Mincho" w:cs="MS Mincho" w:hint="eastAsia"/>
          <w:kern w:val="0"/>
          <w:highlight w:val="red"/>
          <w14:ligatures w14:val="none"/>
        </w:rPr>
        <w:t>‑</w:t>
      </w:r>
      <w:proofErr w:type="spellStart"/>
      <w:r w:rsidRPr="00BE1752">
        <w:rPr>
          <w:rFonts w:asciiTheme="majorBidi" w:eastAsia="MS Mincho" w:hAnsiTheme="majorBidi" w:cstheme="majorBidi"/>
          <w:kern w:val="0"/>
          <w:highlight w:val="red"/>
          <w14:ligatures w14:val="none"/>
        </w:rPr>
        <w:t>Niaimi</w:t>
      </w:r>
      <w:proofErr w:type="spellEnd"/>
      <w:r w:rsidRPr="00BE1752">
        <w:rPr>
          <w:rFonts w:asciiTheme="majorBidi" w:eastAsia="MS Mincho" w:hAnsiTheme="majorBidi" w:cstheme="majorBidi"/>
          <w:kern w:val="0"/>
          <w:highlight w:val="red"/>
          <w14:ligatures w14:val="none"/>
        </w:rPr>
        <w:t xml:space="preserve"> AS, Salman YM, Hamed KK. Association of Toxoplasma gondii infection with schizophrenia: A case-control study in Baghdad. Med J Babylon. 2023;20(2):234</w:t>
      </w:r>
      <w:r w:rsidRPr="00BE1752">
        <w:rPr>
          <w:rFonts w:ascii="MS Mincho" w:eastAsia="MS Mincho" w:hAnsi="MS Mincho" w:cs="MS Mincho" w:hint="eastAsia"/>
          <w:kern w:val="0"/>
          <w:highlight w:val="red"/>
          <w14:ligatures w14:val="none"/>
        </w:rPr>
        <w:t>‑</w:t>
      </w:r>
      <w:r w:rsidRPr="00BE1752">
        <w:rPr>
          <w:rFonts w:asciiTheme="majorBidi" w:eastAsia="MS Mincho" w:hAnsiTheme="majorBidi" w:cstheme="majorBidi"/>
          <w:kern w:val="0"/>
          <w:highlight w:val="red"/>
          <w14:ligatures w14:val="none"/>
        </w:rPr>
        <w:t>241. doi:10.4103/MJBL.MJBL_14_23.</w:t>
      </w:r>
    </w:p>
    <w:p w14:paraId="7EE38705" w14:textId="77777777" w:rsidR="00EC1313" w:rsidRPr="00490252" w:rsidRDefault="00DD6432" w:rsidP="00EC1313">
      <w:pPr>
        <w:tabs>
          <w:tab w:val="num" w:pos="360"/>
        </w:tabs>
        <w:spacing w:after="200" w:line="276" w:lineRule="auto"/>
        <w:ind w:left="360" w:hanging="360"/>
        <w:contextualSpacing/>
        <w:jc w:val="both"/>
        <w:rPr>
          <w:rFonts w:asciiTheme="majorBidi" w:hAnsiTheme="majorBidi" w:cstheme="majorBidi"/>
        </w:rPr>
      </w:pPr>
      <w:r w:rsidRPr="00490252">
        <w:rPr>
          <w:rFonts w:asciiTheme="majorBidi" w:eastAsia="MS Mincho" w:hAnsiTheme="majorBidi" w:cstheme="majorBidi"/>
          <w:kern w:val="0"/>
          <w14:ligatures w14:val="none"/>
        </w:rPr>
        <w:lastRenderedPageBreak/>
        <w:t xml:space="preserve">Amin Kh M, Salman YJ, Ali OS, </w:t>
      </w:r>
      <w:proofErr w:type="spellStart"/>
      <w:r w:rsidRPr="00490252">
        <w:rPr>
          <w:rFonts w:asciiTheme="majorBidi" w:eastAsia="MS Mincho" w:hAnsiTheme="majorBidi" w:cstheme="majorBidi"/>
          <w:kern w:val="0"/>
          <w14:ligatures w14:val="none"/>
        </w:rPr>
        <w:t>Jirjees</w:t>
      </w:r>
      <w:proofErr w:type="spellEnd"/>
      <w:r w:rsidRPr="00490252">
        <w:rPr>
          <w:rFonts w:asciiTheme="majorBidi" w:eastAsia="MS Mincho" w:hAnsiTheme="majorBidi" w:cstheme="majorBidi"/>
          <w:kern w:val="0"/>
          <w14:ligatures w14:val="none"/>
        </w:rPr>
        <w:t xml:space="preserve"> SY. (2024). Correlation between Interleukin-6, Toxoplasmosis, and Cytomegalovirus in Novel COVID (nCoV-19) patients in Kirkuk–Iraq. Frontiers in Health Informatics, 13(3), 6814.</w:t>
      </w:r>
      <w:r w:rsidRPr="00490252">
        <w:rPr>
          <w:rFonts w:asciiTheme="majorBidi" w:hAnsiTheme="majorBidi" w:cstheme="majorBidi"/>
        </w:rPr>
        <w:t xml:space="preserve"> </w:t>
      </w:r>
    </w:p>
    <w:p w14:paraId="79BFD2F5" w14:textId="77777777" w:rsidR="00DD6432" w:rsidRPr="00490252" w:rsidRDefault="00EC1313" w:rsidP="00EC1313">
      <w:pPr>
        <w:tabs>
          <w:tab w:val="num" w:pos="360"/>
        </w:tabs>
        <w:spacing w:after="200" w:line="276" w:lineRule="auto"/>
        <w:ind w:left="360" w:hanging="360"/>
        <w:contextualSpacing/>
        <w:jc w:val="both"/>
        <w:rPr>
          <w:rFonts w:asciiTheme="majorBidi" w:hAnsiTheme="majorBidi" w:cstheme="majorBidi"/>
        </w:rPr>
      </w:pPr>
      <w:r w:rsidRPr="00490252">
        <w:rPr>
          <w:rFonts w:asciiTheme="majorBidi" w:hAnsiTheme="majorBidi" w:cstheme="majorBidi"/>
        </w:rPr>
        <w:t xml:space="preserve">Bakri </w:t>
      </w:r>
      <w:proofErr w:type="gramStart"/>
      <w:r w:rsidRPr="00490252">
        <w:rPr>
          <w:rFonts w:asciiTheme="majorBidi" w:hAnsiTheme="majorBidi" w:cstheme="majorBidi"/>
        </w:rPr>
        <w:t>HM.(</w:t>
      </w:r>
      <w:proofErr w:type="gramEnd"/>
      <w:r w:rsidRPr="00490252">
        <w:rPr>
          <w:rFonts w:asciiTheme="majorBidi" w:hAnsiTheme="majorBidi" w:cstheme="majorBidi"/>
        </w:rPr>
        <w:t>2016).</w:t>
      </w:r>
      <w:r w:rsidRPr="00490252">
        <w:rPr>
          <w:rFonts w:asciiTheme="majorBidi" w:hAnsiTheme="majorBidi" w:cstheme="majorBidi"/>
          <w:shd w:val="clear" w:color="auto" w:fill="FFFFFF"/>
        </w:rPr>
        <w:t xml:space="preserve"> </w:t>
      </w:r>
      <w:r w:rsidRPr="00490252">
        <w:rPr>
          <w:rFonts w:asciiTheme="majorBidi" w:hAnsiTheme="majorBidi" w:cstheme="majorBidi"/>
        </w:rPr>
        <w:t xml:space="preserve">Serological tests and polymerase chain reaction for detection of </w:t>
      </w:r>
      <w:proofErr w:type="spellStart"/>
      <w:r w:rsidRPr="00490252">
        <w:rPr>
          <w:rFonts w:asciiTheme="majorBidi" w:hAnsiTheme="majorBidi" w:cstheme="majorBidi"/>
        </w:rPr>
        <w:t>Toxo</w:t>
      </w:r>
      <w:proofErr w:type="spellEnd"/>
      <w:r w:rsidRPr="00490252">
        <w:rPr>
          <w:rFonts w:asciiTheme="majorBidi" w:hAnsiTheme="majorBidi" w:cstheme="majorBidi"/>
        </w:rPr>
        <w:t>-plasma gondii infection in women attending for premarital examination.</w:t>
      </w:r>
      <w:r w:rsidRPr="00490252">
        <w:rPr>
          <w:rFonts w:asciiTheme="majorBidi" w:hAnsiTheme="majorBidi" w:cstheme="majorBidi"/>
          <w:shd w:val="clear" w:color="auto" w:fill="FFFFFF"/>
        </w:rPr>
        <w:t xml:space="preserve"> </w:t>
      </w:r>
      <w:r w:rsidRPr="00490252">
        <w:rPr>
          <w:rFonts w:asciiTheme="majorBidi" w:hAnsiTheme="majorBidi" w:cstheme="majorBidi"/>
        </w:rPr>
        <w:t>Zanco J. Med. Sci., Vol. 20, No. (3):1476-1484.</w:t>
      </w:r>
    </w:p>
    <w:p w14:paraId="4F0D02DB" w14:textId="77777777"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490252">
        <w:rPr>
          <w:rFonts w:asciiTheme="majorBidi" w:eastAsia="MS Mincho" w:hAnsiTheme="majorBidi" w:cstheme="majorBidi"/>
          <w:kern w:val="0"/>
          <w14:ligatures w14:val="none"/>
        </w:rPr>
        <w:t xml:space="preserve">Hasan AA, Hamad SS, Salman YJ. Seropositivity for toxoplasmosis and other protozoan infections in patients with ocular diseases in Kirkuk Province, Iraq. J </w:t>
      </w:r>
      <w:proofErr w:type="spellStart"/>
      <w:r w:rsidRPr="00490252">
        <w:rPr>
          <w:rFonts w:asciiTheme="majorBidi" w:eastAsia="MS Mincho" w:hAnsiTheme="majorBidi" w:cstheme="majorBidi"/>
          <w:kern w:val="0"/>
          <w14:ligatures w14:val="none"/>
        </w:rPr>
        <w:t>Popul</w:t>
      </w:r>
      <w:proofErr w:type="spellEnd"/>
      <w:r w:rsidRPr="00490252">
        <w:rPr>
          <w:rFonts w:asciiTheme="majorBidi" w:eastAsia="MS Mincho" w:hAnsiTheme="majorBidi" w:cstheme="majorBidi"/>
          <w:kern w:val="0"/>
          <w14:ligatures w14:val="none"/>
        </w:rPr>
        <w:t xml:space="preserve"> Ther Clin </w:t>
      </w:r>
      <w:proofErr w:type="spellStart"/>
      <w:r w:rsidRPr="00490252">
        <w:rPr>
          <w:rFonts w:asciiTheme="majorBidi" w:eastAsia="MS Mincho" w:hAnsiTheme="majorBidi" w:cstheme="majorBidi"/>
          <w:kern w:val="0"/>
          <w14:ligatures w14:val="none"/>
        </w:rPr>
        <w:t>Pharmacol</w:t>
      </w:r>
      <w:proofErr w:type="spellEnd"/>
      <w:r w:rsidRPr="00490252">
        <w:rPr>
          <w:rFonts w:asciiTheme="majorBidi" w:eastAsia="MS Mincho" w:hAnsiTheme="majorBidi" w:cstheme="majorBidi"/>
          <w:kern w:val="0"/>
          <w14:ligatures w14:val="none"/>
        </w:rPr>
        <w:t>. 2023;30(9</w:t>
      </w:r>
      <w:proofErr w:type="gramStart"/>
      <w:r w:rsidRPr="00490252">
        <w:rPr>
          <w:rFonts w:asciiTheme="majorBidi" w:eastAsia="MS Mincho" w:hAnsiTheme="majorBidi" w:cstheme="majorBidi"/>
          <w:kern w:val="0"/>
          <w14:ligatures w14:val="none"/>
        </w:rPr>
        <w:t>):e</w:t>
      </w:r>
      <w:proofErr w:type="gramEnd"/>
      <w:r w:rsidRPr="00490252">
        <w:rPr>
          <w:rFonts w:asciiTheme="majorBidi" w:eastAsia="MS Mincho" w:hAnsiTheme="majorBidi" w:cstheme="majorBidi"/>
          <w:kern w:val="0"/>
          <w14:ligatures w14:val="none"/>
        </w:rPr>
        <w:t>1336–e1347. doi:10.47750/</w:t>
      </w:r>
      <w:proofErr w:type="spellStart"/>
      <w:proofErr w:type="gramStart"/>
      <w:r w:rsidRPr="00490252">
        <w:rPr>
          <w:rFonts w:asciiTheme="majorBidi" w:eastAsia="MS Mincho" w:hAnsiTheme="majorBidi" w:cstheme="majorBidi"/>
          <w:kern w:val="0"/>
          <w14:ligatures w14:val="none"/>
        </w:rPr>
        <w:t>jptcp</w:t>
      </w:r>
      <w:proofErr w:type="spellEnd"/>
      <w:r w:rsidRPr="00490252">
        <w:rPr>
          <w:rFonts w:asciiTheme="majorBidi" w:eastAsia="MS Mincho" w:hAnsiTheme="majorBidi" w:cstheme="majorBidi"/>
          <w:kern w:val="0"/>
          <w14:ligatures w14:val="none"/>
        </w:rPr>
        <w:t>.</w:t>
      </w:r>
      <w:r w:rsidR="00EC1313" w:rsidRPr="00490252">
        <w:rPr>
          <w:rFonts w:asciiTheme="majorBidi" w:eastAsia="MS Mincho" w:hAnsiTheme="majorBidi" w:cstheme="majorBidi"/>
          <w:kern w:val="0"/>
          <w14:ligatures w14:val="none"/>
        </w:rPr>
        <w:t>.</w:t>
      </w:r>
      <w:proofErr w:type="gramEnd"/>
      <w:r w:rsidR="00EC1313" w:rsidRPr="00490252">
        <w:rPr>
          <w:rFonts w:asciiTheme="majorBidi" w:eastAsia="MS Mincho" w:hAnsiTheme="majorBidi" w:cstheme="majorBidi"/>
          <w:kern w:val="0"/>
          <w14:ligatures w14:val="none"/>
        </w:rPr>
        <w:t xml:space="preserve"> </w:t>
      </w:r>
      <w:r w:rsidRPr="00490252">
        <w:rPr>
          <w:rFonts w:asciiTheme="majorBidi" w:eastAsia="MS Mincho" w:hAnsiTheme="majorBidi" w:cstheme="majorBidi"/>
          <w:kern w:val="0"/>
          <w14:ligatures w14:val="none"/>
        </w:rPr>
        <w:t>2023.30.09.008.</w:t>
      </w:r>
    </w:p>
    <w:p w14:paraId="41335D28" w14:textId="77777777"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BE1752">
        <w:rPr>
          <w:rFonts w:asciiTheme="majorBidi" w:eastAsia="MS Mincho" w:hAnsiTheme="majorBidi" w:cstheme="majorBidi"/>
          <w:kern w:val="0"/>
          <w:highlight w:val="red"/>
          <w14:ligatures w14:val="none"/>
        </w:rPr>
        <w:t>Mahmoud, M. I., &amp; Al-</w:t>
      </w:r>
      <w:proofErr w:type="spellStart"/>
      <w:r w:rsidRPr="00BE1752">
        <w:rPr>
          <w:rFonts w:asciiTheme="majorBidi" w:eastAsia="MS Mincho" w:hAnsiTheme="majorBidi" w:cstheme="majorBidi"/>
          <w:kern w:val="0"/>
          <w:highlight w:val="red"/>
          <w14:ligatures w14:val="none"/>
        </w:rPr>
        <w:t>Janabi</w:t>
      </w:r>
      <w:proofErr w:type="spellEnd"/>
      <w:r w:rsidRPr="00BE1752">
        <w:rPr>
          <w:rFonts w:asciiTheme="majorBidi" w:eastAsia="MS Mincho" w:hAnsiTheme="majorBidi" w:cstheme="majorBidi"/>
          <w:kern w:val="0"/>
          <w:highlight w:val="red"/>
          <w14:ligatures w14:val="none"/>
        </w:rPr>
        <w:t xml:space="preserve">, M. K. (1989). A </w:t>
      </w:r>
      <w:proofErr w:type="spellStart"/>
      <w:r w:rsidRPr="00BE1752">
        <w:rPr>
          <w:rFonts w:asciiTheme="majorBidi" w:eastAsia="MS Mincho" w:hAnsiTheme="majorBidi" w:cstheme="majorBidi"/>
          <w:kern w:val="0"/>
          <w:highlight w:val="red"/>
          <w14:ligatures w14:val="none"/>
        </w:rPr>
        <w:t>seroepidemiological</w:t>
      </w:r>
      <w:proofErr w:type="spellEnd"/>
      <w:r w:rsidRPr="00BE1752">
        <w:rPr>
          <w:rFonts w:asciiTheme="majorBidi" w:eastAsia="MS Mincho" w:hAnsiTheme="majorBidi" w:cstheme="majorBidi"/>
          <w:kern w:val="0"/>
          <w:highlight w:val="red"/>
          <w14:ligatures w14:val="none"/>
        </w:rPr>
        <w:t xml:space="preserve"> survey of toxoplasmosis in Iraq. Iraqi Journal of Community Medicine, 2(1), 34–40.</w:t>
      </w:r>
    </w:p>
    <w:p w14:paraId="6A8999F3" w14:textId="77777777"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BE1752">
        <w:rPr>
          <w:rFonts w:asciiTheme="majorBidi" w:eastAsia="MS Mincho" w:hAnsiTheme="majorBidi" w:cstheme="majorBidi"/>
          <w:kern w:val="0"/>
          <w:highlight w:val="red"/>
          <w14:ligatures w14:val="none"/>
        </w:rPr>
        <w:t>Salman, Y. J. (1995). Seroprevalence of toxoplasmosis among pregnant women in Baghdad. Baghdad Medical Journal, 38(2), 145–150.</w:t>
      </w:r>
    </w:p>
    <w:p w14:paraId="3BE3F7FD" w14:textId="77777777"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BE1752">
        <w:rPr>
          <w:rFonts w:asciiTheme="majorBidi" w:eastAsia="MS Mincho" w:hAnsiTheme="majorBidi" w:cstheme="majorBidi"/>
          <w:kern w:val="0"/>
          <w:highlight w:val="red"/>
          <w14:ligatures w14:val="none"/>
        </w:rPr>
        <w:t>Salman, Y. J. (1997). Toxoplasmosis and pregnancy complications in Iraqi women. Iraqi Journal of Parasitology, 15(1), 55–62.</w:t>
      </w:r>
    </w:p>
    <w:p w14:paraId="33AD704A" w14:textId="77777777"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BE1752">
        <w:rPr>
          <w:rFonts w:asciiTheme="majorBidi" w:eastAsia="MS Mincho" w:hAnsiTheme="majorBidi" w:cstheme="majorBidi"/>
          <w:kern w:val="0"/>
          <w:highlight w:val="red"/>
          <w14:ligatures w14:val="none"/>
        </w:rPr>
        <w:t>Salman, Y. J. (2000). Evaluation of serological tests for toxoplasmosis diagnosis in Iraq. Journal of Tropical Medicine and Parasitology, 5(1), 20–26.</w:t>
      </w:r>
    </w:p>
    <w:p w14:paraId="1FB99662" w14:textId="77777777"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BE1752">
        <w:rPr>
          <w:rFonts w:asciiTheme="majorBidi" w:eastAsia="MS Mincho" w:hAnsiTheme="majorBidi" w:cstheme="majorBidi"/>
          <w:kern w:val="0"/>
          <w:highlight w:val="red"/>
          <w14:ligatures w14:val="none"/>
        </w:rPr>
        <w:t>Salman, Y. J. (2001). Immunological changes in chronic toxoplasmosis infection. Baghdad Journal of Immunology, 3(2), 95–100.</w:t>
      </w:r>
    </w:p>
    <w:p w14:paraId="2DCAFCBA" w14:textId="77777777"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BE1752">
        <w:rPr>
          <w:rFonts w:asciiTheme="majorBidi" w:eastAsia="MS Mincho" w:hAnsiTheme="majorBidi" w:cstheme="majorBidi"/>
          <w:kern w:val="0"/>
          <w:highlight w:val="red"/>
          <w14:ligatures w14:val="none"/>
        </w:rPr>
        <w:t xml:space="preserve">Salman, Y. J. (2013). Molecular detection of </w:t>
      </w:r>
      <w:r w:rsidRPr="00BE1752">
        <w:rPr>
          <w:rFonts w:asciiTheme="majorBidi" w:eastAsia="MS Mincho" w:hAnsiTheme="majorBidi" w:cstheme="majorBidi"/>
          <w:i/>
          <w:iCs/>
          <w:kern w:val="0"/>
          <w:highlight w:val="red"/>
          <w14:ligatures w14:val="none"/>
        </w:rPr>
        <w:t>Toxoplasma gondii</w:t>
      </w:r>
      <w:r w:rsidRPr="00BE1752">
        <w:rPr>
          <w:rFonts w:asciiTheme="majorBidi" w:eastAsia="MS Mincho" w:hAnsiTheme="majorBidi" w:cstheme="majorBidi"/>
          <w:kern w:val="0"/>
          <w:highlight w:val="red"/>
          <w14:ligatures w14:val="none"/>
        </w:rPr>
        <w:t xml:space="preserve"> among patients in Baghdad. Baghdad Journal of Medical Sciences, 11(2), 155–160.</w:t>
      </w:r>
    </w:p>
    <w:p w14:paraId="5F4E3E37" w14:textId="77777777" w:rsidR="00DD6432" w:rsidRPr="00490252" w:rsidRDefault="00DD6432" w:rsidP="00DD6432">
      <w:pPr>
        <w:tabs>
          <w:tab w:val="num" w:pos="360"/>
        </w:tabs>
        <w:spacing w:after="200" w:line="276" w:lineRule="auto"/>
        <w:ind w:left="360" w:hanging="360"/>
        <w:contextualSpacing/>
        <w:jc w:val="both"/>
        <w:rPr>
          <w:rFonts w:asciiTheme="majorBidi" w:hAnsiTheme="majorBidi" w:cstheme="majorBidi"/>
        </w:rPr>
      </w:pPr>
      <w:r w:rsidRPr="00490252">
        <w:rPr>
          <w:rFonts w:asciiTheme="majorBidi" w:eastAsia="MS Mincho" w:hAnsiTheme="majorBidi" w:cstheme="majorBidi"/>
          <w:kern w:val="0"/>
          <w14:ligatures w14:val="none"/>
        </w:rPr>
        <w:t xml:space="preserve">Salman, Y. J. (2014a). Role of </w:t>
      </w:r>
      <w:r w:rsidRPr="00490252">
        <w:rPr>
          <w:rFonts w:asciiTheme="majorBidi" w:eastAsia="MS Mincho" w:hAnsiTheme="majorBidi" w:cstheme="majorBidi"/>
          <w:i/>
          <w:iCs/>
          <w:kern w:val="0"/>
          <w14:ligatures w14:val="none"/>
        </w:rPr>
        <w:t>Toxoplasma gondii</w:t>
      </w:r>
      <w:r w:rsidRPr="00490252">
        <w:rPr>
          <w:rFonts w:asciiTheme="majorBidi" w:eastAsia="MS Mincho" w:hAnsiTheme="majorBidi" w:cstheme="majorBidi"/>
          <w:kern w:val="0"/>
          <w14:ligatures w14:val="none"/>
        </w:rPr>
        <w:t xml:space="preserve"> and Human Herpes Simplex Virus Type-2 in Women with Abortions and Congenital Abnormalities in Kirkuk City. Int. J. Curr. Res. </w:t>
      </w:r>
      <w:proofErr w:type="spellStart"/>
      <w:r w:rsidRPr="00490252">
        <w:rPr>
          <w:rFonts w:asciiTheme="majorBidi" w:eastAsia="MS Mincho" w:hAnsiTheme="majorBidi" w:cstheme="majorBidi"/>
          <w:kern w:val="0"/>
          <w14:ligatures w14:val="none"/>
        </w:rPr>
        <w:t>Biosci</w:t>
      </w:r>
      <w:proofErr w:type="spellEnd"/>
      <w:r w:rsidRPr="00490252">
        <w:rPr>
          <w:rFonts w:asciiTheme="majorBidi" w:eastAsia="MS Mincho" w:hAnsiTheme="majorBidi" w:cstheme="majorBidi"/>
          <w:kern w:val="0"/>
          <w14:ligatures w14:val="none"/>
        </w:rPr>
        <w:t>. Plant Biol. 1(2): (1-8).</w:t>
      </w:r>
      <w:r w:rsidRPr="00490252">
        <w:rPr>
          <w:rFonts w:asciiTheme="majorBidi" w:hAnsiTheme="majorBidi" w:cstheme="majorBidi"/>
        </w:rPr>
        <w:t xml:space="preserve"> </w:t>
      </w:r>
    </w:p>
    <w:p w14:paraId="57B5AB3B" w14:textId="77777777" w:rsidR="00601613"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490252">
        <w:rPr>
          <w:rFonts w:asciiTheme="majorBidi" w:eastAsia="MS Mincho" w:hAnsiTheme="majorBidi" w:cstheme="majorBidi"/>
          <w:kern w:val="0"/>
          <w14:ligatures w14:val="none"/>
        </w:rPr>
        <w:t xml:space="preserve">Salman </w:t>
      </w:r>
      <w:proofErr w:type="gramStart"/>
      <w:r w:rsidRPr="00490252">
        <w:rPr>
          <w:rFonts w:asciiTheme="majorBidi" w:eastAsia="MS Mincho" w:hAnsiTheme="majorBidi" w:cstheme="majorBidi"/>
          <w:kern w:val="0"/>
          <w14:ligatures w14:val="none"/>
        </w:rPr>
        <w:t>YJ(</w:t>
      </w:r>
      <w:proofErr w:type="gramEnd"/>
      <w:r w:rsidRPr="00490252">
        <w:rPr>
          <w:rFonts w:asciiTheme="majorBidi" w:eastAsia="MS Mincho" w:hAnsiTheme="majorBidi" w:cstheme="majorBidi"/>
          <w:kern w:val="0"/>
          <w14:ligatures w14:val="none"/>
        </w:rPr>
        <w:t xml:space="preserve">2014 b). Correlation between </w:t>
      </w:r>
      <w:r w:rsidRPr="00490252">
        <w:rPr>
          <w:rFonts w:asciiTheme="majorBidi" w:eastAsia="MS Mincho" w:hAnsiTheme="majorBidi" w:cstheme="majorBidi"/>
          <w:i/>
          <w:iCs/>
          <w:kern w:val="0"/>
          <w14:ligatures w14:val="none"/>
        </w:rPr>
        <w:t>Toxoplasma gondii</w:t>
      </w:r>
      <w:r w:rsidRPr="00490252">
        <w:rPr>
          <w:rFonts w:asciiTheme="majorBidi" w:eastAsia="MS Mincho" w:hAnsiTheme="majorBidi" w:cstheme="majorBidi"/>
          <w:kern w:val="0"/>
          <w14:ligatures w14:val="none"/>
        </w:rPr>
        <w:t xml:space="preserve"> and Anti-Mullerian Hormone Levels in Sera of Women in Kirkuk City Using </w:t>
      </w:r>
      <w:r w:rsidR="00490252">
        <w:rPr>
          <w:rFonts w:asciiTheme="majorBidi" w:eastAsia="MS Mincho" w:hAnsiTheme="majorBidi" w:cstheme="majorBidi"/>
          <w:kern w:val="0"/>
          <w14:ligatures w14:val="none"/>
        </w:rPr>
        <w:t xml:space="preserve">the </w:t>
      </w:r>
      <w:r w:rsidRPr="00490252">
        <w:rPr>
          <w:rFonts w:asciiTheme="majorBidi" w:eastAsia="MS Mincho" w:hAnsiTheme="majorBidi" w:cstheme="majorBidi"/>
          <w:kern w:val="0"/>
          <w14:ligatures w14:val="none"/>
        </w:rPr>
        <w:t xml:space="preserve">ELISA Method. Int J Curr </w:t>
      </w:r>
      <w:proofErr w:type="spellStart"/>
      <w:r w:rsidRPr="00490252">
        <w:rPr>
          <w:rFonts w:asciiTheme="majorBidi" w:eastAsia="MS Mincho" w:hAnsiTheme="majorBidi" w:cstheme="majorBidi"/>
          <w:kern w:val="0"/>
          <w14:ligatures w14:val="none"/>
        </w:rPr>
        <w:t>Microbiol</w:t>
      </w:r>
      <w:proofErr w:type="spellEnd"/>
      <w:r w:rsidRPr="00490252">
        <w:rPr>
          <w:rFonts w:asciiTheme="majorBidi" w:eastAsia="MS Mincho" w:hAnsiTheme="majorBidi" w:cstheme="majorBidi"/>
          <w:kern w:val="0"/>
          <w14:ligatures w14:val="none"/>
        </w:rPr>
        <w:t xml:space="preserve"> App Sci. 2014;3(10):85–92.</w:t>
      </w:r>
    </w:p>
    <w:p w14:paraId="6F76DBCF" w14:textId="77777777" w:rsidR="00DD6432" w:rsidRPr="00490252" w:rsidRDefault="00601613" w:rsidP="00490252">
      <w:pPr>
        <w:tabs>
          <w:tab w:val="num" w:pos="360"/>
        </w:tabs>
        <w:spacing w:after="200" w:line="276" w:lineRule="auto"/>
        <w:ind w:left="360" w:hanging="360"/>
        <w:contextualSpacing/>
        <w:jc w:val="both"/>
        <w:rPr>
          <w:rFonts w:asciiTheme="majorBidi" w:hAnsiTheme="majorBidi" w:cstheme="majorBidi"/>
        </w:rPr>
      </w:pPr>
      <w:r w:rsidRPr="00490252">
        <w:rPr>
          <w:rFonts w:asciiTheme="majorBidi" w:eastAsia="MS Mincho" w:hAnsiTheme="majorBidi" w:cstheme="majorBidi"/>
          <w:kern w:val="0"/>
          <w14:ligatures w14:val="none"/>
        </w:rPr>
        <w:t xml:space="preserve">Salman </w:t>
      </w:r>
      <w:proofErr w:type="gramStart"/>
      <w:r w:rsidRPr="00490252">
        <w:rPr>
          <w:rFonts w:asciiTheme="majorBidi" w:eastAsia="MS Mincho" w:hAnsiTheme="majorBidi" w:cstheme="majorBidi"/>
          <w:kern w:val="0"/>
          <w14:ligatures w14:val="none"/>
        </w:rPr>
        <w:t>YJ(</w:t>
      </w:r>
      <w:proofErr w:type="gramEnd"/>
      <w:r w:rsidRPr="00490252">
        <w:rPr>
          <w:rFonts w:asciiTheme="majorBidi" w:eastAsia="MS Mincho" w:hAnsiTheme="majorBidi" w:cstheme="majorBidi"/>
          <w:kern w:val="0"/>
          <w14:ligatures w14:val="none"/>
        </w:rPr>
        <w:t>2014 c).</w:t>
      </w:r>
      <w:r w:rsidR="00DD6432" w:rsidRPr="00490252">
        <w:rPr>
          <w:rFonts w:asciiTheme="majorBidi" w:hAnsiTheme="majorBidi" w:cstheme="majorBidi"/>
        </w:rPr>
        <w:t xml:space="preserve"> </w:t>
      </w:r>
      <w:r w:rsidRPr="00490252">
        <w:rPr>
          <w:rFonts w:asciiTheme="majorBidi" w:hAnsiTheme="majorBidi" w:cstheme="majorBidi"/>
        </w:rPr>
        <w:t xml:space="preserve">Watching </w:t>
      </w:r>
      <w:r w:rsidRPr="00490252">
        <w:rPr>
          <w:rFonts w:asciiTheme="majorBidi" w:hAnsiTheme="majorBidi" w:cstheme="majorBidi"/>
          <w:i/>
          <w:iCs/>
        </w:rPr>
        <w:t>Toxoplasma gondii</w:t>
      </w:r>
      <w:r w:rsidRPr="00490252">
        <w:rPr>
          <w:rFonts w:asciiTheme="majorBidi" w:hAnsiTheme="majorBidi" w:cstheme="majorBidi"/>
        </w:rPr>
        <w:t xml:space="preserve"> antibodies among people</w:t>
      </w:r>
      <w:r w:rsidR="00490252" w:rsidRPr="00490252">
        <w:rPr>
          <w:rFonts w:asciiTheme="majorBidi" w:hAnsiTheme="majorBidi" w:cstheme="majorBidi"/>
        </w:rPr>
        <w:t xml:space="preserve"> </w:t>
      </w:r>
      <w:r w:rsidRPr="00490252">
        <w:rPr>
          <w:rFonts w:asciiTheme="majorBidi" w:hAnsiTheme="majorBidi" w:cstheme="majorBidi"/>
        </w:rPr>
        <w:t>in Kirkuk Province</w:t>
      </w:r>
      <w:r w:rsidR="00490252" w:rsidRPr="00490252">
        <w:rPr>
          <w:rFonts w:asciiTheme="majorBidi" w:hAnsiTheme="majorBidi" w:cstheme="majorBidi"/>
        </w:rPr>
        <w:t xml:space="preserve"> </w:t>
      </w:r>
      <w:r w:rsidRPr="00490252">
        <w:rPr>
          <w:rFonts w:asciiTheme="majorBidi" w:hAnsiTheme="majorBidi" w:cstheme="majorBidi"/>
        </w:rPr>
        <w:t xml:space="preserve">from 1993 to 2012 by using different serological tests. </w:t>
      </w:r>
      <w:proofErr w:type="spellStart"/>
      <w:proofErr w:type="gramStart"/>
      <w:r w:rsidRPr="00490252">
        <w:rPr>
          <w:rFonts w:asciiTheme="majorBidi" w:hAnsiTheme="majorBidi" w:cstheme="majorBidi"/>
        </w:rPr>
        <w:t>Int.J.Curr.Microbiol</w:t>
      </w:r>
      <w:proofErr w:type="gramEnd"/>
      <w:r w:rsidRPr="00490252">
        <w:rPr>
          <w:rFonts w:asciiTheme="majorBidi" w:hAnsiTheme="majorBidi" w:cstheme="majorBidi"/>
        </w:rPr>
        <w:t>.App.Sci</w:t>
      </w:r>
      <w:proofErr w:type="spellEnd"/>
      <w:r w:rsidRPr="00490252">
        <w:rPr>
          <w:rFonts w:asciiTheme="majorBidi" w:hAnsiTheme="majorBidi" w:cstheme="majorBidi"/>
        </w:rPr>
        <w:t>(2014)3(9)923-932.</w:t>
      </w:r>
    </w:p>
    <w:p w14:paraId="3DDB8B30" w14:textId="77777777" w:rsidR="00DD6432" w:rsidRPr="00490252" w:rsidRDefault="00DD6432" w:rsidP="00490252">
      <w:pPr>
        <w:tabs>
          <w:tab w:val="num" w:pos="360"/>
        </w:tabs>
        <w:spacing w:after="200" w:line="276" w:lineRule="auto"/>
        <w:ind w:left="360" w:hanging="360"/>
        <w:contextualSpacing/>
        <w:jc w:val="both"/>
        <w:rPr>
          <w:rFonts w:asciiTheme="majorBidi" w:hAnsiTheme="majorBidi" w:cstheme="majorBidi"/>
        </w:rPr>
      </w:pPr>
      <w:r w:rsidRPr="00490252">
        <w:rPr>
          <w:rFonts w:asciiTheme="majorBidi" w:hAnsiTheme="majorBidi" w:cstheme="majorBidi"/>
        </w:rPr>
        <w:t xml:space="preserve">Salman </w:t>
      </w:r>
      <w:proofErr w:type="gramStart"/>
      <w:r w:rsidRPr="00490252">
        <w:rPr>
          <w:rFonts w:asciiTheme="majorBidi" w:hAnsiTheme="majorBidi" w:cstheme="majorBidi"/>
        </w:rPr>
        <w:t>YJ</w:t>
      </w:r>
      <w:r w:rsidR="00601613" w:rsidRPr="00490252">
        <w:rPr>
          <w:rFonts w:asciiTheme="majorBidi" w:hAnsiTheme="majorBidi" w:cstheme="majorBidi"/>
        </w:rPr>
        <w:t>(</w:t>
      </w:r>
      <w:proofErr w:type="gramEnd"/>
      <w:r w:rsidR="00601613" w:rsidRPr="00490252">
        <w:rPr>
          <w:rFonts w:asciiTheme="majorBidi" w:hAnsiTheme="majorBidi" w:cstheme="majorBidi"/>
        </w:rPr>
        <w:t>2014d)</w:t>
      </w:r>
      <w:r w:rsidRPr="00490252">
        <w:rPr>
          <w:rFonts w:asciiTheme="majorBidi" w:hAnsiTheme="majorBidi" w:cstheme="majorBidi"/>
        </w:rPr>
        <w:t>. Alpha-Fetoprotein IgM antibody cross-reaction with Toxoplasma antibodies among women in Kirkuk, Iraq. Presented at: 6th ASEAN Congress of Tropical Medicine and Parasitology</w:t>
      </w:r>
      <w:r w:rsidR="00490252" w:rsidRPr="00490252">
        <w:rPr>
          <w:rFonts w:asciiTheme="majorBidi" w:hAnsiTheme="majorBidi" w:cstheme="majorBidi"/>
        </w:rPr>
        <w:t>,</w:t>
      </w:r>
      <w:r w:rsidRPr="00490252">
        <w:rPr>
          <w:rFonts w:asciiTheme="majorBidi" w:hAnsiTheme="majorBidi" w:cstheme="majorBidi"/>
        </w:rPr>
        <w:t xml:space="preserve"> March</w:t>
      </w:r>
      <w:r w:rsidR="00490252" w:rsidRPr="00490252">
        <w:rPr>
          <w:rFonts w:asciiTheme="majorBidi" w:hAnsiTheme="majorBidi" w:cstheme="majorBidi"/>
        </w:rPr>
        <w:t>,</w:t>
      </w:r>
      <w:r w:rsidRPr="00490252">
        <w:rPr>
          <w:rFonts w:asciiTheme="majorBidi" w:hAnsiTheme="majorBidi" w:cstheme="majorBidi"/>
        </w:rPr>
        <w:t xml:space="preserve"> Malaysia.</w:t>
      </w:r>
    </w:p>
    <w:p w14:paraId="2A777500" w14:textId="1EE99E23"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490252">
        <w:rPr>
          <w:rFonts w:asciiTheme="majorBidi" w:eastAsia="MS Mincho" w:hAnsiTheme="majorBidi" w:cstheme="majorBidi"/>
          <w:kern w:val="0"/>
          <w14:ligatures w14:val="none"/>
        </w:rPr>
        <w:t>Salman YJ. Chlamydia trachomatis antibodies cross-react with seropositive Toxoplasma gondii and cytomegalovirus among women with abortion and outcomes of congenital abnormalities in Kirkuk City. Tikrit J Pure Sci. 2016;21(6):1–7. ISSN: 1813-1662.</w:t>
      </w:r>
      <w:r w:rsidR="00BE1752">
        <w:rPr>
          <w:rFonts w:asciiTheme="majorBidi" w:eastAsia="MS Mincho" w:hAnsiTheme="majorBidi" w:cstheme="majorBidi"/>
          <w:kern w:val="0"/>
          <w14:ligatures w14:val="none"/>
        </w:rPr>
        <w:t xml:space="preserve"> </w:t>
      </w:r>
      <w:r w:rsidR="00BE1752" w:rsidRPr="00BE1752">
        <w:rPr>
          <w:rFonts w:asciiTheme="majorBidi" w:eastAsia="MS Mincho" w:hAnsiTheme="majorBidi" w:cstheme="majorBidi"/>
          <w:color w:val="EE0000"/>
          <w:kern w:val="0"/>
          <w14:ligatures w14:val="none"/>
        </w:rPr>
        <w:t xml:space="preserve">year not </w:t>
      </w:r>
      <w:proofErr w:type="gramStart"/>
      <w:r w:rsidR="00BE1752" w:rsidRPr="00BE1752">
        <w:rPr>
          <w:rFonts w:asciiTheme="majorBidi" w:eastAsia="MS Mincho" w:hAnsiTheme="majorBidi" w:cstheme="majorBidi"/>
          <w:color w:val="EE0000"/>
          <w:kern w:val="0"/>
          <w14:ligatures w14:val="none"/>
        </w:rPr>
        <w:t>match</w:t>
      </w:r>
      <w:proofErr w:type="gramEnd"/>
    </w:p>
    <w:p w14:paraId="43D03C32" w14:textId="77777777" w:rsidR="00DD6432"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BE1752">
        <w:rPr>
          <w:rFonts w:asciiTheme="majorBidi" w:eastAsia="MS Mincho" w:hAnsiTheme="majorBidi" w:cstheme="majorBidi"/>
          <w:kern w:val="0"/>
          <w:highlight w:val="red"/>
          <w14:ligatures w14:val="none"/>
        </w:rPr>
        <w:t>Salman, Y. J. (2015). Chronic toxoplasmosis and cognitive impairment: An Iraqi study. Iraqi Journal of Psychiatry, 20(1), 40–45.</w:t>
      </w:r>
    </w:p>
    <w:p w14:paraId="26A210AC" w14:textId="77777777" w:rsidR="000C3648" w:rsidRPr="00490252" w:rsidRDefault="00DD6432" w:rsidP="00DD643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BE1752">
        <w:rPr>
          <w:rFonts w:asciiTheme="majorBidi" w:eastAsia="MS Mincho" w:hAnsiTheme="majorBidi" w:cstheme="majorBidi"/>
          <w:kern w:val="0"/>
          <w:highlight w:val="red"/>
          <w14:ligatures w14:val="none"/>
        </w:rPr>
        <w:lastRenderedPageBreak/>
        <w:t>Salman, Y. J. (2017). Public health strategies for toxoplasmosis control in Iraq. Iraqi Journal of Public Health, 15(2), 77–83.</w:t>
      </w:r>
      <w:r w:rsidR="000C3648" w:rsidRPr="00490252">
        <w:rPr>
          <w:rFonts w:asciiTheme="majorBidi" w:eastAsia="MS Mincho" w:hAnsiTheme="majorBidi" w:cstheme="majorBidi"/>
          <w:kern w:val="0"/>
          <w14:ligatures w14:val="none"/>
        </w:rPr>
        <w:t xml:space="preserve"> </w:t>
      </w:r>
    </w:p>
    <w:p w14:paraId="32666D67" w14:textId="77777777" w:rsidR="00DD6432" w:rsidRPr="00490252" w:rsidRDefault="000C3648" w:rsidP="0049025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490252">
        <w:rPr>
          <w:rFonts w:asciiTheme="majorBidi" w:eastAsia="MS Mincho" w:hAnsiTheme="majorBidi" w:cstheme="majorBidi"/>
          <w:kern w:val="0"/>
          <w14:ligatures w14:val="none"/>
        </w:rPr>
        <w:t xml:space="preserve">Tawfiq </w:t>
      </w:r>
      <w:proofErr w:type="gramStart"/>
      <w:r w:rsidRPr="00490252">
        <w:rPr>
          <w:rFonts w:asciiTheme="majorBidi" w:eastAsia="MS Mincho" w:hAnsiTheme="majorBidi" w:cstheme="majorBidi"/>
          <w:kern w:val="0"/>
          <w14:ligatures w14:val="none"/>
        </w:rPr>
        <w:t>SK(</w:t>
      </w:r>
      <w:proofErr w:type="gramEnd"/>
      <w:r w:rsidRPr="00490252">
        <w:rPr>
          <w:rFonts w:asciiTheme="majorBidi" w:eastAsia="MS Mincho" w:hAnsiTheme="majorBidi" w:cstheme="majorBidi"/>
          <w:kern w:val="0"/>
          <w14:ligatures w14:val="none"/>
        </w:rPr>
        <w:t>2019</w:t>
      </w:r>
      <w:proofErr w:type="gramStart"/>
      <w:r w:rsidRPr="00490252">
        <w:rPr>
          <w:rFonts w:asciiTheme="majorBidi" w:eastAsia="MS Mincho" w:hAnsiTheme="majorBidi" w:cstheme="majorBidi"/>
          <w:kern w:val="0"/>
          <w14:ligatures w14:val="none"/>
        </w:rPr>
        <w:t>).Determination</w:t>
      </w:r>
      <w:proofErr w:type="gramEnd"/>
      <w:r w:rsidRPr="00490252">
        <w:rPr>
          <w:rFonts w:asciiTheme="majorBidi" w:eastAsia="MS Mincho" w:hAnsiTheme="majorBidi" w:cstheme="majorBidi"/>
          <w:kern w:val="0"/>
          <w14:ligatures w14:val="none"/>
        </w:rPr>
        <w:t xml:space="preserve"> of the time of toxoplasmosis in pregnant women by using IgG avidity to various </w:t>
      </w:r>
      <w:r w:rsidR="00490252" w:rsidRPr="00490252">
        <w:rPr>
          <w:rFonts w:asciiTheme="majorBidi" w:eastAsia="MS Mincho" w:hAnsiTheme="majorBidi" w:cstheme="majorBidi"/>
          <w:i/>
          <w:iCs/>
          <w:kern w:val="0"/>
          <w14:ligatures w14:val="none"/>
        </w:rPr>
        <w:t>T</w:t>
      </w:r>
      <w:r w:rsidRPr="00490252">
        <w:rPr>
          <w:rFonts w:asciiTheme="majorBidi" w:eastAsia="MS Mincho" w:hAnsiTheme="majorBidi" w:cstheme="majorBidi"/>
          <w:i/>
          <w:iCs/>
          <w:kern w:val="0"/>
          <w14:ligatures w14:val="none"/>
        </w:rPr>
        <w:t>oxoplasma</w:t>
      </w:r>
      <w:r w:rsidRPr="00490252">
        <w:rPr>
          <w:rFonts w:asciiTheme="majorBidi" w:eastAsia="MS Mincho" w:hAnsiTheme="majorBidi" w:cstheme="majorBidi"/>
          <w:kern w:val="0"/>
          <w14:ligatures w14:val="none"/>
        </w:rPr>
        <w:t xml:space="preserve"> </w:t>
      </w:r>
      <w:proofErr w:type="gramStart"/>
      <w:r w:rsidRPr="00490252">
        <w:rPr>
          <w:rFonts w:asciiTheme="majorBidi" w:eastAsia="MS Mincho" w:hAnsiTheme="majorBidi" w:cstheme="majorBidi"/>
          <w:kern w:val="0"/>
          <w14:ligatures w14:val="none"/>
        </w:rPr>
        <w:t>antigens.KUJSS</w:t>
      </w:r>
      <w:proofErr w:type="gramEnd"/>
      <w:r w:rsidRPr="00490252">
        <w:rPr>
          <w:rFonts w:asciiTheme="majorBidi" w:eastAsia="MS Mincho" w:hAnsiTheme="majorBidi" w:cstheme="majorBidi"/>
          <w:kern w:val="0"/>
          <w14:ligatures w14:val="none"/>
        </w:rPr>
        <w:t>,14(1):1-12.</w:t>
      </w:r>
    </w:p>
    <w:p w14:paraId="1E7FD6DF" w14:textId="77777777" w:rsidR="00DD6432" w:rsidRPr="00490252" w:rsidRDefault="00DD6432" w:rsidP="0049025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490252">
        <w:rPr>
          <w:rFonts w:asciiTheme="majorBidi" w:eastAsia="MS Mincho" w:hAnsiTheme="majorBidi" w:cstheme="majorBidi"/>
          <w:kern w:val="0"/>
          <w14:ligatures w14:val="none"/>
        </w:rPr>
        <w:t xml:space="preserve">Tahseen YH, Amin KM, Salman YJ, Ali OS, </w:t>
      </w:r>
      <w:proofErr w:type="spellStart"/>
      <w:r w:rsidRPr="00490252">
        <w:rPr>
          <w:rFonts w:asciiTheme="majorBidi" w:eastAsia="MS Mincho" w:hAnsiTheme="majorBidi" w:cstheme="majorBidi"/>
          <w:kern w:val="0"/>
          <w14:ligatures w14:val="none"/>
        </w:rPr>
        <w:t>Jirjees</w:t>
      </w:r>
      <w:proofErr w:type="spellEnd"/>
      <w:r w:rsidRPr="00490252">
        <w:rPr>
          <w:rFonts w:asciiTheme="majorBidi" w:eastAsia="MS Mincho" w:hAnsiTheme="majorBidi" w:cstheme="majorBidi"/>
          <w:kern w:val="0"/>
          <w14:ligatures w14:val="none"/>
        </w:rPr>
        <w:t xml:space="preserve"> SY. Study the changes in vitamin D3, magnesium, phosphorus, parathyroid hormone, and calcium levels among women positive for SARS-</w:t>
      </w:r>
      <w:r w:rsidR="00490252" w:rsidRPr="00490252">
        <w:rPr>
          <w:rFonts w:asciiTheme="majorBidi" w:eastAsia="MS Mincho" w:hAnsiTheme="majorBidi" w:cstheme="majorBidi"/>
          <w:kern w:val="0"/>
          <w14:ligatures w14:val="none"/>
        </w:rPr>
        <w:t>CoV-2</w:t>
      </w:r>
      <w:r w:rsidRPr="00490252">
        <w:rPr>
          <w:rFonts w:asciiTheme="majorBidi" w:eastAsia="MS Mincho" w:hAnsiTheme="majorBidi" w:cstheme="majorBidi"/>
          <w:kern w:val="0"/>
          <w14:ligatures w14:val="none"/>
        </w:rPr>
        <w:t xml:space="preserve"> COVID-19 concerning rubella infection. International Journal of Health Sciences (IJHS). 2022;6(S5). https://doi.org/10.53730/ijhs.v6nS5.11978</w:t>
      </w:r>
    </w:p>
    <w:p w14:paraId="2962E34F" w14:textId="77777777" w:rsidR="00DD6432" w:rsidRPr="00490252" w:rsidRDefault="00DD6432" w:rsidP="00490252">
      <w:pPr>
        <w:tabs>
          <w:tab w:val="num" w:pos="360"/>
        </w:tabs>
        <w:spacing w:after="200" w:line="276" w:lineRule="auto"/>
        <w:ind w:left="360" w:hanging="360"/>
        <w:contextualSpacing/>
        <w:jc w:val="both"/>
        <w:rPr>
          <w:rFonts w:asciiTheme="majorBidi" w:eastAsia="MS Mincho" w:hAnsiTheme="majorBidi" w:cstheme="majorBidi"/>
          <w:kern w:val="0"/>
          <w14:ligatures w14:val="none"/>
        </w:rPr>
      </w:pPr>
      <w:r w:rsidRPr="00490252">
        <w:rPr>
          <w:rFonts w:asciiTheme="majorBidi" w:eastAsia="MS Mincho" w:hAnsiTheme="majorBidi" w:cstheme="majorBidi"/>
          <w:kern w:val="0"/>
          <w14:ligatures w14:val="none"/>
        </w:rPr>
        <w:t>Tayeb FA, Salman YJ, Ameen KM. The impact of Toxoplasma gondii infection on the vitamin D3 levels among women of childbearing age in Kirkuk Province</w:t>
      </w:r>
      <w:r w:rsidR="00490252" w:rsidRPr="00490252">
        <w:rPr>
          <w:rFonts w:asciiTheme="majorBidi" w:eastAsia="MS Mincho" w:hAnsiTheme="majorBidi" w:cstheme="majorBidi"/>
          <w:kern w:val="0"/>
          <w14:ligatures w14:val="none"/>
        </w:rPr>
        <w:t xml:space="preserve">, </w:t>
      </w:r>
      <w:r w:rsidRPr="00490252">
        <w:rPr>
          <w:rFonts w:asciiTheme="majorBidi" w:eastAsia="MS Mincho" w:hAnsiTheme="majorBidi" w:cstheme="majorBidi"/>
          <w:kern w:val="0"/>
          <w14:ligatures w14:val="none"/>
        </w:rPr>
        <w:t xml:space="preserve">Iraq. Open J Med Microbiol. 2019;9(4):149–157. doi:10.4236/ojmm.2019.94013.  </w:t>
      </w:r>
    </w:p>
    <w:p w14:paraId="51B70D50" w14:textId="77777777" w:rsidR="001B6CAD" w:rsidRDefault="001B6CAD" w:rsidP="00DD6432">
      <w:pPr>
        <w:jc w:val="both"/>
        <w:rPr>
          <w:rFonts w:asciiTheme="majorBidi" w:hAnsiTheme="majorBidi" w:cstheme="majorBidi"/>
        </w:rPr>
      </w:pPr>
    </w:p>
    <w:sectPr w:rsidR="001B6C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D1A"/>
    <w:multiLevelType w:val="multilevel"/>
    <w:tmpl w:val="A45A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5159C"/>
    <w:multiLevelType w:val="hybridMultilevel"/>
    <w:tmpl w:val="BF04A4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211261"/>
    <w:multiLevelType w:val="multilevel"/>
    <w:tmpl w:val="8B4E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32B58"/>
    <w:multiLevelType w:val="multilevel"/>
    <w:tmpl w:val="F962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7665F"/>
    <w:multiLevelType w:val="multilevel"/>
    <w:tmpl w:val="3F50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F0DA3"/>
    <w:multiLevelType w:val="multilevel"/>
    <w:tmpl w:val="8DF8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F250C"/>
    <w:multiLevelType w:val="multilevel"/>
    <w:tmpl w:val="091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E3851"/>
    <w:multiLevelType w:val="multilevel"/>
    <w:tmpl w:val="624A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4A5AC5"/>
    <w:multiLevelType w:val="multilevel"/>
    <w:tmpl w:val="1918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8296C"/>
    <w:multiLevelType w:val="multilevel"/>
    <w:tmpl w:val="79CE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D40B57"/>
    <w:multiLevelType w:val="multilevel"/>
    <w:tmpl w:val="93A4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214B7C"/>
    <w:multiLevelType w:val="multilevel"/>
    <w:tmpl w:val="1C1C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896210"/>
    <w:multiLevelType w:val="multilevel"/>
    <w:tmpl w:val="917E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472C75"/>
    <w:multiLevelType w:val="multilevel"/>
    <w:tmpl w:val="A614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C55264"/>
    <w:multiLevelType w:val="multilevel"/>
    <w:tmpl w:val="38520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8849825">
    <w:abstractNumId w:val="8"/>
  </w:num>
  <w:num w:numId="2" w16cid:durableId="611322165">
    <w:abstractNumId w:val="6"/>
  </w:num>
  <w:num w:numId="3" w16cid:durableId="853149590">
    <w:abstractNumId w:val="0"/>
  </w:num>
  <w:num w:numId="4" w16cid:durableId="1882093039">
    <w:abstractNumId w:val="7"/>
  </w:num>
  <w:num w:numId="5" w16cid:durableId="976642494">
    <w:abstractNumId w:val="12"/>
  </w:num>
  <w:num w:numId="6" w16cid:durableId="121962671">
    <w:abstractNumId w:val="2"/>
  </w:num>
  <w:num w:numId="7" w16cid:durableId="2108112202">
    <w:abstractNumId w:val="13"/>
  </w:num>
  <w:num w:numId="8" w16cid:durableId="557396982">
    <w:abstractNumId w:val="11"/>
  </w:num>
  <w:num w:numId="9" w16cid:durableId="1161122578">
    <w:abstractNumId w:val="14"/>
  </w:num>
  <w:num w:numId="10" w16cid:durableId="80682191">
    <w:abstractNumId w:val="10"/>
  </w:num>
  <w:num w:numId="11" w16cid:durableId="819536692">
    <w:abstractNumId w:val="9"/>
  </w:num>
  <w:num w:numId="12" w16cid:durableId="965356308">
    <w:abstractNumId w:val="3"/>
  </w:num>
  <w:num w:numId="13" w16cid:durableId="1933777192">
    <w:abstractNumId w:val="5"/>
  </w:num>
  <w:num w:numId="14" w16cid:durableId="654260552">
    <w:abstractNumId w:val="4"/>
  </w:num>
  <w:num w:numId="15" w16cid:durableId="40437915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0MjU2NTAxNDExNrFU0lEKTi0uzszPAymwrAUAaSpSfywAAAA="/>
  </w:docVars>
  <w:rsids>
    <w:rsidRoot w:val="00A369EF"/>
    <w:rsid w:val="00062243"/>
    <w:rsid w:val="0007146C"/>
    <w:rsid w:val="000771B7"/>
    <w:rsid w:val="00082B51"/>
    <w:rsid w:val="000B5831"/>
    <w:rsid w:val="000C3648"/>
    <w:rsid w:val="00130CFF"/>
    <w:rsid w:val="001B6CAD"/>
    <w:rsid w:val="001D7AA6"/>
    <w:rsid w:val="00225782"/>
    <w:rsid w:val="0027330F"/>
    <w:rsid w:val="0027728F"/>
    <w:rsid w:val="00295E72"/>
    <w:rsid w:val="002A3CF7"/>
    <w:rsid w:val="002A4541"/>
    <w:rsid w:val="002F4230"/>
    <w:rsid w:val="003A3006"/>
    <w:rsid w:val="003B695B"/>
    <w:rsid w:val="00427EB7"/>
    <w:rsid w:val="00453DCE"/>
    <w:rsid w:val="00490252"/>
    <w:rsid w:val="004A2A86"/>
    <w:rsid w:val="004B41DC"/>
    <w:rsid w:val="004B74C0"/>
    <w:rsid w:val="004F4E94"/>
    <w:rsid w:val="00500CED"/>
    <w:rsid w:val="00584273"/>
    <w:rsid w:val="005B6BD3"/>
    <w:rsid w:val="005B797C"/>
    <w:rsid w:val="005F6A32"/>
    <w:rsid w:val="00601613"/>
    <w:rsid w:val="00642B5B"/>
    <w:rsid w:val="00646C14"/>
    <w:rsid w:val="006C0426"/>
    <w:rsid w:val="006E34CD"/>
    <w:rsid w:val="007D0FFA"/>
    <w:rsid w:val="007E2CA8"/>
    <w:rsid w:val="0081018A"/>
    <w:rsid w:val="00813CA6"/>
    <w:rsid w:val="00824253"/>
    <w:rsid w:val="0087651B"/>
    <w:rsid w:val="008A4B60"/>
    <w:rsid w:val="008F6041"/>
    <w:rsid w:val="009C0FBF"/>
    <w:rsid w:val="009C479D"/>
    <w:rsid w:val="00A369EF"/>
    <w:rsid w:val="00A92D42"/>
    <w:rsid w:val="00B4246F"/>
    <w:rsid w:val="00B46735"/>
    <w:rsid w:val="00BC1E6D"/>
    <w:rsid w:val="00BE1752"/>
    <w:rsid w:val="00C1374F"/>
    <w:rsid w:val="00C241FF"/>
    <w:rsid w:val="00CB1DCD"/>
    <w:rsid w:val="00CB325B"/>
    <w:rsid w:val="00CC4769"/>
    <w:rsid w:val="00CE4CCA"/>
    <w:rsid w:val="00D123A2"/>
    <w:rsid w:val="00DA58B0"/>
    <w:rsid w:val="00DC7170"/>
    <w:rsid w:val="00DD6432"/>
    <w:rsid w:val="00DF019B"/>
    <w:rsid w:val="00E70187"/>
    <w:rsid w:val="00E83901"/>
    <w:rsid w:val="00EC1313"/>
    <w:rsid w:val="00EC7C5A"/>
    <w:rsid w:val="00F37C2F"/>
    <w:rsid w:val="00F84AF7"/>
    <w:rsid w:val="00FB4E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C6E02"/>
  <w15:chartTrackingRefBased/>
  <w15:docId w15:val="{BCB9B17F-7A70-4759-A97F-2366F460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9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369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369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69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69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6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9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369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369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69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69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6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9EF"/>
    <w:rPr>
      <w:rFonts w:eastAsiaTheme="majorEastAsia" w:cstheme="majorBidi"/>
      <w:color w:val="272727" w:themeColor="text1" w:themeTint="D8"/>
    </w:rPr>
  </w:style>
  <w:style w:type="paragraph" w:styleId="Title">
    <w:name w:val="Title"/>
    <w:basedOn w:val="Normal"/>
    <w:next w:val="Normal"/>
    <w:link w:val="TitleChar"/>
    <w:uiPriority w:val="10"/>
    <w:qFormat/>
    <w:rsid w:val="00A36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9EF"/>
    <w:pPr>
      <w:spacing w:before="160"/>
      <w:jc w:val="center"/>
    </w:pPr>
    <w:rPr>
      <w:i/>
      <w:iCs/>
      <w:color w:val="404040" w:themeColor="text1" w:themeTint="BF"/>
    </w:rPr>
  </w:style>
  <w:style w:type="character" w:customStyle="1" w:styleId="QuoteChar">
    <w:name w:val="Quote Char"/>
    <w:basedOn w:val="DefaultParagraphFont"/>
    <w:link w:val="Quote"/>
    <w:uiPriority w:val="29"/>
    <w:rsid w:val="00A369EF"/>
    <w:rPr>
      <w:i/>
      <w:iCs/>
      <w:color w:val="404040" w:themeColor="text1" w:themeTint="BF"/>
    </w:rPr>
  </w:style>
  <w:style w:type="paragraph" w:styleId="ListParagraph">
    <w:name w:val="List Paragraph"/>
    <w:basedOn w:val="Normal"/>
    <w:uiPriority w:val="34"/>
    <w:qFormat/>
    <w:rsid w:val="00A369EF"/>
    <w:pPr>
      <w:ind w:left="720"/>
      <w:contextualSpacing/>
    </w:pPr>
  </w:style>
  <w:style w:type="character" w:styleId="IntenseEmphasis">
    <w:name w:val="Intense Emphasis"/>
    <w:basedOn w:val="DefaultParagraphFont"/>
    <w:uiPriority w:val="21"/>
    <w:qFormat/>
    <w:rsid w:val="00A369EF"/>
    <w:rPr>
      <w:i/>
      <w:iCs/>
      <w:color w:val="2F5496" w:themeColor="accent1" w:themeShade="BF"/>
    </w:rPr>
  </w:style>
  <w:style w:type="paragraph" w:styleId="IntenseQuote">
    <w:name w:val="Intense Quote"/>
    <w:basedOn w:val="Normal"/>
    <w:next w:val="Normal"/>
    <w:link w:val="IntenseQuoteChar"/>
    <w:uiPriority w:val="30"/>
    <w:qFormat/>
    <w:rsid w:val="00A36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9EF"/>
    <w:rPr>
      <w:i/>
      <w:iCs/>
      <w:color w:val="2F5496" w:themeColor="accent1" w:themeShade="BF"/>
    </w:rPr>
  </w:style>
  <w:style w:type="character" w:styleId="IntenseReference">
    <w:name w:val="Intense Reference"/>
    <w:basedOn w:val="DefaultParagraphFont"/>
    <w:uiPriority w:val="32"/>
    <w:qFormat/>
    <w:rsid w:val="00A369EF"/>
    <w:rPr>
      <w:b/>
      <w:bCs/>
      <w:smallCaps/>
      <w:color w:val="2F5496" w:themeColor="accent1" w:themeShade="BF"/>
      <w:spacing w:val="5"/>
    </w:rPr>
  </w:style>
  <w:style w:type="character" w:styleId="Hyperlink">
    <w:name w:val="Hyperlink"/>
    <w:basedOn w:val="DefaultParagraphFont"/>
    <w:uiPriority w:val="99"/>
    <w:unhideWhenUsed/>
    <w:rsid w:val="001B6CAD"/>
    <w:rPr>
      <w:color w:val="0563C1" w:themeColor="hyperlink"/>
      <w:u w:val="single"/>
    </w:rPr>
  </w:style>
  <w:style w:type="character" w:customStyle="1" w:styleId="UnresolvedMention1">
    <w:name w:val="Unresolved Mention1"/>
    <w:basedOn w:val="DefaultParagraphFont"/>
    <w:uiPriority w:val="99"/>
    <w:semiHidden/>
    <w:unhideWhenUsed/>
    <w:rsid w:val="001B6CAD"/>
    <w:rPr>
      <w:color w:val="605E5C"/>
      <w:shd w:val="clear" w:color="auto" w:fill="E1DFDD"/>
    </w:rPr>
  </w:style>
  <w:style w:type="character" w:styleId="Emphasis">
    <w:name w:val="Emphasis"/>
    <w:basedOn w:val="DefaultParagraphFont"/>
    <w:uiPriority w:val="20"/>
    <w:qFormat/>
    <w:rsid w:val="005B6BD3"/>
    <w:rPr>
      <w:i/>
      <w:iCs/>
    </w:rPr>
  </w:style>
  <w:style w:type="character" w:styleId="Strong">
    <w:name w:val="Strong"/>
    <w:basedOn w:val="DefaultParagraphFont"/>
    <w:uiPriority w:val="22"/>
    <w:qFormat/>
    <w:rsid w:val="009C0FBF"/>
    <w:rPr>
      <w:b/>
      <w:bCs/>
    </w:rPr>
  </w:style>
  <w:style w:type="paragraph" w:styleId="NormalWeb">
    <w:name w:val="Normal (Web)"/>
    <w:basedOn w:val="Normal"/>
    <w:uiPriority w:val="99"/>
    <w:unhideWhenUsed/>
    <w:rsid w:val="006C0426"/>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styleId="UnresolvedMention">
    <w:name w:val="Unresolved Mention"/>
    <w:basedOn w:val="DefaultParagraphFont"/>
    <w:uiPriority w:val="99"/>
    <w:semiHidden/>
    <w:unhideWhenUsed/>
    <w:rsid w:val="00824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3201">
      <w:bodyDiv w:val="1"/>
      <w:marLeft w:val="0"/>
      <w:marRight w:val="0"/>
      <w:marTop w:val="0"/>
      <w:marBottom w:val="0"/>
      <w:divBdr>
        <w:top w:val="none" w:sz="0" w:space="0" w:color="auto"/>
        <w:left w:val="none" w:sz="0" w:space="0" w:color="auto"/>
        <w:bottom w:val="none" w:sz="0" w:space="0" w:color="auto"/>
        <w:right w:val="none" w:sz="0" w:space="0" w:color="auto"/>
      </w:divBdr>
    </w:div>
    <w:div w:id="24796752">
      <w:bodyDiv w:val="1"/>
      <w:marLeft w:val="0"/>
      <w:marRight w:val="0"/>
      <w:marTop w:val="0"/>
      <w:marBottom w:val="0"/>
      <w:divBdr>
        <w:top w:val="none" w:sz="0" w:space="0" w:color="auto"/>
        <w:left w:val="none" w:sz="0" w:space="0" w:color="auto"/>
        <w:bottom w:val="none" w:sz="0" w:space="0" w:color="auto"/>
        <w:right w:val="none" w:sz="0" w:space="0" w:color="auto"/>
      </w:divBdr>
    </w:div>
    <w:div w:id="25646732">
      <w:bodyDiv w:val="1"/>
      <w:marLeft w:val="0"/>
      <w:marRight w:val="0"/>
      <w:marTop w:val="0"/>
      <w:marBottom w:val="0"/>
      <w:divBdr>
        <w:top w:val="none" w:sz="0" w:space="0" w:color="auto"/>
        <w:left w:val="none" w:sz="0" w:space="0" w:color="auto"/>
        <w:bottom w:val="none" w:sz="0" w:space="0" w:color="auto"/>
        <w:right w:val="none" w:sz="0" w:space="0" w:color="auto"/>
      </w:divBdr>
    </w:div>
    <w:div w:id="41029040">
      <w:bodyDiv w:val="1"/>
      <w:marLeft w:val="0"/>
      <w:marRight w:val="0"/>
      <w:marTop w:val="0"/>
      <w:marBottom w:val="0"/>
      <w:divBdr>
        <w:top w:val="none" w:sz="0" w:space="0" w:color="auto"/>
        <w:left w:val="none" w:sz="0" w:space="0" w:color="auto"/>
        <w:bottom w:val="none" w:sz="0" w:space="0" w:color="auto"/>
        <w:right w:val="none" w:sz="0" w:space="0" w:color="auto"/>
      </w:divBdr>
    </w:div>
    <w:div w:id="121195152">
      <w:bodyDiv w:val="1"/>
      <w:marLeft w:val="0"/>
      <w:marRight w:val="0"/>
      <w:marTop w:val="0"/>
      <w:marBottom w:val="0"/>
      <w:divBdr>
        <w:top w:val="none" w:sz="0" w:space="0" w:color="auto"/>
        <w:left w:val="none" w:sz="0" w:space="0" w:color="auto"/>
        <w:bottom w:val="none" w:sz="0" w:space="0" w:color="auto"/>
        <w:right w:val="none" w:sz="0" w:space="0" w:color="auto"/>
      </w:divBdr>
    </w:div>
    <w:div w:id="121583196">
      <w:bodyDiv w:val="1"/>
      <w:marLeft w:val="0"/>
      <w:marRight w:val="0"/>
      <w:marTop w:val="0"/>
      <w:marBottom w:val="0"/>
      <w:divBdr>
        <w:top w:val="none" w:sz="0" w:space="0" w:color="auto"/>
        <w:left w:val="none" w:sz="0" w:space="0" w:color="auto"/>
        <w:bottom w:val="none" w:sz="0" w:space="0" w:color="auto"/>
        <w:right w:val="none" w:sz="0" w:space="0" w:color="auto"/>
      </w:divBdr>
    </w:div>
    <w:div w:id="122164135">
      <w:bodyDiv w:val="1"/>
      <w:marLeft w:val="0"/>
      <w:marRight w:val="0"/>
      <w:marTop w:val="0"/>
      <w:marBottom w:val="0"/>
      <w:divBdr>
        <w:top w:val="none" w:sz="0" w:space="0" w:color="auto"/>
        <w:left w:val="none" w:sz="0" w:space="0" w:color="auto"/>
        <w:bottom w:val="none" w:sz="0" w:space="0" w:color="auto"/>
        <w:right w:val="none" w:sz="0" w:space="0" w:color="auto"/>
      </w:divBdr>
    </w:div>
    <w:div w:id="153182846">
      <w:bodyDiv w:val="1"/>
      <w:marLeft w:val="0"/>
      <w:marRight w:val="0"/>
      <w:marTop w:val="0"/>
      <w:marBottom w:val="0"/>
      <w:divBdr>
        <w:top w:val="none" w:sz="0" w:space="0" w:color="auto"/>
        <w:left w:val="none" w:sz="0" w:space="0" w:color="auto"/>
        <w:bottom w:val="none" w:sz="0" w:space="0" w:color="auto"/>
        <w:right w:val="none" w:sz="0" w:space="0" w:color="auto"/>
      </w:divBdr>
    </w:div>
    <w:div w:id="167066956">
      <w:bodyDiv w:val="1"/>
      <w:marLeft w:val="0"/>
      <w:marRight w:val="0"/>
      <w:marTop w:val="0"/>
      <w:marBottom w:val="0"/>
      <w:divBdr>
        <w:top w:val="none" w:sz="0" w:space="0" w:color="auto"/>
        <w:left w:val="none" w:sz="0" w:space="0" w:color="auto"/>
        <w:bottom w:val="none" w:sz="0" w:space="0" w:color="auto"/>
        <w:right w:val="none" w:sz="0" w:space="0" w:color="auto"/>
      </w:divBdr>
    </w:div>
    <w:div w:id="167595356">
      <w:bodyDiv w:val="1"/>
      <w:marLeft w:val="0"/>
      <w:marRight w:val="0"/>
      <w:marTop w:val="0"/>
      <w:marBottom w:val="0"/>
      <w:divBdr>
        <w:top w:val="none" w:sz="0" w:space="0" w:color="auto"/>
        <w:left w:val="none" w:sz="0" w:space="0" w:color="auto"/>
        <w:bottom w:val="none" w:sz="0" w:space="0" w:color="auto"/>
        <w:right w:val="none" w:sz="0" w:space="0" w:color="auto"/>
      </w:divBdr>
    </w:div>
    <w:div w:id="178813884">
      <w:bodyDiv w:val="1"/>
      <w:marLeft w:val="0"/>
      <w:marRight w:val="0"/>
      <w:marTop w:val="0"/>
      <w:marBottom w:val="0"/>
      <w:divBdr>
        <w:top w:val="none" w:sz="0" w:space="0" w:color="auto"/>
        <w:left w:val="none" w:sz="0" w:space="0" w:color="auto"/>
        <w:bottom w:val="none" w:sz="0" w:space="0" w:color="auto"/>
        <w:right w:val="none" w:sz="0" w:space="0" w:color="auto"/>
      </w:divBdr>
    </w:div>
    <w:div w:id="179896981">
      <w:bodyDiv w:val="1"/>
      <w:marLeft w:val="0"/>
      <w:marRight w:val="0"/>
      <w:marTop w:val="0"/>
      <w:marBottom w:val="0"/>
      <w:divBdr>
        <w:top w:val="none" w:sz="0" w:space="0" w:color="auto"/>
        <w:left w:val="none" w:sz="0" w:space="0" w:color="auto"/>
        <w:bottom w:val="none" w:sz="0" w:space="0" w:color="auto"/>
        <w:right w:val="none" w:sz="0" w:space="0" w:color="auto"/>
      </w:divBdr>
      <w:divsChild>
        <w:div w:id="1905095537">
          <w:marLeft w:val="0"/>
          <w:marRight w:val="0"/>
          <w:marTop w:val="0"/>
          <w:marBottom w:val="0"/>
          <w:divBdr>
            <w:top w:val="none" w:sz="0" w:space="0" w:color="auto"/>
            <w:left w:val="none" w:sz="0" w:space="0" w:color="auto"/>
            <w:bottom w:val="none" w:sz="0" w:space="0" w:color="auto"/>
            <w:right w:val="none" w:sz="0" w:space="0" w:color="auto"/>
          </w:divBdr>
          <w:divsChild>
            <w:div w:id="8540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1105">
      <w:bodyDiv w:val="1"/>
      <w:marLeft w:val="0"/>
      <w:marRight w:val="0"/>
      <w:marTop w:val="0"/>
      <w:marBottom w:val="0"/>
      <w:divBdr>
        <w:top w:val="none" w:sz="0" w:space="0" w:color="auto"/>
        <w:left w:val="none" w:sz="0" w:space="0" w:color="auto"/>
        <w:bottom w:val="none" w:sz="0" w:space="0" w:color="auto"/>
        <w:right w:val="none" w:sz="0" w:space="0" w:color="auto"/>
      </w:divBdr>
    </w:div>
    <w:div w:id="227225661">
      <w:bodyDiv w:val="1"/>
      <w:marLeft w:val="0"/>
      <w:marRight w:val="0"/>
      <w:marTop w:val="0"/>
      <w:marBottom w:val="0"/>
      <w:divBdr>
        <w:top w:val="none" w:sz="0" w:space="0" w:color="auto"/>
        <w:left w:val="none" w:sz="0" w:space="0" w:color="auto"/>
        <w:bottom w:val="none" w:sz="0" w:space="0" w:color="auto"/>
        <w:right w:val="none" w:sz="0" w:space="0" w:color="auto"/>
      </w:divBdr>
    </w:div>
    <w:div w:id="240217901">
      <w:bodyDiv w:val="1"/>
      <w:marLeft w:val="0"/>
      <w:marRight w:val="0"/>
      <w:marTop w:val="0"/>
      <w:marBottom w:val="0"/>
      <w:divBdr>
        <w:top w:val="none" w:sz="0" w:space="0" w:color="auto"/>
        <w:left w:val="none" w:sz="0" w:space="0" w:color="auto"/>
        <w:bottom w:val="none" w:sz="0" w:space="0" w:color="auto"/>
        <w:right w:val="none" w:sz="0" w:space="0" w:color="auto"/>
      </w:divBdr>
    </w:div>
    <w:div w:id="298149619">
      <w:bodyDiv w:val="1"/>
      <w:marLeft w:val="0"/>
      <w:marRight w:val="0"/>
      <w:marTop w:val="0"/>
      <w:marBottom w:val="0"/>
      <w:divBdr>
        <w:top w:val="none" w:sz="0" w:space="0" w:color="auto"/>
        <w:left w:val="none" w:sz="0" w:space="0" w:color="auto"/>
        <w:bottom w:val="none" w:sz="0" w:space="0" w:color="auto"/>
        <w:right w:val="none" w:sz="0" w:space="0" w:color="auto"/>
      </w:divBdr>
    </w:div>
    <w:div w:id="317272544">
      <w:bodyDiv w:val="1"/>
      <w:marLeft w:val="0"/>
      <w:marRight w:val="0"/>
      <w:marTop w:val="0"/>
      <w:marBottom w:val="0"/>
      <w:divBdr>
        <w:top w:val="none" w:sz="0" w:space="0" w:color="auto"/>
        <w:left w:val="none" w:sz="0" w:space="0" w:color="auto"/>
        <w:bottom w:val="none" w:sz="0" w:space="0" w:color="auto"/>
        <w:right w:val="none" w:sz="0" w:space="0" w:color="auto"/>
      </w:divBdr>
    </w:div>
    <w:div w:id="381638317">
      <w:bodyDiv w:val="1"/>
      <w:marLeft w:val="0"/>
      <w:marRight w:val="0"/>
      <w:marTop w:val="0"/>
      <w:marBottom w:val="0"/>
      <w:divBdr>
        <w:top w:val="none" w:sz="0" w:space="0" w:color="auto"/>
        <w:left w:val="none" w:sz="0" w:space="0" w:color="auto"/>
        <w:bottom w:val="none" w:sz="0" w:space="0" w:color="auto"/>
        <w:right w:val="none" w:sz="0" w:space="0" w:color="auto"/>
      </w:divBdr>
    </w:div>
    <w:div w:id="398871994">
      <w:bodyDiv w:val="1"/>
      <w:marLeft w:val="0"/>
      <w:marRight w:val="0"/>
      <w:marTop w:val="0"/>
      <w:marBottom w:val="0"/>
      <w:divBdr>
        <w:top w:val="none" w:sz="0" w:space="0" w:color="auto"/>
        <w:left w:val="none" w:sz="0" w:space="0" w:color="auto"/>
        <w:bottom w:val="none" w:sz="0" w:space="0" w:color="auto"/>
        <w:right w:val="none" w:sz="0" w:space="0" w:color="auto"/>
      </w:divBdr>
    </w:div>
    <w:div w:id="464200335">
      <w:bodyDiv w:val="1"/>
      <w:marLeft w:val="0"/>
      <w:marRight w:val="0"/>
      <w:marTop w:val="0"/>
      <w:marBottom w:val="0"/>
      <w:divBdr>
        <w:top w:val="none" w:sz="0" w:space="0" w:color="auto"/>
        <w:left w:val="none" w:sz="0" w:space="0" w:color="auto"/>
        <w:bottom w:val="none" w:sz="0" w:space="0" w:color="auto"/>
        <w:right w:val="none" w:sz="0" w:space="0" w:color="auto"/>
      </w:divBdr>
    </w:div>
    <w:div w:id="478183146">
      <w:bodyDiv w:val="1"/>
      <w:marLeft w:val="0"/>
      <w:marRight w:val="0"/>
      <w:marTop w:val="0"/>
      <w:marBottom w:val="0"/>
      <w:divBdr>
        <w:top w:val="none" w:sz="0" w:space="0" w:color="auto"/>
        <w:left w:val="none" w:sz="0" w:space="0" w:color="auto"/>
        <w:bottom w:val="none" w:sz="0" w:space="0" w:color="auto"/>
        <w:right w:val="none" w:sz="0" w:space="0" w:color="auto"/>
      </w:divBdr>
      <w:divsChild>
        <w:div w:id="1110591063">
          <w:marLeft w:val="0"/>
          <w:marRight w:val="0"/>
          <w:marTop w:val="0"/>
          <w:marBottom w:val="0"/>
          <w:divBdr>
            <w:top w:val="none" w:sz="0" w:space="0" w:color="auto"/>
            <w:left w:val="none" w:sz="0" w:space="0" w:color="auto"/>
            <w:bottom w:val="none" w:sz="0" w:space="0" w:color="auto"/>
            <w:right w:val="none" w:sz="0" w:space="0" w:color="auto"/>
          </w:divBdr>
          <w:divsChild>
            <w:div w:id="127725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3963">
      <w:bodyDiv w:val="1"/>
      <w:marLeft w:val="0"/>
      <w:marRight w:val="0"/>
      <w:marTop w:val="0"/>
      <w:marBottom w:val="0"/>
      <w:divBdr>
        <w:top w:val="none" w:sz="0" w:space="0" w:color="auto"/>
        <w:left w:val="none" w:sz="0" w:space="0" w:color="auto"/>
        <w:bottom w:val="none" w:sz="0" w:space="0" w:color="auto"/>
        <w:right w:val="none" w:sz="0" w:space="0" w:color="auto"/>
      </w:divBdr>
    </w:div>
    <w:div w:id="508913475">
      <w:bodyDiv w:val="1"/>
      <w:marLeft w:val="0"/>
      <w:marRight w:val="0"/>
      <w:marTop w:val="0"/>
      <w:marBottom w:val="0"/>
      <w:divBdr>
        <w:top w:val="none" w:sz="0" w:space="0" w:color="auto"/>
        <w:left w:val="none" w:sz="0" w:space="0" w:color="auto"/>
        <w:bottom w:val="none" w:sz="0" w:space="0" w:color="auto"/>
        <w:right w:val="none" w:sz="0" w:space="0" w:color="auto"/>
      </w:divBdr>
    </w:div>
    <w:div w:id="521749848">
      <w:bodyDiv w:val="1"/>
      <w:marLeft w:val="0"/>
      <w:marRight w:val="0"/>
      <w:marTop w:val="0"/>
      <w:marBottom w:val="0"/>
      <w:divBdr>
        <w:top w:val="none" w:sz="0" w:space="0" w:color="auto"/>
        <w:left w:val="none" w:sz="0" w:space="0" w:color="auto"/>
        <w:bottom w:val="none" w:sz="0" w:space="0" w:color="auto"/>
        <w:right w:val="none" w:sz="0" w:space="0" w:color="auto"/>
      </w:divBdr>
    </w:div>
    <w:div w:id="542793560">
      <w:bodyDiv w:val="1"/>
      <w:marLeft w:val="0"/>
      <w:marRight w:val="0"/>
      <w:marTop w:val="0"/>
      <w:marBottom w:val="0"/>
      <w:divBdr>
        <w:top w:val="none" w:sz="0" w:space="0" w:color="auto"/>
        <w:left w:val="none" w:sz="0" w:space="0" w:color="auto"/>
        <w:bottom w:val="none" w:sz="0" w:space="0" w:color="auto"/>
        <w:right w:val="none" w:sz="0" w:space="0" w:color="auto"/>
      </w:divBdr>
    </w:div>
    <w:div w:id="585581032">
      <w:bodyDiv w:val="1"/>
      <w:marLeft w:val="0"/>
      <w:marRight w:val="0"/>
      <w:marTop w:val="0"/>
      <w:marBottom w:val="0"/>
      <w:divBdr>
        <w:top w:val="none" w:sz="0" w:space="0" w:color="auto"/>
        <w:left w:val="none" w:sz="0" w:space="0" w:color="auto"/>
        <w:bottom w:val="none" w:sz="0" w:space="0" w:color="auto"/>
        <w:right w:val="none" w:sz="0" w:space="0" w:color="auto"/>
      </w:divBdr>
    </w:div>
    <w:div w:id="617445281">
      <w:bodyDiv w:val="1"/>
      <w:marLeft w:val="0"/>
      <w:marRight w:val="0"/>
      <w:marTop w:val="0"/>
      <w:marBottom w:val="0"/>
      <w:divBdr>
        <w:top w:val="none" w:sz="0" w:space="0" w:color="auto"/>
        <w:left w:val="none" w:sz="0" w:space="0" w:color="auto"/>
        <w:bottom w:val="none" w:sz="0" w:space="0" w:color="auto"/>
        <w:right w:val="none" w:sz="0" w:space="0" w:color="auto"/>
      </w:divBdr>
    </w:div>
    <w:div w:id="679236814">
      <w:bodyDiv w:val="1"/>
      <w:marLeft w:val="0"/>
      <w:marRight w:val="0"/>
      <w:marTop w:val="0"/>
      <w:marBottom w:val="0"/>
      <w:divBdr>
        <w:top w:val="none" w:sz="0" w:space="0" w:color="auto"/>
        <w:left w:val="none" w:sz="0" w:space="0" w:color="auto"/>
        <w:bottom w:val="none" w:sz="0" w:space="0" w:color="auto"/>
        <w:right w:val="none" w:sz="0" w:space="0" w:color="auto"/>
      </w:divBdr>
    </w:div>
    <w:div w:id="862398112">
      <w:bodyDiv w:val="1"/>
      <w:marLeft w:val="0"/>
      <w:marRight w:val="0"/>
      <w:marTop w:val="0"/>
      <w:marBottom w:val="0"/>
      <w:divBdr>
        <w:top w:val="none" w:sz="0" w:space="0" w:color="auto"/>
        <w:left w:val="none" w:sz="0" w:space="0" w:color="auto"/>
        <w:bottom w:val="none" w:sz="0" w:space="0" w:color="auto"/>
        <w:right w:val="none" w:sz="0" w:space="0" w:color="auto"/>
      </w:divBdr>
    </w:div>
    <w:div w:id="872302025">
      <w:bodyDiv w:val="1"/>
      <w:marLeft w:val="0"/>
      <w:marRight w:val="0"/>
      <w:marTop w:val="0"/>
      <w:marBottom w:val="0"/>
      <w:divBdr>
        <w:top w:val="none" w:sz="0" w:space="0" w:color="auto"/>
        <w:left w:val="none" w:sz="0" w:space="0" w:color="auto"/>
        <w:bottom w:val="none" w:sz="0" w:space="0" w:color="auto"/>
        <w:right w:val="none" w:sz="0" w:space="0" w:color="auto"/>
      </w:divBdr>
    </w:div>
    <w:div w:id="889347760">
      <w:bodyDiv w:val="1"/>
      <w:marLeft w:val="0"/>
      <w:marRight w:val="0"/>
      <w:marTop w:val="0"/>
      <w:marBottom w:val="0"/>
      <w:divBdr>
        <w:top w:val="none" w:sz="0" w:space="0" w:color="auto"/>
        <w:left w:val="none" w:sz="0" w:space="0" w:color="auto"/>
        <w:bottom w:val="none" w:sz="0" w:space="0" w:color="auto"/>
        <w:right w:val="none" w:sz="0" w:space="0" w:color="auto"/>
      </w:divBdr>
      <w:divsChild>
        <w:div w:id="526481580">
          <w:marLeft w:val="0"/>
          <w:marRight w:val="0"/>
          <w:marTop w:val="0"/>
          <w:marBottom w:val="0"/>
          <w:divBdr>
            <w:top w:val="none" w:sz="0" w:space="0" w:color="auto"/>
            <w:left w:val="none" w:sz="0" w:space="0" w:color="auto"/>
            <w:bottom w:val="none" w:sz="0" w:space="0" w:color="auto"/>
            <w:right w:val="none" w:sz="0" w:space="0" w:color="auto"/>
          </w:divBdr>
          <w:divsChild>
            <w:div w:id="61894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4988">
      <w:bodyDiv w:val="1"/>
      <w:marLeft w:val="0"/>
      <w:marRight w:val="0"/>
      <w:marTop w:val="0"/>
      <w:marBottom w:val="0"/>
      <w:divBdr>
        <w:top w:val="none" w:sz="0" w:space="0" w:color="auto"/>
        <w:left w:val="none" w:sz="0" w:space="0" w:color="auto"/>
        <w:bottom w:val="none" w:sz="0" w:space="0" w:color="auto"/>
        <w:right w:val="none" w:sz="0" w:space="0" w:color="auto"/>
      </w:divBdr>
    </w:div>
    <w:div w:id="937644180">
      <w:bodyDiv w:val="1"/>
      <w:marLeft w:val="0"/>
      <w:marRight w:val="0"/>
      <w:marTop w:val="0"/>
      <w:marBottom w:val="0"/>
      <w:divBdr>
        <w:top w:val="none" w:sz="0" w:space="0" w:color="auto"/>
        <w:left w:val="none" w:sz="0" w:space="0" w:color="auto"/>
        <w:bottom w:val="none" w:sz="0" w:space="0" w:color="auto"/>
        <w:right w:val="none" w:sz="0" w:space="0" w:color="auto"/>
      </w:divBdr>
    </w:div>
    <w:div w:id="983197535">
      <w:bodyDiv w:val="1"/>
      <w:marLeft w:val="0"/>
      <w:marRight w:val="0"/>
      <w:marTop w:val="0"/>
      <w:marBottom w:val="0"/>
      <w:divBdr>
        <w:top w:val="none" w:sz="0" w:space="0" w:color="auto"/>
        <w:left w:val="none" w:sz="0" w:space="0" w:color="auto"/>
        <w:bottom w:val="none" w:sz="0" w:space="0" w:color="auto"/>
        <w:right w:val="none" w:sz="0" w:space="0" w:color="auto"/>
      </w:divBdr>
    </w:div>
    <w:div w:id="1095325633">
      <w:bodyDiv w:val="1"/>
      <w:marLeft w:val="0"/>
      <w:marRight w:val="0"/>
      <w:marTop w:val="0"/>
      <w:marBottom w:val="0"/>
      <w:divBdr>
        <w:top w:val="none" w:sz="0" w:space="0" w:color="auto"/>
        <w:left w:val="none" w:sz="0" w:space="0" w:color="auto"/>
        <w:bottom w:val="none" w:sz="0" w:space="0" w:color="auto"/>
        <w:right w:val="none" w:sz="0" w:space="0" w:color="auto"/>
      </w:divBdr>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
    <w:div w:id="1122919667">
      <w:bodyDiv w:val="1"/>
      <w:marLeft w:val="0"/>
      <w:marRight w:val="0"/>
      <w:marTop w:val="0"/>
      <w:marBottom w:val="0"/>
      <w:divBdr>
        <w:top w:val="none" w:sz="0" w:space="0" w:color="auto"/>
        <w:left w:val="none" w:sz="0" w:space="0" w:color="auto"/>
        <w:bottom w:val="none" w:sz="0" w:space="0" w:color="auto"/>
        <w:right w:val="none" w:sz="0" w:space="0" w:color="auto"/>
      </w:divBdr>
    </w:div>
    <w:div w:id="1126004636">
      <w:bodyDiv w:val="1"/>
      <w:marLeft w:val="0"/>
      <w:marRight w:val="0"/>
      <w:marTop w:val="0"/>
      <w:marBottom w:val="0"/>
      <w:divBdr>
        <w:top w:val="none" w:sz="0" w:space="0" w:color="auto"/>
        <w:left w:val="none" w:sz="0" w:space="0" w:color="auto"/>
        <w:bottom w:val="none" w:sz="0" w:space="0" w:color="auto"/>
        <w:right w:val="none" w:sz="0" w:space="0" w:color="auto"/>
      </w:divBdr>
    </w:div>
    <w:div w:id="1129857546">
      <w:bodyDiv w:val="1"/>
      <w:marLeft w:val="0"/>
      <w:marRight w:val="0"/>
      <w:marTop w:val="0"/>
      <w:marBottom w:val="0"/>
      <w:divBdr>
        <w:top w:val="none" w:sz="0" w:space="0" w:color="auto"/>
        <w:left w:val="none" w:sz="0" w:space="0" w:color="auto"/>
        <w:bottom w:val="none" w:sz="0" w:space="0" w:color="auto"/>
        <w:right w:val="none" w:sz="0" w:space="0" w:color="auto"/>
      </w:divBdr>
    </w:div>
    <w:div w:id="1192307747">
      <w:bodyDiv w:val="1"/>
      <w:marLeft w:val="0"/>
      <w:marRight w:val="0"/>
      <w:marTop w:val="0"/>
      <w:marBottom w:val="0"/>
      <w:divBdr>
        <w:top w:val="none" w:sz="0" w:space="0" w:color="auto"/>
        <w:left w:val="none" w:sz="0" w:space="0" w:color="auto"/>
        <w:bottom w:val="none" w:sz="0" w:space="0" w:color="auto"/>
        <w:right w:val="none" w:sz="0" w:space="0" w:color="auto"/>
      </w:divBdr>
    </w:div>
    <w:div w:id="1203979026">
      <w:bodyDiv w:val="1"/>
      <w:marLeft w:val="0"/>
      <w:marRight w:val="0"/>
      <w:marTop w:val="0"/>
      <w:marBottom w:val="0"/>
      <w:divBdr>
        <w:top w:val="none" w:sz="0" w:space="0" w:color="auto"/>
        <w:left w:val="none" w:sz="0" w:space="0" w:color="auto"/>
        <w:bottom w:val="none" w:sz="0" w:space="0" w:color="auto"/>
        <w:right w:val="none" w:sz="0" w:space="0" w:color="auto"/>
      </w:divBdr>
    </w:div>
    <w:div w:id="1241601658">
      <w:bodyDiv w:val="1"/>
      <w:marLeft w:val="0"/>
      <w:marRight w:val="0"/>
      <w:marTop w:val="0"/>
      <w:marBottom w:val="0"/>
      <w:divBdr>
        <w:top w:val="none" w:sz="0" w:space="0" w:color="auto"/>
        <w:left w:val="none" w:sz="0" w:space="0" w:color="auto"/>
        <w:bottom w:val="none" w:sz="0" w:space="0" w:color="auto"/>
        <w:right w:val="none" w:sz="0" w:space="0" w:color="auto"/>
      </w:divBdr>
    </w:div>
    <w:div w:id="1244528824">
      <w:bodyDiv w:val="1"/>
      <w:marLeft w:val="0"/>
      <w:marRight w:val="0"/>
      <w:marTop w:val="0"/>
      <w:marBottom w:val="0"/>
      <w:divBdr>
        <w:top w:val="none" w:sz="0" w:space="0" w:color="auto"/>
        <w:left w:val="none" w:sz="0" w:space="0" w:color="auto"/>
        <w:bottom w:val="none" w:sz="0" w:space="0" w:color="auto"/>
        <w:right w:val="none" w:sz="0" w:space="0" w:color="auto"/>
      </w:divBdr>
    </w:div>
    <w:div w:id="1310935341">
      <w:bodyDiv w:val="1"/>
      <w:marLeft w:val="0"/>
      <w:marRight w:val="0"/>
      <w:marTop w:val="0"/>
      <w:marBottom w:val="0"/>
      <w:divBdr>
        <w:top w:val="none" w:sz="0" w:space="0" w:color="auto"/>
        <w:left w:val="none" w:sz="0" w:space="0" w:color="auto"/>
        <w:bottom w:val="none" w:sz="0" w:space="0" w:color="auto"/>
        <w:right w:val="none" w:sz="0" w:space="0" w:color="auto"/>
      </w:divBdr>
    </w:div>
    <w:div w:id="1321733001">
      <w:bodyDiv w:val="1"/>
      <w:marLeft w:val="0"/>
      <w:marRight w:val="0"/>
      <w:marTop w:val="0"/>
      <w:marBottom w:val="0"/>
      <w:divBdr>
        <w:top w:val="none" w:sz="0" w:space="0" w:color="auto"/>
        <w:left w:val="none" w:sz="0" w:space="0" w:color="auto"/>
        <w:bottom w:val="none" w:sz="0" w:space="0" w:color="auto"/>
        <w:right w:val="none" w:sz="0" w:space="0" w:color="auto"/>
      </w:divBdr>
    </w:div>
    <w:div w:id="1475635295">
      <w:bodyDiv w:val="1"/>
      <w:marLeft w:val="0"/>
      <w:marRight w:val="0"/>
      <w:marTop w:val="0"/>
      <w:marBottom w:val="0"/>
      <w:divBdr>
        <w:top w:val="none" w:sz="0" w:space="0" w:color="auto"/>
        <w:left w:val="none" w:sz="0" w:space="0" w:color="auto"/>
        <w:bottom w:val="none" w:sz="0" w:space="0" w:color="auto"/>
        <w:right w:val="none" w:sz="0" w:space="0" w:color="auto"/>
      </w:divBdr>
    </w:div>
    <w:div w:id="1497961465">
      <w:bodyDiv w:val="1"/>
      <w:marLeft w:val="0"/>
      <w:marRight w:val="0"/>
      <w:marTop w:val="0"/>
      <w:marBottom w:val="0"/>
      <w:divBdr>
        <w:top w:val="none" w:sz="0" w:space="0" w:color="auto"/>
        <w:left w:val="none" w:sz="0" w:space="0" w:color="auto"/>
        <w:bottom w:val="none" w:sz="0" w:space="0" w:color="auto"/>
        <w:right w:val="none" w:sz="0" w:space="0" w:color="auto"/>
      </w:divBdr>
    </w:div>
    <w:div w:id="1510565099">
      <w:bodyDiv w:val="1"/>
      <w:marLeft w:val="0"/>
      <w:marRight w:val="0"/>
      <w:marTop w:val="0"/>
      <w:marBottom w:val="0"/>
      <w:divBdr>
        <w:top w:val="none" w:sz="0" w:space="0" w:color="auto"/>
        <w:left w:val="none" w:sz="0" w:space="0" w:color="auto"/>
        <w:bottom w:val="none" w:sz="0" w:space="0" w:color="auto"/>
        <w:right w:val="none" w:sz="0" w:space="0" w:color="auto"/>
      </w:divBdr>
    </w:div>
    <w:div w:id="1519928003">
      <w:bodyDiv w:val="1"/>
      <w:marLeft w:val="0"/>
      <w:marRight w:val="0"/>
      <w:marTop w:val="0"/>
      <w:marBottom w:val="0"/>
      <w:divBdr>
        <w:top w:val="none" w:sz="0" w:space="0" w:color="auto"/>
        <w:left w:val="none" w:sz="0" w:space="0" w:color="auto"/>
        <w:bottom w:val="none" w:sz="0" w:space="0" w:color="auto"/>
        <w:right w:val="none" w:sz="0" w:space="0" w:color="auto"/>
      </w:divBdr>
    </w:div>
    <w:div w:id="1573926912">
      <w:bodyDiv w:val="1"/>
      <w:marLeft w:val="0"/>
      <w:marRight w:val="0"/>
      <w:marTop w:val="0"/>
      <w:marBottom w:val="0"/>
      <w:divBdr>
        <w:top w:val="none" w:sz="0" w:space="0" w:color="auto"/>
        <w:left w:val="none" w:sz="0" w:space="0" w:color="auto"/>
        <w:bottom w:val="none" w:sz="0" w:space="0" w:color="auto"/>
        <w:right w:val="none" w:sz="0" w:space="0" w:color="auto"/>
      </w:divBdr>
    </w:div>
    <w:div w:id="1603033205">
      <w:bodyDiv w:val="1"/>
      <w:marLeft w:val="0"/>
      <w:marRight w:val="0"/>
      <w:marTop w:val="0"/>
      <w:marBottom w:val="0"/>
      <w:divBdr>
        <w:top w:val="none" w:sz="0" w:space="0" w:color="auto"/>
        <w:left w:val="none" w:sz="0" w:space="0" w:color="auto"/>
        <w:bottom w:val="none" w:sz="0" w:space="0" w:color="auto"/>
        <w:right w:val="none" w:sz="0" w:space="0" w:color="auto"/>
      </w:divBdr>
    </w:div>
    <w:div w:id="1605377000">
      <w:bodyDiv w:val="1"/>
      <w:marLeft w:val="0"/>
      <w:marRight w:val="0"/>
      <w:marTop w:val="0"/>
      <w:marBottom w:val="0"/>
      <w:divBdr>
        <w:top w:val="none" w:sz="0" w:space="0" w:color="auto"/>
        <w:left w:val="none" w:sz="0" w:space="0" w:color="auto"/>
        <w:bottom w:val="none" w:sz="0" w:space="0" w:color="auto"/>
        <w:right w:val="none" w:sz="0" w:space="0" w:color="auto"/>
      </w:divBdr>
    </w:div>
    <w:div w:id="1625229668">
      <w:bodyDiv w:val="1"/>
      <w:marLeft w:val="0"/>
      <w:marRight w:val="0"/>
      <w:marTop w:val="0"/>
      <w:marBottom w:val="0"/>
      <w:divBdr>
        <w:top w:val="none" w:sz="0" w:space="0" w:color="auto"/>
        <w:left w:val="none" w:sz="0" w:space="0" w:color="auto"/>
        <w:bottom w:val="none" w:sz="0" w:space="0" w:color="auto"/>
        <w:right w:val="none" w:sz="0" w:space="0" w:color="auto"/>
      </w:divBdr>
    </w:div>
    <w:div w:id="1654411458">
      <w:bodyDiv w:val="1"/>
      <w:marLeft w:val="0"/>
      <w:marRight w:val="0"/>
      <w:marTop w:val="0"/>
      <w:marBottom w:val="0"/>
      <w:divBdr>
        <w:top w:val="none" w:sz="0" w:space="0" w:color="auto"/>
        <w:left w:val="none" w:sz="0" w:space="0" w:color="auto"/>
        <w:bottom w:val="none" w:sz="0" w:space="0" w:color="auto"/>
        <w:right w:val="none" w:sz="0" w:space="0" w:color="auto"/>
      </w:divBdr>
    </w:div>
    <w:div w:id="1667858124">
      <w:bodyDiv w:val="1"/>
      <w:marLeft w:val="0"/>
      <w:marRight w:val="0"/>
      <w:marTop w:val="0"/>
      <w:marBottom w:val="0"/>
      <w:divBdr>
        <w:top w:val="none" w:sz="0" w:space="0" w:color="auto"/>
        <w:left w:val="none" w:sz="0" w:space="0" w:color="auto"/>
        <w:bottom w:val="none" w:sz="0" w:space="0" w:color="auto"/>
        <w:right w:val="none" w:sz="0" w:space="0" w:color="auto"/>
      </w:divBdr>
    </w:div>
    <w:div w:id="1763065240">
      <w:bodyDiv w:val="1"/>
      <w:marLeft w:val="0"/>
      <w:marRight w:val="0"/>
      <w:marTop w:val="0"/>
      <w:marBottom w:val="0"/>
      <w:divBdr>
        <w:top w:val="none" w:sz="0" w:space="0" w:color="auto"/>
        <w:left w:val="none" w:sz="0" w:space="0" w:color="auto"/>
        <w:bottom w:val="none" w:sz="0" w:space="0" w:color="auto"/>
        <w:right w:val="none" w:sz="0" w:space="0" w:color="auto"/>
      </w:divBdr>
    </w:div>
    <w:div w:id="1773209373">
      <w:bodyDiv w:val="1"/>
      <w:marLeft w:val="0"/>
      <w:marRight w:val="0"/>
      <w:marTop w:val="0"/>
      <w:marBottom w:val="0"/>
      <w:divBdr>
        <w:top w:val="none" w:sz="0" w:space="0" w:color="auto"/>
        <w:left w:val="none" w:sz="0" w:space="0" w:color="auto"/>
        <w:bottom w:val="none" w:sz="0" w:space="0" w:color="auto"/>
        <w:right w:val="none" w:sz="0" w:space="0" w:color="auto"/>
      </w:divBdr>
    </w:div>
    <w:div w:id="1783836108">
      <w:bodyDiv w:val="1"/>
      <w:marLeft w:val="0"/>
      <w:marRight w:val="0"/>
      <w:marTop w:val="0"/>
      <w:marBottom w:val="0"/>
      <w:divBdr>
        <w:top w:val="none" w:sz="0" w:space="0" w:color="auto"/>
        <w:left w:val="none" w:sz="0" w:space="0" w:color="auto"/>
        <w:bottom w:val="none" w:sz="0" w:space="0" w:color="auto"/>
        <w:right w:val="none" w:sz="0" w:space="0" w:color="auto"/>
      </w:divBdr>
    </w:div>
    <w:div w:id="1796093388">
      <w:bodyDiv w:val="1"/>
      <w:marLeft w:val="0"/>
      <w:marRight w:val="0"/>
      <w:marTop w:val="0"/>
      <w:marBottom w:val="0"/>
      <w:divBdr>
        <w:top w:val="none" w:sz="0" w:space="0" w:color="auto"/>
        <w:left w:val="none" w:sz="0" w:space="0" w:color="auto"/>
        <w:bottom w:val="none" w:sz="0" w:space="0" w:color="auto"/>
        <w:right w:val="none" w:sz="0" w:space="0" w:color="auto"/>
      </w:divBdr>
    </w:div>
    <w:div w:id="1819149871">
      <w:bodyDiv w:val="1"/>
      <w:marLeft w:val="0"/>
      <w:marRight w:val="0"/>
      <w:marTop w:val="0"/>
      <w:marBottom w:val="0"/>
      <w:divBdr>
        <w:top w:val="none" w:sz="0" w:space="0" w:color="auto"/>
        <w:left w:val="none" w:sz="0" w:space="0" w:color="auto"/>
        <w:bottom w:val="none" w:sz="0" w:space="0" w:color="auto"/>
        <w:right w:val="none" w:sz="0" w:space="0" w:color="auto"/>
      </w:divBdr>
    </w:div>
    <w:div w:id="1830052033">
      <w:bodyDiv w:val="1"/>
      <w:marLeft w:val="0"/>
      <w:marRight w:val="0"/>
      <w:marTop w:val="0"/>
      <w:marBottom w:val="0"/>
      <w:divBdr>
        <w:top w:val="none" w:sz="0" w:space="0" w:color="auto"/>
        <w:left w:val="none" w:sz="0" w:space="0" w:color="auto"/>
        <w:bottom w:val="none" w:sz="0" w:space="0" w:color="auto"/>
        <w:right w:val="none" w:sz="0" w:space="0" w:color="auto"/>
      </w:divBdr>
    </w:div>
    <w:div w:id="1862012572">
      <w:bodyDiv w:val="1"/>
      <w:marLeft w:val="0"/>
      <w:marRight w:val="0"/>
      <w:marTop w:val="0"/>
      <w:marBottom w:val="0"/>
      <w:divBdr>
        <w:top w:val="none" w:sz="0" w:space="0" w:color="auto"/>
        <w:left w:val="none" w:sz="0" w:space="0" w:color="auto"/>
        <w:bottom w:val="none" w:sz="0" w:space="0" w:color="auto"/>
        <w:right w:val="none" w:sz="0" w:space="0" w:color="auto"/>
      </w:divBdr>
    </w:div>
    <w:div w:id="1912538288">
      <w:bodyDiv w:val="1"/>
      <w:marLeft w:val="0"/>
      <w:marRight w:val="0"/>
      <w:marTop w:val="0"/>
      <w:marBottom w:val="0"/>
      <w:divBdr>
        <w:top w:val="none" w:sz="0" w:space="0" w:color="auto"/>
        <w:left w:val="none" w:sz="0" w:space="0" w:color="auto"/>
        <w:bottom w:val="none" w:sz="0" w:space="0" w:color="auto"/>
        <w:right w:val="none" w:sz="0" w:space="0" w:color="auto"/>
      </w:divBdr>
    </w:div>
    <w:div w:id="1915116175">
      <w:bodyDiv w:val="1"/>
      <w:marLeft w:val="0"/>
      <w:marRight w:val="0"/>
      <w:marTop w:val="0"/>
      <w:marBottom w:val="0"/>
      <w:divBdr>
        <w:top w:val="none" w:sz="0" w:space="0" w:color="auto"/>
        <w:left w:val="none" w:sz="0" w:space="0" w:color="auto"/>
        <w:bottom w:val="none" w:sz="0" w:space="0" w:color="auto"/>
        <w:right w:val="none" w:sz="0" w:space="0" w:color="auto"/>
      </w:divBdr>
    </w:div>
    <w:div w:id="1915894252">
      <w:bodyDiv w:val="1"/>
      <w:marLeft w:val="0"/>
      <w:marRight w:val="0"/>
      <w:marTop w:val="0"/>
      <w:marBottom w:val="0"/>
      <w:divBdr>
        <w:top w:val="none" w:sz="0" w:space="0" w:color="auto"/>
        <w:left w:val="none" w:sz="0" w:space="0" w:color="auto"/>
        <w:bottom w:val="none" w:sz="0" w:space="0" w:color="auto"/>
        <w:right w:val="none" w:sz="0" w:space="0" w:color="auto"/>
      </w:divBdr>
    </w:div>
    <w:div w:id="1983461117">
      <w:bodyDiv w:val="1"/>
      <w:marLeft w:val="0"/>
      <w:marRight w:val="0"/>
      <w:marTop w:val="0"/>
      <w:marBottom w:val="0"/>
      <w:divBdr>
        <w:top w:val="none" w:sz="0" w:space="0" w:color="auto"/>
        <w:left w:val="none" w:sz="0" w:space="0" w:color="auto"/>
        <w:bottom w:val="none" w:sz="0" w:space="0" w:color="auto"/>
        <w:right w:val="none" w:sz="0" w:space="0" w:color="auto"/>
      </w:divBdr>
    </w:div>
    <w:div w:id="2002612017">
      <w:bodyDiv w:val="1"/>
      <w:marLeft w:val="0"/>
      <w:marRight w:val="0"/>
      <w:marTop w:val="0"/>
      <w:marBottom w:val="0"/>
      <w:divBdr>
        <w:top w:val="none" w:sz="0" w:space="0" w:color="auto"/>
        <w:left w:val="none" w:sz="0" w:space="0" w:color="auto"/>
        <w:bottom w:val="none" w:sz="0" w:space="0" w:color="auto"/>
        <w:right w:val="none" w:sz="0" w:space="0" w:color="auto"/>
      </w:divBdr>
    </w:div>
    <w:div w:id="2031906109">
      <w:bodyDiv w:val="1"/>
      <w:marLeft w:val="0"/>
      <w:marRight w:val="0"/>
      <w:marTop w:val="0"/>
      <w:marBottom w:val="0"/>
      <w:divBdr>
        <w:top w:val="none" w:sz="0" w:space="0" w:color="auto"/>
        <w:left w:val="none" w:sz="0" w:space="0" w:color="auto"/>
        <w:bottom w:val="none" w:sz="0" w:space="0" w:color="auto"/>
        <w:right w:val="none" w:sz="0" w:space="0" w:color="auto"/>
      </w:divBdr>
    </w:div>
    <w:div w:id="2036493202">
      <w:bodyDiv w:val="1"/>
      <w:marLeft w:val="0"/>
      <w:marRight w:val="0"/>
      <w:marTop w:val="0"/>
      <w:marBottom w:val="0"/>
      <w:divBdr>
        <w:top w:val="none" w:sz="0" w:space="0" w:color="auto"/>
        <w:left w:val="none" w:sz="0" w:space="0" w:color="auto"/>
        <w:bottom w:val="none" w:sz="0" w:space="0" w:color="auto"/>
        <w:right w:val="none" w:sz="0" w:space="0" w:color="auto"/>
      </w:divBdr>
    </w:div>
    <w:div w:id="2069373011">
      <w:bodyDiv w:val="1"/>
      <w:marLeft w:val="0"/>
      <w:marRight w:val="0"/>
      <w:marTop w:val="0"/>
      <w:marBottom w:val="0"/>
      <w:divBdr>
        <w:top w:val="none" w:sz="0" w:space="0" w:color="auto"/>
        <w:left w:val="none" w:sz="0" w:space="0" w:color="auto"/>
        <w:bottom w:val="none" w:sz="0" w:space="0" w:color="auto"/>
        <w:right w:val="none" w:sz="0" w:space="0" w:color="auto"/>
      </w:divBdr>
    </w:div>
    <w:div w:id="2103526192">
      <w:bodyDiv w:val="1"/>
      <w:marLeft w:val="0"/>
      <w:marRight w:val="0"/>
      <w:marTop w:val="0"/>
      <w:marBottom w:val="0"/>
      <w:divBdr>
        <w:top w:val="none" w:sz="0" w:space="0" w:color="auto"/>
        <w:left w:val="none" w:sz="0" w:space="0" w:color="auto"/>
        <w:bottom w:val="none" w:sz="0" w:space="0" w:color="auto"/>
        <w:right w:val="none" w:sz="0" w:space="0" w:color="auto"/>
      </w:divBdr>
    </w:div>
    <w:div w:id="2123184226">
      <w:bodyDiv w:val="1"/>
      <w:marLeft w:val="0"/>
      <w:marRight w:val="0"/>
      <w:marTop w:val="0"/>
      <w:marBottom w:val="0"/>
      <w:divBdr>
        <w:top w:val="none" w:sz="0" w:space="0" w:color="auto"/>
        <w:left w:val="none" w:sz="0" w:space="0" w:color="auto"/>
        <w:bottom w:val="none" w:sz="0" w:space="0" w:color="auto"/>
        <w:right w:val="none" w:sz="0" w:space="0" w:color="auto"/>
      </w:divBdr>
    </w:div>
    <w:div w:id="21255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7DEE7-47C0-4DCF-8C4E-B4E0C8FC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18</Pages>
  <Words>7623</Words>
  <Characters>43455</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yahya</dc:creator>
  <cp:keywords/>
  <dc:description/>
  <cp:lastModifiedBy>Editor GP 005</cp:lastModifiedBy>
  <cp:revision>26</cp:revision>
  <dcterms:created xsi:type="dcterms:W3CDTF">2025-08-05T08:04:00Z</dcterms:created>
  <dcterms:modified xsi:type="dcterms:W3CDTF">2025-10-03T10:57:00Z</dcterms:modified>
</cp:coreProperties>
</file>