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323" w:rsidRDefault="002E0BB0">
      <w:pPr>
        <w:widowControl w:val="0"/>
        <w:pBdr>
          <w:top w:val="nil"/>
          <w:left w:val="nil"/>
          <w:bottom w:val="nil"/>
          <w:right w:val="nil"/>
          <w:between w:val="nil"/>
        </w:pBdr>
        <w:spacing w:after="0" w:line="276" w:lineRule="auto"/>
      </w:pPr>
      <w:r>
        <w:pict w14:anchorId="3F1A1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7B30AD8">
          <v:shape id="_x0000_s1027" type="#_x0000_t136" style="position:absolute;margin-left:0;margin-top:0;width:50pt;height:50pt;z-index:251657728;visibility:hidden">
            <o:lock v:ext="edit" selection="t"/>
          </v:shape>
        </w:pict>
      </w:r>
      <w:r>
        <w:pict w14:anchorId="4168F342">
          <v:shape id="_x0000_s1026" type="#_x0000_t136" style="position:absolute;margin-left:0;margin-top:0;width:50pt;height:50pt;z-index:251658752;visibility:hidden">
            <o:lock v:ext="edit" selection="t"/>
          </v:shape>
        </w:pict>
      </w:r>
    </w:p>
    <w:p w:rsidR="00982323" w:rsidRPr="000B35B7" w:rsidRDefault="002E0BB0">
      <w:pPr>
        <w:spacing w:before="240" w:after="240" w:line="480" w:lineRule="auto"/>
        <w:jc w:val="both"/>
        <w:rPr>
          <w:rFonts w:ascii="Times New Roman" w:eastAsia="Times New Roman" w:hAnsi="Times New Roman" w:cs="Times New Roman"/>
          <w:b/>
          <w:color w:val="000000"/>
          <w:sz w:val="24"/>
          <w:szCs w:val="24"/>
        </w:rPr>
      </w:pPr>
      <w:r w:rsidRPr="000B35B7">
        <w:rPr>
          <w:rFonts w:ascii="Times New Roman" w:eastAsia="Times New Roman" w:hAnsi="Times New Roman" w:cs="Times New Roman"/>
          <w:b/>
          <w:color w:val="000000"/>
          <w:sz w:val="24"/>
          <w:szCs w:val="24"/>
        </w:rPr>
        <w:t>Role of Gut Microbiota-Derived Metabolites in Modulating Immune Responses in Colorectal Cancer</w:t>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w:t>
      </w:r>
      <w:bookmarkStart w:id="0" w:name="_GoBack"/>
      <w:bookmarkEnd w:id="0"/>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Colorectal cancer (CRC) is a leading cause of global cancer mortality, with its incidence rising due to environmental and lifestyle factors. The gut microbiota </w:t>
      </w:r>
      <w:r>
        <w:rPr>
          <w:rFonts w:ascii="Times New Roman" w:eastAsia="Times New Roman" w:hAnsi="Times New Roman" w:cs="Times New Roman"/>
          <w:sz w:val="24"/>
          <w:szCs w:val="24"/>
          <w:highlight w:val="yellow"/>
        </w:rPr>
        <w:t xml:space="preserve">influence </w:t>
      </w:r>
      <w:r>
        <w:rPr>
          <w:rFonts w:ascii="Times New Roman" w:eastAsia="Times New Roman" w:hAnsi="Times New Roman" w:cs="Times New Roman"/>
          <w:sz w:val="24"/>
          <w:szCs w:val="24"/>
        </w:rPr>
        <w:t>CRC pathogenesis through the production of bioactive metabolites that modulate the hos</w:t>
      </w:r>
      <w:r>
        <w:rPr>
          <w:rFonts w:ascii="Times New Roman" w:eastAsia="Times New Roman" w:hAnsi="Times New Roman" w:cs="Times New Roman"/>
          <w:sz w:val="24"/>
          <w:szCs w:val="24"/>
        </w:rPr>
        <w:t>t immune response. This case-control study integrated metabolomic and immunohistochemical analyses to investigate this relationship. We found that CRC patients (n=30) exhibited a significant dysregulation of key metabolites compared to healthy controls (n=</w:t>
      </w:r>
      <w:r>
        <w:rPr>
          <w:rFonts w:ascii="Times New Roman" w:eastAsia="Times New Roman" w:hAnsi="Times New Roman" w:cs="Times New Roman"/>
          <w:sz w:val="24"/>
          <w:szCs w:val="24"/>
        </w:rPr>
        <w:t>30), with fecal butyrate depleted from 52.4 ± 14.2 µg/g to 31.5 ± 11.8 µg/g (p&lt;0.0001) and serum deoxycholic acid (DCA) elevated from 1.2 ± 0.5 µM to 3.1 ± 1.2 µM (p&lt;0.0001). These systemic metabolite levels were strongly correlated with the tumor immune a</w:t>
      </w:r>
      <w:r>
        <w:rPr>
          <w:rFonts w:ascii="Times New Roman" w:eastAsia="Times New Roman" w:hAnsi="Times New Roman" w:cs="Times New Roman"/>
          <w:sz w:val="24"/>
          <w:szCs w:val="24"/>
        </w:rPr>
        <w:t xml:space="preserve">rchitecture: serum butyrate showed a strong positive correlation with cytotoxic CD8⁺ T-cell density (r = +0.712, p&lt;0.0001) and a negative correlation with immunosuppressive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-0.501, p=0.002), while DCA correlated negatively with CD8⁺ T-cells (r =</w:t>
      </w:r>
      <w:r>
        <w:rPr>
          <w:rFonts w:ascii="Times New Roman" w:eastAsia="Times New Roman" w:hAnsi="Times New Roman" w:cs="Times New Roman"/>
          <w:sz w:val="24"/>
          <w:szCs w:val="24"/>
        </w:rPr>
        <w:t xml:space="preserve"> -0.654, p&lt;0.0001) and positively with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+0.598, p&lt;0.0001). Critically, this metabolomic profile directly impacted patient survival; those with high serum butyrate had a 72% 5-year overall survival rate compared to 48% for those with low levels (H</w:t>
      </w:r>
      <w:r>
        <w:rPr>
          <w:rFonts w:ascii="Times New Roman" w:eastAsia="Times New Roman" w:hAnsi="Times New Roman" w:cs="Times New Roman"/>
          <w:sz w:val="24"/>
          <w:szCs w:val="24"/>
        </w:rPr>
        <w:t>R 0.41, p=0.006). Our findings directly link a dysregulated gut metabolome, characterized by low butyrate/high DCA, to an immunosuppressive tumor microenvironment and poorer clinical outcomes, highlighting these metabolites as promising non-invasive progno</w:t>
      </w:r>
      <w:r>
        <w:rPr>
          <w:rFonts w:ascii="Times New Roman" w:eastAsia="Times New Roman" w:hAnsi="Times New Roman" w:cs="Times New Roman"/>
          <w:sz w:val="24"/>
          <w:szCs w:val="24"/>
        </w:rPr>
        <w:t>stic biomarkers and potential therapeutic targets.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Keywords: Colorectal Cancer, Gut Microbiota, Metabolites, Tumor Microenvironment, Short-Chain Fatty Acids, Butyrate, Deoxycholic Acid, Tumor-Infiltrating Lymphocytes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2020, colorectal cancer</w:t>
      </w:r>
      <w:r>
        <w:rPr>
          <w:rFonts w:ascii="Times New Roman" w:eastAsia="Times New Roman" w:hAnsi="Times New Roman" w:cs="Times New Roman"/>
          <w:color w:val="000000"/>
          <w:sz w:val="24"/>
          <w:szCs w:val="24"/>
        </w:rPr>
        <w:t xml:space="preserve"> (CRC), the second deadliest cancer and the third most common malignancy, is projected to result in 0.9 million fatalities and 1.9 million new cases worldwide. Because of westernization, the occurrence of colorectal cancer (CRC) is increasing in middle- an</w:t>
      </w:r>
      <w:r>
        <w:rPr>
          <w:rFonts w:ascii="Times New Roman" w:eastAsia="Times New Roman" w:hAnsi="Times New Roman" w:cs="Times New Roman"/>
          <w:color w:val="000000"/>
          <w:sz w:val="24"/>
          <w:szCs w:val="24"/>
        </w:rPr>
        <w:t xml:space="preserve">d low-income nations and is more prevalent in highly developed countries. Moreover, there is an increasing incidence of colorectal cancer at a young age. (Xi and Xu, 2021). CRC accounts for 9.4% of cancer fatalities and 10% of cancer cases globally, which </w:t>
      </w:r>
      <w:r>
        <w:rPr>
          <w:rFonts w:ascii="Times New Roman" w:eastAsia="Times New Roman" w:hAnsi="Times New Roman" w:cs="Times New Roman"/>
          <w:color w:val="000000"/>
          <w:sz w:val="24"/>
          <w:szCs w:val="24"/>
        </w:rPr>
        <w:t>is slightly lower than lung cancer, responsible for 18% of deaths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 According to forecasts of population growth, aging, and human progression, it is anticipated that there will be 3.2 million fresh instances of colorectal cancer glo</w:t>
      </w:r>
      <w:r>
        <w:rPr>
          <w:rFonts w:ascii="Times New Roman" w:eastAsia="Times New Roman" w:hAnsi="Times New Roman" w:cs="Times New Roman"/>
          <w:color w:val="000000"/>
          <w:sz w:val="24"/>
          <w:szCs w:val="24"/>
        </w:rPr>
        <w:t>bally by 2040 (Morgan et al., 2023). The main reason for the increase in colorectal cancer cases is the heightened exposure to environmental risk factors resulting from the westernization of lifestyle and diet (Zhang et al., 2025). This increase is expecte</w:t>
      </w:r>
      <w:r>
        <w:rPr>
          <w:rFonts w:ascii="Times New Roman" w:eastAsia="Times New Roman" w:hAnsi="Times New Roman" w:cs="Times New Roman"/>
          <w:color w:val="000000"/>
          <w:sz w:val="24"/>
          <w:szCs w:val="24"/>
        </w:rPr>
        <w:t>d to be particularly evident in countries with high or very high Human Development Indexes (HDIs). Nonetheless, there is significant variability in the occurrence of CRC globally, affected by factors such as age, sex, location, and socioeconomic status. Eu</w:t>
      </w:r>
      <w:r>
        <w:rPr>
          <w:rFonts w:ascii="Times New Roman" w:eastAsia="Times New Roman" w:hAnsi="Times New Roman" w:cs="Times New Roman"/>
          <w:color w:val="000000"/>
          <w:sz w:val="24"/>
          <w:szCs w:val="24"/>
        </w:rPr>
        <w:t>rope, comprising nations such as the Netherlands, Norway, Slovakia, and Hungary, is notable for certain regions with the highest incidence rates (Morgan et al., 2023)</w:t>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Colorectal (Abed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2016)</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94350" cy="30797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94350" cy="3079750"/>
                    </a:xfrm>
                    <a:prstGeom prst="rect">
                      <a:avLst/>
                    </a:prstGeom>
                    <a:ln/>
                  </pic:spPr>
                </pic:pic>
              </a:graphicData>
            </a:graphic>
          </wp:inline>
        </w:drawing>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gram-negative a</w:t>
      </w:r>
      <w:r>
        <w:rPr>
          <w:rFonts w:ascii="Times New Roman" w:eastAsia="Times New Roman" w:hAnsi="Times New Roman" w:cs="Times New Roman"/>
          <w:color w:val="000000"/>
          <w:sz w:val="24"/>
          <w:szCs w:val="24"/>
        </w:rPr>
        <w:t xml:space="preserve">naerobic bacterium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has become a key role in the pathophysiology of colorectal cancer (CRC) (Ye et al., 2024).  By inducing the release of pro-inflammatory cytokines such as IL-1β, IL-6, and TNF-α, the bacterium creates a chronic inf</w:t>
      </w:r>
      <w:r>
        <w:rPr>
          <w:rFonts w:ascii="Times New Roman" w:eastAsia="Times New Roman" w:hAnsi="Times New Roman" w:cs="Times New Roman"/>
          <w:color w:val="000000"/>
          <w:sz w:val="24"/>
          <w:szCs w:val="24"/>
        </w:rPr>
        <w:t>lammatory response in the intestinal mucosa, which promotes the growth of cancer (Alon-</w:t>
      </w:r>
      <w:proofErr w:type="spellStart"/>
      <w:r>
        <w:rPr>
          <w:rFonts w:ascii="Times New Roman" w:eastAsia="Times New Roman" w:hAnsi="Times New Roman" w:cs="Times New Roman"/>
          <w:color w:val="000000"/>
          <w:sz w:val="24"/>
          <w:szCs w:val="24"/>
        </w:rPr>
        <w:t>Maimon</w:t>
      </w:r>
      <w:proofErr w:type="spellEnd"/>
      <w:r>
        <w:rPr>
          <w:rFonts w:ascii="Times New Roman" w:eastAsia="Times New Roman" w:hAnsi="Times New Roman" w:cs="Times New Roman"/>
          <w:color w:val="000000"/>
          <w:sz w:val="24"/>
          <w:szCs w:val="24"/>
        </w:rPr>
        <w:t xml:space="preserve">, et al., 2022).  Through </w:t>
      </w:r>
      <w:r>
        <w:rPr>
          <w:rFonts w:ascii="Times New Roman" w:eastAsia="Times New Roman" w:hAnsi="Times New Roman" w:cs="Times New Roman"/>
          <w:color w:val="000000"/>
          <w:sz w:val="24"/>
          <w:szCs w:val="24"/>
          <w:highlight w:val="yellow"/>
        </w:rPr>
        <w:t>adhesin</w:t>
      </w:r>
      <w:r>
        <w:rPr>
          <w:rFonts w:ascii="Times New Roman" w:eastAsia="Times New Roman" w:hAnsi="Times New Roman" w:cs="Times New Roman"/>
          <w:color w:val="000000"/>
          <w:sz w:val="24"/>
          <w:szCs w:val="24"/>
        </w:rPr>
        <w:t xml:space="preserve"> like </w:t>
      </w:r>
      <w:proofErr w:type="spellStart"/>
      <w:r>
        <w:rPr>
          <w:rFonts w:ascii="Times New Roman" w:eastAsia="Times New Roman" w:hAnsi="Times New Roman" w:cs="Times New Roman"/>
          <w:color w:val="000000"/>
          <w:sz w:val="24"/>
          <w:szCs w:val="24"/>
        </w:rPr>
        <w:t>FadA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attaches itself to and penetrates epithelial cells, disrupting cell junctions and promoting the epithelia</w:t>
      </w:r>
      <w:r>
        <w:rPr>
          <w:rFonts w:ascii="Times New Roman" w:eastAsia="Times New Roman" w:hAnsi="Times New Roman" w:cs="Times New Roman"/>
          <w:color w:val="000000"/>
          <w:sz w:val="24"/>
          <w:szCs w:val="24"/>
        </w:rPr>
        <w:t>l-to-mesenchymal transition (EMT), which is linked to the progression of cancer (Pignatelli et al., 2023).  The bacterium also alters the host immune system, reducing the activity of immune cells and fostering an environment that is conducive to the establ</w:t>
      </w:r>
      <w:r>
        <w:rPr>
          <w:rFonts w:ascii="Times New Roman" w:eastAsia="Times New Roman" w:hAnsi="Times New Roman" w:cs="Times New Roman"/>
          <w:color w:val="000000"/>
          <w:sz w:val="24"/>
          <w:szCs w:val="24"/>
        </w:rPr>
        <w:t>ishment of tumors.  It further influences carcinogenic pathways by causing dysbiosis through its interactions with the gut microbiota (Sung et al., 2021</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There is </w:t>
      </w:r>
      <w:r>
        <w:rPr>
          <w:rFonts w:ascii="Times New Roman" w:eastAsia="Times New Roman" w:hAnsi="Times New Roman" w:cs="Times New Roman"/>
          <w:color w:val="000000"/>
          <w:sz w:val="24"/>
          <w:szCs w:val="24"/>
        </w:rPr>
        <w:lastRenderedPageBreak/>
        <w:t xml:space="preserve">proof that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can damage DNA directly by producing reactive oxygen species or in</w:t>
      </w:r>
      <w:r>
        <w:rPr>
          <w:rFonts w:ascii="Times New Roman" w:eastAsia="Times New Roman" w:hAnsi="Times New Roman" w:cs="Times New Roman"/>
          <w:color w:val="000000"/>
          <w:sz w:val="24"/>
          <w:szCs w:val="24"/>
        </w:rPr>
        <w:t>directly by producing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2: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–Mediated Immune Evasion in Cells (Pignatelli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2023)</w:t>
      </w:r>
    </w:p>
    <w:p w:rsidR="00982323" w:rsidRDefault="002E0BB0">
      <w:pPr>
        <w:tabs>
          <w:tab w:val="left" w:pos="1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w:drawing>
          <wp:inline distT="0" distB="0" distL="0" distR="0">
            <wp:extent cx="5943600" cy="411099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110990"/>
                    </a:xfrm>
                    <a:prstGeom prst="rect">
                      <a:avLst/>
                    </a:prstGeom>
                    <a:ln/>
                  </pic:spPr>
                </pic:pic>
              </a:graphicData>
            </a:graphic>
          </wp:inline>
        </w:drawing>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CRC, certain gut bacteria play an active role rather than merely observing; they influence the progression o</w:t>
      </w:r>
      <w:r>
        <w:rPr>
          <w:rFonts w:ascii="Times New Roman" w:eastAsia="Times New Roman" w:hAnsi="Times New Roman" w:cs="Times New Roman"/>
          <w:color w:val="000000"/>
          <w:sz w:val="24"/>
          <w:szCs w:val="24"/>
        </w:rPr>
        <w:t>f the disease by altering host immunology and epithelial tissue structure to encourage tumor development (</w:t>
      </w: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et al., 2025). This section summarizes the existing data on two interconnected areas: (1) the primary strategies utilized by bacterial pathoge</w:t>
      </w:r>
      <w:r>
        <w:rPr>
          <w:rFonts w:ascii="Times New Roman" w:eastAsia="Times New Roman" w:hAnsi="Times New Roman" w:cs="Times New Roman"/>
          <w:color w:val="000000"/>
          <w:sz w:val="24"/>
          <w:szCs w:val="24"/>
        </w:rPr>
        <w:t xml:space="preserve">ns to affect immune </w:t>
      </w:r>
      <w:r>
        <w:rPr>
          <w:rFonts w:ascii="Times New Roman" w:eastAsia="Times New Roman" w:hAnsi="Times New Roman" w:cs="Times New Roman"/>
          <w:color w:val="000000"/>
          <w:sz w:val="24"/>
          <w:szCs w:val="24"/>
        </w:rPr>
        <w:lastRenderedPageBreak/>
        <w:t>regulation and evasion in colorectal cancer; and (2) the methods by which pathogenic bacteria compromise the intestinal barrier in this condition</w:t>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1: Bacteria associated with colorectal cancer (Zou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2018)</w:t>
      </w:r>
    </w:p>
    <w:tbl>
      <w:tblPr>
        <w:tblStyle w:val="a"/>
        <w:tblW w:w="9350" w:type="dxa"/>
        <w:tblLayout w:type="fixed"/>
        <w:tblLook w:val="0400" w:firstRow="0" w:lastRow="0" w:firstColumn="0" w:lastColumn="0" w:noHBand="0" w:noVBand="1"/>
      </w:tblPr>
      <w:tblGrid>
        <w:gridCol w:w="2443"/>
        <w:gridCol w:w="1648"/>
        <w:gridCol w:w="5259"/>
      </w:tblGrid>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Microorganisms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Role in affecting CRC</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Function</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Enterococcus faecalis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generating extracellular superoxide, which damages DNA</w:t>
            </w:r>
          </w:p>
        </w:tc>
      </w:tr>
      <w:tr w:rsidR="00982323">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Shigella</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Induction of inflammation</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Escherichia </w:t>
            </w:r>
            <w:proofErr w:type="gramStart"/>
            <w:r>
              <w:rPr>
                <w:rFonts w:ascii="Times New Roman" w:eastAsia="Times New Roman" w:hAnsi="Times New Roman" w:cs="Times New Roman"/>
                <w:i/>
                <w:color w:val="000000"/>
                <w:sz w:val="24"/>
                <w:szCs w:val="24"/>
              </w:rPr>
              <w:t xml:space="preserve">coli </w:t>
            </w:r>
            <w:r>
              <w:rPr>
                <w:rFonts w:ascii="Times New Roman" w:eastAsia="Times New Roman" w:hAnsi="Times New Roman" w:cs="Times New Roman"/>
                <w:color w:val="000000"/>
                <w:sz w:val="24"/>
                <w:szCs w:val="24"/>
              </w:rPr>
              <w:t> NC</w:t>
            </w:r>
            <w:proofErr w:type="gramEnd"/>
            <w:r>
              <w:rPr>
                <w:rFonts w:ascii="Times New Roman" w:eastAsia="Times New Roman" w:hAnsi="Times New Roman" w:cs="Times New Roman"/>
                <w:color w:val="000000"/>
                <w:sz w:val="24"/>
                <w:szCs w:val="24"/>
              </w:rPr>
              <w:t>101</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Creation of cytotoxins, </w:t>
            </w:r>
            <w:proofErr w:type="spellStart"/>
            <w:r>
              <w:rPr>
                <w:rFonts w:ascii="Times New Roman" w:eastAsia="Times New Roman" w:hAnsi="Times New Roman" w:cs="Times New Roman"/>
                <w:color w:val="000000"/>
                <w:sz w:val="24"/>
                <w:szCs w:val="24"/>
              </w:rPr>
              <w:t>cyclomodulin</w:t>
            </w:r>
            <w:proofErr w:type="spellEnd"/>
            <w:r>
              <w:rPr>
                <w:rFonts w:ascii="Times New Roman" w:eastAsia="Times New Roman" w:hAnsi="Times New Roman" w:cs="Times New Roman"/>
                <w:color w:val="000000"/>
                <w:sz w:val="24"/>
                <w:szCs w:val="24"/>
              </w:rPr>
              <w:t xml:space="preserve"> synthesis, and genotoxins</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Bacteroides fragilis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Th17/IL-17 inflammatory response induction, E-cadherin cleavage stimulation, and </w:t>
            </w:r>
            <w:r>
              <w:rPr>
                <w:rFonts w:ascii="Times New Roman" w:eastAsia="Times New Roman" w:hAnsi="Times New Roman" w:cs="Times New Roman"/>
                <w:i/>
                <w:color w:val="000000"/>
                <w:sz w:val="24"/>
                <w:szCs w:val="24"/>
              </w:rPr>
              <w:t>B. fragilis</w:t>
            </w:r>
            <w:r>
              <w:rPr>
                <w:rFonts w:ascii="Times New Roman" w:eastAsia="Times New Roman" w:hAnsi="Times New Roman" w:cs="Times New Roman"/>
                <w:color w:val="000000"/>
                <w:sz w:val="24"/>
                <w:szCs w:val="24"/>
              </w:rPr>
              <w:t xml:space="preserve"> toxin generation.</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Streptococcus </w:t>
            </w:r>
            <w:proofErr w:type="spellStart"/>
            <w:r>
              <w:rPr>
                <w:rFonts w:ascii="Times New Roman" w:eastAsia="Times New Roman" w:hAnsi="Times New Roman" w:cs="Times New Roman"/>
                <w:i/>
                <w:color w:val="000000"/>
                <w:sz w:val="24"/>
                <w:szCs w:val="24"/>
              </w:rPr>
              <w:t>bovis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Prolonged inflammator</w:t>
            </w:r>
            <w:r>
              <w:rPr>
                <w:rFonts w:ascii="Times New Roman" w:eastAsia="Times New Roman" w:hAnsi="Times New Roman" w:cs="Times New Roman"/>
                <w:color w:val="000000"/>
                <w:sz w:val="24"/>
                <w:szCs w:val="24"/>
              </w:rPr>
              <w:t>y reaction</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Helicobacter pylori</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Making a multipurpose </w:t>
            </w:r>
            <w:proofErr w:type="gramStart"/>
            <w:r>
              <w:rPr>
                <w:rFonts w:ascii="Times New Roman" w:eastAsia="Times New Roman" w:hAnsi="Times New Roman" w:cs="Times New Roman"/>
                <w:color w:val="000000"/>
                <w:sz w:val="24"/>
                <w:szCs w:val="24"/>
              </w:rPr>
              <w:t xml:space="preserve">toxin  </w:t>
            </w:r>
            <w:proofErr w:type="spellStart"/>
            <w:r>
              <w:rPr>
                <w:rFonts w:ascii="Times New Roman" w:eastAsia="Times New Roman" w:hAnsi="Times New Roman" w:cs="Times New Roman"/>
                <w:color w:val="000000"/>
                <w:sz w:val="24"/>
                <w:szCs w:val="24"/>
              </w:rPr>
              <w:t>VacA</w:t>
            </w:r>
            <w:proofErr w:type="spellEnd"/>
            <w:proofErr w:type="gramEnd"/>
          </w:p>
        </w:tc>
      </w:tr>
      <w:tr w:rsidR="00982323">
        <w:trPr>
          <w:trHeight w:val="21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000000"/>
                <w:sz w:val="24"/>
                <w:szCs w:val="24"/>
              </w:rPr>
              <w:lastRenderedPageBreak/>
              <w:t>Fusoacterium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nucleatum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Promoters</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enhanced in colorectal cancer; initiating the </w:t>
            </w:r>
            <w:proofErr w:type="spellStart"/>
            <w:r>
              <w:rPr>
                <w:rFonts w:ascii="Times New Roman" w:eastAsia="Times New Roman" w:hAnsi="Times New Roman" w:cs="Times New Roman"/>
                <w:color w:val="000000"/>
                <w:sz w:val="24"/>
                <w:szCs w:val="24"/>
              </w:rPr>
              <w:t>Wnt</w:t>
            </w:r>
            <w:proofErr w:type="spellEnd"/>
            <w:r>
              <w:rPr>
                <w:rFonts w:ascii="Times New Roman" w:eastAsia="Times New Roman" w:hAnsi="Times New Roman" w:cs="Times New Roman"/>
                <w:color w:val="000000"/>
                <w:sz w:val="24"/>
                <w:szCs w:val="24"/>
              </w:rPr>
              <w:t xml:space="preserve"> signaling </w:t>
            </w:r>
            <w:proofErr w:type="gramStart"/>
            <w:r>
              <w:rPr>
                <w:rFonts w:ascii="Times New Roman" w:eastAsia="Times New Roman" w:hAnsi="Times New Roman" w:cs="Times New Roman"/>
                <w:color w:val="000000"/>
                <w:sz w:val="24"/>
                <w:szCs w:val="24"/>
              </w:rPr>
              <w:t>pathway(</w:t>
            </w:r>
            <w:proofErr w:type="gramEnd"/>
          </w:p>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and triggering the inflammatory nuclear factor-kappa b (NF-kb) signaling path</w:t>
            </w:r>
            <w:r>
              <w:rPr>
                <w:rFonts w:ascii="Times New Roman" w:eastAsia="Times New Roman" w:hAnsi="Times New Roman" w:cs="Times New Roman"/>
                <w:color w:val="000000"/>
                <w:sz w:val="24"/>
                <w:szCs w:val="24"/>
              </w:rPr>
              <w:t>way (</w:t>
            </w:r>
          </w:p>
        </w:tc>
      </w:tr>
      <w:tr w:rsidR="00982323">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Bifidobacterium</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Decreased the activity of β-glucuronidase</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000000"/>
                <w:sz w:val="24"/>
                <w:szCs w:val="24"/>
              </w:rPr>
              <w:t>Eubacterium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rectale</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Butyrate</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Clostridium </w:t>
            </w:r>
            <w:proofErr w:type="spellStart"/>
            <w:r>
              <w:rPr>
                <w:rFonts w:ascii="Times New Roman" w:eastAsia="Times New Roman" w:hAnsi="Times New Roman" w:cs="Times New Roman"/>
                <w:i/>
                <w:color w:val="000000"/>
                <w:sz w:val="24"/>
                <w:szCs w:val="24"/>
              </w:rPr>
              <w:t>septicum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secondary bile acids</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000000"/>
                <w:sz w:val="24"/>
                <w:szCs w:val="24"/>
              </w:rPr>
              <w:t>Faecalibacxterium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prausnitzii</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Generates Butyrate</w:t>
            </w:r>
          </w:p>
        </w:tc>
      </w:tr>
      <w:tr w:rsidR="00982323">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color w:val="000000"/>
                <w:sz w:val="24"/>
                <w:szCs w:val="24"/>
              </w:rPr>
              <w:t>Lactobacilus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Activating Toll-like receptors and decreasing lactic acid generation</w:t>
            </w:r>
          </w:p>
        </w:tc>
      </w:tr>
    </w:tbl>
    <w:p w:rsidR="00982323" w:rsidRDefault="00982323">
      <w:pPr>
        <w:spacing w:before="240" w:after="240" w:line="480" w:lineRule="auto"/>
        <w:jc w:val="both"/>
        <w:rPr>
          <w:rFonts w:ascii="Times New Roman" w:eastAsia="Times New Roman" w:hAnsi="Times New Roman" w:cs="Times New Roman"/>
          <w:sz w:val="24"/>
          <w:szCs w:val="24"/>
        </w:rPr>
      </w:pP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METHODOLOGY</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study utilized a case-control framework that combined clinical metabolomic and immunohistochemical assessments to investigate the connection b</w:t>
      </w:r>
      <w:r>
        <w:rPr>
          <w:rFonts w:ascii="Times New Roman" w:eastAsia="Times New Roman" w:hAnsi="Times New Roman" w:cs="Times New Roman"/>
          <w:color w:val="000000"/>
          <w:sz w:val="24"/>
          <w:szCs w:val="24"/>
        </w:rPr>
        <w:t>etween microbial metabolites and the immune microenvironment.</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2.1 Study Cohort and Sample Collection</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Stool samples and blood from peripheral veins were gathered before any bowel prep was performed. Surgically removed CRC tumor tissues and corresponding adj</w:t>
      </w:r>
      <w:r>
        <w:rPr>
          <w:rFonts w:ascii="Times New Roman" w:eastAsia="Times New Roman" w:hAnsi="Times New Roman" w:cs="Times New Roman"/>
          <w:color w:val="000000"/>
          <w:sz w:val="24"/>
          <w:szCs w:val="24"/>
        </w:rPr>
        <w:t>acent normal tissues (&gt;5cm from the tumor edge) were collected. The Institutional Review Board approved the ethics, and all participants gave written consent</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2.2 Metabolomic Profiling using LC-MS/MS</w:t>
      </w:r>
    </w:p>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Fecal metabolites were obtained through a methanol-water mixture. Acetonitrile was used to deproteinize the serum. Quantitative analysis focusing on SCFAs (butyrate, propionate, acetate), secondary bile acids (deoxycholic acid -DCA, lithocholic acid-LCA), </w:t>
      </w:r>
      <w:r>
        <w:rPr>
          <w:rFonts w:ascii="Times New Roman" w:eastAsia="Times New Roman" w:hAnsi="Times New Roman" w:cs="Times New Roman"/>
          <w:color w:val="000000"/>
          <w:sz w:val="24"/>
          <w:szCs w:val="24"/>
        </w:rPr>
        <w:t xml:space="preserve">and tryptophan metabolites (indole-3-propionate acid-IPA, kynurenine) was conducted using the Agilent 6495C </w:t>
      </w:r>
      <w:r>
        <w:rPr>
          <w:rFonts w:ascii="Times New Roman" w:eastAsia="Times New Roman" w:hAnsi="Times New Roman" w:cs="Times New Roman"/>
          <w:sz w:val="24"/>
          <w:szCs w:val="24"/>
          <w:highlight w:val="yellow"/>
        </w:rPr>
        <w:t>Triple Quadrupole LC/MS System</w:t>
      </w:r>
      <w:r>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Multiple reaction monitoring (MRM) utilizing stable isotope-labelled internal standard was employed for accurate qua</w:t>
      </w:r>
      <w:r>
        <w:rPr>
          <w:rFonts w:ascii="Times New Roman" w:eastAsia="Times New Roman" w:hAnsi="Times New Roman" w:cs="Times New Roman"/>
          <w:color w:val="000000"/>
          <w:sz w:val="24"/>
          <w:szCs w:val="24"/>
        </w:rPr>
        <w:t>ntification. Metabolite levels were adjusted to fecal weight (µg/g) or serum volume (µM) </w:t>
      </w:r>
    </w:p>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2.3 Immune Profiling via Immunohistochemistry (IHC)</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Formalin-fixed, paraffin-embedded (FFPE) CRC tissue sections (4µm) were analyzed using antibodies targeting CD8 (cytotoxic T-cells, clone C8/144B), CD4 (helper T-cells, clone SP35), and FOXP3 (regulatory T-cells, clone 236A/E7). The staining process was ca</w:t>
      </w:r>
      <w:r>
        <w:rPr>
          <w:rFonts w:ascii="Times New Roman" w:eastAsia="Times New Roman" w:hAnsi="Times New Roman" w:cs="Times New Roman"/>
          <w:color w:val="000000"/>
          <w:sz w:val="24"/>
          <w:szCs w:val="24"/>
        </w:rPr>
        <w:t xml:space="preserve">rried out on the Ventana Benchmark Ultra </w:t>
      </w:r>
      <w:proofErr w:type="spellStart"/>
      <w:r>
        <w:rPr>
          <w:rFonts w:ascii="Times New Roman" w:eastAsia="Times New Roman" w:hAnsi="Times New Roman" w:cs="Times New Roman"/>
          <w:color w:val="000000"/>
          <w:sz w:val="24"/>
          <w:szCs w:val="24"/>
        </w:rPr>
        <w:t>autostainer</w:t>
      </w:r>
      <w:proofErr w:type="spellEnd"/>
      <w:r>
        <w:rPr>
          <w:rFonts w:ascii="Times New Roman" w:eastAsia="Times New Roman" w:hAnsi="Times New Roman" w:cs="Times New Roman"/>
          <w:color w:val="000000"/>
          <w:sz w:val="24"/>
          <w:szCs w:val="24"/>
        </w:rPr>
        <w:t xml:space="preserve">. Whole slide images underwent digital scanning, and immune cell densities were assessed in five random high-power fields (HPF, 400x) inside the tumor core and invasive margin using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digital patholo</w:t>
      </w:r>
      <w:r>
        <w:rPr>
          <w:rFonts w:ascii="Times New Roman" w:eastAsia="Times New Roman" w:hAnsi="Times New Roman" w:cs="Times New Roman"/>
          <w:color w:val="000000"/>
          <w:sz w:val="24"/>
          <w:szCs w:val="24"/>
        </w:rPr>
        <w:t>gy software (</w:t>
      </w:r>
      <w:proofErr w:type="spellStart"/>
      <w:r>
        <w:rPr>
          <w:rFonts w:ascii="Times New Roman" w:eastAsia="Times New Roman" w:hAnsi="Times New Roman" w:cs="Times New Roman"/>
          <w:color w:val="000000"/>
          <w:sz w:val="24"/>
          <w:szCs w:val="24"/>
        </w:rPr>
        <w:t>Yil-Hillial</w:t>
      </w:r>
      <w:proofErr w:type="spellEnd"/>
      <w:r>
        <w:rPr>
          <w:rFonts w:ascii="Times New Roman" w:eastAsia="Times New Roman" w:hAnsi="Times New Roman" w:cs="Times New Roman"/>
          <w:color w:val="000000"/>
          <w:sz w:val="24"/>
          <w:szCs w:val="24"/>
        </w:rPr>
        <w:t xml:space="preserve"> et al., 2025)</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2.4 Statistical Analysis</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Statistical analyses were performed utilizing GraphPad Prism v10.0 and R software. The Mann-Whitney U test was employed for comparisons between two groups. Spearman's rank correlation coeffici</w:t>
      </w:r>
      <w:r>
        <w:rPr>
          <w:rFonts w:ascii="Times New Roman" w:eastAsia="Times New Roman" w:hAnsi="Times New Roman" w:cs="Times New Roman"/>
          <w:color w:val="000000"/>
          <w:sz w:val="24"/>
          <w:szCs w:val="24"/>
        </w:rPr>
        <w:t>ent was utilized to evaluate the associations between metabolite levels and immune cell densities. Survival analysis was conducted via the Kaplan-Meier approach combined with the log-rank test</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Results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3.1 Alteration in Microbial Levels in CRC Patients</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 initially assessed the levels of important microbiota-derived metabolites in stool and blood samples from CRC patients and healthy individuals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Table 2: Concentrations of gut microbiota-derived metabolites in study cohorts</w:t>
      </w:r>
    </w:p>
    <w:tbl>
      <w:tblPr>
        <w:tblStyle w:val="a0"/>
        <w:tblW w:w="8217" w:type="dxa"/>
        <w:tblLayout w:type="fixed"/>
        <w:tblLook w:val="0400" w:firstRow="0" w:lastRow="0" w:firstColumn="0" w:lastColumn="0" w:noHBand="0" w:noVBand="1"/>
      </w:tblPr>
      <w:tblGrid>
        <w:gridCol w:w="2592"/>
        <w:gridCol w:w="2413"/>
        <w:gridCol w:w="2216"/>
        <w:gridCol w:w="996"/>
      </w:tblGrid>
      <w:tr w:rsidR="00982323">
        <w:trPr>
          <w:trHeight w:val="145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Metabolite</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Healthy Control (n-30</w:t>
            </w:r>
            <w:r>
              <w:rPr>
                <w:rFonts w:ascii="Times New Roman" w:eastAsia="Times New Roman" w:hAnsi="Times New Roman" w:cs="Times New Roman"/>
                <w:color w:val="000000"/>
                <w:sz w:val="24"/>
                <w:szCs w:val="24"/>
              </w:rPr>
              <w:t>)</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CRC Patients (n=30)</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P-value</w:t>
            </w:r>
          </w:p>
        </w:tc>
      </w:tr>
      <w:tr w:rsidR="00982323">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Butyrate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52.4 ± 14.2</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31.5 ± 11.8</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982323">
        <w:trPr>
          <w:trHeight w:val="100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Butyrate(µM)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8.9 ± 2.5</w:t>
            </w:r>
          </w:p>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5.3 ± 2.1</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982323">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IPA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15.8 ± 5.1</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 ± 4.2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&lt;0.001</w:t>
            </w:r>
          </w:p>
        </w:tc>
      </w:tr>
      <w:tr w:rsidR="00982323">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DCA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 0.5</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 ± 1.2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982323">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Serum Kynurenine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 ± 0.3</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 ± 0.6</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bl>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 presented as mean ± SD. P-values from Mann-Whitney U test</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showed a marked reduction of helpful metabolites, particularly butyrate and IPA, in CRC patients. In contrast, levels of the pro-tumorigenic metabolite DCA and the immunoregulatory compound kynurenine were notably increased</w:t>
      </w:r>
    </w:p>
    <w:p w:rsidR="00982323" w:rsidRDefault="00982323">
      <w:pPr>
        <w:spacing w:before="240" w:after="240" w:line="480" w:lineRule="auto"/>
        <w:jc w:val="both"/>
        <w:rPr>
          <w:rFonts w:ascii="Times New Roman" w:eastAsia="Times New Roman" w:hAnsi="Times New Roman" w:cs="Times New Roman"/>
          <w:sz w:val="24"/>
          <w:szCs w:val="24"/>
        </w:rPr>
      </w:pP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 Correlation Betwee</w:t>
      </w:r>
      <w:r>
        <w:rPr>
          <w:rFonts w:ascii="Times New Roman" w:eastAsia="Times New Roman" w:hAnsi="Times New Roman" w:cs="Times New Roman"/>
          <w:color w:val="000000"/>
          <w:sz w:val="24"/>
          <w:szCs w:val="24"/>
        </w:rPr>
        <w:t>n Metabolites and Tumor-Infiltrating Lymphocytes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next correlated systemic (serum) metabolite levels with the density of specific immune cell populations within CRC tumors.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Table 3: Correlation (Spearman’s r) of serum metabolite levels with immune cell d</w:t>
      </w:r>
      <w:r>
        <w:rPr>
          <w:rFonts w:ascii="Times New Roman" w:eastAsia="Times New Roman" w:hAnsi="Times New Roman" w:cs="Times New Roman"/>
          <w:b/>
          <w:color w:val="000000"/>
          <w:sz w:val="24"/>
          <w:szCs w:val="24"/>
        </w:rPr>
        <w:t>ensity in CRC tumors</w:t>
      </w:r>
    </w:p>
    <w:tbl>
      <w:tblPr>
        <w:tblStyle w:val="a1"/>
        <w:tblW w:w="7840" w:type="dxa"/>
        <w:tblLayout w:type="fixed"/>
        <w:tblLook w:val="0400" w:firstRow="0" w:lastRow="0" w:firstColumn="0" w:lastColumn="0" w:noHBand="0" w:noVBand="1"/>
      </w:tblPr>
      <w:tblGrid>
        <w:gridCol w:w="1927"/>
        <w:gridCol w:w="2011"/>
        <w:gridCol w:w="1891"/>
        <w:gridCol w:w="2011"/>
      </w:tblGrid>
      <w:tr w:rsidR="00982323">
        <w:trPr>
          <w:trHeight w:val="55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Metabolite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CD8</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CD4</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FOXP3</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Tregs</w:t>
            </w:r>
            <w:proofErr w:type="spellEnd"/>
          </w:p>
        </w:tc>
      </w:tr>
      <w:tr w:rsidR="00982323">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Butyrate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+0.325 (p=0.072)</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-0.501 (p=0.002)</w:t>
            </w:r>
          </w:p>
        </w:tc>
      </w:tr>
      <w:tr w:rsidR="00982323">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IPA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+0.633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+0.288 (p=0.104)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-0.421 (p=0.009)</w:t>
            </w:r>
          </w:p>
        </w:tc>
      </w:tr>
      <w:tr w:rsidR="00982323">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DCA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-0.654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-0,210 (p=0.214)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+0.598 (p&lt;0.0001)</w:t>
            </w:r>
          </w:p>
        </w:tc>
      </w:tr>
      <w:tr w:rsidR="00982323">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Kynurenine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-0.454 (p=0.006)</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-0.105 (p=0.006)</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+0.537 (p&lt;0.001)</w:t>
            </w:r>
          </w:p>
        </w:tc>
      </w:tr>
    </w:tbl>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significant positive correlation was noted between serum butyrate and IPA levels and the quantity of cytotoxic CD8+ T-cells. These metabolites showed an inverse correlation with the density of immunosuppressive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cells. A contrasting pattern was obser</w:t>
      </w:r>
      <w:r>
        <w:rPr>
          <w:rFonts w:ascii="Times New Roman" w:eastAsia="Times New Roman" w:hAnsi="Times New Roman" w:cs="Times New Roman"/>
          <w:color w:val="000000"/>
          <w:sz w:val="24"/>
          <w:szCs w:val="24"/>
        </w:rPr>
        <w:t xml:space="preserve">ved for DCA and kynurenine, which showed a negative correlation with CD8+ T-cells and a positive correlation with </w:t>
      </w:r>
      <w:proofErr w:type="spellStart"/>
      <w:r>
        <w:rPr>
          <w:rFonts w:ascii="Times New Roman" w:eastAsia="Times New Roman" w:hAnsi="Times New Roman" w:cs="Times New Roman"/>
          <w:color w:val="000000"/>
          <w:sz w:val="24"/>
          <w:szCs w:val="24"/>
        </w:rPr>
        <w:t>Tregs</w:t>
      </w:r>
      <w:proofErr w:type="spellEnd"/>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3.3 Association with Clinical Parameters</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Patients were stratified into high and low groups based on median serum butyrate and DCA levels</w:t>
      </w:r>
      <w:r>
        <w:rPr>
          <w:rFonts w:ascii="Times New Roman" w:eastAsia="Times New Roman" w:hAnsi="Times New Roman" w:cs="Times New Roman"/>
          <w:color w:val="000000"/>
          <w:sz w:val="24"/>
          <w:szCs w:val="24"/>
        </w:rPr>
        <w:t>.</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Table 4: Five-year overall survival based on metabolite levels</w:t>
      </w:r>
    </w:p>
    <w:tbl>
      <w:tblPr>
        <w:tblStyle w:val="a2"/>
        <w:tblW w:w="9349" w:type="dxa"/>
        <w:tblLayout w:type="fixed"/>
        <w:tblLook w:val="0400" w:firstRow="0" w:lastRow="0" w:firstColumn="0" w:lastColumn="0" w:noHBand="0" w:noVBand="1"/>
      </w:tblPr>
      <w:tblGrid>
        <w:gridCol w:w="2860"/>
        <w:gridCol w:w="3012"/>
        <w:gridCol w:w="2528"/>
        <w:gridCol w:w="949"/>
      </w:tblGrid>
      <w:tr w:rsidR="00982323">
        <w:trPr>
          <w:trHeight w:val="97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Group</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5-Year Overall Survival (%)</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Hazard Ratio (95% CI)</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p-value</w:t>
            </w:r>
          </w:p>
        </w:tc>
      </w:tr>
      <w:tr w:rsidR="00982323">
        <w:trPr>
          <w:trHeight w:val="100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72%</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0.41 (0.22-0.78)</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982323" w:rsidRDefault="002E0BB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0.006</w:t>
            </w:r>
          </w:p>
        </w:tc>
      </w:tr>
      <w:tr w:rsidR="00982323">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982323">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76%</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0.35 (0.18-0.69)</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0.002</w:t>
            </w:r>
          </w:p>
        </w:tc>
      </w:tr>
      <w:tr w:rsidR="00982323">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82323" w:rsidRDefault="002E0BB0">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Kaplan-Meier analysis indicated that patients with elevated serum butyrate or reduced serum DCA levels exhibited significantly better 5-year overall survival compared to patients with low butyrate or high DCA levels. </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4. Discussion</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research offers an i</w:t>
      </w:r>
      <w:r>
        <w:rPr>
          <w:rFonts w:ascii="Times New Roman" w:eastAsia="Times New Roman" w:hAnsi="Times New Roman" w:cs="Times New Roman"/>
          <w:color w:val="000000"/>
          <w:sz w:val="24"/>
          <w:szCs w:val="24"/>
        </w:rPr>
        <w:t xml:space="preserve">n-depth examination that directly associates the levels of particular gut-derived metabolites with the immune environment and clinical outcomes in colorectal cancer. The findings indicate a notable change in the gut metabolome of CRC patients, marked by a </w:t>
      </w:r>
      <w:r>
        <w:rPr>
          <w:rFonts w:ascii="Times New Roman" w:eastAsia="Times New Roman" w:hAnsi="Times New Roman" w:cs="Times New Roman"/>
          <w:color w:val="000000"/>
          <w:sz w:val="24"/>
          <w:szCs w:val="24"/>
        </w:rPr>
        <w:t>decrease in immune-protective metabolites (butyrate, IPA) and an increase in immune-toxic metabolites (DCA, kynurenine) (</w:t>
      </w: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et al., 2025; Perl et al., 2025).</w:t>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significant reduction of butyrate, an important SCFA, is a crucial discovery. Butyrate’s f</w:t>
      </w:r>
      <w:r>
        <w:rPr>
          <w:rFonts w:ascii="Times New Roman" w:eastAsia="Times New Roman" w:hAnsi="Times New Roman" w:cs="Times New Roman"/>
          <w:color w:val="000000"/>
          <w:sz w:val="24"/>
          <w:szCs w:val="24"/>
        </w:rPr>
        <w:t>unction goes beyond HDAC inhibition in colonocytes to include direct immunomodulation (</w:t>
      </w: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et al., 2025). Our findings indicate a robust positive correlation between serum butyrate and the infiltration of CD8+ T-cells, consistent with recent research sh</w:t>
      </w:r>
      <w:r>
        <w:rPr>
          <w:rFonts w:ascii="Times New Roman" w:eastAsia="Times New Roman" w:hAnsi="Times New Roman" w:cs="Times New Roman"/>
          <w:color w:val="000000"/>
          <w:sz w:val="24"/>
          <w:szCs w:val="24"/>
        </w:rPr>
        <w:t>owing that butyrate boosts the cytotoxic activity and growth of CD8+ T-cells by functioning as an HDAC inhibitor in the lymphocytes, facilitating epigenetic reprogramming toward an effector phenotype (He et al., 2021). Although it seems contradictory since</w:t>
      </w:r>
      <w:r>
        <w:rPr>
          <w:rFonts w:ascii="Times New Roman" w:eastAsia="Times New Roman" w:hAnsi="Times New Roman" w:cs="Times New Roman"/>
          <w:color w:val="000000"/>
          <w:sz w:val="24"/>
          <w:szCs w:val="24"/>
        </w:rPr>
        <w:t xml:space="preserve"> butyrate promotes colonic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the negative association with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might illustrate the intricate, context-sensitive characteristics of the TIME, wherein butyrate could primarily enhance anti-tumor cytotoxicity within the acidic, hypoxic tumor core (</w:t>
      </w:r>
      <w:proofErr w:type="spellStart"/>
      <w:r>
        <w:rPr>
          <w:rFonts w:ascii="Times New Roman" w:eastAsia="Times New Roman" w:hAnsi="Times New Roman" w:cs="Times New Roman"/>
          <w:color w:val="000000"/>
          <w:sz w:val="24"/>
          <w:szCs w:val="24"/>
        </w:rPr>
        <w:t>Luu</w:t>
      </w:r>
      <w:proofErr w:type="spellEnd"/>
      <w:r>
        <w:rPr>
          <w:rFonts w:ascii="Times New Roman" w:eastAsia="Times New Roman" w:hAnsi="Times New Roman" w:cs="Times New Roman"/>
          <w:color w:val="000000"/>
          <w:sz w:val="24"/>
          <w:szCs w:val="24"/>
        </w:rPr>
        <w:t xml:space="preserve"> et al., 2019).</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Likewise,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activation mediated by IPA </w:t>
      </w:r>
      <w:r>
        <w:rPr>
          <w:rFonts w:ascii="Times New Roman" w:eastAsia="Times New Roman" w:hAnsi="Times New Roman" w:cs="Times New Roman"/>
          <w:color w:val="000000"/>
          <w:sz w:val="24"/>
          <w:szCs w:val="24"/>
        </w:rPr>
        <w:t>enhances barrier function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w:t>
      </w:r>
      <w:r>
        <w:rPr>
          <w:rFonts w:ascii="Times New Roman" w:eastAsia="Times New Roman" w:hAnsi="Times New Roman" w:cs="Times New Roman"/>
          <w:color w:val="000000"/>
          <w:sz w:val="24"/>
          <w:szCs w:val="24"/>
        </w:rPr>
        <w:lastRenderedPageBreak/>
        <w:t xml:space="preserve">anti-cancer </w:t>
      </w:r>
      <w:proofErr w:type="spellStart"/>
      <w:proofErr w:type="gramStart"/>
      <w:r>
        <w:rPr>
          <w:rFonts w:ascii="Times New Roman" w:eastAsia="Times New Roman" w:hAnsi="Times New Roman" w:cs="Times New Roman"/>
          <w:color w:val="000000"/>
          <w:sz w:val="24"/>
          <w:szCs w:val="24"/>
        </w:rPr>
        <w:t>response.Like</w:t>
      </w:r>
      <w:r>
        <w:rPr>
          <w:rFonts w:ascii="Times New Roman" w:eastAsia="Times New Roman" w:hAnsi="Times New Roman" w:cs="Times New Roman"/>
          <w:color w:val="000000"/>
          <w:sz w:val="24"/>
          <w:szCs w:val="24"/>
        </w:rPr>
        <w:t>wise</w:t>
      </w:r>
      <w:proofErr w:type="spellEnd"/>
      <w:proofErr w:type="gramEnd"/>
      <w:r>
        <w:rPr>
          <w:rFonts w:ascii="Times New Roman" w:eastAsia="Times New Roman" w:hAnsi="Times New Roman" w:cs="Times New Roman"/>
          <w:color w:val="000000"/>
          <w:sz w:val="24"/>
          <w:szCs w:val="24"/>
        </w:rPr>
        <w:t xml:space="preserv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activation mediated by IPA enhances barrier fun</w:t>
      </w:r>
      <w:r>
        <w:rPr>
          <w:rFonts w:ascii="Times New Roman" w:eastAsia="Times New Roman" w:hAnsi="Times New Roman" w:cs="Times New Roman"/>
          <w:color w:val="000000"/>
          <w:sz w:val="24"/>
          <w:szCs w:val="24"/>
        </w:rPr>
        <w:t>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anti-cancer response.</w:t>
      </w:r>
    </w:p>
    <w:p w:rsidR="00982323" w:rsidRDefault="00982323">
      <w:pPr>
        <w:spacing w:before="240" w:after="240" w:line="480" w:lineRule="auto"/>
        <w:jc w:val="both"/>
        <w:rPr>
          <w:rFonts w:ascii="Times New Roman" w:eastAsia="Times New Roman" w:hAnsi="Times New Roman" w:cs="Times New Roman"/>
          <w:color w:val="000000"/>
          <w:sz w:val="24"/>
          <w:szCs w:val="24"/>
        </w:rPr>
      </w:pP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Conversely, a detrimen</w:t>
      </w:r>
      <w:r>
        <w:rPr>
          <w:rFonts w:ascii="Times New Roman" w:eastAsia="Times New Roman" w:hAnsi="Times New Roman" w:cs="Times New Roman"/>
          <w:color w:val="000000"/>
          <w:sz w:val="24"/>
          <w:szCs w:val="24"/>
        </w:rPr>
        <w:t>tal pathway in CRC is marked by the rise of DCA, a byproduct of bile acid. While DCA is recognized for causing DNA damage (Jia et al 2018), our results show that it additionally exhibits immunosuppressive properties. DCA might aid in developing an immunosu</w:t>
      </w:r>
      <w:r>
        <w:rPr>
          <w:rFonts w:ascii="Times New Roman" w:eastAsia="Times New Roman" w:hAnsi="Times New Roman" w:cs="Times New Roman"/>
          <w:color w:val="000000"/>
          <w:sz w:val="24"/>
          <w:szCs w:val="24"/>
        </w:rPr>
        <w:t xml:space="preserve">ppressive TIME by either directly impairing T-cell activity or inducing a tolerogenic profile in antigen-presenting cells, supported by the strong positive relationship between DCA and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density alongside its negative correlation with CD8⁺ T-cells (Ma e</w:t>
      </w:r>
      <w:r>
        <w:rPr>
          <w:rFonts w:ascii="Times New Roman" w:eastAsia="Times New Roman" w:hAnsi="Times New Roman" w:cs="Times New Roman"/>
          <w:color w:val="000000"/>
          <w:sz w:val="24"/>
          <w:szCs w:val="24"/>
        </w:rPr>
        <w:t xml:space="preserve">t al., 2018). The heightened kynurenine implies a tolerogenic environment as it diminishes effector T-cell responses and promotes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development. Our results are more clinically significant when this metabolomic information is paired with patient surviva</w:t>
      </w:r>
      <w:r>
        <w:rPr>
          <w:rFonts w:ascii="Times New Roman" w:eastAsia="Times New Roman" w:hAnsi="Times New Roman" w:cs="Times New Roman"/>
          <w:color w:val="000000"/>
          <w:sz w:val="24"/>
          <w:szCs w:val="24"/>
        </w:rPr>
        <w:t>l outcomes. Patients exhibiting a "favorable" metabolomic profile (elevated butyrate/low DCA) experience a significant survival advantage, indicating that these metabolites are potential non-invasive biomarkers (Prendergast et al., 2018).</w:t>
      </w:r>
    </w:p>
    <w:p w:rsidR="00982323" w:rsidRDefault="002E0BB0">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results becom</w:t>
      </w:r>
      <w:r>
        <w:rPr>
          <w:rFonts w:ascii="Times New Roman" w:eastAsia="Times New Roman" w:hAnsi="Times New Roman" w:cs="Times New Roman"/>
          <w:color w:val="000000"/>
          <w:sz w:val="24"/>
          <w:szCs w:val="24"/>
        </w:rPr>
        <w:t>e more clinically significant when this metabolomic data is paired with patient survival outcomes. These metabolites serve as hopeful non-invasive prognostic markers due to the significant survival benefit observed in individuals possessing a "favorable" m</w:t>
      </w:r>
      <w:r>
        <w:rPr>
          <w:rFonts w:ascii="Times New Roman" w:eastAsia="Times New Roman" w:hAnsi="Times New Roman" w:cs="Times New Roman"/>
          <w:color w:val="000000"/>
          <w:sz w:val="24"/>
          <w:szCs w:val="24"/>
        </w:rPr>
        <w:t>etabolomic profile (high butyrate/low DCA).</w:t>
      </w:r>
    </w:p>
    <w:p w:rsidR="00982323" w:rsidRDefault="002E0BB0">
      <w:pPr>
        <w:spacing w:before="240" w:after="24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Conclusion</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summary, a suppressive TIME (low CD8⁺, high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and diminished overall survival in colorectal cancer are significantly associated with a gut microbiome metabolome marked by low butyrate/IPA and high DCA/kynurenine levels. Altering the gut microbiome </w:t>
      </w:r>
      <w:r>
        <w:rPr>
          <w:rFonts w:ascii="Times New Roman" w:eastAsia="Times New Roman" w:hAnsi="Times New Roman" w:cs="Times New Roman"/>
          <w:color w:val="000000"/>
          <w:sz w:val="24"/>
          <w:szCs w:val="24"/>
        </w:rPr>
        <w:t>via dietary modifications, pre/probiotics, or chosen microbial groups, these metabolites demonstrate potential as therapeutic targets that could favorably influence the immune system and improve results for individuals with colorectal cancer. </w:t>
      </w:r>
    </w:p>
    <w:p w:rsidR="00982323" w:rsidRDefault="002E0BB0">
      <w:pPr>
        <w:rPr>
          <w:highlight w:val="yellow"/>
        </w:rPr>
      </w:pPr>
      <w:bookmarkStart w:id="1" w:name="_heading=h.6pwn3pwwr3ls" w:colFirst="0" w:colLast="0"/>
      <w:bookmarkEnd w:id="1"/>
      <w:r>
        <w:rPr>
          <w:rFonts w:ascii="Times New Roman" w:eastAsia="Times New Roman" w:hAnsi="Times New Roman" w:cs="Times New Roman"/>
          <w:color w:val="000000"/>
          <w:sz w:val="24"/>
          <w:szCs w:val="24"/>
        </w:rPr>
        <w:t> </w:t>
      </w:r>
      <w:r>
        <w:rPr>
          <w:highlight w:val="yellow"/>
        </w:rPr>
        <w:t xml:space="preserve">Disclaimer </w:t>
      </w:r>
      <w:r>
        <w:rPr>
          <w:highlight w:val="yellow"/>
        </w:rPr>
        <w:t xml:space="preserve">(Artificial intelligence): </w:t>
      </w: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982323" w:rsidRDefault="00982323">
      <w:pPr>
        <w:rPr>
          <w:highlight w:val="yellow"/>
        </w:rPr>
      </w:pPr>
      <w:bookmarkStart w:id="2" w:name="_heading=h.hpilxrv938uj" w:colFirst="0" w:colLast="0"/>
      <w:bookmarkEnd w:id="2"/>
    </w:p>
    <w:p w:rsidR="00982323" w:rsidRDefault="00982323">
      <w:pPr>
        <w:rPr>
          <w:highlight w:val="yellow"/>
        </w:rPr>
      </w:pPr>
      <w:bookmarkStart w:id="3" w:name="_heading=h.qq1cenxpi879" w:colFirst="0" w:colLast="0"/>
      <w:bookmarkEnd w:id="3"/>
    </w:p>
    <w:p w:rsidR="00982323" w:rsidRDefault="002E0BB0">
      <w:pPr>
        <w:rPr>
          <w:highlight w:val="yellow"/>
        </w:rPr>
      </w:pPr>
      <w:r>
        <w:rPr>
          <w:highlight w:val="yellow"/>
        </w:rPr>
        <w:t xml:space="preserve">Option 1: </w:t>
      </w:r>
    </w:p>
    <w:p w:rsidR="00982323" w:rsidRDefault="002E0BB0">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982323" w:rsidRDefault="002E0BB0">
      <w:pPr>
        <w:rPr>
          <w:highlight w:val="yellow"/>
        </w:rPr>
      </w:pPr>
      <w:r>
        <w:rPr>
          <w:highlight w:val="yellow"/>
        </w:rPr>
        <w:t xml:space="preserve">Option 2: </w:t>
      </w:r>
    </w:p>
    <w:p w:rsidR="00982323" w:rsidRDefault="002E0BB0">
      <w:pPr>
        <w:rPr>
          <w:highlight w:val="yellow"/>
        </w:rPr>
      </w:pPr>
      <w:r>
        <w:rPr>
          <w:highlight w:val="yellow"/>
        </w:rPr>
        <w:t>Author(s) hereby declare that gener</w:t>
      </w:r>
      <w:r>
        <w:rPr>
          <w:highlight w:val="yellow"/>
        </w:rPr>
        <w:t>ative AI technologies such as Large Language Models, etc. have been used during the writing or editing of manuscripts. This explanation will include the name, version, model, and source of the generative AI technology and as well as all input prompts provi</w:t>
      </w:r>
      <w:r>
        <w:rPr>
          <w:highlight w:val="yellow"/>
        </w:rPr>
        <w:t>ded to the generative AI technology</w:t>
      </w:r>
    </w:p>
    <w:p w:rsidR="00982323" w:rsidRDefault="002E0BB0">
      <w:pPr>
        <w:rPr>
          <w:highlight w:val="yellow"/>
        </w:rPr>
      </w:pPr>
      <w:r>
        <w:rPr>
          <w:highlight w:val="yellow"/>
        </w:rPr>
        <w:t>Details of the AI usage are given below:</w:t>
      </w:r>
    </w:p>
    <w:p w:rsidR="00982323" w:rsidRDefault="002E0BB0">
      <w:pPr>
        <w:rPr>
          <w:highlight w:val="yellow"/>
        </w:rPr>
      </w:pPr>
      <w:r>
        <w:rPr>
          <w:highlight w:val="yellow"/>
        </w:rPr>
        <w:t>1.</w:t>
      </w:r>
    </w:p>
    <w:p w:rsidR="00982323" w:rsidRDefault="002E0BB0">
      <w:pPr>
        <w:rPr>
          <w:highlight w:val="yellow"/>
        </w:rPr>
      </w:pPr>
      <w:r>
        <w:rPr>
          <w:highlight w:val="yellow"/>
        </w:rPr>
        <w:t>2.</w:t>
      </w:r>
    </w:p>
    <w:p w:rsidR="00982323" w:rsidRDefault="002E0BB0">
      <w:pPr>
        <w:rPr>
          <w:highlight w:val="yellow"/>
        </w:rPr>
      </w:pPr>
      <w:r>
        <w:rPr>
          <w:highlight w:val="yellow"/>
        </w:rPr>
        <w:t>3.</w:t>
      </w:r>
    </w:p>
    <w:p w:rsidR="00982323" w:rsidRDefault="00982323">
      <w:pPr>
        <w:spacing w:before="240" w:after="240" w:line="480" w:lineRule="auto"/>
        <w:jc w:val="both"/>
        <w:rPr>
          <w:rFonts w:ascii="Times New Roman" w:eastAsia="Times New Roman" w:hAnsi="Times New Roman" w:cs="Times New Roman"/>
          <w:sz w:val="24"/>
          <w:szCs w:val="24"/>
        </w:rPr>
      </w:pPr>
      <w:bookmarkStart w:id="4" w:name="_heading=h.rlxnxle7otw0" w:colFirst="0" w:colLast="0"/>
      <w:bookmarkEnd w:id="4"/>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982323" w:rsidRDefault="002E0BB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References</w:t>
      </w:r>
    </w:p>
    <w:p w:rsidR="00982323" w:rsidRDefault="002E0BB0">
      <w:pPr>
        <w:spacing w:after="0" w:line="480" w:lineRule="auto"/>
        <w:rPr>
          <w:rFonts w:ascii="Times New Roman" w:eastAsia="Times New Roman" w:hAnsi="Times New Roman" w:cs="Times New Roman"/>
          <w:sz w:val="24"/>
          <w:szCs w:val="24"/>
        </w:rPr>
      </w:pPr>
      <w:bookmarkStart w:id="5" w:name="_heading=h.mtvks9ijxv1y" w:colFirst="0" w:colLast="0"/>
      <w:bookmarkEnd w:id="5"/>
      <w:r>
        <w:rPr>
          <w:rFonts w:ascii="Times New Roman" w:eastAsia="Times New Roman" w:hAnsi="Times New Roman" w:cs="Times New Roman"/>
          <w:sz w:val="24"/>
          <w:szCs w:val="24"/>
        </w:rPr>
        <w:t xml:space="preserve">Abed, J., </w:t>
      </w:r>
      <w:proofErr w:type="spellStart"/>
      <w:r>
        <w:rPr>
          <w:rFonts w:ascii="Times New Roman" w:eastAsia="Times New Roman" w:hAnsi="Times New Roman" w:cs="Times New Roman"/>
          <w:sz w:val="24"/>
          <w:szCs w:val="24"/>
        </w:rPr>
        <w:t>Emgård</w:t>
      </w:r>
      <w:proofErr w:type="spellEnd"/>
      <w:r>
        <w:rPr>
          <w:rFonts w:ascii="Times New Roman" w:eastAsia="Times New Roman" w:hAnsi="Times New Roman" w:cs="Times New Roman"/>
          <w:sz w:val="24"/>
          <w:szCs w:val="24"/>
        </w:rPr>
        <w:t xml:space="preserve">, J. E., Zamir, G., </w:t>
      </w:r>
      <w:proofErr w:type="spellStart"/>
      <w:r>
        <w:rPr>
          <w:rFonts w:ascii="Times New Roman" w:eastAsia="Times New Roman" w:hAnsi="Times New Roman" w:cs="Times New Roman"/>
          <w:sz w:val="24"/>
          <w:szCs w:val="24"/>
        </w:rPr>
        <w:t>Faroja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Almogy</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Grenov</w:t>
      </w:r>
      <w:proofErr w:type="spellEnd"/>
      <w:r>
        <w:rPr>
          <w:rFonts w:ascii="Times New Roman" w:eastAsia="Times New Roman" w:hAnsi="Times New Roman" w:cs="Times New Roman"/>
          <w:sz w:val="24"/>
          <w:szCs w:val="24"/>
        </w:rPr>
        <w:t xml:space="preserve">, A., &amp; Bachrach, G. (2016). Fap2 mediates Fusobacterium </w:t>
      </w:r>
      <w:proofErr w:type="spellStart"/>
      <w:r>
        <w:rPr>
          <w:rFonts w:ascii="Times New Roman" w:eastAsia="Times New Roman" w:hAnsi="Times New Roman" w:cs="Times New Roman"/>
          <w:sz w:val="24"/>
          <w:szCs w:val="24"/>
        </w:rPr>
        <w:t>nucleatum</w:t>
      </w:r>
      <w:proofErr w:type="spellEnd"/>
      <w:r>
        <w:rPr>
          <w:rFonts w:ascii="Times New Roman" w:eastAsia="Times New Roman" w:hAnsi="Times New Roman" w:cs="Times New Roman"/>
          <w:sz w:val="24"/>
          <w:szCs w:val="24"/>
        </w:rPr>
        <w:t xml:space="preserve"> colorectal adenocarcino</w:t>
      </w:r>
      <w:r>
        <w:rPr>
          <w:rFonts w:ascii="Times New Roman" w:eastAsia="Times New Roman" w:hAnsi="Times New Roman" w:cs="Times New Roman"/>
          <w:sz w:val="24"/>
          <w:szCs w:val="24"/>
        </w:rPr>
        <w:t>ma enrichment by binding to tumor-expressed Gal-</w:t>
      </w:r>
      <w:proofErr w:type="spellStart"/>
      <w:r>
        <w:rPr>
          <w:rFonts w:ascii="Times New Roman" w:eastAsia="Times New Roman" w:hAnsi="Times New Roman" w:cs="Times New Roman"/>
          <w:sz w:val="24"/>
          <w:szCs w:val="24"/>
        </w:rPr>
        <w:t>GalNAc</w:t>
      </w:r>
      <w:proofErr w:type="spellEnd"/>
      <w:r>
        <w:rPr>
          <w:rFonts w:ascii="Times New Roman" w:eastAsia="Times New Roman" w:hAnsi="Times New Roman" w:cs="Times New Roman"/>
          <w:sz w:val="24"/>
          <w:szCs w:val="24"/>
        </w:rPr>
        <w:t>. Cell host &amp; microbe, 20(2), 215-225.</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Alon-</w:t>
      </w:r>
      <w:proofErr w:type="spellStart"/>
      <w:r>
        <w:rPr>
          <w:rFonts w:ascii="Times New Roman" w:eastAsia="Times New Roman" w:hAnsi="Times New Roman" w:cs="Times New Roman"/>
          <w:color w:val="000000"/>
          <w:sz w:val="24"/>
          <w:szCs w:val="24"/>
        </w:rPr>
        <w:t>Maimon</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Mandelboim</w:t>
      </w:r>
      <w:proofErr w:type="spellEnd"/>
      <w:r>
        <w:rPr>
          <w:rFonts w:ascii="Times New Roman" w:eastAsia="Times New Roman" w:hAnsi="Times New Roman" w:cs="Times New Roman"/>
          <w:color w:val="000000"/>
          <w:sz w:val="24"/>
          <w:szCs w:val="24"/>
        </w:rPr>
        <w:t xml:space="preserve">, O.; and Bachrach, G. (2022).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and cancer. </w:t>
      </w:r>
      <w:proofErr w:type="gramStart"/>
      <w:r>
        <w:rPr>
          <w:rFonts w:ascii="Times New Roman" w:eastAsia="Times New Roman" w:hAnsi="Times New Roman" w:cs="Times New Roman"/>
          <w:color w:val="000000"/>
          <w:sz w:val="24"/>
          <w:szCs w:val="24"/>
        </w:rPr>
        <w:t>Periodontology ,</w:t>
      </w:r>
      <w:proofErr w:type="gramEnd"/>
      <w:r>
        <w:rPr>
          <w:rFonts w:ascii="Times New Roman" w:eastAsia="Times New Roman" w:hAnsi="Times New Roman" w:cs="Times New Roman"/>
          <w:color w:val="000000"/>
          <w:sz w:val="24"/>
          <w:szCs w:val="24"/>
        </w:rPr>
        <w:t xml:space="preserve"> 89, 166–180</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L., Moazzam, K., Anjum, D. S., </w:t>
      </w:r>
      <w:proofErr w:type="spellStart"/>
      <w:r>
        <w:rPr>
          <w:rFonts w:ascii="Times New Roman" w:eastAsia="Times New Roman" w:hAnsi="Times New Roman" w:cs="Times New Roman"/>
          <w:color w:val="000000"/>
          <w:sz w:val="24"/>
          <w:szCs w:val="24"/>
        </w:rPr>
        <w:t>Ka</w:t>
      </w:r>
      <w:r>
        <w:rPr>
          <w:rFonts w:ascii="Times New Roman" w:eastAsia="Times New Roman" w:hAnsi="Times New Roman" w:cs="Times New Roman"/>
          <w:color w:val="000000"/>
          <w:sz w:val="24"/>
          <w:szCs w:val="24"/>
        </w:rPr>
        <w:t>usar</w:t>
      </w:r>
      <w:proofErr w:type="spellEnd"/>
      <w:r>
        <w:rPr>
          <w:rFonts w:ascii="Times New Roman" w:eastAsia="Times New Roman" w:hAnsi="Times New Roman" w:cs="Times New Roman"/>
          <w:color w:val="000000"/>
          <w:sz w:val="24"/>
          <w:szCs w:val="24"/>
        </w:rPr>
        <w:t>, H., Sharif, E., &amp; Ibrahim, W. N. (2025). Gut Dysbiosis in Cancer Immunotherapy: Microbiota-Mediated Resistance and Emerging Treatments. Frontiers in Immunology, 16, 1575452.</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Galasso, L., Termite, F., Mignini, I., </w:t>
      </w:r>
      <w:proofErr w:type="spellStart"/>
      <w:r>
        <w:rPr>
          <w:rFonts w:ascii="Times New Roman" w:eastAsia="Times New Roman" w:hAnsi="Times New Roman" w:cs="Times New Roman"/>
          <w:color w:val="000000"/>
          <w:sz w:val="24"/>
          <w:szCs w:val="24"/>
        </w:rPr>
        <w:t>Esposto</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Borriello</w:t>
      </w:r>
      <w:proofErr w:type="spellEnd"/>
      <w:r>
        <w:rPr>
          <w:rFonts w:ascii="Times New Roman" w:eastAsia="Times New Roman" w:hAnsi="Times New Roman" w:cs="Times New Roman"/>
          <w:color w:val="000000"/>
          <w:sz w:val="24"/>
          <w:szCs w:val="24"/>
        </w:rPr>
        <w:t>, R., Vitale, F</w:t>
      </w:r>
      <w:r>
        <w:rPr>
          <w:rFonts w:ascii="Times New Roman" w:eastAsia="Times New Roman" w:hAnsi="Times New Roman" w:cs="Times New Roman"/>
          <w:color w:val="000000"/>
          <w:sz w:val="24"/>
          <w:szCs w:val="24"/>
        </w:rPr>
        <w:t xml:space="preserve">., ... &amp; </w:t>
      </w:r>
      <w:proofErr w:type="spellStart"/>
      <w:r>
        <w:rPr>
          <w:rFonts w:ascii="Times New Roman" w:eastAsia="Times New Roman" w:hAnsi="Times New Roman" w:cs="Times New Roman"/>
          <w:color w:val="000000"/>
          <w:sz w:val="24"/>
          <w:szCs w:val="24"/>
        </w:rPr>
        <w:t>Zocco</w:t>
      </w:r>
      <w:proofErr w:type="spellEnd"/>
      <w:r>
        <w:rPr>
          <w:rFonts w:ascii="Times New Roman" w:eastAsia="Times New Roman" w:hAnsi="Times New Roman" w:cs="Times New Roman"/>
          <w:color w:val="000000"/>
          <w:sz w:val="24"/>
          <w:szCs w:val="24"/>
        </w:rPr>
        <w:t xml:space="preserve">, M. A. (2025). Unraveling the role of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colorectal cancer: molecular mechanisms and pathogenic insights. Cancers, 17(3), 368.</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 Y., Fu, L., Li, Y., Wang, W., Gong, M., Zhang, J., ... &amp; Guo, X. (2021). Gut microbial</w:t>
      </w:r>
      <w:r>
        <w:rPr>
          <w:rFonts w:ascii="Times New Roman" w:eastAsia="Times New Roman" w:hAnsi="Times New Roman" w:cs="Times New Roman"/>
          <w:color w:val="000000"/>
          <w:sz w:val="24"/>
          <w:szCs w:val="24"/>
        </w:rPr>
        <w:t xml:space="preserve"> metabolites facilitate anticancer therapy efficacy by modulating cytotoxic CD8+ T cell immunity. Cell metabolism, 33(5), 988-1000.</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Jia, W.,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G., &amp; Jia, W. (2018). Bile acid–microbiota crosstalk in gastrointestinal inflammation and carcinogenesis. Natu</w:t>
      </w:r>
      <w:r>
        <w:rPr>
          <w:rFonts w:ascii="Times New Roman" w:eastAsia="Times New Roman" w:hAnsi="Times New Roman" w:cs="Times New Roman"/>
          <w:color w:val="000000"/>
          <w:sz w:val="24"/>
          <w:szCs w:val="24"/>
        </w:rPr>
        <w:t>re reviews Gastroenterology &amp; hepatology, 15(2), 111-128.</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A. E., </w:t>
      </w:r>
      <w:proofErr w:type="spellStart"/>
      <w:r>
        <w:rPr>
          <w:rFonts w:ascii="Times New Roman" w:eastAsia="Times New Roman" w:hAnsi="Times New Roman" w:cs="Times New Roman"/>
          <w:color w:val="000000"/>
          <w:sz w:val="24"/>
          <w:szCs w:val="24"/>
        </w:rPr>
        <w:t>BinMowyna</w:t>
      </w:r>
      <w:proofErr w:type="spellEnd"/>
      <w:r>
        <w:rPr>
          <w:rFonts w:ascii="Times New Roman" w:eastAsia="Times New Roman" w:hAnsi="Times New Roman" w:cs="Times New Roman"/>
          <w:color w:val="000000"/>
          <w:sz w:val="24"/>
          <w:szCs w:val="24"/>
        </w:rPr>
        <w:t xml:space="preserve">, M. N., </w:t>
      </w:r>
      <w:proofErr w:type="spellStart"/>
      <w:r>
        <w:rPr>
          <w:rFonts w:ascii="Times New Roman" w:eastAsia="Times New Roman" w:hAnsi="Times New Roman" w:cs="Times New Roman"/>
          <w:color w:val="000000"/>
          <w:sz w:val="24"/>
          <w:szCs w:val="24"/>
        </w:rPr>
        <w:t>Raposo</w:t>
      </w:r>
      <w:proofErr w:type="spellEnd"/>
      <w:r>
        <w:rPr>
          <w:rFonts w:ascii="Times New Roman" w:eastAsia="Times New Roman" w:hAnsi="Times New Roman" w:cs="Times New Roman"/>
          <w:color w:val="000000"/>
          <w:sz w:val="24"/>
          <w:szCs w:val="24"/>
        </w:rPr>
        <w:t xml:space="preserve">, A., Ahmad, M. F., Ahmed, F., </w:t>
      </w:r>
      <w:proofErr w:type="spellStart"/>
      <w:r>
        <w:rPr>
          <w:rFonts w:ascii="Times New Roman" w:eastAsia="Times New Roman" w:hAnsi="Times New Roman" w:cs="Times New Roman"/>
          <w:color w:val="000000"/>
          <w:sz w:val="24"/>
          <w:szCs w:val="24"/>
        </w:rPr>
        <w:t>Otayf</w:t>
      </w:r>
      <w:proofErr w:type="spellEnd"/>
      <w:r>
        <w:rPr>
          <w:rFonts w:ascii="Times New Roman" w:eastAsia="Times New Roman" w:hAnsi="Times New Roman" w:cs="Times New Roman"/>
          <w:color w:val="000000"/>
          <w:sz w:val="24"/>
          <w:szCs w:val="24"/>
        </w:rPr>
        <w:t xml:space="preserve">, A. Y., ... &amp; </w:t>
      </w:r>
      <w:proofErr w:type="spellStart"/>
      <w:r>
        <w:rPr>
          <w:rFonts w:ascii="Times New Roman" w:eastAsia="Times New Roman" w:hAnsi="Times New Roman" w:cs="Times New Roman"/>
          <w:color w:val="000000"/>
          <w:sz w:val="24"/>
          <w:szCs w:val="24"/>
        </w:rPr>
        <w:t>Karav</w:t>
      </w:r>
      <w:proofErr w:type="spellEnd"/>
      <w:r>
        <w:rPr>
          <w:rFonts w:ascii="Times New Roman" w:eastAsia="Times New Roman" w:hAnsi="Times New Roman" w:cs="Times New Roman"/>
          <w:color w:val="000000"/>
          <w:sz w:val="24"/>
          <w:szCs w:val="24"/>
        </w:rPr>
        <w:t>, S. (2025). Beyond the gut: unveiling butyrate’s global health impact through gut health and dysbiosis</w:t>
      </w:r>
      <w:r>
        <w:rPr>
          <w:rFonts w:ascii="Times New Roman" w:eastAsia="Times New Roman" w:hAnsi="Times New Roman" w:cs="Times New Roman"/>
          <w:color w:val="000000"/>
          <w:sz w:val="24"/>
          <w:szCs w:val="24"/>
        </w:rPr>
        <w:t>-related conditions: a narrative review. Nutrients, 17(8), 1305.</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Luu</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Pautz</w:t>
      </w:r>
      <w:proofErr w:type="spellEnd"/>
      <w:r>
        <w:rPr>
          <w:rFonts w:ascii="Times New Roman" w:eastAsia="Times New Roman" w:hAnsi="Times New Roman" w:cs="Times New Roman"/>
          <w:color w:val="000000"/>
          <w:sz w:val="24"/>
          <w:szCs w:val="24"/>
        </w:rPr>
        <w:t xml:space="preserve">, S., Kohl, V., Singh, R., Romero, R., Lucas, S., &amp; </w:t>
      </w:r>
      <w:proofErr w:type="spellStart"/>
      <w:r>
        <w:rPr>
          <w:rFonts w:ascii="Times New Roman" w:eastAsia="Times New Roman" w:hAnsi="Times New Roman" w:cs="Times New Roman"/>
          <w:color w:val="000000"/>
          <w:sz w:val="24"/>
          <w:szCs w:val="24"/>
        </w:rPr>
        <w:t>Visekruna</w:t>
      </w:r>
      <w:proofErr w:type="spellEnd"/>
      <w:r>
        <w:rPr>
          <w:rFonts w:ascii="Times New Roman" w:eastAsia="Times New Roman" w:hAnsi="Times New Roman" w:cs="Times New Roman"/>
          <w:color w:val="000000"/>
          <w:sz w:val="24"/>
          <w:szCs w:val="24"/>
        </w:rPr>
        <w:t>, A. (2019). The short-chain fatty acid pentanoate suppresses autoimmunity by modulating the metabolic-epigenetic cr</w:t>
      </w:r>
      <w:r>
        <w:rPr>
          <w:rFonts w:ascii="Times New Roman" w:eastAsia="Times New Roman" w:hAnsi="Times New Roman" w:cs="Times New Roman"/>
          <w:color w:val="000000"/>
          <w:sz w:val="24"/>
          <w:szCs w:val="24"/>
        </w:rPr>
        <w:t>osstalk in lymphocytes. Nature communications, 10(1), 760.</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 C., Han, M., Heinrich, B., Fu, Q., Zhang, Q., Sandhu, M., &amp; </w:t>
      </w:r>
      <w:proofErr w:type="spellStart"/>
      <w:r>
        <w:rPr>
          <w:rFonts w:ascii="Times New Roman" w:eastAsia="Times New Roman" w:hAnsi="Times New Roman" w:cs="Times New Roman"/>
          <w:color w:val="000000"/>
          <w:sz w:val="24"/>
          <w:szCs w:val="24"/>
        </w:rPr>
        <w:t>Greten</w:t>
      </w:r>
      <w:proofErr w:type="spellEnd"/>
      <w:r>
        <w:rPr>
          <w:rFonts w:ascii="Times New Roman" w:eastAsia="Times New Roman" w:hAnsi="Times New Roman" w:cs="Times New Roman"/>
          <w:color w:val="000000"/>
          <w:sz w:val="24"/>
          <w:szCs w:val="24"/>
        </w:rPr>
        <w:t>, T. F. (2018). Gut microbiome–mediated bile acid metabolism regulates liver cancer via NKT cells. Science, 360(6391), eaan5931</w:t>
      </w:r>
      <w:r>
        <w:rPr>
          <w:rFonts w:ascii="Times New Roman" w:eastAsia="Times New Roman" w:hAnsi="Times New Roman" w:cs="Times New Roman"/>
          <w:color w:val="000000"/>
          <w:sz w:val="24"/>
          <w:szCs w:val="24"/>
        </w:rPr>
        <w:t>.</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Morgan, E., Arnold, M., Gini, A., </w:t>
      </w:r>
      <w:proofErr w:type="spellStart"/>
      <w:r>
        <w:rPr>
          <w:rFonts w:ascii="Times New Roman" w:eastAsia="Times New Roman" w:hAnsi="Times New Roman" w:cs="Times New Roman"/>
          <w:color w:val="000000"/>
          <w:sz w:val="24"/>
          <w:szCs w:val="24"/>
        </w:rPr>
        <w:t>Lorenzoni</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Cabasag</w:t>
      </w:r>
      <w:proofErr w:type="spellEnd"/>
      <w:r>
        <w:rPr>
          <w:rFonts w:ascii="Times New Roman" w:eastAsia="Times New Roman" w:hAnsi="Times New Roman" w:cs="Times New Roman"/>
          <w:color w:val="000000"/>
          <w:sz w:val="24"/>
          <w:szCs w:val="24"/>
        </w:rPr>
        <w:t xml:space="preserve">, C. J.,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xml:space="preserve">, M., &amp; Bray, F. (2023). Global burden of colorectal cancer in 2020 and 2040: incidence and mortality </w:t>
      </w:r>
      <w:proofErr w:type="gramStart"/>
      <w:r>
        <w:rPr>
          <w:rFonts w:ascii="Times New Roman" w:eastAsia="Times New Roman" w:hAnsi="Times New Roman" w:cs="Times New Roman"/>
          <w:color w:val="000000"/>
          <w:sz w:val="24"/>
          <w:szCs w:val="24"/>
        </w:rPr>
        <w:t>estimates</w:t>
      </w:r>
      <w:proofErr w:type="gramEnd"/>
      <w:r>
        <w:rPr>
          <w:rFonts w:ascii="Times New Roman" w:eastAsia="Times New Roman" w:hAnsi="Times New Roman" w:cs="Times New Roman"/>
          <w:color w:val="000000"/>
          <w:sz w:val="24"/>
          <w:szCs w:val="24"/>
        </w:rPr>
        <w:t xml:space="preserve"> from GLOBOCAN. Gut, 72(2), 338-344.</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M., Iones</w:t>
      </w:r>
      <w:r>
        <w:rPr>
          <w:rFonts w:ascii="Times New Roman" w:eastAsia="Times New Roman" w:hAnsi="Times New Roman" w:cs="Times New Roman"/>
          <w:color w:val="000000"/>
          <w:sz w:val="24"/>
          <w:szCs w:val="24"/>
        </w:rPr>
        <w:t xml:space="preserve">cu, V. A., Gheorghe,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xml:space="preserve">, C. M., Roman, V., ...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xml:space="preserve">, M., Ionescu, V. A., Gheorghe,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C. M</w:t>
      </w:r>
      <w:r>
        <w:rPr>
          <w:rFonts w:ascii="Times New Roman" w:eastAsia="Times New Roman" w:hAnsi="Times New Roman" w:cs="Times New Roman"/>
          <w:color w:val="000000"/>
          <w:sz w:val="24"/>
          <w:szCs w:val="24"/>
        </w:rPr>
        <w:t xml:space="preserve">., Roman, V., ...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M. F., </w:t>
      </w:r>
      <w:proofErr w:type="spellStart"/>
      <w:r>
        <w:rPr>
          <w:rFonts w:ascii="Times New Roman" w:eastAsia="Times New Roman" w:hAnsi="Times New Roman" w:cs="Times New Roman"/>
          <w:color w:val="000000"/>
          <w:sz w:val="24"/>
          <w:szCs w:val="24"/>
        </w:rPr>
        <w:t>Artis</w:t>
      </w:r>
      <w:proofErr w:type="spellEnd"/>
      <w:r>
        <w:rPr>
          <w:rFonts w:ascii="Times New Roman" w:eastAsia="Times New Roman" w:hAnsi="Times New Roman" w:cs="Times New Roman"/>
          <w:color w:val="000000"/>
          <w:sz w:val="24"/>
          <w:szCs w:val="24"/>
        </w:rPr>
        <w:t>, D., &amp; Becker, C. (2025). The intestinal barrier: a pivotal role in health, inflamm</w:t>
      </w:r>
      <w:r>
        <w:rPr>
          <w:rFonts w:ascii="Times New Roman" w:eastAsia="Times New Roman" w:hAnsi="Times New Roman" w:cs="Times New Roman"/>
          <w:color w:val="000000"/>
          <w:sz w:val="24"/>
          <w:szCs w:val="24"/>
        </w:rPr>
        <w:t>ation, and cancer. The Lancet Gastroenterology &amp; Hepatology.</w:t>
      </w:r>
    </w:p>
    <w:p w:rsidR="00982323" w:rsidRDefault="002E0BB0">
      <w:pPr>
        <w:spacing w:before="240" w:after="24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Rafiei</w:t>
      </w:r>
      <w:proofErr w:type="spellEnd"/>
      <w:r>
        <w:rPr>
          <w:rFonts w:ascii="Times New Roman" w:eastAsia="Times New Roman" w:hAnsi="Times New Roman" w:cs="Times New Roman"/>
          <w:color w:val="000000"/>
          <w:sz w:val="24"/>
          <w:szCs w:val="24"/>
        </w:rPr>
        <w:t xml:space="preserve">, F., Sadeghi, A., </w:t>
      </w:r>
      <w:proofErr w:type="spellStart"/>
      <w:r>
        <w:rPr>
          <w:rFonts w:ascii="Times New Roman" w:eastAsia="Times New Roman" w:hAnsi="Times New Roman" w:cs="Times New Roman"/>
          <w:color w:val="000000"/>
          <w:sz w:val="24"/>
          <w:szCs w:val="24"/>
        </w:rPr>
        <w:t>Ataei</w:t>
      </w:r>
      <w:proofErr w:type="spellEnd"/>
      <w:r>
        <w:rPr>
          <w:rFonts w:ascii="Times New Roman" w:eastAsia="Times New Roman" w:hAnsi="Times New Roman" w:cs="Times New Roman"/>
          <w:color w:val="000000"/>
          <w:sz w:val="24"/>
          <w:szCs w:val="24"/>
        </w:rPr>
        <w:t xml:space="preserve">, E., Habibi, M. A., </w:t>
      </w:r>
      <w:proofErr w:type="spellStart"/>
      <w:r>
        <w:rPr>
          <w:rFonts w:ascii="Times New Roman" w:eastAsia="Times New Roman" w:hAnsi="Times New Roman" w:cs="Times New Roman"/>
          <w:color w:val="000000"/>
          <w:sz w:val="24"/>
          <w:szCs w:val="24"/>
        </w:rPr>
        <w:t>Pezeshgi</w:t>
      </w:r>
      <w:proofErr w:type="spellEnd"/>
      <w:r>
        <w:rPr>
          <w:rFonts w:ascii="Times New Roman" w:eastAsia="Times New Roman" w:hAnsi="Times New Roman" w:cs="Times New Roman"/>
          <w:color w:val="000000"/>
          <w:sz w:val="24"/>
          <w:szCs w:val="24"/>
        </w:rPr>
        <w:t xml:space="preserve"> Modarres, M., ... &amp; </w:t>
      </w:r>
      <w:proofErr w:type="spellStart"/>
      <w:r>
        <w:rPr>
          <w:rFonts w:ascii="Times New Roman" w:eastAsia="Times New Roman" w:hAnsi="Times New Roman" w:cs="Times New Roman"/>
          <w:color w:val="000000"/>
          <w:sz w:val="24"/>
          <w:szCs w:val="24"/>
        </w:rPr>
        <w:t>Houri</w:t>
      </w:r>
      <w:proofErr w:type="spellEnd"/>
      <w:r>
        <w:rPr>
          <w:rFonts w:ascii="Times New Roman" w:eastAsia="Times New Roman" w:hAnsi="Times New Roman" w:cs="Times New Roman"/>
          <w:color w:val="000000"/>
          <w:sz w:val="24"/>
          <w:szCs w:val="24"/>
        </w:rPr>
        <w:t>, H. (2025). Assessing the colorectal cancer landscape: A comprehensive exploration of future trends in 216 countries and territories from 2021 to 2040. Jou</w:t>
      </w:r>
      <w:r>
        <w:rPr>
          <w:rFonts w:ascii="Times New Roman" w:eastAsia="Times New Roman" w:hAnsi="Times New Roman" w:cs="Times New Roman"/>
          <w:color w:val="000000"/>
          <w:sz w:val="24"/>
          <w:szCs w:val="24"/>
        </w:rPr>
        <w:t>rnal of Epidemiology and Global Health, 15(1), 5.</w:t>
      </w:r>
    </w:p>
    <w:p w:rsidR="00982323" w:rsidRDefault="00982323">
      <w:pPr>
        <w:spacing w:before="240" w:after="240" w:line="480" w:lineRule="auto"/>
        <w:jc w:val="both"/>
        <w:rPr>
          <w:rFonts w:ascii="Times New Roman" w:eastAsia="Times New Roman" w:hAnsi="Times New Roman" w:cs="Times New Roman"/>
          <w:sz w:val="24"/>
          <w:szCs w:val="24"/>
        </w:rPr>
      </w:pP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Perl, M., </w:t>
      </w:r>
      <w:proofErr w:type="spellStart"/>
      <w:r>
        <w:rPr>
          <w:rFonts w:ascii="Times New Roman" w:eastAsia="Times New Roman" w:hAnsi="Times New Roman" w:cs="Times New Roman"/>
          <w:color w:val="000000"/>
          <w:sz w:val="24"/>
          <w:szCs w:val="24"/>
        </w:rPr>
        <w:t>Fante</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Herfeld</w:t>
      </w:r>
      <w:proofErr w:type="spellEnd"/>
      <w:r>
        <w:rPr>
          <w:rFonts w:ascii="Times New Roman" w:eastAsia="Times New Roman" w:hAnsi="Times New Roman" w:cs="Times New Roman"/>
          <w:color w:val="000000"/>
          <w:sz w:val="24"/>
          <w:szCs w:val="24"/>
        </w:rPr>
        <w:t xml:space="preserve">, K., Scherer, J. N., </w:t>
      </w:r>
      <w:proofErr w:type="spellStart"/>
      <w:r>
        <w:rPr>
          <w:rFonts w:ascii="Times New Roman" w:eastAsia="Times New Roman" w:hAnsi="Times New Roman" w:cs="Times New Roman"/>
          <w:color w:val="000000"/>
          <w:sz w:val="24"/>
          <w:szCs w:val="24"/>
        </w:rPr>
        <w:t>Poeck</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Orberg</w:t>
      </w:r>
      <w:proofErr w:type="spellEnd"/>
      <w:r>
        <w:rPr>
          <w:rFonts w:ascii="Times New Roman" w:eastAsia="Times New Roman" w:hAnsi="Times New Roman" w:cs="Times New Roman"/>
          <w:color w:val="000000"/>
          <w:sz w:val="24"/>
          <w:szCs w:val="24"/>
        </w:rPr>
        <w:t>, E. T. (2025). Microbiota-derived metabolites: Key modulators of cancer immunotherapies. Med, 6(8).</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Pignatelli, P.; Nuccio, F.; </w:t>
      </w:r>
      <w:proofErr w:type="spellStart"/>
      <w:r>
        <w:rPr>
          <w:rFonts w:ascii="Times New Roman" w:eastAsia="Times New Roman" w:hAnsi="Times New Roman" w:cs="Times New Roman"/>
          <w:color w:val="000000"/>
          <w:sz w:val="24"/>
          <w:szCs w:val="24"/>
        </w:rPr>
        <w:t>Piat</w:t>
      </w:r>
      <w:r>
        <w:rPr>
          <w:rFonts w:ascii="Times New Roman" w:eastAsia="Times New Roman" w:hAnsi="Times New Roman" w:cs="Times New Roman"/>
          <w:color w:val="000000"/>
          <w:sz w:val="24"/>
          <w:szCs w:val="24"/>
        </w:rPr>
        <w:t>telli</w:t>
      </w:r>
      <w:proofErr w:type="spellEnd"/>
      <w:r>
        <w:rPr>
          <w:rFonts w:ascii="Times New Roman" w:eastAsia="Times New Roman" w:hAnsi="Times New Roman" w:cs="Times New Roman"/>
          <w:color w:val="000000"/>
          <w:sz w:val="24"/>
          <w:szCs w:val="24"/>
        </w:rPr>
        <w:t xml:space="preserve">, A.; Curia, M.C (2023). The Role of Fusobacterium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Oral and Colorectal Carcinogenesis. Microorganisms, 11, 2358.</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Prendergast, G. C., </w:t>
      </w:r>
      <w:proofErr w:type="spellStart"/>
      <w:r>
        <w:rPr>
          <w:rFonts w:ascii="Times New Roman" w:eastAsia="Times New Roman" w:hAnsi="Times New Roman" w:cs="Times New Roman"/>
          <w:color w:val="000000"/>
          <w:sz w:val="24"/>
          <w:szCs w:val="24"/>
        </w:rPr>
        <w:t>Malachowski</w:t>
      </w:r>
      <w:proofErr w:type="spellEnd"/>
      <w:r>
        <w:rPr>
          <w:rFonts w:ascii="Times New Roman" w:eastAsia="Times New Roman" w:hAnsi="Times New Roman" w:cs="Times New Roman"/>
          <w:color w:val="000000"/>
          <w:sz w:val="24"/>
          <w:szCs w:val="24"/>
        </w:rPr>
        <w:t xml:space="preserve">, W. J., Mondal, A., </w:t>
      </w:r>
      <w:proofErr w:type="spellStart"/>
      <w:r>
        <w:rPr>
          <w:rFonts w:ascii="Times New Roman" w:eastAsia="Times New Roman" w:hAnsi="Times New Roman" w:cs="Times New Roman"/>
          <w:color w:val="000000"/>
          <w:sz w:val="24"/>
          <w:szCs w:val="24"/>
        </w:rPr>
        <w:t>Scherle</w:t>
      </w:r>
      <w:proofErr w:type="spellEnd"/>
      <w:r>
        <w:rPr>
          <w:rFonts w:ascii="Times New Roman" w:eastAsia="Times New Roman" w:hAnsi="Times New Roman" w:cs="Times New Roman"/>
          <w:color w:val="000000"/>
          <w:sz w:val="24"/>
          <w:szCs w:val="24"/>
        </w:rPr>
        <w:t>, P., &amp; Muller, A. J. (2018). Indoleamine 2, 3-dioxygenase and its</w:t>
      </w:r>
      <w:r>
        <w:rPr>
          <w:rFonts w:ascii="Times New Roman" w:eastAsia="Times New Roman" w:hAnsi="Times New Roman" w:cs="Times New Roman"/>
          <w:color w:val="000000"/>
          <w:sz w:val="24"/>
          <w:szCs w:val="24"/>
        </w:rPr>
        <w:t xml:space="preserve"> therapeutic inhibition in cancer. International review of cell and molecular biology, 336, 175-203.</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V., &amp; Quintana, F. J. (2019). The aryl hydrocarbon receptor: an environmental sensor integrating immune responses in health and disease. Nature</w:t>
      </w:r>
      <w:r>
        <w:rPr>
          <w:rFonts w:ascii="Times New Roman" w:eastAsia="Times New Roman" w:hAnsi="Times New Roman" w:cs="Times New Roman"/>
          <w:color w:val="000000"/>
          <w:sz w:val="24"/>
          <w:szCs w:val="24"/>
        </w:rPr>
        <w:t xml:space="preserve"> Reviews Immunology, 19(3), 184-197.</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Sung H, </w:t>
      </w:r>
      <w:proofErr w:type="spellStart"/>
      <w:r>
        <w:rPr>
          <w:rFonts w:ascii="Times New Roman" w:eastAsia="Times New Roman" w:hAnsi="Times New Roman" w:cs="Times New Roman"/>
          <w:color w:val="000000"/>
          <w:sz w:val="24"/>
          <w:szCs w:val="24"/>
        </w:rPr>
        <w:t>Ferlay</w:t>
      </w:r>
      <w:proofErr w:type="spellEnd"/>
      <w:r>
        <w:rPr>
          <w:rFonts w:ascii="Times New Roman" w:eastAsia="Times New Roman" w:hAnsi="Times New Roman" w:cs="Times New Roman"/>
          <w:color w:val="000000"/>
          <w:sz w:val="24"/>
          <w:szCs w:val="24"/>
        </w:rPr>
        <w:t xml:space="preserve"> J, Siegel RL,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Soerjomataram</w:t>
      </w:r>
      <w:proofErr w:type="spellEnd"/>
      <w:r>
        <w:rPr>
          <w:rFonts w:ascii="Times New Roman" w:eastAsia="Times New Roman" w:hAnsi="Times New Roman" w:cs="Times New Roman"/>
          <w:color w:val="000000"/>
          <w:sz w:val="24"/>
          <w:szCs w:val="24"/>
        </w:rPr>
        <w:t xml:space="preserve"> I, and Jemal A (2021). Global Cancer Statistics 2020: GLOBOCAN Estimates of Incidence and Mortality Worldwide for 36 Cancers in 185 Countries. CA Cancer J Clinic.</w:t>
      </w:r>
      <w:r>
        <w:rPr>
          <w:rFonts w:ascii="Times New Roman" w:eastAsia="Times New Roman" w:hAnsi="Times New Roman" w:cs="Times New Roman"/>
          <w:color w:val="000000"/>
          <w:sz w:val="24"/>
          <w:szCs w:val="24"/>
        </w:rPr>
        <w:t>;71(3):209–49.</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Xi, Y., &amp; Xu, P. (2021). Global colorectal cancer burden in 2020 and projections to 2040. Translational oncology, 14(10), 101174.</w:t>
      </w:r>
    </w:p>
    <w:p w:rsidR="00982323" w:rsidRDefault="002E0BB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Yli‐Hallila</w:t>
      </w:r>
      <w:proofErr w:type="spellEnd"/>
      <w:r>
        <w:rPr>
          <w:rFonts w:ascii="Times New Roman" w:eastAsia="Times New Roman" w:hAnsi="Times New Roman" w:cs="Times New Roman"/>
          <w:color w:val="000000"/>
          <w:sz w:val="24"/>
          <w:szCs w:val="24"/>
        </w:rPr>
        <w:t xml:space="preserve">, A., Bankhead, P., Arends, M. J., </w:t>
      </w:r>
      <w:proofErr w:type="spellStart"/>
      <w:r>
        <w:rPr>
          <w:rFonts w:ascii="Times New Roman" w:eastAsia="Times New Roman" w:hAnsi="Times New Roman" w:cs="Times New Roman"/>
          <w:color w:val="000000"/>
          <w:sz w:val="24"/>
          <w:szCs w:val="24"/>
        </w:rPr>
        <w:t>Lehenkari</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Palosaari</w:t>
      </w:r>
      <w:proofErr w:type="spellEnd"/>
      <w:r>
        <w:rPr>
          <w:rFonts w:ascii="Times New Roman" w:eastAsia="Times New Roman" w:hAnsi="Times New Roman" w:cs="Times New Roman"/>
          <w:color w:val="000000"/>
          <w:sz w:val="24"/>
          <w:szCs w:val="24"/>
        </w:rPr>
        <w:t xml:space="preserve">, S. (2025).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Edu and </w:t>
      </w:r>
      <w:proofErr w:type="spellStart"/>
      <w:r>
        <w:rPr>
          <w:rFonts w:ascii="Times New Roman" w:eastAsia="Times New Roman" w:hAnsi="Times New Roman" w:cs="Times New Roman"/>
          <w:color w:val="000000"/>
          <w:sz w:val="24"/>
          <w:szCs w:val="24"/>
        </w:rPr>
        <w:t>OpenMicroan</w:t>
      </w:r>
      <w:r>
        <w:rPr>
          <w:rFonts w:ascii="Times New Roman" w:eastAsia="Times New Roman" w:hAnsi="Times New Roman" w:cs="Times New Roman"/>
          <w:color w:val="000000"/>
          <w:sz w:val="24"/>
          <w:szCs w:val="24"/>
        </w:rPr>
        <w:t>atomy</w:t>
      </w:r>
      <w:proofErr w:type="spellEnd"/>
      <w:r>
        <w:rPr>
          <w:rFonts w:ascii="Times New Roman" w:eastAsia="Times New Roman" w:hAnsi="Times New Roman" w:cs="Times New Roman"/>
          <w:color w:val="000000"/>
          <w:sz w:val="24"/>
          <w:szCs w:val="24"/>
        </w:rPr>
        <w:t>: Open‐source virtual microscopy tools for medical education. Journal of Anatomy, 246(5), 846-856.</w:t>
      </w:r>
    </w:p>
    <w:p w:rsidR="00982323" w:rsidRDefault="002E0BB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Zou, S., Fang, L., &amp; Lee, M. H. (2018). Dysbiosis of gut microbiota in promoting the development of colorectal cancer. Gastroenterology report, 6(1), 1-</w:t>
      </w:r>
      <w:r>
        <w:rPr>
          <w:rFonts w:ascii="Times New Roman" w:eastAsia="Times New Roman" w:hAnsi="Times New Roman" w:cs="Times New Roman"/>
          <w:color w:val="000000"/>
          <w:sz w:val="24"/>
          <w:szCs w:val="24"/>
        </w:rPr>
        <w:t>12.</w:t>
      </w:r>
    </w:p>
    <w:p w:rsidR="00982323" w:rsidRDefault="00982323"/>
    <w:sectPr w:rsidR="0098232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BB0" w:rsidRDefault="002E0BB0">
      <w:pPr>
        <w:spacing w:after="0" w:line="240" w:lineRule="auto"/>
      </w:pPr>
      <w:r>
        <w:separator/>
      </w:r>
    </w:p>
  </w:endnote>
  <w:endnote w:type="continuationSeparator" w:id="0">
    <w:p w:rsidR="002E0BB0" w:rsidRDefault="002E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98232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98232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9823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BB0" w:rsidRDefault="002E0BB0">
      <w:pPr>
        <w:spacing w:after="0" w:line="240" w:lineRule="auto"/>
      </w:pPr>
      <w:r>
        <w:separator/>
      </w:r>
    </w:p>
  </w:footnote>
  <w:footnote w:type="continuationSeparator" w:id="0">
    <w:p w:rsidR="002E0BB0" w:rsidRDefault="002E0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2E0BB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2E0BB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323" w:rsidRDefault="002E0BB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323"/>
    <w:rsid w:val="000B35B7"/>
    <w:rsid w:val="002E0BB0"/>
    <w:rsid w:val="0098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5B66B06-1B43-49CF-87BB-24DF3CC8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4ED"/>
    <w:rPr>
      <w:color w:val="0563C1" w:themeColor="hyperlink"/>
      <w:u w:val="single"/>
    </w:rPr>
  </w:style>
  <w:style w:type="character" w:styleId="UnresolvedMention">
    <w:name w:val="Unresolved Mention"/>
    <w:basedOn w:val="DefaultParagraphFont"/>
    <w:uiPriority w:val="99"/>
    <w:semiHidden/>
    <w:unhideWhenUsed/>
    <w:rsid w:val="001B14ED"/>
    <w:rPr>
      <w:color w:val="605E5C"/>
      <w:shd w:val="clear" w:color="auto" w:fill="E1DFDD"/>
    </w:rPr>
  </w:style>
  <w:style w:type="paragraph" w:styleId="Header">
    <w:name w:val="header"/>
    <w:basedOn w:val="Normal"/>
    <w:link w:val="HeaderChar"/>
    <w:uiPriority w:val="99"/>
    <w:unhideWhenUsed/>
    <w:rsid w:val="00F7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F1B"/>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7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F1B"/>
    <w:rPr>
      <w:rFonts w:asciiTheme="minorHAnsi" w:eastAsiaTheme="minorHAnsi" w:hAnsiTheme="minorHAnsi" w:cstheme="minorBidi"/>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MLuR71lxOAjhXOFD3tGiRLziA==">CgMxLjAyDmguNnB3bjNwd3dyM2xzMg5oLmhwaWx4cnY5Mzh1ajIOaC5xcTFjZW54cGk4NzkyDmgucmx4bnhsZTdvdHcwMg5oLm10dmtzOWlqeHYxeTgAciExVlU4akNBbjlzN2sySTBPSFlVRkZ0MDlJSENHclVHWjk=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3084</Words>
  <Characters>17580</Characters>
  <Application>Microsoft Office Word</Application>
  <DocSecurity>0</DocSecurity>
  <Lines>146</Lines>
  <Paragraphs>41</Paragraphs>
  <ScaleCrop>false</ScaleCrop>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Ayodele</dc:creator>
  <cp:lastModifiedBy>SDI PC New 16</cp:lastModifiedBy>
  <cp:revision>3</cp:revision>
  <dcterms:created xsi:type="dcterms:W3CDTF">2025-09-17T06:41:00Z</dcterms:created>
  <dcterms:modified xsi:type="dcterms:W3CDTF">2025-09-22T11:22:00Z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32322c43-9c64-44eb-81a8-6b702e194271</vt:lpwstr>
  </property>
  <property fmtid="{D5CDD505-2E9C-101B-9397-08002B2CF9AE}" pid="3" name="ICV">
    <vt:lpwstr>7A55B7B43AA8DE639097C9688B0EB15E_33</vt:lpwstr>
  </property>
  <property fmtid="{D5CDD505-2E9C-101B-9397-08002B2CF9AE}" pid="4" name="KSOProductBuildVer">
    <vt:lpwstr>3081-11.36.02</vt:lpwstr>
  </property>
</Properties>
</file>