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0F00" w14:textId="28CF113F" w:rsidR="00BC718A" w:rsidRDefault="00157207" w:rsidP="00C16A9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proofErr w:type="spellStart"/>
      <w:r w:rsidRPr="00144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Climate</w:t>
      </w:r>
      <w:proofErr w:type="spellEnd"/>
      <w:r w:rsidRPr="00144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7227CE" w:rsidRPr="00144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="007227CE" w:rsidRPr="00144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="007227CE" w:rsidRPr="00144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Africa</w:t>
      </w:r>
      <w:proofErr w:type="spellEnd"/>
      <w:r w:rsidR="007227CE" w:rsidRPr="00144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 : </w:t>
      </w:r>
      <w:r w:rsidR="003056F0" w:rsidRPr="00144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how </w:t>
      </w:r>
      <w:proofErr w:type="spellStart"/>
      <w:r w:rsidR="003056F0" w:rsidRPr="00144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farm</w:t>
      </w:r>
      <w:proofErr w:type="spellEnd"/>
      <w:r w:rsidR="003056F0" w:rsidRPr="00144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3056F0" w:rsidRPr="00144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="003056F0" w:rsidRPr="00144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7227CE" w:rsidRPr="00144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can </w:t>
      </w:r>
      <w:proofErr w:type="spellStart"/>
      <w:r w:rsidR="007227CE" w:rsidRPr="00144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contribute</w:t>
      </w:r>
      <w:proofErr w:type="spellEnd"/>
      <w:r w:rsidR="007227CE" w:rsidRPr="00144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="00860C35" w:rsidRPr="00144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affordable</w:t>
      </w:r>
      <w:proofErr w:type="spellEnd"/>
      <w:r w:rsidR="00860C35" w:rsidRPr="001443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premium</w:t>
      </w:r>
      <w:r w:rsidR="007227CE"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="007227CE"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smallholder’s</w:t>
      </w:r>
      <w:proofErr w:type="spellEnd"/>
      <w:r w:rsidR="007227CE"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7227CE"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farmers</w:t>
      </w:r>
      <w:proofErr w:type="spellEnd"/>
      <w:r w:rsidR="007227CE"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 ?</w:t>
      </w:r>
    </w:p>
    <w:p w14:paraId="3C7B6835" w14:textId="21E7AED6" w:rsidR="0016438B" w:rsidRPr="007B45E9" w:rsidRDefault="0016438B" w:rsidP="007B45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Abstract</w:t>
      </w:r>
    </w:p>
    <w:p w14:paraId="730F6740" w14:textId="0A90AA67" w:rsidR="0016438B" w:rsidRPr="007B45E9" w:rsidRDefault="00D40D17" w:rsidP="007B4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For </w:t>
      </w:r>
      <w:proofErr w:type="spellStart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many</w:t>
      </w:r>
      <w:proofErr w:type="spellEnd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farmers</w:t>
      </w:r>
      <w:proofErr w:type="spellEnd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</w:t>
      </w:r>
      <w:proofErr w:type="spellEnd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 major obstacle to </w:t>
      </w:r>
      <w:proofErr w:type="spellStart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getting</w:t>
      </w:r>
      <w:proofErr w:type="spellEnd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cost</w:t>
      </w:r>
      <w:proofErr w:type="spellEnd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The </w:t>
      </w:r>
      <w:proofErr w:type="spellStart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affordability</w:t>
      </w:r>
      <w:proofErr w:type="spellEnd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premiums </w:t>
      </w:r>
      <w:proofErr w:type="spellStart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key issue </w:t>
      </w:r>
      <w:proofErr w:type="spellStart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prevents</w:t>
      </w:r>
      <w:proofErr w:type="spellEnd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them</w:t>
      </w:r>
      <w:proofErr w:type="spellEnd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accessing</w:t>
      </w:r>
      <w:proofErr w:type="spellEnd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40D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product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This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study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investigates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potential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finance to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bolster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resilience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across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by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analyzing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regional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variations in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sequestration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pricing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estimated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value per hectare, and agricultural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climate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premiums.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Utilizing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classification system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based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Primary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System Types and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comprehensive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secondary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data,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systematically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estimated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stock,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prices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premiums for diverse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="005C640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5C6406" w:rsidRPr="005C64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The</w:t>
      </w:r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findings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reveal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significant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regional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disparities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East and Central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characterized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by Highland, Mixed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Farming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Humid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Forest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systems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exhibit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highest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sequestration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potential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subsequently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value per hectare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comfortably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exceeds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premiums. Farmers in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can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fully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offset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costs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through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credits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generating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substantial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surpluses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(up to $24/ha in East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$44/ha in Central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),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offering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viable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pathway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self-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financed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climate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risk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transfer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="005C640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In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contrast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the West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Sahel,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dominated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by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Rainfed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Cropland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Pasture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systems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faces a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critical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financial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4957CD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gap :</w:t>
      </w:r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its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lower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sequestration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capacity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prices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mean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estimated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value per hectare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falls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short of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covering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premiums,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requiring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up to a 30%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farmer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contribution. This highlights the impact of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nascent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market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development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severe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climate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vulnerability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Southern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while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having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highest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premiums ($22.5/ha) due to high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investment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capital and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climate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risks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still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generates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sufficient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value (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surplus of $75/ha) to cover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costs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="00E5799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</w:t>
      </w:r>
      <w:r w:rsidR="00E306C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arbon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finance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presents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powerful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nature-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based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solution for agricultural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climate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much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However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differentiated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approach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essential.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While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East, Central, and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Southern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can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leverage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credits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self-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sustaining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climate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risk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management, the West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Sahel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necessitates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targeted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interventions and innovative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financial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instruments to bridge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its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unique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funding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gap,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ensuring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equitable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climate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resilience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all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farming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communities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="00602C1E" w:rsidRPr="00602C1E">
        <w:t xml:space="preserve"> </w:t>
      </w:r>
      <w:proofErr w:type="spellStart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These</w:t>
      </w:r>
      <w:proofErr w:type="spellEnd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 xml:space="preserve"> </w:t>
      </w:r>
      <w:proofErr w:type="spellStart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findings</w:t>
      </w:r>
      <w:proofErr w:type="spellEnd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 xml:space="preserve"> highlight the </w:t>
      </w:r>
      <w:proofErr w:type="spellStart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need</w:t>
      </w:r>
      <w:proofErr w:type="spellEnd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 xml:space="preserve"> for </w:t>
      </w:r>
      <w:proofErr w:type="spellStart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region-specific</w:t>
      </w:r>
      <w:proofErr w:type="spellEnd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 xml:space="preserve"> </w:t>
      </w:r>
      <w:proofErr w:type="spellStart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strategies</w:t>
      </w:r>
      <w:proofErr w:type="spellEnd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 xml:space="preserve"> to </w:t>
      </w:r>
      <w:proofErr w:type="spellStart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link</w:t>
      </w:r>
      <w:proofErr w:type="spellEnd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 xml:space="preserve"> </w:t>
      </w:r>
      <w:proofErr w:type="spellStart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carbon</w:t>
      </w:r>
      <w:proofErr w:type="spellEnd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 xml:space="preserve"> </w:t>
      </w:r>
      <w:proofErr w:type="spellStart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markets</w:t>
      </w:r>
      <w:proofErr w:type="spellEnd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 xml:space="preserve"> </w:t>
      </w:r>
      <w:proofErr w:type="spellStart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with</w:t>
      </w:r>
      <w:proofErr w:type="spellEnd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 xml:space="preserve"> agricultural </w:t>
      </w:r>
      <w:proofErr w:type="spellStart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risk</w:t>
      </w:r>
      <w:proofErr w:type="spellEnd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 xml:space="preserve"> </w:t>
      </w:r>
      <w:proofErr w:type="spellStart"/>
      <w:r w:rsidR="00602C1E" w:rsidRPr="00602C1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financing</w:t>
      </w:r>
      <w:proofErr w:type="spellEnd"/>
    </w:p>
    <w:p w14:paraId="30F8FD95" w14:textId="21C1C701" w:rsidR="0016438B" w:rsidRPr="007B45E9" w:rsidRDefault="007B45E9" w:rsidP="007B4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Keywords</w:t>
      </w:r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 : Agricultural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Systems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Carbon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Sequestration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Carbon Finan</w:t>
      </w:r>
      <w:r w:rsidR="0016438B" w:rsidRPr="00A5498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c</w:t>
      </w:r>
      <w:r w:rsidR="00A54989" w:rsidRPr="00A5498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e</w:t>
      </w:r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Climate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</w:t>
      </w:r>
      <w:r w:rsidR="0016438B" w:rsidRPr="00A5498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c</w:t>
      </w:r>
      <w:r w:rsidR="00A54989" w:rsidRPr="00A5498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Regional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Analysis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Agriculture</w:t>
      </w:r>
    </w:p>
    <w:p w14:paraId="169136A6" w14:textId="77777777" w:rsidR="007B45E9" w:rsidRPr="007B45E9" w:rsidRDefault="007B45E9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7FACD" w14:textId="2F198C62" w:rsidR="0016438B" w:rsidRPr="007B45E9" w:rsidRDefault="0065658C" w:rsidP="007B45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="0016438B"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BD5E77" w14:textId="599E54E8" w:rsidR="0016438B" w:rsidRPr="007B45E9" w:rsidRDefault="0016438B" w:rsidP="007B4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Smallholder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face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range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shocks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challenges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beyond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control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can have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drastic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impact on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incomes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livelihoods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include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unexpected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non-agricultural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events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health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problems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events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market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fluctuations 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pest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disease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infestations.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Climate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change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key driver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behind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</w:t>
      </w: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shocks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.(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Rishi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Raithatha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Jan Priebe 2020)</w:t>
      </w:r>
      <w:r w:rsidR="00C16A9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plays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vital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safeguarding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smallholder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devastating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impacts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climate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change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other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risks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However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adoption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remains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exceptionally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low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leaving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millions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vulnerable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financial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ruin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</w:t>
      </w:r>
      <w:r w:rsidRPr="007B45E9">
        <w:rPr>
          <w:rFonts w:ascii="Times New Roman" w:hAnsi="Times New Roman" w:cs="Times New Roman"/>
          <w:sz w:val="24"/>
          <w:szCs w:val="24"/>
        </w:rPr>
        <w:t xml:space="preserve">OKO finance </w:t>
      </w:r>
      <w:r w:rsidR="00A43299" w:rsidRPr="007B45E9">
        <w:rPr>
          <w:rFonts w:ascii="Times New Roman" w:hAnsi="Times New Roman" w:cs="Times New Roman"/>
          <w:sz w:val="24"/>
          <w:szCs w:val="24"/>
        </w:rPr>
        <w:t>2024)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0BDDECD3" w14:textId="7B36E4A5" w:rsidR="0016438B" w:rsidRPr="007B45E9" w:rsidRDefault="0016438B" w:rsidP="007B4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primary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reasons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low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adoption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among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smallholder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rooted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economic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realities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perceptions. Low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irregular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income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coupled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severe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cash-flow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constraints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severely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limit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ability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premiums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upfront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particularly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at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beginning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planting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season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when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funds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urgently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needed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essential inputs like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seeds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fertilizers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critical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timing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between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income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cycles and premium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payment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schedules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significantly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reduces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willingness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ability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purchase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="00284AB1">
        <w:fldChar w:fldCharType="begin"/>
      </w:r>
      <w:r w:rsidR="00284AB1">
        <w:instrText>HYPERLINK "https://onlinelibrary.wiley.com/authored-by/Liu/Yanyan"</w:instrText>
      </w:r>
      <w:r w:rsidR="00284AB1">
        <w:fldChar w:fldCharType="separate"/>
      </w:r>
      <w:r w:rsidR="00284AB1" w:rsidRPr="007B45E9">
        <w:rPr>
          <w:rStyle w:val="Lienhypertexte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fr-FR"/>
          <w14:ligatures w14:val="none"/>
        </w:rPr>
        <w:t>Yanyan</w:t>
      </w:r>
      <w:proofErr w:type="spellEnd"/>
      <w:r w:rsidR="00284AB1" w:rsidRPr="007B45E9">
        <w:rPr>
          <w:rStyle w:val="Lienhypertexte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fr-FR"/>
          <w14:ligatures w14:val="none"/>
        </w:rPr>
        <w:t xml:space="preserve"> Liu</w:t>
      </w:r>
      <w:r w:rsidR="00284AB1">
        <w:fldChar w:fldCharType="end"/>
      </w:r>
      <w:r w:rsidR="00284AB1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al 2020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).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Many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smallholders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also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entrenched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poverty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financial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vulnerability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burdened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by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household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debt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grappling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escalating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input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costs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economic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pressures compound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inability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afford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premiums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without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crucial intervention of subsidies or flexible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payment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options (</w:t>
      </w:r>
      <w:r w:rsidR="00284AB1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Cole et al 2013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).</w:t>
      </w:r>
    </w:p>
    <w:p w14:paraId="5BD31C37" w14:textId="10E6BBBF" w:rsidR="0016438B" w:rsidRPr="007B45E9" w:rsidRDefault="0016438B" w:rsidP="007B4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Beyond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financial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limitations, a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significant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barrier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lies in the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lack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awareness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understanding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products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Farmers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frequently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possess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limited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knowledge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about the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benefits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mechanisms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pricing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agricultural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This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informational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asymmetry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fosters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low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trust and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diminishes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motivation to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purchase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such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products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(Martina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MascarenhasAnne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G.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TimuLiangzhi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You 2024).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Furthermore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risk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perception and motivation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play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pivotal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Farmers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may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not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perceive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 a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necessary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valuable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tool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if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they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rely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traditional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risk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management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strategies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They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may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also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harbor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doubts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about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receiving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payouts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especially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the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context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index-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based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schemes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where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payouts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triggered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by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external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indices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rather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than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individual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losses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leading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skepticism</w:t>
      </w:r>
      <w:proofErr w:type="spellEnd"/>
      <w:r w:rsidRPr="00D05C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a reluctance to engage </w:t>
      </w:r>
    </w:p>
    <w:p w14:paraId="4CEE4159" w14:textId="336A3EFD" w:rsidR="0016438B" w:rsidRPr="007B45E9" w:rsidRDefault="00A43299" w:rsidP="007B4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Moreover,t</w:t>
      </w:r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</w:t>
      </w:r>
      <w:proofErr w:type="spellEnd"/>
      <w:proofErr w:type="gram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supply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side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agricultural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smallholders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presents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its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own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set of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significant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challenges</w:t>
      </w:r>
      <w:proofErr w:type="gram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insurers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High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operational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distribution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costs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 a major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deterrent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Serving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smallholder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farmers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remote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rural areas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logistically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complex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expensive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due to the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small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size of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individual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the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dispersed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nature of the population. This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inflates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cost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per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insured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farmer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ultimately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leading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higher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premiums</w:t>
      </w:r>
      <w:r w:rsidR="00C16A9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Adding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this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financial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burden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high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risk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frequency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payouts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Agricultural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risks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such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droughts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floods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pest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outbreaks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are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correlated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can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catastrophic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resulting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frequent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substantial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payouts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This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elevated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risk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profile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makes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challenging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insurers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offer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affordable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premiums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without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support of subsidies or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robust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risk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-sharing </w:t>
      </w:r>
      <w:proofErr w:type="spellStart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mechanisms</w:t>
      </w:r>
      <w:proofErr w:type="spellEnd"/>
      <w:r w:rsidR="0016438B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6B4DC53A" w14:textId="334F6B4B" w:rsidR="0016438B" w:rsidRPr="007B45E9" w:rsidRDefault="0016438B" w:rsidP="007B4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Consequently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low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profitability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becomes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disincentive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Smallholders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generally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perceived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low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-profit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customers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due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limited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ability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the high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costs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associated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servicing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needs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discourages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developing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marketing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affordable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products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tailored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segment.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Moreover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complexity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designing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suitable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products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further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complicates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landscape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products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must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meticulously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tailored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specific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risks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diverse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needs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smallholders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demanding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detailed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risk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analysis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innovative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product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development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both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which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can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costly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intricate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endeavors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2194305E" w14:textId="5161E879" w:rsidR="0016438B" w:rsidRPr="007B45E9" w:rsidRDefault="0016438B" w:rsidP="007B4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broader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enabling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environment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significantly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influences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viability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accessibility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critical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missing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piece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many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4957C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are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lack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government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subsidies or support.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Without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well-targeted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subsidies or public backing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reduce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premiums,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remains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unaffordable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smallholders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hindering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widespread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adoption (Martina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MascarenhasAnne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G.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TimuLiangzhi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You 2024).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Furthermore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weak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policy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legal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regulatory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frameworks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can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severely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impede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development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inclusive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markets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Inadequate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frameworks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can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limit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ability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implement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innovative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payment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 distribution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mechanisms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thereby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stifling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market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growth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essential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services (Martina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Mascarenhas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Anne G.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Timu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Liangzhi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You 2024).</w:t>
      </w:r>
    </w:p>
    <w:p w14:paraId="4D104803" w14:textId="73E608BA" w:rsidR="0016438B" w:rsidRPr="007B45E9" w:rsidRDefault="0016438B" w:rsidP="007B4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Addressing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multifaceted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challenges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some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comprehensive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approach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encompassing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various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innovative solutions have been </w:t>
      </w: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proposed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 :.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Flexible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payment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options,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pay-after-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harvest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(PAH)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models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installment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payments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aligned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'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income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cycles, can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effectively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overcome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liquidity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constraints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</w:t>
      </w:r>
      <w:r w:rsidR="003220AE" w:rsidRPr="003220A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Dean</w:t>
      </w:r>
      <w:r w:rsidR="003220AE" w:rsidRPr="003220A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3220A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 xml:space="preserve">et al ; </w:t>
      </w:r>
      <w:proofErr w:type="gramStart"/>
      <w:r w:rsidR="003220A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2014 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Bundling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credit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 inputs, by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linking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premiums to input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loans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deducting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at the point of sale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produce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can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also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significantly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reduce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upfront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payment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barriers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(Martina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Mascarenhas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Anne G.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Timu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Liangzhi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You 2024). The use of digital technologies,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including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mobile money, satellite data, and digital platforms,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offers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immense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potential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reduce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operational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costs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enhance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transparency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streamline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distribution,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expedite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claims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processing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(5).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Crucially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government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donor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subsidies,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along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risk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-sharing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mechanisms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are essential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improve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affordability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encourage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uptake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though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necessitate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clear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exit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strategies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ensure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long-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term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sustainability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(Martina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Mascarenhas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Anne G.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Timu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Liangzhi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You 2024).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Finally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education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transparent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pricing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paramount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Enhancing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education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benefits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ensuring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transparent communication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pricing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builds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trust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stimulates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demand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(Martina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Mascarenhas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 </w:t>
      </w:r>
      <w:hyperlink r:id="rId8" w:history="1">
        <w:r w:rsidRPr="007B45E9">
          <w:rPr>
            <w:rStyle w:val="Lienhypertext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fr-FR"/>
            <w14:ligatures w14:val="none"/>
          </w:rPr>
          <w:t xml:space="preserve">Anne G. </w:t>
        </w:r>
        <w:proofErr w:type="spellStart"/>
        <w:r w:rsidRPr="007B45E9">
          <w:rPr>
            <w:rStyle w:val="Lienhypertext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fr-FR"/>
            <w14:ligatures w14:val="none"/>
          </w:rPr>
          <w:t>Timu</w:t>
        </w:r>
        <w:proofErr w:type="spellEnd"/>
      </w:hyperlink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and </w:t>
      </w:r>
      <w:proofErr w:type="spellStart"/>
      <w:r>
        <w:fldChar w:fldCharType="begin"/>
      </w:r>
      <w:r>
        <w:instrText>HYPERLINK "https://www.ifpri.org/profile/liangzhi-you/"</w:instrText>
      </w:r>
      <w:r>
        <w:fldChar w:fldCharType="separate"/>
      </w:r>
      <w:r w:rsidRPr="007B45E9">
        <w:rPr>
          <w:rStyle w:val="Lienhypertexte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fr-FR"/>
          <w14:ligatures w14:val="none"/>
        </w:rPr>
        <w:t>Liangzhi</w:t>
      </w:r>
      <w:proofErr w:type="spellEnd"/>
      <w:r w:rsidRPr="007B45E9">
        <w:rPr>
          <w:rStyle w:val="Lienhypertexte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fr-FR"/>
          <w14:ligatures w14:val="none"/>
        </w:rPr>
        <w:t xml:space="preserve"> You</w:t>
      </w:r>
      <w:r>
        <w:fldChar w:fldCharType="end"/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2024).</w:t>
      </w:r>
    </w:p>
    <w:p w14:paraId="04A767F8" w14:textId="77777777" w:rsidR="0016438B" w:rsidRPr="007B45E9" w:rsidRDefault="0016438B" w:rsidP="007B4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Despite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promising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solutions, a persistent challenge </w:t>
      </w: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remains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securing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sustainable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scalable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funding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make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truly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affordable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vast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majority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smallholder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where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credits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emerge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could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play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 </w:t>
      </w:r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crucial and innovative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financing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mechanism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By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engaging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sustainable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practices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sequester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reduce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greenhouse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gas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emissions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–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improved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soil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management,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agroforestry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reduced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fertilizer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use –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smallholder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can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generate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credits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credits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can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sold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voluntary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markets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providing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direct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revenue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stream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This revenue can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strategically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channeled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directly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subsidize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premiums,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making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more accessible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affordable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very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contributing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climate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mitigation.</w:t>
      </w:r>
    </w:p>
    <w:p w14:paraId="254C5682" w14:textId="77777777" w:rsidR="0016438B" w:rsidRPr="007B45E9" w:rsidRDefault="0016438B" w:rsidP="007B4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Given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generation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credits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by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smallholder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offers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dual </w:t>
      </w: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benefit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incentivizes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climate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-smart agriculture,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fostering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environmental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sustainability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while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simultaneously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providing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dedicated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market-based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funding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source can use to bridge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affordability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gap in agricultural </w:t>
      </w: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..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By leveraging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growing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global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demand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offsets,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approach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could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offers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sustainable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scalable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pathway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ensure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affordable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becomes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reality for millions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smallholder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empowering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withstand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climate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shocks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secure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livelihoods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aimed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investigate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perspective</w:t>
      </w:r>
    </w:p>
    <w:p w14:paraId="69537731" w14:textId="77777777" w:rsidR="007B45E9" w:rsidRDefault="007B45E9" w:rsidP="007B45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F82A7" w14:textId="3358CBEA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II METHOD </w:t>
      </w:r>
    </w:p>
    <w:p w14:paraId="0E64412C" w14:textId="4B49A2FC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proofErr w:type="spellStart"/>
      <w:r w:rsidR="003879D6" w:rsidRPr="007B45E9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="003879D6"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area</w:t>
      </w:r>
    </w:p>
    <w:p w14:paraId="3724FC3E" w14:textId="31B1A5FA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sz w:val="24"/>
          <w:szCs w:val="24"/>
        </w:rPr>
        <w:t xml:space="preserve">For This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regionalization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arbitrary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meticulously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out by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grouping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countries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similarities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prevailing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issues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countries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comparable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climatic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conditions, face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weather-related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45E9">
        <w:rPr>
          <w:rFonts w:ascii="Times New Roman" w:hAnsi="Times New Roman" w:cs="Times New Roman"/>
          <w:sz w:val="24"/>
          <w:szCs w:val="24"/>
        </w:rPr>
        <w:t>challenges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meteorological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For instance, countries in one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predominantly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arid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conditions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drought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humid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tropical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heavy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rainfall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split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facilitate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more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coherent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manageable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By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aggregating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countries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profiles,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r w:rsidR="00E26194" w:rsidRPr="007B45E9">
        <w:rPr>
          <w:rFonts w:ascii="Times New Roman" w:hAnsi="Times New Roman" w:cs="Times New Roman"/>
          <w:sz w:val="24"/>
          <w:szCs w:val="24"/>
        </w:rPr>
        <w:t>can :</w:t>
      </w:r>
    </w:p>
    <w:p w14:paraId="20EDA666" w14:textId="77777777" w:rsidR="0016438B" w:rsidRPr="007B45E9" w:rsidRDefault="0016438B" w:rsidP="007B45E9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Simplify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 w:rsidRPr="007B45E9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analyzing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54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countries, the focus can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narrowed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to six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patterns and trends more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discernible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.</w:t>
      </w:r>
    </w:p>
    <w:p w14:paraId="581562A8" w14:textId="667E05B2" w:rsidR="0016438B" w:rsidRPr="007B45E9" w:rsidRDefault="0016438B" w:rsidP="007B45E9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sz w:val="24"/>
          <w:szCs w:val="24"/>
        </w:rPr>
        <w:lastRenderedPageBreak/>
        <w:t xml:space="preserve">Highlight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r w:rsidR="004F56BB" w:rsidRPr="007B45E9">
        <w:rPr>
          <w:rFonts w:ascii="Times New Roman" w:hAnsi="Times New Roman" w:cs="Times New Roman"/>
          <w:sz w:val="24"/>
          <w:szCs w:val="24"/>
        </w:rPr>
        <w:t>Trends :</w:t>
      </w:r>
      <w:r w:rsidRPr="007B45E9">
        <w:rPr>
          <w:rFonts w:ascii="Times New Roman" w:hAnsi="Times New Roman" w:cs="Times New Roman"/>
          <w:sz w:val="24"/>
          <w:szCs w:val="24"/>
        </w:rPr>
        <w:t xml:space="preserve"> This division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 the identification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weather-related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issues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endemic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enabling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more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targeted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impacts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solutions.</w:t>
      </w:r>
    </w:p>
    <w:p w14:paraId="4776AB6F" w14:textId="77777777" w:rsidR="0016438B" w:rsidRPr="007B45E9" w:rsidRDefault="0016438B" w:rsidP="007B45E9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45E9">
        <w:rPr>
          <w:rFonts w:ascii="Times New Roman" w:hAnsi="Times New Roman" w:cs="Times New Roman"/>
          <w:sz w:val="24"/>
          <w:szCs w:val="24"/>
        </w:rPr>
        <w:t>Comparability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Comparing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countries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regionally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homogenous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group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more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robust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basis for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drawing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conclusions, as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climatic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variables are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largely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consistent.</w:t>
      </w:r>
    </w:p>
    <w:p w14:paraId="2E9BAA73" w14:textId="77777777" w:rsidR="0016438B" w:rsidRPr="007B45E9" w:rsidRDefault="0016438B" w:rsidP="007B45E9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Policy </w:t>
      </w:r>
      <w:proofErr w:type="spellStart"/>
      <w:proofErr w:type="gramStart"/>
      <w:r w:rsidRPr="007B45E9"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unique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45E9">
        <w:rPr>
          <w:rFonts w:ascii="Times New Roman" w:hAnsi="Times New Roman" w:cs="Times New Roman"/>
          <w:sz w:val="24"/>
          <w:szCs w:val="24"/>
        </w:rPr>
        <w:t>challenges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can lead to more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tailored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and effective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one-size-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fits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-all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.</w:t>
      </w:r>
    </w:p>
    <w:p w14:paraId="24E6D18D" w14:textId="0D7A806F" w:rsidR="0016438B" w:rsidRPr="007B45E9" w:rsidRDefault="0065658C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sz w:val="24"/>
          <w:szCs w:val="24"/>
        </w:rPr>
        <w:t>Figure</w:t>
      </w:r>
      <w:r w:rsidR="0016438B" w:rsidRPr="007B45E9">
        <w:rPr>
          <w:rFonts w:ascii="Times New Roman" w:hAnsi="Times New Roman" w:cs="Times New Roman"/>
          <w:sz w:val="24"/>
          <w:szCs w:val="24"/>
        </w:rPr>
        <w:t xml:space="preserve"> 1, as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referenced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breakdown of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six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countries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assigned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. This table serves as the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foundational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scope of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subsequent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structured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and relevant to the distinct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continent. This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methodical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underscores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study's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commitment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to a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nuanced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Africa's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38B" w:rsidRPr="007B45E9">
        <w:rPr>
          <w:rFonts w:ascii="Times New Roman" w:hAnsi="Times New Roman" w:cs="Times New Roman"/>
          <w:sz w:val="24"/>
          <w:szCs w:val="24"/>
        </w:rPr>
        <w:t>landscape</w:t>
      </w:r>
      <w:proofErr w:type="spellEnd"/>
      <w:r w:rsidR="0016438B" w:rsidRPr="007B45E9">
        <w:rPr>
          <w:rFonts w:ascii="Times New Roman" w:hAnsi="Times New Roman" w:cs="Times New Roman"/>
          <w:sz w:val="24"/>
          <w:szCs w:val="24"/>
        </w:rPr>
        <w:t>. 5</w:t>
      </w:r>
    </w:p>
    <w:p w14:paraId="4601C48C" w14:textId="7777777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1CA322" wp14:editId="3AAB3794">
            <wp:extent cx="5760720" cy="4074160"/>
            <wp:effectExtent l="0" t="0" r="0" b="2540"/>
            <wp:docPr id="21351095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78142" w14:textId="2F9DE34A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>Figure 1</w:t>
      </w:r>
      <w:r w:rsidRPr="007B45E9">
        <w:rPr>
          <w:rFonts w:ascii="Times New Roman" w:hAnsi="Times New Roman" w:cs="Times New Roman"/>
          <w:sz w:val="24"/>
          <w:szCs w:val="24"/>
        </w:rPr>
        <w:t xml:space="preserve"> : The six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countries</w:t>
      </w:r>
    </w:p>
    <w:p w14:paraId="1B66C3CE" w14:textId="7777777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Primary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Agricultural System Type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used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per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for Analyses</w:t>
      </w:r>
    </w:p>
    <w:p w14:paraId="511969E8" w14:textId="7C2FDA5B" w:rsidR="0016438B" w:rsidRPr="007B45E9" w:rsidRDefault="0016438B" w:rsidP="007B4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effectively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investigate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6507D3" w:rsidRPr="006507D3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the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questions,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was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crucial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categorize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diverse agricultural practices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observed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Therefore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for th</w:t>
      </w:r>
      <w:r w:rsidR="006507D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purposes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investigation, a classification system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based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Primary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System Types</w:t>
      </w:r>
      <w:r w:rsidR="006507D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has been </w:t>
      </w:r>
      <w:proofErr w:type="spellStart"/>
      <w:proofErr w:type="gramStart"/>
      <w:r w:rsidR="006507D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employed</w:t>
      </w:r>
      <w:proofErr w:type="spellEnd"/>
      <w:r w:rsidR="006507D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detailed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Table </w:t>
      </w:r>
      <w:r w:rsidR="0065658C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1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="0065658C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categorization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was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not </w:t>
      </w: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arbitrary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;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rather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served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fundamental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framework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streamline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our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analysis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draw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more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meaningful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insights. By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grouping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activities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into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distinct system types,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could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</w:p>
    <w:p w14:paraId="5700BC60" w14:textId="77777777" w:rsidR="0016438B" w:rsidRPr="007B45E9" w:rsidRDefault="0016438B" w:rsidP="007B45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Standardize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comparisons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It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allowed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us to compare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contrast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different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approaches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common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basis,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even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occurred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varied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geographical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socio-economic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contexts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52479992" w14:textId="4714842E" w:rsidR="0016438B" w:rsidRPr="007B45E9" w:rsidRDefault="0016438B" w:rsidP="007B45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Identify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common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characteristics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gramStart"/>
      <w:r w:rsidR="006507D3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challenges</w:t>
      </w:r>
      <w:proofErr w:type="gramEnd"/>
      <w:r w:rsidR="006507D3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Each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system type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own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set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inherent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characteristics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resource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requirements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environmental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challenges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Grouping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enabled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us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better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shared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aspects.</w:t>
      </w:r>
    </w:p>
    <w:p w14:paraId="1FDB690E" w14:textId="77777777" w:rsidR="0016438B" w:rsidRPr="007B45E9" w:rsidRDefault="0016438B" w:rsidP="007B45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Facilitate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data </w:t>
      </w: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aggregation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Instead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analyzing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countless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individual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 micro-practices,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could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aggregate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data at the system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level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making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overall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analysis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more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manageable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comprehensible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3F5A10F5" w14:textId="77777777" w:rsidR="0016438B" w:rsidRPr="007B45E9" w:rsidRDefault="0016438B" w:rsidP="007B45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Derive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targeted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conclusions : By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performance and impacts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each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primary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system type,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could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formulate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more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precise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conclusions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recommendations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relevant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specific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contexts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7D495CCB" w14:textId="0A0B9513" w:rsidR="0016438B" w:rsidRPr="007B45E9" w:rsidRDefault="0016438B" w:rsidP="007B4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Table </w:t>
      </w:r>
      <w:r w:rsidR="0065658C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1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referenced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our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methodology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comprehensively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lists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Primary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System Types. It serves as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bedrock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landscape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within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scope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investigation,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ensuring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our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findings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systematically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organized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directly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comparable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across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different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modalities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structured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approach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vital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drawing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robust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conclusions about the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sector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study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0279D721" w14:textId="58BC3E41" w:rsidR="0016438B" w:rsidRPr="007B45E9" w:rsidRDefault="0016438B" w:rsidP="007B4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Table </w:t>
      </w:r>
      <w:r w:rsidR="0065658C"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 :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Primary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System Type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used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per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Regions</w:t>
      </w:r>
      <w:proofErr w:type="spellEnd"/>
    </w:p>
    <w:tbl>
      <w:tblPr>
        <w:tblStyle w:val="Tableausimple5"/>
        <w:tblW w:w="0" w:type="auto"/>
        <w:tblLook w:val="04A0" w:firstRow="1" w:lastRow="0" w:firstColumn="1" w:lastColumn="0" w:noHBand="0" w:noVBand="1"/>
      </w:tblPr>
      <w:tblGrid>
        <w:gridCol w:w="470"/>
        <w:gridCol w:w="3370"/>
        <w:gridCol w:w="4822"/>
      </w:tblGrid>
      <w:tr w:rsidR="0016438B" w:rsidRPr="007B45E9" w14:paraId="26199853" w14:textId="77777777" w:rsidTr="00387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173EB860" w14:textId="77777777" w:rsidR="0016438B" w:rsidRPr="007B45E9" w:rsidRDefault="0016438B" w:rsidP="007B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E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N</w:t>
            </w:r>
            <w:r w:rsidRPr="007B45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0" w:type="auto"/>
          </w:tcPr>
          <w:p w14:paraId="5C33F4DF" w14:textId="77777777" w:rsidR="0016438B" w:rsidRPr="007B45E9" w:rsidRDefault="0016438B" w:rsidP="007B4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7B45E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Africa</w:t>
            </w:r>
            <w:proofErr w:type="spellEnd"/>
            <w:r w:rsidRPr="007B45E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7B45E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Regions</w:t>
            </w:r>
            <w:proofErr w:type="spellEnd"/>
          </w:p>
        </w:tc>
        <w:tc>
          <w:tcPr>
            <w:tcW w:w="0" w:type="auto"/>
          </w:tcPr>
          <w:p w14:paraId="5045F01E" w14:textId="77777777" w:rsidR="0016438B" w:rsidRPr="007B45E9" w:rsidRDefault="0016438B" w:rsidP="007B4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bookmarkStart w:id="0" w:name="_Hlk199694491"/>
            <w:proofErr w:type="spellStart"/>
            <w:r w:rsidRPr="007B45E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Primary</w:t>
            </w:r>
            <w:proofErr w:type="spellEnd"/>
            <w:r w:rsidRPr="007B45E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Agricultural System Type</w:t>
            </w:r>
            <w:bookmarkEnd w:id="0"/>
          </w:p>
        </w:tc>
      </w:tr>
      <w:tr w:rsidR="0016438B" w:rsidRPr="007B45E9" w14:paraId="11FFF8C1" w14:textId="77777777" w:rsidTr="00387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F5716F" w14:textId="77777777" w:rsidR="0016438B" w:rsidRPr="007B45E9" w:rsidRDefault="0016438B" w:rsidP="007B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90D7B86" w14:textId="77777777" w:rsidR="0016438B" w:rsidRPr="007B45E9" w:rsidRDefault="0016438B" w:rsidP="007B45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5E9">
              <w:rPr>
                <w:rFonts w:ascii="Times New Roman" w:hAnsi="Times New Roman" w:cs="Times New Roman"/>
                <w:sz w:val="24"/>
                <w:szCs w:val="24"/>
              </w:rPr>
              <w:t xml:space="preserve">North 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Africa</w:t>
            </w:r>
            <w:proofErr w:type="spellEnd"/>
          </w:p>
        </w:tc>
        <w:tc>
          <w:tcPr>
            <w:tcW w:w="0" w:type="auto"/>
          </w:tcPr>
          <w:p w14:paraId="4548B978" w14:textId="77777777" w:rsidR="0016438B" w:rsidRPr="007B45E9" w:rsidRDefault="0016438B" w:rsidP="007B45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Arid</w:t>
            </w:r>
            <w:proofErr w:type="spellEnd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Semi-arid</w:t>
            </w:r>
            <w:proofErr w:type="spellEnd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Irrigated</w:t>
            </w:r>
            <w:proofErr w:type="spellEnd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Croplands</w:t>
            </w:r>
            <w:proofErr w:type="spellEnd"/>
          </w:p>
        </w:tc>
      </w:tr>
      <w:tr w:rsidR="0016438B" w:rsidRPr="007B45E9" w14:paraId="27A8F13D" w14:textId="77777777" w:rsidTr="00387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F6B485" w14:textId="77777777" w:rsidR="0016438B" w:rsidRPr="007B45E9" w:rsidRDefault="0016438B" w:rsidP="007B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A7812D4" w14:textId="77777777" w:rsidR="0016438B" w:rsidRPr="007B45E9" w:rsidRDefault="0016438B" w:rsidP="007B45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5E9">
              <w:rPr>
                <w:rFonts w:ascii="Times New Roman" w:hAnsi="Times New Roman" w:cs="Times New Roman"/>
                <w:sz w:val="24"/>
                <w:szCs w:val="24"/>
              </w:rPr>
              <w:t xml:space="preserve">West 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Africa</w:t>
            </w:r>
            <w:proofErr w:type="spellEnd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 xml:space="preserve"> (Sahel)</w:t>
            </w:r>
          </w:p>
        </w:tc>
        <w:tc>
          <w:tcPr>
            <w:tcW w:w="0" w:type="auto"/>
          </w:tcPr>
          <w:p w14:paraId="7B7737E9" w14:textId="77777777" w:rsidR="0016438B" w:rsidRPr="007B45E9" w:rsidRDefault="0016438B" w:rsidP="007B45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Semi-arid</w:t>
            </w:r>
            <w:proofErr w:type="spellEnd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Rainfed</w:t>
            </w:r>
            <w:proofErr w:type="spellEnd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Croplands</w:t>
            </w:r>
            <w:proofErr w:type="spellEnd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, Pasture</w:t>
            </w:r>
          </w:p>
        </w:tc>
      </w:tr>
      <w:tr w:rsidR="0016438B" w:rsidRPr="007B45E9" w14:paraId="681E7425" w14:textId="77777777" w:rsidTr="00387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3B73ED" w14:textId="77777777" w:rsidR="0016438B" w:rsidRPr="007B45E9" w:rsidRDefault="0016438B" w:rsidP="007B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EDAF881" w14:textId="77777777" w:rsidR="0016438B" w:rsidRPr="007B45E9" w:rsidRDefault="0016438B" w:rsidP="007B45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5E9">
              <w:rPr>
                <w:rFonts w:ascii="Times New Roman" w:hAnsi="Times New Roman" w:cs="Times New Roman"/>
                <w:sz w:val="24"/>
                <w:szCs w:val="24"/>
              </w:rPr>
              <w:t xml:space="preserve">West 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Africa</w:t>
            </w:r>
            <w:proofErr w:type="spellEnd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Humid</w:t>
            </w:r>
            <w:proofErr w:type="spellEnd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Sub-humid</w:t>
            </w:r>
            <w:proofErr w:type="spellEnd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17C498E" w14:textId="77777777" w:rsidR="0016438B" w:rsidRPr="007B45E9" w:rsidRDefault="0016438B" w:rsidP="007B45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Humid</w:t>
            </w:r>
            <w:proofErr w:type="spellEnd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Sub-humid</w:t>
            </w:r>
            <w:proofErr w:type="spellEnd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Croplands</w:t>
            </w:r>
            <w:proofErr w:type="spellEnd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Agroforestry</w:t>
            </w:r>
            <w:proofErr w:type="spellEnd"/>
          </w:p>
        </w:tc>
      </w:tr>
      <w:tr w:rsidR="0016438B" w:rsidRPr="007B45E9" w14:paraId="52E147E8" w14:textId="77777777" w:rsidTr="00387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5AAC0B" w14:textId="77777777" w:rsidR="0016438B" w:rsidRPr="007B45E9" w:rsidRDefault="0016438B" w:rsidP="007B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88724D1" w14:textId="77777777" w:rsidR="0016438B" w:rsidRPr="007B45E9" w:rsidRDefault="0016438B" w:rsidP="007B45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5E9">
              <w:rPr>
                <w:rFonts w:ascii="Times New Roman" w:hAnsi="Times New Roman" w:cs="Times New Roman"/>
                <w:sz w:val="24"/>
                <w:szCs w:val="24"/>
              </w:rPr>
              <w:t xml:space="preserve">East 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Africa</w:t>
            </w:r>
            <w:proofErr w:type="spellEnd"/>
          </w:p>
        </w:tc>
        <w:tc>
          <w:tcPr>
            <w:tcW w:w="0" w:type="auto"/>
          </w:tcPr>
          <w:p w14:paraId="739C6BD2" w14:textId="77777777" w:rsidR="0016438B" w:rsidRPr="007B45E9" w:rsidRDefault="0016438B" w:rsidP="007B45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5E9">
              <w:rPr>
                <w:rFonts w:ascii="Times New Roman" w:hAnsi="Times New Roman" w:cs="Times New Roman"/>
                <w:sz w:val="24"/>
                <w:szCs w:val="24"/>
              </w:rPr>
              <w:t xml:space="preserve">Highlands, Mixed 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Farming</w:t>
            </w:r>
            <w:proofErr w:type="spellEnd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, Pastoral</w:t>
            </w:r>
          </w:p>
        </w:tc>
      </w:tr>
      <w:tr w:rsidR="0016438B" w:rsidRPr="007B45E9" w14:paraId="13DDC205" w14:textId="77777777" w:rsidTr="00387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90696C" w14:textId="77777777" w:rsidR="0016438B" w:rsidRPr="007B45E9" w:rsidRDefault="0016438B" w:rsidP="007B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A291B6A" w14:textId="77777777" w:rsidR="0016438B" w:rsidRPr="007B45E9" w:rsidRDefault="0016438B" w:rsidP="007B45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5E9">
              <w:rPr>
                <w:rFonts w:ascii="Times New Roman" w:hAnsi="Times New Roman" w:cs="Times New Roman"/>
                <w:sz w:val="24"/>
                <w:szCs w:val="24"/>
              </w:rPr>
              <w:t xml:space="preserve">Central 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Africa</w:t>
            </w:r>
            <w:proofErr w:type="spellEnd"/>
          </w:p>
        </w:tc>
        <w:tc>
          <w:tcPr>
            <w:tcW w:w="0" w:type="auto"/>
          </w:tcPr>
          <w:p w14:paraId="460DA0C7" w14:textId="77777777" w:rsidR="0016438B" w:rsidRPr="007B45E9" w:rsidRDefault="0016438B" w:rsidP="007B45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Humid</w:t>
            </w:r>
            <w:proofErr w:type="spellEnd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 xml:space="preserve"> Forest, 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Shifting</w:t>
            </w:r>
            <w:proofErr w:type="spellEnd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 xml:space="preserve"> Cultivation</w:t>
            </w:r>
          </w:p>
        </w:tc>
      </w:tr>
      <w:tr w:rsidR="0016438B" w:rsidRPr="007B45E9" w14:paraId="5BF811B7" w14:textId="77777777" w:rsidTr="00387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68F77C" w14:textId="77777777" w:rsidR="0016438B" w:rsidRPr="007B45E9" w:rsidRDefault="0016438B" w:rsidP="007B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EEB1653" w14:textId="77777777" w:rsidR="0016438B" w:rsidRPr="007B45E9" w:rsidRDefault="0016438B" w:rsidP="007B45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Southern</w:t>
            </w:r>
            <w:proofErr w:type="spellEnd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Africa</w:t>
            </w:r>
            <w:proofErr w:type="spellEnd"/>
          </w:p>
        </w:tc>
        <w:tc>
          <w:tcPr>
            <w:tcW w:w="0" w:type="auto"/>
          </w:tcPr>
          <w:p w14:paraId="1BC47CE5" w14:textId="77777777" w:rsidR="0016438B" w:rsidRPr="007B45E9" w:rsidRDefault="0016438B" w:rsidP="007B45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Diverse (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arid</w:t>
            </w:r>
            <w:proofErr w:type="spellEnd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humid</w:t>
            </w:r>
            <w:proofErr w:type="spellEnd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Croplands</w:t>
            </w:r>
            <w:proofErr w:type="spellEnd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5E9">
              <w:rPr>
                <w:rFonts w:ascii="Times New Roman" w:hAnsi="Times New Roman" w:cs="Times New Roman"/>
                <w:sz w:val="24"/>
                <w:szCs w:val="24"/>
              </w:rPr>
              <w:t>Rangelands</w:t>
            </w:r>
            <w:proofErr w:type="spellEnd"/>
          </w:p>
        </w:tc>
      </w:tr>
    </w:tbl>
    <w:p w14:paraId="56CC7FFB" w14:textId="7777777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6AC9A" w14:textId="7777777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2.3 Estimation of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farland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potential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sequestration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per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Region</w:t>
      </w:r>
      <w:proofErr w:type="spellEnd"/>
    </w:p>
    <w:p w14:paraId="5E2889C7" w14:textId="77777777" w:rsidR="0016438B" w:rsidRPr="007B45E9" w:rsidRDefault="0016438B" w:rsidP="007B45E9">
      <w:pPr>
        <w:pStyle w:val="NormalWeb"/>
        <w:spacing w:line="240" w:lineRule="auto"/>
        <w:jc w:val="both"/>
        <w:rPr>
          <w:rFonts w:eastAsia="Times New Roman"/>
          <w:kern w:val="0"/>
          <w:lang w:eastAsia="fr-FR"/>
          <w14:ligatures w14:val="none"/>
        </w:rPr>
      </w:pPr>
      <w:r w:rsidRPr="007B45E9">
        <w:t xml:space="preserve">To </w:t>
      </w:r>
      <w:proofErr w:type="spellStart"/>
      <w:r w:rsidRPr="007B45E9">
        <w:t>estimate</w:t>
      </w:r>
      <w:proofErr w:type="spellEnd"/>
      <w:r w:rsidRPr="007B45E9">
        <w:t xml:space="preserve"> </w:t>
      </w:r>
      <w:proofErr w:type="spellStart"/>
      <w:r w:rsidRPr="007B45E9">
        <w:t>carbon</w:t>
      </w:r>
      <w:proofErr w:type="spellEnd"/>
      <w:r w:rsidRPr="007B45E9">
        <w:t xml:space="preserve"> stock per </w:t>
      </w:r>
      <w:proofErr w:type="spellStart"/>
      <w:r w:rsidRPr="007B45E9">
        <w:t>region</w:t>
      </w:r>
      <w:proofErr w:type="spellEnd"/>
      <w:r w:rsidRPr="007B45E9">
        <w:t xml:space="preserve">, </w:t>
      </w:r>
      <w:proofErr w:type="spellStart"/>
      <w:r w:rsidRPr="007B45E9">
        <w:t>secondary</w:t>
      </w:r>
      <w:proofErr w:type="spellEnd"/>
      <w:r w:rsidRPr="007B45E9">
        <w:t xml:space="preserve"> data </w:t>
      </w:r>
      <w:proofErr w:type="spellStart"/>
      <w:r w:rsidRPr="007B45E9">
        <w:t>were</w:t>
      </w:r>
      <w:proofErr w:type="spellEnd"/>
      <w:r w:rsidRPr="007B45E9">
        <w:t xml:space="preserve"> </w:t>
      </w:r>
      <w:proofErr w:type="spellStart"/>
      <w:r w:rsidRPr="007B45E9">
        <w:t>collected</w:t>
      </w:r>
      <w:proofErr w:type="spellEnd"/>
      <w:r w:rsidRPr="007B45E9">
        <w:t xml:space="preserve"> </w:t>
      </w:r>
      <w:proofErr w:type="spellStart"/>
      <w:r w:rsidRPr="007B45E9">
        <w:t>from</w:t>
      </w:r>
      <w:proofErr w:type="spellEnd"/>
      <w:r w:rsidRPr="007B45E9">
        <w:t xml:space="preserve"> </w:t>
      </w:r>
      <w:proofErr w:type="spellStart"/>
      <w:r w:rsidRPr="007B45E9">
        <w:t>peer-reviewed</w:t>
      </w:r>
      <w:proofErr w:type="spellEnd"/>
      <w:r w:rsidRPr="007B45E9">
        <w:t xml:space="preserve"> articles and </w:t>
      </w:r>
      <w:proofErr w:type="spellStart"/>
      <w:r w:rsidRPr="007B45E9">
        <w:t>academic</w:t>
      </w:r>
      <w:proofErr w:type="spellEnd"/>
      <w:r w:rsidRPr="007B45E9">
        <w:t xml:space="preserve"> publications </w:t>
      </w:r>
      <w:proofErr w:type="spellStart"/>
      <w:r w:rsidRPr="007B45E9">
        <w:t>covering</w:t>
      </w:r>
      <w:proofErr w:type="spellEnd"/>
      <w:r w:rsidRPr="007B45E9">
        <w:t xml:space="preserve"> countries </w:t>
      </w:r>
      <w:proofErr w:type="spellStart"/>
      <w:r w:rsidRPr="007B45E9">
        <w:t>across</w:t>
      </w:r>
      <w:proofErr w:type="spellEnd"/>
      <w:r w:rsidRPr="007B45E9">
        <w:t xml:space="preserve"> </w:t>
      </w:r>
      <w:proofErr w:type="spellStart"/>
      <w:r w:rsidRPr="007B45E9">
        <w:t>each</w:t>
      </w:r>
      <w:proofErr w:type="spellEnd"/>
      <w:r w:rsidRPr="007B45E9">
        <w:t xml:space="preserve"> </w:t>
      </w:r>
      <w:proofErr w:type="spellStart"/>
      <w:r w:rsidRPr="007B45E9">
        <w:t>region</w:t>
      </w:r>
      <w:proofErr w:type="spellEnd"/>
      <w:r w:rsidRPr="007B45E9">
        <w:t xml:space="preserve">. The scope of </w:t>
      </w:r>
      <w:proofErr w:type="spellStart"/>
      <w:r w:rsidRPr="007B45E9">
        <w:t>this</w:t>
      </w:r>
      <w:proofErr w:type="spellEnd"/>
      <w:r w:rsidRPr="007B45E9">
        <w:t xml:space="preserve"> collection </w:t>
      </w:r>
      <w:proofErr w:type="spellStart"/>
      <w:r w:rsidRPr="007B45E9">
        <w:t>was</w:t>
      </w:r>
      <w:proofErr w:type="spellEnd"/>
      <w:r w:rsidRPr="007B45E9">
        <w:t xml:space="preserve"> </w:t>
      </w:r>
      <w:proofErr w:type="spellStart"/>
      <w:r w:rsidRPr="007B45E9">
        <w:t>comprehensive</w:t>
      </w:r>
      <w:proofErr w:type="spellEnd"/>
      <w:r w:rsidRPr="007B45E9">
        <w:t xml:space="preserve">, </w:t>
      </w:r>
      <w:proofErr w:type="spellStart"/>
      <w:r w:rsidRPr="007B45E9">
        <w:t>encompassing</w:t>
      </w:r>
      <w:proofErr w:type="spellEnd"/>
      <w:r w:rsidRPr="007B45E9">
        <w:t xml:space="preserve"> publications </w:t>
      </w:r>
      <w:proofErr w:type="spellStart"/>
      <w:r w:rsidRPr="007B45E9">
        <w:t>that</w:t>
      </w:r>
      <w:proofErr w:type="spellEnd"/>
      <w:r w:rsidRPr="007B45E9">
        <w:t xml:space="preserve"> </w:t>
      </w:r>
      <w:proofErr w:type="spellStart"/>
      <w:r w:rsidRPr="007B45E9">
        <w:t>provided</w:t>
      </w:r>
      <w:proofErr w:type="spellEnd"/>
      <w:r w:rsidRPr="007B45E9">
        <w:t xml:space="preserve"> </w:t>
      </w:r>
      <w:proofErr w:type="spellStart"/>
      <w:r w:rsidRPr="007B45E9">
        <w:t>carbon</w:t>
      </w:r>
      <w:proofErr w:type="spellEnd"/>
      <w:r w:rsidRPr="007B45E9">
        <w:t xml:space="preserve"> stock </w:t>
      </w:r>
      <w:proofErr w:type="spellStart"/>
      <w:r w:rsidRPr="007B45E9">
        <w:t>measurements</w:t>
      </w:r>
      <w:proofErr w:type="spellEnd"/>
      <w:r w:rsidRPr="007B45E9">
        <w:t xml:space="preserve"> </w:t>
      </w:r>
      <w:proofErr w:type="spellStart"/>
      <w:r w:rsidRPr="007B45E9">
        <w:t>from</w:t>
      </w:r>
      <w:proofErr w:type="spellEnd"/>
      <w:r w:rsidRPr="007B45E9">
        <w:t xml:space="preserve"> </w:t>
      </w:r>
      <w:proofErr w:type="spellStart"/>
      <w:r w:rsidRPr="007B45E9">
        <w:t>various</w:t>
      </w:r>
      <w:proofErr w:type="spellEnd"/>
      <w:r w:rsidRPr="007B45E9">
        <w:t xml:space="preserve"> </w:t>
      </w:r>
      <w:proofErr w:type="spellStart"/>
      <w:r w:rsidRPr="007B45E9">
        <w:t>ecosystems</w:t>
      </w:r>
      <w:proofErr w:type="spellEnd"/>
      <w:r w:rsidRPr="007B45E9">
        <w:t xml:space="preserve"> and land uses </w:t>
      </w:r>
      <w:proofErr w:type="spellStart"/>
      <w:r w:rsidRPr="007B45E9">
        <w:t>across</w:t>
      </w:r>
      <w:proofErr w:type="spellEnd"/>
      <w:r w:rsidRPr="007B45E9">
        <w:t xml:space="preserve"> all countries </w:t>
      </w:r>
      <w:proofErr w:type="spellStart"/>
      <w:r w:rsidRPr="007B45E9">
        <w:t>within</w:t>
      </w:r>
      <w:proofErr w:type="spellEnd"/>
      <w:r w:rsidRPr="007B45E9">
        <w:t xml:space="preserve"> </w:t>
      </w:r>
      <w:proofErr w:type="spellStart"/>
      <w:r w:rsidRPr="007B45E9">
        <w:t>each</w:t>
      </w:r>
      <w:proofErr w:type="spellEnd"/>
      <w:r w:rsidRPr="007B45E9">
        <w:t xml:space="preserve"> </w:t>
      </w:r>
      <w:proofErr w:type="spellStart"/>
      <w:r w:rsidRPr="007B45E9">
        <w:t>designated</w:t>
      </w:r>
      <w:proofErr w:type="spellEnd"/>
      <w:r w:rsidRPr="007B45E9">
        <w:t xml:space="preserve"> </w:t>
      </w:r>
      <w:proofErr w:type="spellStart"/>
      <w:r w:rsidRPr="007B45E9">
        <w:t>region</w:t>
      </w:r>
      <w:proofErr w:type="spellEnd"/>
      <w:r w:rsidRPr="007B45E9">
        <w:t xml:space="preserve">. This extensive </w:t>
      </w:r>
      <w:proofErr w:type="spellStart"/>
      <w:r w:rsidRPr="007B45E9">
        <w:t>search</w:t>
      </w:r>
      <w:proofErr w:type="spellEnd"/>
      <w:r w:rsidRPr="007B45E9">
        <w:t xml:space="preserve"> </w:t>
      </w:r>
      <w:proofErr w:type="spellStart"/>
      <w:r w:rsidRPr="007B45E9">
        <w:t>ensured</w:t>
      </w:r>
      <w:proofErr w:type="spellEnd"/>
      <w:r w:rsidRPr="007B45E9">
        <w:t xml:space="preserve"> </w:t>
      </w:r>
      <w:proofErr w:type="spellStart"/>
      <w:r w:rsidRPr="007B45E9">
        <w:t>that</w:t>
      </w:r>
      <w:proofErr w:type="spellEnd"/>
      <w:r w:rsidRPr="007B45E9">
        <w:t xml:space="preserve"> </w:t>
      </w:r>
      <w:proofErr w:type="spellStart"/>
      <w:r w:rsidRPr="007B45E9">
        <w:t>we</w:t>
      </w:r>
      <w:proofErr w:type="spellEnd"/>
      <w:r w:rsidRPr="007B45E9">
        <w:t xml:space="preserve"> </w:t>
      </w:r>
      <w:proofErr w:type="spellStart"/>
      <w:r w:rsidRPr="007B45E9">
        <w:t>captured</w:t>
      </w:r>
      <w:proofErr w:type="spellEnd"/>
      <w:r w:rsidRPr="007B45E9">
        <w:t xml:space="preserve"> a </w:t>
      </w:r>
      <w:proofErr w:type="spellStart"/>
      <w:r w:rsidRPr="007B45E9">
        <w:t>representative</w:t>
      </w:r>
      <w:proofErr w:type="spellEnd"/>
      <w:r w:rsidRPr="007B45E9">
        <w:t xml:space="preserve"> snapshot of </w:t>
      </w:r>
      <w:proofErr w:type="spellStart"/>
      <w:r w:rsidRPr="007B45E9">
        <w:t>carbon</w:t>
      </w:r>
      <w:proofErr w:type="spellEnd"/>
      <w:r w:rsidRPr="007B45E9">
        <w:t xml:space="preserve"> stock values </w:t>
      </w:r>
      <w:proofErr w:type="spellStart"/>
      <w:r w:rsidRPr="007B45E9">
        <w:t>from</w:t>
      </w:r>
      <w:proofErr w:type="spellEnd"/>
      <w:r w:rsidRPr="007B45E9">
        <w:t xml:space="preserve"> diverse </w:t>
      </w:r>
      <w:proofErr w:type="spellStart"/>
      <w:r w:rsidRPr="007B45E9">
        <w:t>geographical</w:t>
      </w:r>
      <w:proofErr w:type="spellEnd"/>
      <w:r w:rsidRPr="007B45E9">
        <w:t xml:space="preserve"> and </w:t>
      </w:r>
      <w:proofErr w:type="spellStart"/>
      <w:r w:rsidRPr="007B45E9">
        <w:t>ecological</w:t>
      </w:r>
      <w:proofErr w:type="spellEnd"/>
      <w:r w:rsidRPr="007B45E9">
        <w:t xml:space="preserve"> </w:t>
      </w:r>
      <w:proofErr w:type="spellStart"/>
      <w:r w:rsidRPr="007B45E9">
        <w:t>contexts</w:t>
      </w:r>
      <w:proofErr w:type="spellEnd"/>
      <w:r w:rsidRPr="007B45E9">
        <w:t xml:space="preserve"> </w:t>
      </w:r>
      <w:proofErr w:type="spellStart"/>
      <w:r w:rsidRPr="007B45E9">
        <w:t>within</w:t>
      </w:r>
      <w:proofErr w:type="spellEnd"/>
      <w:r w:rsidRPr="007B45E9">
        <w:t xml:space="preserve"> </w:t>
      </w:r>
      <w:proofErr w:type="spellStart"/>
      <w:r w:rsidRPr="007B45E9">
        <w:t>each</w:t>
      </w:r>
      <w:proofErr w:type="spellEnd"/>
      <w:r w:rsidRPr="007B45E9">
        <w:t xml:space="preserve"> </w:t>
      </w:r>
      <w:proofErr w:type="spellStart"/>
      <w:proofErr w:type="gramStart"/>
      <w:r w:rsidRPr="007B45E9">
        <w:t>region.The</w:t>
      </w:r>
      <w:proofErr w:type="spellEnd"/>
      <w:proofErr w:type="gramEnd"/>
      <w:r w:rsidRPr="007B45E9">
        <w:t xml:space="preserve"> data </w:t>
      </w:r>
      <w:proofErr w:type="spellStart"/>
      <w:r w:rsidRPr="007B45E9">
        <w:t>obtained</w:t>
      </w:r>
      <w:proofErr w:type="spellEnd"/>
      <w:r w:rsidRPr="007B45E9">
        <w:t xml:space="preserve"> </w:t>
      </w:r>
      <w:proofErr w:type="spellStart"/>
      <w:r w:rsidRPr="007B45E9">
        <w:t>were</w:t>
      </w:r>
      <w:proofErr w:type="spellEnd"/>
      <w:r w:rsidRPr="007B45E9">
        <w:t xml:space="preserve"> </w:t>
      </w:r>
      <w:proofErr w:type="spellStart"/>
      <w:r w:rsidRPr="007B45E9">
        <w:t>then</w:t>
      </w:r>
      <w:proofErr w:type="spellEnd"/>
      <w:r w:rsidRPr="007B45E9">
        <w:t xml:space="preserve"> </w:t>
      </w:r>
      <w:proofErr w:type="spellStart"/>
      <w:r w:rsidRPr="007B45E9">
        <w:t>used</w:t>
      </w:r>
      <w:proofErr w:type="spellEnd"/>
      <w:r w:rsidRPr="007B45E9">
        <w:t xml:space="preserve"> to </w:t>
      </w:r>
      <w:proofErr w:type="spellStart"/>
      <w:r w:rsidRPr="007B45E9">
        <w:t>calculate</w:t>
      </w:r>
      <w:proofErr w:type="spellEnd"/>
      <w:r w:rsidRPr="007B45E9">
        <w:t xml:space="preserve"> the </w:t>
      </w:r>
      <w:proofErr w:type="spellStart"/>
      <w:r w:rsidRPr="007B45E9">
        <w:t>average</w:t>
      </w:r>
      <w:proofErr w:type="spellEnd"/>
      <w:r w:rsidRPr="007B45E9">
        <w:t xml:space="preserve"> </w:t>
      </w:r>
      <w:proofErr w:type="spellStart"/>
      <w:r w:rsidRPr="007B45E9">
        <w:t>attributed</w:t>
      </w:r>
      <w:proofErr w:type="spellEnd"/>
      <w:r w:rsidRPr="007B45E9">
        <w:t xml:space="preserve"> to </w:t>
      </w:r>
      <w:proofErr w:type="spellStart"/>
      <w:r w:rsidRPr="007B45E9">
        <w:t>each</w:t>
      </w:r>
      <w:proofErr w:type="spellEnd"/>
      <w:r w:rsidRPr="007B45E9">
        <w:t xml:space="preserve"> </w:t>
      </w:r>
      <w:proofErr w:type="spellStart"/>
      <w:r w:rsidRPr="007B45E9">
        <w:t>region</w:t>
      </w:r>
      <w:proofErr w:type="spellEnd"/>
      <w:r w:rsidRPr="007B45E9">
        <w:t xml:space="preserve">. </w:t>
      </w:r>
      <w:r w:rsidRPr="007B45E9">
        <w:rPr>
          <w:rFonts w:eastAsia="Times New Roman"/>
          <w:kern w:val="0"/>
          <w:lang w:eastAsia="fr-FR"/>
          <w14:ligatures w14:val="none"/>
        </w:rPr>
        <w:t xml:space="preserve">This </w:t>
      </w:r>
      <w:proofErr w:type="spellStart"/>
      <w:r w:rsidRPr="007B45E9">
        <w:rPr>
          <w:rFonts w:eastAsia="Times New Roman"/>
          <w:kern w:val="0"/>
          <w:lang w:eastAsia="fr-FR"/>
          <w14:ligatures w14:val="none"/>
        </w:rPr>
        <w:t>approach</w:t>
      </w:r>
      <w:proofErr w:type="spellEnd"/>
      <w:r w:rsidRPr="007B45E9">
        <w:rPr>
          <w:rFonts w:eastAsia="Times New Roman"/>
          <w:kern w:val="0"/>
          <w:lang w:eastAsia="fr-FR"/>
          <w14:ligatures w14:val="none"/>
        </w:rPr>
        <w:t xml:space="preserve"> </w:t>
      </w:r>
      <w:proofErr w:type="spellStart"/>
      <w:r w:rsidRPr="007B45E9">
        <w:rPr>
          <w:rFonts w:eastAsia="Times New Roman"/>
          <w:kern w:val="0"/>
          <w:lang w:eastAsia="fr-FR"/>
          <w14:ligatures w14:val="none"/>
        </w:rPr>
        <w:t>was</w:t>
      </w:r>
      <w:proofErr w:type="spellEnd"/>
      <w:r w:rsidRPr="007B45E9">
        <w:rPr>
          <w:rFonts w:eastAsia="Times New Roman"/>
          <w:kern w:val="0"/>
          <w:lang w:eastAsia="fr-FR"/>
          <w14:ligatures w14:val="none"/>
        </w:rPr>
        <w:t xml:space="preserve"> </w:t>
      </w:r>
      <w:proofErr w:type="spellStart"/>
      <w:r w:rsidRPr="007B45E9">
        <w:rPr>
          <w:rFonts w:eastAsia="Times New Roman"/>
          <w:kern w:val="0"/>
          <w:lang w:eastAsia="fr-FR"/>
          <w14:ligatures w14:val="none"/>
        </w:rPr>
        <w:t>adopted</w:t>
      </w:r>
      <w:proofErr w:type="spellEnd"/>
      <w:r w:rsidRPr="007B45E9">
        <w:rPr>
          <w:rFonts w:eastAsia="Times New Roman"/>
          <w:kern w:val="0"/>
          <w:lang w:eastAsia="fr-FR"/>
          <w14:ligatures w14:val="none"/>
        </w:rPr>
        <w:t xml:space="preserve"> for </w:t>
      </w:r>
      <w:proofErr w:type="spellStart"/>
      <w:r w:rsidRPr="007B45E9">
        <w:rPr>
          <w:rFonts w:eastAsia="Times New Roman"/>
          <w:kern w:val="0"/>
          <w:lang w:eastAsia="fr-FR"/>
          <w14:ligatures w14:val="none"/>
        </w:rPr>
        <w:t>several</w:t>
      </w:r>
      <w:proofErr w:type="spellEnd"/>
      <w:r w:rsidRPr="007B45E9">
        <w:rPr>
          <w:rFonts w:eastAsia="Times New Roman"/>
          <w:kern w:val="0"/>
          <w:lang w:eastAsia="fr-FR"/>
          <w14:ligatures w14:val="none"/>
        </w:rPr>
        <w:t xml:space="preserve"> key </w:t>
      </w:r>
      <w:proofErr w:type="spellStart"/>
      <w:proofErr w:type="gramStart"/>
      <w:r w:rsidRPr="007B45E9">
        <w:rPr>
          <w:rFonts w:eastAsia="Times New Roman"/>
          <w:kern w:val="0"/>
          <w:lang w:eastAsia="fr-FR"/>
          <w14:ligatures w14:val="none"/>
        </w:rPr>
        <w:t>reasons</w:t>
      </w:r>
      <w:proofErr w:type="spellEnd"/>
      <w:r w:rsidRPr="007B45E9">
        <w:rPr>
          <w:rFonts w:eastAsia="Times New Roman"/>
          <w:kern w:val="0"/>
          <w:lang w:eastAsia="fr-FR"/>
          <w14:ligatures w14:val="none"/>
        </w:rPr>
        <w:t>:</w:t>
      </w:r>
      <w:proofErr w:type="gramEnd"/>
    </w:p>
    <w:p w14:paraId="543A7E9E" w14:textId="0637CD90" w:rsidR="0016438B" w:rsidRPr="007B45E9" w:rsidRDefault="0016438B" w:rsidP="007B45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Leveraging </w:t>
      </w:r>
      <w:proofErr w:type="spellStart"/>
      <w:r w:rsidR="002E0575" w:rsidRPr="002E0575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e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xisting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="002E0575" w:rsidRPr="002E0575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r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esearch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It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allowed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us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build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extensive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scientific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knowledge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already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available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the public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domain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making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efficient use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existing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efforts.</w:t>
      </w:r>
    </w:p>
    <w:p w14:paraId="63185FBE" w14:textId="4F546B6F" w:rsidR="0016438B" w:rsidRPr="007B45E9" w:rsidRDefault="0016438B" w:rsidP="007B45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Ensuring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="002E0575" w:rsidRPr="002E0575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r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obustness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2E0575" w:rsidRPr="002E0575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b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y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drawing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multiple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studies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diverse sources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within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each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calculated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average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more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robust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susceptible to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biases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specific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conditions of a single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study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391DEEE4" w14:textId="27400AD5" w:rsidR="0016438B" w:rsidRPr="007B45E9" w:rsidRDefault="0016438B" w:rsidP="007B45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Facilitating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2E0575" w:rsidRPr="002E0575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r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egional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="002E0575" w:rsidRPr="002E0575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c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omparison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averages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provide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standardized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metric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enabling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meaningful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comparisons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stock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between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different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essential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variations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identifying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areas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higher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lower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sequestration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potential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4C6265C3" w14:textId="13A998B5" w:rsidR="0016438B" w:rsidRPr="007B45E9" w:rsidRDefault="0016438B" w:rsidP="007B45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Addressing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2E0575" w:rsidRPr="002E0575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d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ata </w:t>
      </w:r>
      <w:proofErr w:type="gramStart"/>
      <w:r w:rsidR="002E0575" w:rsidRPr="002E0575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g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aps: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instances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where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primary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data collection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might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impractical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resource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-intensive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across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all countries,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method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allows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a reliable estimation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based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available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scholarly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information.</w:t>
      </w:r>
    </w:p>
    <w:p w14:paraId="75E6C7DF" w14:textId="77777777" w:rsidR="0016438B" w:rsidRPr="007B45E9" w:rsidRDefault="0016438B" w:rsidP="007B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In essence,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systematic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collection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secondary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data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subsequent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averaging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provided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reliable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comprehensive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estimation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stock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each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forming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critical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component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our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broader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dynamics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the continent.</w:t>
      </w:r>
    </w:p>
    <w:p w14:paraId="318EB4A4" w14:textId="77777777" w:rsidR="0016438B" w:rsidRPr="007B45E9" w:rsidRDefault="0016438B" w:rsidP="007B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purpose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formula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was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applied</w:t>
      </w:r>
      <w:proofErr w:type="spellEnd"/>
    </w:p>
    <w:p w14:paraId="4AB4D085" w14:textId="77777777" w:rsidR="0016438B" w:rsidRPr="007B45E9" w:rsidRDefault="0016438B" w:rsidP="007B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557FF5A4" wp14:editId="28FF7C5B">
            <wp:extent cx="2743341" cy="615982"/>
            <wp:effectExtent l="0" t="0" r="0" b="0"/>
            <wp:docPr id="6839474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94746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341" cy="61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04919" w14:textId="77777777" w:rsidR="0016438B" w:rsidRPr="007B45E9" w:rsidRDefault="0016438B" w:rsidP="007B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Where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 : </w:t>
      </w:r>
    </w:p>
    <w:p w14:paraId="26F10233" w14:textId="77777777" w:rsidR="0016438B" w:rsidRPr="007B45E9" w:rsidRDefault="0016438B" w:rsidP="007B45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CS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region,r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​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 xml:space="preserve">: 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dependent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variable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estimating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representing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average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stock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r.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units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will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depend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whether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initial data points are per hectare, per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specific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land area, or total.</w:t>
      </w:r>
    </w:p>
    <w:p w14:paraId="06EE2843" w14:textId="77777777" w:rsidR="0016438B" w:rsidRPr="007B45E9" w:rsidRDefault="0016438B" w:rsidP="007B45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r,j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​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: 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represents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each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individual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stock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measurement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(e.g.,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stored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forest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soil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or agricultural land)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found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literature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a location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within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r. The data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would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units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like tons C/ha, tons CO2e/ha, or total tons.</w:t>
      </w:r>
    </w:p>
    <w:p w14:paraId="798B3B9F" w14:textId="77777777" w:rsidR="0016438B" w:rsidRPr="007B45E9" w:rsidRDefault="0016438B" w:rsidP="007B45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​: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denotes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total count of all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individual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stock data points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collected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given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r.</w:t>
      </w:r>
    </w:p>
    <w:p w14:paraId="6D7B462F" w14:textId="77777777" w:rsidR="0016438B" w:rsidRPr="007B45E9" w:rsidRDefault="0016438B" w:rsidP="007B45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​</w:t>
      </w:r>
      <w:r w:rsidRPr="007B45E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B45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6C52787C" wp14:editId="32E52D8D">
            <wp:extent cx="1054154" cy="234962"/>
            <wp:effectExtent l="0" t="0" r="0" b="0"/>
            <wp:docPr id="19666478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4789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4154" cy="23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: 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all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collected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stock data points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r.</w:t>
      </w:r>
    </w:p>
    <w:p w14:paraId="2D4069FE" w14:textId="77777777" w:rsidR="0016438B" w:rsidRPr="007B45E9" w:rsidRDefault="0016438B" w:rsidP="007B45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​</w:t>
      </w:r>
      <w:r w:rsidRPr="007B45E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B45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1D11417B" wp14:editId="3A09DB8F">
            <wp:extent cx="1181161" cy="311166"/>
            <wp:effectExtent l="0" t="0" r="0" b="0"/>
            <wp:docPr id="5514617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46175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81161" cy="31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: 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arithmetic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mean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used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consolidate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diverse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stock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measurements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into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single,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representative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average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75DCAECB" w14:textId="4D603058" w:rsidR="0016438B" w:rsidRPr="007B45E9" w:rsidRDefault="0016438B" w:rsidP="007B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mathematical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model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encapsulates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method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deriving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average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stock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comprehensive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collection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individual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stock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measurements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scientific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literature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324393AB" w14:textId="52777F6C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bookmarkStart w:id="1" w:name="_Hlk199695546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Estimation of </w:t>
      </w:r>
      <w:bookmarkEnd w:id="1"/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price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per ton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metric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accross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Regions</w:t>
      </w:r>
      <w:proofErr w:type="spellEnd"/>
    </w:p>
    <w:p w14:paraId="6584C60F" w14:textId="7777777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estimate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prices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systematically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gathered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peer-reviewed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articles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publications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spanning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all countries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This extensive collection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us to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leverage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validated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information on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pricing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values.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Subsequently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the diverse data points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consolidated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averaged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assigned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as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enabling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region-specific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valuation.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appliied</w:t>
      </w:r>
      <w:proofErr w:type="spellEnd"/>
    </w:p>
    <w:p w14:paraId="31AF1D78" w14:textId="77777777" w:rsidR="0016438B" w:rsidRPr="007B45E9" w:rsidRDefault="0016438B" w:rsidP="007B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2738C88E" wp14:editId="4872ADA0">
            <wp:extent cx="2254366" cy="768389"/>
            <wp:effectExtent l="0" t="0" r="0" b="0"/>
            <wp:docPr id="6426801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68016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54366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A4D47" w14:textId="77777777" w:rsidR="0016438B" w:rsidRPr="007B45E9" w:rsidRDefault="0016438B" w:rsidP="007B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Where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7443579C" w14:textId="5A51A713" w:rsidR="0016438B" w:rsidRPr="007B45E9" w:rsidRDefault="0016438B" w:rsidP="007B45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CP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price,r</w:t>
      </w:r>
      <w:proofErr w:type="spellEnd"/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: 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output,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representing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estimated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average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r. It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final value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attributed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each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valuation.</w:t>
      </w:r>
    </w:p>
    <w:p w14:paraId="5684EC10" w14:textId="11E005F8" w:rsidR="0016438B" w:rsidRPr="007B45E9" w:rsidRDefault="0016438B" w:rsidP="007B45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r,i</w:t>
      </w:r>
      <w:proofErr w:type="spellEnd"/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 xml:space="preserve"> 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represents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each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individual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value (e.g.,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specific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study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market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mechanism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)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was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found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countries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within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r. The data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would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units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like &lt;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span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class="math-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inline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"&gt;/ton CO2e or \/ton C.</w:t>
      </w:r>
    </w:p>
    <w:p w14:paraId="44610D56" w14:textId="5FC6D445" w:rsidR="0016438B" w:rsidRPr="007B45E9" w:rsidRDefault="0016438B" w:rsidP="007B45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nr: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denotes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count of all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individual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data points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collected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given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r.</w:t>
      </w:r>
    </w:p>
    <w:p w14:paraId="606E615F" w14:textId="4D52197D" w:rsidR="002E0575" w:rsidRPr="002E0575" w:rsidRDefault="0016438B" w:rsidP="002E05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727BBC3F" wp14:editId="0FF1B706">
            <wp:extent cx="863644" cy="285765"/>
            <wp:effectExtent l="0" t="0" r="0" b="0"/>
            <wp:docPr id="10220166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01667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63644" cy="28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all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collected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data points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r.</w:t>
      </w:r>
    </w:p>
    <w:p w14:paraId="39AB8DB7" w14:textId="77777777" w:rsidR="0016438B" w:rsidRPr="007B45E9" w:rsidRDefault="0016438B" w:rsidP="007B45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470717A7" wp14:editId="76233D87">
            <wp:extent cx="1054154" cy="254013"/>
            <wp:effectExtent l="0" t="0" r="0" b="0"/>
            <wp:docPr id="7645004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50041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54154" cy="25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: 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arithmetic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mean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which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used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consolidate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diverse data points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into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single,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representative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average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14BB4088" w14:textId="62FE7031" w:rsidR="0016438B" w:rsidRPr="007B45E9" w:rsidRDefault="0016438B" w:rsidP="007B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mathematical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model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succinctly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describes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process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synthesizing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multiple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observed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values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into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single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average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which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used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further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analysis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6EA77001" w14:textId="7777777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2.5. Estimation of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value per ha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accross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regions</w:t>
      </w:r>
      <w:proofErr w:type="spellEnd"/>
    </w:p>
    <w:p w14:paraId="6065D511" w14:textId="15BF0A2D" w:rsidR="003879D6" w:rsidRPr="007B45E9" w:rsidRDefault="0016438B" w:rsidP="007B4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study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sought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determine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value per hectare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each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involved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crucial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calculation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combining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two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distinct,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yet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complementary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metrics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First,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previously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established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average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per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which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reflects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economic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value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attributed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specific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geographical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area,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derived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comprehensive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secondary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data</w:t>
      </w:r>
      <w:r w:rsidR="002E05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2E05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="002E05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E94B1D" w:rsidRPr="00E94B1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 xml:space="preserve">Peer </w:t>
      </w:r>
      <w:proofErr w:type="spellStart"/>
      <w:r w:rsidR="00E94B1D" w:rsidRPr="00E94B1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reviewers</w:t>
      </w:r>
      <w:proofErr w:type="spellEnd"/>
      <w:r w:rsidR="002E05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2E0575" w:rsidRPr="00E94B1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article</w:t>
      </w:r>
      <w:r w:rsidR="00E94B1D" w:rsidRPr="00E94B1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 xml:space="preserve">s and </w:t>
      </w:r>
      <w:proofErr w:type="spellStart"/>
      <w:r w:rsidR="00E94B1D" w:rsidRPr="00E94B1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Instution</w:t>
      </w:r>
      <w:proofErr w:type="spellEnd"/>
      <w:r w:rsidR="00E94B1D" w:rsidRPr="00E94B1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 xml:space="preserve"> reports in the topic</w:t>
      </w:r>
      <w:r w:rsidR="002E05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2E0575" w:rsidRPr="002E0575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we</w:t>
      </w:r>
      <w:r w:rsidR="002E0575" w:rsidRPr="002E0575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re</w:t>
      </w:r>
      <w:proofErr w:type="spellEnd"/>
      <w:r w:rsidR="002E0575" w:rsidRPr="002E0575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 xml:space="preserve"> </w:t>
      </w:r>
      <w:proofErr w:type="spellStart"/>
      <w:r w:rsidR="002E0575" w:rsidRPr="002E0575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utilized</w:t>
      </w:r>
      <w:proofErr w:type="spellEnd"/>
      <w:r w:rsidRPr="002E0575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.</w:t>
      </w:r>
    </w:p>
    <w:p w14:paraId="6F10C8BD" w14:textId="51ED18E0" w:rsidR="0016438B" w:rsidRPr="007B45E9" w:rsidRDefault="0016438B" w:rsidP="007B4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Second,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was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multiplied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by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average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potential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per hectare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within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same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 This "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potential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"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represents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estimated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amount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can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sequestered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stored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one hectare of land,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based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the diverse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systems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ecosystems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present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="00E94B1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E94B1D" w:rsidRPr="00E94B1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(Table 1)</w:t>
      </w:r>
      <w:r w:rsidRPr="00E94B1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.</w:t>
      </w:r>
    </w:p>
    <w:p w14:paraId="71F1DD6A" w14:textId="7D28F58A" w:rsidR="0016438B" w:rsidRPr="007B45E9" w:rsidRDefault="0016438B" w:rsidP="007B4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product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two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averages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yielded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estimated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value per hectare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each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respective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method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provides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powerful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way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economic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sequestration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capabilities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across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different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parts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offering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tangible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financial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metric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conservation and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sustainable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land management efforts. </w:t>
      </w:r>
      <w:r w:rsidRPr="00E94B1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 xml:space="preserve">It </w:t>
      </w:r>
      <w:proofErr w:type="spellStart"/>
      <w:r w:rsidRPr="00E94B1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allow</w:t>
      </w:r>
      <w:r w:rsidR="00E94B1D" w:rsidRPr="00E94B1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fr-FR"/>
          <w14:ligatures w14:val="none"/>
        </w:rPr>
        <w:t>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move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beyond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just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stocks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appreciating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inherent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economic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worth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a per-hectare basis.</w:t>
      </w:r>
    </w:p>
    <w:p w14:paraId="66C814EE" w14:textId="77777777" w:rsidR="0016438B" w:rsidRPr="007B45E9" w:rsidRDefault="0016438B" w:rsidP="007B4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following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model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was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applied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4D7DE2E" w14:textId="5AAE602C" w:rsidR="0016438B" w:rsidRPr="007B45E9" w:rsidRDefault="0016438B" w:rsidP="007B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CV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ha,r</w:t>
      </w:r>
      <w:proofErr w:type="spellEnd"/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= 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CP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price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,r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×</w:t>
      </w:r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CP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potential,r</w:t>
      </w:r>
      <w:proofErr w:type="spellEnd"/>
      <w:proofErr w:type="gramEnd"/>
    </w:p>
    <w:p w14:paraId="08735DE3" w14:textId="77777777" w:rsidR="0016438B" w:rsidRPr="007B45E9" w:rsidRDefault="0016438B" w:rsidP="007B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Where</w:t>
      </w:r>
      <w:proofErr w:type="spellEnd"/>
    </w:p>
    <w:p w14:paraId="4CE57267" w14:textId="6EAC70FE" w:rsidR="0016438B" w:rsidRPr="007B45E9" w:rsidRDefault="0016438B" w:rsidP="007B45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CV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ha,r</w:t>
      </w:r>
      <w:proofErr w:type="spellEnd"/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: 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dependent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variable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aim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estimate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representing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economic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value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generated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by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sequestration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storage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capacity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one hectare of land in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given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1962C851" w14:textId="6877A786" w:rsidR="0016438B" w:rsidRPr="007B45E9" w:rsidRDefault="0016438B" w:rsidP="007B45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CP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price,r</w:t>
      </w:r>
      <w:proofErr w:type="spellEnd"/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 xml:space="preserve">: 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independent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variable,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representing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market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estimated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within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r. This value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derived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secondary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data (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peer-reviewed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articles,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academic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publications) on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markets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offset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prices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policy-related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valuations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specific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7DAB784E" w14:textId="5162A535" w:rsidR="0016438B" w:rsidRPr="007B45E9" w:rsidRDefault="0016438B" w:rsidP="007B45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CP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potential,r</w:t>
      </w:r>
      <w:proofErr w:type="spellEnd"/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 xml:space="preserve">: 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second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independent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variable,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representing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biophysical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capacity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land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sequester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 store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per unit area. This value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also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derived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secondary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data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concerning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stock estimations,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sequestration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rates, and land use types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within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67505504" w14:textId="3DABD819" w:rsidR="0016438B" w:rsidRPr="007B45E9" w:rsidRDefault="0016438B" w:rsidP="007B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model states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value per hectare in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specific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directly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proportional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both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prevailing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land's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capacity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hold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absorb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per hectare.</w:t>
      </w:r>
    </w:p>
    <w:p w14:paraId="0FDA5C03" w14:textId="7777777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2.6 Agricultural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climate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premium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accross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Regions</w:t>
      </w:r>
      <w:proofErr w:type="spellEnd"/>
    </w:p>
    <w:p w14:paraId="4708A599" w14:textId="7777777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estimate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agricultural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insurance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premium</w:t>
      </w:r>
      <w:r w:rsidRPr="007B45E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This estimation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achieved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by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thorough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process of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secondary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data collection</w:t>
      </w:r>
      <w:r w:rsidRPr="007B45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extensively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reviewed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peer-reviewed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articles and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academic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publications</w:t>
      </w:r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information on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premiums,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schemes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or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assessments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countries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designated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gathering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ensured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captured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premium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calculations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data points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consolidated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and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averaged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derive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single,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premium. This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premium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standardized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typical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offering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valuable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insights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exposure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formula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5B580" w14:textId="7777777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FC5868" wp14:editId="2BD86B12">
            <wp:extent cx="2140060" cy="838243"/>
            <wp:effectExtent l="0" t="0" r="0" b="0"/>
            <wp:docPr id="10896766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67669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40060" cy="83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0BDF4" w14:textId="7777777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 :</w:t>
      </w:r>
    </w:p>
    <w:p w14:paraId="4B13F3EF" w14:textId="5068C0D0" w:rsidR="0016438B" w:rsidRPr="007B45E9" w:rsidRDefault="0016438B" w:rsidP="007B45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AIP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region,r</w:t>
      </w:r>
      <w:proofErr w:type="spellEnd"/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 xml:space="preserve">: 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dependent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variable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estimating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representing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average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premium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r.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units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will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depend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the original data, but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would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typically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cost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per unit (e.g., &lt;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span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class="math-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inline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"&gt;/ha, \$/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farmer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or \/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policy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). </w:t>
      </w:r>
    </w:p>
    <w:p w14:paraId="5781FDCD" w14:textId="5DB9CE3E" w:rsidR="0016438B" w:rsidRPr="007B45E9" w:rsidRDefault="0016438B" w:rsidP="007B45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r,k</w:t>
      </w:r>
      <w:proofErr w:type="spellEnd"/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 xml:space="preserve">: 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represents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each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individual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premium value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found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literature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a location 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specific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policy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within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r. </w:t>
      </w:r>
    </w:p>
    <w:p w14:paraId="30F2837B" w14:textId="3C2A02D4" w:rsidR="0016438B" w:rsidRPr="007B45E9" w:rsidRDefault="0016438B" w:rsidP="007B45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denotes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total count of all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such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individual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data points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collected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given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r. </w:t>
      </w:r>
    </w:p>
    <w:p w14:paraId="62AACFA3" w14:textId="77777777" w:rsidR="0016438B" w:rsidRPr="007B45E9" w:rsidRDefault="0016438B" w:rsidP="007B45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28904A7C" wp14:editId="428652AF">
            <wp:extent cx="844593" cy="558829"/>
            <wp:effectExtent l="0" t="0" r="0" b="0"/>
            <wp:docPr id="9856276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62768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44593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all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collected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premium data points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r. </w:t>
      </w:r>
    </w:p>
    <w:p w14:paraId="4DEC84C5" w14:textId="7777777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361EE309" wp14:editId="59F8937B">
            <wp:extent cx="1073205" cy="400071"/>
            <wp:effectExtent l="0" t="0" r="0" b="0"/>
            <wp:docPr id="1199050874" name="Image 1" descr="Une image contenant Police, texte, blanc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050874" name="Image 1" descr="Une image contenant Police, texte, blanc, nombre&#10;&#10;Le contenu généré par l’IA peut êtr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73205" cy="40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arithmetic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mean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used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consolidate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diverse premium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measurements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into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single,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representative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average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05AE4A45" w14:textId="7777777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sz w:val="24"/>
          <w:szCs w:val="24"/>
        </w:rPr>
        <w:t xml:space="preserve">2.7. Carbon value and premium comparaison accros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africa’s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</w:p>
    <w:p w14:paraId="0A63DE3C" w14:textId="526C1B5A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assess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viability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carbon-centric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agricultural practices for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smallholders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critically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carbon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value per hectare</w:t>
      </w:r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agricultural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insurance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premium</w:t>
      </w:r>
      <w:r w:rsidRPr="007B45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objective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if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derived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sequestration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on one hectare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effectively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offset or cover the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cost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of agricultural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insurance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premiums</w:t>
      </w:r>
      <w:r w:rsidRPr="007B45E9">
        <w:rPr>
          <w:rFonts w:ascii="Times New Roman" w:hAnsi="Times New Roman" w:cs="Times New Roman"/>
          <w:sz w:val="24"/>
          <w:szCs w:val="24"/>
        </w:rPr>
        <w:t xml:space="preserve">. A favorable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suggest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"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value"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fund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"inclusive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smallholders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,"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thereby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burden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-smart agriculture,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enhancing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climate-related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.</w:t>
      </w:r>
      <w:r w:rsidR="0065658C" w:rsidRPr="007B45E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65658C" w:rsidRPr="007B45E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65658C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58C" w:rsidRPr="007B45E9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="0065658C"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65658C" w:rsidRPr="007B45E9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65658C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58C" w:rsidRPr="007B45E9">
        <w:rPr>
          <w:rFonts w:ascii="Times New Roman" w:hAnsi="Times New Roman" w:cs="Times New Roman"/>
          <w:sz w:val="24"/>
          <w:szCs w:val="24"/>
        </w:rPr>
        <w:t>statment</w:t>
      </w:r>
      <w:proofErr w:type="spellEnd"/>
      <w:r w:rsidR="0065658C" w:rsidRPr="007B45E9">
        <w:rPr>
          <w:rFonts w:ascii="Times New Roman" w:hAnsi="Times New Roman" w:cs="Times New Roman"/>
          <w:sz w:val="24"/>
          <w:szCs w:val="24"/>
        </w:rPr>
        <w:t xml:space="preserve"> have been made.</w:t>
      </w:r>
    </w:p>
    <w:p w14:paraId="34515ADF" w14:textId="77777777" w:rsidR="0016438B" w:rsidRPr="007B45E9" w:rsidRDefault="0016438B" w:rsidP="007B45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set of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where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</w:t>
      </w:r>
      <w:r w:rsidRPr="007B45E9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∈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3017E3E5" w14:textId="32BB64D8" w:rsidR="0016438B" w:rsidRPr="007B45E9" w:rsidRDefault="0016438B" w:rsidP="007B45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CV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ha,r</w:t>
      </w:r>
      <w:proofErr w:type="spellEnd"/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estimated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value per hectare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 (e.g., $/ha).</w:t>
      </w:r>
    </w:p>
    <w:p w14:paraId="1F8E9B97" w14:textId="5A188689" w:rsidR="0016438B" w:rsidRPr="007B45E9" w:rsidRDefault="0016438B" w:rsidP="007B45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AIP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region,r</w:t>
      </w:r>
      <w:proofErr w:type="spellEnd"/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estimated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average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Premium per unit area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 (e.g., $/ha).</w:t>
      </w:r>
    </w:p>
    <w:p w14:paraId="3CF3A9B3" w14:textId="41743052" w:rsidR="0016438B" w:rsidRPr="007B45E9" w:rsidRDefault="0016438B" w:rsidP="007B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comparison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financial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viability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can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modeled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 </w:t>
      </w:r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condition : Condition for Financial </w:t>
      </w: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Viability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  </w:t>
      </w: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CVha,r</w:t>
      </w:r>
      <w:proofErr w:type="spellEnd"/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≥ </w:t>
      </w: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AIPregion,r</w:t>
      </w:r>
      <w:proofErr w:type="spellEnd"/>
      <w:proofErr w:type="gramEnd"/>
    </w:p>
    <w:p w14:paraId="6AC21A8E" w14:textId="3DA0EF92" w:rsidR="0016438B" w:rsidRPr="007B45E9" w:rsidRDefault="0016438B" w:rsidP="007B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381B452" w14:textId="730FBE58" w:rsidR="0016438B" w:rsidRPr="007B45E9" w:rsidRDefault="0016438B" w:rsidP="007B45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CV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ha,r</w:t>
      </w:r>
      <w:proofErr w:type="spellEnd"/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: 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represents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economic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benefit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(value)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generated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sequestration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storage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one hectare of land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r. This value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would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have been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previously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calculated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 </w:t>
      </w: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CPprice,r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×</w:t>
      </w:r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CPpotential,r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proofErr w:type="gramEnd"/>
    </w:p>
    <w:p w14:paraId="11EF7580" w14:textId="3E062011" w:rsidR="0016438B" w:rsidRPr="007B45E9" w:rsidRDefault="0016438B" w:rsidP="007B45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AIP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region,r</w:t>
      </w:r>
      <w:proofErr w:type="spellEnd"/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 xml:space="preserve">: 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represents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cost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one unit of land (e.g., one hectare)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r.</w:t>
      </w:r>
    </w:p>
    <w:p w14:paraId="2A7B5C75" w14:textId="5C7B4A93" w:rsidR="0016438B" w:rsidRPr="007B45E9" w:rsidRDefault="0016438B" w:rsidP="007B45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≥: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inequality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symbol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signifies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core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426CC3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objective :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determine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if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value per hectare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greater</w:t>
      </w:r>
      <w:proofErr w:type="spellEnd"/>
      <w:r w:rsidRPr="007B45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than</w:t>
      </w:r>
      <w:proofErr w:type="spellEnd"/>
      <w:r w:rsidRPr="007B45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7B45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equal</w:t>
      </w:r>
      <w:proofErr w:type="spellEnd"/>
      <w:r w:rsidRPr="007B45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to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premium.</w:t>
      </w:r>
    </w:p>
    <w:p w14:paraId="5996CDBE" w14:textId="69A4681C" w:rsidR="0016438B" w:rsidRPr="007B45E9" w:rsidRDefault="0016438B" w:rsidP="007B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Interpretation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</w:t>
      </w:r>
      <w:r w:rsidR="0065658C"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condition :</w:t>
      </w:r>
    </w:p>
    <w:p w14:paraId="095FD8AE" w14:textId="52638BAD" w:rsidR="0016438B" w:rsidRPr="007B45E9" w:rsidRDefault="0016438B" w:rsidP="007B45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If </w:t>
      </w: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CV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ha,r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≥</w:t>
      </w:r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AIP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region,r</w:t>
      </w:r>
      <w:proofErr w:type="spellEnd"/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implies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economic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value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gained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</w:t>
      </w:r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hectare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sufficient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cover, 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potentially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exceed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cost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same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hectare. This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would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suggest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financially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viable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pathway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"inclusive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smallholders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"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through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carbon-centric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practices.</w:t>
      </w:r>
    </w:p>
    <w:p w14:paraId="3D0838D8" w14:textId="1B5A0EC5" w:rsidR="0016438B" w:rsidRPr="007B45E9" w:rsidRDefault="0016438B" w:rsidP="007B45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If </w:t>
      </w: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CV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ha,r</w:t>
      </w:r>
      <w:proofErr w:type="spellEnd"/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&lt;</w:t>
      </w:r>
      <w:proofErr w:type="spellStart"/>
      <w:proofErr w:type="gram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AIP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fr-FR"/>
          <w14:ligatures w14:val="none"/>
        </w:rPr>
        <w:t>region,r</w:t>
      </w:r>
      <w:proofErr w:type="spellEnd"/>
      <w:proofErr w:type="gram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indicates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value per hectare in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not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enough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cover the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premium,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suggesting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additional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mechanisms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 subsidies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might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needed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make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inclusive 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current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value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insufficient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73717196" w14:textId="446FAA1B" w:rsidR="0016438B" w:rsidRPr="007B45E9" w:rsidRDefault="0016438B" w:rsidP="007B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This model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provides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clear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mathematical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representation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core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comparison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performed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study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assess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financial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feasibility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leveraging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value to support agricultural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insurance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smallholders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621F854C" w14:textId="7777777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>III. RESULTS AND DISCUSSIONS</w:t>
      </w:r>
    </w:p>
    <w:p w14:paraId="6E498D8C" w14:textId="7777777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sz w:val="24"/>
          <w:szCs w:val="24"/>
        </w:rPr>
        <w:t xml:space="preserve">3.1 Carbon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sequestration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farmland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sytem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accross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Regions</w:t>
      </w:r>
      <w:proofErr w:type="spellEnd"/>
    </w:p>
    <w:p w14:paraId="16C82501" w14:textId="7D70D68E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sequestration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farmland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reveals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East and Central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exhibit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greatest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whereas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West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Sahel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demonstrates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least as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depicted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Figure </w:t>
      </w:r>
      <w:r w:rsidR="003879D6" w:rsidRPr="007B45E9">
        <w:rPr>
          <w:rFonts w:ascii="Times New Roman" w:hAnsi="Times New Roman" w:cs="Times New Roman"/>
          <w:sz w:val="24"/>
          <w:szCs w:val="24"/>
        </w:rPr>
        <w:t>2)</w:t>
      </w:r>
      <w:r w:rsidRPr="007B45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4055A2" w14:textId="77777777" w:rsidR="0016438B" w:rsidRPr="007B45E9" w:rsidRDefault="0016438B" w:rsidP="007B45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noProof/>
          <w:sz w:val="24"/>
          <w:szCs w:val="24"/>
          <w:highlight w:val="yellow"/>
        </w:rPr>
        <w:lastRenderedPageBreak/>
        <w:drawing>
          <wp:inline distT="0" distB="0" distL="0" distR="0" wp14:anchorId="303EACE7" wp14:editId="6F7BDDE0">
            <wp:extent cx="5568950" cy="2971800"/>
            <wp:effectExtent l="0" t="0" r="12700" b="0"/>
            <wp:docPr id="1140742870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C0B32562-44F2-611C-9574-826A5CF3CB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A21D928" w14:textId="00D07E61" w:rsidR="0016438B" w:rsidRPr="007B45E9" w:rsidRDefault="0016438B" w:rsidP="007B45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3879D6" w:rsidRPr="007B45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B45E9">
        <w:rPr>
          <w:rFonts w:ascii="Times New Roman" w:hAnsi="Times New Roman" w:cs="Times New Roman"/>
          <w:sz w:val="24"/>
          <w:szCs w:val="24"/>
        </w:rPr>
        <w:t xml:space="preserve"> :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Carbon </w:t>
      </w:r>
      <w:proofErr w:type="spellStart"/>
      <w:proofErr w:type="gramStart"/>
      <w:r w:rsidRPr="007B45E9">
        <w:rPr>
          <w:rFonts w:ascii="Times New Roman" w:hAnsi="Times New Roman" w:cs="Times New Roman"/>
          <w:sz w:val="24"/>
          <w:szCs w:val="24"/>
        </w:rPr>
        <w:t>Sequestration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in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farmland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system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</w:p>
    <w:p w14:paraId="2308C700" w14:textId="3CD466BE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are explicable by the nature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East and Central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dominated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by Highland, Mixed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Humid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Forest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inherently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contain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stock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Rainfed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Cropland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and Pasture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prevalent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the West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Sahel, the latter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sequestration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Slik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et al. (2013) ; Gonzalez-Sanchez et al. (2019),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Corbeels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et al. (2019) ; Tiga et al. (2019)</w:t>
      </w:r>
      <w:r w:rsidR="007F3759" w:rsidRPr="007B45E9">
        <w:rPr>
          <w:rFonts w:ascii="Times New Roman" w:hAnsi="Times New Roman" w:cs="Times New Roman"/>
          <w:sz w:val="24"/>
          <w:szCs w:val="24"/>
        </w:rPr>
        <w:t> ; Tiga Neya et al 2020.</w:t>
      </w:r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B45E9">
        <w:rPr>
          <w:rFonts w:ascii="Times New Roman" w:hAnsi="Times New Roman" w:cs="Times New Roman"/>
          <w:sz w:val="24"/>
          <w:szCs w:val="24"/>
        </w:rPr>
        <w:t>some</w:t>
      </w:r>
      <w:proofErr w:type="spellEnd"/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Dimobe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et al., 2018,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akimoto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et al. (2008), highlight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major portion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drier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stored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aboveground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biomass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visibly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are crucial and can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influenced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by management practices in all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.</w:t>
      </w:r>
    </w:p>
    <w:p w14:paraId="22C70E5D" w14:textId="77777777" w:rsidR="0016438B" w:rsidRPr="007B45E9" w:rsidRDefault="0016438B" w:rsidP="007B45E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bookmarkStart w:id="2" w:name="_Hlk199695402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Carbon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price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per ton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metric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accross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Regions</w:t>
      </w:r>
      <w:bookmarkEnd w:id="2"/>
      <w:proofErr w:type="spellEnd"/>
    </w:p>
    <w:p w14:paraId="497EC493" w14:textId="2289725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9437330"/>
      <w:proofErr w:type="spellStart"/>
      <w:r w:rsidRPr="007B45E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the Central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approximately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USD 30.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contrast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the West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Sahel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exhibits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lowest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stabilized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at USD 15,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representing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half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value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Central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(</w:t>
      </w:r>
      <w:r w:rsidR="00426CC3" w:rsidRPr="007B45E9">
        <w:rPr>
          <w:rFonts w:ascii="Times New Roman" w:hAnsi="Times New Roman" w:cs="Times New Roman"/>
          <w:sz w:val="24"/>
          <w:szCs w:val="24"/>
        </w:rPr>
        <w:t>Figure 3</w:t>
      </w:r>
      <w:r w:rsidR="003879D6" w:rsidRPr="007B45E9">
        <w:rPr>
          <w:rFonts w:ascii="Times New Roman" w:hAnsi="Times New Roman" w:cs="Times New Roman"/>
          <w:sz w:val="24"/>
          <w:szCs w:val="24"/>
        </w:rPr>
        <w:t>)</w:t>
      </w:r>
    </w:p>
    <w:p w14:paraId="1F481D7C" w14:textId="40643518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7B45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FBD0E8" wp14:editId="408A6245">
            <wp:extent cx="5588000" cy="2743200"/>
            <wp:effectExtent l="0" t="0" r="12700" b="0"/>
            <wp:docPr id="418361765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3D8D3ABD-2E6E-503A-9A76-D5721C3F81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E9F8088" w14:textId="32FCC04A" w:rsidR="0016438B" w:rsidRPr="007B45E9" w:rsidRDefault="0016438B" w:rsidP="007B45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Figure</w:t>
      </w:r>
      <w:r w:rsidR="003879D6"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3879D6" w:rsidRPr="007B45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B45E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per ton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metric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USD</w:t>
      </w:r>
    </w:p>
    <w:p w14:paraId="18128C1E" w14:textId="6AA8E101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9437636"/>
      <w:r w:rsidRPr="007B45E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Central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reflects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 high-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integrity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, nature-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credits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extensive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coupled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potentially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more mature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frameworks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or international recognition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credits</w:t>
      </w:r>
      <w:bookmarkEnd w:id="4"/>
      <w:proofErr w:type="spellEnd"/>
      <w:r w:rsidRPr="007B45E9">
        <w:rPr>
          <w:rFonts w:ascii="Times New Roman" w:hAnsi="Times New Roman" w:cs="Times New Roman"/>
          <w:sz w:val="24"/>
          <w:szCs w:val="24"/>
        </w:rPr>
        <w:t>. (</w:t>
      </w:r>
      <w:r w:rsidR="008111A1" w:rsidRPr="007B45E9">
        <w:rPr>
          <w:rFonts w:ascii="Times New Roman" w:hAnsi="Times New Roman" w:cs="Times New Roman"/>
          <w:sz w:val="24"/>
          <w:szCs w:val="24"/>
        </w:rPr>
        <w:t xml:space="preserve">Nadia Ashraf and Karim </w:t>
      </w:r>
      <w:proofErr w:type="spellStart"/>
      <w:r w:rsidR="008111A1" w:rsidRPr="007B45E9">
        <w:rPr>
          <w:rFonts w:ascii="Times New Roman" w:hAnsi="Times New Roman" w:cs="Times New Roman"/>
          <w:sz w:val="24"/>
          <w:szCs w:val="24"/>
        </w:rPr>
        <w:t>Karaki</w:t>
      </w:r>
      <w:proofErr w:type="spellEnd"/>
      <w:r w:rsidR="008111A1" w:rsidRPr="007B45E9">
        <w:rPr>
          <w:rFonts w:ascii="Times New Roman" w:hAnsi="Times New Roman" w:cs="Times New Roman"/>
          <w:sz w:val="24"/>
          <w:szCs w:val="24"/>
        </w:rPr>
        <w:t xml:space="preserve"> </w:t>
      </w:r>
      <w:r w:rsidR="00426CC3" w:rsidRPr="007B45E9">
        <w:rPr>
          <w:rFonts w:ascii="Times New Roman" w:hAnsi="Times New Roman" w:cs="Times New Roman"/>
          <w:sz w:val="24"/>
          <w:szCs w:val="24"/>
        </w:rPr>
        <w:t>2024,</w:t>
      </w:r>
      <w:r w:rsidRPr="007B45E9">
        <w:rPr>
          <w:rFonts w:ascii="Times New Roman" w:hAnsi="Times New Roman" w:cs="Times New Roman"/>
          <w:sz w:val="24"/>
          <w:szCs w:val="24"/>
        </w:rPr>
        <w:t xml:space="preserve"> Brice Yannick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Djiofack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et al, </w:t>
      </w:r>
      <w:r w:rsidR="00894CCB" w:rsidRPr="007B45E9">
        <w:rPr>
          <w:rFonts w:ascii="Times New Roman" w:hAnsi="Times New Roman" w:cs="Times New Roman"/>
          <w:sz w:val="24"/>
          <w:szCs w:val="24"/>
        </w:rPr>
        <w:t>2024.</w:t>
      </w:r>
      <w:r w:rsidR="00AD4279" w:rsidRPr="007B45E9">
        <w:rPr>
          <w:rFonts w:ascii="Times New Roman" w:hAnsi="Times New Roman" w:cs="Times New Roman"/>
          <w:sz w:val="24"/>
          <w:szCs w:val="24"/>
        </w:rPr>
        <w:t xml:space="preserve"> </w:t>
      </w:r>
      <w:r w:rsidRPr="007B45E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the West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Sahel,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finance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land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restoration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influenced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nascent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types, and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immediate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45E9">
        <w:rPr>
          <w:rFonts w:ascii="Times New Roman" w:hAnsi="Times New Roman" w:cs="Times New Roman"/>
          <w:sz w:val="24"/>
          <w:szCs w:val="24"/>
        </w:rPr>
        <w:t>challenges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vulnerability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(</w:t>
      </w:r>
      <w:r w:rsidR="003879D6" w:rsidRPr="007B45E9">
        <w:rPr>
          <w:rFonts w:ascii="Times New Roman" w:hAnsi="Times New Roman" w:cs="Times New Roman"/>
          <w:sz w:val="24"/>
          <w:szCs w:val="24"/>
        </w:rPr>
        <w:t>Tiga</w:t>
      </w:r>
      <w:r w:rsidRPr="007B45E9">
        <w:rPr>
          <w:rFonts w:ascii="Times New Roman" w:hAnsi="Times New Roman" w:cs="Times New Roman"/>
          <w:sz w:val="24"/>
          <w:szCs w:val="24"/>
        </w:rPr>
        <w:t xml:space="preserve"> et al. </w:t>
      </w:r>
      <w:r w:rsidR="00894CCB" w:rsidRPr="007B45E9">
        <w:rPr>
          <w:rFonts w:ascii="Times New Roman" w:hAnsi="Times New Roman" w:cs="Times New Roman"/>
          <w:sz w:val="24"/>
          <w:szCs w:val="24"/>
        </w:rPr>
        <w:t>2019.</w:t>
      </w:r>
      <w:r w:rsidR="002475B6" w:rsidRPr="007B45E9">
        <w:rPr>
          <w:rFonts w:ascii="Times New Roman" w:hAnsi="Times New Roman" w:cs="Times New Roman"/>
          <w:sz w:val="24"/>
          <w:szCs w:val="24"/>
        </w:rPr>
        <w:t xml:space="preserve"> Denton et al</w:t>
      </w:r>
      <w:r w:rsidRPr="007B45E9">
        <w:rPr>
          <w:rFonts w:ascii="Times New Roman" w:hAnsi="Times New Roman" w:cs="Times New Roman"/>
          <w:sz w:val="24"/>
          <w:szCs w:val="24"/>
          <w:u w:val="single"/>
        </w:rPr>
        <w:t>, 2024</w:t>
      </w:r>
      <w:r w:rsidRPr="007B45E9">
        <w:rPr>
          <w:rFonts w:ascii="Times New Roman" w:hAnsi="Times New Roman" w:cs="Times New Roman"/>
          <w:sz w:val="24"/>
          <w:szCs w:val="24"/>
        </w:rPr>
        <w:t xml:space="preserve">, Rouget </w:t>
      </w:r>
      <w:r w:rsidR="002475B6" w:rsidRPr="007B45E9">
        <w:rPr>
          <w:rFonts w:ascii="Times New Roman" w:hAnsi="Times New Roman" w:cs="Times New Roman"/>
          <w:sz w:val="24"/>
          <w:szCs w:val="24"/>
        </w:rPr>
        <w:t xml:space="preserve">et al </w:t>
      </w:r>
      <w:r w:rsidRPr="007B45E9">
        <w:rPr>
          <w:rFonts w:ascii="Times New Roman" w:hAnsi="Times New Roman" w:cs="Times New Roman"/>
          <w:sz w:val="24"/>
          <w:szCs w:val="24"/>
        </w:rPr>
        <w:t>2024)</w:t>
      </w:r>
    </w:p>
    <w:p w14:paraId="1A9622E8" w14:textId="77777777" w:rsidR="0016438B" w:rsidRPr="007B45E9" w:rsidRDefault="0016438B" w:rsidP="007B45E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3.3.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Estimated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value per ha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accross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regions</w:t>
      </w:r>
      <w:proofErr w:type="spellEnd"/>
    </w:p>
    <w:p w14:paraId="0CC5E71D" w14:textId="5EF045F1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value per ha in the Central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approximately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USD 90.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contrast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the West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Sahel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exhibits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lowest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value,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stabilized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at USD 12.75,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representing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one-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seventh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value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Central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(Figure </w:t>
      </w:r>
      <w:r w:rsidR="003879D6" w:rsidRPr="007B45E9">
        <w:rPr>
          <w:rFonts w:ascii="Times New Roman" w:hAnsi="Times New Roman" w:cs="Times New Roman"/>
          <w:sz w:val="24"/>
          <w:szCs w:val="24"/>
        </w:rPr>
        <w:t>4</w:t>
      </w:r>
      <w:r w:rsidRPr="007B45E9">
        <w:rPr>
          <w:rFonts w:ascii="Times New Roman" w:hAnsi="Times New Roman" w:cs="Times New Roman"/>
          <w:sz w:val="24"/>
          <w:szCs w:val="24"/>
        </w:rPr>
        <w:t>)</w:t>
      </w:r>
    </w:p>
    <w:p w14:paraId="1F400C4B" w14:textId="77777777" w:rsidR="0016438B" w:rsidRPr="007B45E9" w:rsidRDefault="0016438B" w:rsidP="007B45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E8D300" wp14:editId="59F369FC">
            <wp:extent cx="5797550" cy="3117850"/>
            <wp:effectExtent l="0" t="0" r="12700" b="6350"/>
            <wp:docPr id="1314555850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83FA4196-8B4A-1FA2-9CDE-706C56F396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7245B08" w14:textId="2D84E3B2" w:rsidR="0016438B" w:rsidRPr="007B45E9" w:rsidRDefault="0016438B" w:rsidP="007B45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199427311"/>
      <w:r w:rsidRPr="007B45E9">
        <w:rPr>
          <w:rFonts w:ascii="Times New Roman" w:hAnsi="Times New Roman" w:cs="Times New Roman"/>
          <w:b/>
          <w:bCs/>
          <w:sz w:val="24"/>
          <w:szCs w:val="24"/>
        </w:rPr>
        <w:t>Figure </w:t>
      </w:r>
      <w:proofErr w:type="gramStart"/>
      <w:r w:rsidR="003879D6" w:rsidRPr="007B45E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B45E9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value per ha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farmland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ystem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accross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USD</w:t>
      </w:r>
    </w:p>
    <w:bookmarkEnd w:id="5"/>
    <w:p w14:paraId="4F896052" w14:textId="0D175BF1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sz w:val="24"/>
          <w:szCs w:val="24"/>
        </w:rPr>
        <w:t xml:space="preserve">Central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Africa's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value per hectare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stems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key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First,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there's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 high-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integrity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, nature-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credits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originating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vast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paired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more mature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frameworks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or international recognition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credits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up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prices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Second,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region's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record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sequestration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meaning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naturally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store more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the West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Sahel,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contributing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value (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Cuni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-Sanchez, A., et al 2021, Tiga et al. 2018 and </w:t>
      </w:r>
      <w:proofErr w:type="spellStart"/>
      <w:r w:rsidR="00C61AE4" w:rsidRPr="007B45E9">
        <w:rPr>
          <w:rFonts w:ascii="Times New Roman" w:hAnsi="Times New Roman" w:cs="Times New Roman"/>
          <w:sz w:val="24"/>
          <w:szCs w:val="24"/>
        </w:rPr>
        <w:t>Bishaw</w:t>
      </w:r>
      <w:proofErr w:type="spellEnd"/>
      <w:r w:rsidR="00C61AE4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AE4" w:rsidRPr="007B45E9">
        <w:rPr>
          <w:rFonts w:ascii="Times New Roman" w:hAnsi="Times New Roman" w:cs="Times New Roman"/>
          <w:sz w:val="24"/>
          <w:szCs w:val="24"/>
        </w:rPr>
        <w:t>Badege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., et al 2013)</w:t>
      </w:r>
    </w:p>
    <w:p w14:paraId="6440F9D0" w14:textId="7777777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3.4. </w:t>
      </w:r>
      <w:bookmarkStart w:id="6" w:name="_Hlk199709865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Agricultural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climate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premium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accross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Regions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6"/>
    </w:p>
    <w:p w14:paraId="2BBC7A1A" w14:textId="07B5646F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shows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45E9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Central and East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have premiums set at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approximately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USD 15 per hectare</w:t>
      </w:r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faces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premium of </w:t>
      </w:r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USD 22.5 per hectare (Figure </w:t>
      </w:r>
      <w:r w:rsidR="003879D6"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14:paraId="78A5139B" w14:textId="77777777" w:rsidR="0016438B" w:rsidRPr="007B45E9" w:rsidRDefault="0016438B" w:rsidP="007B45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A35D138" wp14:editId="0CB18708">
            <wp:extent cx="6210300" cy="3155950"/>
            <wp:effectExtent l="0" t="0" r="0" b="6350"/>
            <wp:docPr id="887022957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2A49D755-C48E-BDFB-2ECF-248B0BC686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FEE0B2E" w14:textId="4BA373C5" w:rsidR="0016438B" w:rsidRPr="007B45E9" w:rsidRDefault="0016438B" w:rsidP="007B45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="003879D6"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Pr="007B45E9">
        <w:rPr>
          <w:rFonts w:ascii="Times New Roman" w:hAnsi="Times New Roman" w:cs="Times New Roman"/>
          <w:sz w:val="24"/>
          <w:szCs w:val="24"/>
        </w:rPr>
        <w:t xml:space="preserve"> :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premium </w:t>
      </w:r>
      <w:r w:rsidR="00A43299" w:rsidRPr="007B45E9">
        <w:rPr>
          <w:rFonts w:ascii="Times New Roman" w:hAnsi="Times New Roman" w:cs="Times New Roman"/>
          <w:sz w:val="24"/>
          <w:szCs w:val="24"/>
        </w:rPr>
        <w:t>per ha</w:t>
      </w:r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accross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USD</w:t>
      </w:r>
    </w:p>
    <w:p w14:paraId="38533042" w14:textId="5E7CA3DF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premiums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(USD 22.5/ha)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to Central and East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(USD 15/ha) can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by a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higher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value of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investment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capital per hectare</w:t>
      </w:r>
      <w:r w:rsidRPr="007B45E9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premium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represents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certain percentage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capital,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larger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naturally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leads to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45E9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.(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Masiza</w:t>
      </w:r>
      <w:proofErr w:type="spellEnd"/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, W.,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Chirima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J.G.,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Hamandawana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, H., et al 202</w:t>
      </w:r>
      <w:r w:rsidR="008E60D6">
        <w:rPr>
          <w:rFonts w:ascii="Times New Roman" w:hAnsi="Times New Roman" w:cs="Times New Roman"/>
          <w:sz w:val="24"/>
          <w:szCs w:val="24"/>
        </w:rPr>
        <w:t>1</w:t>
      </w:r>
      <w:r w:rsidR="00D3604C" w:rsidRPr="007B45E9">
        <w:rPr>
          <w:rFonts w:ascii="Times New Roman" w:hAnsi="Times New Roman" w:cs="Times New Roman"/>
          <w:sz w:val="24"/>
          <w:szCs w:val="24"/>
        </w:rPr>
        <w:t xml:space="preserve"> ; Emmanuel </w:t>
      </w:r>
      <w:proofErr w:type="spellStart"/>
      <w:r w:rsidR="00D3604C" w:rsidRPr="007B45E9">
        <w:rPr>
          <w:rFonts w:ascii="Times New Roman" w:hAnsi="Times New Roman" w:cs="Times New Roman"/>
          <w:sz w:val="24"/>
          <w:szCs w:val="24"/>
        </w:rPr>
        <w:t>Nshakira-Rukundo</w:t>
      </w:r>
      <w:proofErr w:type="spellEnd"/>
      <w:r w:rsidR="00D3604C" w:rsidRPr="007B45E9">
        <w:rPr>
          <w:rFonts w:ascii="Times New Roman" w:hAnsi="Times New Roman" w:cs="Times New Roman"/>
          <w:sz w:val="24"/>
          <w:szCs w:val="24"/>
        </w:rPr>
        <w:t xml:space="preserve"> et al. 2021</w:t>
      </w:r>
      <w:r w:rsidR="009C5011" w:rsidRPr="007B45E9">
        <w:rPr>
          <w:rFonts w:ascii="Times New Roman" w:hAnsi="Times New Roman" w:cs="Times New Roman"/>
          <w:sz w:val="24"/>
          <w:szCs w:val="24"/>
        </w:rPr>
        <w:t xml:space="preserve"> ; </w:t>
      </w:r>
      <w:proofErr w:type="spellStart"/>
      <w:r w:rsidR="009C5011" w:rsidRPr="007B45E9">
        <w:rPr>
          <w:rFonts w:ascii="Times New Roman" w:hAnsi="Times New Roman" w:cs="Times New Roman"/>
          <w:sz w:val="24"/>
          <w:szCs w:val="24"/>
        </w:rPr>
        <w:t>Nepomuscene</w:t>
      </w:r>
      <w:proofErr w:type="spellEnd"/>
      <w:r w:rsidR="009C5011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011" w:rsidRPr="007B45E9">
        <w:rPr>
          <w:rFonts w:ascii="Times New Roman" w:hAnsi="Times New Roman" w:cs="Times New Roman"/>
          <w:sz w:val="24"/>
          <w:szCs w:val="24"/>
        </w:rPr>
        <w:t>Ntukamazina</w:t>
      </w:r>
      <w:proofErr w:type="spellEnd"/>
      <w:r w:rsidR="009C5011" w:rsidRPr="007B45E9">
        <w:rPr>
          <w:rFonts w:ascii="Times New Roman" w:hAnsi="Times New Roman" w:cs="Times New Roman"/>
          <w:sz w:val="24"/>
          <w:szCs w:val="24"/>
        </w:rPr>
        <w:t xml:space="preserve"> et al. </w:t>
      </w:r>
      <w:r w:rsidR="00A43299" w:rsidRPr="007B45E9">
        <w:rPr>
          <w:rFonts w:ascii="Times New Roman" w:hAnsi="Times New Roman" w:cs="Times New Roman"/>
          <w:sz w:val="24"/>
          <w:szCs w:val="24"/>
        </w:rPr>
        <w:t>2017</w:t>
      </w:r>
      <w:r w:rsidR="008E60D6">
        <w:rPr>
          <w:rFonts w:ascii="Times New Roman" w:hAnsi="Times New Roman" w:cs="Times New Roman"/>
          <w:sz w:val="24"/>
          <w:szCs w:val="24"/>
        </w:rPr>
        <w:t xml:space="preserve">, </w:t>
      </w:r>
      <w:r w:rsidR="008E60D6" w:rsidRPr="008E60D6">
        <w:rPr>
          <w:rFonts w:ascii="Times New Roman" w:hAnsi="Times New Roman" w:cs="Times New Roman"/>
          <w:sz w:val="24"/>
          <w:szCs w:val="24"/>
          <w:highlight w:val="yellow"/>
        </w:rPr>
        <w:t>Dean et al ; 2014</w:t>
      </w:r>
      <w:r w:rsidR="00A43299" w:rsidRPr="007B45E9">
        <w:rPr>
          <w:rFonts w:ascii="Times New Roman" w:hAnsi="Times New Roman" w:cs="Times New Roman"/>
          <w:sz w:val="24"/>
          <w:szCs w:val="24"/>
        </w:rPr>
        <w:t>)</w:t>
      </w:r>
      <w:r w:rsidRPr="007B45E9">
        <w:rPr>
          <w:rFonts w:ascii="Times New Roman" w:hAnsi="Times New Roman" w:cs="Times New Roman"/>
          <w:sz w:val="24"/>
          <w:szCs w:val="24"/>
        </w:rPr>
        <w:t xml:space="preserve">   It can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45E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premium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reflects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combination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objectively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to agriculture,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potentially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(and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accurate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pricing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markets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and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underlying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vulnerabilities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amplify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impact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on agricultural production.</w:t>
      </w:r>
    </w:p>
    <w:p w14:paraId="6A6F287E" w14:textId="77777777" w:rsidR="0016438B" w:rsidRPr="007B45E9" w:rsidRDefault="0016438B" w:rsidP="007B45E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3.5. Possible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financing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of agricultural index bas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premium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payment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through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carborn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credit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accros the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Region</w:t>
      </w:r>
      <w:proofErr w:type="spellEnd"/>
    </w:p>
    <w:p w14:paraId="457165C8" w14:textId="0247AA61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reveals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gap in the West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Sahel :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value per hectare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annually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premium (Figure </w:t>
      </w:r>
      <w:r w:rsidR="00F308EF" w:rsidRPr="007B45E9">
        <w:rPr>
          <w:rFonts w:ascii="Times New Roman" w:hAnsi="Times New Roman" w:cs="Times New Roman"/>
          <w:sz w:val="24"/>
          <w:szCs w:val="24"/>
        </w:rPr>
        <w:t>6</w:t>
      </w:r>
      <w:r w:rsidRPr="007B45E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ideally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cover the premium,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smallholder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risk-reducing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at no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values in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suggest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sequestration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efforts on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land,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up to 30 percent of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premium's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value (One Acre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Fund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2024</w:t>
      </w:r>
      <w:r w:rsidR="00215176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176" w:rsidRPr="007B45E9">
        <w:rPr>
          <w:rFonts w:ascii="Times New Roman" w:hAnsi="Times New Roman" w:cs="Times New Roman"/>
          <w:sz w:val="24"/>
          <w:szCs w:val="24"/>
        </w:rPr>
        <w:t>AfDB</w:t>
      </w:r>
      <w:proofErr w:type="spellEnd"/>
      <w:r w:rsidR="00215176" w:rsidRPr="007B45E9">
        <w:rPr>
          <w:rFonts w:ascii="Times New Roman" w:hAnsi="Times New Roman" w:cs="Times New Roman"/>
          <w:sz w:val="24"/>
          <w:szCs w:val="24"/>
        </w:rPr>
        <w:t xml:space="preserve"> 2021)</w:t>
      </w:r>
    </w:p>
    <w:p w14:paraId="6B3D2A49" w14:textId="77777777" w:rsidR="0016438B" w:rsidRPr="007B45E9" w:rsidRDefault="0016438B" w:rsidP="007B45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DB46995" wp14:editId="1B13EF23">
            <wp:extent cx="5760720" cy="2589530"/>
            <wp:effectExtent l="0" t="0" r="11430" b="1270"/>
            <wp:docPr id="1698840977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335CE408-1E30-F49D-EC56-35C89EC2B1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48C1221" w14:textId="0DE8F2E6" w:rsidR="0016438B" w:rsidRPr="007B45E9" w:rsidRDefault="0016438B" w:rsidP="007B45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="003879D6"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08EF" w:rsidRPr="007B45E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308EF" w:rsidRPr="007B45E9">
        <w:rPr>
          <w:rFonts w:ascii="Times New Roman" w:hAnsi="Times New Roman" w:cs="Times New Roman"/>
          <w:sz w:val="24"/>
          <w:szCs w:val="24"/>
        </w:rPr>
        <w:t xml:space="preserve"> :</w:t>
      </w:r>
      <w:r w:rsidRPr="007B45E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value per ha compare to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premium per ha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04D23" w14:textId="7777777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value per hectare per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cover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agricultural index-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premiums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contribution,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emerges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East, Central,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Farmers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earn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surplus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value,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potentially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receiving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USD 24, USD 44, and US 75 per hectare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annually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.</w:t>
      </w:r>
    </w:p>
    <w:p w14:paraId="1CBC06B1" w14:textId="712B19AD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r w:rsidR="00F308EF" w:rsidRPr="007B45E9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74597902" w14:textId="7777777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sz w:val="24"/>
          <w:szCs w:val="24"/>
        </w:rPr>
        <w:t>An in-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depth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look at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sequestration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pricing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value per hectare, and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premiums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Africa's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offers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vital insights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can finance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It's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finance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holds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immense promise,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applicability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varies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.</w:t>
      </w:r>
    </w:p>
    <w:p w14:paraId="27843139" w14:textId="7777777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sz w:val="24"/>
          <w:szCs w:val="24"/>
        </w:rPr>
        <w:t xml:space="preserve">East and Central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stand out as leaders in leveraging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finance.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dominated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by Highland, Mixed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Humid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Forest,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boast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substantial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sequestration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ecological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translates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value per hectare.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Crucially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outstrips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premiums. Farmers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areas can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cover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index-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credits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surplus—up to $24 per hectare in East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and $44 per hectare in Central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This surplus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creates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unique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finance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empowering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smallholder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requiring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contributions.</w:t>
      </w:r>
    </w:p>
    <w:p w14:paraId="156115FA" w14:textId="1DB13EA0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Conversely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the West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Sahel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grapples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notable </w:t>
      </w:r>
      <w:proofErr w:type="gramStart"/>
      <w:r w:rsidRPr="007B45E9">
        <w:rPr>
          <w:rFonts w:ascii="Times New Roman" w:hAnsi="Times New Roman" w:cs="Times New Roman"/>
          <w:sz w:val="24"/>
          <w:szCs w:val="24"/>
        </w:rPr>
        <w:t>challenge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naturally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inherent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sequestration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pressing issue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r w:rsidR="00426CC3" w:rsidRPr="007B45E9">
        <w:rPr>
          <w:rFonts w:ascii="Times New Roman" w:hAnsi="Times New Roman" w:cs="Times New Roman"/>
          <w:sz w:val="24"/>
          <w:szCs w:val="24"/>
        </w:rPr>
        <w:t>gap :</w:t>
      </w:r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value per hectare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simply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doesn't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cover the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premium.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efforts to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sequester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land,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the Sahel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up to 30%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premium. This highlights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 alternative or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supplementary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funding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full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coverage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highly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climate-vulnerable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prices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reflect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nascent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immediate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45E9">
        <w:rPr>
          <w:rFonts w:ascii="Times New Roman" w:hAnsi="Times New Roman" w:cs="Times New Roman"/>
          <w:sz w:val="24"/>
          <w:szCs w:val="24"/>
        </w:rPr>
        <w:t>challenges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hindering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full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finance.</w:t>
      </w:r>
    </w:p>
    <w:p w14:paraId="4894C91F" w14:textId="7777777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Southern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presents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distinct scenario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premiums,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averaging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$22.5 per hectare</w:t>
      </w:r>
      <w:r w:rsidRPr="007B45E9"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stems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combination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capital per hectare,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objectively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elevated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potentially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more mature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markets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like East and Central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value per hectare to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cover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premiums,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yielding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surplus of </w:t>
      </w:r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$75 per hectare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annually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.</w:t>
      </w:r>
    </w:p>
    <w:p w14:paraId="3FE77E34" w14:textId="78D602FF" w:rsidR="0016438B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sz w:val="24"/>
          <w:szCs w:val="24"/>
        </w:rPr>
        <w:t xml:space="preserve">In essence,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carbon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finance</w:t>
      </w:r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offers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powerful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, nature-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solution to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fund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disparities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For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like East, Central,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harnessing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credits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can forge a self-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sustaining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model for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management,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the unique </w:t>
      </w:r>
      <w:proofErr w:type="gramStart"/>
      <w:r w:rsidRPr="007B45E9">
        <w:rPr>
          <w:rFonts w:ascii="Times New Roman" w:hAnsi="Times New Roman" w:cs="Times New Roman"/>
          <w:sz w:val="24"/>
          <w:szCs w:val="24"/>
        </w:rPr>
        <w:t>challenges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of the West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Sahel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underscore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necessity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targeted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interventions and innovative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financial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instruments</w:t>
      </w:r>
      <w:r w:rsidRPr="007B45E9">
        <w:rPr>
          <w:rFonts w:ascii="Times New Roman" w:hAnsi="Times New Roman" w:cs="Times New Roman"/>
          <w:sz w:val="24"/>
          <w:szCs w:val="24"/>
        </w:rPr>
        <w:t xml:space="preserve"> to bridge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value-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premium gap. This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equitable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to vital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solutions for all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reinforcing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 a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differentiated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approach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truly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climate-resilient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continent.</w:t>
      </w:r>
      <w:r w:rsidR="005C6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>These</w:t>
      </w:r>
      <w:proofErr w:type="spellEnd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>findings</w:t>
      </w:r>
      <w:proofErr w:type="spellEnd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>underscore</w:t>
      </w:r>
      <w:proofErr w:type="spellEnd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 xml:space="preserve"> the </w:t>
      </w:r>
      <w:proofErr w:type="spellStart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>need</w:t>
      </w:r>
      <w:proofErr w:type="spellEnd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 xml:space="preserve"> for </w:t>
      </w:r>
      <w:proofErr w:type="spellStart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>region-specific</w:t>
      </w:r>
      <w:proofErr w:type="spellEnd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>strategies</w:t>
      </w:r>
      <w:proofErr w:type="spellEnd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 xml:space="preserve"> to </w:t>
      </w:r>
      <w:proofErr w:type="spellStart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>link</w:t>
      </w:r>
      <w:proofErr w:type="spellEnd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>carbon</w:t>
      </w:r>
      <w:proofErr w:type="spellEnd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>markets</w:t>
      </w:r>
      <w:proofErr w:type="spellEnd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>with</w:t>
      </w:r>
      <w:proofErr w:type="spellEnd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 xml:space="preserve"> agricultural </w:t>
      </w:r>
      <w:proofErr w:type="spellStart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>risk</w:t>
      </w:r>
      <w:proofErr w:type="spellEnd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>financing</w:t>
      </w:r>
      <w:proofErr w:type="spellEnd"/>
      <w:r w:rsidR="005C6406" w:rsidRPr="005C6406">
        <w:rPr>
          <w:rFonts w:ascii="Times New Roman" w:hAnsi="Times New Roman" w:cs="Times New Roman"/>
          <w:sz w:val="24"/>
          <w:szCs w:val="24"/>
        </w:rPr>
        <w:t>.</w:t>
      </w:r>
      <w:r w:rsidR="00F308EF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8EF" w:rsidRPr="007B45E9">
        <w:rPr>
          <w:rFonts w:ascii="Times New Roman" w:hAnsi="Times New Roman" w:cs="Times New Roman"/>
          <w:sz w:val="24"/>
          <w:szCs w:val="24"/>
        </w:rPr>
        <w:t>Finaly</w:t>
      </w:r>
      <w:proofErr w:type="spellEnd"/>
      <w:r w:rsidR="00F308EF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8EF" w:rsidRPr="007B45E9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F308EF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8EF" w:rsidRPr="007B45E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F308EF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8EF" w:rsidRPr="007B45E9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="00F308EF"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406" w:rsidRPr="005C6406">
        <w:rPr>
          <w:rFonts w:ascii="Times New Roman" w:hAnsi="Times New Roman" w:cs="Times New Roman"/>
          <w:sz w:val="24"/>
          <w:szCs w:val="24"/>
          <w:highlight w:val="yellow"/>
        </w:rPr>
        <w:t>that</w:t>
      </w:r>
      <w:proofErr w:type="spellEnd"/>
      <w:r w:rsidR="005C6406">
        <w:rPr>
          <w:rFonts w:ascii="Times New Roman" w:hAnsi="Times New Roman" w:cs="Times New Roman"/>
          <w:sz w:val="24"/>
          <w:szCs w:val="24"/>
        </w:rPr>
        <w:t xml:space="preserve"> </w:t>
      </w:r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Multinational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development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agencies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(World Bank,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African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Development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Bank,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Islamic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Development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Bank</w:t>
      </w:r>
      <w:r w:rsidR="00F308EF"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, Asia </w:t>
      </w:r>
      <w:proofErr w:type="spellStart"/>
      <w:r w:rsidR="00F308EF"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Development</w:t>
      </w:r>
      <w:proofErr w:type="spellEnd"/>
      <w:r w:rsidR="00F308EF"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Bank EU </w:t>
      </w:r>
      <w:proofErr w:type="spellStart"/>
      <w:r w:rsidR="00F308EF"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Development</w:t>
      </w:r>
      <w:proofErr w:type="spellEnd"/>
      <w:r w:rsidR="00F308EF"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Bank, Global </w:t>
      </w:r>
      <w:proofErr w:type="spellStart"/>
      <w:r w:rsidR="00F308EF"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Environment</w:t>
      </w:r>
      <w:proofErr w:type="spellEnd"/>
      <w:r w:rsidR="00F308EF"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Funds, Green </w:t>
      </w:r>
      <w:proofErr w:type="spellStart"/>
      <w:r w:rsidR="00F308EF"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Climate</w:t>
      </w:r>
      <w:proofErr w:type="spellEnd"/>
      <w:r w:rsidR="00F308EF"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Finance and </w:t>
      </w:r>
      <w:proofErr w:type="spellStart"/>
      <w:r w:rsidR="00F308EF"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even</w:t>
      </w:r>
      <w:proofErr w:type="spellEnd"/>
      <w:r w:rsidR="00F308EF"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F308EF"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private</w:t>
      </w:r>
      <w:proofErr w:type="spellEnd"/>
      <w:r w:rsidR="00F308EF"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="00F308EF"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bank</w:t>
      </w:r>
      <w:proofErr w:type="spellEnd"/>
      <w:r w:rsidR="00F308EF"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)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insurance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companies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collaborate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Voluntary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Carbon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Market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initiatives like </w:t>
      </w:r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VERRA</w:t>
      </w:r>
      <w:r w:rsidRPr="007B45E9">
        <w:rPr>
          <w:rFonts w:ascii="Times New Roman" w:hAnsi="Times New Roman" w:cs="Times New Roman"/>
          <w:sz w:val="24"/>
          <w:szCs w:val="24"/>
        </w:rPr>
        <w:t xml:space="preserve">, the </w:t>
      </w:r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Gold Standard (GS)</w:t>
      </w:r>
      <w:r w:rsidRPr="007B45E9">
        <w:rPr>
          <w:rFonts w:ascii="Times New Roman" w:hAnsi="Times New Roman" w:cs="Times New Roman"/>
          <w:sz w:val="24"/>
          <w:szCs w:val="24"/>
        </w:rPr>
        <w:t xml:space="preserve">, the </w:t>
      </w:r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American Carbon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Registry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(ACR)</w:t>
      </w:r>
      <w:r w:rsidRPr="007B45E9">
        <w:rPr>
          <w:rFonts w:ascii="Times New Roman" w:hAnsi="Times New Roman" w:cs="Times New Roman"/>
          <w:sz w:val="24"/>
          <w:szCs w:val="24"/>
        </w:rPr>
        <w:t xml:space="preserve">, and the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Climate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Action Reserve (CAR)</w:t>
      </w:r>
      <w:r w:rsidRPr="007B45E9">
        <w:rPr>
          <w:rFonts w:ascii="Times New Roman" w:hAnsi="Times New Roman" w:cs="Times New Roman"/>
          <w:sz w:val="24"/>
          <w:szCs w:val="24"/>
        </w:rPr>
        <w:t xml:space="preserve">. This partnership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explore how the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carbon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stock</w:t>
      </w:r>
      <w:r w:rsidRPr="007B45E9">
        <w:rPr>
          <w:rFonts w:ascii="Times New Roman" w:hAnsi="Times New Roman" w:cs="Times New Roman"/>
          <w:sz w:val="24"/>
          <w:szCs w:val="24"/>
        </w:rPr>
        <w:t xml:space="preserve"> held by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smallholder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farmers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continent can help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fund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agricultural </w:t>
      </w:r>
      <w:proofErr w:type="spellStart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insurance</w:t>
      </w:r>
      <w:proofErr w:type="spellEnd"/>
      <w:r w:rsidRPr="007B45E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premiums</w:t>
      </w:r>
      <w:r w:rsidRPr="007B45E9">
        <w:rPr>
          <w:rFonts w:ascii="Times New Roman" w:hAnsi="Times New Roman" w:cs="Times New Roman"/>
          <w:sz w:val="24"/>
          <w:szCs w:val="24"/>
        </w:rPr>
        <w:t>.</w:t>
      </w:r>
    </w:p>
    <w:p w14:paraId="6C075A14" w14:textId="77777777" w:rsidR="006630E4" w:rsidRDefault="006630E4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3F45C" w14:textId="77777777" w:rsidR="006630E4" w:rsidRPr="006630E4" w:rsidRDefault="006630E4" w:rsidP="006630E4">
      <w:pPr>
        <w:spacing w:after="200" w:line="276" w:lineRule="auto"/>
        <w:jc w:val="both"/>
        <w:outlineLvl w:val="0"/>
        <w:rPr>
          <w:rFonts w:ascii="Arial" w:eastAsia="Times New Roman" w:hAnsi="Arial" w:cs="Arial"/>
          <w:kern w:val="0"/>
          <w:lang w:val="en-GB" w:eastAsia="en-GB"/>
          <w14:ligatures w14:val="none"/>
        </w:rPr>
      </w:pPr>
      <w:r w:rsidRPr="006630E4"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  <w:t>COMPETING INTERESTS DISCLAIMER:</w:t>
      </w:r>
    </w:p>
    <w:p w14:paraId="4ED24097" w14:textId="77777777" w:rsidR="006630E4" w:rsidRPr="00E94B1D" w:rsidRDefault="006630E4" w:rsidP="00E94B1D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E94B1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2A4043A6" w14:textId="77777777" w:rsidR="008E2698" w:rsidRPr="006A6233" w:rsidRDefault="008E2698" w:rsidP="006A6233">
      <w:pPr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</w:pPr>
      <w:bookmarkStart w:id="7" w:name="_Hlk204003461"/>
      <w:bookmarkStart w:id="8" w:name="_Hlk209007716"/>
      <w:r w:rsidRPr="006A6233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>Disclaimer (Artificial intelligence)</w:t>
      </w:r>
    </w:p>
    <w:p w14:paraId="7E6FF6FE" w14:textId="77777777" w:rsidR="008E2698" w:rsidRPr="006A6233" w:rsidRDefault="008E2698" w:rsidP="006A6233">
      <w:pPr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</w:pPr>
      <w:r w:rsidRPr="006A6233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>Option 1:</w:t>
      </w:r>
    </w:p>
    <w:p w14:paraId="28635740" w14:textId="421B25D7" w:rsidR="008E2698" w:rsidRPr="006A6233" w:rsidRDefault="008E2698" w:rsidP="006A6233">
      <w:pPr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</w:pPr>
      <w:r w:rsidRPr="006A6233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 xml:space="preserve">Author(s) hereby </w:t>
      </w:r>
      <w:r w:rsidR="006A6233" w:rsidRPr="006A6233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>declares</w:t>
      </w:r>
      <w:r w:rsidRPr="006A6233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 xml:space="preserve"> that NO generative AI technologies such as Large Language Models (ChatGPT, COPILOT, etc.) and text-to-image generators have been used during the writing or editing of this manuscript. </w:t>
      </w:r>
    </w:p>
    <w:bookmarkEnd w:id="7"/>
    <w:bookmarkEnd w:id="8"/>
    <w:p w14:paraId="7304D285" w14:textId="77777777" w:rsidR="006630E4" w:rsidRPr="006630E4" w:rsidRDefault="006630E4" w:rsidP="006630E4">
      <w:pPr>
        <w:spacing w:after="200" w:line="276" w:lineRule="auto"/>
        <w:rPr>
          <w:rFonts w:ascii="Calibri" w:eastAsia="Times New Roman" w:hAnsi="Calibri" w:cs="Times New Roman"/>
          <w:kern w:val="0"/>
          <w:lang w:val="en-GB" w:eastAsia="en-GB"/>
          <w14:ligatures w14:val="none"/>
        </w:rPr>
      </w:pPr>
    </w:p>
    <w:p w14:paraId="1B0D2736" w14:textId="77777777" w:rsidR="006630E4" w:rsidRPr="006630E4" w:rsidRDefault="006630E4" w:rsidP="006630E4">
      <w:pPr>
        <w:spacing w:after="200" w:line="276" w:lineRule="auto"/>
        <w:rPr>
          <w:rFonts w:ascii="Calibri" w:eastAsia="Times New Roman" w:hAnsi="Calibri" w:cs="Times New Roman"/>
          <w:kern w:val="0"/>
          <w:lang w:val="en-GB" w:eastAsia="en-GB"/>
          <w14:ligatures w14:val="none"/>
        </w:rPr>
      </w:pPr>
    </w:p>
    <w:p w14:paraId="33E66704" w14:textId="77777777" w:rsidR="006630E4" w:rsidRPr="007B45E9" w:rsidRDefault="006630E4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1760C" w14:textId="77777777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A6614" w14:textId="46687F35" w:rsidR="0016438B" w:rsidRPr="007B45E9" w:rsidRDefault="0016438B" w:rsidP="007B45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F308EF" w:rsidRPr="007B45E9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0A9FA38E" w14:textId="74E25036" w:rsidR="00E54454" w:rsidRPr="007B45E9" w:rsidRDefault="00E54454" w:rsidP="007B45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AfDB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(2021) </w:t>
      </w:r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: ,</w:t>
      </w:r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Economic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Outlook. 180p</w:t>
      </w:r>
    </w:p>
    <w:p w14:paraId="1CF800F0" w14:textId="0D272FA4" w:rsidR="00E54454" w:rsidRPr="007B45E9" w:rsidRDefault="00E54454" w:rsidP="007B45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fr-FR"/>
          <w14:ligatures w14:val="none"/>
        </w:rPr>
      </w:pPr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lastRenderedPageBreak/>
        <w:t xml:space="preserve">Aida </w:t>
      </w:r>
      <w:proofErr w:type="spellStart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>Cuni</w:t>
      </w:r>
      <w:proofErr w:type="spellEnd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 xml:space="preserve">-Sanchez, Martin J. P. Sullivan, Philip J. Platts, Simon L. Lewis, Rob </w:t>
      </w:r>
      <w:proofErr w:type="spellStart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>Marchant</w:t>
      </w:r>
      <w:proofErr w:type="spellEnd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 xml:space="preserve">, Gérard Imani, </w:t>
      </w:r>
      <w:proofErr w:type="spellStart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>Wannes</w:t>
      </w:r>
      <w:proofErr w:type="spellEnd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>Hubau</w:t>
      </w:r>
      <w:proofErr w:type="spellEnd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 xml:space="preserve">, </w:t>
      </w:r>
      <w:proofErr w:type="spellStart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>Iveren</w:t>
      </w:r>
      <w:proofErr w:type="spellEnd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>Abiem</w:t>
      </w:r>
      <w:proofErr w:type="spellEnd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 xml:space="preserve">, Hari </w:t>
      </w:r>
      <w:proofErr w:type="spellStart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>Adhikari</w:t>
      </w:r>
      <w:proofErr w:type="spellEnd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 xml:space="preserve">, Tomas Albrecht, Jan Altman, Christian Amani, </w:t>
      </w:r>
      <w:proofErr w:type="spellStart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>Abreham</w:t>
      </w:r>
      <w:proofErr w:type="spellEnd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 xml:space="preserve"> B. </w:t>
      </w:r>
      <w:proofErr w:type="spellStart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>Aneseyee</w:t>
      </w:r>
      <w:proofErr w:type="spellEnd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 xml:space="preserve">, Valerio </w:t>
      </w:r>
      <w:proofErr w:type="spellStart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>Avitabile</w:t>
      </w:r>
      <w:proofErr w:type="spellEnd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 xml:space="preserve">, Lindsay </w:t>
      </w:r>
      <w:proofErr w:type="spellStart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>Banin</w:t>
      </w:r>
      <w:proofErr w:type="spellEnd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 xml:space="preserve">, Rodrigue </w:t>
      </w:r>
      <w:proofErr w:type="spellStart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>Batumike</w:t>
      </w:r>
      <w:proofErr w:type="spellEnd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 xml:space="preserve">, Marijn </w:t>
      </w:r>
      <w:proofErr w:type="spellStart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>Bauters</w:t>
      </w:r>
      <w:proofErr w:type="spellEnd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 xml:space="preserve">, Hans </w:t>
      </w:r>
      <w:proofErr w:type="spellStart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>Beeckman</w:t>
      </w:r>
      <w:proofErr w:type="spellEnd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 xml:space="preserve">, Serge K. </w:t>
      </w:r>
      <w:proofErr w:type="spellStart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>Begne</w:t>
      </w:r>
      <w:proofErr w:type="spellEnd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 xml:space="preserve">, Amy C. Bennett, Robert </w:t>
      </w:r>
      <w:proofErr w:type="spellStart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>Bitariho</w:t>
      </w:r>
      <w:proofErr w:type="spellEnd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 xml:space="preserve">, Pascal </w:t>
      </w:r>
      <w:proofErr w:type="spellStart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>Boeckx</w:t>
      </w:r>
      <w:proofErr w:type="spellEnd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 xml:space="preserve">, Jan </w:t>
      </w:r>
      <w:proofErr w:type="spellStart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>Bogaert</w:t>
      </w:r>
      <w:proofErr w:type="spellEnd"/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 xml:space="preserve">, Achim </w:t>
      </w:r>
      <w:r w:rsidR="00426CC3"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>Bräuning,</w:t>
      </w:r>
      <w:r w:rsidRPr="007B4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fr-FR"/>
          <w14:ligatures w14:val="none"/>
        </w:rPr>
        <w:t xml:space="preserve"> (2021): </w:t>
      </w:r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fr-FR"/>
          <w14:ligatures w14:val="none"/>
        </w:rPr>
        <w:t xml:space="preserve">High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fr-FR"/>
          <w14:ligatures w14:val="none"/>
        </w:rPr>
        <w:t>aboveground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fr-FR"/>
          <w14:ligatures w14:val="none"/>
        </w:rPr>
        <w:t xml:space="preserve">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fr-FR"/>
          <w14:ligatures w14:val="none"/>
        </w:rPr>
        <w:t>carbon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fr-FR"/>
          <w14:ligatures w14:val="none"/>
        </w:rPr>
        <w:t xml:space="preserve"> stock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fr-FR"/>
          <w14:ligatures w14:val="none"/>
        </w:rPr>
        <w:t>of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fr-FR"/>
          <w14:ligatures w14:val="none"/>
        </w:rPr>
        <w:t xml:space="preserve"> African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fr-FR"/>
          <w14:ligatures w14:val="none"/>
        </w:rPr>
        <w:t>tropical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fr-FR"/>
          <w14:ligatures w14:val="none"/>
        </w:rPr>
        <w:t xml:space="preserve"> montane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fr-FR"/>
          <w14:ligatures w14:val="none"/>
        </w:rPr>
        <w:t>forests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fr-FR"/>
          <w14:ligatures w14:val="none"/>
        </w:rPr>
        <w:t xml:space="preserve">. Nature </w:t>
      </w:r>
      <w:proofErr w:type="spellStart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fr-FR"/>
          <w14:ligatures w14:val="none"/>
        </w:rPr>
        <w:t>volume</w:t>
      </w:r>
      <w:proofErr w:type="spellEnd"/>
      <w:r w:rsidRPr="007B45E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fr-FR"/>
          <w14:ligatures w14:val="none"/>
        </w:rPr>
        <w:t xml:space="preserve"> 596, pages536–542 (2021</w:t>
      </w:r>
      <w:r w:rsidRPr="00EC1C97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de-DE" w:eastAsia="fr-FR"/>
          <w14:ligatures w14:val="none"/>
        </w:rPr>
        <w:t>)</w:t>
      </w:r>
      <w:r w:rsidR="00C1773C" w:rsidRPr="00EC1C97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de-DE" w:eastAsia="fr-FR"/>
          <w14:ligatures w14:val="none"/>
        </w:rPr>
        <w:t xml:space="preserve"> </w:t>
      </w:r>
      <w:hyperlink r:id="rId24" w:history="1">
        <w:r w:rsidR="003E3023" w:rsidRPr="00EC1C97">
          <w:rPr>
            <w:rStyle w:val="Lienhypertexte"/>
            <w:rFonts w:ascii="Times New Roman" w:eastAsia="Times New Roman" w:hAnsi="Times New Roman" w:cs="Times New Roman"/>
            <w:kern w:val="0"/>
            <w:sz w:val="24"/>
            <w:szCs w:val="24"/>
            <w:highlight w:val="yellow"/>
            <w:lang w:val="de-DE" w:eastAsia="fr-FR"/>
            <w14:ligatures w14:val="none"/>
          </w:rPr>
          <w:t>https://www.nature.com/articles/s41586-021-03728-4</w:t>
        </w:r>
      </w:hyperlink>
      <w:r w:rsidR="003E302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fr-FR"/>
          <w14:ligatures w14:val="none"/>
        </w:rPr>
        <w:t xml:space="preserve"> </w:t>
      </w:r>
    </w:p>
    <w:p w14:paraId="205736C9" w14:textId="77777777" w:rsidR="00E54454" w:rsidRPr="007B45E9" w:rsidRDefault="00E54454" w:rsidP="007B45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fr-FR"/>
          <w14:ligatures w14:val="none"/>
        </w:rPr>
      </w:pPr>
    </w:p>
    <w:p w14:paraId="4A528D5D" w14:textId="242D385E" w:rsidR="00E54454" w:rsidRPr="007B45E9" w:rsidRDefault="00E54454" w:rsidP="007B45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fr-FR"/>
          <w14:ligatures w14:val="none"/>
        </w:rPr>
      </w:pPr>
      <w:hyperlink r:id="rId25" w:history="1">
        <w:r w:rsidRPr="00E54454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de-DE" w:eastAsia="fr-FR"/>
            <w14:ligatures w14:val="none"/>
          </w:rPr>
          <w:t>Bishaw Badege,Neufeldt, Henry, Mowo, Jeremias, Abdelkadir, Abdu, Muriuki, Jonathan, Dalle, Gemedo Assefa, Tewodros, Guillozet, Kathleen Kassa, Habtemariam Dawson, Ian K. Luedeling, Eike Mbow, Cheikh (2013)</w:t>
        </w:r>
        <w:r w:rsidRPr="00E54454">
          <w:rPr>
            <w:rFonts w:ascii="Times New Roman" w:eastAsia="Times New Roman" w:hAnsi="Times New Roman" w:cs="Times New Roman"/>
            <w:kern w:val="0"/>
            <w:sz w:val="24"/>
            <w:szCs w:val="24"/>
            <w:lang w:val="de-DE" w:eastAsia="fr-FR"/>
            <w14:ligatures w14:val="none"/>
          </w:rPr>
          <w:t xml:space="preserve">:  Farmers’ Strategies for Adapting to and Mitigating Climate Variability and Change through Agroforestry in Ethiopia and Kenya. http://hdl.handle.net/1957/38589 </w:t>
        </w:r>
      </w:hyperlink>
      <w:r w:rsidR="00C1773C">
        <w:t xml:space="preserve"> </w:t>
      </w:r>
    </w:p>
    <w:p w14:paraId="6D380A73" w14:textId="77777777" w:rsidR="00E54454" w:rsidRPr="007B45E9" w:rsidRDefault="00E54454" w:rsidP="007B45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7886"/>
          <w:kern w:val="0"/>
          <w:sz w:val="24"/>
          <w:szCs w:val="24"/>
          <w:u w:val="single"/>
          <w:lang w:eastAsia="fr-FR"/>
          <w14:ligatures w14:val="none"/>
        </w:rPr>
      </w:pPr>
    </w:p>
    <w:p w14:paraId="0799DEAF" w14:textId="4949A4CC" w:rsidR="00E54454" w:rsidRPr="007B45E9" w:rsidRDefault="00E54454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Brice Yannick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Djiofack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Hans Beeckman, Nils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Bourland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Basile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Luse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Belanganayi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Félix Laurent,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Bhely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Angoboy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Ilondea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Laurent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Nsenga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Alain Huart, Menard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Mbende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Longwwango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(2024) :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Protecting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savanna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as </w:t>
      </w:r>
      <w:proofErr w:type="gramStart"/>
      <w:r w:rsidRPr="007B45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nature-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solution to restore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biodiversity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the Democratic Republic of the Congo. </w:t>
      </w:r>
      <w:hyperlink r:id="rId26" w:history="1">
        <w:r w:rsidRPr="007B45E9">
          <w:rPr>
            <w:rStyle w:val="Lienhypertexte"/>
            <w:rFonts w:ascii="Times New Roman" w:hAnsi="Times New Roman" w:cs="Times New Roman"/>
            <w:sz w:val="24"/>
            <w:szCs w:val="24"/>
          </w:rPr>
          <w:t>https://doi.org/10.1111/gcb.17154</w:t>
        </w:r>
      </w:hyperlink>
    </w:p>
    <w:p w14:paraId="57531991" w14:textId="54C5B3C1" w:rsidR="00E54454" w:rsidRPr="007B45E9" w:rsidRDefault="00E54454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Chavi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Meattle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Anna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Balm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Jose E. Diaz,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Gaoyi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Miao, Sean Stout,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Ishrita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Gupta, Sasha Abraham, Alfred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Sloley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Dharshan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Wignarajah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(2024)</w:t>
      </w:r>
      <w:r w:rsidRPr="007B45E9">
        <w:rPr>
          <w:rFonts w:ascii="Times New Roman" w:hAnsi="Times New Roman" w:cs="Times New Roman"/>
          <w:sz w:val="24"/>
          <w:szCs w:val="24"/>
        </w:rPr>
        <w:t xml:space="preserve"> :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Landscape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Finance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2024 at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Policy Initiative (CPI) Report</w:t>
      </w:r>
      <w:r w:rsidR="00C1773C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C1773C" w:rsidRPr="00C1773C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https://www.climatepolicyinitiative.org/wp-content/uploads/2024/10/Landscape-of-Climate-Finance-in-Africa-2024.pdf</w:t>
        </w:r>
      </w:hyperlink>
      <w:r w:rsidR="00C177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05416" w14:textId="0841C87D" w:rsidR="00E54454" w:rsidRDefault="002940DD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D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Cole, Shawn, Xavier </w:t>
      </w:r>
      <w:proofErr w:type="spellStart"/>
      <w:r w:rsidRPr="002940D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Giné</w:t>
      </w:r>
      <w:proofErr w:type="spellEnd"/>
      <w:r w:rsidRPr="002940D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, Jeremy </w:t>
      </w:r>
      <w:proofErr w:type="spellStart"/>
      <w:r w:rsidRPr="002940D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Tobacman</w:t>
      </w:r>
      <w:proofErr w:type="spellEnd"/>
      <w:r w:rsidRPr="002940D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, </w:t>
      </w:r>
      <w:proofErr w:type="spellStart"/>
      <w:r w:rsidRPr="002940D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Petia</w:t>
      </w:r>
      <w:proofErr w:type="spellEnd"/>
      <w:r w:rsidRPr="002940D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2940D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Topalova</w:t>
      </w:r>
      <w:proofErr w:type="spellEnd"/>
      <w:r w:rsidRPr="002940D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, Robert Townsend, and James </w:t>
      </w:r>
      <w:proofErr w:type="spellStart"/>
      <w:r w:rsidRPr="002940D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Vickery</w:t>
      </w:r>
      <w:proofErr w:type="spellEnd"/>
      <w:r w:rsidRPr="002940D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. 2013. </w:t>
      </w:r>
      <w:r w:rsidRPr="002940DD">
        <w:rPr>
          <w:rFonts w:ascii="Times New Roman" w:hAnsi="Times New Roman" w:cs="Times New Roman"/>
          <w:sz w:val="24"/>
          <w:szCs w:val="24"/>
          <w:highlight w:val="yellow"/>
        </w:rPr>
        <w:t>"</w:t>
      </w:r>
      <w:proofErr w:type="spellStart"/>
      <w:r w:rsidRPr="002940DD">
        <w:rPr>
          <w:rFonts w:ascii="Times New Roman" w:hAnsi="Times New Roman" w:cs="Times New Roman"/>
          <w:sz w:val="24"/>
          <w:szCs w:val="24"/>
          <w:highlight w:val="yellow"/>
        </w:rPr>
        <w:t>Barriers</w:t>
      </w:r>
      <w:proofErr w:type="spellEnd"/>
      <w:r w:rsidRPr="002940DD">
        <w:rPr>
          <w:rFonts w:ascii="Times New Roman" w:hAnsi="Times New Roman" w:cs="Times New Roman"/>
          <w:sz w:val="24"/>
          <w:szCs w:val="24"/>
          <w:highlight w:val="yellow"/>
        </w:rPr>
        <w:t xml:space="preserve"> to </w:t>
      </w:r>
      <w:proofErr w:type="spellStart"/>
      <w:r w:rsidRPr="002940DD">
        <w:rPr>
          <w:rFonts w:ascii="Times New Roman" w:hAnsi="Times New Roman" w:cs="Times New Roman"/>
          <w:sz w:val="24"/>
          <w:szCs w:val="24"/>
          <w:highlight w:val="yellow"/>
        </w:rPr>
        <w:t>Household</w:t>
      </w:r>
      <w:proofErr w:type="spellEnd"/>
      <w:r w:rsidRPr="002940DD">
        <w:rPr>
          <w:rFonts w:ascii="Times New Roman" w:hAnsi="Times New Roman" w:cs="Times New Roman"/>
          <w:sz w:val="24"/>
          <w:szCs w:val="24"/>
          <w:highlight w:val="yellow"/>
        </w:rPr>
        <w:t xml:space="preserve"> Risk </w:t>
      </w:r>
      <w:proofErr w:type="gramStart"/>
      <w:r w:rsidRPr="002940DD">
        <w:rPr>
          <w:rFonts w:ascii="Times New Roman" w:hAnsi="Times New Roman" w:cs="Times New Roman"/>
          <w:sz w:val="24"/>
          <w:szCs w:val="24"/>
          <w:highlight w:val="yellow"/>
        </w:rPr>
        <w:t>Management:</w:t>
      </w:r>
      <w:proofErr w:type="gramEnd"/>
      <w:r w:rsidRPr="002940DD">
        <w:rPr>
          <w:rFonts w:ascii="Times New Roman" w:hAnsi="Times New Roman" w:cs="Times New Roman"/>
          <w:sz w:val="24"/>
          <w:szCs w:val="24"/>
          <w:highlight w:val="yellow"/>
        </w:rPr>
        <w:t xml:space="preserve"> Evidence </w:t>
      </w:r>
      <w:proofErr w:type="spellStart"/>
      <w:r w:rsidRPr="002940DD">
        <w:rPr>
          <w:rFonts w:ascii="Times New Roman" w:hAnsi="Times New Roman" w:cs="Times New Roman"/>
          <w:sz w:val="24"/>
          <w:szCs w:val="24"/>
          <w:highlight w:val="yellow"/>
        </w:rPr>
        <w:t>from</w:t>
      </w:r>
      <w:proofErr w:type="spellEnd"/>
      <w:r w:rsidRPr="002940D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2940DD">
        <w:rPr>
          <w:rFonts w:ascii="Times New Roman" w:hAnsi="Times New Roman" w:cs="Times New Roman"/>
          <w:sz w:val="24"/>
          <w:szCs w:val="24"/>
          <w:highlight w:val="yellow"/>
        </w:rPr>
        <w:t>India</w:t>
      </w:r>
      <w:proofErr w:type="spellEnd"/>
      <w:r w:rsidRPr="002940DD">
        <w:rPr>
          <w:rFonts w:ascii="Times New Roman" w:hAnsi="Times New Roman" w:cs="Times New Roman"/>
          <w:sz w:val="24"/>
          <w:szCs w:val="24"/>
          <w:highlight w:val="yellow"/>
        </w:rPr>
        <w:t xml:space="preserve">." American </w:t>
      </w:r>
      <w:proofErr w:type="spellStart"/>
      <w:r w:rsidRPr="002940DD">
        <w:rPr>
          <w:rFonts w:ascii="Times New Roman" w:hAnsi="Times New Roman" w:cs="Times New Roman"/>
          <w:sz w:val="24"/>
          <w:szCs w:val="24"/>
          <w:highlight w:val="yellow"/>
        </w:rPr>
        <w:t>Economic</w:t>
      </w:r>
      <w:proofErr w:type="spellEnd"/>
      <w:r w:rsidRPr="002940D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2940DD">
        <w:rPr>
          <w:rFonts w:ascii="Times New Roman" w:hAnsi="Times New Roman" w:cs="Times New Roman"/>
          <w:sz w:val="24"/>
          <w:szCs w:val="24"/>
          <w:highlight w:val="yellow"/>
        </w:rPr>
        <w:t>Journal:</w:t>
      </w:r>
      <w:proofErr w:type="gramEnd"/>
      <w:r w:rsidRPr="002940D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2940DD">
        <w:rPr>
          <w:rFonts w:ascii="Times New Roman" w:hAnsi="Times New Roman" w:cs="Times New Roman"/>
          <w:sz w:val="24"/>
          <w:szCs w:val="24"/>
          <w:highlight w:val="yellow"/>
        </w:rPr>
        <w:t>Applied</w:t>
      </w:r>
      <w:proofErr w:type="spellEnd"/>
      <w:r w:rsidRPr="002940D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2940DD">
        <w:rPr>
          <w:rFonts w:ascii="Times New Roman" w:hAnsi="Times New Roman" w:cs="Times New Roman"/>
          <w:sz w:val="24"/>
          <w:szCs w:val="24"/>
          <w:highlight w:val="yellow"/>
        </w:rPr>
        <w:t>Economics</w:t>
      </w:r>
      <w:proofErr w:type="spellEnd"/>
      <w:r w:rsidRPr="002940DD">
        <w:rPr>
          <w:rFonts w:ascii="Times New Roman" w:hAnsi="Times New Roman" w:cs="Times New Roman"/>
          <w:sz w:val="24"/>
          <w:szCs w:val="24"/>
          <w:highlight w:val="yellow"/>
        </w:rPr>
        <w:t xml:space="preserve"> 5 (1</w:t>
      </w:r>
      <w:proofErr w:type="gramStart"/>
      <w:r w:rsidRPr="002940DD">
        <w:rPr>
          <w:rFonts w:ascii="Times New Roman" w:hAnsi="Times New Roman" w:cs="Times New Roman"/>
          <w:sz w:val="24"/>
          <w:szCs w:val="24"/>
          <w:highlight w:val="yellow"/>
        </w:rPr>
        <w:t>):</w:t>
      </w:r>
      <w:proofErr w:type="gramEnd"/>
      <w:r w:rsidRPr="002940DD">
        <w:rPr>
          <w:rFonts w:ascii="Times New Roman" w:hAnsi="Times New Roman" w:cs="Times New Roman"/>
          <w:sz w:val="24"/>
          <w:szCs w:val="24"/>
          <w:highlight w:val="yellow"/>
        </w:rPr>
        <w:t xml:space="preserve"> 104–35</w:t>
      </w:r>
      <w:r w:rsidRPr="002940D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. </w:t>
      </w:r>
      <w:proofErr w:type="gramStart"/>
      <w:r w:rsidRPr="002940DD">
        <w:rPr>
          <w:rFonts w:ascii="Times New Roman" w:hAnsi="Times New Roman" w:cs="Times New Roman"/>
          <w:sz w:val="24"/>
          <w:szCs w:val="24"/>
          <w:highlight w:val="yellow"/>
        </w:rPr>
        <w:t>DOI:</w:t>
      </w:r>
      <w:proofErr w:type="gramEnd"/>
      <w:r w:rsidRPr="002940DD">
        <w:rPr>
          <w:rFonts w:ascii="Times New Roman" w:hAnsi="Times New Roman" w:cs="Times New Roman"/>
          <w:sz w:val="24"/>
          <w:szCs w:val="24"/>
          <w:highlight w:val="yellow"/>
        </w:rPr>
        <w:t xml:space="preserve"> 10.1257/app.5.1.104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ADD26B" w14:textId="57C0A940" w:rsidR="00E54454" w:rsidRPr="007B45E9" w:rsidRDefault="003220AE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A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Dean </w:t>
      </w:r>
      <w:proofErr w:type="spellStart"/>
      <w:r w:rsidRPr="003220A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Karlan</w:t>
      </w:r>
      <w:proofErr w:type="spellEnd"/>
      <w:r w:rsidRPr="003220A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, Robert </w:t>
      </w:r>
      <w:proofErr w:type="spellStart"/>
      <w:r w:rsidRPr="003220A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Osei</w:t>
      </w:r>
      <w:proofErr w:type="spellEnd"/>
      <w:r w:rsidRPr="003220A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, Isaac </w:t>
      </w:r>
      <w:proofErr w:type="spellStart"/>
      <w:r w:rsidRPr="003220A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Osei-Akoto</w:t>
      </w:r>
      <w:proofErr w:type="spellEnd"/>
      <w:r w:rsidRPr="003220A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, Christopher </w:t>
      </w:r>
      <w:proofErr w:type="spellStart"/>
      <w:proofErr w:type="gramStart"/>
      <w:r w:rsidRPr="003220A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Udry</w:t>
      </w:r>
      <w:proofErr w:type="spellEnd"/>
      <w:r w:rsidRPr="003220AE">
        <w:rPr>
          <w:rFonts w:ascii="Times New Roman" w:hAnsi="Times New Roman" w:cs="Times New Roman"/>
          <w:sz w:val="24"/>
          <w:szCs w:val="24"/>
          <w:highlight w:val="yellow"/>
        </w:rPr>
        <w:t>.(</w:t>
      </w:r>
      <w:proofErr w:type="gramEnd"/>
      <w:r w:rsidRPr="003220AE">
        <w:rPr>
          <w:rFonts w:ascii="Times New Roman" w:hAnsi="Times New Roman" w:cs="Times New Roman"/>
          <w:sz w:val="24"/>
          <w:szCs w:val="24"/>
          <w:highlight w:val="yellow"/>
        </w:rPr>
        <w:t xml:space="preserve"> 2014). Agricultural </w:t>
      </w:r>
      <w:proofErr w:type="spellStart"/>
      <w:r w:rsidRPr="003220AE">
        <w:rPr>
          <w:rFonts w:ascii="Times New Roman" w:hAnsi="Times New Roman" w:cs="Times New Roman"/>
          <w:sz w:val="24"/>
          <w:szCs w:val="24"/>
          <w:highlight w:val="yellow"/>
        </w:rPr>
        <w:t>Decisions</w:t>
      </w:r>
      <w:proofErr w:type="spellEnd"/>
      <w:r w:rsidRPr="003220AE">
        <w:rPr>
          <w:rFonts w:ascii="Times New Roman" w:hAnsi="Times New Roman" w:cs="Times New Roman"/>
          <w:sz w:val="24"/>
          <w:szCs w:val="24"/>
          <w:highlight w:val="yellow"/>
        </w:rPr>
        <w:t xml:space="preserve"> and </w:t>
      </w:r>
      <w:proofErr w:type="spellStart"/>
      <w:proofErr w:type="gramStart"/>
      <w:r w:rsidRPr="003220AE">
        <w:rPr>
          <w:rFonts w:ascii="Times New Roman" w:hAnsi="Times New Roman" w:cs="Times New Roman"/>
          <w:sz w:val="24"/>
          <w:szCs w:val="24"/>
          <w:highlight w:val="yellow"/>
        </w:rPr>
        <w:t>Search</w:t>
      </w:r>
      <w:proofErr w:type="spellEnd"/>
      <w:r w:rsidRPr="003220AE">
        <w:rPr>
          <w:rFonts w:ascii="Times New Roman" w:hAnsi="Times New Roman" w:cs="Times New Roman"/>
          <w:sz w:val="24"/>
          <w:szCs w:val="24"/>
          <w:highlight w:val="yellow"/>
        </w:rPr>
        <w:t>:</w:t>
      </w:r>
      <w:proofErr w:type="gramEnd"/>
      <w:r w:rsidRPr="003220AE">
        <w:rPr>
          <w:rFonts w:ascii="Times New Roman" w:hAnsi="Times New Roman" w:cs="Times New Roman"/>
          <w:sz w:val="24"/>
          <w:szCs w:val="24"/>
          <w:highlight w:val="yellow"/>
        </w:rPr>
        <w:t xml:space="preserve"> A Field </w:t>
      </w:r>
      <w:proofErr w:type="spellStart"/>
      <w:r w:rsidRPr="003220AE">
        <w:rPr>
          <w:rFonts w:ascii="Times New Roman" w:hAnsi="Times New Roman" w:cs="Times New Roman"/>
          <w:sz w:val="24"/>
          <w:szCs w:val="24"/>
          <w:highlight w:val="yellow"/>
        </w:rPr>
        <w:t>Experiment</w:t>
      </w:r>
      <w:proofErr w:type="spellEnd"/>
      <w:r w:rsidRPr="003220AE">
        <w:rPr>
          <w:rFonts w:ascii="Times New Roman" w:hAnsi="Times New Roman" w:cs="Times New Roman"/>
          <w:sz w:val="24"/>
          <w:szCs w:val="24"/>
          <w:highlight w:val="yellow"/>
        </w:rPr>
        <w:t xml:space="preserve"> in Ghana. The </w:t>
      </w:r>
      <w:proofErr w:type="spellStart"/>
      <w:r w:rsidRPr="003220AE">
        <w:rPr>
          <w:rFonts w:ascii="Times New Roman" w:hAnsi="Times New Roman" w:cs="Times New Roman"/>
          <w:sz w:val="24"/>
          <w:szCs w:val="24"/>
          <w:highlight w:val="yellow"/>
        </w:rPr>
        <w:t>Quarterly</w:t>
      </w:r>
      <w:proofErr w:type="spellEnd"/>
      <w:r w:rsidRPr="003220AE">
        <w:rPr>
          <w:rFonts w:ascii="Times New Roman" w:hAnsi="Times New Roman" w:cs="Times New Roman"/>
          <w:sz w:val="24"/>
          <w:szCs w:val="24"/>
          <w:highlight w:val="yellow"/>
        </w:rPr>
        <w:t xml:space="preserve"> Journal of </w:t>
      </w:r>
      <w:proofErr w:type="spellStart"/>
      <w:r w:rsidRPr="003220AE">
        <w:rPr>
          <w:rFonts w:ascii="Times New Roman" w:hAnsi="Times New Roman" w:cs="Times New Roman"/>
          <w:sz w:val="24"/>
          <w:szCs w:val="24"/>
          <w:highlight w:val="yellow"/>
        </w:rPr>
        <w:t>Economics</w:t>
      </w:r>
      <w:proofErr w:type="spellEnd"/>
      <w:r w:rsidRPr="003220AE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Pr="003220AE">
        <w:rPr>
          <w:rFonts w:ascii="Source Sans Pro" w:hAnsi="Source Sans Pro"/>
          <w:color w:val="2A2A2A"/>
          <w:sz w:val="26"/>
          <w:szCs w:val="26"/>
          <w:highlight w:val="yellow"/>
          <w:shd w:val="clear" w:color="auto" w:fill="FFFFFF"/>
        </w:rPr>
        <w:t>597–652, </w:t>
      </w:r>
      <w:hyperlink r:id="rId28" w:history="1">
        <w:r w:rsidRPr="003220AE">
          <w:rPr>
            <w:rFonts w:ascii="Source Sans Pro" w:hAnsi="Source Sans Pro"/>
            <w:color w:val="006FB7"/>
            <w:sz w:val="26"/>
            <w:szCs w:val="26"/>
            <w:highlight w:val="yellow"/>
            <w:u w:val="single"/>
            <w:bdr w:val="none" w:sz="0" w:space="0" w:color="auto" w:frame="1"/>
            <w:shd w:val="clear" w:color="auto" w:fill="FFFFFF"/>
          </w:rPr>
          <w:t>https://doi.org/10.1093/qje/qju002</w:t>
        </w:r>
      </w:hyperlink>
    </w:p>
    <w:p w14:paraId="6CBE601E" w14:textId="780D791E" w:rsidR="00E54454" w:rsidRPr="007B45E9" w:rsidRDefault="005D4DA1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4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Emmanuel </w:t>
      </w:r>
      <w:proofErr w:type="spellStart"/>
      <w:r w:rsidRPr="00D72B4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Nshakira-Rukundo</w:t>
      </w:r>
      <w:proofErr w:type="spellEnd"/>
      <w:r w:rsidRPr="00D72B4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Juliet </w:t>
      </w:r>
      <w:proofErr w:type="spellStart"/>
      <w:r w:rsidRPr="00D72B4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Wanjiku</w:t>
      </w:r>
      <w:proofErr w:type="spellEnd"/>
      <w:r w:rsidRPr="00D72B4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D72B4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Kamau</w:t>
      </w:r>
      <w:proofErr w:type="spellEnd"/>
      <w:r w:rsidRPr="00D72B4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 and Heike </w:t>
      </w:r>
      <w:proofErr w:type="spellStart"/>
      <w:r w:rsidRPr="00D72B4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Baumüller</w:t>
      </w:r>
      <w:proofErr w:type="spellEnd"/>
      <w:r w:rsidRPr="00D72B4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. </w:t>
      </w:r>
      <w:r w:rsidRPr="00D72B4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(2021)</w:t>
      </w:r>
      <w:r w:rsidRPr="00D72B4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54454" w:rsidRPr="00D72B4C">
        <w:rPr>
          <w:rFonts w:ascii="Times New Roman" w:hAnsi="Times New Roman" w:cs="Times New Roman"/>
          <w:sz w:val="24"/>
          <w:szCs w:val="24"/>
          <w:highlight w:val="yellow"/>
        </w:rPr>
        <w:t>Determinants</w:t>
      </w:r>
      <w:proofErr w:type="spellEnd"/>
      <w:r w:rsidR="00E54454" w:rsidRPr="00D72B4C">
        <w:rPr>
          <w:rFonts w:ascii="Times New Roman" w:hAnsi="Times New Roman" w:cs="Times New Roman"/>
          <w:sz w:val="24"/>
          <w:szCs w:val="24"/>
          <w:highlight w:val="yellow"/>
        </w:rPr>
        <w:t xml:space="preserve"> of </w:t>
      </w:r>
      <w:proofErr w:type="spellStart"/>
      <w:r w:rsidR="00E54454" w:rsidRPr="00D72B4C">
        <w:rPr>
          <w:rFonts w:ascii="Times New Roman" w:hAnsi="Times New Roman" w:cs="Times New Roman"/>
          <w:sz w:val="24"/>
          <w:szCs w:val="24"/>
          <w:highlight w:val="yellow"/>
        </w:rPr>
        <w:t>uptake</w:t>
      </w:r>
      <w:proofErr w:type="spellEnd"/>
      <w:r w:rsidR="00E54454" w:rsidRPr="00D72B4C">
        <w:rPr>
          <w:rFonts w:ascii="Times New Roman" w:hAnsi="Times New Roman" w:cs="Times New Roman"/>
          <w:sz w:val="24"/>
          <w:szCs w:val="24"/>
          <w:highlight w:val="yellow"/>
        </w:rPr>
        <w:t xml:space="preserve"> and </w:t>
      </w:r>
      <w:proofErr w:type="spellStart"/>
      <w:r w:rsidR="00E54454" w:rsidRPr="00D72B4C">
        <w:rPr>
          <w:rFonts w:ascii="Times New Roman" w:hAnsi="Times New Roman" w:cs="Times New Roman"/>
          <w:sz w:val="24"/>
          <w:szCs w:val="24"/>
          <w:highlight w:val="yellow"/>
        </w:rPr>
        <w:t>strategies</w:t>
      </w:r>
      <w:proofErr w:type="spellEnd"/>
      <w:r w:rsidR="00E54454" w:rsidRPr="00D72B4C">
        <w:rPr>
          <w:rFonts w:ascii="Times New Roman" w:hAnsi="Times New Roman" w:cs="Times New Roman"/>
          <w:sz w:val="24"/>
          <w:szCs w:val="24"/>
          <w:highlight w:val="yellow"/>
        </w:rPr>
        <w:t xml:space="preserve"> to </w:t>
      </w:r>
      <w:proofErr w:type="spellStart"/>
      <w:r w:rsidR="00E54454" w:rsidRPr="00D72B4C">
        <w:rPr>
          <w:rFonts w:ascii="Times New Roman" w:hAnsi="Times New Roman" w:cs="Times New Roman"/>
          <w:sz w:val="24"/>
          <w:szCs w:val="24"/>
          <w:highlight w:val="yellow"/>
        </w:rPr>
        <w:t>improve</w:t>
      </w:r>
      <w:proofErr w:type="spellEnd"/>
      <w:r w:rsidR="00E54454" w:rsidRPr="00D72B4C">
        <w:rPr>
          <w:rFonts w:ascii="Times New Roman" w:hAnsi="Times New Roman" w:cs="Times New Roman"/>
          <w:sz w:val="24"/>
          <w:szCs w:val="24"/>
          <w:highlight w:val="yellow"/>
        </w:rPr>
        <w:t xml:space="preserve"> agricultural </w:t>
      </w:r>
      <w:proofErr w:type="spellStart"/>
      <w:r w:rsidR="00E54454" w:rsidRPr="00D72B4C">
        <w:rPr>
          <w:rFonts w:ascii="Times New Roman" w:hAnsi="Times New Roman" w:cs="Times New Roman"/>
          <w:sz w:val="24"/>
          <w:szCs w:val="24"/>
          <w:highlight w:val="yellow"/>
        </w:rPr>
        <w:t>insurance</w:t>
      </w:r>
      <w:proofErr w:type="spellEnd"/>
      <w:r w:rsidR="00E54454" w:rsidRPr="00D72B4C">
        <w:rPr>
          <w:rFonts w:ascii="Times New Roman" w:hAnsi="Times New Roman" w:cs="Times New Roman"/>
          <w:sz w:val="24"/>
          <w:szCs w:val="24"/>
          <w:highlight w:val="yellow"/>
        </w:rPr>
        <w:t xml:space="preserve"> in </w:t>
      </w:r>
      <w:proofErr w:type="spellStart"/>
      <w:proofErr w:type="gramStart"/>
      <w:r w:rsidR="00E54454" w:rsidRPr="00D72B4C">
        <w:rPr>
          <w:rFonts w:ascii="Times New Roman" w:hAnsi="Times New Roman" w:cs="Times New Roman"/>
          <w:sz w:val="24"/>
          <w:szCs w:val="24"/>
          <w:highlight w:val="yellow"/>
        </w:rPr>
        <w:t>Africa</w:t>
      </w:r>
      <w:proofErr w:type="spellEnd"/>
      <w:r w:rsidR="00E54454" w:rsidRPr="00D72B4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:</w:t>
      </w:r>
      <w:proofErr w:type="gramEnd"/>
      <w:r w:rsidR="00E54454" w:rsidRPr="00D72B4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D72B4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</w:t>
      </w:r>
      <w:proofErr w:type="spellEnd"/>
      <w:r w:rsidRPr="00D72B4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D72B4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review</w:t>
      </w:r>
      <w:proofErr w:type="spellEnd"/>
      <w:r w:rsidRPr="00D72B4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. </w:t>
      </w:r>
      <w:proofErr w:type="spellStart"/>
      <w:r w:rsidRPr="00D72B4C">
        <w:rPr>
          <w:rFonts w:ascii="Times New Roman" w:hAnsi="Times New Roman" w:cs="Times New Roman"/>
          <w:sz w:val="24"/>
          <w:szCs w:val="24"/>
          <w:highlight w:val="yellow"/>
        </w:rPr>
        <w:t>Environment</w:t>
      </w:r>
      <w:proofErr w:type="spellEnd"/>
      <w:r w:rsidRPr="00D72B4C">
        <w:rPr>
          <w:rFonts w:ascii="Times New Roman" w:hAnsi="Times New Roman" w:cs="Times New Roman"/>
          <w:sz w:val="24"/>
          <w:szCs w:val="24"/>
          <w:highlight w:val="yellow"/>
        </w:rPr>
        <w:t xml:space="preserve"> and </w:t>
      </w:r>
      <w:proofErr w:type="spellStart"/>
      <w:r w:rsidRPr="00D72B4C">
        <w:rPr>
          <w:rFonts w:ascii="Times New Roman" w:hAnsi="Times New Roman" w:cs="Times New Roman"/>
          <w:sz w:val="24"/>
          <w:szCs w:val="24"/>
          <w:highlight w:val="yellow"/>
        </w:rPr>
        <w:t>Development</w:t>
      </w:r>
      <w:proofErr w:type="spellEnd"/>
      <w:r w:rsidRPr="00D72B4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proofErr w:type="gramStart"/>
      <w:r w:rsidRPr="00D72B4C">
        <w:rPr>
          <w:rFonts w:ascii="Times New Roman" w:hAnsi="Times New Roman" w:cs="Times New Roman"/>
          <w:sz w:val="24"/>
          <w:szCs w:val="24"/>
          <w:highlight w:val="yellow"/>
        </w:rPr>
        <w:t>Economics</w:t>
      </w:r>
      <w:proofErr w:type="spellEnd"/>
      <w:r w:rsidRPr="00D72B4C">
        <w:rPr>
          <w:rFonts w:ascii="Times New Roman" w:hAnsi="Times New Roman" w:cs="Times New Roman"/>
          <w:sz w:val="24"/>
          <w:szCs w:val="24"/>
          <w:highlight w:val="yellow"/>
        </w:rPr>
        <w:t xml:space="preserve"> ,</w:t>
      </w:r>
      <w:proofErr w:type="gramEnd"/>
      <w:r w:rsidRPr="00D72B4C">
        <w:rPr>
          <w:rFonts w:ascii="Times New Roman" w:hAnsi="Times New Roman" w:cs="Times New Roman"/>
          <w:sz w:val="24"/>
          <w:szCs w:val="24"/>
          <w:highlight w:val="yellow"/>
        </w:rPr>
        <w:t xml:space="preserve"> Volume </w:t>
      </w:r>
      <w:proofErr w:type="gramStart"/>
      <w:r w:rsidRPr="00D72B4C">
        <w:rPr>
          <w:rFonts w:ascii="Times New Roman" w:hAnsi="Times New Roman" w:cs="Times New Roman"/>
          <w:sz w:val="24"/>
          <w:szCs w:val="24"/>
          <w:highlight w:val="yellow"/>
        </w:rPr>
        <w:t>26 ,</w:t>
      </w:r>
      <w:proofErr w:type="gramEnd"/>
      <w:r w:rsidRPr="00D72B4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72B4C">
        <w:rPr>
          <w:rFonts w:ascii="Times New Roman" w:hAnsi="Times New Roman" w:cs="Times New Roman"/>
          <w:sz w:val="24"/>
          <w:szCs w:val="24"/>
          <w:highlight w:val="yellow"/>
        </w:rPr>
        <w:t>Special</w:t>
      </w:r>
      <w:proofErr w:type="spellEnd"/>
      <w:r w:rsidRPr="00D72B4C">
        <w:rPr>
          <w:rFonts w:ascii="Times New Roman" w:hAnsi="Times New Roman" w:cs="Times New Roman"/>
          <w:sz w:val="24"/>
          <w:szCs w:val="24"/>
          <w:highlight w:val="yellow"/>
        </w:rPr>
        <w:t xml:space="preserve"> Issue 5-</w:t>
      </w:r>
      <w:proofErr w:type="gramStart"/>
      <w:r w:rsidRPr="00D72B4C">
        <w:rPr>
          <w:rFonts w:ascii="Times New Roman" w:hAnsi="Times New Roman" w:cs="Times New Roman"/>
          <w:sz w:val="24"/>
          <w:szCs w:val="24"/>
          <w:highlight w:val="yellow"/>
        </w:rPr>
        <w:t>6:</w:t>
      </w:r>
      <w:proofErr w:type="gramEnd"/>
      <w:r w:rsidRPr="00D72B4C">
        <w:rPr>
          <w:rFonts w:ascii="Noto Sans" w:hAnsi="Noto Sans" w:cs="Noto Sans"/>
          <w:color w:val="333333"/>
          <w:sz w:val="21"/>
          <w:szCs w:val="21"/>
          <w:highlight w:val="yellow"/>
          <w:shd w:val="clear" w:color="auto" w:fill="F3F3F3"/>
        </w:rPr>
        <w:t xml:space="preserve"> </w:t>
      </w:r>
      <w:proofErr w:type="gramStart"/>
      <w:r w:rsidRPr="00D72B4C">
        <w:rPr>
          <w:rFonts w:ascii="Noto Sans" w:hAnsi="Noto Sans" w:cs="Noto Sans"/>
          <w:color w:val="333333"/>
          <w:sz w:val="21"/>
          <w:szCs w:val="21"/>
          <w:highlight w:val="yellow"/>
          <w:shd w:val="clear" w:color="auto" w:fill="F3F3F3"/>
        </w:rPr>
        <w:t>DOI:</w:t>
      </w:r>
      <w:proofErr w:type="gramEnd"/>
      <w:r w:rsidRPr="00D72B4C">
        <w:rPr>
          <w:rFonts w:ascii="Noto Sans" w:hAnsi="Noto Sans" w:cs="Noto Sans"/>
          <w:color w:val="333333"/>
          <w:sz w:val="21"/>
          <w:szCs w:val="21"/>
          <w:highlight w:val="yellow"/>
          <w:shd w:val="clear" w:color="auto" w:fill="F3F3F3"/>
        </w:rPr>
        <w:t> </w:t>
      </w:r>
      <w:hyperlink r:id="rId29" w:tgtFrame="_blank" w:history="1">
        <w:r w:rsidRPr="00D72B4C">
          <w:rPr>
            <w:rStyle w:val="text"/>
            <w:rFonts w:ascii="Noto Sans" w:hAnsi="Noto Sans" w:cs="Noto Sans"/>
            <w:color w:val="006FCA"/>
            <w:sz w:val="21"/>
            <w:szCs w:val="21"/>
            <w:highlight w:val="yellow"/>
            <w:shd w:val="clear" w:color="auto" w:fill="F3F3F3"/>
          </w:rPr>
          <w:t>https://doi.org/10.1017/S1355770X21000085</w:t>
        </w:r>
      </w:hyperlink>
    </w:p>
    <w:p w14:paraId="44C79DE2" w14:textId="6D315C42" w:rsidR="00E54454" w:rsidRPr="007B45E9" w:rsidRDefault="00E54454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>Fernando E. Garcia-</w:t>
      </w:r>
      <w:proofErr w:type="spellStart"/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Muiña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Rocío</w:t>
      </w:r>
      <w:proofErr w:type="spellEnd"/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González-Sánchez, Anna Maria </w:t>
      </w:r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Ferrari ,</w:t>
      </w:r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Lucrezia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Volpi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Martina Pini, Cristina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Siligardi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and Davide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Settembre-Blundo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Davide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Settembre-Blundo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2019 )</w:t>
      </w:r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Identifying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Point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Goals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Circular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Economy Practices in an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4.0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Eco-Design. Soc.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2019, 8(8), 241 ; </w:t>
      </w:r>
      <w:hyperlink r:id="rId30" w:history="1">
        <w:r w:rsidR="003220AE" w:rsidRPr="007F7484">
          <w:rPr>
            <w:rStyle w:val="Lienhypertexte"/>
            <w:rFonts w:ascii="Times New Roman" w:hAnsi="Times New Roman" w:cs="Times New Roman"/>
            <w:sz w:val="24"/>
            <w:szCs w:val="24"/>
          </w:rPr>
          <w:t>https://doi.org/10.3390/socsci8080241</w:t>
        </w:r>
      </w:hyperlink>
      <w:r w:rsidR="00322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530B3" w14:textId="303D94A6" w:rsidR="00E54454" w:rsidRPr="007B45E9" w:rsidRDefault="00302A88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Ferry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Slik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Gary Paoli, Krista McGuire,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Ieda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Amaral,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Jorcely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Barroso, Meredith Bastian et al. (</w:t>
      </w:r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2013 )</w:t>
      </w:r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B45E9">
        <w:rPr>
          <w:rFonts w:ascii="Times New Roman" w:hAnsi="Times New Roman" w:cs="Times New Roman"/>
          <w:sz w:val="24"/>
          <w:szCs w:val="24"/>
        </w:rPr>
        <w:t xml:space="preserve"> Large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trees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drive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aboveground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biomass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variation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moist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lowland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forests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tropics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Global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Biogeography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(Global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Ecol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Biogeogr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.) (2013) 22, 1261–1271. </w:t>
      </w:r>
      <w:proofErr w:type="gramStart"/>
      <w:r w:rsidRPr="007B45E9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10.1111/geb.12092 </w:t>
      </w:r>
      <w:hyperlink r:id="rId31" w:history="1">
        <w:r w:rsidRPr="007B45E9">
          <w:rPr>
            <w:rStyle w:val="Lienhypertexte"/>
            <w:rFonts w:ascii="Times New Roman" w:hAnsi="Times New Roman" w:cs="Times New Roman"/>
            <w:sz w:val="24"/>
            <w:szCs w:val="24"/>
          </w:rPr>
          <w:t>http://wileyonlinelibrary.com/journal/geb</w:t>
        </w:r>
      </w:hyperlink>
    </w:p>
    <w:p w14:paraId="756C4135" w14:textId="4529EEB2" w:rsidR="00302A88" w:rsidRPr="007B45E9" w:rsidRDefault="00302A88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Friederike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Schilling, Heike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Baumüller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Julius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Ecuru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Joachim von Braun (2023) : Carbon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farming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Opportunities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challenges</w:t>
      </w:r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engaging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smallholder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farmers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” ZEF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Working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Paper, no. 221, 2023, </w:t>
      </w:r>
      <w:proofErr w:type="spellStart"/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Accessed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Sep. 24, 2023. [Online]. </w:t>
      </w:r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lastRenderedPageBreak/>
        <w:t>Available:</w:t>
      </w:r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> bonndoc.ulb.uni-bonn.de/xmlui/handle/20.500.11811/10771 Mcdonald et al</w:t>
      </w:r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.,(</w:t>
      </w:r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7B45E9">
        <w:rPr>
          <w:rFonts w:ascii="Times New Roman" w:hAnsi="Times New Roman" w:cs="Times New Roman"/>
          <w:sz w:val="24"/>
          <w:szCs w:val="24"/>
        </w:rPr>
        <w:t xml:space="preserve">) :  “Carbon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agriculture fit for </w:t>
      </w:r>
      <w:proofErr w:type="gramStart"/>
      <w:r w:rsidRPr="007B45E9">
        <w:rPr>
          <w:rFonts w:ascii="Times New Roman" w:hAnsi="Times New Roman" w:cs="Times New Roman"/>
          <w:sz w:val="24"/>
          <w:szCs w:val="24"/>
        </w:rPr>
        <w:t>2030 ,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>” 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Public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and Food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(ENVI), </w:t>
      </w:r>
      <w:proofErr w:type="gramStart"/>
      <w:r w:rsidRPr="007B45E9">
        <w:rPr>
          <w:rFonts w:ascii="Times New Roman" w:hAnsi="Times New Roman" w:cs="Times New Roman"/>
          <w:sz w:val="24"/>
          <w:szCs w:val="24"/>
        </w:rPr>
        <w:t xml:space="preserve">Policy 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Scientific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Life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Parliament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, Luxembourg, 2021.</w:t>
      </w:r>
    </w:p>
    <w:p w14:paraId="3C18E55F" w14:textId="6BB4E846" w:rsidR="00302A88" w:rsidRPr="007B45E9" w:rsidRDefault="00302A88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EA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Jennifer </w:t>
      </w:r>
      <w:proofErr w:type="spellStart"/>
      <w:r w:rsidRPr="00117EA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Turyatemba</w:t>
      </w:r>
      <w:proofErr w:type="spellEnd"/>
      <w:r w:rsidRPr="00117EA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117EA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Tumushabe</w:t>
      </w:r>
      <w:proofErr w:type="spellEnd"/>
      <w:r w:rsidRPr="00117EA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, Benson </w:t>
      </w:r>
      <w:proofErr w:type="spellStart"/>
      <w:r w:rsidRPr="00117EA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Turyasingura</w:t>
      </w:r>
      <w:proofErr w:type="spellEnd"/>
      <w:r w:rsidRPr="00117EA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, Petros </w:t>
      </w:r>
      <w:proofErr w:type="spellStart"/>
      <w:r w:rsidRPr="00117EA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Chavula</w:t>
      </w:r>
      <w:proofErr w:type="spellEnd"/>
      <w:r w:rsidRPr="00117EA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(2023) :</w:t>
      </w:r>
      <w:r w:rsidRPr="00117EA6">
        <w:rPr>
          <w:rFonts w:ascii="Times New Roman" w:hAnsi="Times New Roman" w:cs="Times New Roman"/>
          <w:sz w:val="24"/>
          <w:szCs w:val="24"/>
          <w:highlight w:val="yellow"/>
        </w:rPr>
        <w:t xml:space="preserve"> The </w:t>
      </w:r>
      <w:proofErr w:type="spellStart"/>
      <w:r w:rsidRPr="00117EA6">
        <w:rPr>
          <w:rFonts w:ascii="Times New Roman" w:hAnsi="Times New Roman" w:cs="Times New Roman"/>
          <w:sz w:val="24"/>
          <w:szCs w:val="24"/>
          <w:highlight w:val="yellow"/>
        </w:rPr>
        <w:t>Sustainability</w:t>
      </w:r>
      <w:proofErr w:type="spellEnd"/>
      <w:r w:rsidRPr="00117EA6">
        <w:rPr>
          <w:rFonts w:ascii="Times New Roman" w:hAnsi="Times New Roman" w:cs="Times New Roman"/>
          <w:sz w:val="24"/>
          <w:szCs w:val="24"/>
          <w:highlight w:val="yellow"/>
        </w:rPr>
        <w:t xml:space="preserve"> of Carbon </w:t>
      </w:r>
      <w:proofErr w:type="spellStart"/>
      <w:r w:rsidRPr="00117EA6">
        <w:rPr>
          <w:rFonts w:ascii="Times New Roman" w:hAnsi="Times New Roman" w:cs="Times New Roman"/>
          <w:sz w:val="24"/>
          <w:szCs w:val="24"/>
          <w:highlight w:val="yellow"/>
        </w:rPr>
        <w:t>Markets</w:t>
      </w:r>
      <w:proofErr w:type="spellEnd"/>
      <w:r w:rsidRPr="00117EA6">
        <w:rPr>
          <w:rFonts w:ascii="Times New Roman" w:hAnsi="Times New Roman" w:cs="Times New Roman"/>
          <w:sz w:val="24"/>
          <w:szCs w:val="24"/>
          <w:highlight w:val="yellow"/>
        </w:rPr>
        <w:t xml:space="preserve"> for </w:t>
      </w:r>
      <w:proofErr w:type="spellStart"/>
      <w:r w:rsidRPr="00117EA6">
        <w:rPr>
          <w:rFonts w:ascii="Times New Roman" w:hAnsi="Times New Roman" w:cs="Times New Roman"/>
          <w:sz w:val="24"/>
          <w:szCs w:val="24"/>
          <w:highlight w:val="yellow"/>
        </w:rPr>
        <w:t>Climate</w:t>
      </w:r>
      <w:proofErr w:type="spellEnd"/>
      <w:r w:rsidRPr="00117EA6">
        <w:rPr>
          <w:rFonts w:ascii="Times New Roman" w:hAnsi="Times New Roman" w:cs="Times New Roman"/>
          <w:sz w:val="24"/>
          <w:szCs w:val="24"/>
          <w:highlight w:val="yellow"/>
        </w:rPr>
        <w:t xml:space="preserve">-Smart Agriculture </w:t>
      </w:r>
      <w:proofErr w:type="spellStart"/>
      <w:r w:rsidRPr="00117EA6">
        <w:rPr>
          <w:rFonts w:ascii="Times New Roman" w:hAnsi="Times New Roman" w:cs="Times New Roman"/>
          <w:sz w:val="24"/>
          <w:szCs w:val="24"/>
          <w:highlight w:val="yellow"/>
        </w:rPr>
        <w:t>among</w:t>
      </w:r>
      <w:proofErr w:type="spellEnd"/>
      <w:r w:rsidRPr="00117EA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117EA6">
        <w:rPr>
          <w:rFonts w:ascii="Times New Roman" w:hAnsi="Times New Roman" w:cs="Times New Roman"/>
          <w:sz w:val="24"/>
          <w:szCs w:val="24"/>
          <w:highlight w:val="yellow"/>
        </w:rPr>
        <w:t>Smallholder</w:t>
      </w:r>
      <w:proofErr w:type="spellEnd"/>
      <w:r w:rsidRPr="00117EA6">
        <w:rPr>
          <w:rFonts w:ascii="Times New Roman" w:hAnsi="Times New Roman" w:cs="Times New Roman"/>
          <w:sz w:val="24"/>
          <w:szCs w:val="24"/>
          <w:highlight w:val="yellow"/>
        </w:rPr>
        <w:t xml:space="preserve"> Farmers in Uganda</w:t>
      </w:r>
      <w:r w:rsidR="00117EA6" w:rsidRPr="00117EA6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117EA6" w:rsidRPr="00117EA6">
        <w:rPr>
          <w:rFonts w:ascii="Times New Roman" w:hAnsi="Times New Roman" w:cs="Times New Roman"/>
          <w:sz w:val="24"/>
          <w:szCs w:val="24"/>
          <w:highlight w:val="yellow"/>
        </w:rPr>
        <w:t xml:space="preserve">Asian J. </w:t>
      </w:r>
      <w:proofErr w:type="spellStart"/>
      <w:r w:rsidR="00117EA6" w:rsidRPr="00117EA6">
        <w:rPr>
          <w:rFonts w:ascii="Times New Roman" w:hAnsi="Times New Roman" w:cs="Times New Roman"/>
          <w:sz w:val="24"/>
          <w:szCs w:val="24"/>
          <w:highlight w:val="yellow"/>
        </w:rPr>
        <w:t>Res</w:t>
      </w:r>
      <w:proofErr w:type="spellEnd"/>
      <w:r w:rsidR="00117EA6" w:rsidRPr="00117EA6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 w:rsidR="00117EA6" w:rsidRPr="00117EA6">
        <w:rPr>
          <w:rFonts w:ascii="Times New Roman" w:hAnsi="Times New Roman" w:cs="Times New Roman"/>
          <w:sz w:val="24"/>
          <w:szCs w:val="24"/>
          <w:highlight w:val="yellow"/>
        </w:rPr>
        <w:t>Agric</w:t>
      </w:r>
      <w:proofErr w:type="spellEnd"/>
      <w:r w:rsidR="00117EA6" w:rsidRPr="00117EA6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 w:rsidR="00117EA6" w:rsidRPr="00117EA6">
        <w:rPr>
          <w:rFonts w:ascii="Times New Roman" w:hAnsi="Times New Roman" w:cs="Times New Roman"/>
          <w:sz w:val="24"/>
          <w:szCs w:val="24"/>
          <w:highlight w:val="yellow"/>
        </w:rPr>
        <w:t>Forestry</w:t>
      </w:r>
      <w:proofErr w:type="spellEnd"/>
      <w:r w:rsidR="00117EA6" w:rsidRPr="00117EA6">
        <w:rPr>
          <w:rFonts w:ascii="Times New Roman" w:hAnsi="Times New Roman" w:cs="Times New Roman"/>
          <w:sz w:val="24"/>
          <w:szCs w:val="24"/>
          <w:highlight w:val="yellow"/>
        </w:rPr>
        <w:t>, vol. 9, no. 4, pp. 337-345, 2023</w:t>
      </w:r>
      <w:r w:rsidR="00117EA6" w:rsidRPr="00117EA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117EA6" w:rsidRPr="00117EA6">
        <w:rPr>
          <w:highlight w:val="yellow"/>
        </w:rPr>
        <w:t>DOI:</w:t>
      </w:r>
      <w:proofErr w:type="gramEnd"/>
      <w:r w:rsidR="00117EA6" w:rsidRPr="00117EA6">
        <w:rPr>
          <w:highlight w:val="yellow"/>
        </w:rPr>
        <w:t xml:space="preserve"> 10.9734/AJRAF/2023/v9i4263</w:t>
      </w:r>
    </w:p>
    <w:p w14:paraId="7F9FA19D" w14:textId="1D7D7696" w:rsidR="00302A88" w:rsidRPr="007B45E9" w:rsidRDefault="00302A88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Joanes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Atela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2012 :</w:t>
      </w:r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Agricultural Carbon Finance : The Case of the Kenya Agricultural Carbon Project</w:t>
      </w:r>
      <w:r w:rsidR="00117EA6">
        <w:rPr>
          <w:rFonts w:ascii="Times New Roman" w:hAnsi="Times New Roman" w:cs="Times New Roman"/>
          <w:sz w:val="24"/>
          <w:szCs w:val="24"/>
        </w:rPr>
        <w:t xml:space="preserve">. </w:t>
      </w:r>
      <w:hyperlink r:id="rId32" w:history="1">
        <w:r w:rsidR="00117EA6" w:rsidRPr="0017531F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 xml:space="preserve">The </w:t>
        </w:r>
        <w:proofErr w:type="spellStart"/>
        <w:r w:rsidR="00117EA6" w:rsidRPr="0017531F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Politics</w:t>
        </w:r>
        <w:proofErr w:type="spellEnd"/>
        <w:r w:rsidR="00117EA6" w:rsidRPr="0017531F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 xml:space="preserve"> of Agricultural Carbon Finance.pdf</w:t>
        </w:r>
      </w:hyperlink>
    </w:p>
    <w:p w14:paraId="1609F8D3" w14:textId="1B83303B" w:rsidR="003220AE" w:rsidRPr="003220AE" w:rsidRDefault="00302A88" w:rsidP="007B45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Kangbéni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Dimobe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,Jean Léandre N’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djoré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Kouakou ,Jérôme E. </w:t>
      </w:r>
      <w:proofErr w:type="spellStart"/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Tondoh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Benewinde</w:t>
      </w:r>
      <w:proofErr w:type="spellEnd"/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J.-B.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Zoungrana,Gerald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Forkuor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Gerald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Forkuor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Korotimi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Ouédraogo( 2018 </w:t>
      </w:r>
      <w:r w:rsidRPr="007B45E9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Predicting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Impact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Change on Carbon Stock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Semi-Arid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West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Savannas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r w:rsidRPr="007B45E9">
        <w:rPr>
          <w:rFonts w:ascii="Times New Roman" w:hAnsi="Times New Roman" w:cs="Times New Roman"/>
          <w:b/>
          <w:bCs/>
          <w:sz w:val="24"/>
          <w:szCs w:val="24"/>
        </w:rPr>
        <w:t>Land 2018, 7(4), 124; </w:t>
      </w:r>
      <w:hyperlink r:id="rId33" w:history="1">
        <w:r w:rsidRPr="007B45E9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</w:rPr>
          <w:t>https://doi.org/10.3390/land7040124</w:t>
        </w:r>
      </w:hyperlink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20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AEC4AF" w14:textId="57624612" w:rsidR="00302A88" w:rsidRPr="007B45E9" w:rsidRDefault="00302A88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Keigo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Akimoto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Fuminori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Sano,Takashi</w:t>
      </w:r>
      <w:proofErr w:type="spellEnd"/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Homma,Junichiro</w:t>
      </w:r>
      <w:proofErr w:type="spellEnd"/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Oda,Miyuki</w:t>
      </w:r>
      <w:proofErr w:type="spellEnd"/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Nagashima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Masanobu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Kii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2010 )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Estimates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GHG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emission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by country,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Elsivier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Pr="007B45E9">
          <w:rPr>
            <w:rStyle w:val="Lienhypertexte"/>
            <w:rFonts w:ascii="Times New Roman" w:hAnsi="Times New Roman" w:cs="Times New Roman"/>
            <w:sz w:val="24"/>
            <w:szCs w:val="24"/>
          </w:rPr>
          <w:t>https://doi.org/10.1016/j.enpol.2010.02.012</w:t>
        </w:r>
      </w:hyperlink>
    </w:p>
    <w:p w14:paraId="0608067F" w14:textId="2B17981F" w:rsidR="00302A88" w:rsidRPr="007B45E9" w:rsidRDefault="00302A88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Lee,  J.</w:t>
      </w:r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M.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Ingalls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J. D. Erickson, and E.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Wollenberg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>, (2016) :</w:t>
      </w:r>
      <w:r w:rsidRPr="007B45E9">
        <w:rPr>
          <w:rFonts w:ascii="Times New Roman" w:hAnsi="Times New Roman" w:cs="Times New Roman"/>
          <w:sz w:val="24"/>
          <w:szCs w:val="24"/>
        </w:rPr>
        <w:t xml:space="preserve"> “Bridging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markets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45E9">
        <w:rPr>
          <w:rFonts w:ascii="Times New Roman" w:hAnsi="Times New Roman" w:cs="Times New Roman"/>
          <w:sz w:val="24"/>
          <w:szCs w:val="24"/>
        </w:rPr>
        <w:t>alleviation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pro-Poor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East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,” Global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Change, vol. 39, pp. 98–107,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Jul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2016, </w:t>
      </w:r>
      <w:proofErr w:type="spellStart"/>
      <w:proofErr w:type="gramStart"/>
      <w:r w:rsidRPr="007B45E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10.1016/J.GLOENVCHA.2016.04.015 </w:t>
      </w:r>
    </w:p>
    <w:p w14:paraId="2D5E27A9" w14:textId="3CEE29AB" w:rsidR="00302A88" w:rsidRPr="007B45E9" w:rsidRDefault="00302A88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Marc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Corbeels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Rémi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Cardinael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Krishna Naudin, Hervé Guibert, Emmanuel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Torquebiau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2019 )</w:t>
      </w:r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B45E9">
        <w:rPr>
          <w:rFonts w:ascii="Times New Roman" w:hAnsi="Times New Roman" w:cs="Times New Roman"/>
          <w:sz w:val="24"/>
          <w:szCs w:val="24"/>
        </w:rPr>
        <w:t xml:space="preserve"> The 4 per 1000 goal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agroforestry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and conservation agriculture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sub-Saharan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</w:t>
      </w:r>
      <w:hyperlink r:id="rId35" w:history="1">
        <w:r w:rsidRPr="007B45E9">
          <w:rPr>
            <w:rStyle w:val="Lienhypertexte"/>
            <w:rFonts w:ascii="Times New Roman" w:hAnsi="Times New Roman" w:cs="Times New Roman"/>
            <w:sz w:val="24"/>
            <w:szCs w:val="24"/>
          </w:rPr>
          <w:t>https://doi.org/10.1016/j.still.2018.02.015</w:t>
        </w:r>
      </w:hyperlink>
    </w:p>
    <w:p w14:paraId="73B58535" w14:textId="168E40E5" w:rsidR="00302A88" w:rsidRPr="007B45E9" w:rsidRDefault="00302A88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Martina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Mascarenhas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 Anne G.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Timu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>, and 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Liangzhi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You (2024</w:t>
      </w:r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) </w:t>
      </w:r>
      <w:r w:rsidRPr="00EC1C97">
        <w:rPr>
          <w:rFonts w:ascii="Times New Roman" w:hAnsi="Times New Roman" w:cs="Times New Roman"/>
          <w:sz w:val="24"/>
          <w:szCs w:val="24"/>
          <w:highlight w:val="yellow"/>
        </w:rPr>
        <w:t>:.</w:t>
      </w:r>
      <w:proofErr w:type="gramEnd"/>
      <w:r w:rsidR="0017531F" w:rsidRPr="00EC1C9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hyperlink r:id="rId36" w:history="1">
        <w:proofErr w:type="spellStart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From</w:t>
        </w:r>
        <w:proofErr w:type="spellEnd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 xml:space="preserve"> Risk to </w:t>
        </w:r>
        <w:proofErr w:type="spellStart"/>
        <w:proofErr w:type="gramStart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Resilience</w:t>
        </w:r>
        <w:proofErr w:type="spellEnd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:</w:t>
        </w:r>
        <w:proofErr w:type="gramEnd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 xml:space="preserve"> How </w:t>
        </w:r>
        <w:proofErr w:type="spellStart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strategic</w:t>
        </w:r>
        <w:proofErr w:type="spellEnd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 xml:space="preserve"> </w:t>
        </w:r>
        <w:proofErr w:type="spellStart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Government</w:t>
        </w:r>
        <w:proofErr w:type="spellEnd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 xml:space="preserve"> Partnerships can </w:t>
        </w:r>
        <w:proofErr w:type="spellStart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Enhance</w:t>
        </w:r>
        <w:proofErr w:type="spellEnd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 xml:space="preserve"> Access to </w:t>
        </w:r>
        <w:proofErr w:type="spellStart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Insurance-Linked</w:t>
        </w:r>
        <w:proofErr w:type="spellEnd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 xml:space="preserve"> </w:t>
        </w:r>
        <w:proofErr w:type="spellStart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Credit</w:t>
        </w:r>
        <w:proofErr w:type="spellEnd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 xml:space="preserve"> for </w:t>
        </w:r>
        <w:proofErr w:type="spellStart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Smallholders</w:t>
        </w:r>
        <w:proofErr w:type="spellEnd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 xml:space="preserve"> in </w:t>
        </w:r>
        <w:proofErr w:type="spellStart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Zambia</w:t>
        </w:r>
        <w:proofErr w:type="spellEnd"/>
      </w:hyperlink>
    </w:p>
    <w:p w14:paraId="5FA4122E" w14:textId="529E349A" w:rsidR="00302A88" w:rsidRPr="007B45E9" w:rsidRDefault="00302A88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sz w:val="24"/>
          <w:szCs w:val="24"/>
        </w:rPr>
        <w:t xml:space="preserve">Nadia Ashraf and Karim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Karaki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(2024) : </w:t>
      </w:r>
      <w:hyperlink r:id="rId37" w:history="1">
        <w:proofErr w:type="spellStart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African</w:t>
        </w:r>
        <w:proofErr w:type="spellEnd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 xml:space="preserve"> </w:t>
        </w:r>
        <w:proofErr w:type="spellStart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volunta</w:t>
        </w:r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r</w:t>
        </w:r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y</w:t>
        </w:r>
        <w:proofErr w:type="spellEnd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 xml:space="preserve"> </w:t>
        </w:r>
        <w:proofErr w:type="spellStart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carbon</w:t>
        </w:r>
        <w:proofErr w:type="spellEnd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 xml:space="preserve"> </w:t>
        </w:r>
        <w:proofErr w:type="spellStart"/>
        <w:proofErr w:type="gramStart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markets</w:t>
        </w:r>
        <w:proofErr w:type="spellEnd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:</w:t>
        </w:r>
        <w:proofErr w:type="gramEnd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 xml:space="preserve"> Boom or </w:t>
        </w:r>
        <w:proofErr w:type="spellStart"/>
        <w:proofErr w:type="gramStart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bust</w:t>
        </w:r>
        <w:proofErr w:type="spellEnd"/>
        <w:r w:rsidR="0017531F" w:rsidRPr="00EC1C97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</w:rPr>
          <w:t>?</w:t>
        </w:r>
        <w:proofErr w:type="gramEnd"/>
      </w:hyperlink>
    </w:p>
    <w:p w14:paraId="251153FA" w14:textId="77777777" w:rsidR="00302A88" w:rsidRPr="007B45E9" w:rsidRDefault="00302A88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5E9">
        <w:rPr>
          <w:rFonts w:ascii="Times New Roman" w:hAnsi="Times New Roman" w:cs="Times New Roman"/>
          <w:sz w:val="24"/>
          <w:szCs w:val="24"/>
        </w:rPr>
        <w:t>Nepomuscene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Ntukamazina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Richard N.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Onwonga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Rolf Sommer, Jean-Claude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Rubyogo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Clare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Mukankusi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John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Mburu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Rahab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Kariuki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(2017) : Index-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45E9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45E9">
        <w:rPr>
          <w:rFonts w:ascii="Times New Roman" w:hAnsi="Times New Roman" w:cs="Times New Roman"/>
          <w:sz w:val="24"/>
          <w:szCs w:val="24"/>
        </w:rPr>
        <w:t>challenges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and prospects for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uptake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-Sahara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</w:t>
      </w:r>
      <w:hyperlink r:id="rId38" w:history="1">
        <w:r w:rsidRPr="007B45E9">
          <w:rPr>
            <w:rStyle w:val="Lienhypertexte"/>
            <w:rFonts w:ascii="Times New Roman" w:hAnsi="Times New Roman" w:cs="Times New Roman"/>
            <w:sz w:val="24"/>
            <w:szCs w:val="24"/>
          </w:rPr>
          <w:t>http://nbn-resolving.de/urn:nbn:de:hebis:34-2017042052372</w:t>
        </w:r>
      </w:hyperlink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D635C" w14:textId="33FEA496" w:rsidR="00302A88" w:rsidRPr="007B45E9" w:rsidRDefault="00302A88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>OKO finance (2024)</w:t>
      </w:r>
      <w:r w:rsidRPr="007B45E9">
        <w:rPr>
          <w:rFonts w:ascii="Times New Roman" w:hAnsi="Times New Roman" w:cs="Times New Roman"/>
          <w:sz w:val="24"/>
          <w:szCs w:val="24"/>
        </w:rPr>
        <w:t xml:space="preserve"> : How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transform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farms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31F19E9" w14:textId="685C86D2" w:rsidR="00302A88" w:rsidRPr="007B45E9" w:rsidRDefault="00302A88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One Acre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Fund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(2024)</w:t>
      </w:r>
      <w:r w:rsidRPr="007B45E9">
        <w:rPr>
          <w:rFonts w:ascii="Times New Roman" w:hAnsi="Times New Roman" w:cs="Times New Roman"/>
          <w:sz w:val="24"/>
          <w:szCs w:val="24"/>
        </w:rPr>
        <w:t xml:space="preserve"> :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Annual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Report. 17p</w:t>
      </w:r>
    </w:p>
    <w:p w14:paraId="4DE3FEDC" w14:textId="5B47826C" w:rsidR="00302A88" w:rsidRPr="007B45E9" w:rsidRDefault="00302A88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Rishi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Raithatha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and Jan Priebe (2020)</w:t>
      </w:r>
      <w:r w:rsidRPr="007B45E9">
        <w:rPr>
          <w:rFonts w:ascii="Times New Roman" w:hAnsi="Times New Roman" w:cs="Times New Roman"/>
          <w:sz w:val="24"/>
          <w:szCs w:val="24"/>
        </w:rPr>
        <w:t xml:space="preserve"> : Agricultural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smallholders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digital innovation for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. 36 P</w:t>
      </w:r>
    </w:p>
    <w:p w14:paraId="3AA903B3" w14:textId="7A8D056C" w:rsidR="00302A88" w:rsidRPr="007B45E9" w:rsidRDefault="00302A88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Rouget, A., &amp;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Rovzar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>, A. (2024).</w:t>
      </w:r>
      <w:r w:rsidRPr="007B45E9">
        <w:rPr>
          <w:rFonts w:ascii="Times New Roman" w:hAnsi="Times New Roman" w:cs="Times New Roman"/>
          <w:sz w:val="24"/>
          <w:szCs w:val="24"/>
        </w:rPr>
        <w:t> Multi-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Donor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Trust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Fund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Disaster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Financing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ADRiFi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B45E9">
        <w:rPr>
          <w:rFonts w:ascii="Times New Roman" w:hAnsi="Times New Roman" w:cs="Times New Roman"/>
          <w:sz w:val="24"/>
          <w:szCs w:val="24"/>
        </w:rPr>
        <w:t>Programme: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Mid-Term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Report.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Bank.</w:t>
      </w:r>
    </w:p>
    <w:p w14:paraId="5952637C" w14:textId="37762164" w:rsidR="00302A88" w:rsidRPr="007B45E9" w:rsidRDefault="00302A88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>So S., B. K. Haya, and M. Elias (2023) </w:t>
      </w:r>
      <w:r w:rsidRPr="007B45E9">
        <w:rPr>
          <w:rFonts w:ascii="Times New Roman" w:hAnsi="Times New Roman" w:cs="Times New Roman"/>
          <w:sz w:val="24"/>
          <w:szCs w:val="24"/>
        </w:rPr>
        <w:t>:  “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Voluntary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Registry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Offsets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v7.1.” Berkeley Carbon Trading Project,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California, Berkeley, 2023. </w:t>
      </w:r>
      <w:proofErr w:type="spellStart"/>
      <w:proofErr w:type="gramStart"/>
      <w:r w:rsidRPr="007B45E9">
        <w:rPr>
          <w:rFonts w:ascii="Times New Roman" w:hAnsi="Times New Roman" w:cs="Times New Roman"/>
          <w:sz w:val="24"/>
          <w:szCs w:val="24"/>
        </w:rPr>
        <w:t>Accessed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Feb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07, 2023. [Online]. </w:t>
      </w:r>
      <w:proofErr w:type="gramStart"/>
      <w:r w:rsidRPr="007B45E9">
        <w:rPr>
          <w:rFonts w:ascii="Times New Roman" w:hAnsi="Times New Roman" w:cs="Times New Roman"/>
          <w:sz w:val="24"/>
          <w:szCs w:val="24"/>
        </w:rPr>
        <w:t>Available: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 gspp.berkeley.edu/faculty-and-impact/centers/cepp/projects/berkeley-carbon-trading-project/offsets-database </w:t>
      </w:r>
    </w:p>
    <w:p w14:paraId="11279B1B" w14:textId="1C9ECC06" w:rsidR="00302A88" w:rsidRPr="007B45E9" w:rsidRDefault="00302A88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Tamba, Y. -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Wafula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J. -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Magaju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C. - St-Jacques, B. -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Stiem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-Bhatia L. - Arias-Navarro, Cristina -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Aynekulu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E. -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Winowiecki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Leigh </w:t>
      </w:r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Ann.(</w:t>
      </w:r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2021 )</w:t>
      </w:r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B45E9">
        <w:rPr>
          <w:rFonts w:ascii="Times New Roman" w:hAnsi="Times New Roman" w:cs="Times New Roman"/>
          <w:sz w:val="24"/>
          <w:szCs w:val="24"/>
        </w:rPr>
        <w:t xml:space="preserve"> “A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of the participation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smallholder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land-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schemes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,” TMG and ICRAF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Paper, Nov. 2021, </w:t>
      </w:r>
      <w:proofErr w:type="spellStart"/>
      <w:proofErr w:type="gramStart"/>
      <w:r w:rsidRPr="007B45E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10.35435/2.2021.4 </w:t>
      </w:r>
    </w:p>
    <w:p w14:paraId="5D8F85C5" w14:textId="61DB51D3" w:rsidR="00302A88" w:rsidRPr="007B45E9" w:rsidRDefault="00302A88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Tiga  Neya</w:t>
      </w:r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Neya,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O.,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Abunyewa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>, A.A. (2018).</w:t>
      </w:r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Agroforestry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parkland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profiles in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climatic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zones of Burkina Faso, </w:t>
      </w:r>
      <w:proofErr w:type="gramStart"/>
      <w:r w:rsidRPr="007B45E9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Pr="007B45E9">
          <w:rPr>
            <w:rStyle w:val="Lienhypertexte"/>
            <w:rFonts w:ascii="Times New Roman" w:hAnsi="Times New Roman" w:cs="Times New Roman"/>
            <w:sz w:val="24"/>
            <w:szCs w:val="24"/>
          </w:rPr>
          <w:t>https://dx.doi.org/10.4314/ijbcs.v12i5.14</w:t>
        </w:r>
      </w:hyperlink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8C568" w14:textId="3E060B28" w:rsidR="00302A88" w:rsidRPr="007B45E9" w:rsidRDefault="00302A88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Tiga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Neya,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Akwasi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. A.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Abunyewa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Oblé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Neya,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Daniel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Callo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Concha,  (</w:t>
      </w:r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>2019)</w:t>
      </w:r>
      <w:r w:rsidRPr="007B45E9">
        <w:rPr>
          <w:rFonts w:ascii="Times New Roman" w:hAnsi="Times New Roman" w:cs="Times New Roman"/>
          <w:sz w:val="24"/>
          <w:szCs w:val="24"/>
        </w:rPr>
        <w:t xml:space="preserve"> : Trade-off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Tree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Conservation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Crop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Production on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Agroforestry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Parklands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Burkina Faso. : </w:t>
      </w:r>
      <w:hyperlink r:id="rId40" w:history="1">
        <w:r w:rsidRPr="007B45E9">
          <w:rPr>
            <w:rStyle w:val="Lienhypertexte"/>
            <w:rFonts w:ascii="Times New Roman" w:hAnsi="Times New Roman" w:cs="Times New Roman"/>
            <w:sz w:val="24"/>
            <w:szCs w:val="24"/>
          </w:rPr>
          <w:t>https://doi.org/10.5296/jas.v7i1.14270</w:t>
        </w:r>
      </w:hyperlink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B0806" w14:textId="2570321B" w:rsidR="00302A88" w:rsidRPr="007B45E9" w:rsidRDefault="00302A88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Tiga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Neya,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Akwasi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Abunyewa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Oblé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 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Neya</w:t>
      </w:r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et BJB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Zoungrana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et al (2020</w:t>
      </w:r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):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Carbon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Sequestration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Marketable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Carbon Value of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Smallholder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Agroforestry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Parklands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Climatic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Zones of Burkina </w:t>
      </w:r>
      <w:proofErr w:type="gramStart"/>
      <w:r w:rsidRPr="007B45E9">
        <w:rPr>
          <w:rFonts w:ascii="Times New Roman" w:hAnsi="Times New Roman" w:cs="Times New Roman"/>
          <w:sz w:val="24"/>
          <w:szCs w:val="24"/>
        </w:rPr>
        <w:t>Faso: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for REDD+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gramStart"/>
      <w:r w:rsidRPr="007B45E9">
        <w:rPr>
          <w:rFonts w:ascii="Times New Roman" w:hAnsi="Times New Roman" w:cs="Times New Roman"/>
          <w:sz w:val="24"/>
          <w:szCs w:val="24"/>
        </w:rPr>
        <w:t>Springer .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Pr="007B45E9">
          <w:rPr>
            <w:rStyle w:val="Lienhypertexte"/>
            <w:rFonts w:ascii="Times New Roman" w:hAnsi="Times New Roman" w:cs="Times New Roman"/>
            <w:sz w:val="24"/>
            <w:szCs w:val="24"/>
          </w:rPr>
          <w:t>https://doi.org/10.1007/s00267-019-01248-6</w:t>
        </w:r>
      </w:hyperlink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276E3" w14:textId="30E2A2F1" w:rsidR="00302A88" w:rsidRPr="007B45E9" w:rsidRDefault="00302A88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Timm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Tennigkeit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Katalin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Solymosi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Matthias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Seebauer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and Bo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Lager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>. (</w:t>
      </w:r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2013 )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“Carbon Intensification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Reduction in </w:t>
      </w:r>
      <w:proofErr w:type="gramStart"/>
      <w:r w:rsidRPr="007B45E9">
        <w:rPr>
          <w:rFonts w:ascii="Times New Roman" w:hAnsi="Times New Roman" w:cs="Times New Roman"/>
          <w:sz w:val="24"/>
          <w:szCs w:val="24"/>
        </w:rPr>
        <w:t>Kenya: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the Kenya Agricultural Carbon Project”, Field Actions Science Reports [Online],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Issue 7 | 2013, Online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19 April 2013,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connection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on 11 June 2025. </w:t>
      </w:r>
      <w:proofErr w:type="gramStart"/>
      <w:r w:rsidRPr="007B45E9">
        <w:rPr>
          <w:rFonts w:ascii="Times New Roman" w:hAnsi="Times New Roman" w:cs="Times New Roman"/>
          <w:sz w:val="24"/>
          <w:szCs w:val="24"/>
        </w:rPr>
        <w:t>URL: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Pr="007B45E9">
          <w:rPr>
            <w:rStyle w:val="Lienhypertexte"/>
            <w:rFonts w:ascii="Times New Roman" w:hAnsi="Times New Roman" w:cs="Times New Roman"/>
            <w:sz w:val="24"/>
            <w:szCs w:val="24"/>
          </w:rPr>
          <w:t>http://journals.openedition.org/factsreports/2600</w:t>
        </w:r>
      </w:hyperlink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CBD12" w14:textId="0C2BA1B1" w:rsidR="00302A88" w:rsidRDefault="00E551F7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E9">
        <w:rPr>
          <w:rFonts w:ascii="Times New Roman" w:hAnsi="Times New Roman" w:cs="Times New Roman"/>
          <w:b/>
          <w:bCs/>
          <w:sz w:val="24"/>
          <w:szCs w:val="24"/>
        </w:rPr>
        <w:t>UNFCCC (2023)</w:t>
      </w:r>
      <w:r w:rsidRPr="007B45E9">
        <w:rPr>
          <w:rFonts w:ascii="Times New Roman" w:hAnsi="Times New Roman" w:cs="Times New Roman"/>
          <w:sz w:val="24"/>
          <w:szCs w:val="24"/>
        </w:rPr>
        <w:t xml:space="preserve"> : “About CDM.” </w:t>
      </w:r>
      <w:proofErr w:type="spellStart"/>
      <w:proofErr w:type="gramStart"/>
      <w:r w:rsidRPr="007B45E9">
        <w:rPr>
          <w:rFonts w:ascii="Times New Roman" w:hAnsi="Times New Roman" w:cs="Times New Roman"/>
          <w:sz w:val="24"/>
          <w:szCs w:val="24"/>
        </w:rPr>
        <w:t>Accessed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Feb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10, </w:t>
      </w:r>
      <w:proofErr w:type="gramStart"/>
      <w:r w:rsidRPr="007B45E9">
        <w:rPr>
          <w:rFonts w:ascii="Times New Roman" w:hAnsi="Times New Roman" w:cs="Times New Roman"/>
          <w:sz w:val="24"/>
          <w:szCs w:val="24"/>
        </w:rPr>
        <w:t>2023 .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: cdm.unfccc.int/about/index.html </w:t>
      </w:r>
    </w:p>
    <w:p w14:paraId="2ECAD8C9" w14:textId="2FA1494A" w:rsidR="00E551F7" w:rsidRPr="007B45E9" w:rsidRDefault="00E551F7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Wonga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Masiza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ORCID,Johannes</w:t>
      </w:r>
      <w:proofErr w:type="spellEnd"/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George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Chirima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ORCID,Hamisai</w:t>
      </w:r>
      <w:proofErr w:type="spellEnd"/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Hamandawana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,Ahmed</w:t>
      </w:r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Mukalazi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Kalumba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Hezekiel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Bheki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Magagula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Hezekiel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Bheki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Magagula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(2021)</w:t>
      </w:r>
      <w:r w:rsidRPr="007B45E9">
        <w:rPr>
          <w:rFonts w:ascii="Times New Roman" w:hAnsi="Times New Roman" w:cs="Times New Roman"/>
          <w:sz w:val="24"/>
          <w:szCs w:val="24"/>
        </w:rPr>
        <w:t xml:space="preserve"> :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Linking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Agricultural Index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That Influence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Maize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 Rain-Fed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Smallholder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. </w:t>
      </w:r>
      <w:hyperlink r:id="rId43" w:history="1">
        <w:r w:rsidRPr="007B45E9">
          <w:rPr>
            <w:rStyle w:val="Lienhypertexte"/>
            <w:rFonts w:ascii="Times New Roman" w:hAnsi="Times New Roman" w:cs="Times New Roman"/>
            <w:sz w:val="24"/>
            <w:szCs w:val="24"/>
          </w:rPr>
          <w:t>https://doi.org/10.3390/su13095176</w:t>
        </w:r>
      </w:hyperlink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93C81" w14:textId="50E401DA" w:rsidR="00E551F7" w:rsidRPr="007B45E9" w:rsidRDefault="00E551F7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Yanyan</w:t>
      </w:r>
      <w:proofErr w:type="spellEnd"/>
      <w:r w:rsidRPr="007B45E9">
        <w:rPr>
          <w:rFonts w:ascii="Times New Roman" w:hAnsi="Times New Roman" w:cs="Times New Roman"/>
          <w:b/>
          <w:bCs/>
          <w:sz w:val="24"/>
          <w:szCs w:val="24"/>
        </w:rPr>
        <w:t xml:space="preserve"> Liu, Kevin Chen, Ruth V. </w:t>
      </w:r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Hill .</w:t>
      </w:r>
      <w:proofErr w:type="gramEnd"/>
      <w:r w:rsidRPr="007B45E9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7B45E9">
        <w:rPr>
          <w:rFonts w:ascii="Times New Roman" w:hAnsi="Times New Roman" w:cs="Times New Roman"/>
          <w:b/>
          <w:bCs/>
          <w:sz w:val="24"/>
          <w:szCs w:val="24"/>
        </w:rPr>
        <w:t>2020 )</w:t>
      </w:r>
      <w:proofErr w:type="gramEnd"/>
      <w:r w:rsidRPr="007B45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Delayed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Premium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Adoption, and </w:t>
      </w:r>
      <w:proofErr w:type="spellStart"/>
      <w:r w:rsidRPr="007B45E9">
        <w:rPr>
          <w:rFonts w:ascii="Times New Roman" w:hAnsi="Times New Roman" w:cs="Times New Roman"/>
          <w:sz w:val="24"/>
          <w:szCs w:val="24"/>
        </w:rPr>
        <w:t>Household</w:t>
      </w:r>
      <w:proofErr w:type="spellEnd"/>
      <w:r w:rsidRPr="007B45E9">
        <w:rPr>
          <w:rFonts w:ascii="Times New Roman" w:hAnsi="Times New Roman" w:cs="Times New Roman"/>
          <w:sz w:val="24"/>
          <w:szCs w:val="24"/>
        </w:rPr>
        <w:t xml:space="preserve"> Investment in Rural China. AAEA  </w:t>
      </w:r>
      <w:hyperlink r:id="rId44" w:history="1">
        <w:r w:rsidRPr="007B45E9">
          <w:rPr>
            <w:rStyle w:val="Lienhypertexte"/>
            <w:rFonts w:ascii="Times New Roman" w:hAnsi="Times New Roman" w:cs="Times New Roman"/>
            <w:sz w:val="24"/>
            <w:szCs w:val="24"/>
          </w:rPr>
          <w:t>https://doi.org/10.1002/ajae.12038</w:t>
        </w:r>
      </w:hyperlink>
      <w:r w:rsidRPr="007B45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34B34" w14:textId="77777777" w:rsidR="00E551F7" w:rsidRPr="007B45E9" w:rsidRDefault="00E551F7" w:rsidP="007B4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F2E1210" w14:textId="77777777" w:rsidR="00CE6553" w:rsidRPr="007B45E9" w:rsidRDefault="00CE6553" w:rsidP="007B45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E6553" w:rsidRPr="007B45E9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48E6F" w14:textId="77777777" w:rsidR="004A6D45" w:rsidRDefault="004A6D45" w:rsidP="007B45E9">
      <w:pPr>
        <w:spacing w:after="0" w:line="240" w:lineRule="auto"/>
      </w:pPr>
      <w:r>
        <w:separator/>
      </w:r>
    </w:p>
  </w:endnote>
  <w:endnote w:type="continuationSeparator" w:id="0">
    <w:p w14:paraId="7E3C0B82" w14:textId="77777777" w:rsidR="004A6D45" w:rsidRDefault="004A6D45" w:rsidP="007B4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39A3" w14:textId="77777777" w:rsidR="00BC718A" w:rsidRDefault="00BC718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88715"/>
      <w:docPartObj>
        <w:docPartGallery w:val="Page Numbers (Bottom of Page)"/>
        <w:docPartUnique/>
      </w:docPartObj>
    </w:sdtPr>
    <w:sdtContent>
      <w:p w14:paraId="7DE4B09D" w14:textId="477ECFBF" w:rsidR="007B45E9" w:rsidRDefault="007B45E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DECD82" w14:textId="77777777" w:rsidR="007B45E9" w:rsidRDefault="007B45E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C8F3" w14:textId="77777777" w:rsidR="00BC718A" w:rsidRDefault="00BC71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C170" w14:textId="77777777" w:rsidR="004A6D45" w:rsidRDefault="004A6D45" w:rsidP="007B45E9">
      <w:pPr>
        <w:spacing w:after="0" w:line="240" w:lineRule="auto"/>
      </w:pPr>
      <w:r>
        <w:separator/>
      </w:r>
    </w:p>
  </w:footnote>
  <w:footnote w:type="continuationSeparator" w:id="0">
    <w:p w14:paraId="5A9E5D17" w14:textId="77777777" w:rsidR="004A6D45" w:rsidRDefault="004A6D45" w:rsidP="007B4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156FA" w14:textId="4B7A6B97" w:rsidR="00BC718A" w:rsidRDefault="00000000">
    <w:pPr>
      <w:pStyle w:val="En-tte"/>
    </w:pPr>
    <w:r>
      <w:rPr>
        <w:noProof/>
      </w:rPr>
      <w:pict w14:anchorId="16A177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4104797" o:spid="_x0000_s1026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08D4" w14:textId="0D78F7A1" w:rsidR="00BC718A" w:rsidRDefault="00000000">
    <w:pPr>
      <w:pStyle w:val="En-tte"/>
    </w:pPr>
    <w:r>
      <w:rPr>
        <w:noProof/>
      </w:rPr>
      <w:pict w14:anchorId="1C2333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4104798" o:spid="_x0000_s1027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D134" w14:textId="0797B673" w:rsidR="00BC718A" w:rsidRDefault="00000000">
    <w:pPr>
      <w:pStyle w:val="En-tte"/>
    </w:pPr>
    <w:r>
      <w:rPr>
        <w:noProof/>
      </w:rPr>
      <w:pict w14:anchorId="75A9A1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4104796" o:spid="_x0000_s1025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9C5"/>
    <w:multiLevelType w:val="multilevel"/>
    <w:tmpl w:val="77FE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730AF"/>
    <w:multiLevelType w:val="hybridMultilevel"/>
    <w:tmpl w:val="F2AC7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7F19"/>
    <w:multiLevelType w:val="multilevel"/>
    <w:tmpl w:val="7A80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A1246"/>
    <w:multiLevelType w:val="multilevel"/>
    <w:tmpl w:val="9882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E24F6"/>
    <w:multiLevelType w:val="multilevel"/>
    <w:tmpl w:val="32EA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35941"/>
    <w:multiLevelType w:val="multilevel"/>
    <w:tmpl w:val="B770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11BD8"/>
    <w:multiLevelType w:val="multilevel"/>
    <w:tmpl w:val="B60C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3204C8"/>
    <w:multiLevelType w:val="multilevel"/>
    <w:tmpl w:val="379A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BB6065"/>
    <w:multiLevelType w:val="multilevel"/>
    <w:tmpl w:val="CE38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213153">
    <w:abstractNumId w:val="1"/>
  </w:num>
  <w:num w:numId="2" w16cid:durableId="1356955572">
    <w:abstractNumId w:val="5"/>
  </w:num>
  <w:num w:numId="3" w16cid:durableId="280501780">
    <w:abstractNumId w:val="7"/>
  </w:num>
  <w:num w:numId="4" w16cid:durableId="449974311">
    <w:abstractNumId w:val="4"/>
  </w:num>
  <w:num w:numId="5" w16cid:durableId="1492716625">
    <w:abstractNumId w:val="6"/>
  </w:num>
  <w:num w:numId="6" w16cid:durableId="856192280">
    <w:abstractNumId w:val="0"/>
  </w:num>
  <w:num w:numId="7" w16cid:durableId="2040473794">
    <w:abstractNumId w:val="3"/>
  </w:num>
  <w:num w:numId="8" w16cid:durableId="996104941">
    <w:abstractNumId w:val="8"/>
  </w:num>
  <w:num w:numId="9" w16cid:durableId="1078091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8B"/>
    <w:rsid w:val="00032868"/>
    <w:rsid w:val="000464D8"/>
    <w:rsid w:val="000B29B0"/>
    <w:rsid w:val="000D4BE6"/>
    <w:rsid w:val="000E1E6D"/>
    <w:rsid w:val="0011283F"/>
    <w:rsid w:val="00117EA6"/>
    <w:rsid w:val="001443BC"/>
    <w:rsid w:val="00150086"/>
    <w:rsid w:val="00157207"/>
    <w:rsid w:val="0016438B"/>
    <w:rsid w:val="00171637"/>
    <w:rsid w:val="0017531F"/>
    <w:rsid w:val="00184894"/>
    <w:rsid w:val="0019241B"/>
    <w:rsid w:val="001C0709"/>
    <w:rsid w:val="001E7161"/>
    <w:rsid w:val="0020483E"/>
    <w:rsid w:val="00215176"/>
    <w:rsid w:val="002475B6"/>
    <w:rsid w:val="00284AB1"/>
    <w:rsid w:val="002940DD"/>
    <w:rsid w:val="002E0575"/>
    <w:rsid w:val="00302A88"/>
    <w:rsid w:val="003056F0"/>
    <w:rsid w:val="003220AE"/>
    <w:rsid w:val="00333CD9"/>
    <w:rsid w:val="003879D6"/>
    <w:rsid w:val="00394036"/>
    <w:rsid w:val="003E3023"/>
    <w:rsid w:val="00426CC3"/>
    <w:rsid w:val="00432481"/>
    <w:rsid w:val="0045798B"/>
    <w:rsid w:val="0046752F"/>
    <w:rsid w:val="00470A22"/>
    <w:rsid w:val="004957CD"/>
    <w:rsid w:val="004A5917"/>
    <w:rsid w:val="004A6D45"/>
    <w:rsid w:val="004A78AE"/>
    <w:rsid w:val="004B47E9"/>
    <w:rsid w:val="004F56BB"/>
    <w:rsid w:val="005C6406"/>
    <w:rsid w:val="005D4DA1"/>
    <w:rsid w:val="00602C1E"/>
    <w:rsid w:val="006507D3"/>
    <w:rsid w:val="0065658C"/>
    <w:rsid w:val="006630E4"/>
    <w:rsid w:val="006A6233"/>
    <w:rsid w:val="006B0C6C"/>
    <w:rsid w:val="006C0FB0"/>
    <w:rsid w:val="007227CE"/>
    <w:rsid w:val="00736DBC"/>
    <w:rsid w:val="0075595D"/>
    <w:rsid w:val="007922F0"/>
    <w:rsid w:val="007B45E9"/>
    <w:rsid w:val="007F3759"/>
    <w:rsid w:val="008111A1"/>
    <w:rsid w:val="00860C35"/>
    <w:rsid w:val="00894CCB"/>
    <w:rsid w:val="008A5243"/>
    <w:rsid w:val="008E2698"/>
    <w:rsid w:val="008E60D6"/>
    <w:rsid w:val="009A7D23"/>
    <w:rsid w:val="009C5011"/>
    <w:rsid w:val="009D2B44"/>
    <w:rsid w:val="00A259A0"/>
    <w:rsid w:val="00A40AAB"/>
    <w:rsid w:val="00A43299"/>
    <w:rsid w:val="00A54989"/>
    <w:rsid w:val="00AD4279"/>
    <w:rsid w:val="00AF1D7F"/>
    <w:rsid w:val="00B31AFC"/>
    <w:rsid w:val="00BC3671"/>
    <w:rsid w:val="00BC718A"/>
    <w:rsid w:val="00C16A96"/>
    <w:rsid w:val="00C1773C"/>
    <w:rsid w:val="00C61AE4"/>
    <w:rsid w:val="00C77DAB"/>
    <w:rsid w:val="00C94AEC"/>
    <w:rsid w:val="00CA4EF6"/>
    <w:rsid w:val="00CE6553"/>
    <w:rsid w:val="00D05C11"/>
    <w:rsid w:val="00D24713"/>
    <w:rsid w:val="00D3604C"/>
    <w:rsid w:val="00D40D17"/>
    <w:rsid w:val="00D60144"/>
    <w:rsid w:val="00D72B4C"/>
    <w:rsid w:val="00DA1EB5"/>
    <w:rsid w:val="00DC387E"/>
    <w:rsid w:val="00DD234D"/>
    <w:rsid w:val="00DE39B8"/>
    <w:rsid w:val="00E06A50"/>
    <w:rsid w:val="00E256F4"/>
    <w:rsid w:val="00E26194"/>
    <w:rsid w:val="00E306C6"/>
    <w:rsid w:val="00E54454"/>
    <w:rsid w:val="00E551F7"/>
    <w:rsid w:val="00E5799B"/>
    <w:rsid w:val="00E94B1D"/>
    <w:rsid w:val="00EC1C97"/>
    <w:rsid w:val="00ED6E8A"/>
    <w:rsid w:val="00F308EF"/>
    <w:rsid w:val="00F46204"/>
    <w:rsid w:val="00F968FB"/>
    <w:rsid w:val="00FB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09C3F"/>
  <w15:chartTrackingRefBased/>
  <w15:docId w15:val="{AFEBBA3E-120B-407D-A606-7EB22D30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38B"/>
  </w:style>
  <w:style w:type="paragraph" w:styleId="Titre1">
    <w:name w:val="heading 1"/>
    <w:basedOn w:val="Normal"/>
    <w:next w:val="Normal"/>
    <w:link w:val="Titre1Car"/>
    <w:uiPriority w:val="9"/>
    <w:qFormat/>
    <w:rsid w:val="00164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4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43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4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43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4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4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4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4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4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4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43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438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438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43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43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43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43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4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4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4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4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4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43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43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438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4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438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438B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6438B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16438B"/>
    <w:rPr>
      <w:b/>
      <w:bCs/>
    </w:rPr>
  </w:style>
  <w:style w:type="table" w:styleId="Grilledutableau">
    <w:name w:val="Table Grid"/>
    <w:basedOn w:val="TableauNormal"/>
    <w:uiPriority w:val="39"/>
    <w:rsid w:val="00164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6438B"/>
    <w:rPr>
      <w:rFonts w:ascii="Times New Roman" w:hAnsi="Times New Roman" w:cs="Times New Roman"/>
      <w:sz w:val="24"/>
      <w:szCs w:val="24"/>
    </w:rPr>
  </w:style>
  <w:style w:type="table" w:styleId="Tableausimple5">
    <w:name w:val="Plain Table 5"/>
    <w:basedOn w:val="TableauNormal"/>
    <w:uiPriority w:val="45"/>
    <w:rsid w:val="003879D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171637"/>
    <w:rPr>
      <w:color w:val="605E5C"/>
      <w:shd w:val="clear" w:color="auto" w:fill="E1DFDD"/>
    </w:rPr>
  </w:style>
  <w:style w:type="character" w:customStyle="1" w:styleId="react-xocs-alternative-link">
    <w:name w:val="react-xocs-alternative-link"/>
    <w:basedOn w:val="Policepardfaut"/>
    <w:rsid w:val="00CE6553"/>
  </w:style>
  <w:style w:type="character" w:customStyle="1" w:styleId="given-name">
    <w:name w:val="given-name"/>
    <w:basedOn w:val="Policepardfaut"/>
    <w:rsid w:val="00CE6553"/>
  </w:style>
  <w:style w:type="character" w:customStyle="1" w:styleId="text">
    <w:name w:val="text"/>
    <w:basedOn w:val="Policepardfaut"/>
    <w:rsid w:val="00CE6553"/>
  </w:style>
  <w:style w:type="character" w:styleId="Lienhypertextesuivivisit">
    <w:name w:val="FollowedHyperlink"/>
    <w:basedOn w:val="Policepardfaut"/>
    <w:uiPriority w:val="99"/>
    <w:semiHidden/>
    <w:unhideWhenUsed/>
    <w:rsid w:val="00C77DAB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B4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45E9"/>
  </w:style>
  <w:style w:type="paragraph" w:styleId="Pieddepage">
    <w:name w:val="footer"/>
    <w:basedOn w:val="Normal"/>
    <w:link w:val="PieddepageCar"/>
    <w:uiPriority w:val="99"/>
    <w:unhideWhenUsed/>
    <w:rsid w:val="007B4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4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doi.org/10.1111/gcb.17154" TargetMode="External"/><Relationship Id="rId39" Type="http://schemas.openxmlformats.org/officeDocument/2006/relationships/hyperlink" Target="https://dx.doi.org/10.4314/ijbcs.v12i5.14" TargetMode="External"/><Relationship Id="rId21" Type="http://schemas.openxmlformats.org/officeDocument/2006/relationships/chart" Target="charts/chart3.xml"/><Relationship Id="rId34" Type="http://schemas.openxmlformats.org/officeDocument/2006/relationships/hyperlink" Target="https://doi.org/10.1016/j.enpol.2010.02.012" TargetMode="External"/><Relationship Id="rId42" Type="http://schemas.openxmlformats.org/officeDocument/2006/relationships/hyperlink" Target="http://journals.openedition.org/factsreports/2600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hyperlink" Target="https://doi.org/10.1017/S1355770X21000085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www.nature.com/articles/s41586-021-03728-4" TargetMode="External"/><Relationship Id="rId32" Type="http://schemas.openxmlformats.org/officeDocument/2006/relationships/hyperlink" Target="file:///C:\Users\hp\Downloads\The%20Politics%20of%20Agricultural%20Carbon%20Finance.pdf" TargetMode="External"/><Relationship Id="rId37" Type="http://schemas.openxmlformats.org/officeDocument/2006/relationships/hyperlink" Target="https://ecdpm.org/application/files/6917/2665/8470/African-voluntary-carbon-markets-Boom-or-bust-ECDPM-Discussion-paper-375.pdf" TargetMode="External"/><Relationship Id="rId40" Type="http://schemas.openxmlformats.org/officeDocument/2006/relationships/hyperlink" Target="https://doi.org/10.5296/jas.v7i1.14270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chart" Target="charts/chart5.xml"/><Relationship Id="rId28" Type="http://schemas.openxmlformats.org/officeDocument/2006/relationships/hyperlink" Target="https://doi.org/10.1093/qje/qju002" TargetMode="External"/><Relationship Id="rId36" Type="http://schemas.openxmlformats.org/officeDocument/2006/relationships/hyperlink" Target="https://agris.fao.org/search/en/providers/123818/records/67bda0297a9727816ad36921" TargetMode="External"/><Relationship Id="rId49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chart" Target="charts/chart1.xml"/><Relationship Id="rId31" Type="http://schemas.openxmlformats.org/officeDocument/2006/relationships/hyperlink" Target="http://wileyonlinelibrary.com/journal/geb" TargetMode="External"/><Relationship Id="rId44" Type="http://schemas.openxmlformats.org/officeDocument/2006/relationships/hyperlink" Target="https://doi.org/10.1002/ajae.12038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chart" Target="charts/chart4.xml"/><Relationship Id="rId27" Type="http://schemas.openxmlformats.org/officeDocument/2006/relationships/hyperlink" Target="https://www.climatepolicyinitiative.org/wp-content/uploads/2024/10/Landscape-of-Climate-Finance-in-Africa-2024.pdf" TargetMode="External"/><Relationship Id="rId30" Type="http://schemas.openxmlformats.org/officeDocument/2006/relationships/hyperlink" Target="https://doi.org/10.3390/socsci8080241" TargetMode="External"/><Relationship Id="rId35" Type="http://schemas.openxmlformats.org/officeDocument/2006/relationships/hyperlink" Target="https://doi.org/10.1016/j.still.2018.02.015" TargetMode="External"/><Relationship Id="rId43" Type="http://schemas.openxmlformats.org/officeDocument/2006/relationships/hyperlink" Target="https://doi.org/10.3390/su13095176" TargetMode="External"/><Relationship Id="rId48" Type="http://schemas.openxmlformats.org/officeDocument/2006/relationships/footer" Target="footer2.xml"/><Relationship Id="rId8" Type="http://schemas.openxmlformats.org/officeDocument/2006/relationships/hyperlink" Target="https://www.ifpri.org/profile/anne-timu/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://hdl.handle.net/1957/38589" TargetMode="External"/><Relationship Id="rId33" Type="http://schemas.openxmlformats.org/officeDocument/2006/relationships/hyperlink" Target="https://doi.org/10.3390/land7040124" TargetMode="External"/><Relationship Id="rId38" Type="http://schemas.openxmlformats.org/officeDocument/2006/relationships/hyperlink" Target="http://nbn-resolving.de/urn:nbn:de:hebis:34-2017042052372" TargetMode="External"/><Relationship Id="rId46" Type="http://schemas.openxmlformats.org/officeDocument/2006/relationships/header" Target="header2.xml"/><Relationship Id="rId20" Type="http://schemas.openxmlformats.org/officeDocument/2006/relationships/chart" Target="charts/chart2.xml"/><Relationship Id="rId41" Type="http://schemas.openxmlformats.org/officeDocument/2006/relationships/hyperlink" Target="https://doi.org/10.1007/s00267-019-01248-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hp\Downloads\What%20are%20the%20carbon%20sequestration%20potentiel%20in%20ag...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hp\Downloads\What%20are%20the%20carbon%20sequestration%20potentiel%20in%20ag..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Feuil1!$B$10</c:f>
              <c:strCache>
                <c:ptCount val="1"/>
                <c:pt idx="0">
                  <c:v>mean Carbon Sequestration Potential (Mg/t C ha⁻¹ yr⁻¹) - Indicative Range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659-4463-A176-69A08A6BFEB3}"/>
              </c:ext>
            </c:extLst>
          </c:dPt>
          <c:dPt>
            <c:idx val="2"/>
            <c:invertIfNegative val="0"/>
            <c:bubble3D val="0"/>
            <c:spPr>
              <a:solidFill>
                <a:schemeClr val="tx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659-4463-A176-69A08A6BFEB3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659-4463-A176-69A08A6BFEB3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659-4463-A176-69A08A6BFEB3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D659-4463-A176-69A08A6BFEB3}"/>
              </c:ext>
            </c:extLst>
          </c:dPt>
          <c:dLbls>
            <c:dLbl>
              <c:idx val="0"/>
              <c:layout>
                <c:manualLayout>
                  <c:x val="-2.0904357522860649E-17"/>
                  <c:y val="-3.84615384615384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659-4463-A176-69A08A6BFEB3}"/>
                </c:ext>
              </c:extLst>
            </c:dLbl>
            <c:dLbl>
              <c:idx val="1"/>
              <c:layout>
                <c:manualLayout>
                  <c:x val="-4.1808715045721298E-17"/>
                  <c:y val="-6.8376068376068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59-4463-A176-69A08A6BFEB3}"/>
                </c:ext>
              </c:extLst>
            </c:dLbl>
            <c:dLbl>
              <c:idx val="2"/>
              <c:layout>
                <c:manualLayout>
                  <c:x val="0"/>
                  <c:y val="-2.5641025641025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59-4463-A176-69A08A6BFEB3}"/>
                </c:ext>
              </c:extLst>
            </c:dLbl>
            <c:dLbl>
              <c:idx val="3"/>
              <c:layout>
                <c:manualLayout>
                  <c:x val="2.2805017103761992E-3"/>
                  <c:y val="-4.27350427350427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659-4463-A176-69A08A6BFEB3}"/>
                </c:ext>
              </c:extLst>
            </c:dLbl>
            <c:dLbl>
              <c:idx val="4"/>
              <c:layout>
                <c:manualLayout>
                  <c:x val="0"/>
                  <c:y val="-3.84615384615384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659-4463-A176-69A08A6BFEB3}"/>
                </c:ext>
              </c:extLst>
            </c:dLbl>
            <c:dLbl>
              <c:idx val="5"/>
              <c:layout>
                <c:manualLayout>
                  <c:x val="0"/>
                  <c:y val="-3.8461538461538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659-4463-A176-69A08A6BFE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Feuil1!$A$11:$A$16</c:f>
              <c:strCache>
                <c:ptCount val="6"/>
                <c:pt idx="0">
                  <c:v>North Africa</c:v>
                </c:pt>
                <c:pt idx="1">
                  <c:v>West Africa (Sahel)</c:v>
                </c:pt>
                <c:pt idx="2">
                  <c:v>West Africa (Humid/Sub-humid)</c:v>
                </c:pt>
                <c:pt idx="3">
                  <c:v>East Africa</c:v>
                </c:pt>
                <c:pt idx="4">
                  <c:v>Central Africa</c:v>
                </c:pt>
                <c:pt idx="5">
                  <c:v>Southern Africa</c:v>
                </c:pt>
              </c:strCache>
            </c:strRef>
          </c:cat>
          <c:val>
            <c:numRef>
              <c:f>Feuil1!$B$11:$B$16</c:f>
              <c:numCache>
                <c:formatCode>General</c:formatCode>
                <c:ptCount val="6"/>
                <c:pt idx="0">
                  <c:v>1.25</c:v>
                </c:pt>
                <c:pt idx="1">
                  <c:v>0.85</c:v>
                </c:pt>
                <c:pt idx="2">
                  <c:v>2.5</c:v>
                </c:pt>
                <c:pt idx="3">
                  <c:v>3.4</c:v>
                </c:pt>
                <c:pt idx="4">
                  <c:v>3</c:v>
                </c:pt>
                <c:pt idx="5">
                  <c:v>1.75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659-4463-A176-69A08A6BFE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90227632"/>
        <c:axId val="1990228112"/>
      </c:barChart>
      <c:catAx>
        <c:axId val="19902276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Africans</a:t>
                </a:r>
                <a:r>
                  <a:rPr lang="fr-FR" baseline="0"/>
                  <a:t> regions </a:t>
                </a:r>
                <a:endParaRPr lang="fr-FR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0228112"/>
        <c:crosses val="autoZero"/>
        <c:auto val="1"/>
        <c:lblAlgn val="ctr"/>
        <c:lblOffset val="100"/>
        <c:noMultiLvlLbl val="0"/>
      </c:catAx>
      <c:valAx>
        <c:axId val="199022811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quantity of C0</a:t>
                </a:r>
                <a:r>
                  <a:rPr lang="fr-FR" baseline="-25000"/>
                  <a:t>2</a:t>
                </a:r>
                <a:r>
                  <a:rPr lang="fr-FR" baseline="0"/>
                  <a:t>t/ha/year</a:t>
                </a:r>
              </a:p>
            </c:rich>
          </c:tx>
          <c:layout>
            <c:manualLayout>
              <c:xMode val="edge"/>
              <c:yMode val="edge"/>
              <c:x val="1.5089379506011007E-2"/>
              <c:y val="6.8874083047311381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0227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Feuil1!$B$20</c:f>
              <c:strCache>
                <c:ptCount val="1"/>
                <c:pt idx="0">
                  <c:v>Mean price Carbon USD/t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810-44B4-B419-2902A28EA035}"/>
              </c:ext>
            </c:extLst>
          </c:dPt>
          <c:dPt>
            <c:idx val="2"/>
            <c:invertIfNegative val="0"/>
            <c:bubble3D val="0"/>
            <c:spPr>
              <a:solidFill>
                <a:srgbClr val="A5A5A5">
                  <a:lumMod val="75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810-44B4-B419-2902A28EA035}"/>
              </c:ext>
            </c:extLst>
          </c:dPt>
          <c:dPt>
            <c:idx val="3"/>
            <c:invertIfNegative val="0"/>
            <c:bubble3D val="0"/>
            <c:spPr>
              <a:solidFill>
                <a:srgbClr val="ED7D31">
                  <a:lumMod val="75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810-44B4-B419-2902A28EA035}"/>
              </c:ext>
            </c:extLst>
          </c:dPt>
          <c:dPt>
            <c:idx val="4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3810-44B4-B419-2902A28EA035}"/>
              </c:ext>
            </c:extLst>
          </c:dPt>
          <c:dPt>
            <c:idx val="5"/>
            <c:invertIfNegative val="0"/>
            <c:bubble3D val="0"/>
            <c:spPr>
              <a:solidFill>
                <a:srgbClr val="70AD47">
                  <a:lumMod val="75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3810-44B4-B419-2902A28EA035}"/>
              </c:ext>
            </c:extLst>
          </c:dPt>
          <c:dLbls>
            <c:dLbl>
              <c:idx val="3"/>
              <c:layout>
                <c:manualLayout>
                  <c:x val="-2.2727272727272726E-3"/>
                  <c:y val="-5.09259259259259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810-44B4-B419-2902A28EA035}"/>
                </c:ext>
              </c:extLst>
            </c:dLbl>
            <c:dLbl>
              <c:idx val="4"/>
              <c:layout>
                <c:manualLayout>
                  <c:x val="-2.2727272727272726E-3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810-44B4-B419-2902A28EA035}"/>
                </c:ext>
              </c:extLst>
            </c:dLbl>
            <c:dLbl>
              <c:idx val="5"/>
              <c:layout>
                <c:manualLayout>
                  <c:x val="4.5454545454543787E-3"/>
                  <c:y val="-4.16666666666666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810-44B4-B419-2902A28EA0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Feuil1!$A$21:$A$26</c:f>
              <c:strCache>
                <c:ptCount val="6"/>
                <c:pt idx="0">
                  <c:v>North Africa</c:v>
                </c:pt>
                <c:pt idx="1">
                  <c:v>West Africa (Sahel)</c:v>
                </c:pt>
                <c:pt idx="2">
                  <c:v>West Africa (Humid/Sub-humid)</c:v>
                </c:pt>
                <c:pt idx="3">
                  <c:v>East Africa</c:v>
                </c:pt>
                <c:pt idx="4">
                  <c:v>Central Africa</c:v>
                </c:pt>
                <c:pt idx="5">
                  <c:v>Southern Africa</c:v>
                </c:pt>
              </c:strCache>
            </c:strRef>
          </c:cat>
          <c:val>
            <c:numRef>
              <c:f>Feuil1!$B$21:$B$26</c:f>
              <c:numCache>
                <c:formatCode>General</c:formatCode>
                <c:ptCount val="6"/>
                <c:pt idx="0">
                  <c:v>17.5</c:v>
                </c:pt>
                <c:pt idx="1">
                  <c:v>15</c:v>
                </c:pt>
                <c:pt idx="2">
                  <c:v>17.5</c:v>
                </c:pt>
                <c:pt idx="3">
                  <c:v>17.5</c:v>
                </c:pt>
                <c:pt idx="4">
                  <c:v>30</c:v>
                </c:pt>
                <c:pt idx="5">
                  <c:v>17.5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810-44B4-B419-2902A28EA0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90221872"/>
        <c:axId val="1990207952"/>
      </c:barChart>
      <c:catAx>
        <c:axId val="19902218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Africa</a:t>
                </a:r>
                <a:r>
                  <a:rPr lang="fr-FR" baseline="0"/>
                  <a:t> Regions</a:t>
                </a:r>
                <a:endParaRPr lang="fr-FR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0207952"/>
        <c:crosses val="autoZero"/>
        <c:auto val="1"/>
        <c:lblAlgn val="ctr"/>
        <c:lblOffset val="100"/>
        <c:noMultiLvlLbl val="0"/>
      </c:catAx>
      <c:valAx>
        <c:axId val="19902079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Prce</a:t>
                </a:r>
                <a:r>
                  <a:rPr lang="fr-FR" baseline="0"/>
                  <a:t> (USD)</a:t>
                </a:r>
                <a:endParaRPr lang="fr-FR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0221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Feuil1!$B$31</c:f>
              <c:strCache>
                <c:ptCount val="1"/>
                <c:pt idx="0">
                  <c:v>Mean_amount carbon per ha in USD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1905805038335158E-3"/>
                  <c:y val="-5.2953156822810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64-4909-B993-51AC11D050E8}"/>
                </c:ext>
              </c:extLst>
            </c:dLbl>
            <c:dLbl>
              <c:idx val="1"/>
              <c:layout>
                <c:manualLayout>
                  <c:x val="-2.1905805038334755E-3"/>
                  <c:y val="-3.6659877800407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64-4909-B993-51AC11D050E8}"/>
                </c:ext>
              </c:extLst>
            </c:dLbl>
            <c:dLbl>
              <c:idx val="2"/>
              <c:layout>
                <c:manualLayout>
                  <c:x val="-2.1905805038335961E-3"/>
                  <c:y val="-3.66598778004073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564-4909-B993-51AC11D050E8}"/>
                </c:ext>
              </c:extLst>
            </c:dLbl>
            <c:dLbl>
              <c:idx val="3"/>
              <c:layout>
                <c:manualLayout>
                  <c:x val="-2.1905805038335961E-3"/>
                  <c:y val="-3.6659877800407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564-4909-B993-51AC11D050E8}"/>
                </c:ext>
              </c:extLst>
            </c:dLbl>
            <c:dLbl>
              <c:idx val="4"/>
              <c:layout>
                <c:manualLayout>
                  <c:x val="0"/>
                  <c:y val="-4.07331975560081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564-4909-B993-51AC11D050E8}"/>
                </c:ext>
              </c:extLst>
            </c:dLbl>
            <c:dLbl>
              <c:idx val="5"/>
              <c:layout>
                <c:manualLayout>
                  <c:x val="-2.1905805038335158E-3"/>
                  <c:y val="-4.07331975560081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564-4909-B993-51AC11D050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Feuil1!$A$32:$A$37</c:f>
              <c:strCache>
                <c:ptCount val="6"/>
                <c:pt idx="0">
                  <c:v>North Africa</c:v>
                </c:pt>
                <c:pt idx="1">
                  <c:v>West Africa (Sahel)</c:v>
                </c:pt>
                <c:pt idx="2">
                  <c:v>West Africa (Humid/Sub-humid)</c:v>
                </c:pt>
                <c:pt idx="3">
                  <c:v>East Africa</c:v>
                </c:pt>
                <c:pt idx="4">
                  <c:v>Central Africa</c:v>
                </c:pt>
                <c:pt idx="5">
                  <c:v>Southern Africa</c:v>
                </c:pt>
              </c:strCache>
            </c:strRef>
          </c:cat>
          <c:val>
            <c:numRef>
              <c:f>Feuil1!$B$32:$B$37</c:f>
              <c:numCache>
                <c:formatCode>General</c:formatCode>
                <c:ptCount val="6"/>
                <c:pt idx="0">
                  <c:v>21.875</c:v>
                </c:pt>
                <c:pt idx="1">
                  <c:v>12.75</c:v>
                </c:pt>
                <c:pt idx="2">
                  <c:v>43.75</c:v>
                </c:pt>
                <c:pt idx="3">
                  <c:v>59.5</c:v>
                </c:pt>
                <c:pt idx="4">
                  <c:v>90</c:v>
                </c:pt>
                <c:pt idx="5">
                  <c:v>30.625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564-4909-B993-51AC11D050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12610608"/>
        <c:axId val="1112611088"/>
      </c:barChart>
      <c:catAx>
        <c:axId val="11126106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Africa</a:t>
                </a:r>
                <a:r>
                  <a:rPr lang="fr-FR" baseline="0"/>
                  <a:t> Regions</a:t>
                </a:r>
                <a:endParaRPr lang="fr-FR"/>
              </a:p>
            </c:rich>
          </c:tx>
          <c:layout>
            <c:manualLayout>
              <c:xMode val="edge"/>
              <c:yMode val="edge"/>
              <c:x val="0.4669496597700753"/>
              <c:y val="0.8961303462321792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2611088"/>
        <c:crosses val="autoZero"/>
        <c:auto val="1"/>
        <c:lblAlgn val="ctr"/>
        <c:lblOffset val="100"/>
        <c:noMultiLvlLbl val="0"/>
      </c:catAx>
      <c:valAx>
        <c:axId val="111261108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USD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2610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2375980000340133E-2"/>
          <c:y val="7.2837022132796775E-2"/>
          <c:w val="0.92386592064760809"/>
          <c:h val="0.490543259557344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Feuil1!$B$40</c:f>
              <c:strCache>
                <c:ptCount val="1"/>
                <c:pt idx="0">
                  <c:v>Mean insurance premium USD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Feuil1!$A$41:$A$46</c:f>
              <c:strCache>
                <c:ptCount val="6"/>
                <c:pt idx="0">
                  <c:v>North Africa</c:v>
                </c:pt>
                <c:pt idx="1">
                  <c:v>West Africa (Sahel)</c:v>
                </c:pt>
                <c:pt idx="2">
                  <c:v>West Africa (Humid/Sub-humid)</c:v>
                </c:pt>
                <c:pt idx="3">
                  <c:v>East Africa</c:v>
                </c:pt>
                <c:pt idx="4">
                  <c:v>Central Africa</c:v>
                </c:pt>
                <c:pt idx="5">
                  <c:v>Southern Africa</c:v>
                </c:pt>
              </c:strCache>
            </c:strRef>
          </c:cat>
          <c:val>
            <c:numRef>
              <c:f>Feuil1!$B$41:$B$46</c:f>
              <c:numCache>
                <c:formatCode>General</c:formatCode>
                <c:ptCount val="6"/>
                <c:pt idx="0">
                  <c:v>19.170000000000002</c:v>
                </c:pt>
                <c:pt idx="1">
                  <c:v>19.170000000000002</c:v>
                </c:pt>
                <c:pt idx="2">
                  <c:v>19.170000000000002</c:v>
                </c:pt>
                <c:pt idx="3">
                  <c:v>15</c:v>
                </c:pt>
                <c:pt idx="4">
                  <c:v>15</c:v>
                </c:pt>
                <c:pt idx="5">
                  <c:v>22.5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D3-4B01-9537-30E65563CF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12558768"/>
        <c:axId val="1112583728"/>
      </c:barChart>
      <c:catAx>
        <c:axId val="11125587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Africa regions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2583728"/>
        <c:crosses val="autoZero"/>
        <c:auto val="1"/>
        <c:lblAlgn val="ctr"/>
        <c:lblOffset val="100"/>
        <c:noMultiLvlLbl val="0"/>
      </c:catAx>
      <c:valAx>
        <c:axId val="111258372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USD/ha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2558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Feuil1!$B$94</c:f>
              <c:strCache>
                <c:ptCount val="1"/>
                <c:pt idx="0">
                  <c:v>Mean insurance premium USD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Feuil1!$A$95:$A$100</c:f>
              <c:strCache>
                <c:ptCount val="6"/>
                <c:pt idx="0">
                  <c:v>North Africa</c:v>
                </c:pt>
                <c:pt idx="1">
                  <c:v>West Africa (Sahel)</c:v>
                </c:pt>
                <c:pt idx="2">
                  <c:v>West Africa (Humid/Sub-humid)</c:v>
                </c:pt>
                <c:pt idx="3">
                  <c:v>East Africa</c:v>
                </c:pt>
                <c:pt idx="4">
                  <c:v>Central Africa</c:v>
                </c:pt>
                <c:pt idx="5">
                  <c:v>Southern Africa</c:v>
                </c:pt>
              </c:strCache>
            </c:strRef>
          </c:cat>
          <c:val>
            <c:numRef>
              <c:f>Feuil1!$B$95:$B$100</c:f>
              <c:numCache>
                <c:formatCode>General</c:formatCode>
                <c:ptCount val="6"/>
                <c:pt idx="0">
                  <c:v>19.170000000000002</c:v>
                </c:pt>
                <c:pt idx="1">
                  <c:v>19.170000000000002</c:v>
                </c:pt>
                <c:pt idx="2">
                  <c:v>19.170000000000002</c:v>
                </c:pt>
                <c:pt idx="3">
                  <c:v>15</c:v>
                </c:pt>
                <c:pt idx="4">
                  <c:v>15</c:v>
                </c:pt>
                <c:pt idx="5">
                  <c:v>22.5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D0-4FEE-A044-7B73146F60FF}"/>
            </c:ext>
          </c:extLst>
        </c:ser>
        <c:ser>
          <c:idx val="1"/>
          <c:order val="1"/>
          <c:tx>
            <c:strRef>
              <c:f>Feuil1!$C$94</c:f>
              <c:strCache>
                <c:ptCount val="1"/>
                <c:pt idx="0">
                  <c:v>Mean amount of carbon/ha in USD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Feuil1!$A$95:$A$100</c:f>
              <c:strCache>
                <c:ptCount val="6"/>
                <c:pt idx="0">
                  <c:v>North Africa</c:v>
                </c:pt>
                <c:pt idx="1">
                  <c:v>West Africa (Sahel)</c:v>
                </c:pt>
                <c:pt idx="2">
                  <c:v>West Africa (Humid/Sub-humid)</c:v>
                </c:pt>
                <c:pt idx="3">
                  <c:v>East Africa</c:v>
                </c:pt>
                <c:pt idx="4">
                  <c:v>Central Africa</c:v>
                </c:pt>
                <c:pt idx="5">
                  <c:v>Southern Africa</c:v>
                </c:pt>
              </c:strCache>
            </c:strRef>
          </c:cat>
          <c:val>
            <c:numRef>
              <c:f>Feuil1!$C$95:$C$100</c:f>
              <c:numCache>
                <c:formatCode>General</c:formatCode>
                <c:ptCount val="6"/>
                <c:pt idx="0">
                  <c:v>21.875</c:v>
                </c:pt>
                <c:pt idx="1">
                  <c:v>12.75</c:v>
                </c:pt>
                <c:pt idx="2">
                  <c:v>43.75</c:v>
                </c:pt>
                <c:pt idx="3">
                  <c:v>59.5</c:v>
                </c:pt>
                <c:pt idx="4">
                  <c:v>90</c:v>
                </c:pt>
                <c:pt idx="5">
                  <c:v>30.625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D0-4FEE-A044-7B73146F60FF}"/>
            </c:ext>
          </c:extLst>
        </c:ser>
        <c:ser>
          <c:idx val="2"/>
          <c:order val="2"/>
          <c:tx>
            <c:strRef>
              <c:f>Feuil1!$D$94</c:f>
              <c:strCache>
                <c:ptCount val="1"/>
                <c:pt idx="0">
                  <c:v>Defference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Feuil1!$A$95:$A$100</c:f>
              <c:strCache>
                <c:ptCount val="6"/>
                <c:pt idx="0">
                  <c:v>North Africa</c:v>
                </c:pt>
                <c:pt idx="1">
                  <c:v>West Africa (Sahel)</c:v>
                </c:pt>
                <c:pt idx="2">
                  <c:v>West Africa (Humid/Sub-humid)</c:v>
                </c:pt>
                <c:pt idx="3">
                  <c:v>East Africa</c:v>
                </c:pt>
                <c:pt idx="4">
                  <c:v>Central Africa</c:v>
                </c:pt>
                <c:pt idx="5">
                  <c:v>Southern Africa</c:v>
                </c:pt>
              </c:strCache>
            </c:strRef>
          </c:cat>
          <c:val>
            <c:numRef>
              <c:f>Feuil1!$D$95:$D$100</c:f>
              <c:numCache>
                <c:formatCode>General</c:formatCode>
                <c:ptCount val="6"/>
                <c:pt idx="0">
                  <c:v>-2.7049999999999983</c:v>
                </c:pt>
                <c:pt idx="1">
                  <c:v>6.4200000000000017</c:v>
                </c:pt>
                <c:pt idx="2">
                  <c:v>-24.58</c:v>
                </c:pt>
                <c:pt idx="3">
                  <c:v>-44.5</c:v>
                </c:pt>
                <c:pt idx="4">
                  <c:v>-75</c:v>
                </c:pt>
                <c:pt idx="5">
                  <c:v>-8.125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D0-4FEE-A044-7B73146F60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90254992"/>
        <c:axId val="1990241552"/>
      </c:barChart>
      <c:catAx>
        <c:axId val="19902549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>
                    <a:solidFill>
                      <a:sysClr val="windowText" lastClr="000000"/>
                    </a:solidFill>
                    <a:highlight>
                      <a:srgbClr val="FFFF00"/>
                    </a:highlight>
                  </a:rPr>
                  <a:t>Africa Regions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0241552"/>
        <c:crosses val="autoZero"/>
        <c:auto val="1"/>
        <c:lblAlgn val="ctr"/>
        <c:lblOffset val="100"/>
        <c:noMultiLvlLbl val="0"/>
      </c:catAx>
      <c:valAx>
        <c:axId val="19902415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>
                    <a:highlight>
                      <a:srgbClr val="FFFF00"/>
                    </a:highlight>
                  </a:rPr>
                  <a:t>USD</a:t>
                </a:r>
              </a:p>
            </c:rich>
          </c:tx>
          <c:layout>
            <c:manualLayout>
              <c:xMode val="edge"/>
              <c:yMode val="edge"/>
              <c:x val="2.8659611992945325E-2"/>
              <c:y val="0.364541055712812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0254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67749-35A8-4E2E-90A7-3227A279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17</Pages>
  <Words>7178</Words>
  <Characters>39483</Characters>
  <Application>Microsoft Office Word</Application>
  <DocSecurity>0</DocSecurity>
  <Lines>329</Lines>
  <Paragraphs>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NEYA, TIGA</dc:creator>
  <cp:keywords/>
  <dc:description/>
  <cp:lastModifiedBy>NEYA, TIGA</cp:lastModifiedBy>
  <cp:revision>92</cp:revision>
  <dcterms:created xsi:type="dcterms:W3CDTF">2025-06-12T10:06:00Z</dcterms:created>
  <dcterms:modified xsi:type="dcterms:W3CDTF">2025-10-21T15:43:00Z</dcterms:modified>
</cp:coreProperties>
</file>