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BB50A" w14:textId="77777777" w:rsidR="00D108FA" w:rsidRDefault="00E82DA6">
      <w:pPr>
        <w:pStyle w:val="Heading2"/>
        <w:spacing w:before="0" w:line="240" w:lineRule="auto"/>
        <w:jc w:val="right"/>
        <w:rPr>
          <w:rFonts w:ascii="Arial" w:hAnsi="Arial" w:cs="Arial"/>
          <w:color w:val="auto"/>
          <w:sz w:val="36"/>
          <w:szCs w:val="36"/>
        </w:rPr>
      </w:pPr>
      <w:r>
        <w:rPr>
          <w:rFonts w:ascii="Arial" w:hAnsi="Arial" w:cs="Arial"/>
          <w:color w:val="auto"/>
          <w:sz w:val="36"/>
          <w:szCs w:val="36"/>
        </w:rPr>
        <w:t xml:space="preserve">Review Article </w:t>
      </w:r>
    </w:p>
    <w:p w14:paraId="758D237C" w14:textId="77777777" w:rsidR="00D108FA" w:rsidRDefault="00D108FA">
      <w:pPr>
        <w:pStyle w:val="Heading2"/>
        <w:spacing w:before="0" w:line="240" w:lineRule="auto"/>
        <w:jc w:val="right"/>
        <w:rPr>
          <w:rFonts w:ascii="Arial" w:hAnsi="Arial" w:cs="Arial"/>
          <w:color w:val="auto"/>
          <w:sz w:val="36"/>
          <w:szCs w:val="36"/>
        </w:rPr>
      </w:pPr>
    </w:p>
    <w:p w14:paraId="115C8683" w14:textId="77777777" w:rsidR="00D108FA" w:rsidRDefault="00E82DA6">
      <w:pPr>
        <w:pStyle w:val="Heading2"/>
        <w:spacing w:before="0" w:line="240" w:lineRule="auto"/>
        <w:jc w:val="right"/>
        <w:rPr>
          <w:rFonts w:ascii="Arial" w:hAnsi="Arial" w:cs="Arial"/>
          <w:color w:val="auto"/>
          <w:sz w:val="36"/>
          <w:szCs w:val="36"/>
        </w:rPr>
      </w:pPr>
      <w:r>
        <w:rPr>
          <w:rFonts w:ascii="Arial" w:hAnsi="Arial" w:cs="Arial"/>
          <w:color w:val="auto"/>
          <w:sz w:val="36"/>
          <w:szCs w:val="36"/>
        </w:rPr>
        <w:t>An appraisal of the ecology and socio-economic implications of traditionally managed Trees Outside Forests (TOFs) in North East India</w:t>
      </w:r>
    </w:p>
    <w:p w14:paraId="1C06ABDE" w14:textId="77777777" w:rsidR="00D108FA" w:rsidRDefault="00D108FA">
      <w:pPr>
        <w:spacing w:after="0" w:line="360" w:lineRule="auto"/>
        <w:ind w:firstLine="720"/>
        <w:jc w:val="right"/>
        <w:rPr>
          <w:rFonts w:ascii="Arial" w:hAnsi="Arial" w:cs="Arial"/>
          <w:color w:val="FF0000"/>
          <w:sz w:val="20"/>
          <w:szCs w:val="20"/>
          <w:shd w:val="clear" w:color="auto" w:fill="FFFFFF"/>
        </w:rPr>
      </w:pPr>
    </w:p>
    <w:p w14:paraId="65789EA6" w14:textId="77777777" w:rsidR="00D108FA" w:rsidRDefault="00E82DA6">
      <w:pPr>
        <w:spacing w:after="0" w:line="360" w:lineRule="auto"/>
        <w:ind w:firstLine="720"/>
        <w:jc w:val="right"/>
        <w:rPr>
          <w:rFonts w:ascii="Arial" w:hAnsi="Arial" w:cs="Arial"/>
          <w:color w:val="FF0000"/>
          <w:sz w:val="20"/>
          <w:szCs w:val="20"/>
          <w:shd w:val="clear" w:color="auto" w:fill="FFFFFF"/>
        </w:rPr>
      </w:pPr>
      <w:r>
        <w:rPr>
          <w:rFonts w:ascii="Arial" w:hAnsi="Arial" w:cs="Arial"/>
          <w:noProof/>
          <w:color w:val="FF0000"/>
          <w:sz w:val="20"/>
          <w:szCs w:val="20"/>
        </w:rPr>
        <mc:AlternateContent>
          <mc:Choice Requires="wps">
            <w:drawing>
              <wp:anchor distT="0" distB="0" distL="114300" distR="114300" simplePos="0" relativeHeight="251658752" behindDoc="0" locked="0" layoutInCell="1" allowOverlap="1" wp14:anchorId="7F1A54FB" wp14:editId="303B0B49">
                <wp:simplePos x="0" y="0"/>
                <wp:positionH relativeFrom="column">
                  <wp:posOffset>6350</wp:posOffset>
                </wp:positionH>
                <wp:positionV relativeFrom="paragraph">
                  <wp:posOffset>64770</wp:posOffset>
                </wp:positionV>
                <wp:extent cx="5920105" cy="5080"/>
                <wp:effectExtent l="0" t="9525" r="10795" b="10795"/>
                <wp:wrapNone/>
                <wp:docPr id="4" name="AutoShape 2"/>
                <wp:cNvGraphicFramePr/>
                <a:graphic xmlns:a="http://schemas.openxmlformats.org/drawingml/2006/main">
                  <a:graphicData uri="http://schemas.microsoft.com/office/word/2010/wordprocessingShape">
                    <wps:wsp>
                      <wps:cNvCnPr/>
                      <wps:spPr>
                        <a:xfrm flipV="1">
                          <a:off x="0" y="0"/>
                          <a:ext cx="5920105" cy="508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type w14:anchorId="49E804D6" id="_x0000_t32" coordsize="21600,21600" o:spt="32" o:oned="t" path="m,l21600,21600e" filled="f">
                <v:path arrowok="t" fillok="f" o:connecttype="none"/>
                <o:lock v:ext="edit" shapetype="t"/>
              </v:shapetype>
              <v:shape id="AutoShape 2" o:spid="_x0000_s1026" type="#_x0000_t32" style="position:absolute;margin-left:.5pt;margin-top:5.1pt;width:466.15pt;height:.4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" strokeweight="1.5pt"/>
            </w:pict>
          </mc:Fallback>
        </mc:AlternateContent>
      </w:r>
    </w:p>
    <w:p w14:paraId="61C9EA1C" w14:textId="77777777" w:rsidR="003B627D" w:rsidRDefault="003B627D">
      <w:pPr>
        <w:spacing w:after="0" w:line="360" w:lineRule="auto"/>
        <w:jc w:val="both"/>
        <w:rPr>
          <w:rFonts w:ascii="Arial" w:hAnsi="Arial" w:cs="Arial"/>
          <w:b/>
        </w:rPr>
      </w:pPr>
    </w:p>
    <w:p w14:paraId="695C8339" w14:textId="77777777" w:rsidR="003B627D" w:rsidRDefault="003B627D">
      <w:pPr>
        <w:spacing w:after="0" w:line="360" w:lineRule="auto"/>
        <w:jc w:val="both"/>
        <w:rPr>
          <w:rFonts w:ascii="Arial" w:hAnsi="Arial" w:cs="Arial"/>
          <w:b/>
        </w:rPr>
      </w:pPr>
    </w:p>
    <w:p w14:paraId="2E88BCEA" w14:textId="1A271BA7" w:rsidR="00D108FA" w:rsidRDefault="00E82DA6">
      <w:pPr>
        <w:spacing w:after="0" w:line="360" w:lineRule="auto"/>
        <w:jc w:val="both"/>
        <w:rPr>
          <w:rFonts w:ascii="Arial" w:hAnsi="Arial" w:cs="Arial"/>
          <w:b/>
        </w:rPr>
      </w:pPr>
      <w:r>
        <w:rPr>
          <w:rFonts w:ascii="Arial" w:hAnsi="Arial" w:cs="Arial"/>
          <w:b/>
        </w:rPr>
        <w:t>ABSTRACT</w:t>
      </w:r>
    </w:p>
    <w:p w14:paraId="77139CF9" w14:textId="66AD99F8" w:rsidR="00D108FA" w:rsidRDefault="00E82778">
      <w:pPr>
        <w:spacing w:after="0" w:line="360" w:lineRule="auto"/>
        <w:jc w:val="both"/>
        <w:rPr>
          <w:rFonts w:ascii="Arial" w:hAnsi="Arial" w:cs="Arial"/>
          <w:b/>
        </w:rPr>
      </w:pPr>
      <w:r>
        <w:rPr>
          <w:rFonts w:ascii="Arial" w:hAnsi="Arial" w:cs="Arial"/>
          <w:b/>
          <w:noProof/>
        </w:rPr>
        <mc:AlternateContent>
          <mc:Choice Requires="wps">
            <w:drawing>
              <wp:anchor distT="0" distB="0" distL="114300" distR="114300" simplePos="0" relativeHeight="251657728" behindDoc="0" locked="0" layoutInCell="1" allowOverlap="1" wp14:anchorId="642CAAC9" wp14:editId="67316688">
                <wp:simplePos x="0" y="0"/>
                <wp:positionH relativeFrom="column">
                  <wp:posOffset>0</wp:posOffset>
                </wp:positionH>
                <wp:positionV relativeFrom="paragraph">
                  <wp:posOffset>109220</wp:posOffset>
                </wp:positionV>
                <wp:extent cx="5926455" cy="4006850"/>
                <wp:effectExtent l="0" t="0" r="17145" b="12700"/>
                <wp:wrapNone/>
                <wp:docPr id="5" name="Rectangles 3"/>
                <wp:cNvGraphicFramePr/>
                <a:graphic xmlns:a="http://schemas.openxmlformats.org/drawingml/2006/main">
                  <a:graphicData uri="http://schemas.microsoft.com/office/word/2010/wordprocessingShape">
                    <wps:wsp>
                      <wps:cNvSpPr/>
                      <wps:spPr>
                        <a:xfrm>
                          <a:off x="0" y="0"/>
                          <a:ext cx="5926455" cy="4006850"/>
                        </a:xfrm>
                        <a:prstGeom prst="rect">
                          <a:avLst/>
                        </a:prstGeom>
                        <a:solidFill>
                          <a:srgbClr val="F2F2F2"/>
                        </a:solidFill>
                        <a:ln w="9525" cap="flat" cmpd="sng">
                          <a:solidFill>
                            <a:srgbClr val="000000"/>
                          </a:solidFill>
                          <a:prstDash val="solid"/>
                          <a:miter/>
                          <a:headEnd type="none" w="med" len="med"/>
                          <a:tailEnd type="none" w="med" len="med"/>
                        </a:ln>
                      </wps:spPr>
                      <wps:txbx>
                        <w:txbxContent>
                          <w:p w14:paraId="3B1B5A2C" w14:textId="68FAA724" w:rsidR="003B627D" w:rsidRPr="003B627D" w:rsidRDefault="003B627D" w:rsidP="003B627D">
                            <w:pPr>
                              <w:spacing w:line="360" w:lineRule="auto"/>
                              <w:jc w:val="both"/>
                              <w:rPr>
                                <w:rFonts w:ascii="Arial" w:hAnsi="Arial" w:cs="Arial"/>
                                <w:sz w:val="20"/>
                                <w:szCs w:val="20"/>
                              </w:rPr>
                            </w:pPr>
                            <w:r w:rsidRPr="003B627D">
                              <w:rPr>
                                <w:rFonts w:ascii="Arial" w:hAnsi="Arial" w:cs="Arial"/>
                                <w:sz w:val="20"/>
                                <w:szCs w:val="20"/>
                              </w:rPr>
                              <w:t>Trees outside forests (TOFs) play crucial roles through their contributions to biodiversity, timber and non-timber forest products (NTFPs), carbon sequestration, climate moderation and livelihood enhancement, aligning with national and global sustainability goals. An analysis of research on TOFs in Northeast India over the past 35 years (1990</w:t>
                            </w:r>
                            <w:r>
                              <w:rPr>
                                <w:rFonts w:ascii="Arial" w:hAnsi="Arial" w:cs="Arial"/>
                                <w:sz w:val="20"/>
                                <w:szCs w:val="20"/>
                              </w:rPr>
                              <w:t>-</w:t>
                            </w:r>
                            <w:r w:rsidRPr="003B627D">
                              <w:rPr>
                                <w:rFonts w:ascii="Arial" w:hAnsi="Arial" w:cs="Arial"/>
                                <w:sz w:val="20"/>
                                <w:szCs w:val="20"/>
                              </w:rPr>
                              <w:t>2025) reveals a steady rise in scientific attention. Traditionally managed systems such as home gardens, sacred groves and village community forests dominate the region’s landscape, covering about 32,110 km</w:t>
                            </w:r>
                            <w:r w:rsidRPr="003B627D">
                              <w:rPr>
                                <w:rFonts w:ascii="Arial" w:hAnsi="Arial" w:cs="Arial"/>
                                <w:sz w:val="20"/>
                                <w:szCs w:val="20"/>
                                <w:vertAlign w:val="superscript"/>
                              </w:rPr>
                              <w:t>2</w:t>
                            </w:r>
                            <w:r w:rsidRPr="003B627D">
                              <w:rPr>
                                <w:rFonts w:ascii="Arial" w:hAnsi="Arial" w:cs="Arial"/>
                                <w:sz w:val="20"/>
                                <w:szCs w:val="20"/>
                              </w:rPr>
                              <w:t>, with Assam and Arunachal Pradesh accounting for the largest areas. This review synthesizes data from peer-reviewed publications, institutional reports and gray literature retrieved from databases including Scopus, Web of Science and Google Scholar. Studies were categorized by TOF type, state and thematic focus to assess spatial and temporal research trends. Findings indicate that while home gardens and sacred groves are relatively well-documented, community forests remain underrepresented. The deep cultural and traditional roots of TOFs further highlight their significance as heritage systems interlinking people and landscapes. However, major research gaps persist in quantifying ecosystem services, carbon dynamics and livelihood outcomes. Strengthening interdisciplinary and comparative studies across the northeastern states can deepen understanding of their benefits. Recognizing TOFs as an important part of the green cover and including them in regional conservation and development plans is necessary to protect biodiversity, adapt to climate change and support sustainable growth in rural areas of Northeast India.</w:t>
                            </w:r>
                          </w:p>
                          <w:p w14:paraId="77D9950F" w14:textId="3ACD2AE9" w:rsidR="00D108FA" w:rsidRPr="003B627D" w:rsidRDefault="00D108FA" w:rsidP="00E82778">
                            <w:pPr>
                              <w:spacing w:after="0" w:line="240" w:lineRule="auto"/>
                              <w:jc w:val="both"/>
                              <w:rPr>
                                <w:sz w:val="20"/>
                                <w:szCs w:val="20"/>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w14:anchorId="642CAAC9" id="Rectangles 3" o:spid="_x0000_s1026" style="position:absolute;left:0;text-align:left;margin-left:0;margin-top:8.6pt;width:466.65pt;height:3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" fillcolor="#f2f2f2">
                <v:textbox>
                  <w:txbxContent>
                    <w:p w14:paraId="3B1B5A2C" w14:textId="68FAA724" w:rsidR="003B627D" w:rsidRPr="003B627D" w:rsidRDefault="003B627D" w:rsidP="003B627D">
                      <w:pPr>
                        <w:spacing w:line="360" w:lineRule="auto"/>
                        <w:jc w:val="both"/>
                        <w:rPr>
                          <w:rFonts w:ascii="Arial" w:hAnsi="Arial" w:cs="Arial"/>
                          <w:sz w:val="20"/>
                          <w:szCs w:val="20"/>
                        </w:rPr>
                      </w:pPr>
                      <w:r w:rsidRPr="003B627D">
                        <w:rPr>
                          <w:rFonts w:ascii="Arial" w:hAnsi="Arial" w:cs="Arial"/>
                          <w:sz w:val="20"/>
                          <w:szCs w:val="20"/>
                        </w:rPr>
                        <w:t>Trees outside forests (TOFs) play crucial roles through their contributions to biodiversity, timber and non-timber forest products (NTFPs), carbon sequestration, climate moderation and livelihood enhancement, aligning with national and global sustainability goals. An analysis of research on TOFs in Northeast India over the past 35 years (1990</w:t>
                      </w:r>
                      <w:r>
                        <w:rPr>
                          <w:rFonts w:ascii="Arial" w:hAnsi="Arial" w:cs="Arial"/>
                          <w:sz w:val="20"/>
                          <w:szCs w:val="20"/>
                        </w:rPr>
                        <w:t>-</w:t>
                      </w:r>
                      <w:r w:rsidRPr="003B627D">
                        <w:rPr>
                          <w:rFonts w:ascii="Arial" w:hAnsi="Arial" w:cs="Arial"/>
                          <w:sz w:val="20"/>
                          <w:szCs w:val="20"/>
                        </w:rPr>
                        <w:t>2025) reveals a steady rise in scientific attention. Traditionally managed systems such as home gardens, sacred groves and village community forests dominate the region’s landscape, covering about 32,110 km</w:t>
                      </w:r>
                      <w:r w:rsidRPr="003B627D">
                        <w:rPr>
                          <w:rFonts w:ascii="Arial" w:hAnsi="Arial" w:cs="Arial"/>
                          <w:sz w:val="20"/>
                          <w:szCs w:val="20"/>
                          <w:vertAlign w:val="superscript"/>
                        </w:rPr>
                        <w:t>2</w:t>
                      </w:r>
                      <w:r w:rsidRPr="003B627D">
                        <w:rPr>
                          <w:rFonts w:ascii="Arial" w:hAnsi="Arial" w:cs="Arial"/>
                          <w:sz w:val="20"/>
                          <w:szCs w:val="20"/>
                        </w:rPr>
                        <w:t>, with Assam and Arunachal Pradesh accounting for the largest areas. This review synthesizes data from peer-reviewed publications, institutional reports and gray literature retrieved from databases including Scopus, Web of Science and Google Scholar. Studies were categorized by TOF type, state and thematic focus to assess spatial and temporal research trends. Findings indicate that while home gardens and sacred groves are relatively well-documented, community forests remain underrepresented. The deep cultural and traditional roots of TOFs further highlight their significance as heritage systems interlinking people and landscapes. However, major research gaps persist in quantifying ecosystem services, carbon dynamics and livelihood outcomes. Strengthening interdisciplinary and comparative studies across the northeastern states can deepen understanding of their benefits. Recognizing TOFs as an important part of the green cover and including them in regional conservation and development plans is necessary to protect biodiversity, adapt to climate change and support sustainable growth in rural areas of Northeast India.</w:t>
                      </w:r>
                    </w:p>
                    <w:p w14:paraId="77D9950F" w14:textId="3ACD2AE9" w:rsidR="00D108FA" w:rsidRPr="003B627D" w:rsidRDefault="00D108FA" w:rsidP="00E82778">
                      <w:pPr>
                        <w:spacing w:after="0" w:line="240" w:lineRule="auto"/>
                        <w:jc w:val="both"/>
                        <w:rPr>
                          <w:sz w:val="20"/>
                          <w:szCs w:val="20"/>
                        </w:rPr>
                      </w:pPr>
                    </w:p>
                  </w:txbxContent>
                </v:textbox>
              </v:rect>
            </w:pict>
          </mc:Fallback>
        </mc:AlternateContent>
      </w:r>
    </w:p>
    <w:p w14:paraId="4D1E9C56" w14:textId="11D2FFD7" w:rsidR="00D108FA" w:rsidRDefault="00D108FA">
      <w:pPr>
        <w:spacing w:after="0" w:line="360" w:lineRule="auto"/>
        <w:jc w:val="both"/>
        <w:rPr>
          <w:rFonts w:ascii="Arial" w:hAnsi="Arial" w:cs="Arial"/>
          <w:b/>
        </w:rPr>
      </w:pPr>
    </w:p>
    <w:p w14:paraId="4FF3F911" w14:textId="77777777" w:rsidR="00D108FA" w:rsidRDefault="00D108FA">
      <w:pPr>
        <w:spacing w:after="0" w:line="360" w:lineRule="auto"/>
        <w:jc w:val="both"/>
        <w:rPr>
          <w:rFonts w:ascii="Arial" w:hAnsi="Arial" w:cs="Arial"/>
          <w:b/>
        </w:rPr>
      </w:pPr>
    </w:p>
    <w:p w14:paraId="66EA8614" w14:textId="77777777" w:rsidR="00D108FA" w:rsidRDefault="00D108FA">
      <w:pPr>
        <w:spacing w:after="0" w:line="360" w:lineRule="auto"/>
        <w:jc w:val="both"/>
        <w:rPr>
          <w:rFonts w:ascii="Arial" w:hAnsi="Arial" w:cs="Arial"/>
          <w:b/>
        </w:rPr>
      </w:pPr>
    </w:p>
    <w:p w14:paraId="390B321C" w14:textId="77777777" w:rsidR="00D108FA" w:rsidRDefault="00D108FA">
      <w:pPr>
        <w:spacing w:after="0" w:line="360" w:lineRule="auto"/>
        <w:jc w:val="both"/>
        <w:rPr>
          <w:rFonts w:ascii="Arial" w:hAnsi="Arial" w:cs="Arial"/>
          <w:b/>
        </w:rPr>
      </w:pPr>
    </w:p>
    <w:p w14:paraId="504E2A35" w14:textId="77777777" w:rsidR="00D108FA" w:rsidRDefault="00D108FA">
      <w:pPr>
        <w:spacing w:after="0" w:line="360" w:lineRule="auto"/>
        <w:jc w:val="both"/>
        <w:rPr>
          <w:rFonts w:ascii="Arial" w:hAnsi="Arial" w:cs="Arial"/>
          <w:b/>
        </w:rPr>
      </w:pPr>
    </w:p>
    <w:p w14:paraId="1EB6F3B0" w14:textId="77777777" w:rsidR="00D108FA" w:rsidRDefault="00D108FA">
      <w:pPr>
        <w:spacing w:after="0" w:line="360" w:lineRule="auto"/>
        <w:jc w:val="both"/>
        <w:rPr>
          <w:rFonts w:ascii="Arial" w:hAnsi="Arial" w:cs="Arial"/>
          <w:b/>
        </w:rPr>
      </w:pPr>
    </w:p>
    <w:p w14:paraId="442EC385" w14:textId="77777777" w:rsidR="00D108FA" w:rsidRDefault="00D108FA">
      <w:pPr>
        <w:spacing w:after="0" w:line="360" w:lineRule="auto"/>
        <w:jc w:val="both"/>
        <w:rPr>
          <w:rFonts w:ascii="Arial" w:hAnsi="Arial" w:cs="Arial"/>
          <w:b/>
        </w:rPr>
      </w:pPr>
    </w:p>
    <w:p w14:paraId="608485C0" w14:textId="77777777" w:rsidR="00D108FA" w:rsidRDefault="00D108FA">
      <w:pPr>
        <w:spacing w:after="0" w:line="360" w:lineRule="auto"/>
        <w:jc w:val="both"/>
        <w:rPr>
          <w:rFonts w:ascii="Arial" w:hAnsi="Arial" w:cs="Arial"/>
          <w:b/>
        </w:rPr>
      </w:pPr>
    </w:p>
    <w:p w14:paraId="594C5AF3" w14:textId="77777777" w:rsidR="00D108FA" w:rsidRDefault="00D108FA">
      <w:pPr>
        <w:pStyle w:val="Heading2"/>
        <w:spacing w:before="0" w:line="360" w:lineRule="auto"/>
        <w:jc w:val="both"/>
        <w:rPr>
          <w:rFonts w:ascii="Arial" w:hAnsi="Arial" w:cs="Arial"/>
          <w:b w:val="0"/>
          <w:i/>
          <w:color w:val="auto"/>
          <w:sz w:val="20"/>
          <w:szCs w:val="20"/>
        </w:rPr>
      </w:pPr>
    </w:p>
    <w:p w14:paraId="603557F3" w14:textId="77777777" w:rsidR="00E82778" w:rsidRDefault="00E82778">
      <w:pPr>
        <w:pStyle w:val="Heading2"/>
        <w:spacing w:before="0" w:line="360" w:lineRule="auto"/>
        <w:jc w:val="both"/>
        <w:rPr>
          <w:rFonts w:ascii="Arial" w:hAnsi="Arial" w:cs="Arial"/>
          <w:b w:val="0"/>
          <w:i/>
          <w:color w:val="auto"/>
          <w:sz w:val="20"/>
          <w:szCs w:val="20"/>
        </w:rPr>
      </w:pPr>
    </w:p>
    <w:p w14:paraId="23B7AAB5" w14:textId="77777777" w:rsidR="00E82778" w:rsidRDefault="00E82778">
      <w:pPr>
        <w:pStyle w:val="Heading2"/>
        <w:spacing w:before="0" w:line="360" w:lineRule="auto"/>
        <w:jc w:val="both"/>
        <w:rPr>
          <w:rFonts w:ascii="Arial" w:hAnsi="Arial" w:cs="Arial"/>
          <w:b w:val="0"/>
          <w:i/>
          <w:color w:val="auto"/>
          <w:sz w:val="20"/>
          <w:szCs w:val="20"/>
        </w:rPr>
      </w:pPr>
    </w:p>
    <w:p w14:paraId="5BDAC700" w14:textId="77777777" w:rsidR="00E82778" w:rsidRDefault="00E82778">
      <w:pPr>
        <w:pStyle w:val="Heading2"/>
        <w:spacing w:before="0" w:line="360" w:lineRule="auto"/>
        <w:jc w:val="both"/>
        <w:rPr>
          <w:rFonts w:ascii="Arial" w:hAnsi="Arial" w:cs="Arial"/>
          <w:b w:val="0"/>
          <w:i/>
          <w:color w:val="auto"/>
          <w:sz w:val="20"/>
          <w:szCs w:val="20"/>
        </w:rPr>
      </w:pPr>
    </w:p>
    <w:p w14:paraId="761AC29E" w14:textId="77777777" w:rsidR="00E82778" w:rsidRDefault="00E82778">
      <w:pPr>
        <w:pStyle w:val="Heading2"/>
        <w:spacing w:before="0" w:line="360" w:lineRule="auto"/>
        <w:jc w:val="both"/>
        <w:rPr>
          <w:rFonts w:ascii="Arial" w:hAnsi="Arial" w:cs="Arial"/>
          <w:b w:val="0"/>
          <w:i/>
          <w:color w:val="auto"/>
          <w:sz w:val="20"/>
          <w:szCs w:val="20"/>
        </w:rPr>
      </w:pPr>
    </w:p>
    <w:p w14:paraId="2019B675" w14:textId="77777777" w:rsidR="00E82778" w:rsidRDefault="00E82778">
      <w:pPr>
        <w:pStyle w:val="Heading2"/>
        <w:spacing w:before="0" w:line="360" w:lineRule="auto"/>
        <w:jc w:val="both"/>
        <w:rPr>
          <w:rFonts w:ascii="Arial" w:hAnsi="Arial" w:cs="Arial"/>
          <w:b w:val="0"/>
          <w:i/>
          <w:color w:val="auto"/>
          <w:sz w:val="20"/>
          <w:szCs w:val="20"/>
        </w:rPr>
      </w:pPr>
    </w:p>
    <w:p w14:paraId="6E972029" w14:textId="77777777" w:rsidR="00E82778" w:rsidRDefault="00E82778">
      <w:pPr>
        <w:pStyle w:val="Heading2"/>
        <w:spacing w:before="0" w:line="360" w:lineRule="auto"/>
        <w:jc w:val="both"/>
        <w:rPr>
          <w:rFonts w:ascii="Arial" w:hAnsi="Arial" w:cs="Arial"/>
          <w:b w:val="0"/>
          <w:i/>
          <w:color w:val="auto"/>
          <w:sz w:val="20"/>
          <w:szCs w:val="20"/>
        </w:rPr>
      </w:pPr>
    </w:p>
    <w:p w14:paraId="0BFF8D8B" w14:textId="77777777" w:rsidR="00E82778" w:rsidRDefault="00E82778">
      <w:pPr>
        <w:pStyle w:val="Heading2"/>
        <w:spacing w:before="0" w:line="360" w:lineRule="auto"/>
        <w:jc w:val="both"/>
        <w:rPr>
          <w:rFonts w:ascii="Arial" w:hAnsi="Arial" w:cs="Arial"/>
          <w:b w:val="0"/>
          <w:i/>
          <w:color w:val="auto"/>
          <w:sz w:val="20"/>
          <w:szCs w:val="20"/>
        </w:rPr>
      </w:pPr>
    </w:p>
    <w:p w14:paraId="4182D0B5" w14:textId="77777777" w:rsidR="003B627D" w:rsidRDefault="003B627D">
      <w:pPr>
        <w:pStyle w:val="Heading2"/>
        <w:spacing w:before="0" w:line="360" w:lineRule="auto"/>
        <w:jc w:val="both"/>
        <w:rPr>
          <w:rFonts w:ascii="Arial" w:hAnsi="Arial" w:cs="Arial"/>
          <w:b w:val="0"/>
          <w:i/>
          <w:color w:val="auto"/>
          <w:sz w:val="20"/>
          <w:szCs w:val="20"/>
        </w:rPr>
      </w:pPr>
    </w:p>
    <w:p w14:paraId="0276C8B6" w14:textId="77777777" w:rsidR="003B627D" w:rsidRDefault="003B627D">
      <w:pPr>
        <w:pStyle w:val="Heading2"/>
        <w:spacing w:before="0" w:line="360" w:lineRule="auto"/>
        <w:jc w:val="both"/>
        <w:rPr>
          <w:rFonts w:ascii="Arial" w:hAnsi="Arial" w:cs="Arial"/>
          <w:b w:val="0"/>
          <w:i/>
          <w:color w:val="auto"/>
          <w:sz w:val="20"/>
          <w:szCs w:val="20"/>
        </w:rPr>
      </w:pPr>
    </w:p>
    <w:p w14:paraId="2249EAC9" w14:textId="60A09258" w:rsidR="00D108FA" w:rsidRDefault="00E82DA6">
      <w:pPr>
        <w:pStyle w:val="Heading2"/>
        <w:spacing w:before="0" w:line="360" w:lineRule="auto"/>
        <w:jc w:val="both"/>
        <w:rPr>
          <w:rFonts w:ascii="Arial" w:hAnsi="Arial" w:cs="Arial"/>
          <w:b w:val="0"/>
          <w:i/>
          <w:color w:val="auto"/>
          <w:sz w:val="20"/>
          <w:szCs w:val="20"/>
        </w:rPr>
      </w:pPr>
      <w:r>
        <w:rPr>
          <w:rFonts w:ascii="Arial" w:hAnsi="Arial" w:cs="Arial"/>
          <w:b w:val="0"/>
          <w:i/>
          <w:color w:val="auto"/>
          <w:sz w:val="20"/>
          <w:szCs w:val="20"/>
        </w:rPr>
        <w:t xml:space="preserve">Keywords: </w:t>
      </w:r>
      <w:proofErr w:type="spellStart"/>
      <w:r>
        <w:rPr>
          <w:rFonts w:ascii="Arial" w:hAnsi="Arial" w:cs="Arial"/>
          <w:b w:val="0"/>
          <w:i/>
          <w:color w:val="auto"/>
          <w:sz w:val="20"/>
          <w:szCs w:val="20"/>
        </w:rPr>
        <w:t>Home</w:t>
      </w:r>
      <w:r>
        <w:rPr>
          <w:rFonts w:ascii="Arial" w:hAnsi="Arial" w:cs="Arial"/>
          <w:b w:val="0"/>
          <w:i/>
          <w:color w:val="auto"/>
          <w:sz w:val="20"/>
          <w:szCs w:val="20"/>
        </w:rPr>
        <w:t>gardens</w:t>
      </w:r>
      <w:proofErr w:type="spellEnd"/>
      <w:r>
        <w:rPr>
          <w:rFonts w:ascii="Arial" w:hAnsi="Arial" w:cs="Arial"/>
          <w:b w:val="0"/>
          <w:i/>
          <w:color w:val="auto"/>
          <w:sz w:val="20"/>
          <w:szCs w:val="20"/>
        </w:rPr>
        <w:t>, Sacred groves, Phyto-sociology, Carbon sequestration, Livelihood</w:t>
      </w:r>
    </w:p>
    <w:p w14:paraId="0DCFDF90" w14:textId="77777777" w:rsidR="003B627D" w:rsidRPr="003B627D" w:rsidRDefault="003B627D" w:rsidP="003B627D"/>
    <w:p w14:paraId="505F5281" w14:textId="77777777" w:rsidR="00D108FA" w:rsidRDefault="00E82DA6">
      <w:pPr>
        <w:spacing w:line="240" w:lineRule="auto"/>
        <w:rPr>
          <w:rFonts w:ascii="Arial" w:hAnsi="Arial" w:cs="Arial"/>
          <w:b/>
          <w:bCs/>
          <w:iCs/>
          <w:lang w:val="en-GB"/>
        </w:rPr>
      </w:pPr>
      <w:r>
        <w:rPr>
          <w:rFonts w:ascii="Arial" w:hAnsi="Arial" w:cs="Arial"/>
          <w:b/>
          <w:bCs/>
        </w:rPr>
        <w:t xml:space="preserve">1. </w:t>
      </w:r>
      <w:r>
        <w:rPr>
          <w:rFonts w:ascii="Arial" w:hAnsi="Arial" w:cs="Arial"/>
          <w:b/>
          <w:bCs/>
        </w:rPr>
        <w:t>INTRODUCTION</w:t>
      </w:r>
    </w:p>
    <w:p w14:paraId="79DF8FF9" w14:textId="773786B5" w:rsidR="00D108FA" w:rsidRDefault="00E82DA6">
      <w:pPr>
        <w:spacing w:after="0" w:line="240" w:lineRule="auto"/>
        <w:jc w:val="both"/>
        <w:rPr>
          <w:rFonts w:ascii="Arial" w:hAnsi="Arial" w:cs="Arial"/>
          <w:sz w:val="20"/>
          <w:szCs w:val="20"/>
        </w:rPr>
      </w:pPr>
      <w:r>
        <w:rPr>
          <w:rFonts w:ascii="Arial" w:hAnsi="Arial" w:cs="Arial"/>
          <w:sz w:val="20"/>
          <w:szCs w:val="20"/>
        </w:rPr>
        <w:t>Trees Outside Forests (TOFs) are defined as 'trees on land not classified as forest or other wooded lands' (FAO, 1998), and as 'all tree crops outside designated forest areas, including tree cover smaller than 1 hectare as well as forest cover</w:t>
      </w:r>
      <w:r>
        <w:rPr>
          <w:rFonts w:ascii="Arial" w:hAnsi="Arial" w:cs="Arial"/>
          <w:sz w:val="20"/>
          <w:szCs w:val="20"/>
        </w:rPr>
        <w:t xml:space="preserve"> outside forest areas that may exceed 1 hectare' (FSI, 2021). TOFs have </w:t>
      </w:r>
      <w:r>
        <w:rPr>
          <w:rFonts w:ascii="Arial" w:hAnsi="Arial" w:cs="Arial"/>
          <w:sz w:val="20"/>
          <w:szCs w:val="20"/>
        </w:rPr>
        <w:lastRenderedPageBreak/>
        <w:t>much ecological and socio-economic significance in terms of biodiversity, timber products, NTFPs, carbon sequestration, regulation of climate and other benefits including livelihood su</w:t>
      </w:r>
      <w:r>
        <w:rPr>
          <w:rFonts w:ascii="Arial" w:hAnsi="Arial" w:cs="Arial"/>
          <w:sz w:val="20"/>
          <w:szCs w:val="20"/>
        </w:rPr>
        <w:t>pport.</w:t>
      </w:r>
      <w:r w:rsidR="000E5C82">
        <w:rPr>
          <w:rFonts w:ascii="Arial" w:hAnsi="Arial" w:cs="Arial"/>
          <w:sz w:val="20"/>
          <w:szCs w:val="20"/>
        </w:rPr>
        <w:t xml:space="preserve"> </w:t>
      </w:r>
      <w:r>
        <w:rPr>
          <w:rFonts w:ascii="Arial" w:hAnsi="Arial" w:cs="Arial"/>
          <w:sz w:val="20"/>
          <w:szCs w:val="20"/>
        </w:rPr>
        <w:t>The total extent of TOFs in North East India is 32,110 km</w:t>
      </w:r>
      <w:r>
        <w:rPr>
          <w:rFonts w:ascii="Arial" w:hAnsi="Arial" w:cs="Arial"/>
          <w:sz w:val="20"/>
          <w:szCs w:val="20"/>
          <w:vertAlign w:val="superscript"/>
        </w:rPr>
        <w:t>2</w:t>
      </w:r>
      <w:r>
        <w:rPr>
          <w:rFonts w:ascii="Arial" w:hAnsi="Arial" w:cs="Arial"/>
          <w:sz w:val="20"/>
          <w:szCs w:val="20"/>
        </w:rPr>
        <w:t>. Assam with a total of 9,939 km</w:t>
      </w:r>
      <w:r>
        <w:rPr>
          <w:rFonts w:ascii="Arial" w:hAnsi="Arial" w:cs="Arial"/>
          <w:sz w:val="20"/>
          <w:szCs w:val="20"/>
          <w:vertAlign w:val="superscript"/>
        </w:rPr>
        <w:t>2</w:t>
      </w:r>
      <w:r>
        <w:rPr>
          <w:rFonts w:ascii="Arial" w:hAnsi="Arial" w:cs="Arial"/>
          <w:sz w:val="20"/>
          <w:szCs w:val="20"/>
        </w:rPr>
        <w:t xml:space="preserve"> (12.67% of the total TOFs) is having highest area followed by Arunachal Pradesh (8,752 km</w:t>
      </w:r>
      <w:r>
        <w:rPr>
          <w:rFonts w:ascii="Arial" w:hAnsi="Arial" w:cs="Arial"/>
          <w:sz w:val="20"/>
          <w:szCs w:val="20"/>
          <w:vertAlign w:val="superscript"/>
        </w:rPr>
        <w:t>2</w:t>
      </w:r>
      <w:r>
        <w:rPr>
          <w:rFonts w:ascii="Arial" w:hAnsi="Arial" w:cs="Arial"/>
          <w:sz w:val="20"/>
          <w:szCs w:val="20"/>
        </w:rPr>
        <w:t>, 10.45%), Nagaland (3,988 km</w:t>
      </w:r>
      <w:r>
        <w:rPr>
          <w:rFonts w:ascii="Arial" w:hAnsi="Arial" w:cs="Arial"/>
          <w:sz w:val="20"/>
          <w:szCs w:val="20"/>
          <w:vertAlign w:val="superscript"/>
        </w:rPr>
        <w:t>2</w:t>
      </w:r>
      <w:r>
        <w:rPr>
          <w:rFonts w:ascii="Arial" w:hAnsi="Arial" w:cs="Arial"/>
          <w:sz w:val="20"/>
          <w:szCs w:val="20"/>
        </w:rPr>
        <w:t>, 24.05%), Meghalaya (2,946 km</w:t>
      </w:r>
      <w:r>
        <w:rPr>
          <w:rFonts w:ascii="Arial" w:hAnsi="Arial" w:cs="Arial"/>
          <w:sz w:val="20"/>
          <w:szCs w:val="20"/>
          <w:vertAlign w:val="superscript"/>
        </w:rPr>
        <w:t>2</w:t>
      </w:r>
      <w:r>
        <w:rPr>
          <w:rFonts w:ascii="Arial" w:hAnsi="Arial" w:cs="Arial"/>
          <w:sz w:val="20"/>
          <w:szCs w:val="20"/>
        </w:rPr>
        <w:t xml:space="preserve">, </w:t>
      </w:r>
      <w:r>
        <w:rPr>
          <w:rFonts w:ascii="Arial" w:hAnsi="Arial" w:cs="Arial"/>
          <w:sz w:val="20"/>
          <w:szCs w:val="20"/>
        </w:rPr>
        <w:t>13.13%), Tripura (2,517 km</w:t>
      </w:r>
      <w:r>
        <w:rPr>
          <w:rFonts w:ascii="Arial" w:hAnsi="Arial" w:cs="Arial"/>
          <w:sz w:val="20"/>
          <w:szCs w:val="20"/>
          <w:vertAlign w:val="superscript"/>
        </w:rPr>
        <w:t>2</w:t>
      </w:r>
      <w:r>
        <w:rPr>
          <w:rFonts w:ascii="Arial" w:hAnsi="Arial" w:cs="Arial"/>
          <w:sz w:val="20"/>
          <w:szCs w:val="20"/>
        </w:rPr>
        <w:t>, 24%), Manipur (1,934 km</w:t>
      </w:r>
      <w:r>
        <w:rPr>
          <w:rFonts w:ascii="Arial" w:hAnsi="Arial" w:cs="Arial"/>
          <w:sz w:val="20"/>
          <w:szCs w:val="20"/>
          <w:vertAlign w:val="superscript"/>
        </w:rPr>
        <w:t>2</w:t>
      </w:r>
      <w:r>
        <w:rPr>
          <w:rFonts w:ascii="Arial" w:hAnsi="Arial" w:cs="Arial"/>
          <w:sz w:val="20"/>
          <w:szCs w:val="20"/>
        </w:rPr>
        <w:t>, 8.66%), Sikkim (1,326 km</w:t>
      </w:r>
      <w:r>
        <w:rPr>
          <w:rFonts w:ascii="Arial" w:hAnsi="Arial" w:cs="Arial"/>
          <w:sz w:val="20"/>
          <w:szCs w:val="20"/>
          <w:vertAlign w:val="superscript"/>
        </w:rPr>
        <w:t>2</w:t>
      </w:r>
      <w:r>
        <w:rPr>
          <w:rFonts w:ascii="Arial" w:hAnsi="Arial" w:cs="Arial"/>
          <w:sz w:val="20"/>
          <w:szCs w:val="20"/>
        </w:rPr>
        <w:t>, 18.69%) and Mizoram (708 km</w:t>
      </w:r>
      <w:r>
        <w:rPr>
          <w:rFonts w:ascii="Arial" w:hAnsi="Arial" w:cs="Arial"/>
          <w:sz w:val="20"/>
          <w:szCs w:val="20"/>
          <w:vertAlign w:val="superscript"/>
        </w:rPr>
        <w:t>2</w:t>
      </w:r>
      <w:r>
        <w:rPr>
          <w:rFonts w:ascii="Arial" w:hAnsi="Arial" w:cs="Arial"/>
          <w:sz w:val="20"/>
          <w:szCs w:val="20"/>
        </w:rPr>
        <w:t xml:space="preserve">, 3.36%) (FSI, 2021). In rural areas of North East India, Trees Outside Forests (TOFs) are predominantly represented by </w:t>
      </w:r>
      <w:r>
        <w:rPr>
          <w:rFonts w:ascii="Arial" w:hAnsi="Arial" w:cs="Arial"/>
          <w:i/>
          <w:iCs/>
          <w:sz w:val="20"/>
          <w:szCs w:val="20"/>
        </w:rPr>
        <w:t>Schima wallichii</w:t>
      </w:r>
      <w:r>
        <w:rPr>
          <w:rFonts w:ascii="Arial" w:hAnsi="Arial" w:cs="Arial"/>
          <w:sz w:val="20"/>
          <w:szCs w:val="20"/>
        </w:rPr>
        <w:t xml:space="preserve">, </w:t>
      </w:r>
      <w:r>
        <w:rPr>
          <w:rFonts w:ascii="Arial" w:hAnsi="Arial" w:cs="Arial"/>
          <w:i/>
          <w:iCs/>
          <w:sz w:val="20"/>
          <w:szCs w:val="20"/>
        </w:rPr>
        <w:t>Castanop</w:t>
      </w:r>
      <w:r>
        <w:rPr>
          <w:rFonts w:ascii="Arial" w:hAnsi="Arial" w:cs="Arial"/>
          <w:i/>
          <w:iCs/>
          <w:sz w:val="20"/>
          <w:szCs w:val="20"/>
        </w:rPr>
        <w:t>sis spp.</w:t>
      </w:r>
      <w:r>
        <w:rPr>
          <w:rFonts w:ascii="Arial" w:hAnsi="Arial" w:cs="Arial"/>
          <w:sz w:val="20"/>
          <w:szCs w:val="20"/>
        </w:rPr>
        <w:t xml:space="preserve">, </w:t>
      </w:r>
      <w:r>
        <w:rPr>
          <w:rFonts w:ascii="Arial" w:hAnsi="Arial" w:cs="Arial"/>
          <w:i/>
          <w:iCs/>
          <w:sz w:val="20"/>
          <w:szCs w:val="20"/>
        </w:rPr>
        <w:t>Albizia spp.</w:t>
      </w:r>
      <w:r>
        <w:rPr>
          <w:rFonts w:ascii="Arial" w:hAnsi="Arial" w:cs="Arial"/>
          <w:sz w:val="20"/>
          <w:szCs w:val="20"/>
        </w:rPr>
        <w:t xml:space="preserve">, </w:t>
      </w:r>
      <w:r>
        <w:rPr>
          <w:rFonts w:ascii="Arial" w:hAnsi="Arial" w:cs="Arial"/>
          <w:i/>
          <w:iCs/>
          <w:sz w:val="20"/>
          <w:szCs w:val="20"/>
        </w:rPr>
        <w:t>Areca catechu</w:t>
      </w:r>
      <w:r>
        <w:rPr>
          <w:rFonts w:ascii="Arial" w:hAnsi="Arial" w:cs="Arial"/>
          <w:sz w:val="20"/>
          <w:szCs w:val="20"/>
        </w:rPr>
        <w:t xml:space="preserve"> and </w:t>
      </w:r>
      <w:r>
        <w:rPr>
          <w:rFonts w:ascii="Arial" w:hAnsi="Arial" w:cs="Arial"/>
          <w:i/>
          <w:iCs/>
          <w:sz w:val="20"/>
          <w:szCs w:val="20"/>
        </w:rPr>
        <w:t>Macaranga spp.</w:t>
      </w:r>
      <w:r>
        <w:rPr>
          <w:rFonts w:ascii="Arial" w:hAnsi="Arial" w:cs="Arial"/>
          <w:sz w:val="20"/>
          <w:szCs w:val="20"/>
        </w:rPr>
        <w:t xml:space="preserve">, whereas in urban landscapes, </w:t>
      </w:r>
      <w:r>
        <w:rPr>
          <w:rFonts w:ascii="Arial" w:hAnsi="Arial" w:cs="Arial"/>
          <w:i/>
          <w:iCs/>
          <w:sz w:val="20"/>
          <w:szCs w:val="20"/>
        </w:rPr>
        <w:t>Areca catechu</w:t>
      </w:r>
      <w:r>
        <w:rPr>
          <w:rFonts w:ascii="Arial" w:hAnsi="Arial" w:cs="Arial"/>
          <w:sz w:val="20"/>
          <w:szCs w:val="20"/>
        </w:rPr>
        <w:t xml:space="preserve">, </w:t>
      </w:r>
      <w:r>
        <w:rPr>
          <w:rFonts w:ascii="Arial" w:hAnsi="Arial" w:cs="Arial"/>
          <w:i/>
          <w:iCs/>
          <w:sz w:val="20"/>
          <w:szCs w:val="20"/>
        </w:rPr>
        <w:t>Artocarpus integrifolia</w:t>
      </w:r>
      <w:r>
        <w:rPr>
          <w:rFonts w:ascii="Arial" w:hAnsi="Arial" w:cs="Arial"/>
          <w:sz w:val="20"/>
          <w:szCs w:val="20"/>
        </w:rPr>
        <w:t xml:space="preserve">, </w:t>
      </w:r>
      <w:r>
        <w:rPr>
          <w:rFonts w:ascii="Arial" w:hAnsi="Arial" w:cs="Arial"/>
          <w:i/>
          <w:iCs/>
          <w:sz w:val="20"/>
          <w:szCs w:val="20"/>
        </w:rPr>
        <w:t>Mangifera indica</w:t>
      </w:r>
      <w:r>
        <w:rPr>
          <w:rFonts w:ascii="Arial" w:hAnsi="Arial" w:cs="Arial"/>
          <w:sz w:val="20"/>
          <w:szCs w:val="20"/>
        </w:rPr>
        <w:t xml:space="preserve">, </w:t>
      </w:r>
      <w:r>
        <w:rPr>
          <w:rFonts w:ascii="Arial" w:hAnsi="Arial" w:cs="Arial"/>
          <w:i/>
          <w:iCs/>
          <w:sz w:val="20"/>
          <w:szCs w:val="20"/>
        </w:rPr>
        <w:t>Cocos nucifera</w:t>
      </w:r>
      <w:r>
        <w:rPr>
          <w:rFonts w:ascii="Arial" w:hAnsi="Arial" w:cs="Arial"/>
          <w:sz w:val="20"/>
          <w:szCs w:val="20"/>
        </w:rPr>
        <w:t xml:space="preserve"> and </w:t>
      </w:r>
      <w:r>
        <w:rPr>
          <w:rFonts w:ascii="Arial" w:hAnsi="Arial" w:cs="Arial"/>
          <w:i/>
          <w:iCs/>
          <w:sz w:val="20"/>
          <w:szCs w:val="20"/>
        </w:rPr>
        <w:t xml:space="preserve">Schima wallichii </w:t>
      </w:r>
      <w:r>
        <w:rPr>
          <w:rFonts w:ascii="Arial" w:hAnsi="Arial" w:cs="Arial"/>
          <w:sz w:val="20"/>
          <w:szCs w:val="20"/>
        </w:rPr>
        <w:t>emerge as the dominant species (FSI, 2019).</w:t>
      </w:r>
    </w:p>
    <w:p w14:paraId="43DF42A2" w14:textId="77777777" w:rsidR="00F53A7C" w:rsidRDefault="00F53A7C">
      <w:pPr>
        <w:spacing w:after="0" w:line="240" w:lineRule="auto"/>
        <w:jc w:val="both"/>
        <w:rPr>
          <w:rFonts w:ascii="Arial" w:hAnsi="Arial" w:cs="Arial"/>
          <w:sz w:val="20"/>
          <w:szCs w:val="20"/>
        </w:rPr>
      </w:pPr>
    </w:p>
    <w:p w14:paraId="57547F5E" w14:textId="3CAFAECC" w:rsidR="00F53A7C" w:rsidRPr="00F53A7C" w:rsidRDefault="00F53A7C">
      <w:pPr>
        <w:spacing w:after="0" w:line="240" w:lineRule="auto"/>
        <w:jc w:val="both"/>
        <w:rPr>
          <w:rFonts w:ascii="Arial" w:hAnsi="Arial" w:cs="Arial"/>
          <w:b/>
          <w:bCs/>
          <w:sz w:val="20"/>
          <w:szCs w:val="20"/>
        </w:rPr>
      </w:pPr>
      <w:r w:rsidRPr="00F53A7C">
        <w:rPr>
          <w:rFonts w:ascii="Arial" w:hAnsi="Arial" w:cs="Arial"/>
          <w:b/>
          <w:bCs/>
          <w:sz w:val="20"/>
          <w:szCs w:val="20"/>
        </w:rPr>
        <w:t>2. METHODOLOGY</w:t>
      </w:r>
    </w:p>
    <w:p w14:paraId="46C54E16" w14:textId="77777777" w:rsidR="00F53A7C" w:rsidRPr="00F53A7C" w:rsidRDefault="00F53A7C">
      <w:pPr>
        <w:spacing w:after="0" w:line="240" w:lineRule="auto"/>
        <w:jc w:val="both"/>
        <w:rPr>
          <w:rFonts w:ascii="Arial" w:hAnsi="Arial" w:cs="Arial"/>
          <w:b/>
          <w:bCs/>
          <w:sz w:val="20"/>
          <w:szCs w:val="20"/>
        </w:rPr>
      </w:pPr>
    </w:p>
    <w:p w14:paraId="5F60315D" w14:textId="5BEABAB9" w:rsidR="00F53A7C" w:rsidRPr="00F53A7C" w:rsidRDefault="00F53A7C">
      <w:pPr>
        <w:spacing w:after="0" w:line="240" w:lineRule="auto"/>
        <w:jc w:val="both"/>
        <w:rPr>
          <w:rFonts w:ascii="Arial" w:hAnsi="Arial" w:cs="Arial"/>
          <w:sz w:val="20"/>
          <w:szCs w:val="20"/>
        </w:rPr>
      </w:pPr>
      <w:r w:rsidRPr="00F53A7C">
        <w:rPr>
          <w:rFonts w:ascii="Arial" w:hAnsi="Arial" w:cs="Arial"/>
          <w:sz w:val="20"/>
          <w:szCs w:val="20"/>
        </w:rPr>
        <w:t xml:space="preserve">This review synthesizes existing literature on traditionally managed Trees Outside Forests (TOFs) in Northeast India, emphasizing their ecological and socio-economic significance. Publications from 1990-2025 were compiled from Scopus, Web of Science, Google Scholar and institutional reports using comprehensive keyword combinations, including </w:t>
      </w:r>
      <w:r w:rsidRPr="00F53A7C">
        <w:rPr>
          <w:rFonts w:ascii="Arial" w:hAnsi="Arial" w:cs="Arial"/>
          <w:i/>
          <w:iCs/>
          <w:sz w:val="20"/>
          <w:szCs w:val="20"/>
        </w:rPr>
        <w:t>TOFs</w:t>
      </w:r>
      <w:r w:rsidRPr="00F53A7C">
        <w:rPr>
          <w:rFonts w:ascii="Arial" w:hAnsi="Arial" w:cs="Arial"/>
          <w:sz w:val="20"/>
          <w:szCs w:val="20"/>
        </w:rPr>
        <w:t xml:space="preserve">, </w:t>
      </w:r>
      <w:proofErr w:type="spellStart"/>
      <w:r w:rsidRPr="00F53A7C">
        <w:rPr>
          <w:rFonts w:ascii="Arial" w:hAnsi="Arial" w:cs="Arial"/>
          <w:i/>
          <w:iCs/>
          <w:sz w:val="20"/>
          <w:szCs w:val="20"/>
        </w:rPr>
        <w:t>homegardens</w:t>
      </w:r>
      <w:proofErr w:type="spellEnd"/>
      <w:r w:rsidRPr="00F53A7C">
        <w:rPr>
          <w:rFonts w:ascii="Arial" w:hAnsi="Arial" w:cs="Arial"/>
          <w:sz w:val="20"/>
          <w:szCs w:val="20"/>
        </w:rPr>
        <w:t xml:space="preserve">, </w:t>
      </w:r>
      <w:r w:rsidRPr="00F53A7C">
        <w:rPr>
          <w:rFonts w:ascii="Arial" w:hAnsi="Arial" w:cs="Arial"/>
          <w:i/>
          <w:iCs/>
          <w:sz w:val="20"/>
          <w:szCs w:val="20"/>
        </w:rPr>
        <w:t>sacred groves</w:t>
      </w:r>
      <w:r w:rsidRPr="00F53A7C">
        <w:rPr>
          <w:rFonts w:ascii="Arial" w:hAnsi="Arial" w:cs="Arial"/>
          <w:sz w:val="20"/>
          <w:szCs w:val="20"/>
        </w:rPr>
        <w:t xml:space="preserve">, </w:t>
      </w:r>
      <w:r w:rsidRPr="00F53A7C">
        <w:rPr>
          <w:rFonts w:ascii="Arial" w:hAnsi="Arial" w:cs="Arial"/>
          <w:i/>
          <w:iCs/>
          <w:sz w:val="20"/>
          <w:szCs w:val="20"/>
        </w:rPr>
        <w:t>community forests</w:t>
      </w:r>
      <w:r w:rsidRPr="00F53A7C">
        <w:rPr>
          <w:rFonts w:ascii="Arial" w:hAnsi="Arial" w:cs="Arial"/>
          <w:sz w:val="20"/>
          <w:szCs w:val="20"/>
        </w:rPr>
        <w:t xml:space="preserve">, </w:t>
      </w:r>
      <w:r w:rsidRPr="00F53A7C">
        <w:rPr>
          <w:rFonts w:ascii="Arial" w:hAnsi="Arial" w:cs="Arial"/>
          <w:i/>
          <w:iCs/>
          <w:sz w:val="20"/>
          <w:szCs w:val="20"/>
        </w:rPr>
        <w:t>patch vegetation</w:t>
      </w:r>
      <w:r w:rsidRPr="00F53A7C">
        <w:rPr>
          <w:rFonts w:ascii="Arial" w:hAnsi="Arial" w:cs="Arial"/>
          <w:sz w:val="20"/>
          <w:szCs w:val="20"/>
        </w:rPr>
        <w:t xml:space="preserve"> and state-specific terms such as </w:t>
      </w:r>
      <w:proofErr w:type="spellStart"/>
      <w:r w:rsidRPr="00F53A7C">
        <w:rPr>
          <w:rFonts w:ascii="Arial" w:hAnsi="Arial" w:cs="Arial"/>
          <w:i/>
          <w:iCs/>
          <w:sz w:val="20"/>
          <w:szCs w:val="20"/>
        </w:rPr>
        <w:t>homegardens</w:t>
      </w:r>
      <w:proofErr w:type="spellEnd"/>
      <w:r w:rsidRPr="00F53A7C">
        <w:rPr>
          <w:rFonts w:ascii="Arial" w:hAnsi="Arial" w:cs="Arial"/>
          <w:sz w:val="20"/>
          <w:szCs w:val="20"/>
        </w:rPr>
        <w:t xml:space="preserve">, </w:t>
      </w:r>
      <w:r w:rsidRPr="00F53A7C">
        <w:rPr>
          <w:rFonts w:ascii="Arial" w:hAnsi="Arial" w:cs="Arial"/>
          <w:i/>
          <w:iCs/>
          <w:sz w:val="20"/>
          <w:szCs w:val="20"/>
        </w:rPr>
        <w:t>sacred groves</w:t>
      </w:r>
      <w:r w:rsidRPr="00F53A7C">
        <w:rPr>
          <w:rFonts w:ascii="Arial" w:hAnsi="Arial" w:cs="Arial"/>
          <w:sz w:val="20"/>
          <w:szCs w:val="20"/>
        </w:rPr>
        <w:t xml:space="preserve"> and </w:t>
      </w:r>
      <w:r w:rsidRPr="00F53A7C">
        <w:rPr>
          <w:rFonts w:ascii="Arial" w:hAnsi="Arial" w:cs="Arial"/>
          <w:i/>
          <w:iCs/>
          <w:sz w:val="20"/>
          <w:szCs w:val="20"/>
        </w:rPr>
        <w:t>community forests</w:t>
      </w:r>
      <w:r w:rsidRPr="00F53A7C">
        <w:rPr>
          <w:rFonts w:ascii="Arial" w:hAnsi="Arial" w:cs="Arial"/>
          <w:sz w:val="20"/>
          <w:szCs w:val="20"/>
        </w:rPr>
        <w:t xml:space="preserve"> in Arunachal Pradesh, Assam, Manipur, Meghalaya, Mizoram, Nagaland, Sikkim and Tripura. Collected data were systematically categorized by TOF type, state and thematic focus. A bibliometric assessment was conducted to examine spatial and temporal trends in research. As the study is based exclusively on secondary sources, some variation in methodological rigour across studies may exist. However, the synthesis provides a coherent and comprehensive overview of TOF diversity, distribution patterns and research gaps across the region. All data used are publicly available and appropriately cited.</w:t>
      </w:r>
    </w:p>
    <w:p w14:paraId="49CB120A" w14:textId="77777777" w:rsidR="00845F06" w:rsidRPr="00F53A7C" w:rsidRDefault="00845F06">
      <w:pPr>
        <w:spacing w:after="0" w:line="240" w:lineRule="auto"/>
        <w:jc w:val="both"/>
        <w:rPr>
          <w:rFonts w:ascii="Arial" w:hAnsi="Arial" w:cs="Arial"/>
          <w:color w:val="00B050"/>
          <w:sz w:val="20"/>
          <w:szCs w:val="20"/>
        </w:rPr>
      </w:pPr>
    </w:p>
    <w:p w14:paraId="10A33CB2" w14:textId="2B85B99E" w:rsidR="00D108FA" w:rsidRDefault="00F53A7C">
      <w:pPr>
        <w:spacing w:after="0" w:line="240" w:lineRule="auto"/>
        <w:jc w:val="both"/>
        <w:rPr>
          <w:rFonts w:ascii="Arial" w:hAnsi="Arial" w:cs="Arial"/>
          <w:b/>
          <w:bCs/>
          <w:sz w:val="20"/>
          <w:szCs w:val="20"/>
        </w:rPr>
      </w:pPr>
      <w:r>
        <w:rPr>
          <w:rFonts w:ascii="Arial" w:hAnsi="Arial" w:cs="Arial"/>
          <w:b/>
          <w:bCs/>
          <w:sz w:val="20"/>
          <w:szCs w:val="20"/>
        </w:rPr>
        <w:t>3. TREES OUTSIDE FORESTS (TOFs) IN NORTH EAST INDIA</w:t>
      </w:r>
    </w:p>
    <w:p w14:paraId="773477BA" w14:textId="77777777" w:rsidR="00D108FA" w:rsidRDefault="00D108FA">
      <w:pPr>
        <w:spacing w:after="0" w:line="240" w:lineRule="auto"/>
        <w:jc w:val="both"/>
        <w:rPr>
          <w:rFonts w:ascii="Arial" w:hAnsi="Arial" w:cs="Arial"/>
          <w:sz w:val="20"/>
          <w:szCs w:val="20"/>
        </w:rPr>
      </w:pPr>
    </w:p>
    <w:p w14:paraId="2780B97A" w14:textId="2940F8F5" w:rsidR="00D108FA" w:rsidRDefault="00E82DA6">
      <w:pPr>
        <w:spacing w:after="0" w:line="240" w:lineRule="auto"/>
        <w:jc w:val="both"/>
        <w:rPr>
          <w:rFonts w:ascii="Arial" w:hAnsi="Arial" w:cs="Arial"/>
          <w:sz w:val="20"/>
          <w:szCs w:val="20"/>
        </w:rPr>
      </w:pPr>
      <w:r>
        <w:rPr>
          <w:rFonts w:ascii="Arial" w:hAnsi="Arial" w:cs="Arial"/>
          <w:sz w:val="20"/>
          <w:szCs w:val="20"/>
        </w:rPr>
        <w:t xml:space="preserve">In North East India, Trees Outside Forests (TOFs) are broadly categorized as (1) traditionally managed systems such </w:t>
      </w:r>
      <w:r>
        <w:rPr>
          <w:rFonts w:ascii="Arial" w:hAnsi="Arial" w:cs="Arial"/>
          <w:sz w:val="20"/>
          <w:szCs w:val="20"/>
        </w:rPr>
        <w:t xml:space="preserve">as </w:t>
      </w:r>
      <w:proofErr w:type="spellStart"/>
      <w:r>
        <w:rPr>
          <w:rFonts w:ascii="Arial" w:hAnsi="Arial" w:cs="Arial"/>
          <w:sz w:val="20"/>
          <w:szCs w:val="20"/>
        </w:rPr>
        <w:t>homegardens</w:t>
      </w:r>
      <w:proofErr w:type="spellEnd"/>
      <w:r>
        <w:rPr>
          <w:rFonts w:ascii="Arial" w:hAnsi="Arial" w:cs="Arial"/>
          <w:sz w:val="20"/>
          <w:szCs w:val="20"/>
        </w:rPr>
        <w:t>, sacred groves and community forests, and (2) introduced systems including tea estates, commercial plantations and avenue plantations. While traditionally managed TOFs have evolved through generations of local knowledge and cultural practice</w:t>
      </w:r>
      <w:r>
        <w:rPr>
          <w:rFonts w:ascii="Arial" w:hAnsi="Arial" w:cs="Arial"/>
          <w:sz w:val="20"/>
          <w:szCs w:val="20"/>
        </w:rPr>
        <w:t xml:space="preserve">s, providing subsistence resources and conserving biodiversity, introduced TOFs primarily address economic and industrial demands. </w:t>
      </w:r>
      <w:r w:rsidR="000104C0" w:rsidRPr="00892D7A">
        <w:rPr>
          <w:rFonts w:ascii="Arial" w:hAnsi="Arial" w:cs="Arial"/>
          <w:sz w:val="20"/>
          <w:szCs w:val="20"/>
        </w:rPr>
        <w:t xml:space="preserve">Collectively, these systems constitute an integral part of the regional landscape, playing a vital role in maintaining ecological stability while strengthening socio-economic resilience among local </w:t>
      </w:r>
      <w:proofErr w:type="gramStart"/>
      <w:r w:rsidR="000104C0" w:rsidRPr="00892D7A">
        <w:rPr>
          <w:rFonts w:ascii="Arial" w:hAnsi="Arial" w:cs="Arial"/>
          <w:sz w:val="20"/>
          <w:szCs w:val="20"/>
        </w:rPr>
        <w:t>communities.</w:t>
      </w:r>
      <w:r>
        <w:rPr>
          <w:rFonts w:ascii="Arial" w:hAnsi="Arial" w:cs="Arial"/>
          <w:sz w:val="20"/>
          <w:szCs w:val="20"/>
        </w:rPr>
        <w:t>.</w:t>
      </w:r>
      <w:proofErr w:type="gramEnd"/>
      <w:r>
        <w:rPr>
          <w:rFonts w:ascii="Arial" w:hAnsi="Arial" w:cs="Arial"/>
          <w:sz w:val="20"/>
          <w:szCs w:val="20"/>
        </w:rPr>
        <w:t xml:space="preserve"> This paper focuses on th</w:t>
      </w:r>
      <w:r>
        <w:rPr>
          <w:rFonts w:ascii="Arial" w:hAnsi="Arial" w:cs="Arial"/>
          <w:sz w:val="20"/>
          <w:szCs w:val="20"/>
        </w:rPr>
        <w:t xml:space="preserve">e significance of traditionally managed TOFs, with emphasis on </w:t>
      </w:r>
      <w:proofErr w:type="spellStart"/>
      <w:r>
        <w:rPr>
          <w:rFonts w:ascii="Arial" w:hAnsi="Arial" w:cs="Arial"/>
          <w:sz w:val="20"/>
          <w:szCs w:val="20"/>
        </w:rPr>
        <w:t>homegardens</w:t>
      </w:r>
      <w:proofErr w:type="spellEnd"/>
      <w:r>
        <w:rPr>
          <w:rFonts w:ascii="Arial" w:hAnsi="Arial" w:cs="Arial"/>
          <w:sz w:val="20"/>
          <w:szCs w:val="20"/>
        </w:rPr>
        <w:t>, sacred groves and community forests.</w:t>
      </w:r>
    </w:p>
    <w:p w14:paraId="0746A035" w14:textId="58E3494E" w:rsidR="00D108FA" w:rsidRDefault="000104C0">
      <w:pPr>
        <w:spacing w:after="0" w:line="360" w:lineRule="auto"/>
        <w:jc w:val="both"/>
        <w:rPr>
          <w:rFonts w:ascii="Arial" w:hAnsi="Arial" w:cs="Arial"/>
          <w:sz w:val="20"/>
          <w:szCs w:val="20"/>
        </w:rPr>
      </w:pPr>
      <w:r>
        <w:rPr>
          <w:rFonts w:ascii="Arial" w:hAnsi="Arial" w:cs="Arial"/>
          <w:sz w:val="20"/>
          <w:szCs w:val="20"/>
        </w:rPr>
        <w:t xml:space="preserve"> </w:t>
      </w:r>
    </w:p>
    <w:p w14:paraId="105846D4" w14:textId="77777777" w:rsidR="00D108FA" w:rsidRDefault="00E82DA6">
      <w:pPr>
        <w:spacing w:after="0" w:line="240" w:lineRule="auto"/>
        <w:jc w:val="both"/>
        <w:rPr>
          <w:rFonts w:ascii="Arial" w:hAnsi="Arial" w:cs="Arial"/>
          <w:b/>
          <w:bCs/>
          <w:iCs/>
          <w:lang w:val="en-IN"/>
        </w:rPr>
      </w:pPr>
      <w:proofErr w:type="spellStart"/>
      <w:r>
        <w:rPr>
          <w:rFonts w:ascii="Arial" w:hAnsi="Arial" w:cs="Arial"/>
          <w:b/>
          <w:bCs/>
          <w:iCs/>
          <w:lang w:val="en-IN"/>
        </w:rPr>
        <w:t>Homegardens</w:t>
      </w:r>
      <w:proofErr w:type="spellEnd"/>
    </w:p>
    <w:p w14:paraId="27D2A355" w14:textId="77777777" w:rsidR="00D108FA" w:rsidRDefault="00D108FA">
      <w:pPr>
        <w:spacing w:after="0" w:line="240" w:lineRule="auto"/>
        <w:jc w:val="both"/>
        <w:rPr>
          <w:rFonts w:ascii="Arial" w:hAnsi="Arial" w:cs="Arial"/>
          <w:b/>
          <w:bCs/>
          <w:iCs/>
          <w:lang w:val="en-IN"/>
        </w:rPr>
      </w:pPr>
    </w:p>
    <w:p w14:paraId="25A1EDC3" w14:textId="4B2A6845" w:rsidR="00D108FA" w:rsidRDefault="00E82DA6">
      <w:pPr>
        <w:spacing w:after="0" w:line="240" w:lineRule="auto"/>
        <w:jc w:val="both"/>
        <w:rPr>
          <w:rFonts w:ascii="Arial" w:hAnsi="Arial" w:cs="Arial"/>
          <w:bCs/>
          <w:iCs/>
          <w:sz w:val="20"/>
          <w:szCs w:val="20"/>
          <w:lang w:val="en-IN"/>
        </w:rPr>
      </w:pP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are widely acknowledged for their multifaceted benefits, particularly in enhancing food security and supporting livelihoods, while providing both tangible and intangible ecological and socio-economic values (Roy and Arunachalam, 2014). They are variably r</w:t>
      </w:r>
      <w:r>
        <w:rPr>
          <w:rFonts w:ascii="Arial" w:hAnsi="Arial" w:cs="Arial"/>
          <w:bCs/>
          <w:iCs/>
          <w:sz w:val="20"/>
          <w:szCs w:val="20"/>
          <w:lang w:val="en-IN"/>
        </w:rPr>
        <w:t>eferred to as homestead gardens (</w:t>
      </w:r>
      <w:proofErr w:type="spellStart"/>
      <w:r>
        <w:rPr>
          <w:rFonts w:ascii="Arial" w:hAnsi="Arial" w:cs="Arial"/>
          <w:bCs/>
          <w:iCs/>
          <w:sz w:val="20"/>
          <w:szCs w:val="20"/>
          <w:lang w:val="en-IN"/>
        </w:rPr>
        <w:t>Tangjang</w:t>
      </w:r>
      <w:proofErr w:type="spellEnd"/>
      <w:r>
        <w:rPr>
          <w:rFonts w:ascii="Arial" w:hAnsi="Arial" w:cs="Arial"/>
          <w:bCs/>
          <w:iCs/>
          <w:sz w:val="20"/>
          <w:szCs w:val="20"/>
          <w:lang w:val="en-IN"/>
        </w:rPr>
        <w:t xml:space="preserve"> and Arunachalam, 2017), kitchen gardens (Salam et al., 2011) and herbal gardens (Kaushik and Saha, 2020). In Assam, these gardens are commonly referred to as ‘Bari’ by Assamese communities (Figure 1), and as ‘</w:t>
      </w:r>
      <w:proofErr w:type="spellStart"/>
      <w:r>
        <w:rPr>
          <w:rFonts w:ascii="Arial" w:hAnsi="Arial" w:cs="Arial"/>
          <w:bCs/>
          <w:iCs/>
          <w:sz w:val="20"/>
          <w:szCs w:val="20"/>
          <w:lang w:val="en-IN"/>
        </w:rPr>
        <w:t>Ghare</w:t>
      </w:r>
      <w:r>
        <w:rPr>
          <w:rFonts w:ascii="Arial" w:hAnsi="Arial" w:cs="Arial"/>
          <w:bCs/>
          <w:iCs/>
          <w:sz w:val="20"/>
          <w:szCs w:val="20"/>
          <w:lang w:val="en-IN"/>
        </w:rPr>
        <w:t>r</w:t>
      </w:r>
      <w:proofErr w:type="spellEnd"/>
      <w:r>
        <w:rPr>
          <w:rFonts w:ascii="Arial" w:hAnsi="Arial" w:cs="Arial"/>
          <w:bCs/>
          <w:iCs/>
          <w:sz w:val="20"/>
          <w:szCs w:val="20"/>
          <w:lang w:val="en-IN"/>
        </w:rPr>
        <w:t xml:space="preserve"> Bagan’ or ‘</w:t>
      </w:r>
      <w:proofErr w:type="spellStart"/>
      <w:r>
        <w:rPr>
          <w:rFonts w:ascii="Arial" w:hAnsi="Arial" w:cs="Arial"/>
          <w:bCs/>
          <w:iCs/>
          <w:sz w:val="20"/>
          <w:szCs w:val="20"/>
          <w:lang w:val="en-IN"/>
        </w:rPr>
        <w:t>Bisra</w:t>
      </w:r>
      <w:proofErr w:type="spellEnd"/>
      <w:r>
        <w:rPr>
          <w:rFonts w:ascii="Arial" w:hAnsi="Arial" w:cs="Arial"/>
          <w:bCs/>
          <w:iCs/>
          <w:sz w:val="20"/>
          <w:szCs w:val="20"/>
          <w:lang w:val="en-IN"/>
        </w:rPr>
        <w:t xml:space="preserve">’ by Bengalis in the Barak Valley (Sarma, 2015). Regional names for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also reflect rich ethnic and linguistic diversity - for instance, </w:t>
      </w:r>
      <w:r>
        <w:rPr>
          <w:rFonts w:ascii="Arial" w:hAnsi="Arial" w:cs="Arial"/>
          <w:bCs/>
          <w:i/>
          <w:iCs/>
          <w:sz w:val="20"/>
          <w:szCs w:val="20"/>
          <w:lang w:val="en-IN"/>
        </w:rPr>
        <w:t>Bari</w:t>
      </w:r>
      <w:r>
        <w:rPr>
          <w:rFonts w:ascii="Arial" w:hAnsi="Arial" w:cs="Arial"/>
          <w:bCs/>
          <w:iCs/>
          <w:sz w:val="20"/>
          <w:szCs w:val="20"/>
          <w:lang w:val="en-IN"/>
        </w:rPr>
        <w:t xml:space="preserve"> among </w:t>
      </w:r>
      <w:proofErr w:type="spellStart"/>
      <w:r>
        <w:rPr>
          <w:rFonts w:ascii="Arial" w:hAnsi="Arial" w:cs="Arial"/>
          <w:bCs/>
          <w:iCs/>
          <w:sz w:val="20"/>
          <w:szCs w:val="20"/>
          <w:lang w:val="en-IN"/>
        </w:rPr>
        <w:t>Kokboroks</w:t>
      </w:r>
      <w:proofErr w:type="spellEnd"/>
      <w:r>
        <w:rPr>
          <w:rFonts w:ascii="Arial" w:hAnsi="Arial" w:cs="Arial"/>
          <w:bCs/>
          <w:iCs/>
          <w:sz w:val="20"/>
          <w:szCs w:val="20"/>
          <w:lang w:val="en-IN"/>
        </w:rPr>
        <w:t xml:space="preserve"> in Tripura, </w:t>
      </w:r>
      <w:proofErr w:type="spellStart"/>
      <w:r>
        <w:rPr>
          <w:rFonts w:ascii="Arial" w:hAnsi="Arial" w:cs="Arial"/>
          <w:bCs/>
          <w:i/>
          <w:iCs/>
          <w:sz w:val="20"/>
          <w:szCs w:val="20"/>
          <w:lang w:val="en-IN"/>
        </w:rPr>
        <w:t>Intathingre</w:t>
      </w:r>
      <w:proofErr w:type="spellEnd"/>
      <w:r>
        <w:rPr>
          <w:rFonts w:ascii="Arial" w:hAnsi="Arial" w:cs="Arial"/>
          <w:bCs/>
          <w:iCs/>
          <w:sz w:val="20"/>
          <w:szCs w:val="20"/>
          <w:lang w:val="en-IN"/>
        </w:rPr>
        <w:t xml:space="preserve"> among the </w:t>
      </w:r>
      <w:proofErr w:type="spellStart"/>
      <w:r>
        <w:rPr>
          <w:rFonts w:ascii="Arial" w:hAnsi="Arial" w:cs="Arial"/>
          <w:bCs/>
          <w:iCs/>
          <w:sz w:val="20"/>
          <w:szCs w:val="20"/>
          <w:lang w:val="en-IN"/>
        </w:rPr>
        <w:t>Singpho</w:t>
      </w:r>
      <w:proofErr w:type="spellEnd"/>
      <w:r>
        <w:rPr>
          <w:rFonts w:ascii="Arial" w:hAnsi="Arial" w:cs="Arial"/>
          <w:bCs/>
          <w:iCs/>
          <w:sz w:val="20"/>
          <w:szCs w:val="20"/>
          <w:lang w:val="en-IN"/>
        </w:rPr>
        <w:t xml:space="preserve">, </w:t>
      </w:r>
      <w:proofErr w:type="spellStart"/>
      <w:r>
        <w:rPr>
          <w:rFonts w:ascii="Arial" w:hAnsi="Arial" w:cs="Arial"/>
          <w:bCs/>
          <w:i/>
          <w:iCs/>
          <w:sz w:val="20"/>
          <w:szCs w:val="20"/>
          <w:lang w:val="en-IN"/>
        </w:rPr>
        <w:t>Gimrouck</w:t>
      </w:r>
      <w:proofErr w:type="spellEnd"/>
      <w:r>
        <w:rPr>
          <w:rFonts w:ascii="Arial" w:hAnsi="Arial" w:cs="Arial"/>
          <w:bCs/>
          <w:iCs/>
          <w:sz w:val="20"/>
          <w:szCs w:val="20"/>
          <w:lang w:val="en-IN"/>
        </w:rPr>
        <w:t xml:space="preserve"> among the </w:t>
      </w:r>
      <w:proofErr w:type="spellStart"/>
      <w:r>
        <w:rPr>
          <w:rFonts w:ascii="Arial" w:hAnsi="Arial" w:cs="Arial"/>
          <w:bCs/>
          <w:iCs/>
          <w:sz w:val="20"/>
          <w:szCs w:val="20"/>
          <w:lang w:val="en-IN"/>
        </w:rPr>
        <w:t>Tangsa</w:t>
      </w:r>
      <w:proofErr w:type="spellEnd"/>
      <w:r>
        <w:rPr>
          <w:rFonts w:ascii="Arial" w:hAnsi="Arial" w:cs="Arial"/>
          <w:bCs/>
          <w:iCs/>
          <w:sz w:val="20"/>
          <w:szCs w:val="20"/>
          <w:lang w:val="en-IN"/>
        </w:rPr>
        <w:t xml:space="preserve">, </w:t>
      </w:r>
      <w:proofErr w:type="spellStart"/>
      <w:r>
        <w:rPr>
          <w:rFonts w:ascii="Arial" w:hAnsi="Arial" w:cs="Arial"/>
          <w:bCs/>
          <w:i/>
          <w:iCs/>
          <w:sz w:val="20"/>
          <w:szCs w:val="20"/>
          <w:lang w:val="en-IN"/>
        </w:rPr>
        <w:t>N</w:t>
      </w:r>
      <w:r>
        <w:rPr>
          <w:rFonts w:ascii="Arial" w:hAnsi="Arial" w:cs="Arial"/>
          <w:bCs/>
          <w:i/>
          <w:iCs/>
          <w:sz w:val="20"/>
          <w:szCs w:val="20"/>
          <w:lang w:val="en-IN"/>
        </w:rPr>
        <w:t>olaihaphai</w:t>
      </w:r>
      <w:proofErr w:type="spellEnd"/>
      <w:r>
        <w:rPr>
          <w:rFonts w:ascii="Arial" w:hAnsi="Arial" w:cs="Arial"/>
          <w:bCs/>
          <w:iCs/>
          <w:sz w:val="20"/>
          <w:szCs w:val="20"/>
          <w:lang w:val="en-IN"/>
        </w:rPr>
        <w:t xml:space="preserve"> among the </w:t>
      </w:r>
      <w:proofErr w:type="spellStart"/>
      <w:r>
        <w:rPr>
          <w:rFonts w:ascii="Arial" w:hAnsi="Arial" w:cs="Arial"/>
          <w:bCs/>
          <w:iCs/>
          <w:sz w:val="20"/>
          <w:szCs w:val="20"/>
          <w:lang w:val="en-IN"/>
        </w:rPr>
        <w:t>Dimasa</w:t>
      </w:r>
      <w:proofErr w:type="spellEnd"/>
      <w:r>
        <w:rPr>
          <w:rFonts w:ascii="Arial" w:hAnsi="Arial" w:cs="Arial"/>
          <w:bCs/>
          <w:iCs/>
          <w:sz w:val="20"/>
          <w:szCs w:val="20"/>
          <w:lang w:val="en-IN"/>
        </w:rPr>
        <w:t xml:space="preserve">, </w:t>
      </w:r>
      <w:r>
        <w:rPr>
          <w:rFonts w:ascii="Arial" w:hAnsi="Arial" w:cs="Arial"/>
          <w:bCs/>
          <w:i/>
          <w:iCs/>
          <w:sz w:val="20"/>
          <w:szCs w:val="20"/>
          <w:lang w:val="en-IN"/>
        </w:rPr>
        <w:t>Kilou</w:t>
      </w:r>
      <w:r>
        <w:rPr>
          <w:rFonts w:ascii="Arial" w:hAnsi="Arial" w:cs="Arial"/>
          <w:bCs/>
          <w:iCs/>
          <w:sz w:val="20"/>
          <w:szCs w:val="20"/>
          <w:lang w:val="en-IN"/>
        </w:rPr>
        <w:t xml:space="preserve"> among the Zeme, </w:t>
      </w:r>
      <w:r>
        <w:rPr>
          <w:rFonts w:ascii="Arial" w:hAnsi="Arial" w:cs="Arial"/>
          <w:bCs/>
          <w:i/>
          <w:iCs/>
          <w:sz w:val="20"/>
          <w:szCs w:val="20"/>
          <w:lang w:val="en-IN"/>
        </w:rPr>
        <w:t>Kho</w:t>
      </w:r>
      <w:r>
        <w:rPr>
          <w:rFonts w:ascii="Arial" w:hAnsi="Arial" w:cs="Arial"/>
          <w:bCs/>
          <w:iCs/>
          <w:sz w:val="20"/>
          <w:szCs w:val="20"/>
          <w:lang w:val="en-IN"/>
        </w:rPr>
        <w:t xml:space="preserve"> among the Kuki, </w:t>
      </w:r>
      <w:r>
        <w:rPr>
          <w:rFonts w:ascii="Arial" w:hAnsi="Arial" w:cs="Arial"/>
          <w:bCs/>
          <w:i/>
          <w:iCs/>
          <w:sz w:val="20"/>
          <w:szCs w:val="20"/>
          <w:lang w:val="en-IN"/>
        </w:rPr>
        <w:t>Khou</w:t>
      </w:r>
      <w:r>
        <w:rPr>
          <w:rFonts w:ascii="Arial" w:hAnsi="Arial" w:cs="Arial"/>
          <w:bCs/>
          <w:iCs/>
          <w:sz w:val="20"/>
          <w:szCs w:val="20"/>
          <w:lang w:val="en-IN"/>
        </w:rPr>
        <w:t xml:space="preserve"> among the Hmar, and </w:t>
      </w:r>
      <w:r>
        <w:rPr>
          <w:rFonts w:ascii="Arial" w:hAnsi="Arial" w:cs="Arial"/>
          <w:bCs/>
          <w:i/>
          <w:iCs/>
          <w:sz w:val="20"/>
          <w:szCs w:val="20"/>
          <w:lang w:val="en-IN"/>
        </w:rPr>
        <w:t>Shong</w:t>
      </w:r>
      <w:r>
        <w:rPr>
          <w:rFonts w:ascii="Arial" w:hAnsi="Arial" w:cs="Arial"/>
          <w:bCs/>
          <w:iCs/>
          <w:sz w:val="20"/>
          <w:szCs w:val="20"/>
          <w:lang w:val="en-IN"/>
        </w:rPr>
        <w:t xml:space="preserve"> among the Jaintia. Other regional terms include </w:t>
      </w:r>
      <w:proofErr w:type="spellStart"/>
      <w:r>
        <w:rPr>
          <w:rFonts w:ascii="Arial" w:hAnsi="Arial" w:cs="Arial"/>
          <w:bCs/>
          <w:i/>
          <w:iCs/>
          <w:sz w:val="20"/>
          <w:szCs w:val="20"/>
          <w:lang w:val="en-IN"/>
        </w:rPr>
        <w:t>Baluh</w:t>
      </w:r>
      <w:proofErr w:type="spellEnd"/>
      <w:r>
        <w:rPr>
          <w:rFonts w:ascii="Arial" w:hAnsi="Arial" w:cs="Arial"/>
          <w:bCs/>
          <w:iCs/>
          <w:sz w:val="20"/>
          <w:szCs w:val="20"/>
          <w:lang w:val="en-IN"/>
        </w:rPr>
        <w:t xml:space="preserve"> (</w:t>
      </w:r>
      <w:proofErr w:type="spellStart"/>
      <w:r>
        <w:rPr>
          <w:rFonts w:ascii="Arial" w:hAnsi="Arial" w:cs="Arial"/>
          <w:bCs/>
          <w:iCs/>
          <w:sz w:val="20"/>
          <w:szCs w:val="20"/>
          <w:lang w:val="en-IN"/>
        </w:rPr>
        <w:t>Apatanis</w:t>
      </w:r>
      <w:proofErr w:type="spellEnd"/>
      <w:r>
        <w:rPr>
          <w:rFonts w:ascii="Arial" w:hAnsi="Arial" w:cs="Arial"/>
          <w:bCs/>
          <w:iCs/>
          <w:sz w:val="20"/>
          <w:szCs w:val="20"/>
          <w:lang w:val="en-IN"/>
        </w:rPr>
        <w:t xml:space="preserve">), </w:t>
      </w:r>
      <w:proofErr w:type="spellStart"/>
      <w:r>
        <w:rPr>
          <w:rFonts w:ascii="Arial" w:hAnsi="Arial" w:cs="Arial"/>
          <w:bCs/>
          <w:i/>
          <w:iCs/>
          <w:sz w:val="20"/>
          <w:szCs w:val="20"/>
          <w:lang w:val="en-IN"/>
        </w:rPr>
        <w:t>Ghar</w:t>
      </w:r>
      <w:proofErr w:type="spellEnd"/>
      <w:r>
        <w:rPr>
          <w:rFonts w:ascii="Arial" w:hAnsi="Arial" w:cs="Arial"/>
          <w:bCs/>
          <w:i/>
          <w:iCs/>
          <w:sz w:val="20"/>
          <w:szCs w:val="20"/>
          <w:lang w:val="en-IN"/>
        </w:rPr>
        <w:t xml:space="preserve"> </w:t>
      </w:r>
      <w:proofErr w:type="spellStart"/>
      <w:r>
        <w:rPr>
          <w:rFonts w:ascii="Arial" w:hAnsi="Arial" w:cs="Arial"/>
          <w:bCs/>
          <w:i/>
          <w:iCs/>
          <w:sz w:val="20"/>
          <w:szCs w:val="20"/>
          <w:lang w:val="en-IN"/>
        </w:rPr>
        <w:t>Bagaicha</w:t>
      </w:r>
      <w:proofErr w:type="spellEnd"/>
      <w:r>
        <w:rPr>
          <w:rFonts w:ascii="Arial" w:hAnsi="Arial" w:cs="Arial"/>
          <w:bCs/>
          <w:iCs/>
          <w:sz w:val="20"/>
          <w:szCs w:val="20"/>
          <w:lang w:val="en-IN"/>
        </w:rPr>
        <w:t xml:space="preserve"> (Sikkimese), </w:t>
      </w:r>
      <w:proofErr w:type="spellStart"/>
      <w:r>
        <w:rPr>
          <w:rFonts w:ascii="Arial" w:hAnsi="Arial" w:cs="Arial"/>
          <w:bCs/>
          <w:i/>
          <w:iCs/>
          <w:sz w:val="20"/>
          <w:szCs w:val="20"/>
          <w:lang w:val="en-IN"/>
        </w:rPr>
        <w:t>Inghols</w:t>
      </w:r>
      <w:proofErr w:type="spellEnd"/>
      <w:r>
        <w:rPr>
          <w:rFonts w:ascii="Arial" w:hAnsi="Arial" w:cs="Arial"/>
          <w:bCs/>
          <w:iCs/>
          <w:sz w:val="20"/>
          <w:szCs w:val="20"/>
          <w:lang w:val="en-IN"/>
        </w:rPr>
        <w:t xml:space="preserve"> (</w:t>
      </w:r>
      <w:proofErr w:type="spellStart"/>
      <w:r>
        <w:rPr>
          <w:rFonts w:ascii="Arial" w:hAnsi="Arial" w:cs="Arial"/>
          <w:bCs/>
          <w:iCs/>
          <w:sz w:val="20"/>
          <w:szCs w:val="20"/>
          <w:lang w:val="en-IN"/>
        </w:rPr>
        <w:t>Meiteis</w:t>
      </w:r>
      <w:proofErr w:type="spellEnd"/>
      <w:r>
        <w:rPr>
          <w:rFonts w:ascii="Arial" w:hAnsi="Arial" w:cs="Arial"/>
          <w:bCs/>
          <w:iCs/>
          <w:sz w:val="20"/>
          <w:szCs w:val="20"/>
          <w:lang w:val="en-IN"/>
        </w:rPr>
        <w:t xml:space="preserve">), and </w:t>
      </w:r>
      <w:proofErr w:type="spellStart"/>
      <w:r>
        <w:rPr>
          <w:rFonts w:ascii="Arial" w:hAnsi="Arial" w:cs="Arial"/>
          <w:bCs/>
          <w:i/>
          <w:iCs/>
          <w:sz w:val="20"/>
          <w:szCs w:val="20"/>
          <w:lang w:val="en-IN"/>
        </w:rPr>
        <w:t>Chuktuah</w:t>
      </w:r>
      <w:proofErr w:type="spellEnd"/>
      <w:r>
        <w:rPr>
          <w:rFonts w:ascii="Arial" w:hAnsi="Arial" w:cs="Arial"/>
          <w:bCs/>
          <w:i/>
          <w:iCs/>
          <w:sz w:val="20"/>
          <w:szCs w:val="20"/>
          <w:lang w:val="en-IN"/>
        </w:rPr>
        <w:t xml:space="preserve"> Huan</w:t>
      </w:r>
      <w:r>
        <w:rPr>
          <w:rFonts w:ascii="Arial" w:hAnsi="Arial" w:cs="Arial"/>
          <w:bCs/>
          <w:iCs/>
          <w:sz w:val="20"/>
          <w:szCs w:val="20"/>
          <w:lang w:val="en-IN"/>
        </w:rPr>
        <w:t xml:space="preserve"> (</w:t>
      </w:r>
      <w:proofErr w:type="spellStart"/>
      <w:r>
        <w:rPr>
          <w:rFonts w:ascii="Arial" w:hAnsi="Arial" w:cs="Arial"/>
          <w:bCs/>
          <w:iCs/>
          <w:sz w:val="20"/>
          <w:szCs w:val="20"/>
          <w:lang w:val="en-IN"/>
        </w:rPr>
        <w:t>Mizos</w:t>
      </w:r>
      <w:proofErr w:type="spellEnd"/>
      <w:r>
        <w:rPr>
          <w:rFonts w:ascii="Arial" w:hAnsi="Arial" w:cs="Arial"/>
          <w:bCs/>
          <w:iCs/>
          <w:sz w:val="20"/>
          <w:szCs w:val="20"/>
          <w:lang w:val="en-IN"/>
        </w:rPr>
        <w:t>) (Devi and Das, 2</w:t>
      </w:r>
      <w:r>
        <w:rPr>
          <w:rFonts w:ascii="Arial" w:hAnsi="Arial" w:cs="Arial"/>
          <w:bCs/>
          <w:iCs/>
          <w:sz w:val="20"/>
          <w:szCs w:val="20"/>
          <w:lang w:val="en-IN"/>
        </w:rPr>
        <w:t>010; Sahoo et al., 2018).</w:t>
      </w:r>
    </w:p>
    <w:p w14:paraId="1ABC9342" w14:textId="77777777" w:rsidR="00D108FA" w:rsidRDefault="00D108FA">
      <w:pPr>
        <w:spacing w:after="0" w:line="240" w:lineRule="auto"/>
        <w:jc w:val="both"/>
        <w:rPr>
          <w:rFonts w:ascii="Arial" w:hAnsi="Arial" w:cs="Arial"/>
          <w:bCs/>
          <w:iCs/>
          <w:sz w:val="20"/>
          <w:szCs w:val="20"/>
          <w:lang w:val="en-IN"/>
        </w:rPr>
      </w:pPr>
    </w:p>
    <w:p w14:paraId="1FCDAB33" w14:textId="77777777" w:rsidR="00D108FA" w:rsidRDefault="00E82DA6">
      <w:pPr>
        <w:spacing w:after="0" w:line="360" w:lineRule="auto"/>
        <w:jc w:val="center"/>
        <w:rPr>
          <w:rFonts w:ascii="Arial" w:hAnsi="Arial" w:cs="Arial"/>
          <w:bCs/>
          <w:iCs/>
          <w:sz w:val="20"/>
          <w:szCs w:val="20"/>
          <w:lang w:val="en-IN"/>
        </w:rPr>
      </w:pPr>
      <w:r>
        <w:rPr>
          <w:noProof/>
        </w:rPr>
        <w:lastRenderedPageBreak/>
        <w:drawing>
          <wp:inline distT="0" distB="0" distL="0" distR="0" wp14:anchorId="5512CEB7" wp14:editId="4D9137AB">
            <wp:extent cx="4836795" cy="3346450"/>
            <wp:effectExtent l="0" t="0" r="0" b="0"/>
            <wp:docPr id="71318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4264"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37176" cy="3346704"/>
                    </a:xfrm>
                    <a:prstGeom prst="rect">
                      <a:avLst/>
                    </a:prstGeom>
                    <a:noFill/>
                    <a:ln>
                      <a:noFill/>
                    </a:ln>
                  </pic:spPr>
                </pic:pic>
              </a:graphicData>
            </a:graphic>
          </wp:inline>
        </w:drawing>
      </w:r>
    </w:p>
    <w:p w14:paraId="302D8FBB" w14:textId="77777777" w:rsidR="00D108FA" w:rsidRDefault="00E82DA6">
      <w:pPr>
        <w:spacing w:after="0" w:line="360" w:lineRule="auto"/>
        <w:jc w:val="center"/>
        <w:rPr>
          <w:sz w:val="20"/>
          <w:szCs w:val="20"/>
        </w:rPr>
      </w:pPr>
      <w:r>
        <w:rPr>
          <w:rFonts w:ascii="Arial" w:hAnsi="Arial" w:cs="Arial"/>
          <w:b/>
          <w:iCs/>
          <w:sz w:val="20"/>
          <w:szCs w:val="20"/>
          <w:lang w:val="en-IN"/>
        </w:rPr>
        <w:t>Figure 1:</w:t>
      </w:r>
      <w:r>
        <w:rPr>
          <w:rFonts w:ascii="Arial" w:hAnsi="Arial" w:cs="Arial"/>
          <w:bCs/>
          <w:iCs/>
          <w:sz w:val="20"/>
          <w:szCs w:val="20"/>
          <w:lang w:val="en-IN"/>
        </w:rPr>
        <w:t xml:space="preserve"> Traditional </w:t>
      </w:r>
      <w:proofErr w:type="spellStart"/>
      <w:r>
        <w:rPr>
          <w:rFonts w:ascii="Arial" w:hAnsi="Arial" w:cs="Arial"/>
          <w:bCs/>
          <w:iCs/>
          <w:sz w:val="20"/>
          <w:szCs w:val="20"/>
          <w:lang w:val="en-IN"/>
        </w:rPr>
        <w:t>homegarden</w:t>
      </w:r>
      <w:proofErr w:type="spellEnd"/>
      <w:r>
        <w:rPr>
          <w:rFonts w:ascii="Arial" w:hAnsi="Arial" w:cs="Arial"/>
          <w:bCs/>
          <w:iCs/>
          <w:sz w:val="20"/>
          <w:szCs w:val="20"/>
          <w:lang w:val="en-IN"/>
        </w:rPr>
        <w:t xml:space="preserve"> landscape in Assam (</w:t>
      </w:r>
      <w:proofErr w:type="spellStart"/>
      <w:r>
        <w:rPr>
          <w:rFonts w:ascii="Arial" w:hAnsi="Arial" w:cs="Arial"/>
          <w:bCs/>
          <w:iCs/>
          <w:sz w:val="20"/>
          <w:szCs w:val="20"/>
          <w:lang w:val="en-IN"/>
        </w:rPr>
        <w:t>Sribhumi</w:t>
      </w:r>
      <w:proofErr w:type="spellEnd"/>
      <w:r>
        <w:rPr>
          <w:rFonts w:ascii="Arial" w:hAnsi="Arial" w:cs="Arial"/>
          <w:bCs/>
          <w:iCs/>
          <w:sz w:val="20"/>
          <w:szCs w:val="20"/>
          <w:lang w:val="en-IN"/>
        </w:rPr>
        <w:t xml:space="preserve">, erstwhile </w:t>
      </w:r>
      <w:proofErr w:type="spellStart"/>
      <w:r>
        <w:rPr>
          <w:rFonts w:ascii="Arial" w:hAnsi="Arial" w:cs="Arial"/>
          <w:bCs/>
          <w:iCs/>
          <w:sz w:val="20"/>
          <w:szCs w:val="20"/>
          <w:lang w:val="en-IN"/>
        </w:rPr>
        <w:t>Karimganj</w:t>
      </w:r>
      <w:proofErr w:type="spellEnd"/>
      <w:r>
        <w:rPr>
          <w:rFonts w:ascii="Arial" w:hAnsi="Arial" w:cs="Arial"/>
          <w:bCs/>
          <w:iCs/>
          <w:sz w:val="20"/>
          <w:szCs w:val="20"/>
          <w:lang w:val="en-IN"/>
        </w:rPr>
        <w:t xml:space="preserve"> district)</w:t>
      </w:r>
      <w:r>
        <w:rPr>
          <w:sz w:val="20"/>
          <w:szCs w:val="20"/>
        </w:rPr>
        <w:t xml:space="preserve"> </w:t>
      </w:r>
    </w:p>
    <w:p w14:paraId="2B65872E" w14:textId="77777777" w:rsidR="00D108FA" w:rsidRDefault="00D108FA">
      <w:pPr>
        <w:spacing w:after="0" w:line="240" w:lineRule="auto"/>
        <w:jc w:val="both"/>
        <w:rPr>
          <w:rFonts w:ascii="Arial" w:hAnsi="Arial" w:cs="Arial"/>
          <w:bCs/>
          <w:iCs/>
          <w:sz w:val="20"/>
          <w:szCs w:val="20"/>
          <w:lang w:val="en-IN"/>
        </w:rPr>
      </w:pPr>
    </w:p>
    <w:p w14:paraId="2FE63994" w14:textId="77777777" w:rsidR="00D108FA" w:rsidRDefault="00E82DA6">
      <w:pPr>
        <w:spacing w:after="0" w:line="240" w:lineRule="auto"/>
        <w:jc w:val="both"/>
        <w:rPr>
          <w:rFonts w:ascii="Arial" w:hAnsi="Arial" w:cs="Arial"/>
          <w:bCs/>
          <w:iCs/>
          <w:sz w:val="20"/>
          <w:szCs w:val="20"/>
          <w:lang w:val="en-IN"/>
        </w:rPr>
      </w:pP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typically suited to warm climatic regions with adequate rainfall, are among the oldest forms of managed agroforestry systems and are characterized by high biological diversity (Kumar and Nair, 2004; Mohan et al., 2007). These systems are typically mainta</w:t>
      </w:r>
      <w:r>
        <w:rPr>
          <w:rFonts w:ascii="Arial" w:hAnsi="Arial" w:cs="Arial"/>
          <w:bCs/>
          <w:iCs/>
          <w:sz w:val="20"/>
          <w:szCs w:val="20"/>
          <w:lang w:val="en-IN"/>
        </w:rPr>
        <w:t xml:space="preserve">ined using family labour, as the average size of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is generally less than 0.5 hectares (Fernandes &amp; Nair, 1986). However, </w:t>
      </w:r>
      <w:proofErr w:type="spellStart"/>
      <w:r>
        <w:rPr>
          <w:rFonts w:ascii="Arial" w:hAnsi="Arial" w:cs="Arial"/>
          <w:bCs/>
          <w:iCs/>
          <w:sz w:val="20"/>
          <w:szCs w:val="20"/>
          <w:lang w:val="en-IN"/>
        </w:rPr>
        <w:t>Jeeceelee</w:t>
      </w:r>
      <w:proofErr w:type="spellEnd"/>
      <w:r>
        <w:rPr>
          <w:rFonts w:ascii="Arial" w:hAnsi="Arial" w:cs="Arial"/>
          <w:bCs/>
          <w:iCs/>
          <w:sz w:val="20"/>
          <w:szCs w:val="20"/>
          <w:lang w:val="en-IN"/>
        </w:rPr>
        <w:t xml:space="preserve"> and Sahoo (2015) reported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in Mizoram ranging from 0.025 to 1.5 hectares. In the </w:t>
      </w:r>
      <w:proofErr w:type="spellStart"/>
      <w:r>
        <w:rPr>
          <w:rFonts w:ascii="Arial" w:hAnsi="Arial" w:cs="Arial"/>
          <w:bCs/>
          <w:iCs/>
          <w:sz w:val="20"/>
          <w:szCs w:val="20"/>
          <w:lang w:val="en-IN"/>
        </w:rPr>
        <w:t>Papum</w:t>
      </w:r>
      <w:proofErr w:type="spellEnd"/>
      <w:r>
        <w:rPr>
          <w:rFonts w:ascii="Arial" w:hAnsi="Arial" w:cs="Arial"/>
          <w:bCs/>
          <w:iCs/>
          <w:sz w:val="20"/>
          <w:szCs w:val="20"/>
          <w:lang w:val="en-IN"/>
        </w:rPr>
        <w:t xml:space="preserve"> Pare district of</w:t>
      </w:r>
      <w:r>
        <w:rPr>
          <w:rFonts w:ascii="Arial" w:hAnsi="Arial" w:cs="Arial"/>
          <w:bCs/>
          <w:iCs/>
          <w:sz w:val="20"/>
          <w:szCs w:val="20"/>
          <w:lang w:val="en-IN"/>
        </w:rPr>
        <w:t xml:space="preserve"> Arunachal Pradesh, </w:t>
      </w:r>
      <w:proofErr w:type="spellStart"/>
      <w:r>
        <w:rPr>
          <w:rFonts w:ascii="Arial" w:hAnsi="Arial" w:cs="Arial"/>
          <w:bCs/>
          <w:iCs/>
          <w:sz w:val="20"/>
          <w:szCs w:val="20"/>
          <w:lang w:val="en-IN"/>
        </w:rPr>
        <w:t>Zimik</w:t>
      </w:r>
      <w:proofErr w:type="spellEnd"/>
      <w:r>
        <w:rPr>
          <w:rFonts w:ascii="Arial" w:hAnsi="Arial" w:cs="Arial"/>
          <w:bCs/>
          <w:iCs/>
          <w:sz w:val="20"/>
          <w:szCs w:val="20"/>
          <w:lang w:val="en-IN"/>
        </w:rPr>
        <w:t xml:space="preserve"> et al. (2012) documented 205 plant species in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a number considerably higher than the 57 species reported later by </w:t>
      </w:r>
      <w:proofErr w:type="spellStart"/>
      <w:r>
        <w:rPr>
          <w:rFonts w:ascii="Arial" w:hAnsi="Arial" w:cs="Arial"/>
          <w:bCs/>
          <w:iCs/>
          <w:sz w:val="20"/>
          <w:szCs w:val="20"/>
          <w:lang w:val="en-IN"/>
        </w:rPr>
        <w:t>Tangjang</w:t>
      </w:r>
      <w:proofErr w:type="spellEnd"/>
      <w:r>
        <w:rPr>
          <w:rFonts w:ascii="Arial" w:hAnsi="Arial" w:cs="Arial"/>
          <w:bCs/>
          <w:iCs/>
          <w:sz w:val="20"/>
          <w:szCs w:val="20"/>
          <w:lang w:val="en-IN"/>
        </w:rPr>
        <w:t xml:space="preserve"> and Arunachalam (2017). A similar variation was observed in the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of Lakhimpur distri</w:t>
      </w:r>
      <w:r>
        <w:rPr>
          <w:rFonts w:ascii="Arial" w:hAnsi="Arial" w:cs="Arial"/>
          <w:bCs/>
          <w:iCs/>
          <w:sz w:val="20"/>
          <w:szCs w:val="20"/>
          <w:lang w:val="en-IN"/>
        </w:rPr>
        <w:t xml:space="preserve">ct, Assam, where </w:t>
      </w:r>
      <w:proofErr w:type="spellStart"/>
      <w:r>
        <w:rPr>
          <w:rFonts w:ascii="Arial" w:hAnsi="Arial" w:cs="Arial"/>
          <w:bCs/>
          <w:iCs/>
          <w:sz w:val="20"/>
          <w:szCs w:val="20"/>
          <w:lang w:val="en-IN"/>
        </w:rPr>
        <w:t>Zimik</w:t>
      </w:r>
      <w:proofErr w:type="spellEnd"/>
      <w:r>
        <w:rPr>
          <w:rFonts w:ascii="Arial" w:hAnsi="Arial" w:cs="Arial"/>
          <w:bCs/>
          <w:iCs/>
          <w:sz w:val="20"/>
          <w:szCs w:val="20"/>
          <w:lang w:val="en-IN"/>
        </w:rPr>
        <w:t xml:space="preserve"> et al. (2012) documented 230 species, compared to 46 species reported by </w:t>
      </w:r>
      <w:proofErr w:type="spellStart"/>
      <w:r>
        <w:rPr>
          <w:rFonts w:ascii="Arial" w:hAnsi="Arial" w:cs="Arial"/>
          <w:bCs/>
          <w:iCs/>
          <w:sz w:val="20"/>
          <w:szCs w:val="20"/>
          <w:lang w:val="en-IN"/>
        </w:rPr>
        <w:t>Tangjang</w:t>
      </w:r>
      <w:proofErr w:type="spellEnd"/>
      <w:r>
        <w:rPr>
          <w:rFonts w:ascii="Arial" w:hAnsi="Arial" w:cs="Arial"/>
          <w:bCs/>
          <w:iCs/>
          <w:sz w:val="20"/>
          <w:szCs w:val="20"/>
          <w:lang w:val="en-IN"/>
        </w:rPr>
        <w:t xml:space="preserve"> and Arunachalam (2017).</w:t>
      </w:r>
    </w:p>
    <w:p w14:paraId="2E3BB989" w14:textId="77777777" w:rsidR="00D108FA" w:rsidRDefault="00D108FA">
      <w:pPr>
        <w:spacing w:after="0" w:line="240" w:lineRule="auto"/>
        <w:jc w:val="both"/>
        <w:rPr>
          <w:rFonts w:ascii="Arial" w:hAnsi="Arial" w:cs="Arial"/>
          <w:bCs/>
          <w:iCs/>
          <w:sz w:val="20"/>
          <w:szCs w:val="20"/>
          <w:lang w:val="en-IN"/>
        </w:rPr>
      </w:pPr>
    </w:p>
    <w:p w14:paraId="44497D48" w14:textId="77777777" w:rsidR="00D108FA" w:rsidRDefault="00E82DA6">
      <w:pPr>
        <w:spacing w:after="0" w:line="240" w:lineRule="auto"/>
        <w:jc w:val="both"/>
        <w:rPr>
          <w:rFonts w:ascii="Arial" w:hAnsi="Arial" w:cs="Arial"/>
          <w:bCs/>
          <w:iCs/>
          <w:sz w:val="20"/>
          <w:szCs w:val="20"/>
          <w:lang w:val="en-IN"/>
        </w:rPr>
      </w:pPr>
      <w:r>
        <w:rPr>
          <w:rFonts w:ascii="Arial" w:hAnsi="Arial" w:cs="Arial"/>
          <w:bCs/>
          <w:iCs/>
          <w:sz w:val="20"/>
          <w:szCs w:val="20"/>
          <w:lang w:val="en-IN"/>
        </w:rPr>
        <w:t xml:space="preserve">In the districts of </w:t>
      </w:r>
      <w:proofErr w:type="spellStart"/>
      <w:r>
        <w:rPr>
          <w:rFonts w:ascii="Arial" w:hAnsi="Arial" w:cs="Arial"/>
          <w:bCs/>
          <w:iCs/>
          <w:sz w:val="20"/>
          <w:szCs w:val="20"/>
          <w:lang w:val="en-IN"/>
        </w:rPr>
        <w:t>Cachar</w:t>
      </w:r>
      <w:proofErr w:type="spellEnd"/>
      <w:r>
        <w:rPr>
          <w:rFonts w:ascii="Arial" w:hAnsi="Arial" w:cs="Arial"/>
          <w:bCs/>
          <w:iCs/>
          <w:sz w:val="20"/>
          <w:szCs w:val="20"/>
          <w:lang w:val="en-IN"/>
        </w:rPr>
        <w:t xml:space="preserve">, </w:t>
      </w:r>
      <w:proofErr w:type="spellStart"/>
      <w:r>
        <w:rPr>
          <w:rFonts w:ascii="Arial" w:hAnsi="Arial" w:cs="Arial"/>
          <w:bCs/>
          <w:iCs/>
          <w:sz w:val="20"/>
          <w:szCs w:val="20"/>
          <w:lang w:val="en-IN"/>
        </w:rPr>
        <w:t>Hailakandi</w:t>
      </w:r>
      <w:proofErr w:type="spellEnd"/>
      <w:r>
        <w:rPr>
          <w:rFonts w:ascii="Arial" w:hAnsi="Arial" w:cs="Arial"/>
          <w:bCs/>
          <w:iCs/>
          <w:sz w:val="20"/>
          <w:szCs w:val="20"/>
          <w:lang w:val="en-IN"/>
        </w:rPr>
        <w:t xml:space="preserve">, and </w:t>
      </w:r>
      <w:proofErr w:type="spellStart"/>
      <w:r>
        <w:rPr>
          <w:rFonts w:ascii="Arial" w:hAnsi="Arial" w:cs="Arial"/>
          <w:bCs/>
          <w:iCs/>
          <w:sz w:val="20"/>
          <w:szCs w:val="20"/>
          <w:lang w:val="en-IN"/>
        </w:rPr>
        <w:t>Karimganj</w:t>
      </w:r>
      <w:proofErr w:type="spellEnd"/>
      <w:r>
        <w:rPr>
          <w:rFonts w:ascii="Arial" w:hAnsi="Arial" w:cs="Arial"/>
          <w:bCs/>
          <w:iCs/>
          <w:sz w:val="20"/>
          <w:szCs w:val="20"/>
          <w:lang w:val="en-IN"/>
        </w:rPr>
        <w:t xml:space="preserve"> in Assam, Das and Das (2005) documented as many as 161 plant species. In</w:t>
      </w:r>
      <w:r>
        <w:rPr>
          <w:rFonts w:ascii="Arial" w:hAnsi="Arial" w:cs="Arial"/>
          <w:bCs/>
          <w:iCs/>
          <w:sz w:val="20"/>
          <w:szCs w:val="20"/>
          <w:lang w:val="en-IN"/>
        </w:rPr>
        <w:t xml:space="preserve"> </w:t>
      </w:r>
      <w:proofErr w:type="spellStart"/>
      <w:r>
        <w:rPr>
          <w:rFonts w:ascii="Arial" w:hAnsi="Arial" w:cs="Arial"/>
          <w:bCs/>
          <w:iCs/>
          <w:sz w:val="20"/>
          <w:szCs w:val="20"/>
          <w:lang w:val="en-IN"/>
        </w:rPr>
        <w:t>Kamrup</w:t>
      </w:r>
      <w:proofErr w:type="spellEnd"/>
      <w:r>
        <w:rPr>
          <w:rFonts w:ascii="Arial" w:hAnsi="Arial" w:cs="Arial"/>
          <w:bCs/>
          <w:iCs/>
          <w:sz w:val="20"/>
          <w:szCs w:val="20"/>
          <w:lang w:val="en-IN"/>
        </w:rPr>
        <w:t xml:space="preserve"> district, 217 species were recorded by Goswami et al. (2011). A significantly higher diversity - 323 species - was observed in the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of </w:t>
      </w:r>
      <w:proofErr w:type="spellStart"/>
      <w:r>
        <w:rPr>
          <w:rFonts w:ascii="Arial" w:hAnsi="Arial" w:cs="Arial"/>
          <w:bCs/>
          <w:iCs/>
          <w:sz w:val="20"/>
          <w:szCs w:val="20"/>
          <w:lang w:val="en-IN"/>
        </w:rPr>
        <w:t>Golaghat</w:t>
      </w:r>
      <w:proofErr w:type="spellEnd"/>
      <w:r>
        <w:rPr>
          <w:rFonts w:ascii="Arial" w:hAnsi="Arial" w:cs="Arial"/>
          <w:bCs/>
          <w:iCs/>
          <w:sz w:val="20"/>
          <w:szCs w:val="20"/>
          <w:lang w:val="en-IN"/>
        </w:rPr>
        <w:t xml:space="preserve"> and Jorhat districts, where </w:t>
      </w:r>
      <w:r>
        <w:rPr>
          <w:rFonts w:ascii="Arial" w:hAnsi="Arial" w:cs="Arial"/>
          <w:bCs/>
          <w:i/>
          <w:iCs/>
          <w:sz w:val="20"/>
          <w:szCs w:val="20"/>
          <w:lang w:val="en-IN"/>
        </w:rPr>
        <w:t xml:space="preserve">Aquilaria </w:t>
      </w:r>
      <w:proofErr w:type="spellStart"/>
      <w:r>
        <w:rPr>
          <w:rFonts w:ascii="Arial" w:hAnsi="Arial" w:cs="Arial"/>
          <w:bCs/>
          <w:i/>
          <w:iCs/>
          <w:sz w:val="20"/>
          <w:szCs w:val="20"/>
          <w:lang w:val="en-IN"/>
        </w:rPr>
        <w:t>malaccensis</w:t>
      </w:r>
      <w:proofErr w:type="spellEnd"/>
      <w:r>
        <w:rPr>
          <w:rFonts w:ascii="Arial" w:hAnsi="Arial" w:cs="Arial"/>
          <w:bCs/>
          <w:iCs/>
          <w:sz w:val="20"/>
          <w:szCs w:val="20"/>
          <w:lang w:val="en-IN"/>
        </w:rPr>
        <w:t xml:space="preserve"> emerged as the dominant tree species (Saiki</w:t>
      </w:r>
      <w:r>
        <w:rPr>
          <w:rFonts w:ascii="Arial" w:hAnsi="Arial" w:cs="Arial"/>
          <w:bCs/>
          <w:iCs/>
          <w:sz w:val="20"/>
          <w:szCs w:val="20"/>
          <w:lang w:val="en-IN"/>
        </w:rPr>
        <w:t>a and Khan, 2014).</w:t>
      </w:r>
    </w:p>
    <w:p w14:paraId="52581C0E" w14:textId="77777777" w:rsidR="00D108FA" w:rsidRDefault="00D108FA">
      <w:pPr>
        <w:spacing w:after="0" w:line="240" w:lineRule="auto"/>
        <w:jc w:val="both"/>
        <w:rPr>
          <w:rFonts w:ascii="Arial" w:hAnsi="Arial" w:cs="Arial"/>
          <w:bCs/>
          <w:iCs/>
          <w:sz w:val="20"/>
          <w:szCs w:val="20"/>
          <w:lang w:val="en-IN"/>
        </w:rPr>
      </w:pPr>
    </w:p>
    <w:p w14:paraId="4119281D" w14:textId="77777777" w:rsidR="00D108FA" w:rsidRDefault="00E82DA6">
      <w:pPr>
        <w:spacing w:after="0" w:line="240" w:lineRule="auto"/>
        <w:jc w:val="both"/>
        <w:rPr>
          <w:rFonts w:ascii="Arial" w:hAnsi="Arial" w:cs="Arial"/>
          <w:bCs/>
          <w:iCs/>
          <w:sz w:val="20"/>
          <w:szCs w:val="20"/>
          <w:lang w:val="en-IN"/>
        </w:rPr>
      </w:pPr>
      <w:r>
        <w:rPr>
          <w:rFonts w:ascii="Arial" w:hAnsi="Arial" w:cs="Arial"/>
          <w:bCs/>
          <w:iCs/>
          <w:sz w:val="20"/>
          <w:szCs w:val="20"/>
          <w:lang w:val="en-IN"/>
        </w:rPr>
        <w:t xml:space="preserve">In Meghalaya,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of the War Khasi community were found to </w:t>
      </w:r>
      <w:proofErr w:type="spellStart"/>
      <w:r>
        <w:rPr>
          <w:rFonts w:ascii="Arial" w:hAnsi="Arial" w:cs="Arial"/>
          <w:bCs/>
          <w:iCs/>
          <w:sz w:val="20"/>
          <w:szCs w:val="20"/>
          <w:lang w:val="en-IN"/>
        </w:rPr>
        <w:t>harbor</w:t>
      </w:r>
      <w:proofErr w:type="spellEnd"/>
      <w:r>
        <w:rPr>
          <w:rFonts w:ascii="Arial" w:hAnsi="Arial" w:cs="Arial"/>
          <w:bCs/>
          <w:iCs/>
          <w:sz w:val="20"/>
          <w:szCs w:val="20"/>
          <w:lang w:val="en-IN"/>
        </w:rPr>
        <w:t xml:space="preserve"> 197 species (</w:t>
      </w:r>
      <w:proofErr w:type="spellStart"/>
      <w:r>
        <w:rPr>
          <w:rFonts w:ascii="Arial" w:hAnsi="Arial" w:cs="Arial"/>
          <w:bCs/>
          <w:iCs/>
          <w:sz w:val="20"/>
          <w:szCs w:val="20"/>
          <w:lang w:val="en-IN"/>
        </w:rPr>
        <w:t>Tynsong</w:t>
      </w:r>
      <w:proofErr w:type="spellEnd"/>
      <w:r>
        <w:rPr>
          <w:rFonts w:ascii="Arial" w:hAnsi="Arial" w:cs="Arial"/>
          <w:bCs/>
          <w:iCs/>
          <w:sz w:val="20"/>
          <w:szCs w:val="20"/>
          <w:lang w:val="en-IN"/>
        </w:rPr>
        <w:t xml:space="preserve"> &amp; Tiwari, 2010b), while 160 species were recorded from the southern region of the state (</w:t>
      </w:r>
      <w:proofErr w:type="spellStart"/>
      <w:r>
        <w:rPr>
          <w:rFonts w:ascii="Arial" w:hAnsi="Arial" w:cs="Arial"/>
          <w:bCs/>
          <w:iCs/>
          <w:sz w:val="20"/>
          <w:szCs w:val="20"/>
          <w:lang w:val="en-IN"/>
        </w:rPr>
        <w:t>Tynsong</w:t>
      </w:r>
      <w:proofErr w:type="spellEnd"/>
      <w:r>
        <w:rPr>
          <w:rFonts w:ascii="Arial" w:hAnsi="Arial" w:cs="Arial"/>
          <w:bCs/>
          <w:iCs/>
          <w:sz w:val="20"/>
          <w:szCs w:val="20"/>
          <w:lang w:val="en-IN"/>
        </w:rPr>
        <w:t xml:space="preserve"> &amp; Tiwari, 2010a). Even degraded karst landsc</w:t>
      </w:r>
      <w:r>
        <w:rPr>
          <w:rFonts w:ascii="Arial" w:hAnsi="Arial" w:cs="Arial"/>
          <w:bCs/>
          <w:iCs/>
          <w:sz w:val="20"/>
          <w:szCs w:val="20"/>
          <w:lang w:val="en-IN"/>
        </w:rPr>
        <w:t>apes supported a diversity of 21 plant species (</w:t>
      </w:r>
      <w:proofErr w:type="spellStart"/>
      <w:r>
        <w:rPr>
          <w:rFonts w:ascii="Arial" w:hAnsi="Arial" w:cs="Arial"/>
          <w:bCs/>
          <w:iCs/>
          <w:sz w:val="20"/>
          <w:szCs w:val="20"/>
          <w:lang w:val="en-IN"/>
        </w:rPr>
        <w:t>Bdoor</w:t>
      </w:r>
      <w:proofErr w:type="spellEnd"/>
      <w:r>
        <w:rPr>
          <w:rFonts w:ascii="Arial" w:hAnsi="Arial" w:cs="Arial"/>
          <w:bCs/>
          <w:iCs/>
          <w:sz w:val="20"/>
          <w:szCs w:val="20"/>
          <w:lang w:val="en-IN"/>
        </w:rPr>
        <w:t xml:space="preserve">, 2017). Across both Assam and Meghalaya, members of the family </w:t>
      </w:r>
      <w:proofErr w:type="spellStart"/>
      <w:r>
        <w:rPr>
          <w:rFonts w:ascii="Arial" w:hAnsi="Arial" w:cs="Arial"/>
          <w:bCs/>
          <w:iCs/>
          <w:sz w:val="20"/>
          <w:szCs w:val="20"/>
          <w:lang w:val="en-IN"/>
        </w:rPr>
        <w:t>Arecaceae</w:t>
      </w:r>
      <w:proofErr w:type="spellEnd"/>
      <w:r>
        <w:rPr>
          <w:rFonts w:ascii="Arial" w:hAnsi="Arial" w:cs="Arial"/>
          <w:bCs/>
          <w:iCs/>
          <w:sz w:val="20"/>
          <w:szCs w:val="20"/>
          <w:lang w:val="en-IN"/>
        </w:rPr>
        <w:t xml:space="preserve"> emerged as the most dominant among the documented flora (Devi &amp; Das, 2010; </w:t>
      </w:r>
      <w:proofErr w:type="spellStart"/>
      <w:r>
        <w:rPr>
          <w:rFonts w:ascii="Arial" w:hAnsi="Arial" w:cs="Arial"/>
          <w:bCs/>
          <w:iCs/>
          <w:sz w:val="20"/>
          <w:szCs w:val="20"/>
          <w:lang w:val="en-IN"/>
        </w:rPr>
        <w:t>Tynsong</w:t>
      </w:r>
      <w:proofErr w:type="spellEnd"/>
      <w:r>
        <w:rPr>
          <w:rFonts w:ascii="Arial" w:hAnsi="Arial" w:cs="Arial"/>
          <w:bCs/>
          <w:iCs/>
          <w:sz w:val="20"/>
          <w:szCs w:val="20"/>
          <w:lang w:val="en-IN"/>
        </w:rPr>
        <w:t xml:space="preserve"> &amp; Tiwari, 2011).</w:t>
      </w:r>
    </w:p>
    <w:p w14:paraId="7E48601E" w14:textId="77777777" w:rsidR="00D108FA" w:rsidRDefault="00D108FA">
      <w:pPr>
        <w:spacing w:after="0" w:line="360" w:lineRule="auto"/>
        <w:jc w:val="both"/>
        <w:rPr>
          <w:rFonts w:ascii="Arial" w:hAnsi="Arial" w:cs="Arial"/>
          <w:bCs/>
          <w:iCs/>
          <w:sz w:val="20"/>
          <w:szCs w:val="20"/>
          <w:lang w:val="en-IN"/>
        </w:rPr>
      </w:pPr>
    </w:p>
    <w:p w14:paraId="7D24AD55" w14:textId="77777777" w:rsidR="00D108FA" w:rsidRDefault="00E82DA6">
      <w:pPr>
        <w:spacing w:after="0" w:line="240" w:lineRule="auto"/>
        <w:jc w:val="both"/>
        <w:rPr>
          <w:rFonts w:ascii="Arial" w:hAnsi="Arial" w:cs="Arial"/>
          <w:bCs/>
          <w:iCs/>
          <w:sz w:val="20"/>
          <w:szCs w:val="20"/>
          <w:lang w:val="en-IN"/>
        </w:rPr>
      </w:pPr>
      <w:r>
        <w:rPr>
          <w:rFonts w:ascii="Arial" w:hAnsi="Arial" w:cs="Arial"/>
          <w:sz w:val="20"/>
          <w:szCs w:val="20"/>
        </w:rPr>
        <w:t xml:space="preserve">A study of </w:t>
      </w:r>
      <w:proofErr w:type="spellStart"/>
      <w:r>
        <w:rPr>
          <w:rFonts w:ascii="Arial" w:hAnsi="Arial" w:cs="Arial"/>
          <w:sz w:val="20"/>
          <w:szCs w:val="20"/>
        </w:rPr>
        <w:t>homegardens</w:t>
      </w:r>
      <w:proofErr w:type="spellEnd"/>
      <w:r>
        <w:rPr>
          <w:rFonts w:ascii="Arial" w:hAnsi="Arial" w:cs="Arial"/>
          <w:sz w:val="20"/>
          <w:szCs w:val="20"/>
        </w:rPr>
        <w:t xml:space="preserve"> of th</w:t>
      </w:r>
      <w:r>
        <w:rPr>
          <w:rFonts w:ascii="Arial" w:hAnsi="Arial" w:cs="Arial"/>
          <w:sz w:val="20"/>
          <w:szCs w:val="20"/>
        </w:rPr>
        <w:t xml:space="preserve">e Meitei community (a Manipuri tribe) in the Barak Valley of Assam documented 92 plant species across two villages, with </w:t>
      </w:r>
      <w:proofErr w:type="spellStart"/>
      <w:r>
        <w:rPr>
          <w:rFonts w:ascii="Arial" w:hAnsi="Arial" w:cs="Arial"/>
          <w:sz w:val="20"/>
          <w:szCs w:val="20"/>
        </w:rPr>
        <w:t>Parkia</w:t>
      </w:r>
      <w:proofErr w:type="spellEnd"/>
      <w:r>
        <w:rPr>
          <w:rFonts w:ascii="Arial" w:hAnsi="Arial" w:cs="Arial"/>
          <w:sz w:val="20"/>
          <w:szCs w:val="20"/>
        </w:rPr>
        <w:t xml:space="preserve"> </w:t>
      </w:r>
      <w:proofErr w:type="spellStart"/>
      <w:r>
        <w:rPr>
          <w:rFonts w:ascii="Arial" w:hAnsi="Arial" w:cs="Arial"/>
          <w:sz w:val="20"/>
          <w:szCs w:val="20"/>
        </w:rPr>
        <w:t>timoriana</w:t>
      </w:r>
      <w:proofErr w:type="spellEnd"/>
      <w:r>
        <w:rPr>
          <w:rFonts w:ascii="Arial" w:hAnsi="Arial" w:cs="Arial"/>
          <w:sz w:val="20"/>
          <w:szCs w:val="20"/>
        </w:rPr>
        <w:t xml:space="preserve"> and Areca catechu emerging as the dominant species (Devi &amp; Das, 2010; 2013). In Manipur, the </w:t>
      </w:r>
      <w:proofErr w:type="spellStart"/>
      <w:r>
        <w:rPr>
          <w:rFonts w:ascii="Arial" w:hAnsi="Arial" w:cs="Arial"/>
          <w:sz w:val="20"/>
          <w:szCs w:val="20"/>
        </w:rPr>
        <w:t>homegardens</w:t>
      </w:r>
      <w:proofErr w:type="spellEnd"/>
      <w:r>
        <w:rPr>
          <w:rFonts w:ascii="Arial" w:hAnsi="Arial" w:cs="Arial"/>
          <w:sz w:val="20"/>
          <w:szCs w:val="20"/>
        </w:rPr>
        <w:t xml:space="preserve"> of the Lois c</w:t>
      </w:r>
      <w:r>
        <w:rPr>
          <w:rFonts w:ascii="Arial" w:hAnsi="Arial" w:cs="Arial"/>
          <w:sz w:val="20"/>
          <w:szCs w:val="20"/>
        </w:rPr>
        <w:t xml:space="preserve">ommunity also exhibited considerable diversity, with 120 species recorded in </w:t>
      </w:r>
      <w:proofErr w:type="spellStart"/>
      <w:r>
        <w:rPr>
          <w:rFonts w:ascii="Arial" w:hAnsi="Arial" w:cs="Arial"/>
          <w:sz w:val="20"/>
          <w:szCs w:val="20"/>
        </w:rPr>
        <w:t>Thoubal</w:t>
      </w:r>
      <w:proofErr w:type="spellEnd"/>
      <w:r>
        <w:rPr>
          <w:rFonts w:ascii="Arial" w:hAnsi="Arial" w:cs="Arial"/>
          <w:sz w:val="20"/>
          <w:szCs w:val="20"/>
        </w:rPr>
        <w:t xml:space="preserve"> district and 55 species in </w:t>
      </w:r>
      <w:proofErr w:type="spellStart"/>
      <w:r>
        <w:rPr>
          <w:rFonts w:ascii="Arial" w:hAnsi="Arial" w:cs="Arial"/>
          <w:sz w:val="20"/>
          <w:szCs w:val="20"/>
        </w:rPr>
        <w:t>Ukhrul</w:t>
      </w:r>
      <w:proofErr w:type="spellEnd"/>
      <w:r>
        <w:rPr>
          <w:rFonts w:ascii="Arial" w:hAnsi="Arial" w:cs="Arial"/>
          <w:sz w:val="20"/>
          <w:szCs w:val="20"/>
        </w:rPr>
        <w:t xml:space="preserve"> district </w:t>
      </w:r>
      <w:proofErr w:type="gramStart"/>
      <w:r>
        <w:rPr>
          <w:rFonts w:ascii="Arial" w:hAnsi="Arial" w:cs="Arial"/>
          <w:sz w:val="20"/>
          <w:szCs w:val="20"/>
        </w:rPr>
        <w:t xml:space="preserve">( </w:t>
      </w:r>
      <w:proofErr w:type="spellStart"/>
      <w:r>
        <w:rPr>
          <w:rFonts w:ascii="Arial" w:hAnsi="Arial" w:cs="Arial"/>
          <w:sz w:val="20"/>
          <w:szCs w:val="20"/>
        </w:rPr>
        <w:t>Maibam</w:t>
      </w:r>
      <w:proofErr w:type="spellEnd"/>
      <w:proofErr w:type="gramEnd"/>
      <w:r>
        <w:rPr>
          <w:rFonts w:ascii="Arial" w:hAnsi="Arial" w:cs="Arial"/>
          <w:sz w:val="20"/>
          <w:szCs w:val="20"/>
        </w:rPr>
        <w:t xml:space="preserve"> &amp; Gupta, 2007; Salam et al., 2011</w:t>
      </w:r>
      <w:r>
        <w:rPr>
          <w:rFonts w:ascii="Arial" w:hAnsi="Arial" w:cs="Arial"/>
          <w:bCs/>
          <w:iCs/>
          <w:sz w:val="20"/>
          <w:szCs w:val="20"/>
          <w:lang w:val="en-IN"/>
        </w:rPr>
        <w:t>).</w:t>
      </w:r>
    </w:p>
    <w:p w14:paraId="031A9D0E" w14:textId="77777777" w:rsidR="00D108FA" w:rsidRDefault="00D108FA">
      <w:pPr>
        <w:spacing w:after="0" w:line="240" w:lineRule="auto"/>
        <w:jc w:val="both"/>
        <w:rPr>
          <w:rFonts w:ascii="Arial" w:hAnsi="Arial" w:cs="Arial"/>
          <w:bCs/>
          <w:iCs/>
          <w:sz w:val="20"/>
          <w:szCs w:val="20"/>
          <w:lang w:val="en-IN"/>
        </w:rPr>
      </w:pPr>
    </w:p>
    <w:p w14:paraId="2F07C946" w14:textId="77777777" w:rsidR="00D108FA" w:rsidRDefault="00E82DA6">
      <w:pPr>
        <w:spacing w:after="0" w:line="240" w:lineRule="auto"/>
        <w:jc w:val="both"/>
        <w:rPr>
          <w:rFonts w:ascii="Arial" w:hAnsi="Arial" w:cs="Arial"/>
          <w:bCs/>
          <w:iCs/>
          <w:sz w:val="20"/>
          <w:szCs w:val="20"/>
          <w:lang w:val="en-IN"/>
        </w:rPr>
      </w:pPr>
      <w:r>
        <w:rPr>
          <w:rFonts w:ascii="Arial" w:hAnsi="Arial" w:cs="Arial"/>
          <w:bCs/>
          <w:iCs/>
          <w:sz w:val="20"/>
          <w:szCs w:val="20"/>
          <w:lang w:val="en-IN"/>
        </w:rPr>
        <w:lastRenderedPageBreak/>
        <w:t xml:space="preserve">In the traditional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of Mizoram, a remarkable 351 plant species were documented by Sahoo and </w:t>
      </w:r>
      <w:proofErr w:type="spellStart"/>
      <w:r>
        <w:rPr>
          <w:rFonts w:ascii="Arial" w:hAnsi="Arial" w:cs="Arial"/>
          <w:bCs/>
          <w:iCs/>
          <w:sz w:val="20"/>
          <w:szCs w:val="20"/>
          <w:lang w:val="en-IN"/>
        </w:rPr>
        <w:t>Pebam</w:t>
      </w:r>
      <w:proofErr w:type="spellEnd"/>
      <w:r>
        <w:rPr>
          <w:rFonts w:ascii="Arial" w:hAnsi="Arial" w:cs="Arial"/>
          <w:bCs/>
          <w:iCs/>
          <w:sz w:val="20"/>
          <w:szCs w:val="20"/>
          <w:lang w:val="en-IN"/>
        </w:rPr>
        <w:t xml:space="preserve"> (2015). In Nagaland, Singh et al.</w:t>
      </w:r>
      <w:r>
        <w:rPr>
          <w:rFonts w:ascii="Arial" w:hAnsi="Arial" w:cs="Arial"/>
          <w:bCs/>
          <w:iCs/>
          <w:sz w:val="20"/>
          <w:szCs w:val="20"/>
          <w:lang w:val="en-IN"/>
        </w:rPr>
        <w:t xml:space="preserve"> (2014) recorded 122 species from </w:t>
      </w:r>
      <w:proofErr w:type="spellStart"/>
      <w:r>
        <w:rPr>
          <w:rFonts w:ascii="Arial" w:hAnsi="Arial" w:cs="Arial"/>
          <w:bCs/>
          <w:iCs/>
          <w:sz w:val="20"/>
          <w:szCs w:val="20"/>
          <w:lang w:val="en-IN"/>
        </w:rPr>
        <w:t>Tanhai</w:t>
      </w:r>
      <w:proofErr w:type="spellEnd"/>
      <w:r>
        <w:rPr>
          <w:rFonts w:ascii="Arial" w:hAnsi="Arial" w:cs="Arial"/>
          <w:bCs/>
          <w:iCs/>
          <w:sz w:val="20"/>
          <w:szCs w:val="20"/>
          <w:lang w:val="en-IN"/>
        </w:rPr>
        <w:t xml:space="preserve">, 87 species from Mon and 45 species from </w:t>
      </w:r>
      <w:proofErr w:type="spellStart"/>
      <w:r>
        <w:rPr>
          <w:rFonts w:ascii="Arial" w:hAnsi="Arial" w:cs="Arial"/>
          <w:bCs/>
          <w:iCs/>
          <w:sz w:val="20"/>
          <w:szCs w:val="20"/>
          <w:lang w:val="en-IN"/>
        </w:rPr>
        <w:t>Liangnyu</w:t>
      </w:r>
      <w:proofErr w:type="spellEnd"/>
      <w:r>
        <w:rPr>
          <w:rFonts w:ascii="Arial" w:hAnsi="Arial" w:cs="Arial"/>
          <w:bCs/>
          <w:iCs/>
          <w:sz w:val="20"/>
          <w:szCs w:val="20"/>
          <w:lang w:val="en-IN"/>
        </w:rPr>
        <w:t xml:space="preserve">. From </w:t>
      </w:r>
      <w:proofErr w:type="spellStart"/>
      <w:r>
        <w:rPr>
          <w:rFonts w:ascii="Arial" w:hAnsi="Arial" w:cs="Arial"/>
          <w:bCs/>
          <w:iCs/>
          <w:sz w:val="20"/>
          <w:szCs w:val="20"/>
          <w:lang w:val="en-IN"/>
        </w:rPr>
        <w:t>Dzongu</w:t>
      </w:r>
      <w:proofErr w:type="spellEnd"/>
      <w:r>
        <w:rPr>
          <w:rFonts w:ascii="Arial" w:hAnsi="Arial" w:cs="Arial"/>
          <w:bCs/>
          <w:iCs/>
          <w:sz w:val="20"/>
          <w:szCs w:val="20"/>
          <w:lang w:val="en-IN"/>
        </w:rPr>
        <w:t xml:space="preserve"> in Sikkim, </w:t>
      </w:r>
      <w:proofErr w:type="spellStart"/>
      <w:r>
        <w:rPr>
          <w:rFonts w:ascii="Arial" w:hAnsi="Arial" w:cs="Arial"/>
          <w:bCs/>
          <w:iCs/>
          <w:sz w:val="20"/>
          <w:szCs w:val="20"/>
          <w:lang w:val="en-IN"/>
        </w:rPr>
        <w:t>Lepcha</w:t>
      </w:r>
      <w:proofErr w:type="spellEnd"/>
      <w:r>
        <w:rPr>
          <w:rFonts w:ascii="Arial" w:hAnsi="Arial" w:cs="Arial"/>
          <w:bCs/>
          <w:iCs/>
          <w:sz w:val="20"/>
          <w:szCs w:val="20"/>
          <w:lang w:val="en-IN"/>
        </w:rPr>
        <w:t xml:space="preserve"> et al. (2019) re</w:t>
      </w:r>
      <w:r>
        <w:rPr>
          <w:rFonts w:ascii="Arial" w:hAnsi="Arial" w:cs="Arial"/>
          <w:bCs/>
          <w:iCs/>
          <w:sz w:val="20"/>
          <w:szCs w:val="20"/>
          <w:lang w:val="en-IN"/>
        </w:rPr>
        <w:t xml:space="preserve">ported 102 plant species. In Tripura, studies documented significant variation in species richness: 148 species were recorded by Das and Datta (2018a), with Leguminosae and </w:t>
      </w:r>
      <w:proofErr w:type="spellStart"/>
      <w:r>
        <w:rPr>
          <w:rFonts w:ascii="Arial" w:hAnsi="Arial" w:cs="Arial"/>
          <w:bCs/>
          <w:iCs/>
          <w:sz w:val="20"/>
          <w:szCs w:val="20"/>
          <w:lang w:val="en-IN"/>
        </w:rPr>
        <w:t>Poaceae</w:t>
      </w:r>
      <w:proofErr w:type="spellEnd"/>
      <w:r>
        <w:rPr>
          <w:rFonts w:ascii="Arial" w:hAnsi="Arial" w:cs="Arial"/>
          <w:bCs/>
          <w:iCs/>
          <w:sz w:val="20"/>
          <w:szCs w:val="20"/>
          <w:lang w:val="en-IN"/>
        </w:rPr>
        <w:t xml:space="preserve"> as the dominant families; 93 species were reported by Deb et al.</w:t>
      </w:r>
      <w:r>
        <w:rPr>
          <w:rFonts w:ascii="Arial" w:hAnsi="Arial" w:cs="Arial"/>
          <w:bCs/>
          <w:iCs/>
          <w:sz w:val="20"/>
          <w:szCs w:val="20"/>
          <w:lang w:val="en-IN"/>
        </w:rPr>
        <w:t xml:space="preserve"> (201</w:t>
      </w:r>
      <w:r>
        <w:rPr>
          <w:rFonts w:ascii="Arial" w:hAnsi="Arial" w:cs="Arial"/>
          <w:bCs/>
          <w:iCs/>
          <w:sz w:val="20"/>
          <w:szCs w:val="20"/>
          <w:lang w:val="en-IN"/>
        </w:rPr>
        <w:t xml:space="preserve">4), and 69 species by Debbarma et al. (2015). A consolidated summary of the number of plant species documented in </w:t>
      </w:r>
      <w:proofErr w:type="spellStart"/>
      <w:r>
        <w:rPr>
          <w:rFonts w:ascii="Arial" w:hAnsi="Arial" w:cs="Arial"/>
          <w:bCs/>
          <w:iCs/>
          <w:sz w:val="20"/>
          <w:szCs w:val="20"/>
          <w:lang w:val="en-IN"/>
        </w:rPr>
        <w:t>homegardens</w:t>
      </w:r>
      <w:proofErr w:type="spellEnd"/>
      <w:r>
        <w:rPr>
          <w:rFonts w:ascii="Arial" w:hAnsi="Arial" w:cs="Arial"/>
          <w:bCs/>
          <w:iCs/>
          <w:sz w:val="20"/>
          <w:szCs w:val="20"/>
          <w:lang w:val="en-IN"/>
        </w:rPr>
        <w:t xml:space="preserve"> across various north-eastern states of India, as reported by different authors, is provided in Table 1.</w:t>
      </w:r>
    </w:p>
    <w:p w14:paraId="58C15C32" w14:textId="77777777" w:rsidR="00D108FA" w:rsidRDefault="00D108FA">
      <w:pPr>
        <w:spacing w:after="0" w:line="240" w:lineRule="auto"/>
        <w:ind w:firstLine="720"/>
        <w:rPr>
          <w:rFonts w:ascii="Arial" w:hAnsi="Arial" w:cs="Arial"/>
          <w:bCs/>
          <w:iCs/>
          <w:sz w:val="20"/>
          <w:szCs w:val="20"/>
          <w:lang w:val="en-IN"/>
        </w:rPr>
      </w:pPr>
    </w:p>
    <w:p w14:paraId="0CFACBE0" w14:textId="77777777" w:rsidR="00D108FA" w:rsidRDefault="00E82DA6">
      <w:pPr>
        <w:spacing w:after="0" w:line="240" w:lineRule="auto"/>
        <w:ind w:firstLine="720"/>
        <w:rPr>
          <w:rFonts w:ascii="Arial" w:hAnsi="Arial" w:cs="Arial"/>
          <w:iCs/>
          <w:sz w:val="20"/>
          <w:szCs w:val="20"/>
          <w:lang w:val="en-IN"/>
        </w:rPr>
      </w:pPr>
      <w:r>
        <w:rPr>
          <w:rFonts w:ascii="Arial" w:eastAsia="Times New Roman" w:hAnsi="Arial" w:cs="Arial"/>
          <w:b/>
          <w:bCs/>
          <w:sz w:val="20"/>
          <w:szCs w:val="20"/>
        </w:rPr>
        <w:t xml:space="preserve">Table1: </w:t>
      </w:r>
      <w:r>
        <w:rPr>
          <w:rFonts w:ascii="Arial" w:hAnsi="Arial" w:cs="Arial"/>
          <w:iCs/>
          <w:sz w:val="20"/>
          <w:szCs w:val="20"/>
          <w:lang w:val="en-IN"/>
        </w:rPr>
        <w:t>Number of plant s</w:t>
      </w:r>
      <w:r>
        <w:rPr>
          <w:rFonts w:ascii="Arial" w:hAnsi="Arial" w:cs="Arial"/>
          <w:iCs/>
          <w:sz w:val="20"/>
          <w:szCs w:val="20"/>
          <w:lang w:val="en-IN"/>
        </w:rPr>
        <w:t>pecies recorded in various home gardens of North East India</w:t>
      </w:r>
    </w:p>
    <w:p w14:paraId="0C00AE1C" w14:textId="77777777" w:rsidR="00D108FA" w:rsidRDefault="00D108FA">
      <w:pPr>
        <w:spacing w:after="0" w:line="240" w:lineRule="auto"/>
        <w:ind w:firstLine="720"/>
        <w:rPr>
          <w:rFonts w:ascii="Arial" w:hAnsi="Arial" w:cs="Arial"/>
          <w:iCs/>
          <w:sz w:val="20"/>
          <w:szCs w:val="20"/>
          <w:lang w:val="en-IN"/>
        </w:rPr>
      </w:pPr>
    </w:p>
    <w:tbl>
      <w:tblPr>
        <w:tblW w:w="4887" w:type="pct"/>
        <w:tblInd w:w="108" w:type="dxa"/>
        <w:tblBorders>
          <w:top w:val="single" w:sz="6" w:space="0" w:color="auto"/>
          <w:bottom w:val="single" w:sz="6" w:space="0" w:color="auto"/>
          <w:insideH w:val="single" w:sz="6" w:space="0" w:color="auto"/>
        </w:tblBorders>
        <w:tblLook w:val="04A0" w:firstRow="1" w:lastRow="0" w:firstColumn="1" w:lastColumn="0" w:noHBand="0" w:noVBand="1"/>
      </w:tblPr>
      <w:tblGrid>
        <w:gridCol w:w="1195"/>
        <w:gridCol w:w="1327"/>
        <w:gridCol w:w="1659"/>
        <w:gridCol w:w="5179"/>
      </w:tblGrid>
      <w:tr w:rsidR="00D108FA" w14:paraId="3513971C" w14:textId="77777777">
        <w:trPr>
          <w:trHeight w:val="469"/>
        </w:trPr>
        <w:tc>
          <w:tcPr>
            <w:tcW w:w="624" w:type="pct"/>
            <w:vAlign w:val="center"/>
          </w:tcPr>
          <w:p w14:paraId="0C6BFE76" w14:textId="77777777" w:rsidR="00D108FA" w:rsidRDefault="00E82DA6">
            <w:pPr>
              <w:spacing w:after="0" w:line="240" w:lineRule="auto"/>
              <w:rPr>
                <w:rFonts w:ascii="Arial" w:eastAsia="Times New Roman" w:hAnsi="Arial" w:cs="Arial"/>
                <w:b/>
                <w:bCs/>
                <w:sz w:val="20"/>
                <w:szCs w:val="20"/>
              </w:rPr>
            </w:pPr>
            <w:r>
              <w:rPr>
                <w:rFonts w:ascii="Arial" w:eastAsia="Times New Roman" w:hAnsi="Arial" w:cs="Arial"/>
                <w:b/>
                <w:bCs/>
                <w:sz w:val="20"/>
                <w:szCs w:val="20"/>
              </w:rPr>
              <w:t>State</w:t>
            </w:r>
          </w:p>
        </w:tc>
        <w:tc>
          <w:tcPr>
            <w:tcW w:w="682" w:type="pct"/>
            <w:vAlign w:val="center"/>
          </w:tcPr>
          <w:p w14:paraId="260D9D2E" w14:textId="77777777" w:rsidR="00D108FA" w:rsidRDefault="00E82DA6">
            <w:pPr>
              <w:spacing w:after="0" w:line="240" w:lineRule="auto"/>
              <w:rPr>
                <w:rFonts w:ascii="Arial" w:eastAsia="Times New Roman" w:hAnsi="Arial" w:cs="Arial"/>
                <w:b/>
                <w:bCs/>
                <w:sz w:val="20"/>
                <w:szCs w:val="20"/>
              </w:rPr>
            </w:pPr>
            <w:r>
              <w:rPr>
                <w:rFonts w:ascii="Arial" w:eastAsia="Times New Roman" w:hAnsi="Arial" w:cs="Arial"/>
                <w:b/>
                <w:bCs/>
                <w:sz w:val="20"/>
                <w:szCs w:val="20"/>
              </w:rPr>
              <w:t>Mean no. of plant species</w:t>
            </w:r>
          </w:p>
        </w:tc>
        <w:tc>
          <w:tcPr>
            <w:tcW w:w="907" w:type="pct"/>
            <w:vAlign w:val="center"/>
          </w:tcPr>
          <w:p w14:paraId="7353BCE8" w14:textId="77777777" w:rsidR="00D108FA" w:rsidRDefault="00E82DA6">
            <w:pPr>
              <w:spacing w:after="0" w:line="240" w:lineRule="auto"/>
              <w:rPr>
                <w:rFonts w:ascii="Arial" w:eastAsia="Times New Roman" w:hAnsi="Arial" w:cs="Arial"/>
                <w:b/>
                <w:bCs/>
                <w:sz w:val="20"/>
                <w:szCs w:val="20"/>
              </w:rPr>
            </w:pPr>
            <w:r>
              <w:rPr>
                <w:rFonts w:ascii="Arial" w:eastAsia="Times New Roman" w:hAnsi="Arial" w:cs="Arial"/>
                <w:b/>
                <w:bCs/>
                <w:sz w:val="20"/>
                <w:szCs w:val="20"/>
              </w:rPr>
              <w:t>Range</w:t>
            </w:r>
          </w:p>
        </w:tc>
        <w:tc>
          <w:tcPr>
            <w:tcW w:w="2786" w:type="pct"/>
            <w:vAlign w:val="center"/>
          </w:tcPr>
          <w:p w14:paraId="6E831042" w14:textId="77777777" w:rsidR="00D108FA" w:rsidRDefault="00E82DA6">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References</w:t>
            </w:r>
          </w:p>
        </w:tc>
      </w:tr>
      <w:tr w:rsidR="00D108FA" w14:paraId="69D2FB42" w14:textId="77777777">
        <w:trPr>
          <w:trHeight w:val="170"/>
        </w:trPr>
        <w:tc>
          <w:tcPr>
            <w:tcW w:w="624" w:type="pct"/>
            <w:vAlign w:val="center"/>
          </w:tcPr>
          <w:p w14:paraId="4B98CCA3"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Arunachal Pradesh</w:t>
            </w:r>
          </w:p>
        </w:tc>
        <w:tc>
          <w:tcPr>
            <w:tcW w:w="682" w:type="pct"/>
            <w:vAlign w:val="center"/>
          </w:tcPr>
          <w:p w14:paraId="3FEF5D49"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131.0±104.7</w:t>
            </w:r>
          </w:p>
        </w:tc>
        <w:tc>
          <w:tcPr>
            <w:tcW w:w="907" w:type="pct"/>
            <w:vAlign w:val="center"/>
          </w:tcPr>
          <w:p w14:paraId="5CDA8BB7"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57 to 205</w:t>
            </w:r>
          </w:p>
        </w:tc>
        <w:tc>
          <w:tcPr>
            <w:tcW w:w="2786" w:type="pct"/>
            <w:vAlign w:val="center"/>
          </w:tcPr>
          <w:p w14:paraId="472ECF49" w14:textId="77777777" w:rsidR="00D108FA" w:rsidRDefault="00E82DA6">
            <w:pPr>
              <w:spacing w:after="0" w:line="240" w:lineRule="auto"/>
              <w:jc w:val="both"/>
              <w:rPr>
                <w:rFonts w:ascii="Arial" w:eastAsia="Times New Roman" w:hAnsi="Arial" w:cs="Arial"/>
                <w:color w:val="FF0000"/>
                <w:sz w:val="20"/>
                <w:szCs w:val="20"/>
              </w:rPr>
            </w:pPr>
            <w:proofErr w:type="spellStart"/>
            <w:r>
              <w:rPr>
                <w:rFonts w:ascii="Arial" w:eastAsia="Times New Roman" w:hAnsi="Arial" w:cs="Arial"/>
                <w:sz w:val="20"/>
                <w:szCs w:val="20"/>
              </w:rPr>
              <w:t>Zimik</w:t>
            </w:r>
            <w:proofErr w:type="spellEnd"/>
            <w:r>
              <w:rPr>
                <w:rFonts w:ascii="Arial" w:eastAsia="Times New Roman" w:hAnsi="Arial" w:cs="Arial"/>
                <w:sz w:val="20"/>
                <w:szCs w:val="20"/>
              </w:rPr>
              <w:t xml:space="preserve"> et al.  (2012), </w:t>
            </w:r>
            <w:proofErr w:type="spellStart"/>
            <w:r>
              <w:rPr>
                <w:rFonts w:ascii="Arial" w:eastAsia="Times New Roman" w:hAnsi="Arial" w:cs="Arial"/>
                <w:sz w:val="20"/>
                <w:szCs w:val="20"/>
              </w:rPr>
              <w:t>Tangjang</w:t>
            </w:r>
            <w:proofErr w:type="spellEnd"/>
            <w:r>
              <w:rPr>
                <w:rFonts w:ascii="Arial" w:eastAsia="Times New Roman" w:hAnsi="Arial" w:cs="Arial"/>
                <w:sz w:val="20"/>
                <w:szCs w:val="20"/>
              </w:rPr>
              <w:t xml:space="preserve"> and Arunachalam (2017)</w:t>
            </w:r>
          </w:p>
        </w:tc>
      </w:tr>
      <w:tr w:rsidR="00D108FA" w14:paraId="6D18C1CB" w14:textId="77777777">
        <w:trPr>
          <w:trHeight w:val="170"/>
        </w:trPr>
        <w:tc>
          <w:tcPr>
            <w:tcW w:w="624" w:type="pct"/>
            <w:vAlign w:val="center"/>
          </w:tcPr>
          <w:p w14:paraId="5DFE07B7"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Assam</w:t>
            </w:r>
          </w:p>
        </w:tc>
        <w:tc>
          <w:tcPr>
            <w:tcW w:w="682" w:type="pct"/>
            <w:vAlign w:val="center"/>
          </w:tcPr>
          <w:p w14:paraId="757AD12B"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170.1±94.0</w:t>
            </w:r>
          </w:p>
        </w:tc>
        <w:tc>
          <w:tcPr>
            <w:tcW w:w="907" w:type="pct"/>
            <w:vAlign w:val="center"/>
          </w:tcPr>
          <w:p w14:paraId="03B748B9"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46 to 323</w:t>
            </w:r>
          </w:p>
        </w:tc>
        <w:tc>
          <w:tcPr>
            <w:tcW w:w="2786" w:type="pct"/>
            <w:vAlign w:val="center"/>
          </w:tcPr>
          <w:p w14:paraId="296D9C7A" w14:textId="77777777" w:rsidR="00D108FA" w:rsidRDefault="00E82DA6">
            <w:pPr>
              <w:spacing w:after="0" w:line="240" w:lineRule="auto"/>
              <w:jc w:val="both"/>
              <w:rPr>
                <w:rFonts w:ascii="Arial" w:eastAsia="Times New Roman" w:hAnsi="Arial" w:cs="Arial"/>
                <w:color w:val="FF0000"/>
                <w:sz w:val="20"/>
                <w:szCs w:val="20"/>
              </w:rPr>
            </w:pPr>
            <w:r>
              <w:rPr>
                <w:rFonts w:ascii="Arial" w:eastAsia="Times New Roman" w:hAnsi="Arial" w:cs="Arial"/>
                <w:sz w:val="20"/>
                <w:szCs w:val="20"/>
              </w:rPr>
              <w:t xml:space="preserve">Das and Das (2005), Devi and Das (2010), </w:t>
            </w:r>
            <w:proofErr w:type="spellStart"/>
            <w:r>
              <w:rPr>
                <w:rFonts w:ascii="Arial" w:eastAsia="Times New Roman" w:hAnsi="Arial" w:cs="Arial"/>
                <w:sz w:val="20"/>
                <w:szCs w:val="20"/>
              </w:rPr>
              <w:t>Zimik</w:t>
            </w:r>
            <w:proofErr w:type="spellEnd"/>
            <w:r>
              <w:rPr>
                <w:rFonts w:ascii="Arial" w:eastAsia="Times New Roman" w:hAnsi="Arial" w:cs="Arial"/>
                <w:sz w:val="20"/>
                <w:szCs w:val="20"/>
              </w:rPr>
              <w:t xml:space="preserve"> et al.  (2012), Goswami et al.  (2011</w:t>
            </w:r>
            <w:proofErr w:type="gramStart"/>
            <w:r>
              <w:rPr>
                <w:rFonts w:ascii="Arial" w:eastAsia="Times New Roman" w:hAnsi="Arial" w:cs="Arial"/>
                <w:sz w:val="20"/>
                <w:szCs w:val="20"/>
              </w:rPr>
              <w:t>),Saikia</w:t>
            </w:r>
            <w:proofErr w:type="gramEnd"/>
            <w:r>
              <w:rPr>
                <w:rFonts w:ascii="Arial" w:eastAsia="Times New Roman" w:hAnsi="Arial" w:cs="Arial"/>
                <w:sz w:val="20"/>
                <w:szCs w:val="20"/>
              </w:rPr>
              <w:t xml:space="preserve"> and Khan (2014), Das and Das (2015), </w:t>
            </w:r>
            <w:proofErr w:type="spellStart"/>
            <w:r>
              <w:rPr>
                <w:rFonts w:ascii="Arial" w:eastAsia="Times New Roman" w:hAnsi="Arial" w:cs="Arial"/>
                <w:sz w:val="20"/>
                <w:szCs w:val="20"/>
              </w:rPr>
              <w:t>Tangjang</w:t>
            </w:r>
            <w:proofErr w:type="spellEnd"/>
            <w:r>
              <w:rPr>
                <w:rFonts w:ascii="Arial" w:eastAsia="Times New Roman" w:hAnsi="Arial" w:cs="Arial"/>
                <w:sz w:val="20"/>
                <w:szCs w:val="20"/>
              </w:rPr>
              <w:t xml:space="preserve"> and Arunachalam (2017)</w:t>
            </w:r>
          </w:p>
        </w:tc>
      </w:tr>
      <w:tr w:rsidR="00D108FA" w14:paraId="76FA1D99" w14:textId="77777777">
        <w:trPr>
          <w:trHeight w:val="170"/>
        </w:trPr>
        <w:tc>
          <w:tcPr>
            <w:tcW w:w="624" w:type="pct"/>
            <w:vAlign w:val="center"/>
          </w:tcPr>
          <w:p w14:paraId="69CF81E7"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Manipur</w:t>
            </w:r>
          </w:p>
        </w:tc>
        <w:tc>
          <w:tcPr>
            <w:tcW w:w="682" w:type="pct"/>
            <w:vAlign w:val="center"/>
          </w:tcPr>
          <w:p w14:paraId="58B7702E"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87.5±46.0</w:t>
            </w:r>
          </w:p>
        </w:tc>
        <w:tc>
          <w:tcPr>
            <w:tcW w:w="907" w:type="pct"/>
            <w:vAlign w:val="center"/>
          </w:tcPr>
          <w:p w14:paraId="105778D2"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55 to 120</w:t>
            </w:r>
          </w:p>
        </w:tc>
        <w:tc>
          <w:tcPr>
            <w:tcW w:w="2786" w:type="pct"/>
            <w:vAlign w:val="center"/>
          </w:tcPr>
          <w:p w14:paraId="06C2B72E" w14:textId="77777777" w:rsidR="00D108FA" w:rsidRDefault="00E82DA6">
            <w:pPr>
              <w:spacing w:after="0" w:line="240" w:lineRule="auto"/>
              <w:jc w:val="both"/>
              <w:rPr>
                <w:rFonts w:ascii="Arial" w:eastAsia="Times New Roman" w:hAnsi="Arial" w:cs="Arial"/>
                <w:color w:val="FF0000"/>
                <w:sz w:val="20"/>
                <w:szCs w:val="20"/>
              </w:rPr>
            </w:pPr>
            <w:proofErr w:type="spellStart"/>
            <w:r>
              <w:rPr>
                <w:rFonts w:ascii="Arial" w:eastAsia="Times New Roman" w:hAnsi="Arial" w:cs="Arial"/>
                <w:sz w:val="20"/>
                <w:szCs w:val="20"/>
              </w:rPr>
              <w:t>Maibam</w:t>
            </w:r>
            <w:proofErr w:type="spellEnd"/>
            <w:r>
              <w:rPr>
                <w:rFonts w:ascii="Arial" w:eastAsia="Times New Roman" w:hAnsi="Arial" w:cs="Arial"/>
                <w:sz w:val="20"/>
                <w:szCs w:val="20"/>
              </w:rPr>
              <w:t xml:space="preserve"> and Gupta (2007), Salam et al.  (2011)</w:t>
            </w:r>
          </w:p>
        </w:tc>
      </w:tr>
      <w:tr w:rsidR="00D108FA" w14:paraId="24B011FF" w14:textId="77777777">
        <w:trPr>
          <w:trHeight w:val="170"/>
        </w:trPr>
        <w:tc>
          <w:tcPr>
            <w:tcW w:w="624" w:type="pct"/>
            <w:vAlign w:val="center"/>
          </w:tcPr>
          <w:p w14:paraId="744E782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Meghalaya</w:t>
            </w:r>
          </w:p>
        </w:tc>
        <w:tc>
          <w:tcPr>
            <w:tcW w:w="682" w:type="pct"/>
            <w:vAlign w:val="center"/>
          </w:tcPr>
          <w:p w14:paraId="01638C7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178.5±26</w:t>
            </w:r>
            <w:r>
              <w:rPr>
                <w:rFonts w:ascii="Arial" w:eastAsia="Times New Roman" w:hAnsi="Arial" w:cs="Arial"/>
                <w:sz w:val="20"/>
                <w:szCs w:val="20"/>
              </w:rPr>
              <w:t>.2</w:t>
            </w:r>
          </w:p>
        </w:tc>
        <w:tc>
          <w:tcPr>
            <w:tcW w:w="907" w:type="pct"/>
            <w:vAlign w:val="center"/>
          </w:tcPr>
          <w:p w14:paraId="630F87AA"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160 to 197</w:t>
            </w:r>
          </w:p>
        </w:tc>
        <w:tc>
          <w:tcPr>
            <w:tcW w:w="2786" w:type="pct"/>
            <w:vAlign w:val="center"/>
          </w:tcPr>
          <w:p w14:paraId="65D482F0" w14:textId="77777777" w:rsidR="00D108FA" w:rsidRDefault="00E82DA6">
            <w:pPr>
              <w:spacing w:after="0" w:line="240" w:lineRule="auto"/>
              <w:jc w:val="both"/>
              <w:rPr>
                <w:rFonts w:ascii="Arial" w:eastAsia="Times New Roman" w:hAnsi="Arial" w:cs="Arial"/>
                <w:sz w:val="20"/>
                <w:szCs w:val="20"/>
              </w:rPr>
            </w:pPr>
            <w:proofErr w:type="spellStart"/>
            <w:r>
              <w:rPr>
                <w:rFonts w:ascii="Arial" w:eastAsia="Times New Roman" w:hAnsi="Arial" w:cs="Arial"/>
                <w:sz w:val="20"/>
                <w:szCs w:val="20"/>
              </w:rPr>
              <w:t>Tynsong</w:t>
            </w:r>
            <w:proofErr w:type="spellEnd"/>
            <w:r>
              <w:rPr>
                <w:rFonts w:ascii="Arial" w:eastAsia="Times New Roman" w:hAnsi="Arial" w:cs="Arial"/>
                <w:sz w:val="20"/>
                <w:szCs w:val="20"/>
              </w:rPr>
              <w:t xml:space="preserve"> and Tiwari (2010 a, b)</w:t>
            </w:r>
          </w:p>
        </w:tc>
      </w:tr>
      <w:tr w:rsidR="00D108FA" w14:paraId="2F579CC9" w14:textId="77777777">
        <w:trPr>
          <w:trHeight w:val="170"/>
        </w:trPr>
        <w:tc>
          <w:tcPr>
            <w:tcW w:w="624" w:type="pct"/>
            <w:vAlign w:val="center"/>
          </w:tcPr>
          <w:p w14:paraId="11AF313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Mizoram</w:t>
            </w:r>
          </w:p>
        </w:tc>
        <w:tc>
          <w:tcPr>
            <w:tcW w:w="682" w:type="pct"/>
            <w:vAlign w:val="center"/>
          </w:tcPr>
          <w:p w14:paraId="08FED835"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342.0±12.7</w:t>
            </w:r>
          </w:p>
        </w:tc>
        <w:tc>
          <w:tcPr>
            <w:tcW w:w="907" w:type="pct"/>
            <w:vAlign w:val="center"/>
          </w:tcPr>
          <w:p w14:paraId="33B90D98"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333 to 351</w:t>
            </w:r>
          </w:p>
        </w:tc>
        <w:tc>
          <w:tcPr>
            <w:tcW w:w="2786" w:type="pct"/>
            <w:vAlign w:val="center"/>
          </w:tcPr>
          <w:p w14:paraId="5D4B5DBA" w14:textId="77777777" w:rsidR="00D108FA" w:rsidRDefault="00E82DA6">
            <w:pPr>
              <w:spacing w:after="0" w:line="240" w:lineRule="auto"/>
              <w:jc w:val="both"/>
              <w:rPr>
                <w:rFonts w:ascii="Arial" w:eastAsia="Times New Roman" w:hAnsi="Arial" w:cs="Arial"/>
                <w:color w:val="FF0000"/>
                <w:sz w:val="20"/>
                <w:szCs w:val="20"/>
              </w:rPr>
            </w:pPr>
            <w:r>
              <w:rPr>
                <w:rFonts w:ascii="Arial" w:eastAsia="Times New Roman" w:hAnsi="Arial" w:cs="Arial"/>
                <w:sz w:val="20"/>
                <w:szCs w:val="20"/>
              </w:rPr>
              <w:t xml:space="preserve">Sahoo and </w:t>
            </w:r>
            <w:proofErr w:type="spellStart"/>
            <w:r>
              <w:rPr>
                <w:rFonts w:ascii="Arial" w:eastAsia="Times New Roman" w:hAnsi="Arial" w:cs="Arial"/>
                <w:sz w:val="20"/>
                <w:szCs w:val="20"/>
              </w:rPr>
              <w:t>Pebam</w:t>
            </w:r>
            <w:proofErr w:type="spellEnd"/>
            <w:r>
              <w:rPr>
                <w:rFonts w:ascii="Arial" w:eastAsia="Times New Roman" w:hAnsi="Arial" w:cs="Arial"/>
                <w:sz w:val="20"/>
                <w:szCs w:val="20"/>
              </w:rPr>
              <w:t xml:space="preserve"> (2015), </w:t>
            </w:r>
            <w:proofErr w:type="spellStart"/>
            <w:r>
              <w:rPr>
                <w:rFonts w:ascii="Arial" w:eastAsia="Times New Roman" w:hAnsi="Arial" w:cs="Arial"/>
                <w:sz w:val="20"/>
                <w:szCs w:val="20"/>
              </w:rPr>
              <w:t>Barbhuiya</w:t>
            </w:r>
            <w:proofErr w:type="spellEnd"/>
            <w:r>
              <w:rPr>
                <w:rFonts w:ascii="Arial" w:eastAsia="Times New Roman" w:hAnsi="Arial" w:cs="Arial"/>
                <w:sz w:val="20"/>
                <w:szCs w:val="20"/>
              </w:rPr>
              <w:t xml:space="preserve"> et al.  (2016)</w:t>
            </w:r>
          </w:p>
        </w:tc>
      </w:tr>
      <w:tr w:rsidR="00D108FA" w14:paraId="4E1ECB47" w14:textId="77777777">
        <w:trPr>
          <w:trHeight w:val="170"/>
        </w:trPr>
        <w:tc>
          <w:tcPr>
            <w:tcW w:w="624" w:type="pct"/>
            <w:vAlign w:val="center"/>
          </w:tcPr>
          <w:p w14:paraId="4F269A4B"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Nagaland</w:t>
            </w:r>
          </w:p>
        </w:tc>
        <w:tc>
          <w:tcPr>
            <w:tcW w:w="682" w:type="pct"/>
            <w:vAlign w:val="center"/>
          </w:tcPr>
          <w:p w14:paraId="16FA0FD5"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84.7±38.6</w:t>
            </w:r>
          </w:p>
        </w:tc>
        <w:tc>
          <w:tcPr>
            <w:tcW w:w="907" w:type="pct"/>
            <w:vAlign w:val="center"/>
          </w:tcPr>
          <w:p w14:paraId="123E1707"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45 to 122</w:t>
            </w:r>
          </w:p>
        </w:tc>
        <w:tc>
          <w:tcPr>
            <w:tcW w:w="2786" w:type="pct"/>
            <w:vAlign w:val="center"/>
          </w:tcPr>
          <w:p w14:paraId="7306274E" w14:textId="77777777" w:rsidR="00D108FA" w:rsidRDefault="00E82DA6">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Singh et al.  </w:t>
            </w:r>
            <w:r>
              <w:rPr>
                <w:rFonts w:ascii="Arial" w:eastAsia="Times New Roman" w:hAnsi="Arial" w:cs="Arial"/>
                <w:i/>
                <w:iCs/>
                <w:sz w:val="20"/>
                <w:szCs w:val="20"/>
              </w:rPr>
              <w:t>(</w:t>
            </w:r>
            <w:r>
              <w:rPr>
                <w:rFonts w:ascii="Arial" w:eastAsia="Times New Roman" w:hAnsi="Arial" w:cs="Arial"/>
                <w:sz w:val="20"/>
                <w:szCs w:val="20"/>
              </w:rPr>
              <w:t>2014), Singh and Teron (2015)</w:t>
            </w:r>
          </w:p>
        </w:tc>
      </w:tr>
      <w:tr w:rsidR="00D108FA" w14:paraId="498863C0" w14:textId="77777777">
        <w:trPr>
          <w:trHeight w:val="170"/>
        </w:trPr>
        <w:tc>
          <w:tcPr>
            <w:tcW w:w="624" w:type="pct"/>
            <w:vAlign w:val="center"/>
          </w:tcPr>
          <w:p w14:paraId="0E694B06"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Sikkim</w:t>
            </w:r>
          </w:p>
        </w:tc>
        <w:tc>
          <w:tcPr>
            <w:tcW w:w="682" w:type="pct"/>
            <w:vAlign w:val="center"/>
          </w:tcPr>
          <w:p w14:paraId="786FCBB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77.3±21.9</w:t>
            </w:r>
          </w:p>
        </w:tc>
        <w:tc>
          <w:tcPr>
            <w:tcW w:w="907" w:type="pct"/>
            <w:vAlign w:val="center"/>
          </w:tcPr>
          <w:p w14:paraId="73E62D13"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60 to102</w:t>
            </w:r>
          </w:p>
        </w:tc>
        <w:tc>
          <w:tcPr>
            <w:tcW w:w="2786" w:type="pct"/>
            <w:vAlign w:val="center"/>
          </w:tcPr>
          <w:p w14:paraId="605C21C5" w14:textId="77777777" w:rsidR="00D108FA" w:rsidRDefault="00E82DA6">
            <w:pPr>
              <w:spacing w:after="0" w:line="240" w:lineRule="auto"/>
              <w:jc w:val="both"/>
              <w:rPr>
                <w:rFonts w:ascii="Arial" w:eastAsia="Times New Roman" w:hAnsi="Arial" w:cs="Arial"/>
                <w:color w:val="FF0000"/>
                <w:sz w:val="20"/>
                <w:szCs w:val="20"/>
              </w:rPr>
            </w:pPr>
            <w:r>
              <w:rPr>
                <w:rFonts w:ascii="Arial" w:hAnsi="Arial" w:cs="Arial"/>
                <w:sz w:val="20"/>
                <w:szCs w:val="20"/>
              </w:rPr>
              <w:t xml:space="preserve">Sharma (2012), </w:t>
            </w:r>
            <w:r>
              <w:rPr>
                <w:rFonts w:ascii="Arial" w:eastAsia="Times New Roman" w:hAnsi="Arial" w:cs="Arial"/>
                <w:sz w:val="20"/>
                <w:szCs w:val="20"/>
              </w:rPr>
              <w:t xml:space="preserve">Lepcha et al.  </w:t>
            </w:r>
            <w:r>
              <w:rPr>
                <w:rFonts w:ascii="Arial" w:eastAsia="Times New Roman" w:hAnsi="Arial" w:cs="Arial"/>
                <w:i/>
                <w:iCs/>
                <w:sz w:val="20"/>
                <w:szCs w:val="20"/>
              </w:rPr>
              <w:t>(</w:t>
            </w:r>
            <w:r>
              <w:rPr>
                <w:rFonts w:ascii="Arial" w:eastAsia="Times New Roman" w:hAnsi="Arial" w:cs="Arial"/>
                <w:sz w:val="20"/>
                <w:szCs w:val="20"/>
              </w:rPr>
              <w:t>2019)</w:t>
            </w:r>
          </w:p>
        </w:tc>
      </w:tr>
      <w:tr w:rsidR="00D108FA" w14:paraId="02513DDD" w14:textId="77777777">
        <w:trPr>
          <w:trHeight w:val="170"/>
        </w:trPr>
        <w:tc>
          <w:tcPr>
            <w:tcW w:w="624" w:type="pct"/>
            <w:vAlign w:val="center"/>
          </w:tcPr>
          <w:p w14:paraId="106786C8"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Tripura</w:t>
            </w:r>
          </w:p>
        </w:tc>
        <w:tc>
          <w:tcPr>
            <w:tcW w:w="682" w:type="pct"/>
            <w:vAlign w:val="center"/>
          </w:tcPr>
          <w:p w14:paraId="6EAA6BD0"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103.3±40.5</w:t>
            </w:r>
          </w:p>
        </w:tc>
        <w:tc>
          <w:tcPr>
            <w:tcW w:w="907" w:type="pct"/>
            <w:vAlign w:val="center"/>
          </w:tcPr>
          <w:p w14:paraId="1AF6FD8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69 to 148</w:t>
            </w:r>
          </w:p>
        </w:tc>
        <w:tc>
          <w:tcPr>
            <w:tcW w:w="2786" w:type="pct"/>
            <w:vAlign w:val="center"/>
          </w:tcPr>
          <w:p w14:paraId="106809EB" w14:textId="77777777" w:rsidR="00D108FA" w:rsidRDefault="00E82DA6">
            <w:pPr>
              <w:spacing w:after="0" w:line="240" w:lineRule="auto"/>
              <w:jc w:val="both"/>
              <w:rPr>
                <w:rFonts w:ascii="Arial" w:eastAsia="Times New Roman" w:hAnsi="Arial" w:cs="Arial"/>
                <w:color w:val="FF0000"/>
                <w:sz w:val="20"/>
                <w:szCs w:val="20"/>
              </w:rPr>
            </w:pPr>
            <w:r>
              <w:rPr>
                <w:rFonts w:ascii="Arial" w:eastAsia="Times New Roman" w:hAnsi="Arial" w:cs="Arial"/>
                <w:sz w:val="20"/>
                <w:szCs w:val="20"/>
              </w:rPr>
              <w:t xml:space="preserve">Deb et al.  </w:t>
            </w:r>
            <w:r>
              <w:rPr>
                <w:rFonts w:ascii="Arial" w:eastAsia="Times New Roman" w:hAnsi="Arial" w:cs="Arial"/>
                <w:i/>
                <w:iCs/>
                <w:sz w:val="20"/>
                <w:szCs w:val="20"/>
              </w:rPr>
              <w:t>(</w:t>
            </w:r>
            <w:r>
              <w:rPr>
                <w:rFonts w:ascii="Arial" w:eastAsia="Times New Roman" w:hAnsi="Arial" w:cs="Arial"/>
                <w:sz w:val="20"/>
                <w:szCs w:val="20"/>
              </w:rPr>
              <w:t>2014), Debbarma et al.  (2015</w:t>
            </w:r>
            <w:proofErr w:type="gramStart"/>
            <w:r>
              <w:rPr>
                <w:rFonts w:ascii="Arial" w:eastAsia="Times New Roman" w:hAnsi="Arial" w:cs="Arial"/>
                <w:sz w:val="20"/>
                <w:szCs w:val="20"/>
              </w:rPr>
              <w:t>),Das</w:t>
            </w:r>
            <w:proofErr w:type="gramEnd"/>
            <w:r>
              <w:rPr>
                <w:rFonts w:ascii="Arial" w:eastAsia="Times New Roman" w:hAnsi="Arial" w:cs="Arial"/>
                <w:sz w:val="20"/>
                <w:szCs w:val="20"/>
              </w:rPr>
              <w:t xml:space="preserve"> and Datta (2018a)</w:t>
            </w:r>
          </w:p>
        </w:tc>
      </w:tr>
    </w:tbl>
    <w:p w14:paraId="01BEF153" w14:textId="77777777" w:rsidR="00D108FA" w:rsidRDefault="00D108FA">
      <w:pPr>
        <w:spacing w:after="0" w:line="360" w:lineRule="auto"/>
        <w:ind w:firstLine="720"/>
        <w:jc w:val="both"/>
        <w:rPr>
          <w:rFonts w:ascii="Arial" w:hAnsi="Arial" w:cs="Arial"/>
          <w:bCs/>
          <w:iCs/>
          <w:sz w:val="20"/>
          <w:szCs w:val="20"/>
          <w:lang w:val="en-IN"/>
        </w:rPr>
      </w:pPr>
    </w:p>
    <w:p w14:paraId="53BE5FC1" w14:textId="77777777" w:rsidR="00D108FA" w:rsidRDefault="00E82DA6">
      <w:pPr>
        <w:spacing w:after="0" w:line="240" w:lineRule="auto"/>
        <w:jc w:val="both"/>
        <w:rPr>
          <w:rFonts w:ascii="Arial" w:hAnsi="Arial" w:cs="Arial"/>
          <w:iCs/>
          <w:sz w:val="20"/>
          <w:szCs w:val="20"/>
          <w:lang w:val="en-IN"/>
        </w:rPr>
      </w:pPr>
      <w:r>
        <w:rPr>
          <w:rFonts w:ascii="Arial" w:hAnsi="Arial" w:cs="Arial"/>
          <w:iCs/>
          <w:sz w:val="20"/>
          <w:szCs w:val="20"/>
          <w:lang w:val="en-IN"/>
        </w:rPr>
        <w:t xml:space="preserve">Bamboo is one of the dominant plant groups commonly found in </w:t>
      </w:r>
      <w:proofErr w:type="spellStart"/>
      <w:r>
        <w:rPr>
          <w:rFonts w:ascii="Arial" w:hAnsi="Arial" w:cs="Arial"/>
          <w:iCs/>
          <w:sz w:val="20"/>
          <w:szCs w:val="20"/>
          <w:lang w:val="en-IN"/>
        </w:rPr>
        <w:t>homegardens</w:t>
      </w:r>
      <w:proofErr w:type="spellEnd"/>
      <w:r>
        <w:rPr>
          <w:rFonts w:ascii="Arial" w:hAnsi="Arial" w:cs="Arial"/>
          <w:iCs/>
          <w:sz w:val="20"/>
          <w:szCs w:val="20"/>
          <w:lang w:val="en-IN"/>
        </w:rPr>
        <w:t xml:space="preserve"> across Northeast India. In agroforestry systems of </w:t>
      </w:r>
      <w:proofErr w:type="spellStart"/>
      <w:r>
        <w:rPr>
          <w:rFonts w:ascii="Arial" w:hAnsi="Arial" w:cs="Arial"/>
          <w:iCs/>
          <w:sz w:val="20"/>
          <w:szCs w:val="20"/>
          <w:lang w:val="en-IN"/>
        </w:rPr>
        <w:t>Cachar</w:t>
      </w:r>
      <w:proofErr w:type="spellEnd"/>
      <w:r>
        <w:rPr>
          <w:rFonts w:ascii="Arial" w:hAnsi="Arial" w:cs="Arial"/>
          <w:iCs/>
          <w:sz w:val="20"/>
          <w:szCs w:val="20"/>
          <w:lang w:val="en-IN"/>
        </w:rPr>
        <w:t xml:space="preserve"> district, Assam, the aboveground biomass carbon stock of bamboo has been estimated to range between 21.69 to 76.55 Mg ha</w:t>
      </w:r>
      <w:r>
        <w:rPr>
          <w:rFonts w:ascii="Arial" w:hAnsi="Times New Roman" w:cs="Arial"/>
          <w:iCs/>
          <w:sz w:val="20"/>
          <w:szCs w:val="20"/>
          <w:lang w:val="en-IN"/>
        </w:rPr>
        <w:t>⁻</w:t>
      </w:r>
      <w:r>
        <w:rPr>
          <w:rFonts w:ascii="Arial" w:hAnsi="Arial" w:cs="Arial"/>
          <w:iCs/>
          <w:sz w:val="20"/>
          <w:szCs w:val="20"/>
          <w:lang w:val="en-IN"/>
        </w:rPr>
        <w:t>¹ (Nath and Das, 2012), with another study reporting an average of 34 Mg ha</w:t>
      </w:r>
      <w:r>
        <w:rPr>
          <w:rFonts w:ascii="Arial" w:hAnsi="Times New Roman" w:cs="Arial"/>
          <w:iCs/>
          <w:sz w:val="20"/>
          <w:szCs w:val="20"/>
          <w:lang w:val="en-IN"/>
        </w:rPr>
        <w:t>⁻</w:t>
      </w:r>
      <w:r>
        <w:rPr>
          <w:rFonts w:ascii="Arial" w:hAnsi="Arial" w:cs="Arial"/>
          <w:iCs/>
          <w:sz w:val="20"/>
          <w:szCs w:val="20"/>
          <w:lang w:val="en-IN"/>
        </w:rPr>
        <w:t>¹ (</w:t>
      </w:r>
      <w:proofErr w:type="spellStart"/>
      <w:r>
        <w:rPr>
          <w:rFonts w:ascii="Arial" w:hAnsi="Arial" w:cs="Arial"/>
          <w:iCs/>
          <w:sz w:val="20"/>
          <w:szCs w:val="20"/>
          <w:lang w:val="en-IN"/>
        </w:rPr>
        <w:t>Singnar</w:t>
      </w:r>
      <w:proofErr w:type="spellEnd"/>
      <w:r>
        <w:rPr>
          <w:rFonts w:ascii="Arial" w:hAnsi="Arial" w:cs="Arial"/>
          <w:iCs/>
          <w:sz w:val="20"/>
          <w:szCs w:val="20"/>
          <w:lang w:val="en-IN"/>
        </w:rPr>
        <w:t xml:space="preserve"> et al., 2017). </w:t>
      </w:r>
      <w:proofErr w:type="spellStart"/>
      <w:r>
        <w:rPr>
          <w:rFonts w:ascii="Arial" w:hAnsi="Arial" w:cs="Arial"/>
          <w:iCs/>
          <w:sz w:val="20"/>
          <w:szCs w:val="20"/>
          <w:lang w:val="en-IN"/>
        </w:rPr>
        <w:t>Homegardens</w:t>
      </w:r>
      <w:proofErr w:type="spellEnd"/>
      <w:r>
        <w:rPr>
          <w:rFonts w:ascii="Arial" w:hAnsi="Arial" w:cs="Arial"/>
          <w:iCs/>
          <w:sz w:val="20"/>
          <w:szCs w:val="20"/>
          <w:lang w:val="en-IN"/>
        </w:rPr>
        <w:t xml:space="preserve"> also contribute sign</w:t>
      </w:r>
      <w:r>
        <w:rPr>
          <w:rFonts w:ascii="Arial" w:hAnsi="Arial" w:cs="Arial"/>
          <w:iCs/>
          <w:sz w:val="20"/>
          <w:szCs w:val="20"/>
          <w:lang w:val="en-IN"/>
        </w:rPr>
        <w:t xml:space="preserve">ificantly to soil productivity by facilitating atmospheric nitrogen fixation, enhancing soil moisture retention and reducing topsoil erosion (Nath et al., 2015). In Mizoram, </w:t>
      </w:r>
      <w:proofErr w:type="spellStart"/>
      <w:r>
        <w:rPr>
          <w:rFonts w:ascii="Arial" w:hAnsi="Arial" w:cs="Arial"/>
          <w:iCs/>
          <w:sz w:val="20"/>
          <w:szCs w:val="20"/>
          <w:lang w:val="en-IN"/>
        </w:rPr>
        <w:t>homegardens</w:t>
      </w:r>
      <w:proofErr w:type="spellEnd"/>
      <w:r>
        <w:rPr>
          <w:rFonts w:ascii="Arial" w:hAnsi="Arial" w:cs="Arial"/>
          <w:iCs/>
          <w:sz w:val="20"/>
          <w:szCs w:val="20"/>
          <w:lang w:val="en-IN"/>
        </w:rPr>
        <w:t xml:space="preserve"> were reported to have a soil organic carbon stock of up to 142.24 Mg h</w:t>
      </w:r>
      <w:r>
        <w:rPr>
          <w:rFonts w:ascii="Arial" w:hAnsi="Arial" w:cs="Arial"/>
          <w:iCs/>
          <w:sz w:val="20"/>
          <w:szCs w:val="20"/>
          <w:lang w:val="en-IN"/>
        </w:rPr>
        <w:t>a</w:t>
      </w:r>
      <w:r>
        <w:rPr>
          <w:rFonts w:ascii="Cambria Math" w:hAnsi="Cambria Math" w:cs="Cambria Math"/>
          <w:iCs/>
          <w:sz w:val="20"/>
          <w:szCs w:val="20"/>
          <w:lang w:val="en-IN"/>
        </w:rPr>
        <w:t>⁻</w:t>
      </w:r>
      <w:r>
        <w:rPr>
          <w:rFonts w:ascii="Arial" w:hAnsi="Arial" w:cs="Arial"/>
          <w:iCs/>
          <w:sz w:val="20"/>
          <w:szCs w:val="20"/>
          <w:lang w:val="en-IN"/>
        </w:rPr>
        <w:t>¹ (Singh &amp; Sahu, 2021), highlighting their significant potential for carbon sequestration and soil health enhancement.</w:t>
      </w:r>
    </w:p>
    <w:p w14:paraId="75F2DA9D" w14:textId="77777777" w:rsidR="00D108FA" w:rsidRDefault="00D108FA">
      <w:pPr>
        <w:spacing w:after="0" w:line="240" w:lineRule="auto"/>
        <w:jc w:val="both"/>
        <w:rPr>
          <w:rFonts w:ascii="Arial" w:hAnsi="Arial" w:cs="Arial"/>
          <w:iCs/>
          <w:sz w:val="20"/>
          <w:szCs w:val="20"/>
        </w:rPr>
      </w:pPr>
    </w:p>
    <w:p w14:paraId="496C4A2B" w14:textId="43BBD01C" w:rsidR="00D108FA" w:rsidRDefault="00E82DA6">
      <w:pPr>
        <w:spacing w:after="0" w:line="240" w:lineRule="auto"/>
        <w:jc w:val="both"/>
        <w:rPr>
          <w:rFonts w:ascii="Arial" w:hAnsi="Arial" w:cs="Arial"/>
          <w:iCs/>
          <w:sz w:val="20"/>
          <w:szCs w:val="20"/>
        </w:rPr>
      </w:pPr>
      <w:r>
        <w:rPr>
          <w:rFonts w:ascii="Arial" w:hAnsi="Arial" w:cs="Arial"/>
          <w:iCs/>
          <w:sz w:val="20"/>
          <w:szCs w:val="20"/>
        </w:rPr>
        <w:t xml:space="preserve">The contribution of </w:t>
      </w:r>
      <w:proofErr w:type="spellStart"/>
      <w:r>
        <w:rPr>
          <w:rFonts w:ascii="Arial" w:hAnsi="Arial" w:cs="Arial"/>
          <w:iCs/>
          <w:sz w:val="20"/>
          <w:szCs w:val="20"/>
        </w:rPr>
        <w:t>homegardens</w:t>
      </w:r>
      <w:proofErr w:type="spellEnd"/>
      <w:r>
        <w:rPr>
          <w:rFonts w:ascii="Arial" w:hAnsi="Arial" w:cs="Arial"/>
          <w:iCs/>
          <w:sz w:val="20"/>
          <w:szCs w:val="20"/>
        </w:rPr>
        <w:t xml:space="preserve"> to species conservation has been widely recognized in numerous studies. In the </w:t>
      </w:r>
      <w:r>
        <w:rPr>
          <w:rFonts w:ascii="Arial" w:hAnsi="Arial" w:cs="Arial"/>
          <w:bCs/>
          <w:iCs/>
          <w:sz w:val="20"/>
          <w:szCs w:val="20"/>
        </w:rPr>
        <w:t xml:space="preserve">Meitei </w:t>
      </w:r>
      <w:proofErr w:type="spellStart"/>
      <w:r>
        <w:rPr>
          <w:rFonts w:ascii="Arial" w:hAnsi="Arial" w:cs="Arial"/>
          <w:bCs/>
          <w:iCs/>
          <w:sz w:val="20"/>
          <w:szCs w:val="20"/>
        </w:rPr>
        <w:t>homegardens</w:t>
      </w:r>
      <w:proofErr w:type="spellEnd"/>
      <w:r>
        <w:rPr>
          <w:rFonts w:ascii="Arial" w:hAnsi="Arial" w:cs="Arial"/>
          <w:iCs/>
          <w:sz w:val="20"/>
          <w:szCs w:val="20"/>
        </w:rPr>
        <w:t xml:space="preserve"> of Assam, species such as </w:t>
      </w:r>
      <w:proofErr w:type="spellStart"/>
      <w:r>
        <w:rPr>
          <w:rFonts w:ascii="Arial" w:hAnsi="Arial" w:cs="Arial"/>
          <w:i/>
          <w:iCs/>
          <w:sz w:val="20"/>
          <w:szCs w:val="20"/>
        </w:rPr>
        <w:t>Meyna</w:t>
      </w:r>
      <w:proofErr w:type="spellEnd"/>
      <w:r>
        <w:rPr>
          <w:rFonts w:ascii="Arial" w:hAnsi="Arial" w:cs="Arial"/>
          <w:i/>
          <w:iCs/>
          <w:sz w:val="20"/>
          <w:szCs w:val="20"/>
        </w:rPr>
        <w:t xml:space="preserve"> </w:t>
      </w:r>
      <w:proofErr w:type="spellStart"/>
      <w:r>
        <w:rPr>
          <w:rFonts w:ascii="Arial" w:hAnsi="Arial" w:cs="Arial"/>
          <w:i/>
          <w:iCs/>
          <w:sz w:val="20"/>
          <w:szCs w:val="20"/>
        </w:rPr>
        <w:t>laxiflora</w:t>
      </w:r>
      <w:proofErr w:type="spellEnd"/>
      <w:r>
        <w:rPr>
          <w:rFonts w:ascii="Arial" w:hAnsi="Arial" w:cs="Arial"/>
          <w:iCs/>
          <w:sz w:val="20"/>
          <w:szCs w:val="20"/>
        </w:rPr>
        <w:t xml:space="preserve">, </w:t>
      </w:r>
      <w:proofErr w:type="spellStart"/>
      <w:r>
        <w:rPr>
          <w:rFonts w:ascii="Arial" w:hAnsi="Arial" w:cs="Arial"/>
          <w:i/>
          <w:iCs/>
          <w:sz w:val="20"/>
          <w:szCs w:val="20"/>
        </w:rPr>
        <w:t>Parkia</w:t>
      </w:r>
      <w:proofErr w:type="spellEnd"/>
      <w:r>
        <w:rPr>
          <w:rFonts w:ascii="Arial" w:hAnsi="Arial" w:cs="Arial"/>
          <w:i/>
          <w:iCs/>
          <w:sz w:val="20"/>
          <w:szCs w:val="20"/>
        </w:rPr>
        <w:t xml:space="preserve"> </w:t>
      </w:r>
      <w:proofErr w:type="spellStart"/>
      <w:r>
        <w:rPr>
          <w:rFonts w:ascii="Arial" w:hAnsi="Arial" w:cs="Arial"/>
          <w:i/>
          <w:iCs/>
          <w:sz w:val="20"/>
          <w:szCs w:val="20"/>
        </w:rPr>
        <w:t>timoriana</w:t>
      </w:r>
      <w:proofErr w:type="spellEnd"/>
      <w:r>
        <w:rPr>
          <w:rFonts w:ascii="Arial" w:hAnsi="Arial" w:cs="Arial"/>
          <w:iCs/>
          <w:sz w:val="20"/>
          <w:szCs w:val="20"/>
        </w:rPr>
        <w:t xml:space="preserve">, and </w:t>
      </w:r>
      <w:proofErr w:type="spellStart"/>
      <w:r>
        <w:rPr>
          <w:rFonts w:ascii="Arial" w:hAnsi="Arial" w:cs="Arial"/>
          <w:i/>
          <w:iCs/>
          <w:sz w:val="20"/>
          <w:szCs w:val="20"/>
        </w:rPr>
        <w:t>Toona</w:t>
      </w:r>
      <w:proofErr w:type="spellEnd"/>
      <w:r>
        <w:rPr>
          <w:rFonts w:ascii="Arial" w:hAnsi="Arial" w:cs="Arial"/>
          <w:i/>
          <w:iCs/>
          <w:sz w:val="20"/>
          <w:szCs w:val="20"/>
        </w:rPr>
        <w:t xml:space="preserve"> </w:t>
      </w:r>
      <w:proofErr w:type="spellStart"/>
      <w:r>
        <w:rPr>
          <w:rFonts w:ascii="Arial" w:hAnsi="Arial" w:cs="Arial"/>
          <w:i/>
          <w:iCs/>
          <w:sz w:val="20"/>
          <w:szCs w:val="20"/>
        </w:rPr>
        <w:t>ciliata</w:t>
      </w:r>
      <w:proofErr w:type="spellEnd"/>
      <w:r>
        <w:rPr>
          <w:rFonts w:ascii="Arial" w:hAnsi="Arial" w:cs="Arial"/>
          <w:iCs/>
          <w:sz w:val="20"/>
          <w:szCs w:val="20"/>
        </w:rPr>
        <w:t xml:space="preserve"> are actively conserved for their specific uses and cultural significance (Devi and Das, 2017). In </w:t>
      </w:r>
      <w:r>
        <w:rPr>
          <w:rFonts w:ascii="Arial" w:hAnsi="Arial" w:cs="Arial"/>
          <w:bCs/>
          <w:iCs/>
          <w:sz w:val="20"/>
          <w:szCs w:val="20"/>
        </w:rPr>
        <w:t>Tripura</w:t>
      </w:r>
      <w:r>
        <w:rPr>
          <w:rFonts w:ascii="Arial" w:hAnsi="Arial" w:cs="Arial"/>
          <w:iCs/>
          <w:sz w:val="20"/>
          <w:szCs w:val="20"/>
        </w:rPr>
        <w:t xml:space="preserve">, the endangered medicinal climber </w:t>
      </w:r>
      <w:r>
        <w:rPr>
          <w:rFonts w:ascii="Arial" w:hAnsi="Arial" w:cs="Arial"/>
          <w:i/>
          <w:iCs/>
          <w:sz w:val="20"/>
          <w:szCs w:val="20"/>
        </w:rPr>
        <w:t>Stephania glabra</w:t>
      </w:r>
      <w:r>
        <w:rPr>
          <w:rFonts w:ascii="Arial" w:hAnsi="Arial" w:cs="Arial"/>
          <w:iCs/>
          <w:sz w:val="20"/>
          <w:szCs w:val="20"/>
        </w:rPr>
        <w:t xml:space="preserve"> has been preserved </w:t>
      </w:r>
      <w:r>
        <w:rPr>
          <w:rFonts w:ascii="Arial" w:hAnsi="Arial" w:cs="Arial"/>
          <w:iCs/>
          <w:sz w:val="20"/>
          <w:szCs w:val="20"/>
        </w:rPr>
        <w:t xml:space="preserve">in the </w:t>
      </w:r>
      <w:proofErr w:type="spellStart"/>
      <w:r>
        <w:rPr>
          <w:rFonts w:ascii="Arial" w:hAnsi="Arial" w:cs="Arial"/>
          <w:iCs/>
          <w:sz w:val="20"/>
          <w:szCs w:val="20"/>
        </w:rPr>
        <w:t>homegardens</w:t>
      </w:r>
      <w:proofErr w:type="spellEnd"/>
      <w:r>
        <w:rPr>
          <w:rFonts w:ascii="Arial" w:hAnsi="Arial" w:cs="Arial"/>
          <w:iCs/>
          <w:sz w:val="20"/>
          <w:szCs w:val="20"/>
        </w:rPr>
        <w:t xml:space="preserve"> of the </w:t>
      </w:r>
      <w:proofErr w:type="spellStart"/>
      <w:r>
        <w:rPr>
          <w:rFonts w:ascii="Arial" w:hAnsi="Arial" w:cs="Arial"/>
          <w:bCs/>
          <w:iCs/>
          <w:sz w:val="20"/>
          <w:szCs w:val="20"/>
        </w:rPr>
        <w:t>Reang</w:t>
      </w:r>
      <w:proofErr w:type="spellEnd"/>
      <w:r>
        <w:rPr>
          <w:rFonts w:ascii="Arial" w:hAnsi="Arial" w:cs="Arial"/>
          <w:bCs/>
          <w:iCs/>
          <w:sz w:val="20"/>
          <w:szCs w:val="20"/>
        </w:rPr>
        <w:t xml:space="preserve"> community</w:t>
      </w:r>
      <w:r>
        <w:rPr>
          <w:rFonts w:ascii="Arial" w:hAnsi="Arial" w:cs="Arial"/>
          <w:iCs/>
          <w:sz w:val="20"/>
          <w:szCs w:val="20"/>
        </w:rPr>
        <w:t xml:space="preserve"> (Das and Datta, 2018b). Similarly, the traditional beliefs and cultural practices of the </w:t>
      </w:r>
      <w:r>
        <w:rPr>
          <w:rFonts w:ascii="Arial" w:hAnsi="Arial" w:cs="Arial"/>
          <w:bCs/>
          <w:iCs/>
          <w:sz w:val="20"/>
          <w:szCs w:val="20"/>
        </w:rPr>
        <w:t>Angami tribe</w:t>
      </w:r>
      <w:r>
        <w:rPr>
          <w:rFonts w:ascii="Arial" w:hAnsi="Arial" w:cs="Arial"/>
          <w:iCs/>
          <w:sz w:val="20"/>
          <w:szCs w:val="20"/>
        </w:rPr>
        <w:t xml:space="preserve"> in </w:t>
      </w:r>
      <w:r>
        <w:rPr>
          <w:rFonts w:ascii="Arial" w:hAnsi="Arial" w:cs="Arial"/>
          <w:bCs/>
          <w:iCs/>
          <w:sz w:val="20"/>
          <w:szCs w:val="20"/>
        </w:rPr>
        <w:t>Nagaland</w:t>
      </w:r>
      <w:r>
        <w:rPr>
          <w:rFonts w:ascii="Arial" w:hAnsi="Arial" w:cs="Arial"/>
          <w:iCs/>
          <w:sz w:val="20"/>
          <w:szCs w:val="20"/>
        </w:rPr>
        <w:t xml:space="preserve"> have contributed to the </w:t>
      </w:r>
      <w:r w:rsidR="00F53A7C">
        <w:rPr>
          <w:rFonts w:ascii="Arial" w:hAnsi="Arial" w:cs="Arial"/>
          <w:i/>
          <w:iCs/>
          <w:sz w:val="20"/>
          <w:szCs w:val="20"/>
        </w:rPr>
        <w:t>in-situ</w:t>
      </w:r>
      <w:r>
        <w:rPr>
          <w:rFonts w:ascii="Arial" w:hAnsi="Arial" w:cs="Arial"/>
          <w:iCs/>
          <w:sz w:val="20"/>
          <w:szCs w:val="20"/>
        </w:rPr>
        <w:t xml:space="preserve"> conservation of floral resources within their </w:t>
      </w:r>
      <w:proofErr w:type="spellStart"/>
      <w:r>
        <w:rPr>
          <w:rFonts w:ascii="Arial" w:hAnsi="Arial" w:cs="Arial"/>
          <w:iCs/>
          <w:sz w:val="20"/>
          <w:szCs w:val="20"/>
        </w:rPr>
        <w:t>homegardens</w:t>
      </w:r>
      <w:proofErr w:type="spellEnd"/>
      <w:r>
        <w:rPr>
          <w:rFonts w:ascii="Arial" w:hAnsi="Arial" w:cs="Arial"/>
          <w:iCs/>
          <w:sz w:val="20"/>
          <w:szCs w:val="20"/>
        </w:rPr>
        <w:t xml:space="preserve"> (Singh and</w:t>
      </w:r>
      <w:r>
        <w:rPr>
          <w:rFonts w:ascii="Arial" w:hAnsi="Arial" w:cs="Arial"/>
          <w:iCs/>
          <w:sz w:val="20"/>
          <w:szCs w:val="20"/>
        </w:rPr>
        <w:t xml:space="preserve"> </w:t>
      </w:r>
      <w:proofErr w:type="spellStart"/>
      <w:r>
        <w:rPr>
          <w:rFonts w:ascii="Arial" w:hAnsi="Arial" w:cs="Arial"/>
          <w:iCs/>
          <w:sz w:val="20"/>
          <w:szCs w:val="20"/>
        </w:rPr>
        <w:t>Teron</w:t>
      </w:r>
      <w:proofErr w:type="spellEnd"/>
      <w:r>
        <w:rPr>
          <w:rFonts w:ascii="Arial" w:hAnsi="Arial" w:cs="Arial"/>
          <w:iCs/>
          <w:sz w:val="20"/>
          <w:szCs w:val="20"/>
        </w:rPr>
        <w:t xml:space="preserve">, 2015). In </w:t>
      </w:r>
      <w:r>
        <w:rPr>
          <w:rFonts w:ascii="Arial" w:hAnsi="Arial" w:cs="Arial"/>
          <w:bCs/>
          <w:iCs/>
          <w:sz w:val="20"/>
          <w:szCs w:val="20"/>
        </w:rPr>
        <w:t>Sikkim</w:t>
      </w:r>
      <w:r>
        <w:rPr>
          <w:rFonts w:ascii="Arial" w:hAnsi="Arial" w:cs="Arial"/>
          <w:iCs/>
          <w:sz w:val="20"/>
          <w:szCs w:val="20"/>
        </w:rPr>
        <w:t xml:space="preserve">, </w:t>
      </w:r>
      <w:proofErr w:type="spellStart"/>
      <w:r>
        <w:rPr>
          <w:rFonts w:ascii="Arial" w:hAnsi="Arial" w:cs="Arial"/>
          <w:iCs/>
          <w:sz w:val="20"/>
          <w:szCs w:val="20"/>
        </w:rPr>
        <w:t>homegardens</w:t>
      </w:r>
      <w:proofErr w:type="spellEnd"/>
      <w:r>
        <w:rPr>
          <w:rFonts w:ascii="Arial" w:hAnsi="Arial" w:cs="Arial"/>
          <w:iCs/>
          <w:sz w:val="20"/>
          <w:szCs w:val="20"/>
        </w:rPr>
        <w:t xml:space="preserve"> have also been recognized as potential </w:t>
      </w:r>
      <w:r>
        <w:rPr>
          <w:rFonts w:ascii="Arial" w:hAnsi="Arial" w:cs="Arial"/>
          <w:bCs/>
          <w:iCs/>
          <w:sz w:val="20"/>
          <w:szCs w:val="20"/>
        </w:rPr>
        <w:t>seed banks</w:t>
      </w:r>
      <w:r>
        <w:rPr>
          <w:rFonts w:ascii="Arial" w:hAnsi="Arial" w:cs="Arial"/>
          <w:iCs/>
          <w:sz w:val="20"/>
          <w:szCs w:val="20"/>
        </w:rPr>
        <w:t>, playing a crucial role in the preservation of local plant genetic resources (Sharma et al., 2016b).</w:t>
      </w:r>
    </w:p>
    <w:p w14:paraId="5A664031" w14:textId="77777777" w:rsidR="00D108FA" w:rsidRDefault="00D108FA">
      <w:pPr>
        <w:spacing w:after="0" w:line="360" w:lineRule="auto"/>
        <w:jc w:val="both"/>
        <w:rPr>
          <w:rFonts w:ascii="Arial" w:hAnsi="Arial" w:cs="Arial"/>
          <w:iCs/>
          <w:sz w:val="20"/>
          <w:szCs w:val="20"/>
        </w:rPr>
      </w:pPr>
    </w:p>
    <w:p w14:paraId="296BC531" w14:textId="77777777" w:rsidR="00D108FA" w:rsidRDefault="00E82DA6">
      <w:pPr>
        <w:spacing w:after="0" w:line="240" w:lineRule="auto"/>
        <w:jc w:val="both"/>
        <w:rPr>
          <w:rFonts w:ascii="Arial" w:hAnsi="Arial" w:cs="Arial"/>
          <w:iCs/>
          <w:sz w:val="20"/>
          <w:szCs w:val="20"/>
        </w:rPr>
      </w:pPr>
      <w:proofErr w:type="spellStart"/>
      <w:r>
        <w:rPr>
          <w:rFonts w:ascii="Arial" w:hAnsi="Arial" w:cs="Arial"/>
          <w:iCs/>
          <w:sz w:val="20"/>
          <w:szCs w:val="20"/>
        </w:rPr>
        <w:t>Homegardens</w:t>
      </w:r>
      <w:proofErr w:type="spellEnd"/>
      <w:r>
        <w:rPr>
          <w:rFonts w:ascii="Arial" w:hAnsi="Arial" w:cs="Arial"/>
          <w:iCs/>
          <w:sz w:val="20"/>
          <w:szCs w:val="20"/>
        </w:rPr>
        <w:t xml:space="preserve"> have been recognized as important contributors to livelihood enhancement across various communities in Northeast India. Among the War Khasi community, </w:t>
      </w:r>
      <w:proofErr w:type="spellStart"/>
      <w:r>
        <w:rPr>
          <w:rFonts w:ascii="Arial" w:hAnsi="Arial" w:cs="Arial"/>
          <w:iCs/>
          <w:sz w:val="20"/>
          <w:szCs w:val="20"/>
        </w:rPr>
        <w:t>homegardens</w:t>
      </w:r>
      <w:proofErr w:type="spellEnd"/>
      <w:r>
        <w:rPr>
          <w:rFonts w:ascii="Arial" w:hAnsi="Arial" w:cs="Arial"/>
          <w:iCs/>
          <w:sz w:val="20"/>
          <w:szCs w:val="20"/>
        </w:rPr>
        <w:t xml:space="preserve"> generated an average annual gross income of ₹73,748 per hectare (</w:t>
      </w:r>
      <w:proofErr w:type="spellStart"/>
      <w:r>
        <w:rPr>
          <w:rFonts w:ascii="Arial" w:hAnsi="Arial" w:cs="Arial"/>
          <w:iCs/>
          <w:sz w:val="20"/>
          <w:szCs w:val="20"/>
        </w:rPr>
        <w:t>Tynsong</w:t>
      </w:r>
      <w:proofErr w:type="spellEnd"/>
      <w:r>
        <w:rPr>
          <w:rFonts w:ascii="Arial" w:hAnsi="Arial" w:cs="Arial"/>
          <w:iCs/>
          <w:sz w:val="20"/>
          <w:szCs w:val="20"/>
        </w:rPr>
        <w:t xml:space="preserve"> and Tiwari, 2010b).</w:t>
      </w:r>
      <w:r>
        <w:rPr>
          <w:rFonts w:ascii="Arial" w:hAnsi="Arial" w:cs="Arial"/>
          <w:iCs/>
          <w:sz w:val="20"/>
          <w:szCs w:val="20"/>
        </w:rPr>
        <w:t xml:space="preserve"> In a comparative study, </w:t>
      </w:r>
      <w:proofErr w:type="spellStart"/>
      <w:r>
        <w:rPr>
          <w:rFonts w:ascii="Arial" w:hAnsi="Arial" w:cs="Arial"/>
          <w:iCs/>
          <w:sz w:val="20"/>
          <w:szCs w:val="20"/>
        </w:rPr>
        <w:t>Karbi</w:t>
      </w:r>
      <w:proofErr w:type="spellEnd"/>
      <w:r>
        <w:rPr>
          <w:rFonts w:ascii="Arial" w:hAnsi="Arial" w:cs="Arial"/>
          <w:iCs/>
          <w:sz w:val="20"/>
          <w:szCs w:val="20"/>
        </w:rPr>
        <w:t xml:space="preserve"> and </w:t>
      </w:r>
      <w:proofErr w:type="spellStart"/>
      <w:r>
        <w:rPr>
          <w:rFonts w:ascii="Arial" w:hAnsi="Arial" w:cs="Arial"/>
          <w:iCs/>
          <w:sz w:val="20"/>
          <w:szCs w:val="20"/>
        </w:rPr>
        <w:t>Mising</w:t>
      </w:r>
      <w:proofErr w:type="spellEnd"/>
      <w:r>
        <w:rPr>
          <w:rFonts w:ascii="Arial" w:hAnsi="Arial" w:cs="Arial"/>
          <w:iCs/>
          <w:sz w:val="20"/>
          <w:szCs w:val="20"/>
        </w:rPr>
        <w:t xml:space="preserve"> </w:t>
      </w:r>
      <w:proofErr w:type="spellStart"/>
      <w:r>
        <w:rPr>
          <w:rFonts w:ascii="Arial" w:hAnsi="Arial" w:cs="Arial"/>
          <w:iCs/>
          <w:sz w:val="20"/>
          <w:szCs w:val="20"/>
        </w:rPr>
        <w:t>homegardens</w:t>
      </w:r>
      <w:proofErr w:type="spellEnd"/>
      <w:r>
        <w:rPr>
          <w:rFonts w:ascii="Arial" w:hAnsi="Arial" w:cs="Arial"/>
          <w:iCs/>
          <w:sz w:val="20"/>
          <w:szCs w:val="20"/>
        </w:rPr>
        <w:t xml:space="preserve"> were observed to be larger in size than those of immigrant communities, yet they yielded lower economic returns (Shrivastava and Heinen, 2005). Similarly, in Mizoram, smaller </w:t>
      </w:r>
      <w:proofErr w:type="spellStart"/>
      <w:r>
        <w:rPr>
          <w:rFonts w:ascii="Arial" w:hAnsi="Arial" w:cs="Arial"/>
          <w:iCs/>
          <w:sz w:val="20"/>
          <w:szCs w:val="20"/>
        </w:rPr>
        <w:t>homegardens</w:t>
      </w:r>
      <w:proofErr w:type="spellEnd"/>
      <w:r>
        <w:rPr>
          <w:rFonts w:ascii="Arial" w:hAnsi="Arial" w:cs="Arial"/>
          <w:iCs/>
          <w:sz w:val="20"/>
          <w:szCs w:val="20"/>
        </w:rPr>
        <w:t xml:space="preserve"> managed by immi</w:t>
      </w:r>
      <w:r>
        <w:rPr>
          <w:rFonts w:ascii="Arial" w:hAnsi="Arial" w:cs="Arial"/>
          <w:iCs/>
          <w:sz w:val="20"/>
          <w:szCs w:val="20"/>
        </w:rPr>
        <w:t>grant households were found to produce higher yields per unit area (</w:t>
      </w:r>
      <w:proofErr w:type="spellStart"/>
      <w:r>
        <w:rPr>
          <w:rFonts w:ascii="Arial" w:hAnsi="Arial" w:cs="Arial"/>
          <w:iCs/>
          <w:sz w:val="20"/>
          <w:szCs w:val="20"/>
        </w:rPr>
        <w:t>Pebam</w:t>
      </w:r>
      <w:proofErr w:type="spellEnd"/>
      <w:r>
        <w:rPr>
          <w:rFonts w:ascii="Arial" w:hAnsi="Arial" w:cs="Arial"/>
          <w:iCs/>
          <w:sz w:val="20"/>
          <w:szCs w:val="20"/>
        </w:rPr>
        <w:t xml:space="preserve"> &amp; Sahoo, 2018).</w:t>
      </w:r>
    </w:p>
    <w:p w14:paraId="2678A199"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lastRenderedPageBreak/>
        <w:t xml:space="preserve">In Upper Assam, </w:t>
      </w:r>
      <w:r>
        <w:rPr>
          <w:rFonts w:ascii="Arial" w:hAnsi="Arial" w:cs="Arial"/>
          <w:i/>
          <w:iCs/>
          <w:sz w:val="20"/>
          <w:szCs w:val="20"/>
        </w:rPr>
        <w:t xml:space="preserve">Aquilaria </w:t>
      </w:r>
      <w:proofErr w:type="spellStart"/>
      <w:r>
        <w:rPr>
          <w:rFonts w:ascii="Arial" w:hAnsi="Arial" w:cs="Arial"/>
          <w:i/>
          <w:iCs/>
          <w:sz w:val="20"/>
          <w:szCs w:val="20"/>
        </w:rPr>
        <w:t>malaccensis</w:t>
      </w:r>
      <w:proofErr w:type="spellEnd"/>
      <w:r>
        <w:rPr>
          <w:rFonts w:ascii="Arial" w:hAnsi="Arial" w:cs="Arial"/>
          <w:iCs/>
          <w:sz w:val="20"/>
          <w:szCs w:val="20"/>
        </w:rPr>
        <w:t xml:space="preserve"> is widely cultivated in </w:t>
      </w:r>
      <w:proofErr w:type="spellStart"/>
      <w:r>
        <w:rPr>
          <w:rFonts w:ascii="Arial" w:hAnsi="Arial" w:cs="Arial"/>
          <w:iCs/>
          <w:sz w:val="20"/>
          <w:szCs w:val="20"/>
        </w:rPr>
        <w:t>homegardens</w:t>
      </w:r>
      <w:proofErr w:type="spellEnd"/>
      <w:r>
        <w:rPr>
          <w:rFonts w:ascii="Arial" w:hAnsi="Arial" w:cs="Arial"/>
          <w:iCs/>
          <w:sz w:val="20"/>
          <w:szCs w:val="20"/>
        </w:rPr>
        <w:t>, offering significant economic benefits with an average annual income of ₹1,14,393 (Saikia a</w:t>
      </w:r>
      <w:r>
        <w:rPr>
          <w:rFonts w:ascii="Arial" w:hAnsi="Arial" w:cs="Arial"/>
          <w:iCs/>
          <w:sz w:val="20"/>
          <w:szCs w:val="20"/>
        </w:rPr>
        <w:t xml:space="preserve">nd Khan, 2014). In Mizoram, eight local species grown in </w:t>
      </w:r>
      <w:proofErr w:type="spellStart"/>
      <w:r>
        <w:rPr>
          <w:rFonts w:ascii="Arial" w:hAnsi="Arial" w:cs="Arial"/>
          <w:iCs/>
          <w:sz w:val="20"/>
          <w:szCs w:val="20"/>
        </w:rPr>
        <w:t>homegardens</w:t>
      </w:r>
      <w:proofErr w:type="spellEnd"/>
      <w:r>
        <w:rPr>
          <w:rFonts w:ascii="Arial" w:hAnsi="Arial" w:cs="Arial"/>
          <w:iCs/>
          <w:sz w:val="20"/>
          <w:szCs w:val="20"/>
        </w:rPr>
        <w:t xml:space="preserve"> were found to contribute over ₹10,000 annually each (Sahoo, 2009). Additionally, </w:t>
      </w:r>
      <w:r>
        <w:rPr>
          <w:rFonts w:ascii="Arial" w:hAnsi="Arial" w:cs="Arial"/>
          <w:i/>
          <w:sz w:val="20"/>
          <w:szCs w:val="20"/>
        </w:rPr>
        <w:t>Alnus</w:t>
      </w:r>
      <w:r>
        <w:rPr>
          <w:rFonts w:ascii="Arial" w:hAnsi="Arial" w:cs="Arial"/>
          <w:iCs/>
          <w:sz w:val="20"/>
          <w:szCs w:val="20"/>
        </w:rPr>
        <w:t>–cardamom agroforestry systems in Sikkim yielded higher annual economic returns compared to other sys</w:t>
      </w:r>
      <w:r>
        <w:rPr>
          <w:rFonts w:ascii="Arial" w:hAnsi="Arial" w:cs="Arial"/>
          <w:iCs/>
          <w:sz w:val="20"/>
          <w:szCs w:val="20"/>
        </w:rPr>
        <w:t xml:space="preserve">tems (Sharma et al., 2016a), highlighting the income-generating potential of diversified </w:t>
      </w:r>
      <w:proofErr w:type="spellStart"/>
      <w:r>
        <w:rPr>
          <w:rFonts w:ascii="Arial" w:hAnsi="Arial" w:cs="Arial"/>
          <w:iCs/>
          <w:sz w:val="20"/>
          <w:szCs w:val="20"/>
        </w:rPr>
        <w:t>homegarden</w:t>
      </w:r>
      <w:proofErr w:type="spellEnd"/>
      <w:r>
        <w:rPr>
          <w:rFonts w:ascii="Arial" w:hAnsi="Arial" w:cs="Arial"/>
          <w:iCs/>
          <w:sz w:val="20"/>
          <w:szCs w:val="20"/>
        </w:rPr>
        <w:t>-based agroforestry models.</w:t>
      </w:r>
    </w:p>
    <w:p w14:paraId="7CDC3847" w14:textId="77777777" w:rsidR="00D108FA" w:rsidRDefault="00D108FA">
      <w:pPr>
        <w:spacing w:after="0" w:line="240" w:lineRule="auto"/>
        <w:jc w:val="both"/>
        <w:rPr>
          <w:rFonts w:ascii="Arial" w:hAnsi="Arial" w:cs="Arial"/>
          <w:iCs/>
          <w:sz w:val="20"/>
          <w:szCs w:val="20"/>
        </w:rPr>
      </w:pPr>
    </w:p>
    <w:p w14:paraId="276809DC"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t xml:space="preserve">The selection of species in </w:t>
      </w:r>
      <w:proofErr w:type="spellStart"/>
      <w:r>
        <w:rPr>
          <w:rFonts w:ascii="Arial" w:hAnsi="Arial" w:cs="Arial"/>
          <w:iCs/>
          <w:sz w:val="20"/>
          <w:szCs w:val="20"/>
        </w:rPr>
        <w:t>homegardens</w:t>
      </w:r>
      <w:proofErr w:type="spellEnd"/>
      <w:r>
        <w:rPr>
          <w:rFonts w:ascii="Arial" w:hAnsi="Arial" w:cs="Arial"/>
          <w:iCs/>
          <w:sz w:val="20"/>
          <w:szCs w:val="20"/>
        </w:rPr>
        <w:t xml:space="preserve"> is influenced by a variety of factors, including geographical conditions, garden size, t</w:t>
      </w:r>
      <w:r>
        <w:rPr>
          <w:rFonts w:ascii="Arial" w:hAnsi="Arial" w:cs="Arial"/>
          <w:iCs/>
          <w:sz w:val="20"/>
          <w:szCs w:val="20"/>
        </w:rPr>
        <w:t>raditional beliefs, financial status of the farmer, ethnicity, and economic needs (Singh and Sahoo, 2019). Women farmers in Mizoram play a crucial role in the domestication of wild plant species for both culinary and medicinal uses (Swain et al., 2020). Cu</w:t>
      </w:r>
      <w:r>
        <w:rPr>
          <w:rFonts w:ascii="Arial" w:hAnsi="Arial" w:cs="Arial"/>
          <w:iCs/>
          <w:sz w:val="20"/>
          <w:szCs w:val="20"/>
        </w:rPr>
        <w:t xml:space="preserve">ltural preferences also shape species composition-for example, </w:t>
      </w:r>
      <w:r>
        <w:rPr>
          <w:rFonts w:ascii="Arial" w:hAnsi="Arial" w:cs="Arial"/>
          <w:i/>
          <w:iCs/>
          <w:sz w:val="20"/>
          <w:szCs w:val="20"/>
        </w:rPr>
        <w:t>Kalita</w:t>
      </w:r>
      <w:r>
        <w:rPr>
          <w:rFonts w:ascii="Arial" w:hAnsi="Arial" w:cs="Arial"/>
          <w:iCs/>
          <w:sz w:val="20"/>
          <w:szCs w:val="20"/>
        </w:rPr>
        <w:t xml:space="preserve"> farmers in Assam prioritize cash crops like rice and areca nut, while farmers in Arunachal Pradesh show a preference for timber species (</w:t>
      </w:r>
      <w:proofErr w:type="spellStart"/>
      <w:r>
        <w:rPr>
          <w:rFonts w:ascii="Arial" w:hAnsi="Arial" w:cs="Arial"/>
          <w:iCs/>
          <w:sz w:val="20"/>
          <w:szCs w:val="20"/>
        </w:rPr>
        <w:t>Tangjang</w:t>
      </w:r>
      <w:proofErr w:type="spellEnd"/>
      <w:r>
        <w:rPr>
          <w:rFonts w:ascii="Arial" w:hAnsi="Arial" w:cs="Arial"/>
          <w:iCs/>
          <w:sz w:val="20"/>
          <w:szCs w:val="20"/>
        </w:rPr>
        <w:t xml:space="preserve"> and Arunachalam, 2017). In Mizoram, alti</w:t>
      </w:r>
      <w:r>
        <w:rPr>
          <w:rFonts w:ascii="Arial" w:hAnsi="Arial" w:cs="Arial"/>
          <w:iCs/>
          <w:sz w:val="20"/>
          <w:szCs w:val="20"/>
        </w:rPr>
        <w:t xml:space="preserve">tudinal variation was found to influence species dominance, with </w:t>
      </w:r>
      <w:proofErr w:type="spellStart"/>
      <w:r>
        <w:rPr>
          <w:rFonts w:ascii="Arial" w:hAnsi="Arial" w:cs="Arial"/>
          <w:i/>
          <w:iCs/>
          <w:sz w:val="20"/>
          <w:szCs w:val="20"/>
        </w:rPr>
        <w:t>Parkia</w:t>
      </w:r>
      <w:proofErr w:type="spellEnd"/>
      <w:r>
        <w:rPr>
          <w:rFonts w:ascii="Arial" w:hAnsi="Arial" w:cs="Arial"/>
          <w:i/>
          <w:iCs/>
          <w:sz w:val="20"/>
          <w:szCs w:val="20"/>
        </w:rPr>
        <w:t xml:space="preserve"> </w:t>
      </w:r>
      <w:proofErr w:type="spellStart"/>
      <w:r>
        <w:rPr>
          <w:rFonts w:ascii="Arial" w:hAnsi="Arial" w:cs="Arial"/>
          <w:i/>
          <w:iCs/>
          <w:sz w:val="20"/>
          <w:szCs w:val="20"/>
        </w:rPr>
        <w:t>timoriana</w:t>
      </w:r>
      <w:proofErr w:type="spellEnd"/>
      <w:r>
        <w:rPr>
          <w:rFonts w:ascii="Arial" w:hAnsi="Arial" w:cs="Arial"/>
          <w:iCs/>
          <w:sz w:val="20"/>
          <w:szCs w:val="20"/>
        </w:rPr>
        <w:t xml:space="preserve"> prevailing in higher altitudes and </w:t>
      </w:r>
      <w:r>
        <w:rPr>
          <w:rFonts w:ascii="Arial" w:hAnsi="Arial" w:cs="Arial"/>
          <w:i/>
          <w:iCs/>
          <w:sz w:val="20"/>
          <w:szCs w:val="20"/>
        </w:rPr>
        <w:t>Areca catechu</w:t>
      </w:r>
      <w:r>
        <w:rPr>
          <w:rFonts w:ascii="Arial" w:hAnsi="Arial" w:cs="Arial"/>
          <w:iCs/>
          <w:sz w:val="20"/>
          <w:szCs w:val="20"/>
        </w:rPr>
        <w:t xml:space="preserve"> more common in lower elevations (Sahoo and </w:t>
      </w:r>
      <w:proofErr w:type="spellStart"/>
      <w:r>
        <w:rPr>
          <w:rFonts w:ascii="Arial" w:hAnsi="Arial" w:cs="Arial"/>
          <w:iCs/>
          <w:sz w:val="20"/>
          <w:szCs w:val="20"/>
        </w:rPr>
        <w:t>Pebam</w:t>
      </w:r>
      <w:proofErr w:type="spellEnd"/>
      <w:r>
        <w:rPr>
          <w:rFonts w:ascii="Arial" w:hAnsi="Arial" w:cs="Arial"/>
          <w:iCs/>
          <w:sz w:val="20"/>
          <w:szCs w:val="20"/>
        </w:rPr>
        <w:t>, 2015).</w:t>
      </w:r>
    </w:p>
    <w:p w14:paraId="5D4EFF62" w14:textId="77777777" w:rsidR="00D108FA" w:rsidRDefault="00D108FA">
      <w:pPr>
        <w:spacing w:after="0" w:line="240" w:lineRule="auto"/>
        <w:jc w:val="both"/>
        <w:rPr>
          <w:rFonts w:ascii="Arial" w:hAnsi="Arial" w:cs="Arial"/>
          <w:iCs/>
          <w:sz w:val="20"/>
          <w:szCs w:val="20"/>
        </w:rPr>
      </w:pPr>
    </w:p>
    <w:p w14:paraId="3AA830DD"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t>In Assam, traditional agroforestry systems have been classified int</w:t>
      </w:r>
      <w:r>
        <w:rPr>
          <w:rFonts w:ascii="Arial" w:hAnsi="Arial" w:cs="Arial"/>
          <w:iCs/>
          <w:sz w:val="20"/>
          <w:szCs w:val="20"/>
        </w:rPr>
        <w:t xml:space="preserve">o ten distinct types, based on species composition as well as their cultural, regional, and economic significance. These include systems based on areca nut - coconut, </w:t>
      </w:r>
      <w:r>
        <w:rPr>
          <w:rFonts w:ascii="Arial" w:hAnsi="Arial" w:cs="Arial"/>
          <w:i/>
          <w:iCs/>
          <w:sz w:val="20"/>
          <w:szCs w:val="20"/>
        </w:rPr>
        <w:t>Aquilaria</w:t>
      </w:r>
      <w:r>
        <w:rPr>
          <w:rFonts w:ascii="Arial" w:hAnsi="Arial" w:cs="Arial"/>
          <w:iCs/>
          <w:sz w:val="20"/>
          <w:szCs w:val="20"/>
        </w:rPr>
        <w:t xml:space="preserve">, </w:t>
      </w:r>
      <w:proofErr w:type="spellStart"/>
      <w:r>
        <w:rPr>
          <w:rFonts w:ascii="Arial" w:hAnsi="Arial" w:cs="Arial"/>
          <w:i/>
          <w:iCs/>
          <w:sz w:val="20"/>
          <w:szCs w:val="20"/>
        </w:rPr>
        <w:t>Livistonia</w:t>
      </w:r>
      <w:proofErr w:type="spellEnd"/>
      <w:r>
        <w:rPr>
          <w:rFonts w:ascii="Arial" w:hAnsi="Arial" w:cs="Arial"/>
          <w:iCs/>
          <w:sz w:val="20"/>
          <w:szCs w:val="20"/>
        </w:rPr>
        <w:t xml:space="preserve">, orange - lemon, </w:t>
      </w:r>
      <w:proofErr w:type="spellStart"/>
      <w:r>
        <w:rPr>
          <w:rFonts w:ascii="Arial" w:hAnsi="Arial" w:cs="Arial"/>
          <w:iCs/>
          <w:sz w:val="20"/>
          <w:szCs w:val="20"/>
        </w:rPr>
        <w:t>eri-muga</w:t>
      </w:r>
      <w:proofErr w:type="spellEnd"/>
      <w:r>
        <w:rPr>
          <w:rFonts w:ascii="Arial" w:hAnsi="Arial" w:cs="Arial"/>
          <w:iCs/>
          <w:sz w:val="20"/>
          <w:szCs w:val="20"/>
        </w:rPr>
        <w:t xml:space="preserve"> silkworm, multipurpose trees and vegetabl</w:t>
      </w:r>
      <w:r>
        <w:rPr>
          <w:rFonts w:ascii="Arial" w:hAnsi="Arial" w:cs="Arial"/>
          <w:iCs/>
          <w:sz w:val="20"/>
          <w:szCs w:val="20"/>
        </w:rPr>
        <w:t xml:space="preserve">es, tea, bamboo-areca-betel, </w:t>
      </w:r>
      <w:proofErr w:type="spellStart"/>
      <w:r>
        <w:rPr>
          <w:rFonts w:ascii="Arial" w:hAnsi="Arial" w:cs="Arial"/>
          <w:iCs/>
          <w:sz w:val="20"/>
          <w:szCs w:val="20"/>
        </w:rPr>
        <w:t>taungya</w:t>
      </w:r>
      <w:proofErr w:type="spellEnd"/>
      <w:r>
        <w:rPr>
          <w:rFonts w:ascii="Arial" w:hAnsi="Arial" w:cs="Arial"/>
          <w:iCs/>
          <w:sz w:val="20"/>
          <w:szCs w:val="20"/>
        </w:rPr>
        <w:t xml:space="preserve">, and </w:t>
      </w:r>
      <w:r>
        <w:rPr>
          <w:rFonts w:ascii="Arial" w:hAnsi="Arial" w:cs="Arial"/>
          <w:i/>
          <w:iCs/>
          <w:sz w:val="20"/>
          <w:szCs w:val="20"/>
        </w:rPr>
        <w:t>Bombax</w:t>
      </w:r>
      <w:r>
        <w:rPr>
          <w:rFonts w:ascii="Arial" w:hAnsi="Arial" w:cs="Arial"/>
          <w:iCs/>
          <w:sz w:val="20"/>
          <w:szCs w:val="20"/>
        </w:rPr>
        <w:t>-bamboo-</w:t>
      </w:r>
      <w:proofErr w:type="spellStart"/>
      <w:r>
        <w:rPr>
          <w:rFonts w:ascii="Arial" w:hAnsi="Arial" w:cs="Arial"/>
          <w:i/>
          <w:iCs/>
          <w:sz w:val="20"/>
          <w:szCs w:val="20"/>
        </w:rPr>
        <w:t>Bridelia</w:t>
      </w:r>
      <w:proofErr w:type="spellEnd"/>
      <w:r>
        <w:rPr>
          <w:rFonts w:ascii="Arial" w:hAnsi="Arial" w:cs="Arial"/>
          <w:iCs/>
          <w:sz w:val="20"/>
          <w:szCs w:val="20"/>
        </w:rPr>
        <w:t xml:space="preserve"> (Hazarika et al., 2001).</w:t>
      </w:r>
    </w:p>
    <w:p w14:paraId="61675517" w14:textId="77777777" w:rsidR="00D108FA" w:rsidRDefault="00D108FA">
      <w:pPr>
        <w:spacing w:after="0" w:line="360" w:lineRule="auto"/>
        <w:jc w:val="both"/>
        <w:rPr>
          <w:rFonts w:ascii="Arial" w:hAnsi="Arial" w:cs="Arial"/>
          <w:iCs/>
          <w:sz w:val="20"/>
          <w:szCs w:val="20"/>
        </w:rPr>
      </w:pPr>
    </w:p>
    <w:p w14:paraId="0DE7DDC6" w14:textId="77777777" w:rsidR="00D108FA" w:rsidRDefault="00E82DA6">
      <w:pPr>
        <w:spacing w:after="0" w:line="240" w:lineRule="auto"/>
        <w:jc w:val="both"/>
        <w:rPr>
          <w:rFonts w:ascii="Arial" w:hAnsi="Arial" w:cs="Arial"/>
          <w:iCs/>
          <w:sz w:val="20"/>
          <w:szCs w:val="20"/>
        </w:rPr>
      </w:pPr>
      <w:proofErr w:type="spellStart"/>
      <w:r>
        <w:rPr>
          <w:rFonts w:ascii="Arial" w:hAnsi="Arial" w:cs="Arial"/>
          <w:iCs/>
          <w:sz w:val="20"/>
          <w:szCs w:val="20"/>
        </w:rPr>
        <w:t>Homegardens</w:t>
      </w:r>
      <w:proofErr w:type="spellEnd"/>
      <w:r>
        <w:rPr>
          <w:rFonts w:ascii="Arial" w:hAnsi="Arial" w:cs="Arial"/>
          <w:iCs/>
          <w:sz w:val="20"/>
          <w:szCs w:val="20"/>
        </w:rPr>
        <w:t xml:space="preserve"> also serve as repositories of ethnobotanical knowledge. In Western Assam, Talukdar and Gupta (2018) recorded 70 ethno-pharmacological plant species from </w:t>
      </w:r>
      <w:r>
        <w:rPr>
          <w:rFonts w:ascii="Arial" w:hAnsi="Arial" w:cs="Arial"/>
          <w:iCs/>
          <w:sz w:val="20"/>
          <w:szCs w:val="20"/>
        </w:rPr>
        <w:t xml:space="preserve">the </w:t>
      </w:r>
      <w:proofErr w:type="spellStart"/>
      <w:r>
        <w:rPr>
          <w:rFonts w:ascii="Arial" w:hAnsi="Arial" w:cs="Arial"/>
          <w:iCs/>
          <w:sz w:val="20"/>
          <w:szCs w:val="20"/>
        </w:rPr>
        <w:t>homegardens</w:t>
      </w:r>
      <w:proofErr w:type="spellEnd"/>
      <w:r>
        <w:rPr>
          <w:rFonts w:ascii="Arial" w:hAnsi="Arial" w:cs="Arial"/>
          <w:iCs/>
          <w:sz w:val="20"/>
          <w:szCs w:val="20"/>
        </w:rPr>
        <w:t xml:space="preserve"> of the Garo community. In Mizoram, 54 ethno-medicinal plants were identified from agroforestry systems and </w:t>
      </w:r>
      <w:proofErr w:type="spellStart"/>
      <w:r>
        <w:rPr>
          <w:rFonts w:ascii="Arial" w:hAnsi="Arial" w:cs="Arial"/>
          <w:iCs/>
          <w:sz w:val="20"/>
          <w:szCs w:val="20"/>
        </w:rPr>
        <w:t>homegardens</w:t>
      </w:r>
      <w:proofErr w:type="spellEnd"/>
      <w:r>
        <w:rPr>
          <w:rFonts w:ascii="Arial" w:hAnsi="Arial" w:cs="Arial"/>
          <w:iCs/>
          <w:sz w:val="20"/>
          <w:szCs w:val="20"/>
        </w:rPr>
        <w:t xml:space="preserve"> (Rai and </w:t>
      </w:r>
      <w:proofErr w:type="spellStart"/>
      <w:r>
        <w:rPr>
          <w:rFonts w:ascii="Arial" w:hAnsi="Arial" w:cs="Arial"/>
          <w:iCs/>
          <w:sz w:val="20"/>
          <w:szCs w:val="20"/>
        </w:rPr>
        <w:t>Lalramnghinglova</w:t>
      </w:r>
      <w:proofErr w:type="spellEnd"/>
      <w:r>
        <w:rPr>
          <w:rFonts w:ascii="Arial" w:hAnsi="Arial" w:cs="Arial"/>
          <w:iCs/>
          <w:sz w:val="20"/>
          <w:szCs w:val="20"/>
        </w:rPr>
        <w:t xml:space="preserve">, 2010). Similarly, in Nagaland, </w:t>
      </w:r>
      <w:proofErr w:type="spellStart"/>
      <w:r>
        <w:rPr>
          <w:rFonts w:ascii="Arial" w:hAnsi="Arial" w:cs="Arial"/>
          <w:iCs/>
          <w:sz w:val="20"/>
          <w:szCs w:val="20"/>
        </w:rPr>
        <w:t>homegardens</w:t>
      </w:r>
      <w:proofErr w:type="spellEnd"/>
      <w:r>
        <w:rPr>
          <w:rFonts w:ascii="Arial" w:hAnsi="Arial" w:cs="Arial"/>
          <w:iCs/>
          <w:sz w:val="20"/>
          <w:szCs w:val="20"/>
        </w:rPr>
        <w:t xml:space="preserve"> of the </w:t>
      </w:r>
      <w:proofErr w:type="spellStart"/>
      <w:r>
        <w:rPr>
          <w:rFonts w:ascii="Arial" w:hAnsi="Arial" w:cs="Arial"/>
          <w:iCs/>
          <w:sz w:val="20"/>
          <w:szCs w:val="20"/>
        </w:rPr>
        <w:t>Angami</w:t>
      </w:r>
      <w:proofErr w:type="spellEnd"/>
      <w:r>
        <w:rPr>
          <w:rFonts w:ascii="Arial" w:hAnsi="Arial" w:cs="Arial"/>
          <w:iCs/>
          <w:sz w:val="20"/>
          <w:szCs w:val="20"/>
        </w:rPr>
        <w:t xml:space="preserve"> tribe were found to host 84 wild edib</w:t>
      </w:r>
      <w:r>
        <w:rPr>
          <w:rFonts w:ascii="Arial" w:hAnsi="Arial" w:cs="Arial"/>
          <w:iCs/>
          <w:sz w:val="20"/>
          <w:szCs w:val="20"/>
        </w:rPr>
        <w:t>le plants with ethnobotanical significance (Singh and Teron, 2015).</w:t>
      </w:r>
    </w:p>
    <w:p w14:paraId="0743D956" w14:textId="77777777" w:rsidR="00D108FA" w:rsidRDefault="00D108FA">
      <w:pPr>
        <w:spacing w:after="0" w:line="240" w:lineRule="auto"/>
        <w:jc w:val="both"/>
        <w:rPr>
          <w:rStyle w:val="Strong"/>
          <w:rFonts w:ascii="Arial" w:hAnsi="Arial" w:cs="Arial"/>
          <w:b w:val="0"/>
          <w:bCs w:val="0"/>
          <w:iCs/>
          <w:sz w:val="20"/>
          <w:szCs w:val="20"/>
        </w:rPr>
      </w:pPr>
    </w:p>
    <w:p w14:paraId="246EF06E" w14:textId="77777777" w:rsidR="00D108FA" w:rsidRDefault="00D108FA">
      <w:pPr>
        <w:pStyle w:val="NormalWeb"/>
        <w:spacing w:before="0" w:beforeAutospacing="0" w:after="0" w:afterAutospacing="0"/>
        <w:rPr>
          <w:rStyle w:val="Strong"/>
          <w:rFonts w:ascii="Arial" w:hAnsi="Arial" w:cs="Arial"/>
          <w:sz w:val="22"/>
          <w:szCs w:val="22"/>
        </w:rPr>
      </w:pPr>
    </w:p>
    <w:p w14:paraId="42813934" w14:textId="77777777" w:rsidR="00D108FA" w:rsidRDefault="00E82DA6">
      <w:pPr>
        <w:pStyle w:val="NormalWeb"/>
        <w:spacing w:before="0" w:beforeAutospacing="0" w:after="0" w:afterAutospacing="0"/>
        <w:rPr>
          <w:rStyle w:val="Strong"/>
          <w:rFonts w:ascii="Arial" w:hAnsi="Arial" w:cs="Arial"/>
          <w:sz w:val="22"/>
          <w:szCs w:val="22"/>
        </w:rPr>
      </w:pPr>
      <w:r>
        <w:rPr>
          <w:rStyle w:val="Strong"/>
          <w:rFonts w:ascii="Arial" w:hAnsi="Arial" w:cs="Arial"/>
          <w:sz w:val="22"/>
          <w:szCs w:val="22"/>
        </w:rPr>
        <w:t>Sacred Groves</w:t>
      </w:r>
    </w:p>
    <w:p w14:paraId="60462BF5" w14:textId="77777777" w:rsidR="00D108FA" w:rsidRDefault="00D108FA">
      <w:pPr>
        <w:pStyle w:val="NormalWeb"/>
        <w:spacing w:before="0" w:beforeAutospacing="0" w:after="0" w:afterAutospacing="0"/>
        <w:rPr>
          <w:rStyle w:val="Strong"/>
          <w:rFonts w:ascii="Arial" w:hAnsi="Arial" w:cs="Arial"/>
          <w:sz w:val="22"/>
          <w:szCs w:val="22"/>
        </w:rPr>
      </w:pPr>
    </w:p>
    <w:p w14:paraId="3EB2E97F" w14:textId="77777777"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Sacred groves are traditionally protected forest patches dedicated to local deities, ancestral spirits or other spiritual entities (Figure 2) and are safeguarded by indigenous communities owing to their deep religious, cultural and ecological significance </w:t>
      </w:r>
      <w:r>
        <w:rPr>
          <w:rFonts w:ascii="Arial" w:hAnsi="Arial" w:cs="Arial"/>
          <w:sz w:val="20"/>
          <w:szCs w:val="20"/>
        </w:rPr>
        <w:t xml:space="preserve">(Malhotra et al., 2001). These groves are often regarded as tracts of near-virgin forest ecosystems (Khan et al., 2008), representing one of the oldest forms of community-based conservation in India. They not only embody spiritual reverence but also serve </w:t>
      </w:r>
      <w:r>
        <w:rPr>
          <w:rFonts w:ascii="Arial" w:hAnsi="Arial" w:cs="Arial"/>
          <w:sz w:val="20"/>
          <w:szCs w:val="20"/>
        </w:rPr>
        <w:t xml:space="preserve">as repositories of biodiversity, supporting a wide array of endemic and threatened species. The size of sacred groves varies considerably, from as small as 0.01 hectares to as extensive as 900 hectares (Swamy et al., 1998), reflecting the heterogeneity of </w:t>
      </w:r>
      <w:r>
        <w:rPr>
          <w:rFonts w:ascii="Arial" w:hAnsi="Arial" w:cs="Arial"/>
          <w:sz w:val="20"/>
          <w:szCs w:val="20"/>
        </w:rPr>
        <w:t>both ecological settings and cultural traditions that govern their protection. Functioning as living symbols of the interdependence between nature and culture, sacred groves provide insights into traditional ecological knowledge systems and highlight the r</w:t>
      </w:r>
      <w:r>
        <w:rPr>
          <w:rFonts w:ascii="Arial" w:hAnsi="Arial" w:cs="Arial"/>
          <w:sz w:val="20"/>
          <w:szCs w:val="20"/>
        </w:rPr>
        <w:t xml:space="preserve">ole of cultural values in sustaining natural landscapes across generations. </w:t>
      </w:r>
      <w:r>
        <w:rPr>
          <w:rFonts w:ascii="Arial" w:hAnsi="Arial" w:cs="Arial"/>
          <w:sz w:val="20"/>
          <w:szCs w:val="20"/>
          <w:lang w:val="en-US"/>
        </w:rPr>
        <w:t>In many communities, restrictions on extraction, hunting, or tree felling within these groves ensure their continuity as reservoirs of biological diversity. Simultaneously, these g</w:t>
      </w:r>
      <w:r>
        <w:rPr>
          <w:rFonts w:ascii="Arial" w:hAnsi="Arial" w:cs="Arial"/>
          <w:sz w:val="20"/>
          <w:szCs w:val="20"/>
          <w:lang w:val="en-US"/>
        </w:rPr>
        <w:t>roves function as cultural landmarks, reinforcing social identity and fostering collective responsibility for conservation. Given their dual role as ecological havens and cultural institutions, understanding their present status becomes essential.</w:t>
      </w:r>
      <w:r>
        <w:rPr>
          <w:rFonts w:ascii="Arial" w:hAnsi="Arial" w:cs="Arial"/>
          <w:sz w:val="20"/>
          <w:szCs w:val="20"/>
        </w:rPr>
        <w:t xml:space="preserve"> </w:t>
      </w:r>
    </w:p>
    <w:p w14:paraId="7692C2ED" w14:textId="77777777" w:rsidR="00D108FA" w:rsidRDefault="00D108FA">
      <w:pPr>
        <w:pStyle w:val="NormalWeb"/>
        <w:spacing w:before="0" w:beforeAutospacing="0" w:after="0" w:afterAutospacing="0" w:line="360" w:lineRule="auto"/>
        <w:jc w:val="both"/>
        <w:rPr>
          <w:rFonts w:ascii="Arial" w:hAnsi="Arial" w:cs="Arial"/>
          <w:snapToGrid w:val="0"/>
          <w:color w:val="000000"/>
          <w:w w:val="0"/>
          <w:sz w:val="20"/>
          <w:szCs w:val="20"/>
          <w:u w:color="000000"/>
          <w:shd w:val="clear" w:color="000000" w:fill="000000"/>
          <w:lang w:val="en-US"/>
        </w:rPr>
      </w:pPr>
    </w:p>
    <w:p w14:paraId="0AD87866" w14:textId="77777777" w:rsidR="00D108FA" w:rsidRDefault="00D108FA">
      <w:pPr>
        <w:pStyle w:val="NormalWeb"/>
        <w:spacing w:before="0" w:beforeAutospacing="0" w:after="0" w:afterAutospacing="0" w:line="360" w:lineRule="auto"/>
        <w:jc w:val="both"/>
        <w:rPr>
          <w:rFonts w:ascii="Arial" w:hAnsi="Arial" w:cs="Arial"/>
          <w:snapToGrid w:val="0"/>
          <w:color w:val="000000"/>
          <w:w w:val="0"/>
          <w:sz w:val="20"/>
          <w:szCs w:val="20"/>
          <w:u w:color="000000"/>
          <w:shd w:val="clear" w:color="000000" w:fill="000000"/>
          <w:lang w:val="en-US"/>
        </w:rPr>
      </w:pPr>
    </w:p>
    <w:p w14:paraId="2D8F8C24" w14:textId="77777777" w:rsidR="00D108FA" w:rsidRDefault="00E82DA6">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lang w:val="en-US" w:eastAsia="en-US"/>
        </w:rPr>
        <w:lastRenderedPageBreak/>
        <w:drawing>
          <wp:inline distT="0" distB="0" distL="0" distR="0" wp14:anchorId="57117842" wp14:editId="543F4D59">
            <wp:extent cx="4836795" cy="3346450"/>
            <wp:effectExtent l="0" t="0" r="0" b="0"/>
            <wp:docPr id="1" name="Picture 1" descr="H:\Dirgheswari SG, Kam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Dirgheswari SG, Kamrup.png"/>
                    <pic:cNvPicPr>
                      <a:picLocks noChangeAspect="1" noChangeArrowheads="1"/>
                    </pic:cNvPicPr>
                  </pic:nvPicPr>
                  <pic:blipFill>
                    <a:blip r:embed="rId9" cstate="print"/>
                    <a:srcRect/>
                    <a:stretch>
                      <a:fillRect/>
                    </a:stretch>
                  </pic:blipFill>
                  <pic:spPr>
                    <a:xfrm>
                      <a:off x="0" y="0"/>
                      <a:ext cx="4837176" cy="3346704"/>
                    </a:xfrm>
                    <a:prstGeom prst="rect">
                      <a:avLst/>
                    </a:prstGeom>
                    <a:noFill/>
                    <a:ln w="9525">
                      <a:noFill/>
                      <a:miter lim="800000"/>
                      <a:headEnd/>
                      <a:tailEnd/>
                    </a:ln>
                  </pic:spPr>
                </pic:pic>
              </a:graphicData>
            </a:graphic>
          </wp:inline>
        </w:drawing>
      </w:r>
    </w:p>
    <w:p w14:paraId="7700058F" w14:textId="77777777" w:rsidR="00D108FA" w:rsidRDefault="00E82DA6">
      <w:pPr>
        <w:spacing w:after="0" w:line="360" w:lineRule="auto"/>
        <w:jc w:val="center"/>
        <w:rPr>
          <w:rFonts w:ascii="Arial" w:hAnsi="Arial" w:cs="Arial"/>
          <w:sz w:val="20"/>
          <w:szCs w:val="20"/>
        </w:rPr>
      </w:pPr>
      <w:r>
        <w:rPr>
          <w:rFonts w:ascii="Arial" w:hAnsi="Arial" w:cs="Arial"/>
          <w:b/>
          <w:iCs/>
          <w:sz w:val="20"/>
          <w:szCs w:val="20"/>
          <w:lang w:val="en-IN"/>
        </w:rPr>
        <w:t>Fig</w:t>
      </w:r>
      <w:r>
        <w:rPr>
          <w:rFonts w:ascii="Arial" w:hAnsi="Arial" w:cs="Arial"/>
          <w:b/>
          <w:iCs/>
          <w:sz w:val="20"/>
          <w:szCs w:val="20"/>
          <w:lang w:val="en-IN"/>
        </w:rPr>
        <w:t>ure 2:</w:t>
      </w:r>
      <w:r>
        <w:rPr>
          <w:rFonts w:ascii="Arial" w:hAnsi="Arial" w:cs="Arial"/>
          <w:bCs/>
          <w:iCs/>
          <w:sz w:val="20"/>
          <w:szCs w:val="20"/>
          <w:lang w:val="en-IN"/>
        </w:rPr>
        <w:t xml:space="preserve"> Traditional sacred grove landscape in Assam (</w:t>
      </w:r>
      <w:proofErr w:type="spellStart"/>
      <w:r>
        <w:rPr>
          <w:rFonts w:ascii="Arial" w:hAnsi="Arial" w:cs="Arial"/>
          <w:bCs/>
          <w:iCs/>
          <w:sz w:val="20"/>
          <w:szCs w:val="20"/>
          <w:lang w:val="en-IN"/>
        </w:rPr>
        <w:t>Dirgheshwari</w:t>
      </w:r>
      <w:proofErr w:type="spellEnd"/>
      <w:r>
        <w:rPr>
          <w:rFonts w:ascii="Arial" w:hAnsi="Arial" w:cs="Arial"/>
          <w:bCs/>
          <w:iCs/>
          <w:sz w:val="20"/>
          <w:szCs w:val="20"/>
          <w:lang w:val="en-IN"/>
        </w:rPr>
        <w:t xml:space="preserve">, </w:t>
      </w:r>
      <w:proofErr w:type="spellStart"/>
      <w:r>
        <w:rPr>
          <w:rFonts w:ascii="Arial" w:hAnsi="Arial" w:cs="Arial"/>
          <w:bCs/>
          <w:iCs/>
          <w:sz w:val="20"/>
          <w:szCs w:val="20"/>
          <w:lang w:val="en-IN"/>
        </w:rPr>
        <w:t>Kamrup</w:t>
      </w:r>
      <w:proofErr w:type="spellEnd"/>
      <w:r>
        <w:rPr>
          <w:rFonts w:ascii="Arial" w:hAnsi="Arial" w:cs="Arial"/>
          <w:bCs/>
          <w:iCs/>
          <w:sz w:val="20"/>
          <w:szCs w:val="20"/>
          <w:lang w:val="en-IN"/>
        </w:rPr>
        <w:t xml:space="preserve"> M </w:t>
      </w:r>
      <w:r>
        <w:rPr>
          <w:rFonts w:ascii="Arial" w:hAnsi="Arial" w:cs="Arial"/>
          <w:sz w:val="20"/>
          <w:szCs w:val="20"/>
        </w:rPr>
        <w:t>district)</w:t>
      </w:r>
    </w:p>
    <w:p w14:paraId="56E23FE6" w14:textId="77777777" w:rsidR="00D108FA" w:rsidRDefault="00D108FA">
      <w:pPr>
        <w:spacing w:after="0" w:line="360" w:lineRule="auto"/>
        <w:jc w:val="center"/>
        <w:rPr>
          <w:rFonts w:ascii="Arial" w:hAnsi="Arial" w:cs="Arial"/>
          <w:bCs/>
          <w:iCs/>
          <w:sz w:val="20"/>
          <w:szCs w:val="20"/>
          <w:lang w:val="en-IN"/>
        </w:rPr>
      </w:pPr>
    </w:p>
    <w:p w14:paraId="40BA4B9F" w14:textId="77777777" w:rsidR="00D108FA" w:rsidRDefault="00E82DA6">
      <w:pPr>
        <w:pStyle w:val="NormalWeb"/>
        <w:spacing w:before="0" w:beforeAutospacing="0" w:after="0" w:afterAutospacing="0"/>
        <w:jc w:val="both"/>
        <w:rPr>
          <w:rFonts w:ascii="Arial" w:hAnsi="Arial" w:cs="Arial"/>
          <w:snapToGrid w:val="0"/>
          <w:color w:val="000000"/>
          <w:w w:val="0"/>
          <w:sz w:val="20"/>
          <w:szCs w:val="20"/>
          <w:u w:color="000000"/>
          <w:shd w:val="clear" w:color="000000" w:fill="000000"/>
          <w:lang w:val="en-US"/>
        </w:rPr>
      </w:pPr>
      <w:r>
        <w:rPr>
          <w:rFonts w:ascii="Arial" w:hAnsi="Arial" w:cs="Arial"/>
          <w:sz w:val="20"/>
          <w:szCs w:val="20"/>
        </w:rPr>
        <w:t>The documentation of sacred groves, including their distribution, number, and local nomenclature is summarized in Table 2 and Table 3.</w:t>
      </w:r>
      <w:r>
        <w:rPr>
          <w:rFonts w:ascii="Arial" w:hAnsi="Arial" w:cs="Arial"/>
          <w:snapToGrid w:val="0"/>
          <w:color w:val="000000"/>
          <w:w w:val="0"/>
          <w:sz w:val="20"/>
          <w:szCs w:val="20"/>
          <w:u w:color="000000"/>
          <w:shd w:val="clear" w:color="000000" w:fill="000000"/>
        </w:rPr>
        <w:t xml:space="preserve"> </w:t>
      </w:r>
    </w:p>
    <w:p w14:paraId="45F3F046" w14:textId="77777777" w:rsidR="00D108FA" w:rsidRDefault="00D108FA">
      <w:pPr>
        <w:pStyle w:val="NormalWeb"/>
        <w:spacing w:before="0" w:beforeAutospacing="0" w:after="0" w:afterAutospacing="0"/>
        <w:jc w:val="both"/>
        <w:rPr>
          <w:rFonts w:ascii="Arial" w:hAnsi="Arial" w:cs="Arial"/>
          <w:sz w:val="18"/>
          <w:szCs w:val="18"/>
        </w:rPr>
      </w:pPr>
    </w:p>
    <w:p w14:paraId="3EF3293C" w14:textId="77777777" w:rsidR="00D108FA" w:rsidRDefault="00D108FA">
      <w:pPr>
        <w:spacing w:after="0" w:line="240" w:lineRule="auto"/>
        <w:jc w:val="center"/>
        <w:rPr>
          <w:rFonts w:ascii="Arial" w:eastAsia="Times New Roman" w:hAnsi="Arial" w:cs="Arial"/>
          <w:b/>
          <w:bCs/>
          <w:sz w:val="20"/>
          <w:szCs w:val="20"/>
        </w:rPr>
      </w:pPr>
    </w:p>
    <w:p w14:paraId="369968A2" w14:textId="77777777" w:rsidR="00D108FA" w:rsidRDefault="00D108FA">
      <w:pPr>
        <w:spacing w:after="0" w:line="240" w:lineRule="auto"/>
        <w:jc w:val="center"/>
        <w:rPr>
          <w:rFonts w:ascii="Arial" w:eastAsia="Times New Roman" w:hAnsi="Arial" w:cs="Arial"/>
          <w:b/>
          <w:bCs/>
          <w:sz w:val="20"/>
          <w:szCs w:val="20"/>
        </w:rPr>
      </w:pPr>
    </w:p>
    <w:p w14:paraId="4F359776" w14:textId="77777777" w:rsidR="00D108FA" w:rsidRDefault="00D108FA">
      <w:pPr>
        <w:spacing w:after="0" w:line="240" w:lineRule="auto"/>
        <w:jc w:val="center"/>
        <w:rPr>
          <w:rFonts w:ascii="Arial" w:eastAsia="Times New Roman" w:hAnsi="Arial" w:cs="Arial"/>
          <w:b/>
          <w:bCs/>
          <w:sz w:val="20"/>
          <w:szCs w:val="20"/>
        </w:rPr>
      </w:pPr>
    </w:p>
    <w:p w14:paraId="6B3F82EB" w14:textId="77777777" w:rsidR="00D108FA" w:rsidRDefault="00D108FA">
      <w:pPr>
        <w:spacing w:after="0" w:line="240" w:lineRule="auto"/>
        <w:jc w:val="center"/>
        <w:rPr>
          <w:rFonts w:ascii="Arial" w:eastAsia="Times New Roman" w:hAnsi="Arial" w:cs="Arial"/>
          <w:b/>
          <w:bCs/>
          <w:sz w:val="20"/>
          <w:szCs w:val="20"/>
        </w:rPr>
      </w:pPr>
    </w:p>
    <w:p w14:paraId="3A557B48" w14:textId="77777777" w:rsidR="00D108FA" w:rsidRDefault="00E82DA6">
      <w:pPr>
        <w:spacing w:after="0" w:line="240" w:lineRule="auto"/>
        <w:jc w:val="center"/>
        <w:rPr>
          <w:rFonts w:ascii="Arial" w:eastAsia="Times New Roman" w:hAnsi="Arial" w:cs="Arial"/>
          <w:sz w:val="20"/>
          <w:szCs w:val="20"/>
        </w:rPr>
      </w:pPr>
      <w:r>
        <w:rPr>
          <w:rFonts w:ascii="Arial" w:eastAsia="Times New Roman" w:hAnsi="Arial" w:cs="Arial"/>
          <w:b/>
          <w:bCs/>
          <w:sz w:val="20"/>
          <w:szCs w:val="20"/>
        </w:rPr>
        <w:t>Table 2:</w:t>
      </w:r>
      <w:r>
        <w:rPr>
          <w:rFonts w:ascii="Arial" w:eastAsia="Times New Roman" w:hAnsi="Arial" w:cs="Arial"/>
          <w:sz w:val="20"/>
          <w:szCs w:val="20"/>
        </w:rPr>
        <w:t xml:space="preserve"> Documentation of number of sacred groves </w:t>
      </w:r>
    </w:p>
    <w:p w14:paraId="383E6EA8" w14:textId="77777777" w:rsidR="00D108FA" w:rsidRDefault="00D108FA">
      <w:pPr>
        <w:spacing w:after="0" w:line="240" w:lineRule="auto"/>
        <w:jc w:val="center"/>
        <w:rPr>
          <w:rFonts w:ascii="Arial" w:hAnsi="Arial" w:cs="Arial"/>
          <w:iCs/>
          <w:sz w:val="20"/>
          <w:szCs w:val="20"/>
        </w:rPr>
      </w:pPr>
    </w:p>
    <w:tbl>
      <w:tblPr>
        <w:tblStyle w:val="TableGrid"/>
        <w:tblW w:w="4881" w:type="pct"/>
        <w:jc w:val="center"/>
        <w:tblBorders>
          <w:top w:val="single" w:sz="6" w:space="0" w:color="000000" w:themeColor="text1"/>
          <w:left w:val="none" w:sz="0" w:space="0" w:color="auto"/>
          <w:bottom w:val="single" w:sz="6" w:space="0" w:color="000000" w:themeColor="text1"/>
          <w:right w:val="none" w:sz="0" w:space="0" w:color="auto"/>
          <w:insideH w:val="single" w:sz="6" w:space="0" w:color="000000" w:themeColor="text1"/>
          <w:insideV w:val="none" w:sz="0" w:space="0" w:color="auto"/>
        </w:tblBorders>
        <w:tblLayout w:type="fixed"/>
        <w:tblLook w:val="04A0" w:firstRow="1" w:lastRow="0" w:firstColumn="1" w:lastColumn="0" w:noHBand="0" w:noVBand="1"/>
      </w:tblPr>
      <w:tblGrid>
        <w:gridCol w:w="2053"/>
        <w:gridCol w:w="1991"/>
        <w:gridCol w:w="1890"/>
        <w:gridCol w:w="3414"/>
      </w:tblGrid>
      <w:tr w:rsidR="00D108FA" w14:paraId="522374BE" w14:textId="77777777">
        <w:trPr>
          <w:trHeight w:hRule="exact" w:val="288"/>
          <w:jc w:val="center"/>
        </w:trPr>
        <w:tc>
          <w:tcPr>
            <w:tcW w:w="1098" w:type="pct"/>
            <w:noWrap/>
            <w:vAlign w:val="center"/>
          </w:tcPr>
          <w:p w14:paraId="7C67486D" w14:textId="77777777" w:rsidR="00D108FA" w:rsidRDefault="00E82DA6">
            <w:pPr>
              <w:spacing w:after="0" w:line="240" w:lineRule="auto"/>
              <w:rPr>
                <w:rFonts w:ascii="Arial" w:hAnsi="Arial" w:cs="Arial"/>
                <w:b/>
                <w:iCs/>
                <w:sz w:val="20"/>
                <w:szCs w:val="20"/>
              </w:rPr>
            </w:pPr>
            <w:r>
              <w:rPr>
                <w:rFonts w:ascii="Arial" w:hAnsi="Arial" w:cs="Arial"/>
                <w:b/>
                <w:iCs/>
                <w:sz w:val="20"/>
                <w:szCs w:val="20"/>
              </w:rPr>
              <w:t>State</w:t>
            </w:r>
          </w:p>
        </w:tc>
        <w:tc>
          <w:tcPr>
            <w:tcW w:w="1065" w:type="pct"/>
            <w:noWrap/>
            <w:vAlign w:val="center"/>
          </w:tcPr>
          <w:p w14:paraId="2152848C" w14:textId="77777777" w:rsidR="00D108FA" w:rsidRDefault="00E82DA6">
            <w:pPr>
              <w:spacing w:after="0" w:line="240" w:lineRule="auto"/>
              <w:rPr>
                <w:rFonts w:ascii="Arial" w:hAnsi="Arial" w:cs="Arial"/>
                <w:b/>
                <w:iCs/>
                <w:sz w:val="20"/>
                <w:szCs w:val="20"/>
              </w:rPr>
            </w:pPr>
            <w:r>
              <w:rPr>
                <w:rFonts w:ascii="Arial" w:hAnsi="Arial" w:cs="Arial"/>
                <w:b/>
                <w:iCs/>
                <w:sz w:val="20"/>
                <w:szCs w:val="20"/>
              </w:rPr>
              <w:t>Number of Sacred groves/ places</w:t>
            </w:r>
          </w:p>
        </w:tc>
        <w:tc>
          <w:tcPr>
            <w:tcW w:w="1011" w:type="pct"/>
            <w:noWrap/>
            <w:vAlign w:val="center"/>
          </w:tcPr>
          <w:p w14:paraId="75B3A794" w14:textId="77777777" w:rsidR="00D108FA" w:rsidRDefault="00E82DA6">
            <w:pPr>
              <w:spacing w:after="0" w:line="240" w:lineRule="auto"/>
              <w:rPr>
                <w:rFonts w:ascii="Arial" w:hAnsi="Arial" w:cs="Arial"/>
                <w:b/>
                <w:iCs/>
                <w:sz w:val="20"/>
                <w:szCs w:val="20"/>
              </w:rPr>
            </w:pPr>
            <w:r>
              <w:rPr>
                <w:rFonts w:ascii="Arial" w:hAnsi="Arial" w:cs="Arial"/>
                <w:b/>
                <w:iCs/>
                <w:sz w:val="20"/>
                <w:szCs w:val="20"/>
              </w:rPr>
              <w:t>Number of Districts covered</w:t>
            </w:r>
          </w:p>
        </w:tc>
        <w:tc>
          <w:tcPr>
            <w:tcW w:w="1826" w:type="pct"/>
            <w:noWrap/>
            <w:vAlign w:val="center"/>
          </w:tcPr>
          <w:p w14:paraId="0830C5DD" w14:textId="77777777" w:rsidR="00D108FA" w:rsidRDefault="00E82DA6">
            <w:pPr>
              <w:spacing w:after="0" w:line="240" w:lineRule="auto"/>
              <w:rPr>
                <w:rFonts w:ascii="Arial" w:hAnsi="Arial" w:cs="Arial"/>
                <w:b/>
                <w:iCs/>
                <w:sz w:val="20"/>
                <w:szCs w:val="20"/>
              </w:rPr>
            </w:pPr>
            <w:r>
              <w:rPr>
                <w:rFonts w:ascii="Arial" w:hAnsi="Arial" w:cs="Arial"/>
                <w:b/>
                <w:iCs/>
                <w:sz w:val="20"/>
                <w:szCs w:val="20"/>
              </w:rPr>
              <w:t>References</w:t>
            </w:r>
          </w:p>
        </w:tc>
      </w:tr>
      <w:tr w:rsidR="00D108FA" w14:paraId="680E5113" w14:textId="77777777">
        <w:trPr>
          <w:trHeight w:hRule="exact" w:val="288"/>
          <w:jc w:val="center"/>
        </w:trPr>
        <w:tc>
          <w:tcPr>
            <w:tcW w:w="1098" w:type="pct"/>
            <w:vMerge w:val="restart"/>
            <w:noWrap/>
            <w:vAlign w:val="center"/>
          </w:tcPr>
          <w:p w14:paraId="35428579" w14:textId="77777777" w:rsidR="00D108FA" w:rsidRDefault="00E82DA6">
            <w:pPr>
              <w:spacing w:after="0" w:line="240" w:lineRule="auto"/>
              <w:rPr>
                <w:rFonts w:ascii="Arial" w:hAnsi="Arial" w:cs="Arial"/>
                <w:iCs/>
                <w:sz w:val="20"/>
                <w:szCs w:val="20"/>
              </w:rPr>
            </w:pPr>
            <w:r>
              <w:rPr>
                <w:rFonts w:ascii="Arial" w:hAnsi="Arial" w:cs="Arial"/>
                <w:iCs/>
                <w:sz w:val="20"/>
                <w:szCs w:val="20"/>
              </w:rPr>
              <w:t>Arunachal Pradesh</w:t>
            </w:r>
          </w:p>
        </w:tc>
        <w:tc>
          <w:tcPr>
            <w:tcW w:w="1065" w:type="pct"/>
            <w:noWrap/>
            <w:vAlign w:val="center"/>
          </w:tcPr>
          <w:p w14:paraId="540754BD" w14:textId="77777777" w:rsidR="00D108FA" w:rsidRDefault="00E82DA6">
            <w:pPr>
              <w:spacing w:after="0" w:line="240" w:lineRule="auto"/>
              <w:rPr>
                <w:rFonts w:ascii="Arial" w:hAnsi="Arial" w:cs="Arial"/>
                <w:iCs/>
                <w:sz w:val="20"/>
                <w:szCs w:val="20"/>
              </w:rPr>
            </w:pPr>
            <w:r>
              <w:rPr>
                <w:rFonts w:ascii="Arial" w:hAnsi="Arial" w:cs="Arial"/>
                <w:iCs/>
                <w:sz w:val="20"/>
                <w:szCs w:val="20"/>
              </w:rPr>
              <w:t>101</w:t>
            </w:r>
          </w:p>
        </w:tc>
        <w:tc>
          <w:tcPr>
            <w:tcW w:w="1011" w:type="pct"/>
            <w:noWrap/>
            <w:vAlign w:val="center"/>
          </w:tcPr>
          <w:p w14:paraId="384AB213" w14:textId="77777777" w:rsidR="00D108FA" w:rsidRDefault="00E82DA6">
            <w:pPr>
              <w:spacing w:after="0" w:line="240" w:lineRule="auto"/>
              <w:rPr>
                <w:rFonts w:ascii="Arial" w:hAnsi="Arial" w:cs="Arial"/>
                <w:iCs/>
                <w:sz w:val="20"/>
                <w:szCs w:val="20"/>
              </w:rPr>
            </w:pPr>
            <w:r>
              <w:rPr>
                <w:rFonts w:ascii="Arial" w:hAnsi="Arial" w:cs="Arial"/>
                <w:iCs/>
                <w:sz w:val="20"/>
                <w:szCs w:val="20"/>
              </w:rPr>
              <w:t>4</w:t>
            </w:r>
          </w:p>
        </w:tc>
        <w:tc>
          <w:tcPr>
            <w:tcW w:w="1826" w:type="pct"/>
            <w:noWrap/>
            <w:vAlign w:val="center"/>
          </w:tcPr>
          <w:p w14:paraId="249E4D75"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Khan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2008)</w:t>
            </w:r>
          </w:p>
        </w:tc>
      </w:tr>
      <w:tr w:rsidR="00D108FA" w14:paraId="6CD43729" w14:textId="77777777">
        <w:trPr>
          <w:trHeight w:hRule="exact" w:val="288"/>
          <w:jc w:val="center"/>
        </w:trPr>
        <w:tc>
          <w:tcPr>
            <w:tcW w:w="1098" w:type="pct"/>
            <w:vMerge/>
            <w:noWrap/>
            <w:vAlign w:val="center"/>
          </w:tcPr>
          <w:p w14:paraId="0849425D" w14:textId="77777777" w:rsidR="00D108FA" w:rsidRDefault="00D108FA">
            <w:pPr>
              <w:spacing w:after="0" w:line="240" w:lineRule="auto"/>
              <w:rPr>
                <w:rFonts w:ascii="Arial" w:hAnsi="Arial" w:cs="Arial"/>
                <w:iCs/>
                <w:sz w:val="20"/>
                <w:szCs w:val="20"/>
              </w:rPr>
            </w:pPr>
          </w:p>
        </w:tc>
        <w:tc>
          <w:tcPr>
            <w:tcW w:w="1065" w:type="pct"/>
            <w:noWrap/>
            <w:vAlign w:val="center"/>
          </w:tcPr>
          <w:p w14:paraId="7D8391F1" w14:textId="77777777" w:rsidR="00D108FA" w:rsidRDefault="00E82DA6">
            <w:pPr>
              <w:spacing w:after="0" w:line="240" w:lineRule="auto"/>
              <w:rPr>
                <w:rFonts w:ascii="Arial" w:hAnsi="Arial" w:cs="Arial"/>
                <w:iCs/>
                <w:sz w:val="20"/>
                <w:szCs w:val="20"/>
              </w:rPr>
            </w:pPr>
            <w:r>
              <w:rPr>
                <w:rFonts w:ascii="Arial" w:hAnsi="Arial" w:cs="Arial"/>
                <w:iCs/>
                <w:sz w:val="20"/>
                <w:szCs w:val="20"/>
              </w:rPr>
              <w:t>58</w:t>
            </w:r>
          </w:p>
        </w:tc>
        <w:tc>
          <w:tcPr>
            <w:tcW w:w="1011" w:type="pct"/>
            <w:noWrap/>
            <w:vAlign w:val="center"/>
          </w:tcPr>
          <w:p w14:paraId="3B82D88A" w14:textId="77777777" w:rsidR="00D108FA" w:rsidRDefault="00E82DA6">
            <w:pPr>
              <w:spacing w:after="0" w:line="240" w:lineRule="auto"/>
              <w:rPr>
                <w:rFonts w:ascii="Arial" w:hAnsi="Arial" w:cs="Arial"/>
                <w:iCs/>
                <w:sz w:val="20"/>
                <w:szCs w:val="20"/>
              </w:rPr>
            </w:pPr>
            <w:r>
              <w:rPr>
                <w:rFonts w:ascii="Arial" w:hAnsi="Arial" w:cs="Arial"/>
                <w:iCs/>
                <w:sz w:val="20"/>
                <w:szCs w:val="20"/>
              </w:rPr>
              <w:t>2</w:t>
            </w:r>
          </w:p>
        </w:tc>
        <w:tc>
          <w:tcPr>
            <w:tcW w:w="1826" w:type="pct"/>
            <w:noWrap/>
            <w:vAlign w:val="center"/>
          </w:tcPr>
          <w:p w14:paraId="25BA0811"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Malhotra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2001)</w:t>
            </w:r>
          </w:p>
        </w:tc>
      </w:tr>
      <w:tr w:rsidR="00D108FA" w14:paraId="5361B872" w14:textId="77777777">
        <w:trPr>
          <w:trHeight w:hRule="exact" w:val="288"/>
          <w:jc w:val="center"/>
        </w:trPr>
        <w:tc>
          <w:tcPr>
            <w:tcW w:w="1098" w:type="pct"/>
            <w:vMerge/>
            <w:noWrap/>
            <w:vAlign w:val="center"/>
          </w:tcPr>
          <w:p w14:paraId="24550892" w14:textId="77777777" w:rsidR="00D108FA" w:rsidRDefault="00D108FA">
            <w:pPr>
              <w:spacing w:after="0" w:line="240" w:lineRule="auto"/>
              <w:rPr>
                <w:rFonts w:ascii="Arial" w:hAnsi="Arial" w:cs="Arial"/>
                <w:iCs/>
                <w:sz w:val="20"/>
                <w:szCs w:val="20"/>
              </w:rPr>
            </w:pPr>
          </w:p>
        </w:tc>
        <w:tc>
          <w:tcPr>
            <w:tcW w:w="1065" w:type="pct"/>
            <w:noWrap/>
            <w:vAlign w:val="center"/>
          </w:tcPr>
          <w:p w14:paraId="6D36996F" w14:textId="77777777" w:rsidR="00D108FA" w:rsidRDefault="00E82DA6">
            <w:pPr>
              <w:spacing w:after="0" w:line="240" w:lineRule="auto"/>
              <w:rPr>
                <w:rFonts w:ascii="Arial" w:hAnsi="Arial" w:cs="Arial"/>
                <w:iCs/>
                <w:sz w:val="20"/>
                <w:szCs w:val="20"/>
              </w:rPr>
            </w:pPr>
            <w:r>
              <w:rPr>
                <w:rFonts w:ascii="Arial" w:hAnsi="Arial" w:cs="Arial"/>
                <w:iCs/>
                <w:sz w:val="20"/>
                <w:szCs w:val="20"/>
              </w:rPr>
              <w:t>29</w:t>
            </w:r>
          </w:p>
        </w:tc>
        <w:tc>
          <w:tcPr>
            <w:tcW w:w="1011" w:type="pct"/>
            <w:noWrap/>
            <w:vAlign w:val="center"/>
          </w:tcPr>
          <w:p w14:paraId="62A933B4" w14:textId="77777777" w:rsidR="00D108FA" w:rsidRDefault="00E82DA6">
            <w:pPr>
              <w:spacing w:after="0" w:line="240" w:lineRule="auto"/>
              <w:rPr>
                <w:rFonts w:ascii="Arial" w:hAnsi="Arial" w:cs="Arial"/>
                <w:iCs/>
                <w:sz w:val="20"/>
                <w:szCs w:val="20"/>
              </w:rPr>
            </w:pPr>
            <w:r>
              <w:rPr>
                <w:rFonts w:ascii="Arial" w:hAnsi="Arial" w:cs="Arial"/>
                <w:iCs/>
                <w:sz w:val="20"/>
                <w:szCs w:val="20"/>
              </w:rPr>
              <w:t>2</w:t>
            </w:r>
          </w:p>
        </w:tc>
        <w:tc>
          <w:tcPr>
            <w:tcW w:w="1826" w:type="pct"/>
            <w:noWrap/>
            <w:vAlign w:val="center"/>
          </w:tcPr>
          <w:p w14:paraId="10316E50"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Hui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2016)</w:t>
            </w:r>
          </w:p>
        </w:tc>
      </w:tr>
      <w:tr w:rsidR="00D108FA" w14:paraId="1854F168" w14:textId="77777777">
        <w:trPr>
          <w:trHeight w:hRule="exact" w:val="288"/>
          <w:jc w:val="center"/>
        </w:trPr>
        <w:tc>
          <w:tcPr>
            <w:tcW w:w="1098" w:type="pct"/>
            <w:vMerge w:val="restart"/>
            <w:noWrap/>
            <w:vAlign w:val="center"/>
          </w:tcPr>
          <w:p w14:paraId="66EDCEE5" w14:textId="77777777" w:rsidR="00D108FA" w:rsidRDefault="00E82DA6">
            <w:pPr>
              <w:spacing w:after="0" w:line="240" w:lineRule="auto"/>
              <w:rPr>
                <w:rFonts w:ascii="Arial" w:hAnsi="Arial" w:cs="Arial"/>
                <w:iCs/>
                <w:sz w:val="20"/>
                <w:szCs w:val="20"/>
              </w:rPr>
            </w:pPr>
            <w:r>
              <w:rPr>
                <w:rFonts w:ascii="Arial" w:hAnsi="Arial" w:cs="Arial"/>
                <w:iCs/>
                <w:sz w:val="20"/>
                <w:szCs w:val="20"/>
              </w:rPr>
              <w:t>Assam</w:t>
            </w:r>
          </w:p>
        </w:tc>
        <w:tc>
          <w:tcPr>
            <w:tcW w:w="1065" w:type="pct"/>
            <w:noWrap/>
            <w:vAlign w:val="center"/>
          </w:tcPr>
          <w:p w14:paraId="4C270D18" w14:textId="77777777" w:rsidR="00D108FA" w:rsidRDefault="00E82DA6">
            <w:pPr>
              <w:spacing w:after="0" w:line="240" w:lineRule="auto"/>
              <w:rPr>
                <w:rFonts w:ascii="Arial" w:hAnsi="Arial" w:cs="Arial"/>
                <w:iCs/>
                <w:sz w:val="20"/>
                <w:szCs w:val="20"/>
              </w:rPr>
            </w:pPr>
            <w:r>
              <w:rPr>
                <w:rFonts w:ascii="Arial" w:hAnsi="Arial" w:cs="Arial"/>
                <w:iCs/>
                <w:sz w:val="20"/>
                <w:szCs w:val="20"/>
              </w:rPr>
              <w:t>12</w:t>
            </w:r>
          </w:p>
        </w:tc>
        <w:tc>
          <w:tcPr>
            <w:tcW w:w="1011" w:type="pct"/>
            <w:noWrap/>
            <w:vAlign w:val="center"/>
          </w:tcPr>
          <w:p w14:paraId="112E2CC3" w14:textId="77777777" w:rsidR="00D108FA" w:rsidRDefault="00E82DA6">
            <w:pPr>
              <w:spacing w:after="0" w:line="240" w:lineRule="auto"/>
              <w:rPr>
                <w:rFonts w:ascii="Arial" w:hAnsi="Arial" w:cs="Arial"/>
                <w:iCs/>
                <w:sz w:val="20"/>
                <w:szCs w:val="20"/>
              </w:rPr>
            </w:pPr>
            <w:r>
              <w:rPr>
                <w:rFonts w:ascii="Arial" w:hAnsi="Arial" w:cs="Arial"/>
                <w:iCs/>
                <w:sz w:val="20"/>
                <w:szCs w:val="20"/>
              </w:rPr>
              <w:t>1</w:t>
            </w:r>
          </w:p>
        </w:tc>
        <w:tc>
          <w:tcPr>
            <w:tcW w:w="1826" w:type="pct"/>
            <w:noWrap/>
            <w:vAlign w:val="center"/>
          </w:tcPr>
          <w:p w14:paraId="3377DC8E" w14:textId="77777777" w:rsidR="00D108FA" w:rsidRDefault="00E82DA6">
            <w:pPr>
              <w:spacing w:after="0" w:line="240" w:lineRule="auto"/>
              <w:rPr>
                <w:rFonts w:ascii="Arial" w:hAnsi="Arial" w:cs="Arial"/>
                <w:iCs/>
                <w:sz w:val="20"/>
                <w:szCs w:val="20"/>
              </w:rPr>
            </w:pPr>
            <w:r>
              <w:rPr>
                <w:rFonts w:ascii="Arial" w:hAnsi="Arial" w:cs="Arial"/>
                <w:iCs/>
                <w:sz w:val="20"/>
                <w:szCs w:val="20"/>
              </w:rPr>
              <w:t>Medhi and Borthakur (2013)</w:t>
            </w:r>
          </w:p>
        </w:tc>
      </w:tr>
      <w:tr w:rsidR="00D108FA" w14:paraId="61A5AFE7" w14:textId="77777777">
        <w:trPr>
          <w:trHeight w:hRule="exact" w:val="288"/>
          <w:jc w:val="center"/>
        </w:trPr>
        <w:tc>
          <w:tcPr>
            <w:tcW w:w="1098" w:type="pct"/>
            <w:vMerge/>
            <w:noWrap/>
            <w:vAlign w:val="center"/>
          </w:tcPr>
          <w:p w14:paraId="0DBDD0A4" w14:textId="77777777" w:rsidR="00D108FA" w:rsidRDefault="00D108FA">
            <w:pPr>
              <w:spacing w:after="0" w:line="240" w:lineRule="auto"/>
              <w:rPr>
                <w:rFonts w:ascii="Arial" w:hAnsi="Arial" w:cs="Arial"/>
                <w:iCs/>
                <w:sz w:val="20"/>
                <w:szCs w:val="20"/>
              </w:rPr>
            </w:pPr>
          </w:p>
        </w:tc>
        <w:tc>
          <w:tcPr>
            <w:tcW w:w="1065" w:type="pct"/>
            <w:noWrap/>
            <w:vAlign w:val="center"/>
          </w:tcPr>
          <w:p w14:paraId="45F9DD59" w14:textId="77777777" w:rsidR="00D108FA" w:rsidRDefault="00E82DA6">
            <w:pPr>
              <w:spacing w:after="0" w:line="240" w:lineRule="auto"/>
              <w:rPr>
                <w:rFonts w:ascii="Arial" w:hAnsi="Arial" w:cs="Arial"/>
                <w:iCs/>
                <w:sz w:val="20"/>
                <w:szCs w:val="20"/>
              </w:rPr>
            </w:pPr>
            <w:r>
              <w:rPr>
                <w:rFonts w:ascii="Arial" w:hAnsi="Arial" w:cs="Arial"/>
                <w:iCs/>
                <w:sz w:val="20"/>
                <w:szCs w:val="20"/>
              </w:rPr>
              <w:t>17</w:t>
            </w:r>
          </w:p>
        </w:tc>
        <w:tc>
          <w:tcPr>
            <w:tcW w:w="1011" w:type="pct"/>
            <w:noWrap/>
            <w:vAlign w:val="center"/>
          </w:tcPr>
          <w:p w14:paraId="1DAD7AE6" w14:textId="77777777" w:rsidR="00D108FA" w:rsidRDefault="00E82DA6">
            <w:pPr>
              <w:spacing w:after="0" w:line="240" w:lineRule="auto"/>
              <w:rPr>
                <w:rFonts w:ascii="Arial" w:hAnsi="Arial" w:cs="Arial"/>
                <w:iCs/>
                <w:sz w:val="20"/>
                <w:szCs w:val="20"/>
              </w:rPr>
            </w:pPr>
            <w:r>
              <w:rPr>
                <w:rFonts w:ascii="Arial" w:hAnsi="Arial" w:cs="Arial"/>
                <w:iCs/>
                <w:sz w:val="20"/>
                <w:szCs w:val="20"/>
              </w:rPr>
              <w:t>1</w:t>
            </w:r>
          </w:p>
        </w:tc>
        <w:tc>
          <w:tcPr>
            <w:tcW w:w="1826" w:type="pct"/>
            <w:noWrap/>
            <w:vAlign w:val="center"/>
          </w:tcPr>
          <w:p w14:paraId="23507BAF" w14:textId="77777777" w:rsidR="00D108FA" w:rsidRDefault="00E82DA6">
            <w:pPr>
              <w:spacing w:after="0" w:line="240" w:lineRule="auto"/>
              <w:rPr>
                <w:rFonts w:ascii="Arial" w:hAnsi="Arial" w:cs="Arial"/>
                <w:iCs/>
                <w:sz w:val="20"/>
                <w:szCs w:val="20"/>
                <w:lang w:val="en-IN"/>
              </w:rPr>
            </w:pPr>
            <w:r>
              <w:rPr>
                <w:rFonts w:ascii="Arial" w:hAnsi="Arial" w:cs="Arial"/>
                <w:iCs/>
                <w:sz w:val="20"/>
                <w:szCs w:val="20"/>
              </w:rPr>
              <w:t>https://www.cpreecenvis.nic.in</w:t>
            </w:r>
          </w:p>
        </w:tc>
      </w:tr>
      <w:tr w:rsidR="00D108FA" w14:paraId="31F83B3F" w14:textId="77777777">
        <w:trPr>
          <w:trHeight w:hRule="exact" w:val="288"/>
          <w:jc w:val="center"/>
        </w:trPr>
        <w:tc>
          <w:tcPr>
            <w:tcW w:w="1098" w:type="pct"/>
            <w:vMerge/>
            <w:noWrap/>
            <w:vAlign w:val="center"/>
          </w:tcPr>
          <w:p w14:paraId="2C5A2E20" w14:textId="77777777" w:rsidR="00D108FA" w:rsidRDefault="00D108FA">
            <w:pPr>
              <w:spacing w:after="0" w:line="240" w:lineRule="auto"/>
              <w:rPr>
                <w:rFonts w:ascii="Arial" w:hAnsi="Arial" w:cs="Arial"/>
                <w:iCs/>
                <w:sz w:val="20"/>
                <w:szCs w:val="20"/>
              </w:rPr>
            </w:pPr>
          </w:p>
        </w:tc>
        <w:tc>
          <w:tcPr>
            <w:tcW w:w="1065" w:type="pct"/>
            <w:noWrap/>
            <w:vAlign w:val="center"/>
          </w:tcPr>
          <w:p w14:paraId="1AA8491C" w14:textId="77777777" w:rsidR="00D108FA" w:rsidRDefault="00E82DA6">
            <w:pPr>
              <w:spacing w:after="0" w:line="240" w:lineRule="auto"/>
              <w:rPr>
                <w:rFonts w:ascii="Arial" w:hAnsi="Arial" w:cs="Arial"/>
                <w:iCs/>
                <w:sz w:val="20"/>
                <w:szCs w:val="20"/>
              </w:rPr>
            </w:pPr>
            <w:r>
              <w:rPr>
                <w:rFonts w:ascii="Arial" w:hAnsi="Arial" w:cs="Arial"/>
                <w:iCs/>
                <w:sz w:val="20"/>
                <w:szCs w:val="20"/>
              </w:rPr>
              <w:t>40</w:t>
            </w:r>
          </w:p>
        </w:tc>
        <w:tc>
          <w:tcPr>
            <w:tcW w:w="1011" w:type="pct"/>
            <w:noWrap/>
            <w:vAlign w:val="center"/>
          </w:tcPr>
          <w:p w14:paraId="45097596"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16F0E119" w14:textId="77777777" w:rsidR="00D108FA" w:rsidRDefault="00E82DA6">
            <w:pPr>
              <w:spacing w:after="0" w:line="240" w:lineRule="auto"/>
              <w:rPr>
                <w:rFonts w:ascii="Arial" w:hAnsi="Arial" w:cs="Arial"/>
                <w:iCs/>
                <w:sz w:val="20"/>
                <w:szCs w:val="20"/>
                <w:highlight w:val="yellow"/>
                <w:lang w:val="en-IN"/>
              </w:rPr>
            </w:pPr>
            <w:r>
              <w:rPr>
                <w:rFonts w:ascii="Arial" w:hAnsi="Arial" w:cs="Arial"/>
                <w:iCs/>
                <w:sz w:val="20"/>
                <w:szCs w:val="20"/>
              </w:rPr>
              <w:t>https://www.thenortheasttoday.com</w:t>
            </w:r>
          </w:p>
        </w:tc>
      </w:tr>
      <w:tr w:rsidR="00D108FA" w14:paraId="238FC5CC" w14:textId="77777777">
        <w:trPr>
          <w:trHeight w:hRule="exact" w:val="288"/>
          <w:jc w:val="center"/>
        </w:trPr>
        <w:tc>
          <w:tcPr>
            <w:tcW w:w="1098" w:type="pct"/>
            <w:vMerge w:val="restart"/>
            <w:noWrap/>
            <w:vAlign w:val="center"/>
          </w:tcPr>
          <w:p w14:paraId="1B05BE73" w14:textId="77777777" w:rsidR="00D108FA" w:rsidRDefault="00E82DA6">
            <w:pPr>
              <w:spacing w:after="0" w:line="240" w:lineRule="auto"/>
              <w:rPr>
                <w:rFonts w:ascii="Arial" w:hAnsi="Arial" w:cs="Arial"/>
                <w:iCs/>
                <w:sz w:val="20"/>
                <w:szCs w:val="20"/>
              </w:rPr>
            </w:pPr>
            <w:r>
              <w:rPr>
                <w:rFonts w:ascii="Arial" w:hAnsi="Arial" w:cs="Arial"/>
                <w:iCs/>
                <w:sz w:val="20"/>
                <w:szCs w:val="20"/>
              </w:rPr>
              <w:t>Manipur</w:t>
            </w:r>
          </w:p>
        </w:tc>
        <w:tc>
          <w:tcPr>
            <w:tcW w:w="1065" w:type="pct"/>
            <w:noWrap/>
            <w:vAlign w:val="center"/>
          </w:tcPr>
          <w:p w14:paraId="4667FE18" w14:textId="77777777" w:rsidR="00D108FA" w:rsidRDefault="00E82DA6">
            <w:pPr>
              <w:spacing w:after="0" w:line="240" w:lineRule="auto"/>
              <w:rPr>
                <w:rFonts w:ascii="Arial" w:hAnsi="Arial" w:cs="Arial"/>
                <w:iCs/>
                <w:sz w:val="20"/>
                <w:szCs w:val="20"/>
              </w:rPr>
            </w:pPr>
            <w:r>
              <w:rPr>
                <w:rFonts w:ascii="Arial" w:hAnsi="Arial" w:cs="Arial"/>
                <w:iCs/>
                <w:sz w:val="20"/>
                <w:szCs w:val="20"/>
              </w:rPr>
              <w:t>365</w:t>
            </w:r>
          </w:p>
        </w:tc>
        <w:tc>
          <w:tcPr>
            <w:tcW w:w="1011" w:type="pct"/>
            <w:noWrap/>
            <w:vAlign w:val="center"/>
          </w:tcPr>
          <w:p w14:paraId="1E8BC107"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7278E901" w14:textId="77777777" w:rsidR="00D108FA" w:rsidRDefault="00E82DA6">
            <w:pPr>
              <w:spacing w:after="0" w:line="240" w:lineRule="auto"/>
              <w:rPr>
                <w:rFonts w:ascii="Arial" w:hAnsi="Arial" w:cs="Arial"/>
                <w:iCs/>
                <w:sz w:val="20"/>
                <w:szCs w:val="20"/>
              </w:rPr>
            </w:pPr>
            <w:r>
              <w:rPr>
                <w:rFonts w:ascii="Arial" w:hAnsi="Arial" w:cs="Arial"/>
                <w:iCs/>
                <w:sz w:val="20"/>
                <w:szCs w:val="20"/>
              </w:rPr>
              <w:t>Devi (2000)</w:t>
            </w:r>
          </w:p>
        </w:tc>
      </w:tr>
      <w:tr w:rsidR="00D108FA" w14:paraId="570A550E" w14:textId="77777777">
        <w:trPr>
          <w:trHeight w:hRule="exact" w:val="288"/>
          <w:jc w:val="center"/>
        </w:trPr>
        <w:tc>
          <w:tcPr>
            <w:tcW w:w="1098" w:type="pct"/>
            <w:vMerge/>
            <w:noWrap/>
            <w:vAlign w:val="center"/>
          </w:tcPr>
          <w:p w14:paraId="5DA3F574" w14:textId="77777777" w:rsidR="00D108FA" w:rsidRDefault="00D108FA">
            <w:pPr>
              <w:spacing w:after="0" w:line="240" w:lineRule="auto"/>
              <w:rPr>
                <w:rFonts w:ascii="Arial" w:hAnsi="Arial" w:cs="Arial"/>
                <w:iCs/>
                <w:sz w:val="20"/>
                <w:szCs w:val="20"/>
              </w:rPr>
            </w:pPr>
          </w:p>
        </w:tc>
        <w:tc>
          <w:tcPr>
            <w:tcW w:w="1065" w:type="pct"/>
            <w:noWrap/>
            <w:vAlign w:val="center"/>
          </w:tcPr>
          <w:p w14:paraId="760C54E1" w14:textId="77777777" w:rsidR="00D108FA" w:rsidRDefault="00E82DA6">
            <w:pPr>
              <w:spacing w:after="0" w:line="240" w:lineRule="auto"/>
              <w:rPr>
                <w:rFonts w:ascii="Arial" w:hAnsi="Arial" w:cs="Arial"/>
                <w:iCs/>
                <w:sz w:val="20"/>
                <w:szCs w:val="20"/>
              </w:rPr>
            </w:pPr>
            <w:r>
              <w:rPr>
                <w:rFonts w:ascii="Arial" w:hAnsi="Arial" w:cs="Arial"/>
                <w:iCs/>
                <w:sz w:val="20"/>
                <w:szCs w:val="20"/>
              </w:rPr>
              <w:t>166</w:t>
            </w:r>
          </w:p>
        </w:tc>
        <w:tc>
          <w:tcPr>
            <w:tcW w:w="1011" w:type="pct"/>
            <w:noWrap/>
            <w:vAlign w:val="center"/>
          </w:tcPr>
          <w:p w14:paraId="5221319A" w14:textId="77777777" w:rsidR="00D108FA" w:rsidRDefault="00E82DA6">
            <w:pPr>
              <w:spacing w:after="0" w:line="240" w:lineRule="auto"/>
              <w:rPr>
                <w:rFonts w:ascii="Arial" w:hAnsi="Arial" w:cs="Arial"/>
                <w:iCs/>
                <w:sz w:val="20"/>
                <w:szCs w:val="20"/>
              </w:rPr>
            </w:pPr>
            <w:r>
              <w:rPr>
                <w:rFonts w:ascii="Arial" w:hAnsi="Arial" w:cs="Arial"/>
                <w:iCs/>
                <w:sz w:val="20"/>
                <w:szCs w:val="20"/>
              </w:rPr>
              <w:t>4</w:t>
            </w:r>
          </w:p>
        </w:tc>
        <w:tc>
          <w:tcPr>
            <w:tcW w:w="1826" w:type="pct"/>
            <w:noWrap/>
            <w:vAlign w:val="center"/>
          </w:tcPr>
          <w:p w14:paraId="5E78B025" w14:textId="77777777" w:rsidR="00D108FA" w:rsidRDefault="00E82DA6">
            <w:pPr>
              <w:spacing w:after="0" w:line="240" w:lineRule="auto"/>
              <w:rPr>
                <w:rFonts w:ascii="Arial" w:hAnsi="Arial" w:cs="Arial"/>
                <w:bCs/>
                <w:iCs/>
                <w:sz w:val="20"/>
                <w:szCs w:val="20"/>
              </w:rPr>
            </w:pPr>
            <w:proofErr w:type="spellStart"/>
            <w:r>
              <w:rPr>
                <w:rFonts w:ascii="Arial" w:hAnsi="Arial" w:cs="Arial"/>
                <w:bCs/>
                <w:iCs/>
                <w:sz w:val="20"/>
                <w:szCs w:val="20"/>
              </w:rPr>
              <w:t>Khumbongmayum</w:t>
            </w:r>
            <w:proofErr w:type="spellEnd"/>
            <w:r>
              <w:rPr>
                <w:rFonts w:ascii="Arial" w:hAnsi="Arial" w:cs="Arial"/>
                <w:bCs/>
                <w:iCs/>
                <w:sz w:val="20"/>
                <w:szCs w:val="20"/>
              </w:rPr>
              <w:t xml:space="preserve"> </w:t>
            </w:r>
            <w:proofErr w:type="gramStart"/>
            <w:r>
              <w:rPr>
                <w:rFonts w:ascii="Arial" w:hAnsi="Arial" w:cs="Arial"/>
                <w:bCs/>
                <w:sz w:val="20"/>
                <w:szCs w:val="20"/>
              </w:rPr>
              <w:t>et al.</w:t>
            </w:r>
            <w:r>
              <w:rPr>
                <w:rFonts w:ascii="Arial" w:hAnsi="Arial" w:cs="Arial"/>
                <w:bCs/>
                <w:iCs/>
                <w:sz w:val="20"/>
                <w:szCs w:val="20"/>
              </w:rPr>
              <w:t>(</w:t>
            </w:r>
            <w:proofErr w:type="gramEnd"/>
            <w:r>
              <w:rPr>
                <w:rFonts w:ascii="Arial" w:hAnsi="Arial" w:cs="Arial"/>
                <w:bCs/>
                <w:iCs/>
                <w:sz w:val="20"/>
                <w:szCs w:val="20"/>
              </w:rPr>
              <w:t>2004)</w:t>
            </w:r>
          </w:p>
        </w:tc>
      </w:tr>
      <w:tr w:rsidR="00D108FA" w14:paraId="6E4AFFF0" w14:textId="77777777">
        <w:trPr>
          <w:trHeight w:hRule="exact" w:val="288"/>
          <w:jc w:val="center"/>
        </w:trPr>
        <w:tc>
          <w:tcPr>
            <w:tcW w:w="1098" w:type="pct"/>
            <w:vMerge w:val="restart"/>
            <w:noWrap/>
            <w:vAlign w:val="center"/>
          </w:tcPr>
          <w:p w14:paraId="426DDD37" w14:textId="77777777" w:rsidR="00D108FA" w:rsidRDefault="00E82DA6">
            <w:pPr>
              <w:spacing w:after="0" w:line="240" w:lineRule="auto"/>
              <w:rPr>
                <w:rFonts w:ascii="Arial" w:hAnsi="Arial" w:cs="Arial"/>
                <w:iCs/>
                <w:sz w:val="20"/>
                <w:szCs w:val="20"/>
              </w:rPr>
            </w:pPr>
            <w:r>
              <w:rPr>
                <w:rFonts w:ascii="Arial" w:hAnsi="Arial" w:cs="Arial"/>
                <w:iCs/>
                <w:sz w:val="20"/>
                <w:szCs w:val="20"/>
              </w:rPr>
              <w:t>Meghalaya</w:t>
            </w:r>
          </w:p>
        </w:tc>
        <w:tc>
          <w:tcPr>
            <w:tcW w:w="1065" w:type="pct"/>
            <w:noWrap/>
            <w:vAlign w:val="center"/>
          </w:tcPr>
          <w:p w14:paraId="0BCC6CBD" w14:textId="77777777" w:rsidR="00D108FA" w:rsidRDefault="00E82DA6">
            <w:pPr>
              <w:spacing w:after="0" w:line="240" w:lineRule="auto"/>
              <w:rPr>
                <w:rFonts w:ascii="Arial" w:hAnsi="Arial" w:cs="Arial"/>
                <w:iCs/>
                <w:sz w:val="20"/>
                <w:szCs w:val="20"/>
              </w:rPr>
            </w:pPr>
            <w:r>
              <w:rPr>
                <w:rFonts w:ascii="Arial" w:hAnsi="Arial" w:cs="Arial"/>
                <w:iCs/>
                <w:sz w:val="20"/>
                <w:szCs w:val="20"/>
              </w:rPr>
              <w:t>79</w:t>
            </w:r>
          </w:p>
        </w:tc>
        <w:tc>
          <w:tcPr>
            <w:tcW w:w="1011" w:type="pct"/>
            <w:noWrap/>
            <w:vAlign w:val="center"/>
          </w:tcPr>
          <w:p w14:paraId="3C743566"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5131605F"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Tiwari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2008)</w:t>
            </w:r>
          </w:p>
        </w:tc>
      </w:tr>
      <w:tr w:rsidR="00D108FA" w14:paraId="0A97F293" w14:textId="77777777">
        <w:trPr>
          <w:trHeight w:hRule="exact" w:val="288"/>
          <w:jc w:val="center"/>
        </w:trPr>
        <w:tc>
          <w:tcPr>
            <w:tcW w:w="1098" w:type="pct"/>
            <w:vMerge/>
            <w:noWrap/>
            <w:vAlign w:val="center"/>
          </w:tcPr>
          <w:p w14:paraId="4E499BD0" w14:textId="77777777" w:rsidR="00D108FA" w:rsidRDefault="00D108FA">
            <w:pPr>
              <w:spacing w:after="0" w:line="240" w:lineRule="auto"/>
              <w:rPr>
                <w:rFonts w:ascii="Arial" w:hAnsi="Arial" w:cs="Arial"/>
                <w:iCs/>
                <w:sz w:val="20"/>
                <w:szCs w:val="20"/>
              </w:rPr>
            </w:pPr>
          </w:p>
        </w:tc>
        <w:tc>
          <w:tcPr>
            <w:tcW w:w="1065" w:type="pct"/>
            <w:noWrap/>
            <w:vAlign w:val="center"/>
          </w:tcPr>
          <w:p w14:paraId="78EB5DB1" w14:textId="77777777" w:rsidR="00D108FA" w:rsidRDefault="00E82DA6">
            <w:pPr>
              <w:spacing w:after="0" w:line="240" w:lineRule="auto"/>
              <w:rPr>
                <w:rFonts w:ascii="Arial" w:hAnsi="Arial" w:cs="Arial"/>
                <w:iCs/>
                <w:sz w:val="20"/>
                <w:szCs w:val="20"/>
              </w:rPr>
            </w:pPr>
            <w:r>
              <w:rPr>
                <w:rFonts w:ascii="Arial" w:hAnsi="Arial" w:cs="Arial"/>
                <w:iCs/>
                <w:sz w:val="20"/>
                <w:szCs w:val="20"/>
              </w:rPr>
              <w:t>101</w:t>
            </w:r>
          </w:p>
        </w:tc>
        <w:tc>
          <w:tcPr>
            <w:tcW w:w="1011" w:type="pct"/>
            <w:noWrap/>
            <w:vAlign w:val="center"/>
          </w:tcPr>
          <w:p w14:paraId="7876350D"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69DE2756" w14:textId="77777777" w:rsidR="00D108FA" w:rsidRDefault="00E82DA6">
            <w:pPr>
              <w:spacing w:after="0" w:line="240" w:lineRule="auto"/>
              <w:rPr>
                <w:rFonts w:ascii="Arial" w:hAnsi="Arial" w:cs="Arial"/>
                <w:iCs/>
                <w:sz w:val="20"/>
                <w:szCs w:val="20"/>
              </w:rPr>
            </w:pPr>
            <w:r>
              <w:rPr>
                <w:rFonts w:ascii="Arial" w:hAnsi="Arial" w:cs="Arial"/>
                <w:iCs/>
                <w:sz w:val="20"/>
                <w:szCs w:val="20"/>
              </w:rPr>
              <w:t>https://www.cpreecenvis.nic.in</w:t>
            </w:r>
          </w:p>
        </w:tc>
      </w:tr>
      <w:tr w:rsidR="00D108FA" w14:paraId="69124BA4" w14:textId="77777777">
        <w:trPr>
          <w:trHeight w:hRule="exact" w:val="288"/>
          <w:jc w:val="center"/>
        </w:trPr>
        <w:tc>
          <w:tcPr>
            <w:tcW w:w="1098" w:type="pct"/>
            <w:vMerge/>
            <w:noWrap/>
            <w:vAlign w:val="center"/>
          </w:tcPr>
          <w:p w14:paraId="0241AD33" w14:textId="77777777" w:rsidR="00D108FA" w:rsidRDefault="00D108FA">
            <w:pPr>
              <w:spacing w:after="0" w:line="240" w:lineRule="auto"/>
              <w:rPr>
                <w:rFonts w:ascii="Arial" w:hAnsi="Arial" w:cs="Arial"/>
                <w:iCs/>
                <w:sz w:val="20"/>
                <w:szCs w:val="20"/>
              </w:rPr>
            </w:pPr>
          </w:p>
        </w:tc>
        <w:tc>
          <w:tcPr>
            <w:tcW w:w="1065" w:type="pct"/>
            <w:noWrap/>
            <w:vAlign w:val="center"/>
          </w:tcPr>
          <w:p w14:paraId="2C9E2F0E" w14:textId="77777777" w:rsidR="00D108FA" w:rsidRDefault="00E82DA6">
            <w:pPr>
              <w:spacing w:after="0" w:line="240" w:lineRule="auto"/>
              <w:rPr>
                <w:rFonts w:ascii="Arial" w:hAnsi="Arial" w:cs="Arial"/>
                <w:iCs/>
                <w:sz w:val="20"/>
                <w:szCs w:val="20"/>
              </w:rPr>
            </w:pPr>
            <w:r>
              <w:rPr>
                <w:rFonts w:ascii="Arial" w:hAnsi="Arial" w:cs="Arial"/>
                <w:iCs/>
                <w:sz w:val="20"/>
                <w:szCs w:val="20"/>
              </w:rPr>
              <w:t>56</w:t>
            </w:r>
          </w:p>
        </w:tc>
        <w:tc>
          <w:tcPr>
            <w:tcW w:w="1011" w:type="pct"/>
            <w:noWrap/>
            <w:vAlign w:val="center"/>
          </w:tcPr>
          <w:p w14:paraId="4B800866" w14:textId="77777777" w:rsidR="00D108FA" w:rsidRDefault="00E82DA6">
            <w:pPr>
              <w:spacing w:after="0" w:line="240" w:lineRule="auto"/>
              <w:rPr>
                <w:rFonts w:ascii="Arial" w:hAnsi="Arial" w:cs="Arial"/>
                <w:iCs/>
                <w:sz w:val="20"/>
                <w:szCs w:val="20"/>
              </w:rPr>
            </w:pPr>
            <w:r>
              <w:rPr>
                <w:rFonts w:ascii="Arial" w:hAnsi="Arial" w:cs="Arial"/>
                <w:iCs/>
                <w:sz w:val="20"/>
                <w:szCs w:val="20"/>
              </w:rPr>
              <w:t>1</w:t>
            </w:r>
          </w:p>
        </w:tc>
        <w:tc>
          <w:tcPr>
            <w:tcW w:w="1826" w:type="pct"/>
            <w:noWrap/>
            <w:vAlign w:val="center"/>
          </w:tcPr>
          <w:p w14:paraId="09CF1982"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Mohanta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2009)</w:t>
            </w:r>
          </w:p>
        </w:tc>
      </w:tr>
      <w:tr w:rsidR="00D108FA" w14:paraId="2DF2FC16" w14:textId="77777777">
        <w:trPr>
          <w:trHeight w:hRule="exact" w:val="288"/>
          <w:jc w:val="center"/>
        </w:trPr>
        <w:tc>
          <w:tcPr>
            <w:tcW w:w="1098" w:type="pct"/>
            <w:noWrap/>
            <w:vAlign w:val="center"/>
          </w:tcPr>
          <w:p w14:paraId="7DECD45A" w14:textId="77777777" w:rsidR="00D108FA" w:rsidRDefault="00E82DA6">
            <w:pPr>
              <w:spacing w:after="0" w:line="240" w:lineRule="auto"/>
              <w:rPr>
                <w:rFonts w:ascii="Arial" w:hAnsi="Arial" w:cs="Arial"/>
                <w:iCs/>
                <w:sz w:val="20"/>
                <w:szCs w:val="20"/>
              </w:rPr>
            </w:pPr>
            <w:r>
              <w:rPr>
                <w:rFonts w:ascii="Arial" w:hAnsi="Arial" w:cs="Arial"/>
                <w:iCs/>
                <w:sz w:val="20"/>
                <w:szCs w:val="20"/>
              </w:rPr>
              <w:t>Nagaland</w:t>
            </w:r>
          </w:p>
        </w:tc>
        <w:tc>
          <w:tcPr>
            <w:tcW w:w="1065" w:type="pct"/>
            <w:noWrap/>
            <w:vAlign w:val="center"/>
          </w:tcPr>
          <w:p w14:paraId="019B719E" w14:textId="77777777" w:rsidR="00D108FA" w:rsidRDefault="00E82DA6">
            <w:pPr>
              <w:spacing w:after="0" w:line="240" w:lineRule="auto"/>
              <w:rPr>
                <w:rFonts w:ascii="Arial" w:hAnsi="Arial" w:cs="Arial"/>
                <w:iCs/>
                <w:sz w:val="20"/>
                <w:szCs w:val="20"/>
              </w:rPr>
            </w:pPr>
            <w:r>
              <w:rPr>
                <w:rFonts w:ascii="Arial" w:hAnsi="Arial" w:cs="Arial"/>
                <w:iCs/>
                <w:sz w:val="20"/>
                <w:szCs w:val="20"/>
              </w:rPr>
              <w:t>27</w:t>
            </w:r>
          </w:p>
        </w:tc>
        <w:tc>
          <w:tcPr>
            <w:tcW w:w="1011" w:type="pct"/>
            <w:noWrap/>
            <w:vAlign w:val="center"/>
          </w:tcPr>
          <w:p w14:paraId="436263AF"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30970DA3" w14:textId="77777777" w:rsidR="00D108FA" w:rsidRDefault="00E82DA6">
            <w:pPr>
              <w:spacing w:after="0" w:line="240" w:lineRule="auto"/>
              <w:rPr>
                <w:rFonts w:ascii="Arial" w:hAnsi="Arial" w:cs="Arial"/>
                <w:iCs/>
                <w:sz w:val="20"/>
                <w:szCs w:val="20"/>
              </w:rPr>
            </w:pPr>
            <w:r>
              <w:rPr>
                <w:rFonts w:ascii="Arial" w:hAnsi="Arial" w:cs="Arial"/>
                <w:iCs/>
                <w:sz w:val="20"/>
                <w:szCs w:val="20"/>
              </w:rPr>
              <w:t>Ao (2014)</w:t>
            </w:r>
          </w:p>
        </w:tc>
      </w:tr>
      <w:tr w:rsidR="00D108FA" w14:paraId="75B56FEC" w14:textId="77777777">
        <w:trPr>
          <w:trHeight w:hRule="exact" w:val="288"/>
          <w:jc w:val="center"/>
        </w:trPr>
        <w:tc>
          <w:tcPr>
            <w:tcW w:w="1098" w:type="pct"/>
            <w:noWrap/>
            <w:vAlign w:val="center"/>
          </w:tcPr>
          <w:p w14:paraId="5DBD919C" w14:textId="77777777" w:rsidR="00D108FA" w:rsidRDefault="00E82DA6">
            <w:pPr>
              <w:spacing w:after="0" w:line="240" w:lineRule="auto"/>
              <w:rPr>
                <w:rFonts w:ascii="Arial" w:hAnsi="Arial" w:cs="Arial"/>
                <w:iCs/>
                <w:sz w:val="20"/>
                <w:szCs w:val="20"/>
              </w:rPr>
            </w:pPr>
            <w:r>
              <w:rPr>
                <w:rFonts w:ascii="Arial" w:hAnsi="Arial" w:cs="Arial"/>
                <w:iCs/>
                <w:sz w:val="20"/>
                <w:szCs w:val="20"/>
              </w:rPr>
              <w:t>Sikkim</w:t>
            </w:r>
          </w:p>
        </w:tc>
        <w:tc>
          <w:tcPr>
            <w:tcW w:w="1065" w:type="pct"/>
            <w:noWrap/>
            <w:vAlign w:val="center"/>
          </w:tcPr>
          <w:p w14:paraId="4C8801A9" w14:textId="77777777" w:rsidR="00D108FA" w:rsidRDefault="00E82DA6">
            <w:pPr>
              <w:spacing w:after="0" w:line="240" w:lineRule="auto"/>
              <w:rPr>
                <w:rFonts w:ascii="Arial" w:hAnsi="Arial" w:cs="Arial"/>
                <w:iCs/>
                <w:sz w:val="20"/>
                <w:szCs w:val="20"/>
              </w:rPr>
            </w:pPr>
            <w:r>
              <w:rPr>
                <w:rFonts w:ascii="Arial" w:hAnsi="Arial" w:cs="Arial"/>
                <w:iCs/>
                <w:sz w:val="20"/>
                <w:szCs w:val="20"/>
              </w:rPr>
              <w:t>19</w:t>
            </w:r>
          </w:p>
        </w:tc>
        <w:tc>
          <w:tcPr>
            <w:tcW w:w="1011" w:type="pct"/>
            <w:noWrap/>
            <w:vAlign w:val="center"/>
          </w:tcPr>
          <w:p w14:paraId="18B49121" w14:textId="77777777" w:rsidR="00D108FA" w:rsidRDefault="00E82DA6">
            <w:pPr>
              <w:spacing w:after="0" w:line="240" w:lineRule="auto"/>
              <w:rPr>
                <w:rFonts w:ascii="Arial" w:hAnsi="Arial" w:cs="Arial"/>
                <w:iCs/>
                <w:sz w:val="20"/>
                <w:szCs w:val="20"/>
              </w:rPr>
            </w:pPr>
            <w:r>
              <w:rPr>
                <w:rFonts w:ascii="Arial" w:hAnsi="Arial" w:cs="Arial"/>
                <w:iCs/>
                <w:sz w:val="20"/>
                <w:szCs w:val="20"/>
              </w:rPr>
              <w:t>all</w:t>
            </w:r>
          </w:p>
        </w:tc>
        <w:tc>
          <w:tcPr>
            <w:tcW w:w="1826" w:type="pct"/>
            <w:noWrap/>
            <w:vAlign w:val="center"/>
          </w:tcPr>
          <w:p w14:paraId="62306592" w14:textId="77777777" w:rsidR="00D108FA" w:rsidRDefault="00E82DA6">
            <w:pPr>
              <w:spacing w:after="0" w:line="240" w:lineRule="auto"/>
              <w:rPr>
                <w:rFonts w:ascii="Arial" w:hAnsi="Arial" w:cs="Arial"/>
                <w:iCs/>
                <w:sz w:val="20"/>
                <w:szCs w:val="20"/>
              </w:rPr>
            </w:pPr>
            <w:r>
              <w:rPr>
                <w:rFonts w:ascii="Arial" w:hAnsi="Arial" w:cs="Arial"/>
                <w:iCs/>
                <w:sz w:val="20"/>
                <w:szCs w:val="20"/>
              </w:rPr>
              <w:t>FEWMD (2011)</w:t>
            </w:r>
          </w:p>
        </w:tc>
      </w:tr>
      <w:tr w:rsidR="00D108FA" w14:paraId="078C09F3" w14:textId="77777777">
        <w:trPr>
          <w:trHeight w:hRule="exact" w:val="288"/>
          <w:jc w:val="center"/>
        </w:trPr>
        <w:tc>
          <w:tcPr>
            <w:tcW w:w="1098" w:type="pct"/>
            <w:noWrap/>
            <w:vAlign w:val="center"/>
          </w:tcPr>
          <w:p w14:paraId="4C93A16D" w14:textId="77777777" w:rsidR="00D108FA" w:rsidRDefault="00E82DA6">
            <w:pPr>
              <w:spacing w:after="0" w:line="240" w:lineRule="auto"/>
              <w:rPr>
                <w:rFonts w:ascii="Arial" w:hAnsi="Arial" w:cs="Arial"/>
                <w:iCs/>
                <w:sz w:val="20"/>
                <w:szCs w:val="20"/>
              </w:rPr>
            </w:pPr>
            <w:r>
              <w:rPr>
                <w:rFonts w:ascii="Arial" w:hAnsi="Arial" w:cs="Arial"/>
                <w:iCs/>
                <w:sz w:val="20"/>
                <w:szCs w:val="20"/>
              </w:rPr>
              <w:t>Mizoram</w:t>
            </w:r>
          </w:p>
        </w:tc>
        <w:tc>
          <w:tcPr>
            <w:tcW w:w="3902" w:type="pct"/>
            <w:gridSpan w:val="3"/>
            <w:vMerge w:val="restart"/>
            <w:noWrap/>
            <w:vAlign w:val="center"/>
          </w:tcPr>
          <w:p w14:paraId="56A4B3A1" w14:textId="77777777" w:rsidR="00D108FA" w:rsidRDefault="00E82DA6">
            <w:pPr>
              <w:spacing w:after="0" w:line="240" w:lineRule="auto"/>
              <w:jc w:val="center"/>
              <w:rPr>
                <w:rFonts w:ascii="Arial" w:hAnsi="Arial" w:cs="Arial"/>
                <w:b/>
                <w:iCs/>
                <w:sz w:val="20"/>
                <w:szCs w:val="20"/>
              </w:rPr>
            </w:pPr>
            <w:r>
              <w:rPr>
                <w:rFonts w:ascii="Arial" w:eastAsia="Times New Roman" w:hAnsi="Arial" w:cs="Arial"/>
                <w:sz w:val="20"/>
                <w:szCs w:val="20"/>
              </w:rPr>
              <w:t>No documentation on number of sacred groves was found</w:t>
            </w:r>
          </w:p>
        </w:tc>
      </w:tr>
      <w:tr w:rsidR="00D108FA" w14:paraId="6076E98F" w14:textId="77777777">
        <w:trPr>
          <w:trHeight w:hRule="exact" w:val="288"/>
          <w:jc w:val="center"/>
        </w:trPr>
        <w:tc>
          <w:tcPr>
            <w:tcW w:w="1098" w:type="pct"/>
            <w:noWrap/>
            <w:vAlign w:val="center"/>
          </w:tcPr>
          <w:p w14:paraId="22665651" w14:textId="77777777" w:rsidR="00D108FA" w:rsidRDefault="00E82DA6">
            <w:pPr>
              <w:spacing w:after="0" w:line="240" w:lineRule="auto"/>
              <w:rPr>
                <w:rFonts w:ascii="Arial" w:hAnsi="Arial" w:cs="Arial"/>
                <w:iCs/>
                <w:sz w:val="20"/>
                <w:szCs w:val="20"/>
              </w:rPr>
            </w:pPr>
            <w:r>
              <w:rPr>
                <w:rFonts w:ascii="Arial" w:hAnsi="Arial" w:cs="Arial"/>
                <w:iCs/>
                <w:sz w:val="20"/>
                <w:szCs w:val="20"/>
              </w:rPr>
              <w:t>Tripura</w:t>
            </w:r>
          </w:p>
        </w:tc>
        <w:tc>
          <w:tcPr>
            <w:tcW w:w="3902" w:type="pct"/>
            <w:gridSpan w:val="3"/>
            <w:vMerge/>
            <w:noWrap/>
            <w:vAlign w:val="center"/>
          </w:tcPr>
          <w:p w14:paraId="4B0A2D41" w14:textId="77777777" w:rsidR="00D108FA" w:rsidRDefault="00D108FA">
            <w:pPr>
              <w:spacing w:after="0" w:line="240" w:lineRule="auto"/>
              <w:jc w:val="center"/>
              <w:rPr>
                <w:rFonts w:ascii="Arial" w:eastAsia="Times New Roman" w:hAnsi="Arial" w:cs="Arial"/>
                <w:sz w:val="20"/>
                <w:szCs w:val="20"/>
              </w:rPr>
            </w:pPr>
          </w:p>
        </w:tc>
      </w:tr>
    </w:tbl>
    <w:p w14:paraId="253D6ECC" w14:textId="77777777" w:rsidR="00D108FA" w:rsidRDefault="00D108FA">
      <w:pPr>
        <w:pStyle w:val="ListParagraph"/>
        <w:spacing w:after="0" w:line="240" w:lineRule="auto"/>
        <w:ind w:left="0"/>
        <w:jc w:val="center"/>
        <w:rPr>
          <w:rFonts w:ascii="Arial" w:eastAsia="Times New Roman" w:hAnsi="Arial" w:cs="Arial"/>
          <w:b/>
          <w:bCs/>
          <w:sz w:val="18"/>
          <w:szCs w:val="18"/>
        </w:rPr>
      </w:pPr>
    </w:p>
    <w:p w14:paraId="6BFAEE02" w14:textId="77777777" w:rsidR="00D108FA" w:rsidRDefault="00E82DA6">
      <w:pPr>
        <w:pStyle w:val="ListParagraph"/>
        <w:spacing w:after="0" w:line="240" w:lineRule="auto"/>
        <w:ind w:left="0"/>
        <w:jc w:val="center"/>
        <w:rPr>
          <w:rFonts w:ascii="Arial" w:eastAsia="Times New Roman" w:hAnsi="Arial" w:cs="Arial"/>
          <w:sz w:val="20"/>
          <w:szCs w:val="20"/>
        </w:rPr>
      </w:pPr>
      <w:r>
        <w:rPr>
          <w:rFonts w:ascii="Arial" w:eastAsia="Times New Roman" w:hAnsi="Arial" w:cs="Arial"/>
          <w:b/>
          <w:bCs/>
          <w:sz w:val="20"/>
          <w:szCs w:val="20"/>
        </w:rPr>
        <w:lastRenderedPageBreak/>
        <w:t>Table 3:</w:t>
      </w:r>
      <w:r>
        <w:rPr>
          <w:rFonts w:ascii="Arial" w:eastAsia="Times New Roman" w:hAnsi="Arial" w:cs="Arial"/>
          <w:sz w:val="20"/>
          <w:szCs w:val="20"/>
        </w:rPr>
        <w:t xml:space="preserve"> Nomenclature of sacred groves</w:t>
      </w:r>
    </w:p>
    <w:p w14:paraId="33348DB1" w14:textId="77777777" w:rsidR="00D108FA" w:rsidRDefault="00D108FA">
      <w:pPr>
        <w:pStyle w:val="ListParagraph"/>
        <w:spacing w:after="0" w:line="240" w:lineRule="auto"/>
        <w:ind w:left="0"/>
        <w:jc w:val="center"/>
        <w:rPr>
          <w:rFonts w:ascii="Arial" w:hAnsi="Arial" w:cs="Arial"/>
          <w:iCs/>
          <w:sz w:val="20"/>
          <w:szCs w:val="20"/>
        </w:rPr>
      </w:pPr>
    </w:p>
    <w:tbl>
      <w:tblPr>
        <w:tblStyle w:val="TableGrid"/>
        <w:tblW w:w="5016"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20"/>
        <w:gridCol w:w="3524"/>
        <w:gridCol w:w="4663"/>
      </w:tblGrid>
      <w:tr w:rsidR="00D108FA" w14:paraId="5B9DB55D" w14:textId="77777777">
        <w:trPr>
          <w:trHeight w:hRule="exact" w:val="288"/>
          <w:jc w:val="center"/>
        </w:trPr>
        <w:tc>
          <w:tcPr>
            <w:tcW w:w="739" w:type="pct"/>
            <w:noWrap/>
            <w:vAlign w:val="center"/>
          </w:tcPr>
          <w:p w14:paraId="1489BB37" w14:textId="77777777" w:rsidR="00D108FA" w:rsidRDefault="00E82DA6">
            <w:pPr>
              <w:spacing w:after="0" w:line="240" w:lineRule="auto"/>
              <w:rPr>
                <w:rFonts w:ascii="Arial" w:hAnsi="Arial" w:cs="Arial"/>
                <w:b/>
                <w:iCs/>
                <w:sz w:val="20"/>
                <w:szCs w:val="20"/>
              </w:rPr>
            </w:pPr>
            <w:r>
              <w:rPr>
                <w:rFonts w:ascii="Arial" w:hAnsi="Arial" w:cs="Arial"/>
                <w:b/>
                <w:iCs/>
                <w:sz w:val="20"/>
                <w:szCs w:val="20"/>
              </w:rPr>
              <w:t>State</w:t>
            </w:r>
          </w:p>
        </w:tc>
        <w:tc>
          <w:tcPr>
            <w:tcW w:w="1834" w:type="pct"/>
            <w:noWrap/>
            <w:vAlign w:val="center"/>
          </w:tcPr>
          <w:p w14:paraId="02DFE375" w14:textId="77777777" w:rsidR="00D108FA" w:rsidRDefault="00E82DA6">
            <w:pPr>
              <w:spacing w:after="0" w:line="240" w:lineRule="auto"/>
              <w:rPr>
                <w:rFonts w:ascii="Arial" w:hAnsi="Arial" w:cs="Arial"/>
                <w:b/>
                <w:iCs/>
                <w:sz w:val="20"/>
                <w:szCs w:val="20"/>
              </w:rPr>
            </w:pPr>
            <w:r>
              <w:rPr>
                <w:rFonts w:ascii="Arial" w:hAnsi="Arial" w:cs="Arial"/>
                <w:b/>
                <w:iCs/>
                <w:sz w:val="20"/>
                <w:szCs w:val="20"/>
              </w:rPr>
              <w:t>Name of Sacred groves/ places</w:t>
            </w:r>
          </w:p>
        </w:tc>
        <w:tc>
          <w:tcPr>
            <w:tcW w:w="2427" w:type="pct"/>
            <w:noWrap/>
            <w:vAlign w:val="center"/>
          </w:tcPr>
          <w:p w14:paraId="6225B500" w14:textId="77777777" w:rsidR="00D108FA" w:rsidRDefault="00E82DA6">
            <w:pPr>
              <w:spacing w:after="0" w:line="240" w:lineRule="auto"/>
              <w:rPr>
                <w:rFonts w:ascii="Arial" w:hAnsi="Arial" w:cs="Arial"/>
                <w:b/>
                <w:iCs/>
                <w:sz w:val="20"/>
                <w:szCs w:val="20"/>
              </w:rPr>
            </w:pPr>
            <w:r>
              <w:rPr>
                <w:rFonts w:ascii="Arial" w:hAnsi="Arial" w:cs="Arial"/>
                <w:b/>
                <w:iCs/>
                <w:sz w:val="20"/>
                <w:szCs w:val="20"/>
              </w:rPr>
              <w:t>References</w:t>
            </w:r>
          </w:p>
        </w:tc>
      </w:tr>
      <w:tr w:rsidR="00D108FA" w14:paraId="629A3819" w14:textId="77777777">
        <w:trPr>
          <w:trHeight w:hRule="exact" w:val="288"/>
          <w:jc w:val="center"/>
        </w:trPr>
        <w:tc>
          <w:tcPr>
            <w:tcW w:w="739" w:type="pct"/>
            <w:vMerge w:val="restart"/>
            <w:noWrap/>
            <w:vAlign w:val="center"/>
          </w:tcPr>
          <w:p w14:paraId="4C43A500" w14:textId="77777777" w:rsidR="00D108FA" w:rsidRDefault="00E82DA6">
            <w:pPr>
              <w:spacing w:after="0" w:line="240" w:lineRule="auto"/>
              <w:rPr>
                <w:rFonts w:ascii="Arial" w:hAnsi="Arial" w:cs="Arial"/>
                <w:iCs/>
                <w:sz w:val="20"/>
                <w:szCs w:val="20"/>
              </w:rPr>
            </w:pPr>
            <w:r>
              <w:rPr>
                <w:rFonts w:ascii="Arial" w:hAnsi="Arial" w:cs="Arial"/>
                <w:iCs/>
                <w:sz w:val="20"/>
                <w:szCs w:val="20"/>
              </w:rPr>
              <w:t>Arunachal Pradesh</w:t>
            </w:r>
          </w:p>
        </w:tc>
        <w:tc>
          <w:tcPr>
            <w:tcW w:w="1834" w:type="pct"/>
            <w:noWrap/>
            <w:vAlign w:val="center"/>
          </w:tcPr>
          <w:p w14:paraId="5A1DC046" w14:textId="77777777" w:rsidR="00D108FA" w:rsidRDefault="00E82DA6">
            <w:pPr>
              <w:spacing w:after="0" w:line="240" w:lineRule="auto"/>
              <w:rPr>
                <w:rFonts w:ascii="Arial" w:hAnsi="Arial" w:cs="Arial"/>
                <w:i/>
                <w:iCs/>
                <w:sz w:val="20"/>
                <w:szCs w:val="20"/>
              </w:rPr>
            </w:pPr>
            <w:proofErr w:type="spellStart"/>
            <w:r>
              <w:rPr>
                <w:rFonts w:ascii="Arial" w:hAnsi="Arial" w:cs="Arial"/>
                <w:i/>
                <w:iCs/>
                <w:sz w:val="20"/>
                <w:szCs w:val="20"/>
              </w:rPr>
              <w:t>Gumpa</w:t>
            </w:r>
            <w:proofErr w:type="spellEnd"/>
            <w:r>
              <w:rPr>
                <w:rFonts w:ascii="Arial" w:hAnsi="Arial" w:cs="Arial"/>
                <w:i/>
                <w:iCs/>
                <w:sz w:val="20"/>
                <w:szCs w:val="20"/>
              </w:rPr>
              <w:t xml:space="preserve"> Forest </w:t>
            </w:r>
            <w:r>
              <w:rPr>
                <w:rFonts w:ascii="Arial" w:hAnsi="Arial" w:cs="Arial"/>
                <w:i/>
                <w:iCs/>
                <w:sz w:val="20"/>
                <w:szCs w:val="20"/>
              </w:rPr>
              <w:t>Area (GFA)</w:t>
            </w:r>
          </w:p>
        </w:tc>
        <w:tc>
          <w:tcPr>
            <w:tcW w:w="2427" w:type="pct"/>
            <w:noWrap/>
            <w:vAlign w:val="center"/>
          </w:tcPr>
          <w:p w14:paraId="42661E03"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Malhotra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2001)</w:t>
            </w:r>
          </w:p>
        </w:tc>
      </w:tr>
      <w:tr w:rsidR="00D108FA" w14:paraId="18CFB18A" w14:textId="77777777">
        <w:trPr>
          <w:trHeight w:hRule="exact" w:val="595"/>
          <w:jc w:val="center"/>
        </w:trPr>
        <w:tc>
          <w:tcPr>
            <w:tcW w:w="739" w:type="pct"/>
            <w:vMerge/>
            <w:noWrap/>
            <w:vAlign w:val="center"/>
          </w:tcPr>
          <w:p w14:paraId="5166FD35" w14:textId="77777777" w:rsidR="00D108FA" w:rsidRDefault="00D108FA">
            <w:pPr>
              <w:spacing w:after="0" w:line="240" w:lineRule="auto"/>
              <w:rPr>
                <w:rFonts w:ascii="Arial" w:hAnsi="Arial" w:cs="Arial"/>
                <w:iCs/>
                <w:sz w:val="20"/>
                <w:szCs w:val="20"/>
              </w:rPr>
            </w:pPr>
          </w:p>
        </w:tc>
        <w:tc>
          <w:tcPr>
            <w:tcW w:w="1834" w:type="pct"/>
            <w:noWrap/>
            <w:vAlign w:val="center"/>
          </w:tcPr>
          <w:p w14:paraId="770CCA32" w14:textId="77777777" w:rsidR="00D108FA" w:rsidRDefault="00E82DA6">
            <w:pPr>
              <w:spacing w:after="0" w:line="240" w:lineRule="auto"/>
              <w:rPr>
                <w:rFonts w:ascii="Arial" w:hAnsi="Arial" w:cs="Arial"/>
                <w:iCs/>
                <w:sz w:val="20"/>
                <w:szCs w:val="20"/>
              </w:rPr>
            </w:pPr>
            <w:proofErr w:type="spellStart"/>
            <w:r>
              <w:rPr>
                <w:rFonts w:ascii="Arial" w:hAnsi="Arial" w:cs="Arial"/>
                <w:i/>
                <w:iCs/>
                <w:sz w:val="20"/>
                <w:szCs w:val="20"/>
              </w:rPr>
              <w:t>Thaan</w:t>
            </w:r>
            <w:proofErr w:type="spellEnd"/>
          </w:p>
        </w:tc>
        <w:tc>
          <w:tcPr>
            <w:tcW w:w="2427" w:type="pct"/>
            <w:noWrap/>
            <w:vAlign w:val="center"/>
          </w:tcPr>
          <w:p w14:paraId="40B5C83D" w14:textId="77777777" w:rsidR="00D108FA" w:rsidRDefault="00E82DA6">
            <w:pPr>
              <w:spacing w:after="0" w:line="240" w:lineRule="auto"/>
              <w:rPr>
                <w:rFonts w:ascii="Arial" w:hAnsi="Arial" w:cs="Arial"/>
                <w:iCs/>
                <w:color w:val="FF0000"/>
                <w:sz w:val="20"/>
                <w:szCs w:val="20"/>
              </w:rPr>
            </w:pPr>
            <w:proofErr w:type="spellStart"/>
            <w:r>
              <w:rPr>
                <w:rFonts w:ascii="Arial" w:hAnsi="Arial" w:cs="Arial"/>
                <w:iCs/>
                <w:sz w:val="20"/>
                <w:szCs w:val="20"/>
              </w:rPr>
              <w:t>Barua</w:t>
            </w:r>
            <w:proofErr w:type="spellEnd"/>
            <w:r>
              <w:rPr>
                <w:rFonts w:ascii="Arial" w:hAnsi="Arial" w:cs="Arial"/>
                <w:iCs/>
                <w:sz w:val="20"/>
                <w:szCs w:val="20"/>
              </w:rPr>
              <w:t xml:space="preserve"> (2009</w:t>
            </w:r>
            <w:proofErr w:type="gramStart"/>
            <w:r>
              <w:rPr>
                <w:rFonts w:ascii="Arial" w:hAnsi="Arial" w:cs="Arial"/>
                <w:iCs/>
                <w:sz w:val="20"/>
                <w:szCs w:val="20"/>
              </w:rPr>
              <w:t>),</w:t>
            </w:r>
            <w:proofErr w:type="spellStart"/>
            <w:r>
              <w:rPr>
                <w:rFonts w:ascii="Arial" w:hAnsi="Arial" w:cs="Arial"/>
                <w:iCs/>
                <w:sz w:val="20"/>
                <w:szCs w:val="20"/>
              </w:rPr>
              <w:t>Murtem</w:t>
            </w:r>
            <w:proofErr w:type="spellEnd"/>
            <w:proofErr w:type="gramEnd"/>
            <w:r>
              <w:rPr>
                <w:rFonts w:ascii="Arial" w:hAnsi="Arial" w:cs="Arial"/>
                <w:iCs/>
                <w:sz w:val="20"/>
                <w:szCs w:val="20"/>
              </w:rPr>
              <w:t xml:space="preserve"> and Chaudhry (2014), Chaudhry and </w:t>
            </w:r>
            <w:proofErr w:type="spellStart"/>
            <w:r>
              <w:rPr>
                <w:rFonts w:ascii="Arial" w:hAnsi="Arial" w:cs="Arial"/>
                <w:iCs/>
                <w:sz w:val="20"/>
                <w:szCs w:val="20"/>
              </w:rPr>
              <w:t>Murtem</w:t>
            </w:r>
            <w:proofErr w:type="spellEnd"/>
            <w:r>
              <w:rPr>
                <w:rFonts w:ascii="Arial" w:hAnsi="Arial" w:cs="Arial"/>
                <w:iCs/>
                <w:sz w:val="20"/>
                <w:szCs w:val="20"/>
              </w:rPr>
              <w:t xml:space="preserve"> (2015)</w:t>
            </w:r>
          </w:p>
        </w:tc>
      </w:tr>
      <w:tr w:rsidR="00D108FA" w14:paraId="2A694365" w14:textId="77777777">
        <w:trPr>
          <w:trHeight w:hRule="exact" w:val="288"/>
          <w:jc w:val="center"/>
        </w:trPr>
        <w:tc>
          <w:tcPr>
            <w:tcW w:w="739" w:type="pct"/>
            <w:vMerge/>
            <w:noWrap/>
            <w:vAlign w:val="center"/>
          </w:tcPr>
          <w:p w14:paraId="72DACBC1" w14:textId="77777777" w:rsidR="00D108FA" w:rsidRDefault="00D108FA">
            <w:pPr>
              <w:spacing w:after="0" w:line="240" w:lineRule="auto"/>
              <w:rPr>
                <w:rFonts w:ascii="Arial" w:hAnsi="Arial" w:cs="Arial"/>
                <w:iCs/>
                <w:sz w:val="20"/>
                <w:szCs w:val="20"/>
              </w:rPr>
            </w:pPr>
          </w:p>
        </w:tc>
        <w:tc>
          <w:tcPr>
            <w:tcW w:w="1834" w:type="pct"/>
            <w:noWrap/>
            <w:vAlign w:val="center"/>
          </w:tcPr>
          <w:p w14:paraId="4EC79609" w14:textId="77777777" w:rsidR="00D108FA" w:rsidRDefault="00E82DA6">
            <w:pPr>
              <w:spacing w:after="0" w:line="240" w:lineRule="auto"/>
              <w:rPr>
                <w:rFonts w:ascii="Arial" w:hAnsi="Arial" w:cs="Arial"/>
                <w:iCs/>
                <w:sz w:val="20"/>
                <w:szCs w:val="20"/>
              </w:rPr>
            </w:pPr>
            <w:proofErr w:type="spellStart"/>
            <w:r>
              <w:rPr>
                <w:rFonts w:ascii="Arial" w:hAnsi="Arial" w:cs="Arial"/>
                <w:i/>
                <w:iCs/>
                <w:sz w:val="20"/>
                <w:szCs w:val="20"/>
              </w:rPr>
              <w:t>Ranthii</w:t>
            </w:r>
            <w:proofErr w:type="spellEnd"/>
          </w:p>
        </w:tc>
        <w:tc>
          <w:tcPr>
            <w:tcW w:w="2427" w:type="pct"/>
            <w:noWrap/>
            <w:vAlign w:val="center"/>
          </w:tcPr>
          <w:p w14:paraId="59D3B8E6"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Dutta </w:t>
            </w:r>
            <w:r>
              <w:rPr>
                <w:rFonts w:ascii="Arial" w:hAnsi="Arial" w:cs="Arial"/>
                <w:sz w:val="20"/>
                <w:szCs w:val="20"/>
              </w:rPr>
              <w:t xml:space="preserve">et al. </w:t>
            </w:r>
            <w:proofErr w:type="gramStart"/>
            <w:r>
              <w:rPr>
                <w:rFonts w:ascii="Arial" w:hAnsi="Arial" w:cs="Arial"/>
                <w:iCs/>
                <w:sz w:val="20"/>
                <w:szCs w:val="20"/>
              </w:rPr>
              <w:t>b(</w:t>
            </w:r>
            <w:proofErr w:type="gramEnd"/>
            <w:r>
              <w:rPr>
                <w:rFonts w:ascii="Arial" w:hAnsi="Arial" w:cs="Arial"/>
                <w:iCs/>
                <w:sz w:val="20"/>
                <w:szCs w:val="20"/>
              </w:rPr>
              <w:t>2017)</w:t>
            </w:r>
          </w:p>
        </w:tc>
      </w:tr>
      <w:tr w:rsidR="00D108FA" w14:paraId="62FAAA32" w14:textId="77777777">
        <w:trPr>
          <w:trHeight w:hRule="exact" w:val="288"/>
          <w:jc w:val="center"/>
        </w:trPr>
        <w:tc>
          <w:tcPr>
            <w:tcW w:w="739" w:type="pct"/>
            <w:vMerge/>
            <w:noWrap/>
            <w:vAlign w:val="center"/>
          </w:tcPr>
          <w:p w14:paraId="234B4C7D" w14:textId="77777777" w:rsidR="00D108FA" w:rsidRDefault="00D108FA">
            <w:pPr>
              <w:spacing w:after="0" w:line="240" w:lineRule="auto"/>
              <w:rPr>
                <w:rFonts w:ascii="Arial" w:hAnsi="Arial" w:cs="Arial"/>
                <w:iCs/>
                <w:sz w:val="20"/>
                <w:szCs w:val="20"/>
              </w:rPr>
            </w:pPr>
          </w:p>
        </w:tc>
        <w:tc>
          <w:tcPr>
            <w:tcW w:w="1834" w:type="pct"/>
            <w:noWrap/>
            <w:vAlign w:val="center"/>
          </w:tcPr>
          <w:p w14:paraId="1AC2263D" w14:textId="77777777" w:rsidR="00D108FA" w:rsidRDefault="00E82DA6">
            <w:pPr>
              <w:spacing w:after="0" w:line="240" w:lineRule="auto"/>
              <w:rPr>
                <w:rFonts w:ascii="Arial" w:hAnsi="Arial" w:cs="Arial"/>
                <w:i/>
                <w:iCs/>
                <w:sz w:val="20"/>
                <w:szCs w:val="20"/>
              </w:rPr>
            </w:pPr>
            <w:r>
              <w:rPr>
                <w:rFonts w:ascii="Arial" w:hAnsi="Arial" w:cs="Arial"/>
                <w:i/>
                <w:iCs/>
                <w:sz w:val="20"/>
                <w:szCs w:val="20"/>
              </w:rPr>
              <w:t>Phu</w:t>
            </w:r>
          </w:p>
        </w:tc>
        <w:tc>
          <w:tcPr>
            <w:tcW w:w="2427" w:type="pct"/>
            <w:noWrap/>
            <w:vAlign w:val="center"/>
          </w:tcPr>
          <w:p w14:paraId="2541A8EF"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Hui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2016)</w:t>
            </w:r>
          </w:p>
        </w:tc>
      </w:tr>
      <w:tr w:rsidR="00D108FA" w14:paraId="7A2380CA" w14:textId="77777777">
        <w:trPr>
          <w:trHeight w:hRule="exact" w:val="288"/>
          <w:jc w:val="center"/>
        </w:trPr>
        <w:tc>
          <w:tcPr>
            <w:tcW w:w="739" w:type="pct"/>
            <w:vMerge w:val="restart"/>
            <w:noWrap/>
            <w:vAlign w:val="center"/>
          </w:tcPr>
          <w:p w14:paraId="4560240B" w14:textId="77777777" w:rsidR="00D108FA" w:rsidRDefault="00E82DA6">
            <w:pPr>
              <w:spacing w:after="0" w:line="240" w:lineRule="auto"/>
              <w:rPr>
                <w:rFonts w:ascii="Arial" w:hAnsi="Arial" w:cs="Arial"/>
                <w:iCs/>
                <w:sz w:val="20"/>
                <w:szCs w:val="20"/>
              </w:rPr>
            </w:pPr>
            <w:r>
              <w:rPr>
                <w:rFonts w:ascii="Arial" w:hAnsi="Arial" w:cs="Arial"/>
                <w:iCs/>
                <w:sz w:val="20"/>
                <w:szCs w:val="20"/>
              </w:rPr>
              <w:t>Assam</w:t>
            </w:r>
          </w:p>
        </w:tc>
        <w:tc>
          <w:tcPr>
            <w:tcW w:w="1834" w:type="pct"/>
            <w:noWrap/>
            <w:vAlign w:val="center"/>
          </w:tcPr>
          <w:p w14:paraId="145398B5" w14:textId="77777777" w:rsidR="00D108FA" w:rsidRDefault="00E82DA6">
            <w:pPr>
              <w:spacing w:after="0" w:line="240" w:lineRule="auto"/>
              <w:rPr>
                <w:rFonts w:ascii="Arial" w:hAnsi="Arial" w:cs="Arial"/>
                <w:i/>
                <w:iCs/>
                <w:sz w:val="20"/>
                <w:szCs w:val="20"/>
              </w:rPr>
            </w:pPr>
            <w:proofErr w:type="spellStart"/>
            <w:r>
              <w:rPr>
                <w:rFonts w:ascii="Arial" w:hAnsi="Arial" w:cs="Arial"/>
                <w:i/>
                <w:iCs/>
                <w:sz w:val="20"/>
                <w:szCs w:val="20"/>
              </w:rPr>
              <w:t>Thaan</w:t>
            </w:r>
            <w:proofErr w:type="spellEnd"/>
          </w:p>
        </w:tc>
        <w:tc>
          <w:tcPr>
            <w:tcW w:w="2427" w:type="pct"/>
            <w:noWrap/>
            <w:vAlign w:val="center"/>
          </w:tcPr>
          <w:p w14:paraId="66162201" w14:textId="77777777" w:rsidR="00D108FA" w:rsidRDefault="00E82DA6">
            <w:pPr>
              <w:spacing w:after="0" w:line="240" w:lineRule="auto"/>
              <w:rPr>
                <w:rFonts w:ascii="Arial" w:hAnsi="Arial" w:cs="Arial"/>
                <w:iCs/>
                <w:sz w:val="20"/>
                <w:szCs w:val="20"/>
              </w:rPr>
            </w:pPr>
            <w:r>
              <w:rPr>
                <w:rFonts w:ascii="Arial" w:hAnsi="Arial" w:cs="Arial"/>
                <w:iCs/>
                <w:sz w:val="20"/>
                <w:szCs w:val="20"/>
              </w:rPr>
              <w:t>Barua (2009)</w:t>
            </w:r>
          </w:p>
        </w:tc>
      </w:tr>
      <w:tr w:rsidR="00D108FA" w14:paraId="14D38C14" w14:textId="77777777">
        <w:trPr>
          <w:trHeight w:hRule="exact" w:val="487"/>
          <w:jc w:val="center"/>
        </w:trPr>
        <w:tc>
          <w:tcPr>
            <w:tcW w:w="739" w:type="pct"/>
            <w:vMerge/>
            <w:noWrap/>
            <w:vAlign w:val="center"/>
          </w:tcPr>
          <w:p w14:paraId="3F10ABF6" w14:textId="77777777" w:rsidR="00D108FA" w:rsidRDefault="00D108FA">
            <w:pPr>
              <w:spacing w:after="0" w:line="240" w:lineRule="auto"/>
              <w:rPr>
                <w:rFonts w:ascii="Arial" w:hAnsi="Arial" w:cs="Arial"/>
                <w:iCs/>
                <w:sz w:val="20"/>
                <w:szCs w:val="20"/>
              </w:rPr>
            </w:pPr>
          </w:p>
        </w:tc>
        <w:tc>
          <w:tcPr>
            <w:tcW w:w="1834" w:type="pct"/>
            <w:noWrap/>
            <w:vAlign w:val="center"/>
          </w:tcPr>
          <w:p w14:paraId="7DA1C977" w14:textId="77777777" w:rsidR="00D108FA" w:rsidRDefault="00E82DA6">
            <w:pPr>
              <w:spacing w:after="0" w:line="240" w:lineRule="auto"/>
              <w:rPr>
                <w:rFonts w:ascii="Arial" w:hAnsi="Arial" w:cs="Arial"/>
                <w:i/>
                <w:iCs/>
                <w:sz w:val="20"/>
                <w:szCs w:val="20"/>
              </w:rPr>
            </w:pPr>
            <w:proofErr w:type="spellStart"/>
            <w:r>
              <w:rPr>
                <w:rFonts w:ascii="Arial" w:hAnsi="Arial" w:cs="Arial"/>
                <w:i/>
                <w:iCs/>
                <w:sz w:val="20"/>
                <w:szCs w:val="20"/>
              </w:rPr>
              <w:t>Dikhos</w:t>
            </w:r>
            <w:proofErr w:type="spellEnd"/>
            <w:r>
              <w:rPr>
                <w:rFonts w:ascii="Arial" w:hAnsi="Arial" w:cs="Arial"/>
                <w:i/>
                <w:iCs/>
                <w:sz w:val="20"/>
                <w:szCs w:val="20"/>
              </w:rPr>
              <w:t xml:space="preserve">, </w:t>
            </w:r>
            <w:proofErr w:type="spellStart"/>
            <w:r>
              <w:rPr>
                <w:rFonts w:ascii="Arial" w:hAnsi="Arial" w:cs="Arial"/>
                <w:i/>
                <w:iCs/>
                <w:sz w:val="20"/>
                <w:szCs w:val="20"/>
              </w:rPr>
              <w:t>Daikhos</w:t>
            </w:r>
            <w:proofErr w:type="spellEnd"/>
          </w:p>
        </w:tc>
        <w:tc>
          <w:tcPr>
            <w:tcW w:w="2427" w:type="pct"/>
            <w:noWrap/>
            <w:vAlign w:val="center"/>
          </w:tcPr>
          <w:p w14:paraId="42BAD6E9"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Medhi and </w:t>
            </w:r>
            <w:proofErr w:type="spellStart"/>
            <w:r>
              <w:rPr>
                <w:rFonts w:ascii="Arial" w:hAnsi="Arial" w:cs="Arial"/>
                <w:iCs/>
                <w:sz w:val="20"/>
                <w:szCs w:val="20"/>
              </w:rPr>
              <w:t>Borthakur</w:t>
            </w:r>
            <w:proofErr w:type="spellEnd"/>
            <w:r>
              <w:rPr>
                <w:rFonts w:ascii="Arial" w:hAnsi="Arial" w:cs="Arial"/>
                <w:iCs/>
                <w:sz w:val="20"/>
                <w:szCs w:val="20"/>
              </w:rPr>
              <w:t xml:space="preserve"> (2013</w:t>
            </w:r>
            <w:proofErr w:type="gramStart"/>
            <w:r>
              <w:rPr>
                <w:rFonts w:ascii="Arial" w:hAnsi="Arial" w:cs="Arial"/>
                <w:iCs/>
                <w:sz w:val="20"/>
                <w:szCs w:val="20"/>
              </w:rPr>
              <w:t>),</w:t>
            </w:r>
            <w:proofErr w:type="spellStart"/>
            <w:r>
              <w:rPr>
                <w:rFonts w:ascii="Arial" w:hAnsi="Arial" w:cs="Arial"/>
                <w:iCs/>
                <w:sz w:val="20"/>
                <w:szCs w:val="20"/>
              </w:rPr>
              <w:t>Gogoi</w:t>
            </w:r>
            <w:proofErr w:type="spellEnd"/>
            <w:proofErr w:type="gramEnd"/>
            <w:r>
              <w:rPr>
                <w:rFonts w:ascii="Arial" w:hAnsi="Arial" w:cs="Arial"/>
                <w:iCs/>
                <w:sz w:val="20"/>
                <w:szCs w:val="20"/>
              </w:rPr>
              <w:t xml:space="preserve"> and </w:t>
            </w:r>
            <w:proofErr w:type="spellStart"/>
            <w:r>
              <w:rPr>
                <w:rFonts w:ascii="Arial" w:hAnsi="Arial" w:cs="Arial"/>
                <w:iCs/>
                <w:sz w:val="20"/>
                <w:szCs w:val="20"/>
              </w:rPr>
              <w:t>Kikhi</w:t>
            </w:r>
            <w:proofErr w:type="spellEnd"/>
            <w:r>
              <w:rPr>
                <w:rFonts w:ascii="Arial" w:hAnsi="Arial" w:cs="Arial"/>
                <w:iCs/>
                <w:sz w:val="20"/>
                <w:szCs w:val="20"/>
              </w:rPr>
              <w:t>(2023)</w:t>
            </w:r>
          </w:p>
        </w:tc>
      </w:tr>
      <w:tr w:rsidR="00D108FA" w14:paraId="386D692A" w14:textId="77777777">
        <w:trPr>
          <w:trHeight w:hRule="exact" w:val="288"/>
          <w:jc w:val="center"/>
        </w:trPr>
        <w:tc>
          <w:tcPr>
            <w:tcW w:w="739" w:type="pct"/>
            <w:vMerge/>
            <w:noWrap/>
            <w:vAlign w:val="center"/>
          </w:tcPr>
          <w:p w14:paraId="12B1902B" w14:textId="77777777" w:rsidR="00D108FA" w:rsidRDefault="00D108FA">
            <w:pPr>
              <w:spacing w:after="0" w:line="240" w:lineRule="auto"/>
              <w:rPr>
                <w:rFonts w:ascii="Arial" w:hAnsi="Arial" w:cs="Arial"/>
                <w:iCs/>
                <w:sz w:val="20"/>
                <w:szCs w:val="20"/>
              </w:rPr>
            </w:pPr>
          </w:p>
        </w:tc>
        <w:tc>
          <w:tcPr>
            <w:tcW w:w="1834" w:type="pct"/>
            <w:noWrap/>
            <w:vAlign w:val="center"/>
          </w:tcPr>
          <w:p w14:paraId="40F47E3D" w14:textId="77777777" w:rsidR="00D108FA" w:rsidRDefault="00E82DA6">
            <w:pPr>
              <w:spacing w:after="0" w:line="240" w:lineRule="auto"/>
              <w:rPr>
                <w:rFonts w:ascii="Arial" w:hAnsi="Arial" w:cs="Arial"/>
                <w:i/>
                <w:iCs/>
                <w:sz w:val="20"/>
                <w:szCs w:val="20"/>
              </w:rPr>
            </w:pPr>
            <w:proofErr w:type="spellStart"/>
            <w:r>
              <w:rPr>
                <w:rStyle w:val="Emphasis"/>
                <w:rFonts w:ascii="Arial" w:hAnsi="Arial" w:cs="Arial"/>
                <w:sz w:val="20"/>
                <w:szCs w:val="20"/>
                <w:shd w:val="clear" w:color="auto" w:fill="FFFFFF"/>
              </w:rPr>
              <w:t>Madaico</w:t>
            </w:r>
            <w:proofErr w:type="spellEnd"/>
          </w:p>
        </w:tc>
        <w:tc>
          <w:tcPr>
            <w:tcW w:w="2427" w:type="pct"/>
            <w:noWrap/>
            <w:vAlign w:val="center"/>
          </w:tcPr>
          <w:p w14:paraId="7E9BC1F9" w14:textId="77777777" w:rsidR="00D108FA" w:rsidRDefault="00E82DA6">
            <w:pPr>
              <w:spacing w:after="0" w:line="240" w:lineRule="auto"/>
              <w:rPr>
                <w:rFonts w:ascii="Arial" w:hAnsi="Arial" w:cs="Arial"/>
                <w:iCs/>
                <w:sz w:val="20"/>
                <w:szCs w:val="20"/>
              </w:rPr>
            </w:pPr>
            <w:r>
              <w:rPr>
                <w:rFonts w:ascii="Arial" w:hAnsi="Arial" w:cs="Arial"/>
                <w:iCs/>
                <w:sz w:val="20"/>
                <w:szCs w:val="20"/>
              </w:rPr>
              <w:t>http://www.cpreecenvis.nic.in</w:t>
            </w:r>
          </w:p>
        </w:tc>
      </w:tr>
      <w:tr w:rsidR="00D108FA" w14:paraId="1003AABD" w14:textId="77777777">
        <w:trPr>
          <w:trHeight w:hRule="exact" w:val="288"/>
          <w:jc w:val="center"/>
        </w:trPr>
        <w:tc>
          <w:tcPr>
            <w:tcW w:w="739" w:type="pct"/>
            <w:vMerge w:val="restart"/>
            <w:noWrap/>
            <w:vAlign w:val="center"/>
          </w:tcPr>
          <w:p w14:paraId="586845E6" w14:textId="77777777" w:rsidR="00D108FA" w:rsidRDefault="00E82DA6">
            <w:pPr>
              <w:spacing w:after="0" w:line="240" w:lineRule="auto"/>
              <w:rPr>
                <w:rFonts w:ascii="Arial" w:hAnsi="Arial" w:cs="Arial"/>
                <w:iCs/>
                <w:sz w:val="20"/>
                <w:szCs w:val="20"/>
              </w:rPr>
            </w:pPr>
            <w:r>
              <w:rPr>
                <w:rFonts w:ascii="Arial" w:hAnsi="Arial" w:cs="Arial"/>
                <w:iCs/>
                <w:sz w:val="20"/>
                <w:szCs w:val="20"/>
              </w:rPr>
              <w:t>Manipur</w:t>
            </w:r>
          </w:p>
        </w:tc>
        <w:tc>
          <w:tcPr>
            <w:tcW w:w="1834" w:type="pct"/>
            <w:noWrap/>
            <w:vAlign w:val="center"/>
          </w:tcPr>
          <w:p w14:paraId="334E79FF" w14:textId="77777777" w:rsidR="00D108FA" w:rsidRDefault="00E82DA6">
            <w:pPr>
              <w:spacing w:after="0" w:line="240" w:lineRule="auto"/>
              <w:rPr>
                <w:rFonts w:ascii="Arial" w:hAnsi="Arial" w:cs="Arial"/>
                <w:iCs/>
                <w:sz w:val="20"/>
                <w:szCs w:val="20"/>
              </w:rPr>
            </w:pPr>
            <w:r>
              <w:rPr>
                <w:rFonts w:ascii="Arial" w:hAnsi="Arial" w:cs="Arial"/>
                <w:i/>
                <w:iCs/>
                <w:sz w:val="20"/>
                <w:szCs w:val="20"/>
              </w:rPr>
              <w:t>Lai Umang</w:t>
            </w:r>
          </w:p>
        </w:tc>
        <w:tc>
          <w:tcPr>
            <w:tcW w:w="2427" w:type="pct"/>
            <w:noWrap/>
            <w:vAlign w:val="center"/>
          </w:tcPr>
          <w:p w14:paraId="64AB05A0" w14:textId="77777777" w:rsidR="00D108FA" w:rsidRDefault="00E82DA6">
            <w:pPr>
              <w:spacing w:after="0" w:line="240" w:lineRule="auto"/>
              <w:rPr>
                <w:rFonts w:ascii="Arial" w:hAnsi="Arial" w:cs="Arial"/>
                <w:iCs/>
                <w:sz w:val="20"/>
                <w:szCs w:val="20"/>
              </w:rPr>
            </w:pPr>
            <w:proofErr w:type="spellStart"/>
            <w:r>
              <w:rPr>
                <w:rFonts w:ascii="Arial" w:hAnsi="Arial" w:cs="Arial"/>
                <w:iCs/>
                <w:sz w:val="20"/>
                <w:szCs w:val="20"/>
              </w:rPr>
              <w:t>Khumbongmayum</w:t>
            </w:r>
            <w:proofErr w:type="spellEnd"/>
            <w:r>
              <w:rPr>
                <w:rFonts w:ascii="Arial" w:hAnsi="Arial" w:cs="Arial"/>
                <w:iCs/>
                <w:sz w:val="20"/>
                <w:szCs w:val="20"/>
              </w:rPr>
              <w:t xml:space="preserve"> </w:t>
            </w:r>
            <w:proofErr w:type="gramStart"/>
            <w:r>
              <w:rPr>
                <w:rFonts w:ascii="Arial" w:hAnsi="Arial" w:cs="Arial"/>
                <w:sz w:val="20"/>
                <w:szCs w:val="20"/>
              </w:rPr>
              <w:t>et al.</w:t>
            </w:r>
            <w:r>
              <w:rPr>
                <w:rFonts w:ascii="Arial" w:hAnsi="Arial" w:cs="Arial"/>
                <w:iCs/>
                <w:sz w:val="20"/>
                <w:szCs w:val="20"/>
              </w:rPr>
              <w:t>(</w:t>
            </w:r>
            <w:proofErr w:type="gramEnd"/>
            <w:r>
              <w:rPr>
                <w:rFonts w:ascii="Arial" w:hAnsi="Arial" w:cs="Arial"/>
                <w:iCs/>
                <w:sz w:val="20"/>
                <w:szCs w:val="20"/>
              </w:rPr>
              <w:t>2004)</w:t>
            </w:r>
          </w:p>
        </w:tc>
      </w:tr>
      <w:tr w:rsidR="00D108FA" w14:paraId="6B73E480" w14:textId="77777777">
        <w:trPr>
          <w:trHeight w:hRule="exact" w:val="288"/>
          <w:jc w:val="center"/>
        </w:trPr>
        <w:tc>
          <w:tcPr>
            <w:tcW w:w="739" w:type="pct"/>
            <w:vMerge/>
            <w:noWrap/>
            <w:vAlign w:val="center"/>
          </w:tcPr>
          <w:p w14:paraId="77B9BF71" w14:textId="77777777" w:rsidR="00D108FA" w:rsidRDefault="00D108FA">
            <w:pPr>
              <w:spacing w:after="0" w:line="240" w:lineRule="auto"/>
              <w:rPr>
                <w:rFonts w:ascii="Arial" w:hAnsi="Arial" w:cs="Arial"/>
                <w:iCs/>
                <w:sz w:val="20"/>
                <w:szCs w:val="20"/>
              </w:rPr>
            </w:pPr>
          </w:p>
        </w:tc>
        <w:tc>
          <w:tcPr>
            <w:tcW w:w="1834" w:type="pct"/>
            <w:noWrap/>
            <w:vAlign w:val="center"/>
          </w:tcPr>
          <w:p w14:paraId="2BF24764" w14:textId="77777777" w:rsidR="00D108FA" w:rsidRDefault="00E82DA6">
            <w:pPr>
              <w:spacing w:after="0" w:line="240" w:lineRule="auto"/>
              <w:rPr>
                <w:rFonts w:ascii="Arial" w:hAnsi="Arial" w:cs="Arial"/>
                <w:i/>
                <w:iCs/>
                <w:sz w:val="20"/>
                <w:szCs w:val="20"/>
              </w:rPr>
            </w:pPr>
            <w:proofErr w:type="spellStart"/>
            <w:r>
              <w:rPr>
                <w:rStyle w:val="Emphasis"/>
                <w:rFonts w:ascii="Arial" w:hAnsi="Arial" w:cs="Arial"/>
                <w:sz w:val="20"/>
                <w:szCs w:val="20"/>
                <w:shd w:val="clear" w:color="auto" w:fill="FFFFFF"/>
              </w:rPr>
              <w:t>Gamkhap</w:t>
            </w:r>
            <w:proofErr w:type="spellEnd"/>
            <w:r>
              <w:rPr>
                <w:rStyle w:val="Emphasis"/>
                <w:rFonts w:ascii="Arial" w:hAnsi="Arial" w:cs="Arial"/>
                <w:sz w:val="20"/>
                <w:szCs w:val="20"/>
                <w:shd w:val="clear" w:color="auto" w:fill="FFFFFF"/>
              </w:rPr>
              <w:t xml:space="preserve">, </w:t>
            </w:r>
            <w:proofErr w:type="spellStart"/>
            <w:r>
              <w:rPr>
                <w:rStyle w:val="Emphasis"/>
                <w:rFonts w:ascii="Arial" w:hAnsi="Arial" w:cs="Arial"/>
                <w:sz w:val="20"/>
                <w:szCs w:val="20"/>
                <w:shd w:val="clear" w:color="auto" w:fill="FFFFFF"/>
              </w:rPr>
              <w:t>Mauhak</w:t>
            </w:r>
            <w:proofErr w:type="spellEnd"/>
            <w:r>
              <w:rPr>
                <w:rStyle w:val="Emphasis"/>
                <w:rFonts w:ascii="Arial" w:hAnsi="Arial" w:cs="Arial"/>
                <w:sz w:val="20"/>
                <w:szCs w:val="20"/>
                <w:shd w:val="clear" w:color="auto" w:fill="FFFFFF"/>
              </w:rPr>
              <w:t xml:space="preserve"> (sacred bamboo reserves)</w:t>
            </w:r>
          </w:p>
        </w:tc>
        <w:tc>
          <w:tcPr>
            <w:tcW w:w="2427" w:type="pct"/>
            <w:noWrap/>
            <w:vAlign w:val="center"/>
          </w:tcPr>
          <w:p w14:paraId="08A98C31" w14:textId="77777777" w:rsidR="00D108FA" w:rsidRDefault="00E82DA6">
            <w:pPr>
              <w:spacing w:after="0" w:line="240" w:lineRule="auto"/>
              <w:rPr>
                <w:rFonts w:ascii="Arial" w:hAnsi="Arial" w:cs="Arial"/>
                <w:iCs/>
                <w:sz w:val="20"/>
                <w:szCs w:val="20"/>
              </w:rPr>
            </w:pPr>
            <w:r>
              <w:rPr>
                <w:rFonts w:ascii="Arial" w:hAnsi="Arial" w:cs="Arial"/>
                <w:iCs/>
                <w:sz w:val="20"/>
                <w:szCs w:val="20"/>
              </w:rPr>
              <w:t>https://www.thenortheasttoday.com</w:t>
            </w:r>
          </w:p>
        </w:tc>
      </w:tr>
      <w:tr w:rsidR="00D108FA" w14:paraId="2968F9E7" w14:textId="77777777">
        <w:trPr>
          <w:trHeight w:hRule="exact" w:val="288"/>
          <w:jc w:val="center"/>
        </w:trPr>
        <w:tc>
          <w:tcPr>
            <w:tcW w:w="739" w:type="pct"/>
            <w:vMerge w:val="restart"/>
            <w:noWrap/>
            <w:vAlign w:val="center"/>
          </w:tcPr>
          <w:p w14:paraId="58120540" w14:textId="77777777" w:rsidR="00D108FA" w:rsidRDefault="00E82DA6">
            <w:pPr>
              <w:spacing w:after="0" w:line="240" w:lineRule="auto"/>
              <w:rPr>
                <w:rFonts w:ascii="Arial" w:hAnsi="Arial" w:cs="Arial"/>
                <w:iCs/>
                <w:sz w:val="20"/>
                <w:szCs w:val="20"/>
              </w:rPr>
            </w:pPr>
            <w:r>
              <w:rPr>
                <w:rFonts w:ascii="Arial" w:hAnsi="Arial" w:cs="Arial"/>
                <w:iCs/>
                <w:sz w:val="20"/>
                <w:szCs w:val="20"/>
              </w:rPr>
              <w:t>Meghalaya</w:t>
            </w:r>
          </w:p>
        </w:tc>
        <w:tc>
          <w:tcPr>
            <w:tcW w:w="1834" w:type="pct"/>
            <w:noWrap/>
            <w:vAlign w:val="center"/>
          </w:tcPr>
          <w:p w14:paraId="466040BE" w14:textId="77777777" w:rsidR="00D108FA" w:rsidRDefault="00E82DA6">
            <w:pPr>
              <w:spacing w:after="0" w:line="240" w:lineRule="auto"/>
              <w:rPr>
                <w:rFonts w:ascii="Arial" w:hAnsi="Arial" w:cs="Arial"/>
                <w:iCs/>
                <w:sz w:val="20"/>
                <w:szCs w:val="20"/>
              </w:rPr>
            </w:pPr>
            <w:r>
              <w:rPr>
                <w:rFonts w:ascii="Arial" w:hAnsi="Arial" w:cs="Arial"/>
                <w:i/>
                <w:iCs/>
                <w:sz w:val="20"/>
                <w:szCs w:val="20"/>
              </w:rPr>
              <w:t>Lao Lyngdoh</w:t>
            </w:r>
            <w:r>
              <w:rPr>
                <w:rFonts w:ascii="Arial" w:hAnsi="Arial" w:cs="Arial"/>
                <w:iCs/>
                <w:sz w:val="20"/>
                <w:szCs w:val="20"/>
              </w:rPr>
              <w:t xml:space="preserve">, </w:t>
            </w:r>
            <w:r>
              <w:rPr>
                <w:rFonts w:ascii="Arial" w:hAnsi="Arial" w:cs="Arial"/>
                <w:i/>
                <w:iCs/>
                <w:sz w:val="20"/>
                <w:szCs w:val="20"/>
              </w:rPr>
              <w:t xml:space="preserve">Lao </w:t>
            </w:r>
            <w:proofErr w:type="spellStart"/>
            <w:r>
              <w:rPr>
                <w:rFonts w:ascii="Arial" w:hAnsi="Arial" w:cs="Arial"/>
                <w:i/>
                <w:iCs/>
                <w:sz w:val="20"/>
                <w:szCs w:val="20"/>
              </w:rPr>
              <w:t>Niam</w:t>
            </w:r>
            <w:proofErr w:type="spellEnd"/>
            <w:r>
              <w:rPr>
                <w:rFonts w:ascii="Arial" w:hAnsi="Arial" w:cs="Arial"/>
                <w:iCs/>
                <w:sz w:val="20"/>
                <w:szCs w:val="20"/>
              </w:rPr>
              <w:t>, </w:t>
            </w:r>
            <w:r>
              <w:rPr>
                <w:rFonts w:ascii="Arial" w:hAnsi="Arial" w:cs="Arial"/>
                <w:i/>
                <w:iCs/>
                <w:sz w:val="20"/>
                <w:szCs w:val="20"/>
              </w:rPr>
              <w:t xml:space="preserve">Lao </w:t>
            </w:r>
            <w:proofErr w:type="spellStart"/>
            <w:r>
              <w:rPr>
                <w:rFonts w:ascii="Arial" w:hAnsi="Arial" w:cs="Arial"/>
                <w:i/>
                <w:iCs/>
                <w:sz w:val="20"/>
                <w:szCs w:val="20"/>
              </w:rPr>
              <w:t>Kyntang</w:t>
            </w:r>
            <w:proofErr w:type="spellEnd"/>
          </w:p>
        </w:tc>
        <w:tc>
          <w:tcPr>
            <w:tcW w:w="2427" w:type="pct"/>
            <w:noWrap/>
            <w:vAlign w:val="center"/>
          </w:tcPr>
          <w:p w14:paraId="75A0805A" w14:textId="77777777" w:rsidR="00D108FA" w:rsidRDefault="00E82DA6">
            <w:pPr>
              <w:spacing w:after="0" w:line="240" w:lineRule="auto"/>
              <w:rPr>
                <w:rFonts w:ascii="Arial" w:hAnsi="Arial" w:cs="Arial"/>
                <w:bCs/>
                <w:iCs/>
                <w:color w:val="FF0000"/>
                <w:sz w:val="20"/>
                <w:szCs w:val="20"/>
              </w:rPr>
            </w:pPr>
            <w:proofErr w:type="spellStart"/>
            <w:r>
              <w:rPr>
                <w:rFonts w:ascii="Arial" w:hAnsi="Arial" w:cs="Arial"/>
                <w:iCs/>
                <w:sz w:val="20"/>
                <w:szCs w:val="20"/>
              </w:rPr>
              <w:t>Syngai</w:t>
            </w:r>
            <w:proofErr w:type="spellEnd"/>
            <w:r>
              <w:rPr>
                <w:rFonts w:ascii="Arial" w:hAnsi="Arial" w:cs="Arial"/>
                <w:iCs/>
                <w:sz w:val="20"/>
                <w:szCs w:val="20"/>
              </w:rPr>
              <w:t xml:space="preserve"> (1999</w:t>
            </w:r>
            <w:proofErr w:type="gramStart"/>
            <w:r>
              <w:rPr>
                <w:rFonts w:ascii="Arial" w:hAnsi="Arial" w:cs="Arial"/>
                <w:iCs/>
                <w:sz w:val="20"/>
                <w:szCs w:val="20"/>
              </w:rPr>
              <w:t>),</w:t>
            </w:r>
            <w:proofErr w:type="spellStart"/>
            <w:r>
              <w:rPr>
                <w:rFonts w:ascii="Arial" w:hAnsi="Arial" w:cs="Arial"/>
                <w:iCs/>
                <w:sz w:val="20"/>
                <w:szCs w:val="20"/>
              </w:rPr>
              <w:t>Khargongor</w:t>
            </w:r>
            <w:proofErr w:type="spellEnd"/>
            <w:proofErr w:type="gramEnd"/>
            <w:r>
              <w:rPr>
                <w:rFonts w:ascii="Arial" w:hAnsi="Arial" w:cs="Arial"/>
                <w:iCs/>
                <w:sz w:val="20"/>
                <w:szCs w:val="20"/>
              </w:rPr>
              <w:t xml:space="preserve"> and Tiwari (2017)</w:t>
            </w:r>
          </w:p>
        </w:tc>
      </w:tr>
      <w:tr w:rsidR="00D108FA" w14:paraId="46B5F9EA" w14:textId="77777777">
        <w:trPr>
          <w:trHeight w:hRule="exact" w:val="288"/>
          <w:jc w:val="center"/>
        </w:trPr>
        <w:tc>
          <w:tcPr>
            <w:tcW w:w="739" w:type="pct"/>
            <w:vMerge/>
            <w:noWrap/>
            <w:vAlign w:val="center"/>
          </w:tcPr>
          <w:p w14:paraId="3B47DA7A" w14:textId="77777777" w:rsidR="00D108FA" w:rsidRDefault="00D108FA">
            <w:pPr>
              <w:spacing w:after="0" w:line="240" w:lineRule="auto"/>
              <w:rPr>
                <w:rFonts w:ascii="Arial" w:hAnsi="Arial" w:cs="Arial"/>
                <w:iCs/>
                <w:sz w:val="20"/>
                <w:szCs w:val="20"/>
              </w:rPr>
            </w:pPr>
          </w:p>
        </w:tc>
        <w:tc>
          <w:tcPr>
            <w:tcW w:w="1834" w:type="pct"/>
            <w:noWrap/>
            <w:vAlign w:val="center"/>
          </w:tcPr>
          <w:p w14:paraId="4E953FB4" w14:textId="77777777" w:rsidR="00D108FA" w:rsidRDefault="00E82DA6">
            <w:pPr>
              <w:spacing w:after="0" w:line="240" w:lineRule="auto"/>
              <w:rPr>
                <w:rFonts w:ascii="Arial" w:hAnsi="Arial" w:cs="Arial"/>
                <w:sz w:val="20"/>
                <w:szCs w:val="20"/>
              </w:rPr>
            </w:pPr>
            <w:r>
              <w:rPr>
                <w:rFonts w:ascii="Arial" w:hAnsi="Arial" w:cs="Arial"/>
                <w:i/>
                <w:sz w:val="20"/>
                <w:szCs w:val="20"/>
              </w:rPr>
              <w:t>KhlooBlai</w:t>
            </w:r>
          </w:p>
        </w:tc>
        <w:tc>
          <w:tcPr>
            <w:tcW w:w="2427" w:type="pct"/>
            <w:noWrap/>
            <w:vAlign w:val="center"/>
          </w:tcPr>
          <w:p w14:paraId="4EB9BDDF" w14:textId="77777777" w:rsidR="00D108FA" w:rsidRDefault="00E82DA6">
            <w:pPr>
              <w:spacing w:after="0" w:line="240" w:lineRule="auto"/>
              <w:rPr>
                <w:rFonts w:ascii="Arial" w:hAnsi="Arial" w:cs="Arial"/>
                <w:iCs/>
                <w:sz w:val="20"/>
                <w:szCs w:val="20"/>
              </w:rPr>
            </w:pPr>
            <w:proofErr w:type="spellStart"/>
            <w:r>
              <w:rPr>
                <w:rFonts w:ascii="Arial" w:hAnsi="Arial" w:cs="Arial"/>
                <w:iCs/>
                <w:sz w:val="20"/>
                <w:szCs w:val="20"/>
              </w:rPr>
              <w:t>Khargongor</w:t>
            </w:r>
            <w:proofErr w:type="spellEnd"/>
            <w:r>
              <w:rPr>
                <w:rFonts w:ascii="Arial" w:hAnsi="Arial" w:cs="Arial"/>
                <w:iCs/>
                <w:sz w:val="20"/>
                <w:szCs w:val="20"/>
              </w:rPr>
              <w:t xml:space="preserve"> and Tiwari (2017)</w:t>
            </w:r>
          </w:p>
        </w:tc>
      </w:tr>
      <w:tr w:rsidR="00D108FA" w14:paraId="50F5A615" w14:textId="77777777">
        <w:trPr>
          <w:trHeight w:hRule="exact" w:val="288"/>
          <w:jc w:val="center"/>
        </w:trPr>
        <w:tc>
          <w:tcPr>
            <w:tcW w:w="739" w:type="pct"/>
            <w:vMerge/>
            <w:noWrap/>
            <w:vAlign w:val="center"/>
          </w:tcPr>
          <w:p w14:paraId="4E41610C" w14:textId="77777777" w:rsidR="00D108FA" w:rsidRDefault="00D108FA">
            <w:pPr>
              <w:spacing w:after="0" w:line="240" w:lineRule="auto"/>
              <w:rPr>
                <w:rFonts w:ascii="Arial" w:hAnsi="Arial" w:cs="Arial"/>
                <w:iCs/>
                <w:sz w:val="20"/>
                <w:szCs w:val="20"/>
              </w:rPr>
            </w:pPr>
          </w:p>
        </w:tc>
        <w:tc>
          <w:tcPr>
            <w:tcW w:w="1834" w:type="pct"/>
            <w:noWrap/>
            <w:vAlign w:val="center"/>
          </w:tcPr>
          <w:p w14:paraId="3D34D76F" w14:textId="77777777" w:rsidR="00D108FA" w:rsidRDefault="00E82DA6">
            <w:pPr>
              <w:spacing w:after="0" w:line="240" w:lineRule="auto"/>
              <w:rPr>
                <w:rFonts w:ascii="Arial" w:hAnsi="Arial" w:cs="Arial"/>
                <w:i/>
                <w:sz w:val="20"/>
                <w:szCs w:val="20"/>
              </w:rPr>
            </w:pPr>
            <w:r>
              <w:rPr>
                <w:rFonts w:ascii="Arial" w:hAnsi="Arial" w:cs="Arial"/>
                <w:i/>
                <w:sz w:val="20"/>
                <w:szCs w:val="20"/>
              </w:rPr>
              <w:t>Asheng Khosi</w:t>
            </w:r>
          </w:p>
        </w:tc>
        <w:tc>
          <w:tcPr>
            <w:tcW w:w="2427" w:type="pct"/>
            <w:noWrap/>
            <w:vAlign w:val="center"/>
          </w:tcPr>
          <w:p w14:paraId="2F39A181" w14:textId="77777777" w:rsidR="00D108FA" w:rsidRDefault="00E82DA6">
            <w:pPr>
              <w:spacing w:after="0" w:line="240" w:lineRule="auto"/>
              <w:rPr>
                <w:rFonts w:ascii="Arial" w:hAnsi="Arial" w:cs="Arial"/>
                <w:iCs/>
                <w:sz w:val="20"/>
                <w:szCs w:val="20"/>
              </w:rPr>
            </w:pPr>
            <w:proofErr w:type="spellStart"/>
            <w:r>
              <w:rPr>
                <w:rFonts w:ascii="Arial" w:hAnsi="Arial" w:cs="Arial"/>
                <w:iCs/>
                <w:sz w:val="20"/>
                <w:szCs w:val="20"/>
              </w:rPr>
              <w:t>Khargongor</w:t>
            </w:r>
            <w:proofErr w:type="spellEnd"/>
            <w:r>
              <w:rPr>
                <w:rFonts w:ascii="Arial" w:hAnsi="Arial" w:cs="Arial"/>
                <w:iCs/>
                <w:sz w:val="20"/>
                <w:szCs w:val="20"/>
              </w:rPr>
              <w:t xml:space="preserve"> and Tiwari (2017)</w:t>
            </w:r>
          </w:p>
        </w:tc>
      </w:tr>
      <w:tr w:rsidR="00D108FA" w14:paraId="50618FB8" w14:textId="77777777">
        <w:trPr>
          <w:trHeight w:hRule="exact" w:val="288"/>
          <w:jc w:val="center"/>
        </w:trPr>
        <w:tc>
          <w:tcPr>
            <w:tcW w:w="739" w:type="pct"/>
            <w:vMerge w:val="restart"/>
            <w:noWrap/>
            <w:vAlign w:val="center"/>
          </w:tcPr>
          <w:p w14:paraId="7AF153C2" w14:textId="77777777" w:rsidR="00D108FA" w:rsidRDefault="00E82DA6">
            <w:pPr>
              <w:spacing w:after="0" w:line="240" w:lineRule="auto"/>
              <w:rPr>
                <w:rFonts w:ascii="Arial" w:hAnsi="Arial" w:cs="Arial"/>
                <w:iCs/>
                <w:sz w:val="20"/>
                <w:szCs w:val="20"/>
              </w:rPr>
            </w:pPr>
            <w:r>
              <w:rPr>
                <w:rFonts w:ascii="Arial" w:hAnsi="Arial" w:cs="Arial"/>
                <w:iCs/>
                <w:sz w:val="20"/>
                <w:szCs w:val="20"/>
              </w:rPr>
              <w:t>Mizoram</w:t>
            </w:r>
          </w:p>
        </w:tc>
        <w:tc>
          <w:tcPr>
            <w:tcW w:w="1834" w:type="pct"/>
            <w:noWrap/>
            <w:vAlign w:val="center"/>
          </w:tcPr>
          <w:p w14:paraId="17273B68" w14:textId="77777777" w:rsidR="00D108FA" w:rsidRDefault="00E82DA6">
            <w:pPr>
              <w:spacing w:after="0" w:line="240" w:lineRule="auto"/>
              <w:rPr>
                <w:rFonts w:ascii="Arial" w:hAnsi="Arial" w:cs="Arial"/>
                <w:iCs/>
                <w:sz w:val="20"/>
                <w:szCs w:val="20"/>
              </w:rPr>
            </w:pPr>
            <w:proofErr w:type="spellStart"/>
            <w:r>
              <w:rPr>
                <w:rFonts w:ascii="Arial" w:hAnsi="Arial" w:cs="Arial"/>
                <w:i/>
                <w:sz w:val="20"/>
                <w:szCs w:val="20"/>
              </w:rPr>
              <w:t>Ngawpui</w:t>
            </w:r>
            <w:proofErr w:type="spellEnd"/>
          </w:p>
        </w:tc>
        <w:tc>
          <w:tcPr>
            <w:tcW w:w="2427" w:type="pct"/>
            <w:noWrap/>
            <w:vAlign w:val="center"/>
          </w:tcPr>
          <w:p w14:paraId="571EB70F" w14:textId="77777777" w:rsidR="00D108FA" w:rsidRDefault="00E82DA6">
            <w:pPr>
              <w:spacing w:after="0" w:line="240" w:lineRule="auto"/>
              <w:rPr>
                <w:rFonts w:ascii="Arial" w:hAnsi="Arial" w:cs="Arial"/>
                <w:iCs/>
                <w:sz w:val="20"/>
                <w:szCs w:val="20"/>
              </w:rPr>
            </w:pPr>
            <w:r>
              <w:rPr>
                <w:rFonts w:ascii="Arial" w:hAnsi="Arial" w:cs="Arial"/>
                <w:sz w:val="20"/>
                <w:szCs w:val="20"/>
              </w:rPr>
              <w:t>Amirthalingam (2014)</w:t>
            </w:r>
          </w:p>
        </w:tc>
      </w:tr>
      <w:tr w:rsidR="00D108FA" w14:paraId="0C94D39B" w14:textId="77777777">
        <w:trPr>
          <w:trHeight w:hRule="exact" w:val="288"/>
          <w:jc w:val="center"/>
        </w:trPr>
        <w:tc>
          <w:tcPr>
            <w:tcW w:w="739" w:type="pct"/>
            <w:vMerge/>
            <w:noWrap/>
            <w:vAlign w:val="center"/>
          </w:tcPr>
          <w:p w14:paraId="49D35471" w14:textId="77777777" w:rsidR="00D108FA" w:rsidRDefault="00D108FA">
            <w:pPr>
              <w:spacing w:after="0" w:line="240" w:lineRule="auto"/>
              <w:rPr>
                <w:rFonts w:ascii="Arial" w:hAnsi="Arial" w:cs="Arial"/>
                <w:iCs/>
                <w:sz w:val="20"/>
                <w:szCs w:val="20"/>
              </w:rPr>
            </w:pPr>
          </w:p>
        </w:tc>
        <w:tc>
          <w:tcPr>
            <w:tcW w:w="1834" w:type="pct"/>
            <w:noWrap/>
            <w:vAlign w:val="center"/>
          </w:tcPr>
          <w:p w14:paraId="4B5B61A5" w14:textId="77777777" w:rsidR="00D108FA" w:rsidRDefault="00E82DA6">
            <w:pPr>
              <w:spacing w:after="0" w:line="240" w:lineRule="auto"/>
              <w:rPr>
                <w:rFonts w:ascii="Arial" w:hAnsi="Arial" w:cs="Arial"/>
                <w:i/>
                <w:iCs/>
                <w:sz w:val="20"/>
                <w:szCs w:val="20"/>
              </w:rPr>
            </w:pPr>
            <w:proofErr w:type="spellStart"/>
            <w:r>
              <w:rPr>
                <w:rFonts w:ascii="Arial" w:hAnsi="Arial" w:cs="Arial"/>
                <w:i/>
                <w:iCs/>
                <w:sz w:val="20"/>
                <w:szCs w:val="20"/>
              </w:rPr>
              <w:t>Mawmund</w:t>
            </w:r>
            <w:proofErr w:type="spellEnd"/>
          </w:p>
        </w:tc>
        <w:tc>
          <w:tcPr>
            <w:tcW w:w="2427" w:type="pct"/>
            <w:noWrap/>
            <w:vAlign w:val="center"/>
          </w:tcPr>
          <w:p w14:paraId="0BBDD4AE" w14:textId="77777777" w:rsidR="00D108FA" w:rsidRDefault="00E82DA6">
            <w:pPr>
              <w:spacing w:after="0" w:line="240" w:lineRule="auto"/>
              <w:rPr>
                <w:rFonts w:ascii="Arial" w:eastAsia="Times New Roman" w:hAnsi="Arial" w:cs="Arial"/>
                <w:color w:val="FF0000"/>
                <w:sz w:val="20"/>
                <w:szCs w:val="20"/>
              </w:rPr>
            </w:pPr>
            <w:r>
              <w:rPr>
                <w:rFonts w:ascii="Arial" w:eastAsia="Times New Roman" w:hAnsi="Arial" w:cs="Arial"/>
                <w:sz w:val="20"/>
                <w:szCs w:val="20"/>
              </w:rPr>
              <w:t xml:space="preserve">Malhotra (1990), Gokhale </w:t>
            </w:r>
            <w:proofErr w:type="gramStart"/>
            <w:r>
              <w:rPr>
                <w:rFonts w:ascii="Arial" w:eastAsia="Times New Roman" w:hAnsi="Arial" w:cs="Arial"/>
                <w:iCs/>
                <w:sz w:val="20"/>
                <w:szCs w:val="20"/>
              </w:rPr>
              <w:t>et al.</w:t>
            </w:r>
            <w:r>
              <w:rPr>
                <w:rFonts w:ascii="Arial" w:eastAsia="Times New Roman" w:hAnsi="Arial" w:cs="Arial"/>
                <w:sz w:val="20"/>
                <w:szCs w:val="20"/>
              </w:rPr>
              <w:t>(</w:t>
            </w:r>
            <w:proofErr w:type="gramEnd"/>
            <w:r>
              <w:rPr>
                <w:rFonts w:ascii="Arial" w:eastAsia="Times New Roman" w:hAnsi="Arial" w:cs="Arial"/>
                <w:sz w:val="20"/>
                <w:szCs w:val="20"/>
              </w:rPr>
              <w:t>1998)</w:t>
            </w:r>
          </w:p>
        </w:tc>
      </w:tr>
      <w:tr w:rsidR="00D108FA" w14:paraId="061EB560" w14:textId="77777777">
        <w:trPr>
          <w:trHeight w:hRule="exact" w:val="288"/>
          <w:jc w:val="center"/>
        </w:trPr>
        <w:tc>
          <w:tcPr>
            <w:tcW w:w="739" w:type="pct"/>
            <w:noWrap/>
            <w:vAlign w:val="center"/>
          </w:tcPr>
          <w:p w14:paraId="4486A438" w14:textId="77777777" w:rsidR="00D108FA" w:rsidRDefault="00E82DA6">
            <w:pPr>
              <w:spacing w:after="0" w:line="240" w:lineRule="auto"/>
              <w:rPr>
                <w:rFonts w:ascii="Arial" w:hAnsi="Arial" w:cs="Arial"/>
                <w:iCs/>
                <w:sz w:val="20"/>
                <w:szCs w:val="20"/>
              </w:rPr>
            </w:pPr>
            <w:r>
              <w:rPr>
                <w:rFonts w:ascii="Arial" w:hAnsi="Arial" w:cs="Arial"/>
                <w:iCs/>
                <w:sz w:val="20"/>
                <w:szCs w:val="20"/>
              </w:rPr>
              <w:t>Sikkim</w:t>
            </w:r>
          </w:p>
        </w:tc>
        <w:tc>
          <w:tcPr>
            <w:tcW w:w="1834" w:type="pct"/>
            <w:noWrap/>
            <w:vAlign w:val="center"/>
          </w:tcPr>
          <w:p w14:paraId="7C56DA0C" w14:textId="77777777" w:rsidR="00D108FA" w:rsidRDefault="00E82DA6">
            <w:pPr>
              <w:spacing w:after="0" w:line="240" w:lineRule="auto"/>
              <w:rPr>
                <w:rFonts w:ascii="Arial" w:hAnsi="Arial" w:cs="Arial"/>
                <w:iCs/>
                <w:sz w:val="20"/>
                <w:szCs w:val="20"/>
              </w:rPr>
            </w:pPr>
            <w:proofErr w:type="spellStart"/>
            <w:r>
              <w:rPr>
                <w:rFonts w:ascii="Arial" w:hAnsi="Arial" w:cs="Arial"/>
                <w:i/>
                <w:iCs/>
                <w:sz w:val="20"/>
                <w:szCs w:val="20"/>
              </w:rPr>
              <w:t>Devithans</w:t>
            </w:r>
            <w:proofErr w:type="spellEnd"/>
          </w:p>
        </w:tc>
        <w:tc>
          <w:tcPr>
            <w:tcW w:w="2427" w:type="pct"/>
            <w:noWrap/>
            <w:vAlign w:val="center"/>
          </w:tcPr>
          <w:p w14:paraId="2AF7F92B" w14:textId="77777777" w:rsidR="00D108FA" w:rsidRDefault="00E82DA6">
            <w:pPr>
              <w:spacing w:after="0" w:line="240" w:lineRule="auto"/>
              <w:rPr>
                <w:rFonts w:ascii="Arial" w:hAnsi="Arial" w:cs="Arial"/>
                <w:iCs/>
                <w:sz w:val="20"/>
                <w:szCs w:val="20"/>
              </w:rPr>
            </w:pPr>
            <w:r>
              <w:rPr>
                <w:rFonts w:ascii="Arial" w:hAnsi="Arial" w:cs="Arial"/>
                <w:iCs/>
                <w:sz w:val="20"/>
                <w:szCs w:val="20"/>
              </w:rPr>
              <w:t>Acharya and Ormsby (2017)</w:t>
            </w:r>
          </w:p>
        </w:tc>
      </w:tr>
      <w:tr w:rsidR="00D108FA" w14:paraId="03A2666D" w14:textId="77777777">
        <w:trPr>
          <w:trHeight w:hRule="exact" w:val="288"/>
          <w:jc w:val="center"/>
        </w:trPr>
        <w:tc>
          <w:tcPr>
            <w:tcW w:w="739" w:type="pct"/>
            <w:vMerge w:val="restart"/>
            <w:noWrap/>
            <w:vAlign w:val="center"/>
          </w:tcPr>
          <w:p w14:paraId="6320D3AD" w14:textId="77777777" w:rsidR="00D108FA" w:rsidRDefault="00D108FA">
            <w:pPr>
              <w:spacing w:after="0" w:line="240" w:lineRule="auto"/>
              <w:rPr>
                <w:rFonts w:ascii="Arial" w:hAnsi="Arial" w:cs="Arial"/>
                <w:iCs/>
                <w:sz w:val="20"/>
                <w:szCs w:val="20"/>
              </w:rPr>
            </w:pPr>
          </w:p>
        </w:tc>
        <w:tc>
          <w:tcPr>
            <w:tcW w:w="1834" w:type="pct"/>
            <w:noWrap/>
            <w:vAlign w:val="center"/>
          </w:tcPr>
          <w:p w14:paraId="7D658FB3" w14:textId="77777777" w:rsidR="00D108FA" w:rsidRDefault="00E82DA6">
            <w:pPr>
              <w:spacing w:after="0" w:line="240" w:lineRule="auto"/>
              <w:rPr>
                <w:rFonts w:ascii="Arial" w:hAnsi="Arial" w:cs="Arial"/>
                <w:i/>
                <w:iCs/>
                <w:sz w:val="20"/>
                <w:szCs w:val="20"/>
              </w:rPr>
            </w:pPr>
            <w:r>
              <w:rPr>
                <w:rFonts w:ascii="Arial" w:hAnsi="Arial" w:cs="Arial"/>
                <w:i/>
                <w:sz w:val="20"/>
                <w:szCs w:val="20"/>
                <w:shd w:val="clear" w:color="auto" w:fill="FFFFFF"/>
              </w:rPr>
              <w:t>Pandam</w:t>
            </w:r>
          </w:p>
        </w:tc>
        <w:tc>
          <w:tcPr>
            <w:tcW w:w="2427" w:type="pct"/>
            <w:noWrap/>
            <w:vAlign w:val="center"/>
          </w:tcPr>
          <w:p w14:paraId="3C46CFE5" w14:textId="77777777" w:rsidR="00D108FA" w:rsidRDefault="00E82DA6">
            <w:pPr>
              <w:spacing w:after="0" w:line="240" w:lineRule="auto"/>
              <w:rPr>
                <w:rFonts w:ascii="Arial" w:hAnsi="Arial" w:cs="Arial"/>
                <w:iCs/>
                <w:sz w:val="20"/>
                <w:szCs w:val="20"/>
              </w:rPr>
            </w:pPr>
            <w:r>
              <w:rPr>
                <w:rFonts w:ascii="Arial" w:hAnsi="Arial" w:cs="Arial"/>
                <w:iCs/>
                <w:sz w:val="20"/>
                <w:szCs w:val="20"/>
              </w:rPr>
              <w:t>https://www.thenortheasttoday.com</w:t>
            </w:r>
          </w:p>
        </w:tc>
      </w:tr>
      <w:tr w:rsidR="00D108FA" w14:paraId="5716848E" w14:textId="77777777">
        <w:trPr>
          <w:trHeight w:hRule="exact" w:val="288"/>
          <w:jc w:val="center"/>
        </w:trPr>
        <w:tc>
          <w:tcPr>
            <w:tcW w:w="739" w:type="pct"/>
            <w:vMerge/>
            <w:noWrap/>
            <w:vAlign w:val="center"/>
          </w:tcPr>
          <w:p w14:paraId="08401C19" w14:textId="77777777" w:rsidR="00D108FA" w:rsidRDefault="00D108FA">
            <w:pPr>
              <w:spacing w:after="0" w:line="240" w:lineRule="auto"/>
              <w:rPr>
                <w:rFonts w:ascii="Arial" w:hAnsi="Arial" w:cs="Arial"/>
                <w:iCs/>
                <w:sz w:val="20"/>
                <w:szCs w:val="20"/>
              </w:rPr>
            </w:pPr>
          </w:p>
        </w:tc>
        <w:tc>
          <w:tcPr>
            <w:tcW w:w="1834" w:type="pct"/>
            <w:noWrap/>
            <w:vAlign w:val="center"/>
          </w:tcPr>
          <w:p w14:paraId="1E829CE9" w14:textId="77777777" w:rsidR="00D108FA" w:rsidRDefault="00E82DA6">
            <w:pPr>
              <w:spacing w:after="0" w:line="240" w:lineRule="auto"/>
              <w:rPr>
                <w:rFonts w:ascii="Arial" w:hAnsi="Arial" w:cs="Arial"/>
                <w:i/>
                <w:sz w:val="20"/>
                <w:szCs w:val="20"/>
                <w:shd w:val="clear" w:color="auto" w:fill="FFFFFF"/>
              </w:rPr>
            </w:pPr>
            <w:proofErr w:type="spellStart"/>
            <w:r>
              <w:rPr>
                <w:rFonts w:ascii="Arial" w:hAnsi="Arial" w:cs="Arial"/>
                <w:i/>
                <w:sz w:val="20"/>
                <w:szCs w:val="20"/>
                <w:shd w:val="clear" w:color="auto" w:fill="FFFFFF"/>
              </w:rPr>
              <w:t>Gumpa</w:t>
            </w:r>
            <w:proofErr w:type="spellEnd"/>
            <w:r>
              <w:rPr>
                <w:rFonts w:ascii="Arial" w:hAnsi="Arial" w:cs="Arial"/>
                <w:i/>
                <w:sz w:val="20"/>
                <w:szCs w:val="20"/>
                <w:shd w:val="clear" w:color="auto" w:fill="FFFFFF"/>
              </w:rPr>
              <w:t xml:space="preserve"> forests</w:t>
            </w:r>
          </w:p>
        </w:tc>
        <w:tc>
          <w:tcPr>
            <w:tcW w:w="2427" w:type="pct"/>
            <w:noWrap/>
            <w:vAlign w:val="center"/>
          </w:tcPr>
          <w:p w14:paraId="13CA6878" w14:textId="77777777" w:rsidR="00D108FA" w:rsidRDefault="00E82DA6">
            <w:pPr>
              <w:spacing w:after="0" w:line="240" w:lineRule="auto"/>
              <w:rPr>
                <w:rFonts w:ascii="Arial" w:hAnsi="Arial" w:cs="Arial"/>
                <w:iCs/>
                <w:sz w:val="20"/>
                <w:szCs w:val="20"/>
              </w:rPr>
            </w:pPr>
            <w:r>
              <w:rPr>
                <w:rFonts w:ascii="Arial" w:hAnsi="Arial" w:cs="Arial"/>
                <w:iCs/>
                <w:sz w:val="20"/>
                <w:szCs w:val="20"/>
              </w:rPr>
              <w:t>http</w:t>
            </w:r>
            <w:bookmarkStart w:id="0" w:name="_GoBack"/>
            <w:bookmarkEnd w:id="0"/>
            <w:r>
              <w:rPr>
                <w:rFonts w:ascii="Arial" w:hAnsi="Arial" w:cs="Arial"/>
                <w:iCs/>
                <w:sz w:val="20"/>
                <w:szCs w:val="20"/>
              </w:rPr>
              <w:t>s://www.thenortheasttoday.com, Dash (2005)</w:t>
            </w:r>
          </w:p>
        </w:tc>
      </w:tr>
      <w:tr w:rsidR="00D108FA" w14:paraId="07EB30D1" w14:textId="77777777">
        <w:trPr>
          <w:trHeight w:hRule="exact" w:val="288"/>
          <w:jc w:val="center"/>
        </w:trPr>
        <w:tc>
          <w:tcPr>
            <w:tcW w:w="739" w:type="pct"/>
            <w:noWrap/>
            <w:vAlign w:val="center"/>
          </w:tcPr>
          <w:p w14:paraId="15E827EF" w14:textId="77777777" w:rsidR="00D108FA" w:rsidRDefault="00E82DA6">
            <w:pPr>
              <w:spacing w:after="0" w:line="240" w:lineRule="auto"/>
              <w:rPr>
                <w:rFonts w:ascii="Arial" w:hAnsi="Arial" w:cs="Arial"/>
                <w:iCs/>
                <w:sz w:val="20"/>
                <w:szCs w:val="20"/>
              </w:rPr>
            </w:pPr>
            <w:r>
              <w:rPr>
                <w:rFonts w:ascii="Arial" w:hAnsi="Arial" w:cs="Arial"/>
                <w:iCs/>
                <w:sz w:val="20"/>
                <w:szCs w:val="20"/>
              </w:rPr>
              <w:t>Tripura</w:t>
            </w:r>
          </w:p>
        </w:tc>
        <w:tc>
          <w:tcPr>
            <w:tcW w:w="1834" w:type="pct"/>
            <w:noWrap/>
            <w:vAlign w:val="center"/>
          </w:tcPr>
          <w:p w14:paraId="0650C854" w14:textId="77777777" w:rsidR="00D108FA" w:rsidRDefault="00E82DA6">
            <w:pPr>
              <w:spacing w:after="0" w:line="240" w:lineRule="auto"/>
              <w:rPr>
                <w:rFonts w:ascii="Arial" w:hAnsi="Arial" w:cs="Arial"/>
                <w:iCs/>
                <w:sz w:val="20"/>
                <w:szCs w:val="20"/>
              </w:rPr>
            </w:pPr>
            <w:r>
              <w:rPr>
                <w:rFonts w:ascii="Arial" w:hAnsi="Arial" w:cs="Arial"/>
                <w:iCs/>
                <w:sz w:val="20"/>
                <w:szCs w:val="20"/>
              </w:rPr>
              <w:t xml:space="preserve">Groves of </w:t>
            </w:r>
            <w:proofErr w:type="spellStart"/>
            <w:r>
              <w:rPr>
                <w:rFonts w:ascii="Arial" w:hAnsi="Arial" w:cs="Arial"/>
                <w:iCs/>
                <w:sz w:val="20"/>
                <w:szCs w:val="20"/>
              </w:rPr>
              <w:t>Darlong</w:t>
            </w:r>
            <w:proofErr w:type="spellEnd"/>
            <w:r>
              <w:rPr>
                <w:rFonts w:ascii="Arial" w:hAnsi="Arial" w:cs="Arial"/>
                <w:iCs/>
                <w:sz w:val="20"/>
                <w:szCs w:val="20"/>
              </w:rPr>
              <w:t xml:space="preserve"> community</w:t>
            </w:r>
          </w:p>
        </w:tc>
        <w:tc>
          <w:tcPr>
            <w:tcW w:w="2427" w:type="pct"/>
            <w:noWrap/>
            <w:vAlign w:val="center"/>
          </w:tcPr>
          <w:p w14:paraId="64220373" w14:textId="77777777" w:rsidR="00D108FA" w:rsidRDefault="00E82DA6">
            <w:pPr>
              <w:spacing w:after="0" w:line="240" w:lineRule="auto"/>
              <w:rPr>
                <w:rFonts w:ascii="Arial" w:hAnsi="Arial" w:cs="Arial"/>
                <w:b/>
                <w:iCs/>
                <w:sz w:val="20"/>
                <w:szCs w:val="20"/>
              </w:rPr>
            </w:pPr>
            <w:proofErr w:type="spellStart"/>
            <w:r>
              <w:rPr>
                <w:rFonts w:ascii="Arial" w:hAnsi="Arial" w:cs="Arial"/>
                <w:iCs/>
                <w:sz w:val="20"/>
                <w:szCs w:val="20"/>
              </w:rPr>
              <w:t>Darlong</w:t>
            </w:r>
            <w:proofErr w:type="spellEnd"/>
            <w:r>
              <w:rPr>
                <w:rFonts w:ascii="Arial" w:hAnsi="Arial" w:cs="Arial"/>
                <w:iCs/>
                <w:sz w:val="20"/>
                <w:szCs w:val="20"/>
              </w:rPr>
              <w:t xml:space="preserve"> (2015)</w:t>
            </w:r>
          </w:p>
        </w:tc>
      </w:tr>
    </w:tbl>
    <w:p w14:paraId="2CB464CF" w14:textId="77777777" w:rsidR="00D108FA" w:rsidRDefault="00D108FA">
      <w:pPr>
        <w:pStyle w:val="NormalWeb"/>
        <w:spacing w:before="0" w:beforeAutospacing="0" w:after="0" w:afterAutospacing="0" w:line="360" w:lineRule="auto"/>
        <w:jc w:val="both"/>
        <w:rPr>
          <w:rFonts w:ascii="Arial" w:hAnsi="Arial" w:cs="Arial"/>
          <w:iCs/>
          <w:sz w:val="20"/>
          <w:szCs w:val="20"/>
        </w:rPr>
      </w:pPr>
    </w:p>
    <w:p w14:paraId="38B67103" w14:textId="77777777" w:rsidR="00D108FA" w:rsidRDefault="00D108FA">
      <w:pPr>
        <w:pStyle w:val="NormalWeb"/>
        <w:spacing w:before="0" w:beforeAutospacing="0" w:after="0" w:afterAutospacing="0"/>
        <w:jc w:val="both"/>
        <w:rPr>
          <w:rFonts w:ascii="Arial" w:hAnsi="Arial" w:cs="Arial"/>
          <w:iCs/>
          <w:sz w:val="20"/>
          <w:szCs w:val="20"/>
        </w:rPr>
      </w:pPr>
    </w:p>
    <w:p w14:paraId="1F8C160B" w14:textId="77777777" w:rsidR="00D108FA" w:rsidRDefault="00E82DA6">
      <w:pPr>
        <w:pStyle w:val="NormalWeb"/>
        <w:spacing w:before="0" w:beforeAutospacing="0" w:after="0" w:afterAutospacing="0"/>
        <w:jc w:val="both"/>
        <w:rPr>
          <w:rFonts w:ascii="Arial" w:hAnsi="Arial" w:cs="Arial"/>
          <w:iCs/>
          <w:sz w:val="20"/>
          <w:szCs w:val="20"/>
        </w:rPr>
      </w:pPr>
      <w:r>
        <w:rPr>
          <w:rFonts w:ascii="Arial" w:hAnsi="Arial" w:cs="Arial"/>
          <w:iCs/>
          <w:sz w:val="20"/>
          <w:szCs w:val="20"/>
        </w:rPr>
        <w:t xml:space="preserve">Sacred groves play a vital role in maintaining the biodiversity of ecosystems (Amirthalingam, 2014). In the West </w:t>
      </w:r>
      <w:proofErr w:type="spellStart"/>
      <w:r>
        <w:rPr>
          <w:rFonts w:ascii="Arial" w:hAnsi="Arial" w:cs="Arial"/>
          <w:iCs/>
          <w:sz w:val="20"/>
          <w:szCs w:val="20"/>
        </w:rPr>
        <w:t>Karbi</w:t>
      </w:r>
      <w:proofErr w:type="spellEnd"/>
      <w:r>
        <w:rPr>
          <w:rFonts w:ascii="Arial" w:hAnsi="Arial" w:cs="Arial"/>
          <w:iCs/>
          <w:sz w:val="20"/>
          <w:szCs w:val="20"/>
        </w:rPr>
        <w:t xml:space="preserve"> </w:t>
      </w:r>
      <w:proofErr w:type="spellStart"/>
      <w:r>
        <w:rPr>
          <w:rFonts w:ascii="Arial" w:hAnsi="Arial" w:cs="Arial"/>
          <w:iCs/>
          <w:sz w:val="20"/>
          <w:szCs w:val="20"/>
        </w:rPr>
        <w:t>Anglong</w:t>
      </w:r>
      <w:proofErr w:type="spellEnd"/>
      <w:r>
        <w:rPr>
          <w:rFonts w:ascii="Arial" w:hAnsi="Arial" w:cs="Arial"/>
          <w:iCs/>
          <w:sz w:val="20"/>
          <w:szCs w:val="20"/>
        </w:rPr>
        <w:t xml:space="preserve"> district of Assam, 116 plant species were recorded from two sacred groves (Baidya et al., 2020a). In Manipur, </w:t>
      </w:r>
      <w:proofErr w:type="spellStart"/>
      <w:r>
        <w:rPr>
          <w:rFonts w:ascii="Arial" w:hAnsi="Arial" w:cs="Arial"/>
          <w:iCs/>
          <w:sz w:val="20"/>
          <w:szCs w:val="20"/>
        </w:rPr>
        <w:t>Khumbongmayum</w:t>
      </w:r>
      <w:proofErr w:type="spellEnd"/>
      <w:r>
        <w:rPr>
          <w:rFonts w:ascii="Arial" w:hAnsi="Arial" w:cs="Arial"/>
          <w:iCs/>
          <w:sz w:val="20"/>
          <w:szCs w:val="20"/>
        </w:rPr>
        <w:t xml:space="preserve"> et al. (2005a) documented 173 plant species, including 96 woody species, from four sacred groves. The Kabi sacred grove in Sikkim w</w:t>
      </w:r>
      <w:r>
        <w:rPr>
          <w:rFonts w:ascii="Arial" w:hAnsi="Arial" w:cs="Arial"/>
          <w:iCs/>
          <w:sz w:val="20"/>
          <w:szCs w:val="20"/>
        </w:rPr>
        <w:t xml:space="preserve">as reported to harbour 214 plant species (Dash, 2005), whereas 47 tree species were documented in the </w:t>
      </w:r>
      <w:proofErr w:type="spellStart"/>
      <w:r>
        <w:rPr>
          <w:rFonts w:ascii="Arial" w:hAnsi="Arial" w:cs="Arial"/>
          <w:iCs/>
          <w:sz w:val="20"/>
          <w:szCs w:val="20"/>
        </w:rPr>
        <w:t>Unakoti</w:t>
      </w:r>
      <w:proofErr w:type="spellEnd"/>
      <w:r>
        <w:rPr>
          <w:rFonts w:ascii="Arial" w:hAnsi="Arial" w:cs="Arial"/>
          <w:iCs/>
          <w:sz w:val="20"/>
          <w:szCs w:val="20"/>
        </w:rPr>
        <w:t xml:space="preserve"> sacred grove in Tripura (Banik et al., 2018). A floristic survey conducted by Tiwari et al. (2008) across 79 sacred groves in Meghalaya reported a</w:t>
      </w:r>
      <w:r>
        <w:rPr>
          <w:rFonts w:ascii="Arial" w:hAnsi="Arial" w:cs="Arial"/>
          <w:iCs/>
          <w:sz w:val="20"/>
          <w:szCs w:val="20"/>
        </w:rPr>
        <w:t xml:space="preserve"> remarkable 514 plant species. Another study in three sacred groves of Meghalaya identified 114 woody species (</w:t>
      </w:r>
      <w:proofErr w:type="spellStart"/>
      <w:r>
        <w:rPr>
          <w:rFonts w:ascii="Arial" w:hAnsi="Arial" w:cs="Arial"/>
          <w:iCs/>
          <w:sz w:val="20"/>
          <w:szCs w:val="20"/>
        </w:rPr>
        <w:t>Upadhaya</w:t>
      </w:r>
      <w:proofErr w:type="spellEnd"/>
      <w:r>
        <w:rPr>
          <w:rFonts w:ascii="Arial" w:hAnsi="Arial" w:cs="Arial"/>
          <w:iCs/>
          <w:sz w:val="20"/>
          <w:szCs w:val="20"/>
        </w:rPr>
        <w:t xml:space="preserve"> et al., 2008). Of the total plant species found in Meghalaya, 133 species (4%) are confined exclusively to sacred forests, including 96 </w:t>
      </w:r>
      <w:r>
        <w:rPr>
          <w:rFonts w:ascii="Arial" w:hAnsi="Arial" w:cs="Arial"/>
          <w:iCs/>
          <w:sz w:val="20"/>
          <w:szCs w:val="20"/>
        </w:rPr>
        <w:t>endemic species (Khan et al., 1997). A consolidated summary of plant species diversity recorded in sacred groves across various northeastern states is presented in Table 4.</w:t>
      </w:r>
    </w:p>
    <w:p w14:paraId="429EDB5C" w14:textId="77777777" w:rsidR="00D108FA" w:rsidRDefault="00D108FA">
      <w:pPr>
        <w:spacing w:after="0" w:line="240" w:lineRule="auto"/>
        <w:ind w:firstLine="720"/>
        <w:jc w:val="center"/>
        <w:rPr>
          <w:rFonts w:ascii="Arial" w:eastAsia="Times New Roman" w:hAnsi="Arial" w:cs="Arial"/>
          <w:b/>
          <w:bCs/>
          <w:sz w:val="20"/>
          <w:szCs w:val="20"/>
        </w:rPr>
      </w:pPr>
    </w:p>
    <w:p w14:paraId="2E9AEE0A" w14:textId="77777777" w:rsidR="00D108FA" w:rsidRDefault="00E82DA6">
      <w:pPr>
        <w:spacing w:after="0" w:line="240" w:lineRule="auto"/>
        <w:ind w:firstLine="720"/>
        <w:jc w:val="center"/>
        <w:rPr>
          <w:rFonts w:ascii="Arial" w:eastAsia="Times New Roman" w:hAnsi="Arial" w:cs="Arial"/>
          <w:sz w:val="20"/>
          <w:szCs w:val="20"/>
        </w:rPr>
      </w:pPr>
      <w:r>
        <w:rPr>
          <w:rFonts w:ascii="Arial" w:eastAsia="Times New Roman" w:hAnsi="Arial" w:cs="Arial"/>
          <w:b/>
          <w:bCs/>
          <w:sz w:val="20"/>
          <w:szCs w:val="20"/>
        </w:rPr>
        <w:t>Table 4:</w:t>
      </w:r>
      <w:r>
        <w:rPr>
          <w:rFonts w:ascii="Arial" w:eastAsia="Times New Roman" w:hAnsi="Arial" w:cs="Arial"/>
          <w:sz w:val="20"/>
          <w:szCs w:val="20"/>
        </w:rPr>
        <w:t xml:space="preserve"> Number of plant species recorded</w:t>
      </w:r>
    </w:p>
    <w:p w14:paraId="098DB0EC" w14:textId="77777777" w:rsidR="00D108FA" w:rsidRDefault="00D108FA">
      <w:pPr>
        <w:spacing w:after="0" w:line="240" w:lineRule="auto"/>
        <w:ind w:firstLine="720"/>
        <w:jc w:val="center"/>
        <w:rPr>
          <w:rFonts w:ascii="Arial" w:eastAsia="Times New Roman" w:hAnsi="Arial" w:cs="Arial"/>
          <w:sz w:val="20"/>
          <w:szCs w:val="20"/>
        </w:rPr>
      </w:pPr>
    </w:p>
    <w:tbl>
      <w:tblPr>
        <w:tblW w:w="4833"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27"/>
        <w:gridCol w:w="3062"/>
        <w:gridCol w:w="4267"/>
      </w:tblGrid>
      <w:tr w:rsidR="00D108FA" w14:paraId="15CFA873" w14:textId="77777777">
        <w:trPr>
          <w:trHeight w:hRule="exact" w:val="288"/>
          <w:jc w:val="center"/>
        </w:trPr>
        <w:tc>
          <w:tcPr>
            <w:tcW w:w="1041" w:type="pct"/>
            <w:vAlign w:val="center"/>
          </w:tcPr>
          <w:p w14:paraId="08AACC54" w14:textId="77777777" w:rsidR="00D108FA" w:rsidRDefault="00E82DA6">
            <w:pPr>
              <w:spacing w:after="0" w:line="240" w:lineRule="auto"/>
              <w:rPr>
                <w:rFonts w:ascii="Arial" w:eastAsia="Times New Roman" w:hAnsi="Arial" w:cs="Arial"/>
                <w:b/>
                <w:sz w:val="20"/>
                <w:szCs w:val="20"/>
              </w:rPr>
            </w:pPr>
            <w:r>
              <w:rPr>
                <w:rFonts w:ascii="Arial" w:eastAsia="Times New Roman" w:hAnsi="Arial" w:cs="Arial"/>
                <w:b/>
                <w:sz w:val="20"/>
                <w:szCs w:val="20"/>
              </w:rPr>
              <w:t>States</w:t>
            </w:r>
          </w:p>
        </w:tc>
        <w:tc>
          <w:tcPr>
            <w:tcW w:w="1654" w:type="pct"/>
            <w:vAlign w:val="center"/>
          </w:tcPr>
          <w:p w14:paraId="1B6D6C10" w14:textId="77777777" w:rsidR="00D108FA" w:rsidRDefault="00E82DA6">
            <w:pPr>
              <w:spacing w:after="0" w:line="240" w:lineRule="auto"/>
              <w:rPr>
                <w:rFonts w:ascii="Arial" w:eastAsia="Times New Roman" w:hAnsi="Arial" w:cs="Arial"/>
                <w:b/>
                <w:sz w:val="20"/>
                <w:szCs w:val="20"/>
              </w:rPr>
            </w:pPr>
            <w:r>
              <w:rPr>
                <w:rFonts w:ascii="Arial" w:eastAsia="Times New Roman" w:hAnsi="Arial" w:cs="Arial"/>
                <w:b/>
                <w:sz w:val="20"/>
                <w:szCs w:val="20"/>
              </w:rPr>
              <w:t>Number of plant species recorded</w:t>
            </w:r>
          </w:p>
        </w:tc>
        <w:tc>
          <w:tcPr>
            <w:tcW w:w="2306" w:type="pct"/>
            <w:vAlign w:val="center"/>
          </w:tcPr>
          <w:p w14:paraId="4FD76878" w14:textId="77777777" w:rsidR="00D108FA" w:rsidRDefault="00E82DA6">
            <w:pPr>
              <w:spacing w:after="0" w:line="240" w:lineRule="auto"/>
              <w:rPr>
                <w:rFonts w:ascii="Arial" w:eastAsia="Times New Roman" w:hAnsi="Arial" w:cs="Arial"/>
                <w:b/>
                <w:sz w:val="20"/>
                <w:szCs w:val="20"/>
              </w:rPr>
            </w:pPr>
            <w:r>
              <w:rPr>
                <w:rFonts w:ascii="Arial" w:eastAsia="Times New Roman" w:hAnsi="Arial" w:cs="Arial"/>
                <w:b/>
                <w:sz w:val="20"/>
                <w:szCs w:val="20"/>
              </w:rPr>
              <w:t>References</w:t>
            </w:r>
          </w:p>
        </w:tc>
      </w:tr>
      <w:tr w:rsidR="00D108FA" w14:paraId="12E72A90" w14:textId="77777777">
        <w:trPr>
          <w:trHeight w:hRule="exact" w:val="288"/>
          <w:jc w:val="center"/>
        </w:trPr>
        <w:tc>
          <w:tcPr>
            <w:tcW w:w="1041" w:type="pct"/>
            <w:vAlign w:val="center"/>
          </w:tcPr>
          <w:p w14:paraId="5A7E09FC"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Assam</w:t>
            </w:r>
          </w:p>
        </w:tc>
        <w:tc>
          <w:tcPr>
            <w:tcW w:w="1654" w:type="pct"/>
            <w:vAlign w:val="center"/>
          </w:tcPr>
          <w:p w14:paraId="3051E9F4"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116</w:t>
            </w:r>
          </w:p>
        </w:tc>
        <w:tc>
          <w:tcPr>
            <w:tcW w:w="2306" w:type="pct"/>
            <w:vAlign w:val="center"/>
          </w:tcPr>
          <w:p w14:paraId="51891493"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Baidya et al. (2020a)</w:t>
            </w:r>
          </w:p>
        </w:tc>
      </w:tr>
      <w:tr w:rsidR="00D108FA" w14:paraId="7C616383" w14:textId="77777777">
        <w:trPr>
          <w:trHeight w:hRule="exact" w:val="288"/>
          <w:jc w:val="center"/>
        </w:trPr>
        <w:tc>
          <w:tcPr>
            <w:tcW w:w="1041" w:type="pct"/>
            <w:vAlign w:val="center"/>
          </w:tcPr>
          <w:p w14:paraId="4958A403"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Manipur</w:t>
            </w:r>
          </w:p>
        </w:tc>
        <w:tc>
          <w:tcPr>
            <w:tcW w:w="1654" w:type="pct"/>
            <w:vAlign w:val="center"/>
          </w:tcPr>
          <w:p w14:paraId="6898EECA"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173</w:t>
            </w:r>
          </w:p>
        </w:tc>
        <w:tc>
          <w:tcPr>
            <w:tcW w:w="2306" w:type="pct"/>
            <w:vAlign w:val="center"/>
          </w:tcPr>
          <w:p w14:paraId="4E0DA435" w14:textId="77777777" w:rsidR="00D108FA" w:rsidRDefault="00E82DA6">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Khumbongmayum</w:t>
            </w:r>
            <w:proofErr w:type="spellEnd"/>
            <w:r>
              <w:rPr>
                <w:rFonts w:ascii="Arial" w:eastAsia="Times New Roman" w:hAnsi="Arial" w:cs="Arial"/>
                <w:sz w:val="20"/>
                <w:szCs w:val="20"/>
              </w:rPr>
              <w:t xml:space="preserve"> et al.</w:t>
            </w:r>
            <w:r>
              <w:rPr>
                <w:rFonts w:ascii="Arial" w:eastAsia="Times New Roman" w:hAnsi="Arial" w:cs="Arial"/>
                <w:i/>
                <w:iCs/>
                <w:sz w:val="20"/>
                <w:szCs w:val="20"/>
              </w:rPr>
              <w:t xml:space="preserve"> (</w:t>
            </w:r>
            <w:r>
              <w:rPr>
                <w:rFonts w:ascii="Arial" w:eastAsia="Times New Roman" w:hAnsi="Arial" w:cs="Arial"/>
                <w:sz w:val="20"/>
                <w:szCs w:val="20"/>
              </w:rPr>
              <w:t>2005a)</w:t>
            </w:r>
          </w:p>
        </w:tc>
      </w:tr>
      <w:tr w:rsidR="00D108FA" w14:paraId="728459E7" w14:textId="77777777">
        <w:trPr>
          <w:trHeight w:hRule="exact" w:val="1117"/>
          <w:jc w:val="center"/>
        </w:trPr>
        <w:tc>
          <w:tcPr>
            <w:tcW w:w="1041" w:type="pct"/>
            <w:vAlign w:val="center"/>
          </w:tcPr>
          <w:p w14:paraId="3F3385C3"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Meghalaya</w:t>
            </w:r>
          </w:p>
        </w:tc>
        <w:tc>
          <w:tcPr>
            <w:tcW w:w="1654" w:type="pct"/>
            <w:vAlign w:val="center"/>
          </w:tcPr>
          <w:p w14:paraId="369F5658"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210.95±118.35</w:t>
            </w:r>
          </w:p>
          <w:p w14:paraId="19C032E8"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(ranges from 63 to 738)</w:t>
            </w:r>
          </w:p>
        </w:tc>
        <w:tc>
          <w:tcPr>
            <w:tcW w:w="2306" w:type="pct"/>
            <w:vAlign w:val="center"/>
          </w:tcPr>
          <w:p w14:paraId="7D6DA5F3" w14:textId="77777777" w:rsidR="00D108FA" w:rsidRDefault="00E82DA6">
            <w:pPr>
              <w:spacing w:after="0" w:line="240" w:lineRule="auto"/>
              <w:rPr>
                <w:rFonts w:ascii="Arial" w:eastAsia="Times New Roman" w:hAnsi="Arial" w:cs="Arial"/>
                <w:color w:val="FF0000"/>
                <w:sz w:val="20"/>
                <w:szCs w:val="20"/>
              </w:rPr>
            </w:pPr>
            <w:r>
              <w:rPr>
                <w:rFonts w:ascii="Arial" w:eastAsia="Times New Roman" w:hAnsi="Arial" w:cs="Arial"/>
                <w:sz w:val="20"/>
                <w:szCs w:val="20"/>
              </w:rPr>
              <w:t>Khan et al. (1997</w:t>
            </w:r>
            <w:proofErr w:type="gramStart"/>
            <w:r>
              <w:rPr>
                <w:rFonts w:ascii="Arial" w:eastAsia="Times New Roman" w:hAnsi="Arial" w:cs="Arial"/>
                <w:sz w:val="20"/>
                <w:szCs w:val="20"/>
              </w:rPr>
              <w:t>),Jamir</w:t>
            </w:r>
            <w:proofErr w:type="gramEnd"/>
            <w:r>
              <w:rPr>
                <w:rFonts w:ascii="Arial" w:eastAsia="Times New Roman" w:hAnsi="Arial" w:cs="Arial"/>
                <w:sz w:val="20"/>
                <w:szCs w:val="20"/>
              </w:rPr>
              <w:t xml:space="preserve"> and Pandey (2003), </w:t>
            </w:r>
            <w:proofErr w:type="spellStart"/>
            <w:r>
              <w:rPr>
                <w:rFonts w:ascii="Arial" w:eastAsia="Times New Roman" w:hAnsi="Arial" w:cs="Arial"/>
                <w:sz w:val="20"/>
                <w:szCs w:val="20"/>
              </w:rPr>
              <w:t>Upadhaya</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etal</w:t>
            </w:r>
            <w:proofErr w:type="spellEnd"/>
            <w:r>
              <w:rPr>
                <w:rFonts w:ascii="Arial" w:eastAsia="Times New Roman" w:hAnsi="Arial" w:cs="Arial"/>
                <w:sz w:val="20"/>
                <w:szCs w:val="20"/>
              </w:rPr>
              <w:t>.(2003),</w:t>
            </w:r>
            <w:proofErr w:type="spellStart"/>
            <w:r>
              <w:rPr>
                <w:rFonts w:ascii="Arial" w:eastAsia="Times New Roman" w:hAnsi="Arial" w:cs="Arial"/>
                <w:sz w:val="20"/>
                <w:szCs w:val="20"/>
              </w:rPr>
              <w:t>Upadhaya</w:t>
            </w:r>
            <w:proofErr w:type="spellEnd"/>
            <w:r>
              <w:rPr>
                <w:rFonts w:ascii="Arial" w:eastAsia="Times New Roman" w:hAnsi="Arial" w:cs="Arial"/>
                <w:sz w:val="20"/>
                <w:szCs w:val="20"/>
              </w:rPr>
              <w:t xml:space="preserve"> et al. (2008), Tiwari et al.(2008),Mohanta</w:t>
            </w:r>
            <w:r>
              <w:rPr>
                <w:rFonts w:ascii="Arial" w:eastAsia="Times New Roman" w:hAnsi="Arial" w:cs="Arial"/>
                <w:sz w:val="20"/>
                <w:szCs w:val="20"/>
              </w:rPr>
              <w:t xml:space="preserve"> et al. (2009),</w:t>
            </w:r>
            <w:proofErr w:type="spellStart"/>
            <w:r>
              <w:rPr>
                <w:rFonts w:ascii="Arial" w:eastAsia="Times New Roman" w:hAnsi="Arial" w:cs="Arial"/>
                <w:sz w:val="20"/>
                <w:szCs w:val="20"/>
              </w:rPr>
              <w:t>Marbaniang</w:t>
            </w:r>
            <w:proofErr w:type="spellEnd"/>
            <w:r>
              <w:rPr>
                <w:rFonts w:ascii="Arial" w:eastAsia="Times New Roman" w:hAnsi="Arial" w:cs="Arial"/>
                <w:sz w:val="20"/>
                <w:szCs w:val="20"/>
              </w:rPr>
              <w:t xml:space="preserve"> et al. (2024)</w:t>
            </w:r>
          </w:p>
        </w:tc>
      </w:tr>
      <w:tr w:rsidR="00D108FA" w14:paraId="7DBEDAA9" w14:textId="77777777">
        <w:trPr>
          <w:trHeight w:hRule="exact" w:val="288"/>
          <w:jc w:val="center"/>
        </w:trPr>
        <w:tc>
          <w:tcPr>
            <w:tcW w:w="1041" w:type="pct"/>
            <w:vAlign w:val="center"/>
          </w:tcPr>
          <w:p w14:paraId="5A79F238"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Sikkim</w:t>
            </w:r>
          </w:p>
        </w:tc>
        <w:tc>
          <w:tcPr>
            <w:tcW w:w="1654" w:type="pct"/>
            <w:vAlign w:val="center"/>
          </w:tcPr>
          <w:p w14:paraId="134E3F90"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214</w:t>
            </w:r>
          </w:p>
        </w:tc>
        <w:tc>
          <w:tcPr>
            <w:tcW w:w="2306" w:type="pct"/>
            <w:vAlign w:val="center"/>
          </w:tcPr>
          <w:p w14:paraId="3BE93C66"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Dash (2005)</w:t>
            </w:r>
          </w:p>
        </w:tc>
      </w:tr>
      <w:tr w:rsidR="00D108FA" w14:paraId="64D0552D" w14:textId="77777777">
        <w:trPr>
          <w:trHeight w:hRule="exact" w:val="288"/>
          <w:jc w:val="center"/>
        </w:trPr>
        <w:tc>
          <w:tcPr>
            <w:tcW w:w="1041" w:type="pct"/>
            <w:vAlign w:val="center"/>
          </w:tcPr>
          <w:p w14:paraId="1DD77BC9"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Tripura</w:t>
            </w:r>
          </w:p>
        </w:tc>
        <w:tc>
          <w:tcPr>
            <w:tcW w:w="1654" w:type="pct"/>
            <w:vAlign w:val="center"/>
          </w:tcPr>
          <w:p w14:paraId="6EB48131"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47</w:t>
            </w:r>
          </w:p>
        </w:tc>
        <w:tc>
          <w:tcPr>
            <w:tcW w:w="2306" w:type="pct"/>
            <w:vAlign w:val="center"/>
          </w:tcPr>
          <w:p w14:paraId="1DCD3754" w14:textId="77777777" w:rsidR="00D108FA" w:rsidRDefault="00E82DA6">
            <w:pPr>
              <w:spacing w:after="0" w:line="240" w:lineRule="auto"/>
              <w:rPr>
                <w:rFonts w:ascii="Arial" w:eastAsia="Times New Roman" w:hAnsi="Arial" w:cs="Arial"/>
                <w:sz w:val="20"/>
                <w:szCs w:val="20"/>
              </w:rPr>
            </w:pPr>
            <w:r>
              <w:rPr>
                <w:rFonts w:ascii="Arial" w:eastAsia="Times New Roman" w:hAnsi="Arial" w:cs="Arial"/>
                <w:sz w:val="20"/>
                <w:szCs w:val="20"/>
              </w:rPr>
              <w:t>Banik et al. (2018)</w:t>
            </w:r>
          </w:p>
        </w:tc>
      </w:tr>
    </w:tbl>
    <w:p w14:paraId="27607A03" w14:textId="77777777" w:rsidR="00D108FA" w:rsidRDefault="00D108FA">
      <w:pPr>
        <w:spacing w:after="0" w:line="360" w:lineRule="auto"/>
        <w:jc w:val="both"/>
        <w:rPr>
          <w:rFonts w:ascii="Arial" w:hAnsi="Arial" w:cs="Arial"/>
          <w:iCs/>
          <w:sz w:val="20"/>
          <w:szCs w:val="20"/>
        </w:rPr>
      </w:pPr>
    </w:p>
    <w:p w14:paraId="11E2B05D"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t xml:space="preserve">The aboveground biomass carbon stock in the </w:t>
      </w:r>
      <w:proofErr w:type="spellStart"/>
      <w:r>
        <w:rPr>
          <w:rFonts w:ascii="Arial" w:hAnsi="Arial" w:cs="Arial"/>
          <w:iCs/>
          <w:sz w:val="20"/>
          <w:szCs w:val="20"/>
        </w:rPr>
        <w:t>Phayeng</w:t>
      </w:r>
      <w:proofErr w:type="spellEnd"/>
      <w:r>
        <w:rPr>
          <w:rFonts w:ascii="Arial" w:hAnsi="Arial" w:cs="Arial"/>
          <w:iCs/>
          <w:sz w:val="20"/>
          <w:szCs w:val="20"/>
        </w:rPr>
        <w:t xml:space="preserve"> sacred grove in Manipur was reported to range between 962.94 to 1130.79 Mg ha</w:t>
      </w:r>
      <w:r>
        <w:rPr>
          <w:rFonts w:ascii="Arial" w:hAnsi="Times New Roman" w:cs="Arial"/>
          <w:iCs/>
          <w:sz w:val="20"/>
          <w:szCs w:val="20"/>
        </w:rPr>
        <w:t>⁻</w:t>
      </w:r>
      <w:r>
        <w:rPr>
          <w:rFonts w:ascii="Arial" w:hAnsi="Arial" w:cs="Arial"/>
          <w:iCs/>
          <w:sz w:val="20"/>
          <w:szCs w:val="20"/>
        </w:rPr>
        <w:t xml:space="preserve">¹, indicating a remarkably </w:t>
      </w:r>
      <w:r>
        <w:rPr>
          <w:rFonts w:ascii="Arial" w:hAnsi="Arial" w:cs="Arial"/>
          <w:iCs/>
          <w:sz w:val="20"/>
          <w:szCs w:val="20"/>
        </w:rPr>
        <w:t>high carbon storage potential (</w:t>
      </w:r>
      <w:proofErr w:type="spellStart"/>
      <w:r>
        <w:rPr>
          <w:rFonts w:ascii="Arial" w:hAnsi="Arial" w:cs="Arial"/>
          <w:iCs/>
          <w:sz w:val="20"/>
          <w:szCs w:val="20"/>
        </w:rPr>
        <w:t>Waikhom</w:t>
      </w:r>
      <w:proofErr w:type="spellEnd"/>
      <w:r>
        <w:rPr>
          <w:rFonts w:ascii="Arial" w:hAnsi="Arial" w:cs="Arial"/>
          <w:iCs/>
          <w:sz w:val="20"/>
          <w:szCs w:val="20"/>
        </w:rPr>
        <w:t xml:space="preserve"> et al., 2017). In comparison, carbon stock in three subtropical natural forests of Manipur ranged from 81.17 to 118.24 Mg ha</w:t>
      </w:r>
      <w:r>
        <w:rPr>
          <w:rFonts w:ascii="Arial" w:hAnsi="Times New Roman" w:cs="Arial"/>
          <w:iCs/>
          <w:sz w:val="20"/>
          <w:szCs w:val="20"/>
        </w:rPr>
        <w:t>⁻</w:t>
      </w:r>
      <w:r>
        <w:rPr>
          <w:rFonts w:ascii="Arial" w:hAnsi="Arial" w:cs="Arial"/>
          <w:iCs/>
          <w:sz w:val="20"/>
          <w:szCs w:val="20"/>
        </w:rPr>
        <w:t>¹ (Thokchom and Yadava, 2013). The markedly higher carbon stocks in sacred groves compared t</w:t>
      </w:r>
      <w:r>
        <w:rPr>
          <w:rFonts w:ascii="Arial" w:hAnsi="Arial" w:cs="Arial"/>
          <w:iCs/>
          <w:sz w:val="20"/>
          <w:szCs w:val="20"/>
        </w:rPr>
        <w:t>o unprotected natural forests highlight both the ecological significance of culturally protected forest patches and the effective conservation role played by local communities.</w:t>
      </w:r>
    </w:p>
    <w:p w14:paraId="75C8F88E" w14:textId="77777777" w:rsidR="00D108FA" w:rsidRDefault="00D108FA">
      <w:pPr>
        <w:spacing w:after="0" w:line="240" w:lineRule="auto"/>
        <w:jc w:val="both"/>
        <w:rPr>
          <w:rFonts w:ascii="Arial" w:hAnsi="Arial" w:cs="Arial"/>
          <w:iCs/>
          <w:sz w:val="20"/>
          <w:szCs w:val="20"/>
        </w:rPr>
      </w:pPr>
    </w:p>
    <w:p w14:paraId="29CEC29E"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t xml:space="preserve">Sacred groves are widely recognized as a traditional, religiously rooted form </w:t>
      </w:r>
      <w:r>
        <w:rPr>
          <w:rFonts w:ascii="Arial" w:hAnsi="Arial" w:cs="Arial"/>
          <w:iCs/>
          <w:sz w:val="20"/>
          <w:szCs w:val="20"/>
        </w:rPr>
        <w:t>of in situ conservation (Choudhury et al., 2007). However, in the absence of formal legal protection, they remain highly susceptible to anthropogenic pressures. Resource extraction and encroachment by local communities have been identified as major threats</w:t>
      </w:r>
      <w:r>
        <w:rPr>
          <w:rFonts w:ascii="Arial" w:hAnsi="Arial" w:cs="Arial"/>
          <w:iCs/>
          <w:sz w:val="20"/>
          <w:szCs w:val="20"/>
        </w:rPr>
        <w:t xml:space="preserve"> to the effective management of sacred forests, as highlighted by Banik et al. (2018). To address these challenges, Jeeva et al. (2006) recommended the establishment of a protected network of sacred groves in Meghalaya to ensure their long-term conservatio</w:t>
      </w:r>
      <w:r>
        <w:rPr>
          <w:rFonts w:ascii="Arial" w:hAnsi="Arial" w:cs="Arial"/>
          <w:iCs/>
          <w:sz w:val="20"/>
          <w:szCs w:val="20"/>
        </w:rPr>
        <w:t>n. Traditional ecological knowledge has been instrumental in shaping local strategies for natural resource use and management (Rai, 2007), as well as in broader environmental conservation efforts (Barua, 2009).</w:t>
      </w:r>
    </w:p>
    <w:p w14:paraId="169139E4" w14:textId="77777777" w:rsidR="00D108FA" w:rsidRDefault="00D108FA">
      <w:pPr>
        <w:spacing w:after="0" w:line="240" w:lineRule="auto"/>
        <w:jc w:val="both"/>
        <w:rPr>
          <w:rFonts w:ascii="Arial" w:hAnsi="Arial" w:cs="Arial"/>
          <w:iCs/>
          <w:sz w:val="20"/>
          <w:szCs w:val="20"/>
        </w:rPr>
      </w:pPr>
    </w:p>
    <w:p w14:paraId="3B41536B" w14:textId="77777777" w:rsidR="00D108FA" w:rsidRDefault="00E82DA6">
      <w:pPr>
        <w:spacing w:after="0" w:line="240" w:lineRule="auto"/>
        <w:jc w:val="both"/>
        <w:rPr>
          <w:rFonts w:ascii="Arial" w:hAnsi="Arial" w:cs="Arial"/>
          <w:iCs/>
          <w:sz w:val="20"/>
          <w:szCs w:val="20"/>
        </w:rPr>
      </w:pPr>
      <w:r>
        <w:rPr>
          <w:rFonts w:ascii="Arial" w:hAnsi="Arial" w:cs="Arial"/>
          <w:iCs/>
          <w:sz w:val="20"/>
          <w:szCs w:val="20"/>
        </w:rPr>
        <w:t>In Assam, 38 ethnomedicinal plant species ha</w:t>
      </w:r>
      <w:r>
        <w:rPr>
          <w:rFonts w:ascii="Arial" w:hAnsi="Arial" w:cs="Arial"/>
          <w:iCs/>
          <w:sz w:val="20"/>
          <w:szCs w:val="20"/>
        </w:rPr>
        <w:t xml:space="preserve">ve been documented from sacred groves (Baidya et al., 2020b). In Manipur, 120 medicinal plant species were recorded, predominantly from the families Asteraceae, </w:t>
      </w:r>
      <w:proofErr w:type="spellStart"/>
      <w:r>
        <w:rPr>
          <w:rFonts w:ascii="Arial" w:hAnsi="Arial" w:cs="Arial"/>
          <w:iCs/>
          <w:sz w:val="20"/>
          <w:szCs w:val="20"/>
        </w:rPr>
        <w:t>Verbenaceae</w:t>
      </w:r>
      <w:proofErr w:type="spellEnd"/>
      <w:r>
        <w:rPr>
          <w:rFonts w:ascii="Arial" w:hAnsi="Arial" w:cs="Arial"/>
          <w:iCs/>
          <w:sz w:val="20"/>
          <w:szCs w:val="20"/>
        </w:rPr>
        <w:t xml:space="preserve">, </w:t>
      </w:r>
      <w:proofErr w:type="spellStart"/>
      <w:r>
        <w:rPr>
          <w:rFonts w:ascii="Arial" w:hAnsi="Arial" w:cs="Arial"/>
          <w:iCs/>
          <w:sz w:val="20"/>
          <w:szCs w:val="20"/>
        </w:rPr>
        <w:t>Moraceae</w:t>
      </w:r>
      <w:proofErr w:type="spellEnd"/>
      <w:r>
        <w:rPr>
          <w:rFonts w:ascii="Arial" w:hAnsi="Arial" w:cs="Arial"/>
          <w:iCs/>
          <w:sz w:val="20"/>
          <w:szCs w:val="20"/>
        </w:rPr>
        <w:t xml:space="preserve">, Mimosaceae and </w:t>
      </w:r>
      <w:proofErr w:type="spellStart"/>
      <w:r>
        <w:rPr>
          <w:rFonts w:ascii="Arial" w:hAnsi="Arial" w:cs="Arial"/>
          <w:iCs/>
          <w:sz w:val="20"/>
          <w:szCs w:val="20"/>
        </w:rPr>
        <w:t>Anacardiaceae</w:t>
      </w:r>
      <w:proofErr w:type="spellEnd"/>
      <w:r>
        <w:rPr>
          <w:rFonts w:ascii="Arial" w:hAnsi="Arial" w:cs="Arial"/>
          <w:iCs/>
          <w:sz w:val="20"/>
          <w:szCs w:val="20"/>
        </w:rPr>
        <w:t xml:space="preserve"> (</w:t>
      </w:r>
      <w:proofErr w:type="spellStart"/>
      <w:r>
        <w:rPr>
          <w:rFonts w:ascii="Arial" w:hAnsi="Arial" w:cs="Arial"/>
          <w:iCs/>
          <w:sz w:val="20"/>
          <w:szCs w:val="20"/>
        </w:rPr>
        <w:t>Khumbongmayum</w:t>
      </w:r>
      <w:proofErr w:type="spellEnd"/>
      <w:r>
        <w:rPr>
          <w:rFonts w:ascii="Arial" w:hAnsi="Arial" w:cs="Arial"/>
          <w:iCs/>
          <w:sz w:val="20"/>
          <w:szCs w:val="20"/>
        </w:rPr>
        <w:t xml:space="preserve"> et al., 2005b). Among these,</w:t>
      </w:r>
      <w:r>
        <w:rPr>
          <w:rFonts w:ascii="Arial" w:hAnsi="Arial" w:cs="Arial"/>
          <w:iCs/>
          <w:sz w:val="20"/>
          <w:szCs w:val="20"/>
        </w:rPr>
        <w:t xml:space="preserve"> leaves were found to be the most commonly used plant part in traditional healing practices by </w:t>
      </w:r>
      <w:proofErr w:type="spellStart"/>
      <w:r>
        <w:rPr>
          <w:rFonts w:ascii="Arial" w:hAnsi="Arial" w:cs="Arial"/>
          <w:iCs/>
          <w:sz w:val="20"/>
          <w:szCs w:val="20"/>
        </w:rPr>
        <w:t>Maibas</w:t>
      </w:r>
      <w:proofErr w:type="spellEnd"/>
      <w:r>
        <w:rPr>
          <w:rFonts w:ascii="Arial" w:hAnsi="Arial" w:cs="Arial"/>
          <w:iCs/>
          <w:sz w:val="20"/>
          <w:szCs w:val="20"/>
        </w:rPr>
        <w:t xml:space="preserve"> and </w:t>
      </w:r>
      <w:proofErr w:type="spellStart"/>
      <w:r>
        <w:rPr>
          <w:rFonts w:ascii="Arial" w:hAnsi="Arial" w:cs="Arial"/>
          <w:iCs/>
          <w:sz w:val="20"/>
          <w:szCs w:val="20"/>
        </w:rPr>
        <w:t>Maibis</w:t>
      </w:r>
      <w:proofErr w:type="spellEnd"/>
      <w:r>
        <w:rPr>
          <w:rFonts w:ascii="Arial" w:hAnsi="Arial" w:cs="Arial"/>
          <w:iCs/>
          <w:sz w:val="20"/>
          <w:szCs w:val="20"/>
        </w:rPr>
        <w:t xml:space="preserve"> (traditional healers). In Meghalaya, 80 ethnomedicinal species were recorded from the Khasi Hills and 25 from the Garo Hills (Laloo et al., 200</w:t>
      </w:r>
      <w:r>
        <w:rPr>
          <w:rFonts w:ascii="Arial" w:hAnsi="Arial" w:cs="Arial"/>
          <w:iCs/>
          <w:sz w:val="20"/>
          <w:szCs w:val="20"/>
        </w:rPr>
        <w:t>6; Mohanta et al., 2009).</w:t>
      </w:r>
    </w:p>
    <w:p w14:paraId="6D7E08DF" w14:textId="77777777" w:rsidR="00D108FA" w:rsidRDefault="00E82DA6">
      <w:pPr>
        <w:pStyle w:val="NormalWeb"/>
        <w:spacing w:after="0"/>
        <w:jc w:val="both"/>
        <w:rPr>
          <w:rFonts w:ascii="Arial" w:eastAsiaTheme="minorEastAsia" w:hAnsi="Arial" w:cs="Arial"/>
          <w:iCs/>
          <w:sz w:val="20"/>
          <w:szCs w:val="20"/>
          <w:lang w:val="en-US" w:eastAsia="en-US"/>
        </w:rPr>
      </w:pPr>
      <w:r>
        <w:rPr>
          <w:rFonts w:ascii="Arial" w:eastAsiaTheme="minorEastAsia" w:hAnsi="Arial" w:cs="Arial"/>
          <w:iCs/>
          <w:sz w:val="20"/>
          <w:szCs w:val="20"/>
          <w:lang w:val="en-US" w:eastAsia="en-US"/>
        </w:rPr>
        <w:t>Sacred groves represent an important in situ conservation strategy, safeguarding both biodiversity and cultural values ​​within the religio-cultural frameworks of indigenous communities. However, these groves are increasingly thre</w:t>
      </w:r>
      <w:r>
        <w:rPr>
          <w:rFonts w:ascii="Arial" w:eastAsiaTheme="minorEastAsia" w:hAnsi="Arial" w:cs="Arial"/>
          <w:iCs/>
          <w:sz w:val="20"/>
          <w:szCs w:val="20"/>
          <w:lang w:val="en-US" w:eastAsia="en-US"/>
        </w:rPr>
        <w:t>atened by anthropogenic pressures, including timber extraction, hunting, and resource exploitation driven by economic and commercial demands. Additionally, the rituals and cultural traditions associated with sacred groves are gradually eroding as communiti</w:t>
      </w:r>
      <w:r>
        <w:rPr>
          <w:rFonts w:ascii="Arial" w:eastAsiaTheme="minorEastAsia" w:hAnsi="Arial" w:cs="Arial"/>
          <w:iCs/>
          <w:sz w:val="20"/>
          <w:szCs w:val="20"/>
          <w:lang w:val="en-US" w:eastAsia="en-US"/>
        </w:rPr>
        <w:t>es shift from subsistence-based to urbanized and market-oriented economies.</w:t>
      </w:r>
    </w:p>
    <w:p w14:paraId="09F26298" w14:textId="77777777" w:rsidR="00D108FA" w:rsidRDefault="00E82DA6">
      <w:pPr>
        <w:pStyle w:val="NormalWeb"/>
        <w:spacing w:before="0" w:beforeAutospacing="0" w:after="0" w:afterAutospacing="0"/>
        <w:jc w:val="both"/>
        <w:rPr>
          <w:rFonts w:ascii="Arial" w:eastAsiaTheme="minorEastAsia" w:hAnsi="Arial" w:cs="Arial"/>
          <w:iCs/>
          <w:sz w:val="20"/>
          <w:szCs w:val="20"/>
          <w:lang w:val="en-US" w:eastAsia="en-US"/>
        </w:rPr>
      </w:pPr>
      <w:r>
        <w:rPr>
          <w:rFonts w:ascii="Arial" w:eastAsiaTheme="minorEastAsia" w:hAnsi="Arial" w:cs="Arial"/>
          <w:iCs/>
          <w:sz w:val="20"/>
          <w:szCs w:val="20"/>
          <w:lang w:val="en-US" w:eastAsia="en-US"/>
        </w:rPr>
        <w:t>Addressing these challenges necessitates socio-ecological system–specific approaches to the protection and management of sacred groves across all eight northeastern states. Such st</w:t>
      </w:r>
      <w:r>
        <w:rPr>
          <w:rFonts w:ascii="Arial" w:eastAsiaTheme="minorEastAsia" w:hAnsi="Arial" w:cs="Arial"/>
          <w:iCs/>
          <w:sz w:val="20"/>
          <w:szCs w:val="20"/>
          <w:lang w:val="en-US" w:eastAsia="en-US"/>
        </w:rPr>
        <w:t>rategies are vital for maintaining both the ecological integrity and the cultural heritage embedded within these traditional conservation spaces.</w:t>
      </w:r>
    </w:p>
    <w:p w14:paraId="5F12E4FA" w14:textId="77777777" w:rsidR="00D108FA" w:rsidRDefault="00D108FA">
      <w:pPr>
        <w:pStyle w:val="NormalWeb"/>
        <w:spacing w:before="0" w:beforeAutospacing="0" w:after="0" w:afterAutospacing="0"/>
        <w:jc w:val="both"/>
        <w:rPr>
          <w:rStyle w:val="Strong"/>
          <w:rFonts w:ascii="Arial" w:hAnsi="Arial" w:cs="Arial"/>
          <w:sz w:val="22"/>
          <w:szCs w:val="22"/>
        </w:rPr>
      </w:pPr>
    </w:p>
    <w:p w14:paraId="6492FA80" w14:textId="77777777" w:rsidR="00B63380" w:rsidRDefault="00B63380">
      <w:pPr>
        <w:pStyle w:val="NormalWeb"/>
        <w:spacing w:before="0" w:beforeAutospacing="0" w:after="0" w:afterAutospacing="0"/>
        <w:jc w:val="both"/>
        <w:rPr>
          <w:rStyle w:val="Strong"/>
          <w:rFonts w:ascii="Arial" w:hAnsi="Arial" w:cs="Arial"/>
          <w:sz w:val="22"/>
          <w:szCs w:val="22"/>
        </w:rPr>
      </w:pPr>
    </w:p>
    <w:p w14:paraId="32BD25C7" w14:textId="131D42A9" w:rsidR="00D108FA" w:rsidRDefault="00E82DA6">
      <w:pPr>
        <w:pStyle w:val="NormalWeb"/>
        <w:spacing w:before="0" w:beforeAutospacing="0" w:after="0" w:afterAutospacing="0"/>
        <w:jc w:val="both"/>
        <w:rPr>
          <w:rStyle w:val="Strong"/>
          <w:rFonts w:ascii="Arial" w:hAnsi="Arial" w:cs="Arial"/>
          <w:sz w:val="22"/>
          <w:szCs w:val="22"/>
        </w:rPr>
      </w:pPr>
      <w:r>
        <w:rPr>
          <w:rStyle w:val="Strong"/>
          <w:rFonts w:ascii="Arial" w:hAnsi="Arial" w:cs="Arial"/>
          <w:sz w:val="22"/>
          <w:szCs w:val="22"/>
        </w:rPr>
        <w:t>Village Community Forests</w:t>
      </w:r>
    </w:p>
    <w:p w14:paraId="3E57D94D" w14:textId="77777777" w:rsidR="00D108FA" w:rsidRDefault="00D108FA">
      <w:pPr>
        <w:pStyle w:val="NormalWeb"/>
        <w:spacing w:before="0" w:beforeAutospacing="0" w:after="0" w:afterAutospacing="0"/>
        <w:jc w:val="both"/>
        <w:rPr>
          <w:rFonts w:ascii="Arial" w:hAnsi="Arial" w:cs="Arial"/>
          <w:sz w:val="22"/>
          <w:szCs w:val="22"/>
        </w:rPr>
      </w:pPr>
    </w:p>
    <w:p w14:paraId="1D5F24DA" w14:textId="77777777"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lang w:val="en-US"/>
        </w:rPr>
        <w:t xml:space="preserve">Village community forests are fragmented patches of natural forests that are </w:t>
      </w:r>
      <w:r>
        <w:rPr>
          <w:rFonts w:ascii="Arial" w:hAnsi="Arial" w:cs="Arial"/>
          <w:sz w:val="20"/>
          <w:szCs w:val="20"/>
          <w:lang w:val="en-US"/>
        </w:rPr>
        <w:t>conserved, protected, and collectively managed by local communities in rural areas to meet ecological and livelihood needs.</w:t>
      </w:r>
      <w:r>
        <w:rPr>
          <w:rFonts w:ascii="Arial" w:hAnsi="Arial" w:cs="Arial"/>
          <w:sz w:val="20"/>
          <w:szCs w:val="20"/>
        </w:rPr>
        <w:t>These forests have been referred to by various names in literature, including ‘community forests’ (Tiwari et al., 2013), ‘patch veget</w:t>
      </w:r>
      <w:r>
        <w:rPr>
          <w:rFonts w:ascii="Arial" w:hAnsi="Arial" w:cs="Arial"/>
          <w:sz w:val="20"/>
          <w:szCs w:val="20"/>
        </w:rPr>
        <w:t xml:space="preserve">ations’ (Dutta et al., 2017a), ‘village forests’, ‘family forests’ (Nath et al., 2018), ‘bamboo forests’ (Nath et al., 2018) and ‘floodplain forests’ (Nath et al., 2017). In Assam (Figure 3), they are locally known as </w:t>
      </w:r>
      <w:proofErr w:type="spellStart"/>
      <w:r>
        <w:rPr>
          <w:rStyle w:val="Emphasis"/>
          <w:rFonts w:ascii="Arial" w:eastAsiaTheme="minorHAnsi" w:hAnsi="Arial" w:cs="Arial"/>
          <w:sz w:val="20"/>
          <w:szCs w:val="20"/>
        </w:rPr>
        <w:t>Kathonibari</w:t>
      </w:r>
      <w:proofErr w:type="spellEnd"/>
      <w:r>
        <w:rPr>
          <w:rFonts w:ascii="Arial" w:hAnsi="Arial" w:cs="Arial"/>
          <w:sz w:val="20"/>
          <w:szCs w:val="20"/>
        </w:rPr>
        <w:t xml:space="preserve"> (Dutta et al., 2017a).</w:t>
      </w:r>
    </w:p>
    <w:p w14:paraId="661585B3" w14:textId="77777777" w:rsidR="00D108FA" w:rsidRDefault="00D108FA">
      <w:pPr>
        <w:pStyle w:val="NormalWeb"/>
        <w:spacing w:before="0" w:beforeAutospacing="0" w:after="0" w:afterAutospacing="0" w:line="360" w:lineRule="auto"/>
        <w:jc w:val="both"/>
        <w:rPr>
          <w:rFonts w:ascii="Arial" w:hAnsi="Arial" w:cs="Arial"/>
          <w:sz w:val="20"/>
          <w:szCs w:val="20"/>
        </w:rPr>
      </w:pPr>
    </w:p>
    <w:p w14:paraId="62B7214E" w14:textId="77777777" w:rsidR="00D108FA" w:rsidRDefault="00E82DA6">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lang w:val="en-US" w:eastAsia="en-US"/>
        </w:rPr>
        <w:lastRenderedPageBreak/>
        <w:drawing>
          <wp:inline distT="0" distB="0" distL="0" distR="0" wp14:anchorId="1B873337" wp14:editId="2CC47D54">
            <wp:extent cx="4800600" cy="3319145"/>
            <wp:effectExtent l="0" t="0" r="0" b="0"/>
            <wp:docPr id="2" name="Picture 2" descr="H:\PV, Dibruga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PV, Dibrugarh.png"/>
                    <pic:cNvPicPr>
                      <a:picLocks noChangeAspect="1" noChangeArrowheads="1"/>
                    </pic:cNvPicPr>
                  </pic:nvPicPr>
                  <pic:blipFill>
                    <a:blip r:embed="rId10"/>
                    <a:srcRect t="2199" b="29242"/>
                    <a:stretch>
                      <a:fillRect/>
                    </a:stretch>
                  </pic:blipFill>
                  <pic:spPr>
                    <a:xfrm>
                      <a:off x="0" y="0"/>
                      <a:ext cx="4800600" cy="3319272"/>
                    </a:xfrm>
                    <a:prstGeom prst="rect">
                      <a:avLst/>
                    </a:prstGeom>
                    <a:noFill/>
                    <a:ln w="9525">
                      <a:noFill/>
                      <a:miter lim="800000"/>
                      <a:headEnd/>
                      <a:tailEnd/>
                    </a:ln>
                  </pic:spPr>
                </pic:pic>
              </a:graphicData>
            </a:graphic>
          </wp:inline>
        </w:drawing>
      </w:r>
    </w:p>
    <w:p w14:paraId="2685A227" w14:textId="77777777" w:rsidR="00D108FA" w:rsidRDefault="00E82DA6">
      <w:pPr>
        <w:spacing w:after="0" w:line="360" w:lineRule="auto"/>
        <w:jc w:val="center"/>
        <w:rPr>
          <w:rFonts w:ascii="Arial" w:hAnsi="Arial" w:cs="Arial"/>
          <w:sz w:val="20"/>
          <w:szCs w:val="20"/>
        </w:rPr>
      </w:pPr>
      <w:r>
        <w:rPr>
          <w:rFonts w:ascii="Arial" w:hAnsi="Arial" w:cs="Arial"/>
          <w:b/>
          <w:iCs/>
          <w:sz w:val="20"/>
          <w:szCs w:val="20"/>
          <w:lang w:val="en-IN"/>
        </w:rPr>
        <w:t>Figure 3:</w:t>
      </w:r>
      <w:r>
        <w:rPr>
          <w:rFonts w:ascii="Arial" w:hAnsi="Arial" w:cs="Arial"/>
          <w:bCs/>
          <w:iCs/>
          <w:sz w:val="20"/>
          <w:szCs w:val="20"/>
          <w:lang w:val="en-IN"/>
        </w:rPr>
        <w:t xml:space="preserve"> Patch vegetation in Assam (Dibrugarh </w:t>
      </w:r>
      <w:r>
        <w:rPr>
          <w:rFonts w:ascii="Arial" w:hAnsi="Arial" w:cs="Arial"/>
          <w:sz w:val="20"/>
          <w:szCs w:val="20"/>
        </w:rPr>
        <w:t>district)</w:t>
      </w:r>
    </w:p>
    <w:p w14:paraId="2C4E5888" w14:textId="77777777" w:rsidR="00D108FA" w:rsidRDefault="00D108FA">
      <w:pPr>
        <w:spacing w:after="0" w:line="360" w:lineRule="auto"/>
        <w:jc w:val="both"/>
        <w:rPr>
          <w:rFonts w:ascii="Arial" w:hAnsi="Arial" w:cs="Arial"/>
          <w:sz w:val="20"/>
          <w:szCs w:val="20"/>
        </w:rPr>
      </w:pPr>
    </w:p>
    <w:p w14:paraId="6FAA6C76" w14:textId="77777777" w:rsidR="00D108FA" w:rsidRDefault="00E82DA6">
      <w:pPr>
        <w:spacing w:after="0" w:line="240" w:lineRule="auto"/>
        <w:jc w:val="both"/>
        <w:rPr>
          <w:rFonts w:ascii="Arial" w:hAnsi="Arial" w:cs="Arial"/>
          <w:sz w:val="18"/>
          <w:szCs w:val="18"/>
        </w:rPr>
      </w:pPr>
      <w:r>
        <w:rPr>
          <w:rFonts w:ascii="Arial" w:hAnsi="Arial" w:cs="Arial"/>
          <w:sz w:val="20"/>
          <w:szCs w:val="20"/>
        </w:rPr>
        <w:t xml:space="preserve">In Jorhat district of Assam, a total of 432 plant species were recorded in these forests, including notable species such as </w:t>
      </w:r>
      <w:r>
        <w:rPr>
          <w:rStyle w:val="Emphasis"/>
          <w:rFonts w:ascii="Arial" w:eastAsiaTheme="minorHAnsi" w:hAnsi="Arial" w:cs="Arial"/>
          <w:sz w:val="20"/>
          <w:szCs w:val="20"/>
        </w:rPr>
        <w:t xml:space="preserve">Terminalia </w:t>
      </w:r>
      <w:proofErr w:type="spellStart"/>
      <w:r>
        <w:rPr>
          <w:rStyle w:val="Emphasis"/>
          <w:rFonts w:ascii="Arial" w:eastAsiaTheme="minorHAnsi" w:hAnsi="Arial" w:cs="Arial"/>
          <w:sz w:val="20"/>
          <w:szCs w:val="20"/>
        </w:rPr>
        <w:t>myriocarpa</w:t>
      </w:r>
      <w:proofErr w:type="spellEnd"/>
      <w:r>
        <w:rPr>
          <w:rFonts w:ascii="Arial" w:hAnsi="Arial" w:cs="Arial"/>
          <w:sz w:val="20"/>
          <w:szCs w:val="20"/>
        </w:rPr>
        <w:t xml:space="preserve">, </w:t>
      </w:r>
      <w:r>
        <w:rPr>
          <w:rStyle w:val="Emphasis"/>
          <w:rFonts w:ascii="Arial" w:eastAsiaTheme="minorHAnsi" w:hAnsi="Arial" w:cs="Arial"/>
          <w:sz w:val="20"/>
          <w:szCs w:val="20"/>
        </w:rPr>
        <w:t xml:space="preserve">Aquilaria </w:t>
      </w:r>
      <w:proofErr w:type="spellStart"/>
      <w:r>
        <w:rPr>
          <w:rStyle w:val="Emphasis"/>
          <w:rFonts w:ascii="Arial" w:eastAsiaTheme="minorHAnsi" w:hAnsi="Arial" w:cs="Arial"/>
          <w:sz w:val="20"/>
          <w:szCs w:val="20"/>
        </w:rPr>
        <w:t>malaccensis</w:t>
      </w:r>
      <w:proofErr w:type="spellEnd"/>
      <w:r>
        <w:rPr>
          <w:rFonts w:ascii="Arial" w:hAnsi="Arial" w:cs="Arial"/>
          <w:sz w:val="20"/>
          <w:szCs w:val="20"/>
        </w:rPr>
        <w:t xml:space="preserve">, </w:t>
      </w:r>
      <w:proofErr w:type="spellStart"/>
      <w:r>
        <w:rPr>
          <w:rStyle w:val="Emphasis"/>
          <w:rFonts w:ascii="Arial" w:eastAsiaTheme="minorHAnsi" w:hAnsi="Arial" w:cs="Arial"/>
          <w:sz w:val="20"/>
          <w:szCs w:val="20"/>
        </w:rPr>
        <w:t>Dillenia</w:t>
      </w:r>
      <w:proofErr w:type="spellEnd"/>
      <w:r>
        <w:rPr>
          <w:rStyle w:val="Emphasis"/>
          <w:rFonts w:ascii="Arial" w:eastAsiaTheme="minorHAnsi" w:hAnsi="Arial" w:cs="Arial"/>
          <w:sz w:val="20"/>
          <w:szCs w:val="20"/>
        </w:rPr>
        <w:t xml:space="preserve"> indica</w:t>
      </w:r>
      <w:r>
        <w:rPr>
          <w:rFonts w:ascii="Arial" w:hAnsi="Arial" w:cs="Arial"/>
          <w:sz w:val="20"/>
          <w:szCs w:val="20"/>
        </w:rPr>
        <w:t xml:space="preserve"> and various </w:t>
      </w:r>
      <w:r>
        <w:rPr>
          <w:rFonts w:ascii="Arial" w:hAnsi="Arial" w:cs="Arial"/>
          <w:sz w:val="20"/>
          <w:szCs w:val="20"/>
        </w:rPr>
        <w:t>bamboo species (Dutta, 2013). The biomass carbon stock in bamboo-dominated patches of Barak Valley, Assam, was estimated to range between 16.38 to 38.42 Mg ha</w:t>
      </w:r>
      <w:r>
        <w:rPr>
          <w:rFonts w:cs="Arial"/>
          <w:sz w:val="20"/>
          <w:szCs w:val="20"/>
        </w:rPr>
        <w:t>⁻</w:t>
      </w:r>
      <w:r>
        <w:rPr>
          <w:rFonts w:ascii="Arial" w:hAnsi="Arial" w:cs="Arial"/>
          <w:sz w:val="20"/>
          <w:szCs w:val="20"/>
        </w:rPr>
        <w:t>¹ (Nath et al., 2018). These bamboo patches are traditionally managed by local communities due to</w:t>
      </w:r>
      <w:r>
        <w:rPr>
          <w:rFonts w:ascii="Arial" w:hAnsi="Arial" w:cs="Arial"/>
          <w:sz w:val="20"/>
          <w:szCs w:val="20"/>
        </w:rPr>
        <w:t xml:space="preserve"> their socio-economic significance in biomass production and their co-benefits for climate change mitigation (Nath et al., 2018).</w:t>
      </w:r>
    </w:p>
    <w:p w14:paraId="780FD0D7" w14:textId="77777777" w:rsidR="00D108FA" w:rsidRDefault="00D108FA">
      <w:pPr>
        <w:pStyle w:val="NormalWeb"/>
        <w:spacing w:before="0" w:beforeAutospacing="0" w:after="0" w:afterAutospacing="0"/>
        <w:jc w:val="both"/>
        <w:rPr>
          <w:rFonts w:ascii="Arial" w:hAnsi="Arial" w:cs="Arial"/>
          <w:sz w:val="20"/>
          <w:szCs w:val="20"/>
        </w:rPr>
      </w:pPr>
    </w:p>
    <w:p w14:paraId="11CBD08E" w14:textId="77777777"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rPr>
        <w:t>In Meghalaya, community forests have been effectively protected through traditional management systems, supported by hierarch</w:t>
      </w:r>
      <w:r>
        <w:rPr>
          <w:rFonts w:ascii="Arial" w:hAnsi="Arial" w:cs="Arial"/>
          <w:sz w:val="20"/>
          <w:szCs w:val="20"/>
        </w:rPr>
        <w:t>ical institutional arrangements within local tribal societies. However, in Mizoram, traditional institutions have largely been replaced by modern governance structures (Tiwari et al., 2013).</w:t>
      </w:r>
    </w:p>
    <w:p w14:paraId="530C8238" w14:textId="77777777" w:rsidR="00D108FA" w:rsidRDefault="00D108FA">
      <w:pPr>
        <w:pStyle w:val="NormalWeb"/>
        <w:spacing w:before="0" w:beforeAutospacing="0" w:after="0" w:afterAutospacing="0"/>
        <w:jc w:val="both"/>
        <w:rPr>
          <w:rFonts w:ascii="Arial" w:hAnsi="Arial" w:cs="Arial"/>
          <w:sz w:val="20"/>
          <w:szCs w:val="20"/>
        </w:rPr>
      </w:pPr>
    </w:p>
    <w:p w14:paraId="21EC85BF" w14:textId="77777777"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rPr>
        <w:t>Additionally, community patch vegetation in Upper Assam, particu</w:t>
      </w:r>
      <w:r>
        <w:rPr>
          <w:rFonts w:ascii="Arial" w:hAnsi="Arial" w:cs="Arial"/>
          <w:sz w:val="20"/>
          <w:szCs w:val="20"/>
        </w:rPr>
        <w:t xml:space="preserve">larly around Jorhat, are noted for their rich ethnomedicinal diversity. About 84 medicinal plant species with preventive and curative properties - including </w:t>
      </w:r>
      <w:proofErr w:type="spellStart"/>
      <w:r>
        <w:rPr>
          <w:rStyle w:val="Emphasis"/>
          <w:rFonts w:ascii="Arial" w:eastAsiaTheme="minorHAnsi" w:hAnsi="Arial" w:cs="Arial"/>
          <w:sz w:val="20"/>
          <w:szCs w:val="20"/>
        </w:rPr>
        <w:t>Albizia</w:t>
      </w:r>
      <w:proofErr w:type="spellEnd"/>
      <w:r>
        <w:rPr>
          <w:rStyle w:val="Emphasis"/>
          <w:rFonts w:ascii="Arial" w:eastAsiaTheme="minorHAnsi" w:hAnsi="Arial" w:cs="Arial"/>
          <w:sz w:val="20"/>
          <w:szCs w:val="20"/>
        </w:rPr>
        <w:t xml:space="preserve"> </w:t>
      </w:r>
      <w:proofErr w:type="spellStart"/>
      <w:r>
        <w:rPr>
          <w:rStyle w:val="Emphasis"/>
          <w:rFonts w:ascii="Arial" w:eastAsiaTheme="minorHAnsi" w:hAnsi="Arial" w:cs="Arial"/>
          <w:sz w:val="20"/>
          <w:szCs w:val="20"/>
        </w:rPr>
        <w:t>lebbeck</w:t>
      </w:r>
      <w:proofErr w:type="spellEnd"/>
      <w:r>
        <w:rPr>
          <w:rFonts w:ascii="Arial" w:hAnsi="Arial" w:cs="Arial"/>
          <w:sz w:val="20"/>
          <w:szCs w:val="20"/>
        </w:rPr>
        <w:t xml:space="preserve">, </w:t>
      </w:r>
      <w:proofErr w:type="spellStart"/>
      <w:r>
        <w:rPr>
          <w:rStyle w:val="Emphasis"/>
          <w:rFonts w:ascii="Arial" w:eastAsiaTheme="minorHAnsi" w:hAnsi="Arial" w:cs="Arial"/>
          <w:sz w:val="20"/>
          <w:szCs w:val="20"/>
        </w:rPr>
        <w:t>Alstonia</w:t>
      </w:r>
      <w:proofErr w:type="spellEnd"/>
      <w:r>
        <w:rPr>
          <w:rStyle w:val="Emphasis"/>
          <w:rFonts w:ascii="Arial" w:eastAsiaTheme="minorHAnsi" w:hAnsi="Arial" w:cs="Arial"/>
          <w:sz w:val="20"/>
          <w:szCs w:val="20"/>
        </w:rPr>
        <w:t xml:space="preserve"> </w:t>
      </w:r>
      <w:proofErr w:type="spellStart"/>
      <w:r>
        <w:rPr>
          <w:rStyle w:val="Emphasis"/>
          <w:rFonts w:ascii="Arial" w:eastAsiaTheme="minorHAnsi" w:hAnsi="Arial" w:cs="Arial"/>
          <w:sz w:val="20"/>
          <w:szCs w:val="20"/>
        </w:rPr>
        <w:t>scholaris</w:t>
      </w:r>
      <w:proofErr w:type="spellEnd"/>
      <w:r>
        <w:rPr>
          <w:rFonts w:ascii="Arial" w:hAnsi="Arial" w:cs="Arial"/>
          <w:sz w:val="20"/>
          <w:szCs w:val="20"/>
        </w:rPr>
        <w:t xml:space="preserve">, </w:t>
      </w:r>
      <w:r>
        <w:rPr>
          <w:rStyle w:val="Emphasis"/>
          <w:rFonts w:ascii="Arial" w:eastAsiaTheme="minorHAnsi" w:hAnsi="Arial" w:cs="Arial"/>
          <w:sz w:val="20"/>
          <w:szCs w:val="20"/>
        </w:rPr>
        <w:t xml:space="preserve">Aquilaria </w:t>
      </w:r>
      <w:proofErr w:type="spellStart"/>
      <w:r>
        <w:rPr>
          <w:rStyle w:val="Emphasis"/>
          <w:rFonts w:ascii="Arial" w:eastAsiaTheme="minorHAnsi" w:hAnsi="Arial" w:cs="Arial"/>
          <w:sz w:val="20"/>
          <w:szCs w:val="20"/>
        </w:rPr>
        <w:t>malaccensis</w:t>
      </w:r>
      <w:proofErr w:type="spellEnd"/>
      <w:r>
        <w:rPr>
          <w:rFonts w:ascii="Arial" w:hAnsi="Arial" w:cs="Arial"/>
          <w:sz w:val="20"/>
          <w:szCs w:val="20"/>
        </w:rPr>
        <w:t xml:space="preserve">, and </w:t>
      </w:r>
      <w:proofErr w:type="spellStart"/>
      <w:r>
        <w:rPr>
          <w:rStyle w:val="Emphasis"/>
          <w:rFonts w:ascii="Arial" w:eastAsiaTheme="minorHAnsi" w:hAnsi="Arial" w:cs="Arial"/>
          <w:sz w:val="20"/>
          <w:szCs w:val="20"/>
        </w:rPr>
        <w:t>Paedaria</w:t>
      </w:r>
      <w:proofErr w:type="spellEnd"/>
      <w:r>
        <w:rPr>
          <w:rStyle w:val="Emphasis"/>
          <w:rFonts w:ascii="Arial" w:eastAsiaTheme="minorHAnsi" w:hAnsi="Arial" w:cs="Arial"/>
          <w:sz w:val="20"/>
          <w:szCs w:val="20"/>
        </w:rPr>
        <w:t xml:space="preserve"> </w:t>
      </w:r>
      <w:proofErr w:type="spellStart"/>
      <w:r>
        <w:rPr>
          <w:rStyle w:val="Emphasis"/>
          <w:rFonts w:ascii="Arial" w:eastAsiaTheme="minorHAnsi" w:hAnsi="Arial" w:cs="Arial"/>
          <w:sz w:val="20"/>
          <w:szCs w:val="20"/>
        </w:rPr>
        <w:t>foetida</w:t>
      </w:r>
      <w:proofErr w:type="spellEnd"/>
      <w:r>
        <w:rPr>
          <w:rStyle w:val="Emphasis"/>
          <w:rFonts w:ascii="Arial" w:eastAsiaTheme="minorHAnsi" w:hAnsi="Arial" w:cs="Arial"/>
          <w:sz w:val="20"/>
          <w:szCs w:val="20"/>
        </w:rPr>
        <w:t xml:space="preserve"> - </w:t>
      </w:r>
      <w:r>
        <w:rPr>
          <w:rFonts w:ascii="Arial" w:hAnsi="Arial" w:cs="Arial"/>
          <w:sz w:val="20"/>
          <w:szCs w:val="20"/>
        </w:rPr>
        <w:t>were recorded in</w:t>
      </w:r>
      <w:r>
        <w:rPr>
          <w:rFonts w:ascii="Arial" w:hAnsi="Arial" w:cs="Arial"/>
          <w:sz w:val="20"/>
          <w:szCs w:val="20"/>
        </w:rPr>
        <w:t xml:space="preserve"> forest patches (Dutta, 2013). These systems also contribute to rural livelihoods, with an average annual income of ₹16,411 generated from the sale of fuelwood, bamboo, and cane (Dutta, 2013).</w:t>
      </w:r>
    </w:p>
    <w:p w14:paraId="09D3BD57" w14:textId="77777777" w:rsidR="00D108FA" w:rsidRDefault="00D108FA">
      <w:pPr>
        <w:pStyle w:val="NormalWeb"/>
        <w:spacing w:before="0" w:beforeAutospacing="0" w:after="0" w:afterAutospacing="0" w:line="360" w:lineRule="auto"/>
        <w:ind w:firstLine="720"/>
        <w:jc w:val="both"/>
        <w:rPr>
          <w:rFonts w:ascii="Arial" w:hAnsi="Arial" w:cs="Arial"/>
          <w:sz w:val="20"/>
          <w:szCs w:val="20"/>
        </w:rPr>
      </w:pPr>
    </w:p>
    <w:p w14:paraId="1B137AFD" w14:textId="77777777" w:rsidR="00D108FA" w:rsidRDefault="00D108FA">
      <w:pPr>
        <w:pStyle w:val="NormalWeb"/>
        <w:spacing w:before="0" w:beforeAutospacing="0" w:after="0" w:afterAutospacing="0" w:line="360" w:lineRule="auto"/>
        <w:ind w:firstLine="720"/>
        <w:jc w:val="both"/>
        <w:rPr>
          <w:rFonts w:ascii="Arial" w:hAnsi="Arial" w:cs="Arial"/>
          <w:sz w:val="20"/>
          <w:szCs w:val="20"/>
        </w:rPr>
      </w:pPr>
    </w:p>
    <w:p w14:paraId="55620138" w14:textId="4EE72E1E" w:rsidR="00D108FA" w:rsidRDefault="00F53A7C">
      <w:pPr>
        <w:pStyle w:val="NormalWeb"/>
        <w:spacing w:before="0" w:beforeAutospacing="0" w:after="0" w:afterAutospacing="0" w:line="360" w:lineRule="auto"/>
        <w:rPr>
          <w:rFonts w:ascii="Arial" w:hAnsi="Arial" w:cs="Arial"/>
          <w:sz w:val="22"/>
          <w:szCs w:val="22"/>
        </w:rPr>
      </w:pPr>
      <w:r>
        <w:rPr>
          <w:rStyle w:val="Strong"/>
          <w:rFonts w:ascii="Arial" w:hAnsi="Arial" w:cs="Arial"/>
          <w:sz w:val="22"/>
          <w:szCs w:val="22"/>
        </w:rPr>
        <w:t>4. BIBLIOMETRIC ANALYSIS</w:t>
      </w:r>
    </w:p>
    <w:p w14:paraId="6BC74DEF" w14:textId="77777777" w:rsidR="00D108FA" w:rsidRDefault="00E82DA6">
      <w:pPr>
        <w:pStyle w:val="NormalWeb"/>
        <w:jc w:val="both"/>
        <w:rPr>
          <w:rFonts w:ascii="Arial" w:hAnsi="Arial" w:cs="Arial"/>
          <w:sz w:val="20"/>
          <w:szCs w:val="20"/>
        </w:rPr>
      </w:pPr>
      <w:r>
        <w:rPr>
          <w:rFonts w:ascii="Arial" w:hAnsi="Arial" w:cs="Arial"/>
          <w:sz w:val="20"/>
          <w:szCs w:val="20"/>
        </w:rPr>
        <w:t xml:space="preserve">A total of 142 research publications related to Trees Outside Forests (TOFs) in eight states of Northeast India were identified during the review. The temporal distribution of publications indicates a steady upward trajectory from 1990 to 2025, suggesting </w:t>
      </w:r>
      <w:r>
        <w:rPr>
          <w:rFonts w:ascii="Arial" w:hAnsi="Arial" w:cs="Arial"/>
          <w:sz w:val="20"/>
          <w:szCs w:val="20"/>
        </w:rPr>
        <w:t>a growing academic and policy interest in TOFs in the region (Figure 4). Among the northeastern states, Among the northeastern states, Assam contributed the highest number of publications (43; 30.3%), followed by Meghalaya (30; 21.1%), Mizoram (17; 12.0%),</w:t>
      </w:r>
      <w:r>
        <w:rPr>
          <w:rFonts w:ascii="Arial" w:hAnsi="Arial" w:cs="Arial"/>
          <w:sz w:val="20"/>
          <w:szCs w:val="20"/>
        </w:rPr>
        <w:t xml:space="preserve"> Manipur (14; 9.9%), Tripura (13; 9.2%), Arunachal Pradesh (11; 7.7%), Sikkim (10; 7.0%) and Nagaland (4; 2.8%).This distribution highlights the uneven spatial focus of TOF-related research, with certain states </w:t>
      </w:r>
      <w:r>
        <w:rPr>
          <w:rFonts w:ascii="Arial" w:hAnsi="Arial" w:cs="Arial"/>
          <w:sz w:val="20"/>
          <w:szCs w:val="20"/>
        </w:rPr>
        <w:lastRenderedPageBreak/>
        <w:t>such as Assam and Meghalaya being comparative</w:t>
      </w:r>
      <w:r>
        <w:rPr>
          <w:rFonts w:ascii="Arial" w:hAnsi="Arial" w:cs="Arial"/>
          <w:sz w:val="20"/>
          <w:szCs w:val="20"/>
        </w:rPr>
        <w:t>ly well-documented, while others such as Nagaland remain significantly underrepresented.</w:t>
      </w:r>
    </w:p>
    <w:p w14:paraId="5A26CE30" w14:textId="77777777" w:rsidR="00D108FA" w:rsidRDefault="00E82DA6">
      <w:pPr>
        <w:pStyle w:val="NormalWeb"/>
        <w:jc w:val="both"/>
        <w:rPr>
          <w:rFonts w:ascii="Arial" w:hAnsi="Arial" w:cs="Arial"/>
          <w:sz w:val="20"/>
          <w:szCs w:val="20"/>
        </w:rPr>
      </w:pPr>
      <w:r>
        <w:rPr>
          <w:rFonts w:ascii="Arial" w:hAnsi="Arial" w:cs="Arial"/>
          <w:sz w:val="20"/>
          <w:szCs w:val="20"/>
        </w:rPr>
        <w:t xml:space="preserve">In terms of thematic focus, </w:t>
      </w:r>
      <w:proofErr w:type="spellStart"/>
      <w:r>
        <w:rPr>
          <w:rFonts w:ascii="Arial" w:hAnsi="Arial" w:cs="Arial"/>
          <w:sz w:val="20"/>
          <w:szCs w:val="20"/>
        </w:rPr>
        <w:t>homegardens</w:t>
      </w:r>
      <w:proofErr w:type="spellEnd"/>
      <w:r>
        <w:rPr>
          <w:rFonts w:ascii="Arial" w:hAnsi="Arial" w:cs="Arial"/>
          <w:sz w:val="20"/>
          <w:szCs w:val="20"/>
        </w:rPr>
        <w:t xml:space="preserve"> accounted for the largest share of publications (73; 48.0%), followed by sacred groves (62; 40.8%) and village community forest</w:t>
      </w:r>
      <w:r>
        <w:rPr>
          <w:rFonts w:ascii="Arial" w:hAnsi="Arial" w:cs="Arial"/>
          <w:sz w:val="20"/>
          <w:szCs w:val="20"/>
        </w:rPr>
        <w:t xml:space="preserve">s (VCFs) (6; 3.9%). This clearly indicates the predominant interest of researchers in traditional land-use systems, particularly </w:t>
      </w:r>
      <w:proofErr w:type="spellStart"/>
      <w:r>
        <w:rPr>
          <w:rFonts w:ascii="Arial" w:hAnsi="Arial" w:cs="Arial"/>
          <w:sz w:val="20"/>
          <w:szCs w:val="20"/>
        </w:rPr>
        <w:t>homegardens</w:t>
      </w:r>
      <w:proofErr w:type="spellEnd"/>
      <w:r>
        <w:rPr>
          <w:rFonts w:ascii="Arial" w:hAnsi="Arial" w:cs="Arial"/>
          <w:sz w:val="20"/>
          <w:szCs w:val="20"/>
        </w:rPr>
        <w:t xml:space="preserve"> and sacred groves, which are recognized as repositories of biodiversity, sources of household sustenance, and custo</w:t>
      </w:r>
      <w:r>
        <w:rPr>
          <w:rFonts w:ascii="Arial" w:hAnsi="Arial" w:cs="Arial"/>
          <w:sz w:val="20"/>
          <w:szCs w:val="20"/>
        </w:rPr>
        <w:t>dians of cultural-ecological values. In contrast, VCFs remain a relatively underexplored domain in the literature, despite their importance in community-based resource management and collective forest governance.</w:t>
      </w:r>
    </w:p>
    <w:p w14:paraId="07A7D0CC" w14:textId="77777777" w:rsidR="00D108FA" w:rsidRDefault="00E82DA6">
      <w:pPr>
        <w:pStyle w:val="NormalWeb"/>
        <w:jc w:val="both"/>
        <w:rPr>
          <w:rFonts w:ascii="Arial" w:hAnsi="Arial" w:cs="Arial"/>
          <w:sz w:val="22"/>
          <w:szCs w:val="22"/>
        </w:rPr>
      </w:pPr>
      <w:r>
        <w:rPr>
          <w:rFonts w:ascii="Arial" w:hAnsi="Arial" w:cs="Arial"/>
          <w:sz w:val="20"/>
          <w:szCs w:val="20"/>
        </w:rPr>
        <w:t>Overall, the bibliometric trends reflect an</w:t>
      </w:r>
      <w:r>
        <w:rPr>
          <w:rFonts w:ascii="Arial" w:hAnsi="Arial" w:cs="Arial"/>
          <w:sz w:val="20"/>
          <w:szCs w:val="20"/>
        </w:rPr>
        <w:t xml:space="preserve"> increasing recognition of TOFs as critical socio-ecological systems in Northeast India. However, the pronounced spatial and thematic disparities point to the need for future research in less-studied states and landscapes. In particular, systematic investi</w:t>
      </w:r>
      <w:r>
        <w:rPr>
          <w:rFonts w:ascii="Arial" w:hAnsi="Arial" w:cs="Arial"/>
          <w:sz w:val="20"/>
          <w:szCs w:val="20"/>
        </w:rPr>
        <w:t xml:space="preserve">gations into community-managed forests and comparative </w:t>
      </w:r>
      <w:proofErr w:type="spellStart"/>
      <w:r>
        <w:rPr>
          <w:rFonts w:ascii="Arial" w:hAnsi="Arial" w:cs="Arial"/>
          <w:sz w:val="20"/>
          <w:szCs w:val="20"/>
        </w:rPr>
        <w:t>analyzes</w:t>
      </w:r>
      <w:proofErr w:type="spellEnd"/>
      <w:r>
        <w:rPr>
          <w:rFonts w:ascii="Arial" w:hAnsi="Arial" w:cs="Arial"/>
          <w:sz w:val="20"/>
          <w:szCs w:val="20"/>
        </w:rPr>
        <w:t xml:space="preserve"> across states could provide a more balanced and comprehensive understanding of the ecological, cultural, and livelihood dimensions of TOFs in the region.</w:t>
      </w:r>
    </w:p>
    <w:p w14:paraId="7C2F7B63" w14:textId="77777777" w:rsidR="00D108FA" w:rsidRDefault="00E82DA6">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lang w:val="en-US" w:eastAsia="en-US"/>
        </w:rPr>
        <w:drawing>
          <wp:inline distT="0" distB="0" distL="0" distR="0" wp14:anchorId="0908C9C6" wp14:editId="313164A2">
            <wp:extent cx="4595495" cy="310070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9D7DAD" w14:textId="77777777" w:rsidR="00D108FA" w:rsidRDefault="00E82DA6">
      <w:pPr>
        <w:spacing w:after="0" w:line="240" w:lineRule="auto"/>
        <w:jc w:val="center"/>
        <w:rPr>
          <w:rFonts w:ascii="Arial" w:hAnsi="Arial" w:cs="Arial"/>
          <w:iCs/>
          <w:sz w:val="20"/>
          <w:szCs w:val="20"/>
          <w:lang w:val="en-IN"/>
        </w:rPr>
      </w:pPr>
      <w:r>
        <w:rPr>
          <w:rFonts w:ascii="Arial" w:hAnsi="Arial" w:cs="Arial"/>
          <w:b/>
          <w:bCs/>
          <w:iCs/>
          <w:sz w:val="20"/>
          <w:szCs w:val="20"/>
          <w:lang w:val="en-IN"/>
        </w:rPr>
        <w:t>Figure 4:</w:t>
      </w:r>
      <w:r>
        <w:rPr>
          <w:rFonts w:ascii="Arial" w:hAnsi="Arial" w:cs="Arial"/>
          <w:iCs/>
          <w:sz w:val="20"/>
          <w:szCs w:val="20"/>
          <w:lang w:val="en-IN"/>
        </w:rPr>
        <w:t xml:space="preserve"> Year wise number of publications (1990-2025)</w:t>
      </w:r>
    </w:p>
    <w:p w14:paraId="0C187556" w14:textId="77777777" w:rsidR="00D108FA" w:rsidRDefault="00D108FA">
      <w:pPr>
        <w:pStyle w:val="NormalWeb"/>
        <w:spacing w:before="0" w:beforeAutospacing="0" w:after="0" w:afterAutospacing="0"/>
        <w:rPr>
          <w:rStyle w:val="Strong"/>
          <w:rFonts w:ascii="Arial" w:hAnsi="Arial" w:cs="Arial"/>
          <w:sz w:val="22"/>
          <w:szCs w:val="22"/>
        </w:rPr>
      </w:pPr>
    </w:p>
    <w:p w14:paraId="2832830E" w14:textId="771BCD87" w:rsidR="00D108FA" w:rsidRDefault="00F53A7C">
      <w:pPr>
        <w:pStyle w:val="NormalWeb"/>
        <w:spacing w:before="0" w:beforeAutospacing="0" w:after="0" w:afterAutospacing="0"/>
        <w:rPr>
          <w:rFonts w:ascii="Arial" w:hAnsi="Arial" w:cs="Arial"/>
          <w:sz w:val="22"/>
          <w:szCs w:val="22"/>
        </w:rPr>
      </w:pPr>
      <w:r>
        <w:rPr>
          <w:rStyle w:val="Strong"/>
          <w:rFonts w:ascii="Arial" w:hAnsi="Arial" w:cs="Arial"/>
          <w:sz w:val="22"/>
          <w:szCs w:val="22"/>
        </w:rPr>
        <w:t>5. CONCLUSION</w:t>
      </w:r>
    </w:p>
    <w:p w14:paraId="34DA831C" w14:textId="77777777" w:rsidR="00D108FA" w:rsidRDefault="00D108FA">
      <w:pPr>
        <w:pStyle w:val="NormalWeb"/>
        <w:spacing w:before="0" w:beforeAutospacing="0" w:after="0" w:afterAutospacing="0"/>
        <w:jc w:val="both"/>
        <w:rPr>
          <w:rFonts w:ascii="Arial" w:hAnsi="Arial" w:cs="Arial"/>
          <w:sz w:val="20"/>
          <w:szCs w:val="20"/>
        </w:rPr>
      </w:pPr>
    </w:p>
    <w:p w14:paraId="3DE4868A" w14:textId="0BEE04C7"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rPr>
        <w:t>Trees Outside Forests (TOFs) in Northeast India hold immense ecological, socio-economic and cultural significance and warrant comprehensive study in their entirety. This review of TOFs from both</w:t>
      </w:r>
      <w:r>
        <w:rPr>
          <w:rFonts w:ascii="Arial" w:hAnsi="Arial" w:cs="Arial"/>
          <w:sz w:val="20"/>
          <w:szCs w:val="20"/>
        </w:rPr>
        <w:t xml:space="preserve"> ecological and socio-economic perspectives provides valuable insights into their diversity, structure, and functionality across the region, while also identifying critical research gaps. The variation in TOF composition and species selection across differ</w:t>
      </w:r>
      <w:r>
        <w:rPr>
          <w:rFonts w:ascii="Arial" w:hAnsi="Arial" w:cs="Arial"/>
          <w:sz w:val="20"/>
          <w:szCs w:val="20"/>
        </w:rPr>
        <w:t>ent communities reflects the region’s diverse ecological settings and socio-cultural contexts.</w:t>
      </w:r>
    </w:p>
    <w:p w14:paraId="76960BD6" w14:textId="77777777" w:rsidR="00B63380" w:rsidRDefault="00B63380">
      <w:pPr>
        <w:pStyle w:val="NormalWeb"/>
        <w:spacing w:before="0" w:beforeAutospacing="0" w:after="0" w:afterAutospacing="0"/>
        <w:jc w:val="both"/>
        <w:rPr>
          <w:rFonts w:ascii="Arial" w:hAnsi="Arial" w:cs="Arial"/>
          <w:sz w:val="20"/>
          <w:szCs w:val="20"/>
        </w:rPr>
      </w:pPr>
    </w:p>
    <w:p w14:paraId="78FEDB81" w14:textId="153037D0" w:rsidR="00D108FA" w:rsidRDefault="00E82DA6">
      <w:pPr>
        <w:pStyle w:val="NormalWeb"/>
        <w:spacing w:before="0" w:beforeAutospacing="0" w:after="0" w:afterAutospacing="0"/>
        <w:jc w:val="both"/>
        <w:rPr>
          <w:rFonts w:ascii="Arial" w:hAnsi="Arial" w:cs="Arial"/>
          <w:sz w:val="20"/>
          <w:szCs w:val="20"/>
        </w:rPr>
      </w:pPr>
      <w:r>
        <w:rPr>
          <w:rFonts w:ascii="Arial" w:hAnsi="Arial" w:cs="Arial"/>
          <w:sz w:val="20"/>
          <w:szCs w:val="20"/>
        </w:rPr>
        <w:t>However, the biodiversity of natural TOFs is reported to be in decline (Upadhyay et al., 2019), primarily due to the increasing prevalence of introduced TOFs in</w:t>
      </w:r>
      <w:r>
        <w:rPr>
          <w:rFonts w:ascii="Arial" w:hAnsi="Arial" w:cs="Arial"/>
          <w:sz w:val="20"/>
          <w:szCs w:val="20"/>
        </w:rPr>
        <w:t xml:space="preserve">volving cash crops and monoculture plantations such as tea, areca nut, coffee, and rubber. This underscores the urgent need to conserve the native biodiversity associated with TOFs through a socio-ecological system-specific approach. TOFs act as </w:t>
      </w:r>
      <w:r>
        <w:rPr>
          <w:rFonts w:ascii="Arial" w:hAnsi="Arial" w:cs="Arial"/>
          <w:sz w:val="20"/>
          <w:szCs w:val="20"/>
        </w:rPr>
        <w:lastRenderedPageBreak/>
        <w:t>reservoirs</w:t>
      </w:r>
      <w:r>
        <w:rPr>
          <w:rFonts w:ascii="Arial" w:hAnsi="Arial" w:cs="Arial"/>
          <w:sz w:val="20"/>
          <w:szCs w:val="20"/>
        </w:rPr>
        <w:t xml:space="preserve"> of endemic, rare and endangered species, playing a crucial role in maintaining the ecological balance of the region.</w:t>
      </w:r>
    </w:p>
    <w:p w14:paraId="5E6EB25F" w14:textId="77777777" w:rsidR="00427112" w:rsidRDefault="00427112">
      <w:pPr>
        <w:pStyle w:val="NormalWeb"/>
        <w:spacing w:before="0" w:beforeAutospacing="0" w:after="0" w:afterAutospacing="0"/>
        <w:jc w:val="both"/>
        <w:rPr>
          <w:rFonts w:ascii="Arial" w:hAnsi="Arial" w:cs="Arial"/>
          <w:sz w:val="20"/>
          <w:szCs w:val="20"/>
        </w:rPr>
      </w:pPr>
    </w:p>
    <w:p w14:paraId="40D0536D" w14:textId="51584C2C" w:rsidR="00B63380" w:rsidRDefault="00427112">
      <w:pPr>
        <w:pStyle w:val="NormalWeb"/>
        <w:spacing w:before="0" w:beforeAutospacing="0" w:after="0" w:afterAutospacing="0"/>
        <w:jc w:val="both"/>
        <w:rPr>
          <w:rFonts w:ascii="Arial" w:hAnsi="Arial" w:cs="Arial"/>
          <w:sz w:val="20"/>
          <w:szCs w:val="20"/>
        </w:rPr>
      </w:pPr>
      <w:r w:rsidRPr="00427112">
        <w:rPr>
          <w:rFonts w:ascii="Arial" w:hAnsi="Arial" w:cs="Arial"/>
          <w:sz w:val="20"/>
          <w:szCs w:val="20"/>
        </w:rPr>
        <w:t>Despite increasing research efforts, significant gaps persist. Most studies are concentrated in Assam and Meghalaya, leaving other states such as Nagaland, Tripura, Arunachal Pradesh and Sikkim underrepresented. Quantitative data on carbon storage, biomass and ecosystem services remain scarce, while comparative analysis across TOF types and communities are limited. Socio-economic aspects, including livelihood dependence, gender roles and economic valuation are inadequately addressed. Moreover, greater integration of traditional ecological knowledge with scientific research, along with critical assessment of policy influences, is essential to guide sustainable TOF management in the region.</w:t>
      </w:r>
    </w:p>
    <w:p w14:paraId="45D71B00" w14:textId="77777777" w:rsidR="00427112" w:rsidRDefault="00427112">
      <w:pPr>
        <w:pStyle w:val="NormalWeb"/>
        <w:spacing w:before="0" w:beforeAutospacing="0" w:after="0" w:afterAutospacing="0"/>
        <w:jc w:val="both"/>
        <w:rPr>
          <w:rFonts w:ascii="Arial" w:hAnsi="Arial" w:cs="Arial"/>
          <w:sz w:val="20"/>
          <w:szCs w:val="20"/>
        </w:rPr>
      </w:pPr>
    </w:p>
    <w:p w14:paraId="0780EF53" w14:textId="755108ED" w:rsidR="00B63380" w:rsidRDefault="00B63380">
      <w:pPr>
        <w:pStyle w:val="NormalWeb"/>
        <w:spacing w:before="0" w:beforeAutospacing="0" w:after="0" w:afterAutospacing="0"/>
        <w:jc w:val="both"/>
        <w:rPr>
          <w:rFonts w:ascii="Arial" w:hAnsi="Arial" w:cs="Arial"/>
          <w:sz w:val="20"/>
          <w:szCs w:val="20"/>
        </w:rPr>
      </w:pPr>
      <w:r w:rsidRPr="00B63380">
        <w:rPr>
          <w:rFonts w:ascii="Arial" w:hAnsi="Arial" w:cs="Arial"/>
          <w:sz w:val="20"/>
          <w:szCs w:val="20"/>
        </w:rPr>
        <w:t>Future research should aim to bridge the existing spatial and thematic gaps identified in this review through comparative studies across all eight northeastern states, assessing ecosystem services, carbon sequestration potential and socio-economic benefits of different TOF systems. Interdisciplinary studies integrating ecological, economic and cultural dimensions can inform sustainable management frameworks and long-term conservation. TOFs in addition to other forest areas together play a critical role in supporting biodiversity, enhancing carbon storage and providing benefits to local communities. Potential areas for further study include evaluating TOFs’ role in climate change mitigation, mapping species diversity and distribution, understanding traditional management practices and assessing their contribution to rural livelihoods and ecosystem services. Recognizing TOFs as integral socio-ecological systems and adopting a holistic, participatory approach to their management is therefore crucial for biodiversity conservation, climate resilience, and sustainable rural development in Northeast India.</w:t>
      </w:r>
    </w:p>
    <w:p w14:paraId="4681AF55" w14:textId="77777777" w:rsidR="00D108FA" w:rsidRDefault="00D108FA">
      <w:pPr>
        <w:pStyle w:val="NormalWeb"/>
        <w:spacing w:before="0" w:beforeAutospacing="0" w:after="0" w:afterAutospacing="0"/>
        <w:jc w:val="both"/>
        <w:rPr>
          <w:rFonts w:ascii="Arial" w:hAnsi="Arial" w:cs="Arial"/>
          <w:sz w:val="20"/>
          <w:szCs w:val="20"/>
        </w:rPr>
      </w:pPr>
    </w:p>
    <w:p w14:paraId="5052717B" w14:textId="77777777" w:rsidR="00334BBE" w:rsidRDefault="00334BBE" w:rsidP="00334BBE">
      <w:r>
        <w:t>Disclaimer (Artificial intelligence)</w:t>
      </w:r>
    </w:p>
    <w:p w14:paraId="05D85800" w14:textId="77777777" w:rsidR="00334BBE" w:rsidRDefault="00334BBE" w:rsidP="00334BBE">
      <w:r>
        <w:t xml:space="preserve">Option 1: </w:t>
      </w:r>
    </w:p>
    <w:p w14:paraId="57B4A315" w14:textId="77777777" w:rsidR="00334BBE" w:rsidRDefault="00334BBE" w:rsidP="00334BB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47E1477A" w14:textId="77777777" w:rsidR="00334BBE" w:rsidRDefault="00334BBE" w:rsidP="00334BBE">
      <w:r>
        <w:t xml:space="preserve">Option 2: </w:t>
      </w:r>
    </w:p>
    <w:p w14:paraId="287FEDE9" w14:textId="77777777" w:rsidR="00334BBE" w:rsidRDefault="00334BBE" w:rsidP="00334BB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D6CE46" w14:textId="77777777" w:rsidR="00334BBE" w:rsidRDefault="00334BBE" w:rsidP="00334BBE">
      <w:r>
        <w:t>Details of the AI usage are given below:</w:t>
      </w:r>
    </w:p>
    <w:p w14:paraId="21B429F9" w14:textId="77777777" w:rsidR="00334BBE" w:rsidRDefault="00334BBE" w:rsidP="00334BBE">
      <w:r>
        <w:t>1.</w:t>
      </w:r>
    </w:p>
    <w:p w14:paraId="17BB076E" w14:textId="77777777" w:rsidR="00334BBE" w:rsidRDefault="00334BBE" w:rsidP="00334BBE">
      <w:r>
        <w:t>2.</w:t>
      </w:r>
    </w:p>
    <w:p w14:paraId="7D18D5DB" w14:textId="77777777" w:rsidR="00334BBE" w:rsidRDefault="00334BBE" w:rsidP="00334BBE">
      <w:r>
        <w:t>3.</w:t>
      </w:r>
    </w:p>
    <w:p w14:paraId="3CD13D07" w14:textId="77777777" w:rsidR="00334BBE" w:rsidRDefault="00334BBE" w:rsidP="00334BBE"/>
    <w:p w14:paraId="421F02CB" w14:textId="77777777" w:rsidR="00334BBE" w:rsidRDefault="00334BBE" w:rsidP="00334BBE"/>
    <w:p w14:paraId="7F549DB4" w14:textId="77777777" w:rsidR="00D108FA" w:rsidRDefault="00D108FA">
      <w:pPr>
        <w:pStyle w:val="Style"/>
        <w:jc w:val="both"/>
        <w:rPr>
          <w:rFonts w:ascii="Arial" w:eastAsiaTheme="minorEastAsia" w:hAnsi="Arial" w:cs="Arial"/>
          <w:b/>
          <w:sz w:val="22"/>
          <w:szCs w:val="22"/>
          <w:lang w:val="en-IN" w:eastAsia="en-IN" w:bidi="hi-IN"/>
        </w:rPr>
      </w:pPr>
    </w:p>
    <w:p w14:paraId="13E16EE5" w14:textId="77777777" w:rsidR="00D108FA" w:rsidRDefault="00E82DA6">
      <w:pPr>
        <w:spacing w:line="240" w:lineRule="auto"/>
        <w:rPr>
          <w:rFonts w:ascii="Arial" w:hAnsi="Arial" w:cs="Arial"/>
          <w:b/>
          <w:bCs/>
          <w:iCs/>
        </w:rPr>
      </w:pPr>
      <w:r>
        <w:rPr>
          <w:rFonts w:ascii="Arial" w:hAnsi="Arial" w:cs="Arial"/>
          <w:b/>
          <w:bCs/>
          <w:iCs/>
        </w:rPr>
        <w:t>REFERENCES</w:t>
      </w:r>
    </w:p>
    <w:p w14:paraId="4A68074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lastRenderedPageBreak/>
        <w:t xml:space="preserve">Acharya, A., &amp; Ormsby, A. (2017). The cultural politics of sacred groves: A case study of </w:t>
      </w:r>
      <w:proofErr w:type="spellStart"/>
      <w:r>
        <w:rPr>
          <w:rFonts w:ascii="Arial" w:hAnsi="Arial" w:cs="Arial"/>
          <w:iCs/>
          <w:sz w:val="20"/>
          <w:szCs w:val="20"/>
        </w:rPr>
        <w:t>Devithans</w:t>
      </w:r>
      <w:proofErr w:type="spellEnd"/>
      <w:r>
        <w:rPr>
          <w:rFonts w:ascii="Arial" w:hAnsi="Arial" w:cs="Arial"/>
          <w:iCs/>
          <w:sz w:val="20"/>
          <w:szCs w:val="20"/>
        </w:rPr>
        <w:t xml:space="preserve"> in Sikkim, India. Conservation and Society, 15(2), 232–242. https://doi.org/10.4103/cs.cs_14_29</w:t>
      </w:r>
    </w:p>
    <w:p w14:paraId="13EB2E12"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Amirthalingam, M. (2014). Mizoram. In N. Krishna &amp; M. Amirthalingam (Eds.), Sacred groves of India: A compendium (pp. 323–326). C.P.R. Environmental Education Centre. https://doi.org/10.20546/ijcrbp.2016.304.011 </w:t>
      </w:r>
    </w:p>
    <w:p w14:paraId="405319C4"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Ao, L. (2014). Deforestation in Nagaland: A</w:t>
      </w:r>
      <w:r>
        <w:rPr>
          <w:rFonts w:ascii="Arial" w:hAnsi="Arial" w:cs="Arial"/>
          <w:iCs/>
          <w:sz w:val="20"/>
          <w:szCs w:val="20"/>
        </w:rPr>
        <w:t xml:space="preserve"> historical perspective (Ph.D. thesis). Nagaland University, </w:t>
      </w:r>
      <w:proofErr w:type="spellStart"/>
      <w:r>
        <w:rPr>
          <w:rFonts w:ascii="Arial" w:hAnsi="Arial" w:cs="Arial"/>
          <w:iCs/>
          <w:sz w:val="20"/>
          <w:szCs w:val="20"/>
        </w:rPr>
        <w:t>Lumami</w:t>
      </w:r>
      <w:proofErr w:type="spellEnd"/>
      <w:r>
        <w:rPr>
          <w:rFonts w:ascii="Arial" w:hAnsi="Arial" w:cs="Arial"/>
          <w:iCs/>
          <w:sz w:val="20"/>
          <w:szCs w:val="20"/>
        </w:rPr>
        <w:t xml:space="preserve">, </w:t>
      </w:r>
      <w:proofErr w:type="spellStart"/>
      <w:r>
        <w:rPr>
          <w:rFonts w:ascii="Arial" w:hAnsi="Arial" w:cs="Arial"/>
          <w:iCs/>
          <w:sz w:val="20"/>
          <w:szCs w:val="20"/>
        </w:rPr>
        <w:t>Zunheboto</w:t>
      </w:r>
      <w:proofErr w:type="spellEnd"/>
      <w:r>
        <w:rPr>
          <w:rFonts w:ascii="Arial" w:hAnsi="Arial" w:cs="Arial"/>
          <w:iCs/>
          <w:sz w:val="20"/>
          <w:szCs w:val="20"/>
        </w:rPr>
        <w:t>, 151 pp.</w:t>
      </w:r>
    </w:p>
    <w:p w14:paraId="4F105B0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Baidya, S., Thakur, B., </w:t>
      </w:r>
      <w:proofErr w:type="spellStart"/>
      <w:r>
        <w:rPr>
          <w:rFonts w:ascii="Arial" w:hAnsi="Arial" w:cs="Arial"/>
          <w:iCs/>
          <w:sz w:val="20"/>
          <w:szCs w:val="20"/>
        </w:rPr>
        <w:t>Malunguja</w:t>
      </w:r>
      <w:proofErr w:type="spellEnd"/>
      <w:r>
        <w:rPr>
          <w:rFonts w:ascii="Arial" w:hAnsi="Arial" w:cs="Arial"/>
          <w:iCs/>
          <w:sz w:val="20"/>
          <w:szCs w:val="20"/>
        </w:rPr>
        <w:t xml:space="preserve">, G., &amp; Devi, A. (2020a). Changes of land use land cover and floristic composition in sacred forests of West </w:t>
      </w:r>
      <w:proofErr w:type="spellStart"/>
      <w:r>
        <w:rPr>
          <w:rFonts w:ascii="Arial" w:hAnsi="Arial" w:cs="Arial"/>
          <w:iCs/>
          <w:sz w:val="20"/>
          <w:szCs w:val="20"/>
        </w:rPr>
        <w:t>Karbi</w:t>
      </w:r>
      <w:proofErr w:type="spellEnd"/>
      <w:r>
        <w:rPr>
          <w:rFonts w:ascii="Arial" w:hAnsi="Arial" w:cs="Arial"/>
          <w:iCs/>
          <w:sz w:val="20"/>
          <w:szCs w:val="20"/>
        </w:rPr>
        <w:t xml:space="preserve"> </w:t>
      </w:r>
      <w:proofErr w:type="spellStart"/>
      <w:r>
        <w:rPr>
          <w:rFonts w:ascii="Arial" w:hAnsi="Arial" w:cs="Arial"/>
          <w:iCs/>
          <w:sz w:val="20"/>
          <w:szCs w:val="20"/>
        </w:rPr>
        <w:t>Anglong</w:t>
      </w:r>
      <w:proofErr w:type="spellEnd"/>
      <w:r>
        <w:rPr>
          <w:rFonts w:ascii="Arial" w:hAnsi="Arial" w:cs="Arial"/>
          <w:iCs/>
          <w:sz w:val="20"/>
          <w:szCs w:val="20"/>
        </w:rPr>
        <w:t xml:space="preserve"> district, As</w:t>
      </w:r>
      <w:r>
        <w:rPr>
          <w:rFonts w:ascii="Arial" w:hAnsi="Arial" w:cs="Arial"/>
          <w:iCs/>
          <w:sz w:val="20"/>
          <w:szCs w:val="20"/>
        </w:rPr>
        <w:t>sam, India. Tropical Plant Research, 7(2), 296–308. https://doi.org/10.22271/tpr.2020.v7.i2.035</w:t>
      </w:r>
    </w:p>
    <w:p w14:paraId="4180174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Baidya, S., Thakur, B., &amp; Devi, A. (2020b). Ethnomedicinal plants of the sacred groves and their uses by Karbi tribe in </w:t>
      </w:r>
      <w:proofErr w:type="spellStart"/>
      <w:r>
        <w:rPr>
          <w:rFonts w:ascii="Arial" w:hAnsi="Arial" w:cs="Arial"/>
          <w:iCs/>
          <w:sz w:val="20"/>
          <w:szCs w:val="20"/>
        </w:rPr>
        <w:t>Karbi</w:t>
      </w:r>
      <w:proofErr w:type="spellEnd"/>
      <w:r>
        <w:rPr>
          <w:rFonts w:ascii="Arial" w:hAnsi="Arial" w:cs="Arial"/>
          <w:iCs/>
          <w:sz w:val="20"/>
          <w:szCs w:val="20"/>
        </w:rPr>
        <w:t xml:space="preserve"> </w:t>
      </w:r>
      <w:proofErr w:type="spellStart"/>
      <w:r>
        <w:rPr>
          <w:rFonts w:ascii="Arial" w:hAnsi="Arial" w:cs="Arial"/>
          <w:iCs/>
          <w:sz w:val="20"/>
          <w:szCs w:val="20"/>
        </w:rPr>
        <w:t>Anglong</w:t>
      </w:r>
      <w:proofErr w:type="spellEnd"/>
      <w:r>
        <w:rPr>
          <w:rFonts w:ascii="Arial" w:hAnsi="Arial" w:cs="Arial"/>
          <w:iCs/>
          <w:sz w:val="20"/>
          <w:szCs w:val="20"/>
        </w:rPr>
        <w:t xml:space="preserve"> district of Assam, Northea</w:t>
      </w:r>
      <w:r>
        <w:rPr>
          <w:rFonts w:ascii="Arial" w:hAnsi="Arial" w:cs="Arial"/>
          <w:iCs/>
          <w:sz w:val="20"/>
          <w:szCs w:val="20"/>
        </w:rPr>
        <w:t>st India. Indian Journal of Traditional Knowledge, 19(2), 277–287.</w:t>
      </w:r>
    </w:p>
    <w:p w14:paraId="6A0A819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Banik, B., Majumdar, K., </w:t>
      </w:r>
      <w:proofErr w:type="spellStart"/>
      <w:r>
        <w:rPr>
          <w:rFonts w:ascii="Arial" w:hAnsi="Arial" w:cs="Arial"/>
          <w:iCs/>
          <w:sz w:val="20"/>
          <w:szCs w:val="20"/>
        </w:rPr>
        <w:t>Baishnab</w:t>
      </w:r>
      <w:proofErr w:type="spellEnd"/>
      <w:r>
        <w:rPr>
          <w:rFonts w:ascii="Arial" w:hAnsi="Arial" w:cs="Arial"/>
          <w:iCs/>
          <w:sz w:val="20"/>
          <w:szCs w:val="20"/>
        </w:rPr>
        <w:t xml:space="preserve">, B., &amp; Datta, B.K. (2018). Impact of tourism on forest habitat surrounding in </w:t>
      </w:r>
      <w:proofErr w:type="spellStart"/>
      <w:r>
        <w:rPr>
          <w:rFonts w:ascii="Arial" w:hAnsi="Arial" w:cs="Arial"/>
          <w:iCs/>
          <w:sz w:val="20"/>
          <w:szCs w:val="20"/>
        </w:rPr>
        <w:t>Unakoti</w:t>
      </w:r>
      <w:proofErr w:type="spellEnd"/>
      <w:r>
        <w:rPr>
          <w:rFonts w:ascii="Arial" w:hAnsi="Arial" w:cs="Arial"/>
          <w:iCs/>
          <w:sz w:val="20"/>
          <w:szCs w:val="20"/>
        </w:rPr>
        <w:t>: An important archaeological site of Tripura, North-East India. Resea</w:t>
      </w:r>
      <w:r>
        <w:rPr>
          <w:rFonts w:ascii="Arial" w:hAnsi="Arial" w:cs="Arial"/>
          <w:iCs/>
          <w:sz w:val="20"/>
          <w:szCs w:val="20"/>
        </w:rPr>
        <w:t>rch &amp; Reviews: A Journal of Life Science, 8(3), 50–66.</w:t>
      </w:r>
    </w:p>
    <w:p w14:paraId="301A8CE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Barua, I. (2009). Conservation and management of community and natural resources: A case study from North East India. Studies of Tribes and Tribals, 7(1), 39–46.</w:t>
      </w:r>
    </w:p>
    <w:p w14:paraId="059BFD8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Barbhuiya, A.R., Sahoo, U.K., &amp; Upadhya</w:t>
      </w:r>
      <w:r>
        <w:rPr>
          <w:rFonts w:ascii="Arial" w:hAnsi="Arial" w:cs="Arial"/>
          <w:iCs/>
          <w:sz w:val="20"/>
          <w:szCs w:val="20"/>
        </w:rPr>
        <w:t>ya, K. (2016). Plant diversity in the indigenous home gardens in the Eastern Himalayan region of Mizoram, Northeast India. Economic Botany, 70(2), 115–131. https://doi.org/10.1007/s12231-016-9349-8</w:t>
      </w:r>
    </w:p>
    <w:p w14:paraId="4C598001"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Bdoor</w:t>
      </w:r>
      <w:proofErr w:type="spellEnd"/>
      <w:r>
        <w:rPr>
          <w:rFonts w:ascii="Arial" w:hAnsi="Arial" w:cs="Arial"/>
          <w:iCs/>
          <w:sz w:val="20"/>
          <w:szCs w:val="20"/>
        </w:rPr>
        <w:t xml:space="preserve">, B.S. (2017). Tree diversity in </w:t>
      </w:r>
      <w:proofErr w:type="spellStart"/>
      <w:r>
        <w:rPr>
          <w:rFonts w:ascii="Arial" w:hAnsi="Arial" w:cs="Arial"/>
          <w:iCs/>
          <w:sz w:val="20"/>
          <w:szCs w:val="20"/>
        </w:rPr>
        <w:t>homegarden</w:t>
      </w:r>
      <w:proofErr w:type="spellEnd"/>
      <w:r>
        <w:rPr>
          <w:rFonts w:ascii="Arial" w:hAnsi="Arial" w:cs="Arial"/>
          <w:iCs/>
          <w:sz w:val="20"/>
          <w:szCs w:val="20"/>
        </w:rPr>
        <w:t xml:space="preserve"> land use </w:t>
      </w:r>
      <w:r>
        <w:rPr>
          <w:rFonts w:ascii="Arial" w:hAnsi="Arial" w:cs="Arial"/>
          <w:iCs/>
          <w:sz w:val="20"/>
          <w:szCs w:val="20"/>
        </w:rPr>
        <w:t xml:space="preserve">of </w:t>
      </w:r>
      <w:proofErr w:type="spellStart"/>
      <w:r>
        <w:rPr>
          <w:rFonts w:ascii="Arial" w:hAnsi="Arial" w:cs="Arial"/>
          <w:iCs/>
          <w:sz w:val="20"/>
          <w:szCs w:val="20"/>
        </w:rPr>
        <w:t>Mawsmai</w:t>
      </w:r>
      <w:proofErr w:type="spellEnd"/>
      <w:r>
        <w:rPr>
          <w:rFonts w:ascii="Arial" w:hAnsi="Arial" w:cs="Arial"/>
          <w:iCs/>
          <w:sz w:val="20"/>
          <w:szCs w:val="20"/>
        </w:rPr>
        <w:t xml:space="preserve"> Village Karst Landscape, Meghalaya, Northeast India. International Journal of Environmental, Ecological, Family and Urban Studies, 7(3), 33–42.</w:t>
      </w:r>
    </w:p>
    <w:p w14:paraId="2090720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Chaudhry, P., &amp; </w:t>
      </w:r>
      <w:proofErr w:type="spellStart"/>
      <w:r>
        <w:rPr>
          <w:rFonts w:ascii="Arial" w:hAnsi="Arial" w:cs="Arial"/>
          <w:iCs/>
          <w:sz w:val="20"/>
          <w:szCs w:val="20"/>
        </w:rPr>
        <w:t>Murtem</w:t>
      </w:r>
      <w:proofErr w:type="spellEnd"/>
      <w:r>
        <w:rPr>
          <w:rFonts w:ascii="Arial" w:hAnsi="Arial" w:cs="Arial"/>
          <w:iCs/>
          <w:sz w:val="20"/>
          <w:szCs w:val="20"/>
        </w:rPr>
        <w:t>, G. (2015). Role of sacred groves, value education and spirituality in conserv</w:t>
      </w:r>
      <w:r>
        <w:rPr>
          <w:rFonts w:ascii="Arial" w:hAnsi="Arial" w:cs="Arial"/>
          <w:iCs/>
          <w:sz w:val="20"/>
          <w:szCs w:val="20"/>
        </w:rPr>
        <w:t>ing biodiversity with special reference to Arunachal Pradesh state of India. International Journal of Society Systems Science, 7(2), 151. https://doi.org/10.1504/IJSSS.2015.069736</w:t>
      </w:r>
    </w:p>
    <w:p w14:paraId="6073D50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Choudhury, H., Goswami, S., &amp; </w:t>
      </w:r>
      <w:proofErr w:type="spellStart"/>
      <w:r>
        <w:rPr>
          <w:rFonts w:ascii="Arial" w:hAnsi="Arial" w:cs="Arial"/>
          <w:iCs/>
          <w:sz w:val="20"/>
          <w:szCs w:val="20"/>
        </w:rPr>
        <w:t>Kumaria</w:t>
      </w:r>
      <w:proofErr w:type="spellEnd"/>
      <w:r>
        <w:rPr>
          <w:rFonts w:ascii="Arial" w:hAnsi="Arial" w:cs="Arial"/>
          <w:iCs/>
          <w:sz w:val="20"/>
          <w:szCs w:val="20"/>
        </w:rPr>
        <w:t>, S. (2007). Sacred groves of Meghalaya</w:t>
      </w:r>
      <w:r>
        <w:rPr>
          <w:rFonts w:ascii="Arial" w:hAnsi="Arial" w:cs="Arial"/>
          <w:iCs/>
          <w:sz w:val="20"/>
          <w:szCs w:val="20"/>
        </w:rPr>
        <w:t xml:space="preserve">: A religious way of in situ conservation. In P. Tandon, Y.P. Abrol, &amp; S. </w:t>
      </w:r>
      <w:proofErr w:type="spellStart"/>
      <w:r>
        <w:rPr>
          <w:rFonts w:ascii="Arial" w:hAnsi="Arial" w:cs="Arial"/>
          <w:iCs/>
          <w:sz w:val="20"/>
          <w:szCs w:val="20"/>
        </w:rPr>
        <w:t>Kumaria</w:t>
      </w:r>
      <w:proofErr w:type="spellEnd"/>
      <w:r>
        <w:rPr>
          <w:rFonts w:ascii="Arial" w:hAnsi="Arial" w:cs="Arial"/>
          <w:iCs/>
          <w:sz w:val="20"/>
          <w:szCs w:val="20"/>
        </w:rPr>
        <w:t xml:space="preserve"> (Eds.), Biodiversity and its significance (pp. 218–232). I.K. International Publishers, New Delhi.</w:t>
      </w:r>
    </w:p>
    <w:p w14:paraId="56BF6C5E"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CPR Environmental Education Centre. (n.d.). CPREEC ENVIS Centre on conserva</w:t>
      </w:r>
      <w:r>
        <w:rPr>
          <w:rFonts w:ascii="Arial" w:hAnsi="Arial" w:cs="Arial"/>
          <w:iCs/>
          <w:sz w:val="20"/>
          <w:szCs w:val="20"/>
        </w:rPr>
        <w:t>tion of ecological heritage and sacred sites of India. Retrieved September 18, 2025, from http://www.cpreecenvis.nic.in</w:t>
      </w:r>
    </w:p>
    <w:p w14:paraId="08AD264C"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Darlong</w:t>
      </w:r>
      <w:proofErr w:type="spellEnd"/>
      <w:r>
        <w:rPr>
          <w:rFonts w:ascii="Arial" w:hAnsi="Arial" w:cs="Arial"/>
          <w:iCs/>
          <w:sz w:val="20"/>
          <w:szCs w:val="20"/>
        </w:rPr>
        <w:t xml:space="preserve">, B. (2015). Sacred groves: A study of the religious beliefs of the </w:t>
      </w:r>
      <w:proofErr w:type="spellStart"/>
      <w:r>
        <w:rPr>
          <w:rFonts w:ascii="Arial" w:hAnsi="Arial" w:cs="Arial"/>
          <w:iCs/>
          <w:sz w:val="20"/>
          <w:szCs w:val="20"/>
        </w:rPr>
        <w:t>Darlong</w:t>
      </w:r>
      <w:proofErr w:type="spellEnd"/>
      <w:r>
        <w:rPr>
          <w:rFonts w:ascii="Arial" w:hAnsi="Arial" w:cs="Arial"/>
          <w:iCs/>
          <w:sz w:val="20"/>
          <w:szCs w:val="20"/>
        </w:rPr>
        <w:t xml:space="preserve"> community in Tripura. Chitralekha International Magaz</w:t>
      </w:r>
      <w:r>
        <w:rPr>
          <w:rFonts w:ascii="Arial" w:hAnsi="Arial" w:cs="Arial"/>
          <w:iCs/>
          <w:sz w:val="20"/>
          <w:szCs w:val="20"/>
        </w:rPr>
        <w:t>ine on Art and Design, 5(1), 147–156.</w:t>
      </w:r>
    </w:p>
    <w:p w14:paraId="75A2E46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Das, D., &amp; Datta, B.K. (2018a). An assessment of plant diversity in home gardens of Reang community of Tripura. Pleione, 12(2), 208–222. https://doi.org/10.26679/Pleione.12.2.2018.208-222</w:t>
      </w:r>
    </w:p>
    <w:p w14:paraId="05216FD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Das, D., &amp; Datta, B.K. (2018b)</w:t>
      </w:r>
      <w:r>
        <w:rPr>
          <w:rFonts w:ascii="Arial" w:hAnsi="Arial" w:cs="Arial"/>
          <w:iCs/>
          <w:sz w:val="20"/>
          <w:szCs w:val="20"/>
        </w:rPr>
        <w:t>. New distributional record of Stephania glabra (</w:t>
      </w:r>
      <w:proofErr w:type="spellStart"/>
      <w:r>
        <w:rPr>
          <w:rFonts w:ascii="Arial" w:hAnsi="Arial" w:cs="Arial"/>
          <w:iCs/>
          <w:sz w:val="20"/>
          <w:szCs w:val="20"/>
        </w:rPr>
        <w:t>Roxb</w:t>
      </w:r>
      <w:proofErr w:type="spellEnd"/>
      <w:r>
        <w:rPr>
          <w:rFonts w:ascii="Arial" w:hAnsi="Arial" w:cs="Arial"/>
          <w:iCs/>
          <w:sz w:val="20"/>
          <w:szCs w:val="20"/>
        </w:rPr>
        <w:t xml:space="preserve">.) </w:t>
      </w:r>
      <w:proofErr w:type="spellStart"/>
      <w:r>
        <w:rPr>
          <w:rFonts w:ascii="Arial" w:hAnsi="Arial" w:cs="Arial"/>
          <w:iCs/>
          <w:sz w:val="20"/>
          <w:szCs w:val="20"/>
        </w:rPr>
        <w:t>Miers</w:t>
      </w:r>
      <w:proofErr w:type="spellEnd"/>
      <w:r>
        <w:rPr>
          <w:rFonts w:ascii="Arial" w:hAnsi="Arial" w:cs="Arial"/>
          <w:iCs/>
          <w:sz w:val="20"/>
          <w:szCs w:val="20"/>
        </w:rPr>
        <w:t xml:space="preserve"> (</w:t>
      </w:r>
      <w:proofErr w:type="spellStart"/>
      <w:r>
        <w:rPr>
          <w:rFonts w:ascii="Arial" w:hAnsi="Arial" w:cs="Arial"/>
          <w:iCs/>
          <w:sz w:val="20"/>
          <w:szCs w:val="20"/>
        </w:rPr>
        <w:t>Menispermaceae</w:t>
      </w:r>
      <w:proofErr w:type="spellEnd"/>
      <w:r>
        <w:rPr>
          <w:rFonts w:ascii="Arial" w:hAnsi="Arial" w:cs="Arial"/>
          <w:iCs/>
          <w:sz w:val="20"/>
          <w:szCs w:val="20"/>
        </w:rPr>
        <w:t>) in Tripura, India and its domestication in Reang home-gardens. Pleione, 12(2), 337–340. https://doi.org/10.26679/Pleione.12.2.2018.337-340</w:t>
      </w:r>
    </w:p>
    <w:p w14:paraId="6ECBF034"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Das, T., &amp; Das, A.K. (2005). Inventory</w:t>
      </w:r>
      <w:r>
        <w:rPr>
          <w:rFonts w:ascii="Arial" w:hAnsi="Arial" w:cs="Arial"/>
          <w:iCs/>
          <w:sz w:val="20"/>
          <w:szCs w:val="20"/>
        </w:rPr>
        <w:t xml:space="preserve">ing plant biodiversity in </w:t>
      </w:r>
      <w:proofErr w:type="spellStart"/>
      <w:r>
        <w:rPr>
          <w:rFonts w:ascii="Arial" w:hAnsi="Arial" w:cs="Arial"/>
          <w:iCs/>
          <w:sz w:val="20"/>
          <w:szCs w:val="20"/>
        </w:rPr>
        <w:t>homegardens</w:t>
      </w:r>
      <w:proofErr w:type="spellEnd"/>
      <w:r>
        <w:rPr>
          <w:rFonts w:ascii="Arial" w:hAnsi="Arial" w:cs="Arial"/>
          <w:iCs/>
          <w:sz w:val="20"/>
          <w:szCs w:val="20"/>
        </w:rPr>
        <w:t>: A case study in Barak Valley, Assam, North East India. Current Science, 89(1), 155–163.</w:t>
      </w:r>
    </w:p>
    <w:p w14:paraId="20CAF314"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lastRenderedPageBreak/>
        <w:t>Dash, S.S. (2005). Kabi sacred grove of North Sikkim. Current Science, 89(3), 427–428.</w:t>
      </w:r>
    </w:p>
    <w:p w14:paraId="24DC073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Das, T., &amp; Das, A.K. (2015). Conservation </w:t>
      </w:r>
      <w:r>
        <w:rPr>
          <w:rFonts w:ascii="Arial" w:hAnsi="Arial" w:cs="Arial"/>
          <w:iCs/>
          <w:sz w:val="20"/>
          <w:szCs w:val="20"/>
        </w:rPr>
        <w:t xml:space="preserve">of plant diversity in rural </w:t>
      </w:r>
      <w:proofErr w:type="spellStart"/>
      <w:r>
        <w:rPr>
          <w:rFonts w:ascii="Arial" w:hAnsi="Arial" w:cs="Arial"/>
          <w:iCs/>
          <w:sz w:val="20"/>
          <w:szCs w:val="20"/>
        </w:rPr>
        <w:t>homegardens</w:t>
      </w:r>
      <w:proofErr w:type="spellEnd"/>
      <w:r>
        <w:rPr>
          <w:rFonts w:ascii="Arial" w:hAnsi="Arial" w:cs="Arial"/>
          <w:iCs/>
          <w:sz w:val="20"/>
          <w:szCs w:val="20"/>
        </w:rPr>
        <w:t xml:space="preserve"> with cultural and geographical variation in three districts of Barak Valley, Northeast India. Economic Botany, 69(1), 57–71. https://doi.org/10.1007/s12231-015-9299-6</w:t>
      </w:r>
    </w:p>
    <w:p w14:paraId="280E286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Deb, S., Sarkar, A., Deb, D., &amp; Majumdar, K. (201</w:t>
      </w:r>
      <w:r>
        <w:rPr>
          <w:rFonts w:ascii="Arial" w:hAnsi="Arial" w:cs="Arial"/>
          <w:iCs/>
          <w:sz w:val="20"/>
          <w:szCs w:val="20"/>
        </w:rPr>
        <w:t>4). Community structure, biodiversity value and management practices of traditional agroforestry systems in Tripura, North East India. Journal of Biodiversity Management and Forestry, 3(3), 1–6. http://dx.doi.org/10.4172/2327-4417.1000129</w:t>
      </w:r>
    </w:p>
    <w:p w14:paraId="42315D60"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Debbarma, J., Deb</w:t>
      </w:r>
      <w:r>
        <w:rPr>
          <w:rFonts w:ascii="Arial" w:hAnsi="Arial" w:cs="Arial"/>
          <w:iCs/>
          <w:sz w:val="20"/>
          <w:szCs w:val="20"/>
        </w:rPr>
        <w:t xml:space="preserve">, D., &amp; Deb, S. (2015). Tree diversity and sociocultural significance of </w:t>
      </w:r>
      <w:proofErr w:type="spellStart"/>
      <w:r>
        <w:rPr>
          <w:rFonts w:ascii="Arial" w:hAnsi="Arial" w:cs="Arial"/>
          <w:iCs/>
          <w:sz w:val="20"/>
          <w:szCs w:val="20"/>
        </w:rPr>
        <w:t>homegardens</w:t>
      </w:r>
      <w:proofErr w:type="spellEnd"/>
      <w:r>
        <w:rPr>
          <w:rFonts w:ascii="Arial" w:hAnsi="Arial" w:cs="Arial"/>
          <w:iCs/>
          <w:sz w:val="20"/>
          <w:szCs w:val="20"/>
        </w:rPr>
        <w:t xml:space="preserve"> in the </w:t>
      </w:r>
      <w:proofErr w:type="spellStart"/>
      <w:r>
        <w:rPr>
          <w:rFonts w:ascii="Arial" w:hAnsi="Arial" w:cs="Arial"/>
          <w:iCs/>
          <w:sz w:val="20"/>
          <w:szCs w:val="20"/>
        </w:rPr>
        <w:t>Baramura</w:t>
      </w:r>
      <w:proofErr w:type="spellEnd"/>
      <w:r>
        <w:rPr>
          <w:rFonts w:ascii="Arial" w:hAnsi="Arial" w:cs="Arial"/>
          <w:iCs/>
          <w:sz w:val="20"/>
          <w:szCs w:val="20"/>
        </w:rPr>
        <w:t xml:space="preserve"> range, Tripura, North-east India. Forest Trees and Livelihoods, 25(1), 33–40. https://doi.org/10.1080/14728028.2015.1076357</w:t>
      </w:r>
    </w:p>
    <w:p w14:paraId="7AD7F0CE"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Devi, N.L., &amp; Das, A.K. (2017).</w:t>
      </w:r>
      <w:r>
        <w:rPr>
          <w:rFonts w:ascii="Arial" w:hAnsi="Arial" w:cs="Arial"/>
          <w:iCs/>
          <w:sz w:val="20"/>
          <w:szCs w:val="20"/>
        </w:rPr>
        <w:t xml:space="preserve"> Plant biodiversity conservation through traditional use and cultivation in Meitei home-gardens in Barak Valley of Assam, India. Pleione, 11(2), 277–289. https://doi.org/10.26679/Pleione.11.2.2017.277-289</w:t>
      </w:r>
    </w:p>
    <w:p w14:paraId="493E133C"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Devi, N.L., &amp; Das, A.K. (2010). Plant species diver</w:t>
      </w:r>
      <w:r>
        <w:rPr>
          <w:rFonts w:ascii="Arial" w:hAnsi="Arial" w:cs="Arial"/>
          <w:iCs/>
          <w:sz w:val="20"/>
          <w:szCs w:val="20"/>
        </w:rPr>
        <w:t xml:space="preserve">sity in the traditional </w:t>
      </w:r>
      <w:proofErr w:type="spellStart"/>
      <w:r>
        <w:rPr>
          <w:rFonts w:ascii="Arial" w:hAnsi="Arial" w:cs="Arial"/>
          <w:iCs/>
          <w:sz w:val="20"/>
          <w:szCs w:val="20"/>
        </w:rPr>
        <w:t>homegardens</w:t>
      </w:r>
      <w:proofErr w:type="spellEnd"/>
      <w:r>
        <w:rPr>
          <w:rFonts w:ascii="Arial" w:hAnsi="Arial" w:cs="Arial"/>
          <w:iCs/>
          <w:sz w:val="20"/>
          <w:szCs w:val="20"/>
        </w:rPr>
        <w:t xml:space="preserve"> of Meitei community: A case study from Barak Valley, Assam. Journal of Tropical Agriculture, 48(1-2), 45–48.</w:t>
      </w:r>
    </w:p>
    <w:p w14:paraId="6D74BD2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Devi, S. (2000). Sacred groves of Manipur. In Proceedings of National Workshop on Community Strategies on the M</w:t>
      </w:r>
      <w:r>
        <w:rPr>
          <w:rFonts w:ascii="Arial" w:hAnsi="Arial" w:cs="Arial"/>
          <w:iCs/>
          <w:sz w:val="20"/>
          <w:szCs w:val="20"/>
        </w:rPr>
        <w:t>anagement of Natural Resources. Indira Gandhi Rashtriya Manav Sanghralaya, Bhopal.</w:t>
      </w:r>
    </w:p>
    <w:p w14:paraId="3288C779"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Dutta, D. (2013). A study on the biodiversity of the plant resources of the patch vegetations around rural homestead in Jorhat district, Assam and its role in socio-economy </w:t>
      </w:r>
      <w:r>
        <w:rPr>
          <w:rFonts w:ascii="Arial" w:hAnsi="Arial" w:cs="Arial"/>
          <w:iCs/>
          <w:sz w:val="20"/>
          <w:szCs w:val="20"/>
        </w:rPr>
        <w:t>of the villagers. Project Completion Report, Rain Forest Research Institute, Jorhat, 53 pp.</w:t>
      </w:r>
    </w:p>
    <w:p w14:paraId="44594C3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Dutta, D., Hazarika, P., &amp; Hazarika, P. (2017a). Wild edible plant species in patch vegetations of Jorhat district, Assam, India. International Research Journal of </w:t>
      </w:r>
      <w:r>
        <w:rPr>
          <w:rFonts w:ascii="Arial" w:hAnsi="Arial" w:cs="Arial"/>
          <w:iCs/>
          <w:sz w:val="20"/>
          <w:szCs w:val="20"/>
        </w:rPr>
        <w:t>Biological Sciences, 6(3), 14–25.</w:t>
      </w:r>
    </w:p>
    <w:p w14:paraId="30CCC879"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Dutta, J., Muang, O., Balasubramanian, D., </w:t>
      </w:r>
      <w:proofErr w:type="spellStart"/>
      <w:r>
        <w:rPr>
          <w:rFonts w:ascii="Arial" w:hAnsi="Arial" w:cs="Arial"/>
          <w:iCs/>
          <w:sz w:val="20"/>
          <w:szCs w:val="20"/>
        </w:rPr>
        <w:t>Pangging</w:t>
      </w:r>
      <w:proofErr w:type="spellEnd"/>
      <w:r>
        <w:rPr>
          <w:rFonts w:ascii="Arial" w:hAnsi="Arial" w:cs="Arial"/>
          <w:iCs/>
          <w:sz w:val="20"/>
          <w:szCs w:val="20"/>
        </w:rPr>
        <w:t xml:space="preserve">, G., &amp; Arunachalam, A. (2017b). Sacred groves of Ziro Valley dominated by </w:t>
      </w:r>
      <w:proofErr w:type="spellStart"/>
      <w:r>
        <w:rPr>
          <w:rFonts w:ascii="Arial" w:hAnsi="Arial" w:cs="Arial"/>
          <w:iCs/>
          <w:sz w:val="20"/>
          <w:szCs w:val="20"/>
        </w:rPr>
        <w:t>Apatani</w:t>
      </w:r>
      <w:proofErr w:type="spellEnd"/>
      <w:r>
        <w:rPr>
          <w:rFonts w:ascii="Arial" w:hAnsi="Arial" w:cs="Arial"/>
          <w:iCs/>
          <w:sz w:val="20"/>
          <w:szCs w:val="20"/>
        </w:rPr>
        <w:t xml:space="preserve"> tribes in Arunachal Pradesh. Indian Journal of Hill Farming, 30(1), 132–138.</w:t>
      </w:r>
    </w:p>
    <w:p w14:paraId="3B33872D"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Fernandes, </w:t>
      </w:r>
      <w:r>
        <w:rPr>
          <w:rFonts w:ascii="Arial" w:hAnsi="Arial" w:cs="Arial"/>
          <w:iCs/>
          <w:sz w:val="20"/>
          <w:szCs w:val="20"/>
        </w:rPr>
        <w:t xml:space="preserve">E.C.M., &amp; Nair, P.K.R. (1986). An evaluation of the structure and function of tropical </w:t>
      </w:r>
      <w:proofErr w:type="spellStart"/>
      <w:r>
        <w:rPr>
          <w:rFonts w:ascii="Arial" w:hAnsi="Arial" w:cs="Arial"/>
          <w:iCs/>
          <w:sz w:val="20"/>
          <w:szCs w:val="20"/>
        </w:rPr>
        <w:t>homegardens</w:t>
      </w:r>
      <w:proofErr w:type="spellEnd"/>
      <w:r>
        <w:rPr>
          <w:rFonts w:ascii="Arial" w:hAnsi="Arial" w:cs="Arial"/>
          <w:iCs/>
          <w:sz w:val="20"/>
          <w:szCs w:val="20"/>
        </w:rPr>
        <w:t>. Agricultural Systems, 21(4), 279–310. https://doi.org/10.1016/0308-521X(86)90104-6</w:t>
      </w:r>
    </w:p>
    <w:p w14:paraId="42D58C2F"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Forest, Environment and Wildlife Management Department (FEWMD), Governmen</w:t>
      </w:r>
      <w:r>
        <w:rPr>
          <w:rFonts w:ascii="Arial" w:hAnsi="Arial" w:cs="Arial"/>
          <w:iCs/>
          <w:sz w:val="20"/>
          <w:szCs w:val="20"/>
        </w:rPr>
        <w:t>t of Sikkim. (2011). Sacred groves of Sikkim. Government of Sikkim, Gangtok.</w:t>
      </w:r>
    </w:p>
    <w:p w14:paraId="156FC1D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Food and Agriculture Organization of the United Nations. (1998). FRA 2000 terms and definitions, Forest Resources Assessment Working Paper 1. FAO Forestry Department.</w:t>
      </w:r>
    </w:p>
    <w:p w14:paraId="7B6B2120"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Forest </w:t>
      </w:r>
      <w:r>
        <w:rPr>
          <w:rFonts w:ascii="Arial" w:hAnsi="Arial" w:cs="Arial"/>
          <w:iCs/>
          <w:sz w:val="20"/>
          <w:szCs w:val="20"/>
        </w:rPr>
        <w:t>Survey of India. (2019). State of Forest Report. Ministry of Environment and Forests, Government of India, Dehradun.</w:t>
      </w:r>
    </w:p>
    <w:p w14:paraId="57E2BD4A"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Forest Survey of India. (2021). State of Forest Report. Ministry of Environment and Forests, Government of India, Dehradun.</w:t>
      </w:r>
    </w:p>
    <w:p w14:paraId="308492AE"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Gogoi</w:t>
      </w:r>
      <w:proofErr w:type="spellEnd"/>
      <w:r>
        <w:rPr>
          <w:rFonts w:ascii="Arial" w:hAnsi="Arial" w:cs="Arial"/>
          <w:iCs/>
          <w:sz w:val="20"/>
          <w:szCs w:val="20"/>
        </w:rPr>
        <w:t>, P.P., &amp;</w:t>
      </w:r>
      <w:proofErr w:type="spellStart"/>
      <w:r>
        <w:rPr>
          <w:rFonts w:ascii="Arial" w:hAnsi="Arial" w:cs="Arial"/>
          <w:iCs/>
          <w:sz w:val="20"/>
          <w:szCs w:val="20"/>
        </w:rPr>
        <w:t>K</w:t>
      </w:r>
      <w:r>
        <w:rPr>
          <w:rFonts w:ascii="Arial" w:hAnsi="Arial" w:cs="Arial"/>
          <w:iCs/>
          <w:sz w:val="20"/>
          <w:szCs w:val="20"/>
        </w:rPr>
        <w:t>ikhi</w:t>
      </w:r>
      <w:proofErr w:type="spellEnd"/>
      <w:r>
        <w:rPr>
          <w:rFonts w:ascii="Arial" w:hAnsi="Arial" w:cs="Arial"/>
          <w:iCs/>
          <w:sz w:val="20"/>
          <w:szCs w:val="20"/>
        </w:rPr>
        <w:t>, K. (2023). Conserving human-nature nexuses: Biodiversity, eco-ethics and sacred forests of Assam. Social Change and Development, 20(1), 1–16.</w:t>
      </w:r>
    </w:p>
    <w:p w14:paraId="68FBEC09"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Gokhale, Y., Velankar, R., Subash Chandran, M.D., &amp; Gadgil, M. (1998). Sacred woods, grasslands and waterbod</w:t>
      </w:r>
      <w:r>
        <w:rPr>
          <w:rFonts w:ascii="Arial" w:hAnsi="Arial" w:cs="Arial"/>
          <w:iCs/>
          <w:sz w:val="20"/>
          <w:szCs w:val="20"/>
        </w:rPr>
        <w:t xml:space="preserve">ies as self-organized systems of conservation. In P.S. Ramakrishnan, K.G. Saxena, &amp; </w:t>
      </w:r>
      <w:r>
        <w:rPr>
          <w:rFonts w:ascii="Arial" w:hAnsi="Arial" w:cs="Arial"/>
          <w:iCs/>
          <w:sz w:val="20"/>
          <w:szCs w:val="20"/>
        </w:rPr>
        <w:lastRenderedPageBreak/>
        <w:t>U.M. Chandrashekara (Eds.), Conserving the sacred for biodiversity management (pp. 365–398). Oxford and IBH Publishing Co., New Delhi.</w:t>
      </w:r>
    </w:p>
    <w:p w14:paraId="239AF26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Goswami, N.K., </w:t>
      </w:r>
      <w:proofErr w:type="spellStart"/>
      <w:r>
        <w:rPr>
          <w:rFonts w:ascii="Arial" w:hAnsi="Arial" w:cs="Arial"/>
          <w:iCs/>
          <w:sz w:val="20"/>
          <w:szCs w:val="20"/>
        </w:rPr>
        <w:t>Saharia</w:t>
      </w:r>
      <w:proofErr w:type="spellEnd"/>
      <w:r>
        <w:rPr>
          <w:rFonts w:ascii="Arial" w:hAnsi="Arial" w:cs="Arial"/>
          <w:iCs/>
          <w:sz w:val="20"/>
          <w:szCs w:val="20"/>
        </w:rPr>
        <w:t>, D., &amp; Kar, A.</w:t>
      </w:r>
      <w:r>
        <w:rPr>
          <w:rFonts w:ascii="Arial" w:hAnsi="Arial" w:cs="Arial"/>
          <w:iCs/>
          <w:sz w:val="20"/>
          <w:szCs w:val="20"/>
        </w:rPr>
        <w:t xml:space="preserve"> (2011). Homestead gardens diversity of a watershed development project area in </w:t>
      </w:r>
      <w:proofErr w:type="spellStart"/>
      <w:r>
        <w:rPr>
          <w:rFonts w:ascii="Arial" w:hAnsi="Arial" w:cs="Arial"/>
          <w:iCs/>
          <w:sz w:val="20"/>
          <w:szCs w:val="20"/>
        </w:rPr>
        <w:t>Kamrup</w:t>
      </w:r>
      <w:proofErr w:type="spellEnd"/>
      <w:r>
        <w:rPr>
          <w:rFonts w:ascii="Arial" w:hAnsi="Arial" w:cs="Arial"/>
          <w:iCs/>
          <w:sz w:val="20"/>
          <w:szCs w:val="20"/>
        </w:rPr>
        <w:t xml:space="preserve"> District, Assam. Pleione, 5(1), 32–42.</w:t>
      </w:r>
    </w:p>
    <w:p w14:paraId="0A52512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Hazarika, P., Tripathi, Y.C., &amp;</w:t>
      </w:r>
      <w:proofErr w:type="spellStart"/>
      <w:r>
        <w:rPr>
          <w:rFonts w:ascii="Arial" w:hAnsi="Arial" w:cs="Arial"/>
          <w:iCs/>
          <w:sz w:val="20"/>
          <w:szCs w:val="20"/>
        </w:rPr>
        <w:t>Zhasa</w:t>
      </w:r>
      <w:proofErr w:type="spellEnd"/>
      <w:r>
        <w:rPr>
          <w:rFonts w:ascii="Arial" w:hAnsi="Arial" w:cs="Arial"/>
          <w:iCs/>
          <w:sz w:val="20"/>
          <w:szCs w:val="20"/>
        </w:rPr>
        <w:t xml:space="preserve">, N.N. (2001). Indigenous and traditional agroforestry in Assam. In B.P. Bhatt, K.M. </w:t>
      </w:r>
      <w:proofErr w:type="spellStart"/>
      <w:r>
        <w:rPr>
          <w:rFonts w:ascii="Arial" w:hAnsi="Arial" w:cs="Arial"/>
          <w:iCs/>
          <w:sz w:val="20"/>
          <w:szCs w:val="20"/>
        </w:rPr>
        <w:t>Bujarbaru</w:t>
      </w:r>
      <w:r>
        <w:rPr>
          <w:rFonts w:ascii="Arial" w:hAnsi="Arial" w:cs="Arial"/>
          <w:iCs/>
          <w:sz w:val="20"/>
          <w:szCs w:val="20"/>
        </w:rPr>
        <w:t>ah</w:t>
      </w:r>
      <w:proofErr w:type="spellEnd"/>
      <w:r>
        <w:rPr>
          <w:rFonts w:ascii="Arial" w:hAnsi="Arial" w:cs="Arial"/>
          <w:iCs/>
          <w:sz w:val="20"/>
          <w:szCs w:val="20"/>
        </w:rPr>
        <w:t>, Y.P. Sharma, &amp;</w:t>
      </w:r>
      <w:proofErr w:type="spellStart"/>
      <w:r>
        <w:rPr>
          <w:rFonts w:ascii="Arial" w:hAnsi="Arial" w:cs="Arial"/>
          <w:iCs/>
          <w:sz w:val="20"/>
          <w:szCs w:val="20"/>
        </w:rPr>
        <w:t>Patiram</w:t>
      </w:r>
      <w:proofErr w:type="spellEnd"/>
      <w:r>
        <w:rPr>
          <w:rFonts w:ascii="Arial" w:hAnsi="Arial" w:cs="Arial"/>
          <w:iCs/>
          <w:sz w:val="20"/>
          <w:szCs w:val="20"/>
        </w:rPr>
        <w:t xml:space="preserve"> (Eds.), Proceedings of the National Seminar on Approaches for Increasing Agricultural Productivity in Hill and Mountain Ecosystem (pp. 149–152). ICAR Research Complex for NEH Region, </w:t>
      </w:r>
      <w:proofErr w:type="spellStart"/>
      <w:r>
        <w:rPr>
          <w:rFonts w:ascii="Arial" w:hAnsi="Arial" w:cs="Arial"/>
          <w:iCs/>
          <w:sz w:val="20"/>
          <w:szCs w:val="20"/>
        </w:rPr>
        <w:t>Umiam</w:t>
      </w:r>
      <w:proofErr w:type="spellEnd"/>
      <w:r>
        <w:rPr>
          <w:rFonts w:ascii="Arial" w:hAnsi="Arial" w:cs="Arial"/>
          <w:iCs/>
          <w:sz w:val="20"/>
          <w:szCs w:val="20"/>
        </w:rPr>
        <w:t>, Meghalaya.</w:t>
      </w:r>
    </w:p>
    <w:p w14:paraId="1300290D"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Hui, T., Hui, P.K., Gogoi, B.</w:t>
      </w:r>
      <w:r>
        <w:rPr>
          <w:rFonts w:ascii="Arial" w:hAnsi="Arial" w:cs="Arial"/>
          <w:iCs/>
          <w:sz w:val="20"/>
          <w:szCs w:val="20"/>
        </w:rPr>
        <w:t xml:space="preserve">J., Tam, N., &amp; Tsering, J. (2016). Phu: High altitude sacred grove in the </w:t>
      </w:r>
      <w:proofErr w:type="spellStart"/>
      <w:r>
        <w:rPr>
          <w:rFonts w:ascii="Arial" w:hAnsi="Arial" w:cs="Arial"/>
          <w:iCs/>
          <w:sz w:val="20"/>
          <w:szCs w:val="20"/>
        </w:rPr>
        <w:t>Monpa</w:t>
      </w:r>
      <w:proofErr w:type="spellEnd"/>
      <w:r>
        <w:rPr>
          <w:rFonts w:ascii="Arial" w:hAnsi="Arial" w:cs="Arial"/>
          <w:iCs/>
          <w:sz w:val="20"/>
          <w:szCs w:val="20"/>
        </w:rPr>
        <w:t xml:space="preserve"> cultural landscape of West Arunachal Pradesh (Eastern Himalaya). Journal of Bioresources, 3(2), 28–32.</w:t>
      </w:r>
    </w:p>
    <w:p w14:paraId="0833901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Jamir, S.A., &amp; Pandey, H.N. (2003). Vascular plant diversity in the sacre</w:t>
      </w:r>
      <w:r>
        <w:rPr>
          <w:rFonts w:ascii="Arial" w:hAnsi="Arial" w:cs="Arial"/>
          <w:iCs/>
          <w:sz w:val="20"/>
          <w:szCs w:val="20"/>
        </w:rPr>
        <w:t>d groves of Jaintia Hills in northeast India. Biodiversity and Conservation, 12(7), 1497–1510. https://doi.org/10.1023/A:1023682228549</w:t>
      </w:r>
    </w:p>
    <w:p w14:paraId="3D2ACCCB"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Jeeceelee</w:t>
      </w:r>
      <w:proofErr w:type="spellEnd"/>
      <w:r>
        <w:rPr>
          <w:rFonts w:ascii="Arial" w:hAnsi="Arial" w:cs="Arial"/>
          <w:iCs/>
          <w:sz w:val="20"/>
          <w:szCs w:val="20"/>
        </w:rPr>
        <w:t>, L., &amp; Sahoo, U.K. (2015). Plant diversity and vegetation structure in differently sized home gardens of Mizora</w:t>
      </w:r>
      <w:r>
        <w:rPr>
          <w:rFonts w:ascii="Arial" w:hAnsi="Arial" w:cs="Arial"/>
          <w:iCs/>
          <w:sz w:val="20"/>
          <w:szCs w:val="20"/>
        </w:rPr>
        <w:t>m, India. International Journal of Research in Agricultural Sciences, 2(5), 229–235.</w:t>
      </w:r>
    </w:p>
    <w:p w14:paraId="2DFF61D0"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Jeeva, S., Mishra, B.P., Venugopal, N., &amp; Laloo, R.C. (2006). Traditional knowledge and biodiversity conservation in the sacred groves of Meghalaya. Indian Journal of Trad</w:t>
      </w:r>
      <w:r>
        <w:rPr>
          <w:rFonts w:ascii="Arial" w:hAnsi="Arial" w:cs="Arial"/>
          <w:iCs/>
          <w:sz w:val="20"/>
          <w:szCs w:val="20"/>
        </w:rPr>
        <w:t>itional Knowledge, 5(4), 563–568.</w:t>
      </w:r>
    </w:p>
    <w:p w14:paraId="395828C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Kaushik, P.K., &amp; Saha, P. (2020). Home herbal garden for promotion of herbal health care system in Tripura. In S. Sen &amp; R. Chakraborty (Eds.), Herbal medicine in India (pp. 89–100). Springer, Singapore. https://doi.org/10.</w:t>
      </w:r>
      <w:r>
        <w:rPr>
          <w:rFonts w:ascii="Arial" w:hAnsi="Arial" w:cs="Arial"/>
          <w:iCs/>
          <w:sz w:val="20"/>
          <w:szCs w:val="20"/>
        </w:rPr>
        <w:t>1007/978-981-13-7248-3_7</w:t>
      </w:r>
    </w:p>
    <w:p w14:paraId="0621275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Khan, M.L., Khumbongmayum, A.D., &amp; Tripathi, R.S. (2008). The sacred groves and their significance in conserving biodiversity: An overview. International Journal of Ecology and Environmental Sciences, 34(3), 277–291.</w:t>
      </w:r>
    </w:p>
    <w:p w14:paraId="40EE442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Khan, M.L., Me</w:t>
      </w:r>
      <w:r>
        <w:rPr>
          <w:rFonts w:ascii="Arial" w:hAnsi="Arial" w:cs="Arial"/>
          <w:iCs/>
          <w:sz w:val="20"/>
          <w:szCs w:val="20"/>
        </w:rPr>
        <w:t>non, S., &amp; Bawa, K.S. (1997). Effectiveness of the protected area network in biodiversity conservation: A case-study of Meghalaya state. Biodiversity and Conservation, 6, 853–868. https://doi.org/10.1023/B:BIOC.0000010406.35667.c0</w:t>
      </w:r>
    </w:p>
    <w:p w14:paraId="0FB8DA45"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Kharkongor</w:t>
      </w:r>
      <w:proofErr w:type="spellEnd"/>
      <w:r>
        <w:rPr>
          <w:rFonts w:ascii="Arial" w:hAnsi="Arial" w:cs="Arial"/>
          <w:iCs/>
          <w:sz w:val="20"/>
          <w:szCs w:val="20"/>
        </w:rPr>
        <w:t>, B.M., &amp; Tiwar</w:t>
      </w:r>
      <w:r>
        <w:rPr>
          <w:rFonts w:ascii="Arial" w:hAnsi="Arial" w:cs="Arial"/>
          <w:iCs/>
          <w:sz w:val="20"/>
          <w:szCs w:val="20"/>
        </w:rPr>
        <w:t>i, B.K. (2017). Sacred groves of Meghalaya: A review. International Journal of Scientific Research, 6(3), 346–349.</w:t>
      </w:r>
    </w:p>
    <w:p w14:paraId="419A3D97"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Khumbongmayum</w:t>
      </w:r>
      <w:proofErr w:type="spellEnd"/>
      <w:r>
        <w:rPr>
          <w:rFonts w:ascii="Arial" w:hAnsi="Arial" w:cs="Arial"/>
          <w:iCs/>
          <w:sz w:val="20"/>
          <w:szCs w:val="20"/>
        </w:rPr>
        <w:t xml:space="preserve">, A.D., Khan, M.L., &amp; Tripathi, R.S. (2004). Sacred groves of Manipur—ideal </w:t>
      </w:r>
      <w:proofErr w:type="spellStart"/>
      <w:r>
        <w:rPr>
          <w:rFonts w:ascii="Arial" w:hAnsi="Arial" w:cs="Arial"/>
          <w:iCs/>
          <w:sz w:val="20"/>
          <w:szCs w:val="20"/>
        </w:rPr>
        <w:t>centres</w:t>
      </w:r>
      <w:proofErr w:type="spellEnd"/>
      <w:r>
        <w:rPr>
          <w:rFonts w:ascii="Arial" w:hAnsi="Arial" w:cs="Arial"/>
          <w:iCs/>
          <w:sz w:val="20"/>
          <w:szCs w:val="20"/>
        </w:rPr>
        <w:t xml:space="preserve"> for biodiversity conservation. Current Scien</w:t>
      </w:r>
      <w:r>
        <w:rPr>
          <w:rFonts w:ascii="Arial" w:hAnsi="Arial" w:cs="Arial"/>
          <w:iCs/>
          <w:sz w:val="20"/>
          <w:szCs w:val="20"/>
        </w:rPr>
        <w:t>ce, 87(4), 430–433.</w:t>
      </w:r>
    </w:p>
    <w:p w14:paraId="5539B05B"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Khumbongmayum</w:t>
      </w:r>
      <w:proofErr w:type="spellEnd"/>
      <w:r>
        <w:rPr>
          <w:rFonts w:ascii="Arial" w:hAnsi="Arial" w:cs="Arial"/>
          <w:iCs/>
          <w:sz w:val="20"/>
          <w:szCs w:val="20"/>
        </w:rPr>
        <w:t>, A.D., Khan, M.L., &amp; Tripathi, R.S. (2005a). Sacred groves of Manipur, northeast India: Biodiversity value, status and strategies for their conservation. Biodiversity and Conservation, 14, 1541–1582. https://doi.org/10.100</w:t>
      </w:r>
      <w:r>
        <w:rPr>
          <w:rFonts w:ascii="Arial" w:hAnsi="Arial" w:cs="Arial"/>
          <w:iCs/>
          <w:sz w:val="20"/>
          <w:szCs w:val="20"/>
        </w:rPr>
        <w:t>7/s10531-004-0530-5</w:t>
      </w:r>
    </w:p>
    <w:p w14:paraId="212F7F7B"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Khumbongmayum</w:t>
      </w:r>
      <w:proofErr w:type="spellEnd"/>
      <w:r>
        <w:rPr>
          <w:rFonts w:ascii="Arial" w:hAnsi="Arial" w:cs="Arial"/>
          <w:iCs/>
          <w:sz w:val="20"/>
          <w:szCs w:val="20"/>
        </w:rPr>
        <w:t>, A.D., Khan, M.L., &amp; Tripathi, R.S. (2005b). Ethnomedicinal plants in the sacred groves of Manipur. Indian Journal of Traditional Knowledge, 4(1), 21–32.</w:t>
      </w:r>
    </w:p>
    <w:p w14:paraId="363A652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Kumar, B., &amp; Nair, P. (2004). The enigma of tropical </w:t>
      </w:r>
      <w:proofErr w:type="spellStart"/>
      <w:r>
        <w:rPr>
          <w:rFonts w:ascii="Arial" w:hAnsi="Arial" w:cs="Arial"/>
          <w:iCs/>
          <w:sz w:val="20"/>
          <w:szCs w:val="20"/>
        </w:rPr>
        <w:t>homegardens</w:t>
      </w:r>
      <w:proofErr w:type="spellEnd"/>
      <w:r>
        <w:rPr>
          <w:rFonts w:ascii="Arial" w:hAnsi="Arial" w:cs="Arial"/>
          <w:iCs/>
          <w:sz w:val="20"/>
          <w:szCs w:val="20"/>
        </w:rPr>
        <w:t>. Ag</w:t>
      </w:r>
      <w:r>
        <w:rPr>
          <w:rFonts w:ascii="Arial" w:hAnsi="Arial" w:cs="Arial"/>
          <w:iCs/>
          <w:sz w:val="20"/>
          <w:szCs w:val="20"/>
        </w:rPr>
        <w:t>roforestry Systems, 61, 135–152. https://doi.org/10.1023/B:AGFO.0000028995.13227.ca</w:t>
      </w:r>
    </w:p>
    <w:p w14:paraId="79477057"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Laloo</w:t>
      </w:r>
      <w:proofErr w:type="spellEnd"/>
      <w:r>
        <w:rPr>
          <w:rFonts w:ascii="Arial" w:hAnsi="Arial" w:cs="Arial"/>
          <w:iCs/>
          <w:sz w:val="20"/>
          <w:szCs w:val="20"/>
        </w:rPr>
        <w:t xml:space="preserve">, R.C., </w:t>
      </w:r>
      <w:proofErr w:type="spellStart"/>
      <w:r>
        <w:rPr>
          <w:rFonts w:ascii="Arial" w:hAnsi="Arial" w:cs="Arial"/>
          <w:iCs/>
          <w:sz w:val="20"/>
          <w:szCs w:val="20"/>
        </w:rPr>
        <w:t>Kharlukhi</w:t>
      </w:r>
      <w:proofErr w:type="spellEnd"/>
      <w:r>
        <w:rPr>
          <w:rFonts w:ascii="Arial" w:hAnsi="Arial" w:cs="Arial"/>
          <w:iCs/>
          <w:sz w:val="20"/>
          <w:szCs w:val="20"/>
        </w:rPr>
        <w:t>, L., Jeeva, S., &amp; Mishra, B.P. (2006). Status of medicinal plants in the disturbed and the undisturbed sacred forest of Meghalaya, Northeast India: P</w:t>
      </w:r>
      <w:r>
        <w:rPr>
          <w:rFonts w:ascii="Arial" w:hAnsi="Arial" w:cs="Arial"/>
          <w:iCs/>
          <w:sz w:val="20"/>
          <w:szCs w:val="20"/>
        </w:rPr>
        <w:t>opulation structure and regeneration efficacy of some important species. Current Science, 90(2), 225–231.</w:t>
      </w:r>
    </w:p>
    <w:p w14:paraId="44ADBE6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lastRenderedPageBreak/>
        <w:t>Lepcha, D.L., Shukla, G., Chakravarty, S., Vineeta, V., Sarkar, B.C., Manohar, K., Pala, N.A., Chettri, R., &amp; Tamang, M. (2019). Ethno-botanical plant</w:t>
      </w:r>
      <w:r>
        <w:rPr>
          <w:rFonts w:ascii="Arial" w:hAnsi="Arial" w:cs="Arial"/>
          <w:iCs/>
          <w:sz w:val="20"/>
          <w:szCs w:val="20"/>
        </w:rPr>
        <w:t xml:space="preserve"> diversity in home </w:t>
      </w:r>
      <w:proofErr w:type="gramStart"/>
      <w:r>
        <w:rPr>
          <w:rFonts w:ascii="Arial" w:hAnsi="Arial" w:cs="Arial"/>
          <w:iCs/>
          <w:sz w:val="20"/>
          <w:szCs w:val="20"/>
        </w:rPr>
        <w:t>gardens based</w:t>
      </w:r>
      <w:proofErr w:type="gramEnd"/>
      <w:r>
        <w:rPr>
          <w:rFonts w:ascii="Arial" w:hAnsi="Arial" w:cs="Arial"/>
          <w:iCs/>
          <w:sz w:val="20"/>
          <w:szCs w:val="20"/>
        </w:rPr>
        <w:t xml:space="preserve"> agroforestry system in </w:t>
      </w:r>
      <w:proofErr w:type="spellStart"/>
      <w:r>
        <w:rPr>
          <w:rFonts w:ascii="Arial" w:hAnsi="Arial" w:cs="Arial"/>
          <w:iCs/>
          <w:sz w:val="20"/>
          <w:szCs w:val="20"/>
        </w:rPr>
        <w:t>Kanchendzonga</w:t>
      </w:r>
      <w:proofErr w:type="spellEnd"/>
      <w:r>
        <w:rPr>
          <w:rFonts w:ascii="Arial" w:hAnsi="Arial" w:cs="Arial"/>
          <w:iCs/>
          <w:sz w:val="20"/>
          <w:szCs w:val="20"/>
        </w:rPr>
        <w:t xml:space="preserve"> Biosphere Reserve, Sikkim, India. Journal of Tree Sciences, 38(2), 59–69.</w:t>
      </w:r>
    </w:p>
    <w:p w14:paraId="586D63FB"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Maibam</w:t>
      </w:r>
      <w:proofErr w:type="spellEnd"/>
      <w:r>
        <w:rPr>
          <w:rFonts w:ascii="Arial" w:hAnsi="Arial" w:cs="Arial"/>
          <w:iCs/>
          <w:sz w:val="20"/>
          <w:szCs w:val="20"/>
        </w:rPr>
        <w:t xml:space="preserve">, R.S., &amp; Gupta, A. (2007). Home gardens of </w:t>
      </w:r>
      <w:proofErr w:type="spellStart"/>
      <w:r>
        <w:rPr>
          <w:rFonts w:ascii="Arial" w:hAnsi="Arial" w:cs="Arial"/>
          <w:iCs/>
          <w:sz w:val="20"/>
          <w:szCs w:val="20"/>
        </w:rPr>
        <w:t>Kakching</w:t>
      </w:r>
      <w:proofErr w:type="spellEnd"/>
      <w:r>
        <w:rPr>
          <w:rFonts w:ascii="Arial" w:hAnsi="Arial" w:cs="Arial"/>
          <w:iCs/>
          <w:sz w:val="20"/>
          <w:szCs w:val="20"/>
        </w:rPr>
        <w:t>, Manipur—A diverse and sustainable agroecosystem. Jou</w:t>
      </w:r>
      <w:r>
        <w:rPr>
          <w:rFonts w:ascii="Arial" w:hAnsi="Arial" w:cs="Arial"/>
          <w:iCs/>
          <w:sz w:val="20"/>
          <w:szCs w:val="20"/>
        </w:rPr>
        <w:t>rnal of Economic and Taxonomic Botany, 31(2), 402–410.</w:t>
      </w:r>
    </w:p>
    <w:p w14:paraId="77A17EB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Malhotra, K.C. (1990). Supply and safety forests in Mizoram. In Proceedings of the Vth International Conference on Ecological Sciences (p. 439). Yokohama.</w:t>
      </w:r>
    </w:p>
    <w:p w14:paraId="0987B104"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Malhotra, K.C., Gokhale, Y., Chatterjee, S., &amp;</w:t>
      </w:r>
      <w:r>
        <w:rPr>
          <w:rFonts w:ascii="Arial" w:hAnsi="Arial" w:cs="Arial"/>
          <w:iCs/>
          <w:sz w:val="20"/>
          <w:szCs w:val="20"/>
        </w:rPr>
        <w:t xml:space="preserve"> Srivastava, S. (2001). Cultural and ecological dimensions of sacred groves in India. Indian National Science Academy, New Delhi, and Indira Gandhi Rashtriya Manav Sangrahalaya, Bhopal, 30 pp.</w:t>
      </w:r>
    </w:p>
    <w:p w14:paraId="359E9B47"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Marbaniang</w:t>
      </w:r>
      <w:proofErr w:type="spellEnd"/>
      <w:r>
        <w:rPr>
          <w:rFonts w:ascii="Arial" w:hAnsi="Arial" w:cs="Arial"/>
          <w:iCs/>
          <w:sz w:val="20"/>
          <w:szCs w:val="20"/>
        </w:rPr>
        <w:t xml:space="preserve">, K.W., </w:t>
      </w:r>
      <w:proofErr w:type="spellStart"/>
      <w:r>
        <w:rPr>
          <w:rFonts w:ascii="Arial" w:hAnsi="Arial" w:cs="Arial"/>
          <w:iCs/>
          <w:sz w:val="20"/>
          <w:szCs w:val="20"/>
        </w:rPr>
        <w:t>Narzary</w:t>
      </w:r>
      <w:proofErr w:type="spellEnd"/>
      <w:r>
        <w:rPr>
          <w:rFonts w:ascii="Arial" w:hAnsi="Arial" w:cs="Arial"/>
          <w:iCs/>
          <w:sz w:val="20"/>
          <w:szCs w:val="20"/>
        </w:rPr>
        <w:t>, D., &amp; Kumar, H. (2024). Ecological a</w:t>
      </w:r>
      <w:r>
        <w:rPr>
          <w:rFonts w:ascii="Arial" w:hAnsi="Arial" w:cs="Arial"/>
          <w:iCs/>
          <w:sz w:val="20"/>
          <w:szCs w:val="20"/>
        </w:rPr>
        <w:t>ttributes of sacred groves in West Khasi Hills, Meghalaya, India. Current World Environment, 19(3), 1333–1344. https://dx.doi.org/10.12944/CWE.19.3.24</w:t>
      </w:r>
    </w:p>
    <w:p w14:paraId="20B7CECF"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Medhi, P., &amp; Borthakur, S.K. (2013). Sacred groves and sacred plants of the </w:t>
      </w:r>
      <w:proofErr w:type="spellStart"/>
      <w:r>
        <w:rPr>
          <w:rFonts w:ascii="Arial" w:hAnsi="Arial" w:cs="Arial"/>
          <w:iCs/>
          <w:sz w:val="20"/>
          <w:szCs w:val="20"/>
        </w:rPr>
        <w:t>Dimasas</w:t>
      </w:r>
      <w:proofErr w:type="spellEnd"/>
      <w:r>
        <w:rPr>
          <w:rFonts w:ascii="Arial" w:hAnsi="Arial" w:cs="Arial"/>
          <w:iCs/>
          <w:sz w:val="20"/>
          <w:szCs w:val="20"/>
        </w:rPr>
        <w:t xml:space="preserve"> of North </w:t>
      </w:r>
      <w:proofErr w:type="spellStart"/>
      <w:r>
        <w:rPr>
          <w:rFonts w:ascii="Arial" w:hAnsi="Arial" w:cs="Arial"/>
          <w:iCs/>
          <w:sz w:val="20"/>
          <w:szCs w:val="20"/>
        </w:rPr>
        <w:t>Cachar</w:t>
      </w:r>
      <w:proofErr w:type="spellEnd"/>
      <w:r>
        <w:rPr>
          <w:rFonts w:ascii="Arial" w:hAnsi="Arial" w:cs="Arial"/>
          <w:iCs/>
          <w:sz w:val="20"/>
          <w:szCs w:val="20"/>
        </w:rPr>
        <w:t xml:space="preserve"> Hills</w:t>
      </w:r>
      <w:r>
        <w:rPr>
          <w:rFonts w:ascii="Arial" w:hAnsi="Arial" w:cs="Arial"/>
          <w:iCs/>
          <w:sz w:val="20"/>
          <w:szCs w:val="20"/>
        </w:rPr>
        <w:t xml:space="preserve"> of Northeast India. African Journal of Plant Science, 7(2), 67–77. https://dx.doi.org/10.5897/AJPS12.038</w:t>
      </w:r>
    </w:p>
    <w:p w14:paraId="468590C6"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Mohan, S., Nair, P.K.R., &amp; Long, A.J. (2007). An assessment of ecological diversity in </w:t>
      </w:r>
      <w:proofErr w:type="spellStart"/>
      <w:r>
        <w:rPr>
          <w:rFonts w:ascii="Arial" w:hAnsi="Arial" w:cs="Arial"/>
          <w:iCs/>
          <w:sz w:val="20"/>
          <w:szCs w:val="20"/>
        </w:rPr>
        <w:t>homegardens</w:t>
      </w:r>
      <w:proofErr w:type="spellEnd"/>
      <w:r>
        <w:rPr>
          <w:rFonts w:ascii="Arial" w:hAnsi="Arial" w:cs="Arial"/>
          <w:iCs/>
          <w:sz w:val="20"/>
          <w:szCs w:val="20"/>
        </w:rPr>
        <w:t xml:space="preserve">: A case study from Kerala State, India. Journal of </w:t>
      </w:r>
      <w:r>
        <w:rPr>
          <w:rFonts w:ascii="Arial" w:hAnsi="Arial" w:cs="Arial"/>
          <w:iCs/>
          <w:sz w:val="20"/>
          <w:szCs w:val="20"/>
        </w:rPr>
        <w:t>Sustainable Agriculture, 29(4), 135–153. https://doi.org/10.1300/J064v29n04_10</w:t>
      </w:r>
    </w:p>
    <w:p w14:paraId="0D0FD0E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Mohanta, R.K., Bhardwaj, A.K., Adhikari, B.S., &amp; Mathur, P.K. (2009). Distribution and conservation status of sacred groves in Garo hills, Meghalaya. Indian Forester, 135(12), </w:t>
      </w:r>
      <w:r>
        <w:rPr>
          <w:rFonts w:ascii="Arial" w:hAnsi="Arial" w:cs="Arial"/>
          <w:iCs/>
          <w:sz w:val="20"/>
          <w:szCs w:val="20"/>
        </w:rPr>
        <w:t>1627–1649.</w:t>
      </w:r>
    </w:p>
    <w:p w14:paraId="32CDE0A5"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Murtem</w:t>
      </w:r>
      <w:proofErr w:type="spellEnd"/>
      <w:r>
        <w:rPr>
          <w:rFonts w:ascii="Arial" w:hAnsi="Arial" w:cs="Arial"/>
          <w:iCs/>
          <w:sz w:val="20"/>
          <w:szCs w:val="20"/>
        </w:rPr>
        <w:t>, G., &amp; Chaudhry, P. (2014). Sacred groves of Arunachal Pradesh: Traditional way of biodiversity conservation in Eastern Himalaya of India. Journal of Biodiversity Management and Forestry, 3(2), 1–14. https://doi.org 10.4172/2327-4417.1000</w:t>
      </w:r>
      <w:r>
        <w:rPr>
          <w:rFonts w:ascii="Arial" w:hAnsi="Arial" w:cs="Arial"/>
          <w:iCs/>
          <w:sz w:val="20"/>
          <w:szCs w:val="20"/>
        </w:rPr>
        <w:t>125</w:t>
      </w:r>
    </w:p>
    <w:p w14:paraId="1F2FF2A9"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Nath, A.J., &amp; Das, A.K. (2012). Carbon pool and sequestration potential of village bamboos in the agroforestry system of northeast India. Tropical Ecology, 53(3), 287–293.</w:t>
      </w:r>
    </w:p>
    <w:p w14:paraId="0D7CF34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Nath, A.J., Lal, R., &amp; Das, A.K. (2015). Ethnopedology and soil properties in ba</w:t>
      </w:r>
      <w:r>
        <w:rPr>
          <w:rFonts w:ascii="Arial" w:hAnsi="Arial" w:cs="Arial"/>
          <w:iCs/>
          <w:sz w:val="20"/>
          <w:szCs w:val="20"/>
        </w:rPr>
        <w:t>mboo (Bambusa sp.) based agroforestry system in North East India. Catena, 521–522, 372–379. https://doi.org/10.1016/j.catena.2015.07.001</w:t>
      </w:r>
    </w:p>
    <w:p w14:paraId="0D8D688C"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Nath, A.J., Sileshi, G.W., &amp; Das, A.K. (2018). Bamboo based family forests offer opportunities for biomass production a</w:t>
      </w:r>
      <w:r>
        <w:rPr>
          <w:rFonts w:ascii="Arial" w:hAnsi="Arial" w:cs="Arial"/>
          <w:iCs/>
          <w:sz w:val="20"/>
          <w:szCs w:val="20"/>
        </w:rPr>
        <w:t>nd carbon farming in North East India. Land Use Policy, 75(C), 191–200. https://doi.org/10.1016/j.landusepol.2018.03.041</w:t>
      </w:r>
    </w:p>
    <w:p w14:paraId="04F08B7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Nath, S., Nath, A.J., Sileshi, G.W., &amp; Das, A.K. (2017). Biomass stocks and carbon storage in </w:t>
      </w:r>
      <w:proofErr w:type="spellStart"/>
      <w:r>
        <w:rPr>
          <w:rFonts w:ascii="Arial" w:hAnsi="Arial" w:cs="Arial"/>
          <w:iCs/>
          <w:sz w:val="20"/>
          <w:szCs w:val="20"/>
        </w:rPr>
        <w:t>Barringtonia</w:t>
      </w:r>
      <w:proofErr w:type="spellEnd"/>
      <w:r>
        <w:rPr>
          <w:rFonts w:ascii="Arial" w:hAnsi="Arial" w:cs="Arial"/>
          <w:iCs/>
          <w:sz w:val="20"/>
          <w:szCs w:val="20"/>
        </w:rPr>
        <w:t xml:space="preserve"> </w:t>
      </w:r>
      <w:proofErr w:type="spellStart"/>
      <w:r>
        <w:rPr>
          <w:rFonts w:ascii="Arial" w:hAnsi="Arial" w:cs="Arial"/>
          <w:iCs/>
          <w:sz w:val="20"/>
          <w:szCs w:val="20"/>
        </w:rPr>
        <w:t>acutangula</w:t>
      </w:r>
      <w:proofErr w:type="spellEnd"/>
      <w:r>
        <w:rPr>
          <w:rFonts w:ascii="Arial" w:hAnsi="Arial" w:cs="Arial"/>
          <w:iCs/>
          <w:sz w:val="20"/>
          <w:szCs w:val="20"/>
        </w:rPr>
        <w:t xml:space="preserve"> floodplain forest</w:t>
      </w:r>
      <w:r>
        <w:rPr>
          <w:rFonts w:ascii="Arial" w:hAnsi="Arial" w:cs="Arial"/>
          <w:iCs/>
          <w:sz w:val="20"/>
          <w:szCs w:val="20"/>
        </w:rPr>
        <w:t>s in North East India. Biomass and Bioenergy, 98, 37–42. https://doi.org/10.1016/j.biombioe.2017.01.014</w:t>
      </w:r>
    </w:p>
    <w:p w14:paraId="1B232E72"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Pebam</w:t>
      </w:r>
      <w:proofErr w:type="spellEnd"/>
      <w:r>
        <w:rPr>
          <w:rFonts w:ascii="Arial" w:hAnsi="Arial" w:cs="Arial"/>
          <w:iCs/>
          <w:sz w:val="20"/>
          <w:szCs w:val="20"/>
        </w:rPr>
        <w:t xml:space="preserve">, R., &amp; Sahoo, U.K. (2018). Traditional </w:t>
      </w:r>
      <w:proofErr w:type="spellStart"/>
      <w:r>
        <w:rPr>
          <w:rFonts w:ascii="Arial" w:hAnsi="Arial" w:cs="Arial"/>
          <w:iCs/>
          <w:sz w:val="20"/>
          <w:szCs w:val="20"/>
        </w:rPr>
        <w:t>homegardens</w:t>
      </w:r>
      <w:proofErr w:type="spellEnd"/>
      <w:r>
        <w:rPr>
          <w:rFonts w:ascii="Arial" w:hAnsi="Arial" w:cs="Arial"/>
          <w:iCs/>
          <w:sz w:val="20"/>
          <w:szCs w:val="20"/>
        </w:rPr>
        <w:t xml:space="preserve"> of Mizoram and their socio-economic development. In K.K. Sood &amp; V. Mahajan (Eds.), Forests, cli</w:t>
      </w:r>
      <w:r>
        <w:rPr>
          <w:rFonts w:ascii="Arial" w:hAnsi="Arial" w:cs="Arial"/>
          <w:iCs/>
          <w:sz w:val="20"/>
          <w:szCs w:val="20"/>
        </w:rPr>
        <w:t>mate change and biodiversity (pp. 102–126). Kalyani Publishers, New Delhi.</w:t>
      </w:r>
    </w:p>
    <w:p w14:paraId="2FB9999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Rai, S.C. (2007). Traditional ecological knowledge and community-based natural resource management in northeast India. Journal of Mountain Science, 4, 248–258. https://doi.org/10.10</w:t>
      </w:r>
      <w:r>
        <w:rPr>
          <w:rFonts w:ascii="Arial" w:hAnsi="Arial" w:cs="Arial"/>
          <w:iCs/>
          <w:sz w:val="20"/>
          <w:szCs w:val="20"/>
        </w:rPr>
        <w:t>07/s11629-007-0248-4</w:t>
      </w:r>
    </w:p>
    <w:p w14:paraId="033CA74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lastRenderedPageBreak/>
        <w:t xml:space="preserve">Rai, P.K., &amp; </w:t>
      </w:r>
      <w:proofErr w:type="spellStart"/>
      <w:r>
        <w:rPr>
          <w:rFonts w:ascii="Arial" w:hAnsi="Arial" w:cs="Arial"/>
          <w:iCs/>
          <w:sz w:val="20"/>
          <w:szCs w:val="20"/>
        </w:rPr>
        <w:t>Lalramnghinglova</w:t>
      </w:r>
      <w:proofErr w:type="spellEnd"/>
      <w:r>
        <w:rPr>
          <w:rFonts w:ascii="Arial" w:hAnsi="Arial" w:cs="Arial"/>
          <w:iCs/>
          <w:sz w:val="20"/>
          <w:szCs w:val="20"/>
        </w:rPr>
        <w:t>, H. (2010). Ethnomedicinal plants from agroforestry systems and home gardens of Mizoram, North East India. School of Earth Sciences and Natural Resource Management, Mizoram University.</w:t>
      </w:r>
    </w:p>
    <w:p w14:paraId="3B2EC2F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Roy, P., &amp; Arunachal</w:t>
      </w:r>
      <w:r>
        <w:rPr>
          <w:rFonts w:ascii="Arial" w:hAnsi="Arial" w:cs="Arial"/>
          <w:iCs/>
          <w:sz w:val="20"/>
          <w:szCs w:val="20"/>
        </w:rPr>
        <w:t xml:space="preserve">am, A. (2014). Socioeconomic relevance of </w:t>
      </w:r>
      <w:proofErr w:type="spellStart"/>
      <w:r>
        <w:rPr>
          <w:rFonts w:ascii="Arial" w:hAnsi="Arial" w:cs="Arial"/>
          <w:iCs/>
          <w:sz w:val="20"/>
          <w:szCs w:val="20"/>
        </w:rPr>
        <w:t>homegardens</w:t>
      </w:r>
      <w:proofErr w:type="spellEnd"/>
      <w:r>
        <w:rPr>
          <w:rFonts w:ascii="Arial" w:hAnsi="Arial" w:cs="Arial"/>
          <w:iCs/>
          <w:sz w:val="20"/>
          <w:szCs w:val="20"/>
        </w:rPr>
        <w:t xml:space="preserve"> in the fringe villages of Clouded Leopard National Park. Journal of Environmental Biology-Sciences, 28(2), 311–314.</w:t>
      </w:r>
    </w:p>
    <w:p w14:paraId="0BFA5E5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Sahoo, U.K., &amp; </w:t>
      </w:r>
      <w:proofErr w:type="spellStart"/>
      <w:r>
        <w:rPr>
          <w:rFonts w:ascii="Arial" w:hAnsi="Arial" w:cs="Arial"/>
          <w:iCs/>
          <w:sz w:val="20"/>
          <w:szCs w:val="20"/>
        </w:rPr>
        <w:t>Pebam</w:t>
      </w:r>
      <w:proofErr w:type="spellEnd"/>
      <w:r>
        <w:rPr>
          <w:rFonts w:ascii="Arial" w:hAnsi="Arial" w:cs="Arial"/>
          <w:iCs/>
          <w:sz w:val="20"/>
          <w:szCs w:val="20"/>
        </w:rPr>
        <w:t>, R. (2015). Species composition and plant diversity as influenced</w:t>
      </w:r>
      <w:r>
        <w:rPr>
          <w:rFonts w:ascii="Arial" w:hAnsi="Arial" w:cs="Arial"/>
          <w:iCs/>
          <w:sz w:val="20"/>
          <w:szCs w:val="20"/>
        </w:rPr>
        <w:t xml:space="preserve"> by altitude and size of </w:t>
      </w:r>
      <w:proofErr w:type="spellStart"/>
      <w:r>
        <w:rPr>
          <w:rFonts w:ascii="Arial" w:hAnsi="Arial" w:cs="Arial"/>
          <w:iCs/>
          <w:sz w:val="20"/>
          <w:szCs w:val="20"/>
        </w:rPr>
        <w:t>homegardens</w:t>
      </w:r>
      <w:proofErr w:type="spellEnd"/>
      <w:r>
        <w:rPr>
          <w:rFonts w:ascii="Arial" w:hAnsi="Arial" w:cs="Arial"/>
          <w:iCs/>
          <w:sz w:val="20"/>
          <w:szCs w:val="20"/>
        </w:rPr>
        <w:t xml:space="preserve"> in Mizoram, North-East India. International Journal of Ecology and Environmental Sciences, 41(3–4), 195–215.</w:t>
      </w:r>
    </w:p>
    <w:p w14:paraId="1F01021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Sahoo, U.K. (2009). Traditional home gardens and livelihood security in North-East India. Journal of Food, Agr</w:t>
      </w:r>
      <w:r>
        <w:rPr>
          <w:rFonts w:ascii="Arial" w:hAnsi="Arial" w:cs="Arial"/>
          <w:iCs/>
          <w:sz w:val="20"/>
          <w:szCs w:val="20"/>
        </w:rPr>
        <w:t>iculture and Environment, 7(2), 665–670.</w:t>
      </w:r>
    </w:p>
    <w:p w14:paraId="04B952AC"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Sahoo, U.K., </w:t>
      </w:r>
      <w:proofErr w:type="spellStart"/>
      <w:r>
        <w:rPr>
          <w:rFonts w:ascii="Arial" w:hAnsi="Arial" w:cs="Arial"/>
          <w:iCs/>
          <w:sz w:val="20"/>
          <w:szCs w:val="20"/>
        </w:rPr>
        <w:t>Vanlalhluna</w:t>
      </w:r>
      <w:proofErr w:type="spellEnd"/>
      <w:r>
        <w:rPr>
          <w:rFonts w:ascii="Arial" w:hAnsi="Arial" w:cs="Arial"/>
          <w:iCs/>
          <w:sz w:val="20"/>
          <w:szCs w:val="20"/>
        </w:rPr>
        <w:t xml:space="preserve">, P.C., &amp; Singh, S. (2018). Indigenous technologies and local climate change adaptation practices around East </w:t>
      </w:r>
      <w:proofErr w:type="spellStart"/>
      <w:r>
        <w:rPr>
          <w:rFonts w:ascii="Arial" w:hAnsi="Arial" w:cs="Arial"/>
          <w:iCs/>
          <w:sz w:val="20"/>
          <w:szCs w:val="20"/>
        </w:rPr>
        <w:t>Kawlchaw</w:t>
      </w:r>
      <w:proofErr w:type="spellEnd"/>
      <w:r>
        <w:rPr>
          <w:rFonts w:ascii="Arial" w:hAnsi="Arial" w:cs="Arial"/>
          <w:iCs/>
          <w:sz w:val="20"/>
          <w:szCs w:val="20"/>
        </w:rPr>
        <w:t xml:space="preserve"> Watershed, </w:t>
      </w:r>
      <w:proofErr w:type="spellStart"/>
      <w:r>
        <w:rPr>
          <w:rFonts w:ascii="Arial" w:hAnsi="Arial" w:cs="Arial"/>
          <w:iCs/>
          <w:sz w:val="20"/>
          <w:szCs w:val="20"/>
        </w:rPr>
        <w:t>Saiha</w:t>
      </w:r>
      <w:proofErr w:type="spellEnd"/>
      <w:r>
        <w:rPr>
          <w:rFonts w:ascii="Arial" w:hAnsi="Arial" w:cs="Arial"/>
          <w:iCs/>
          <w:sz w:val="20"/>
          <w:szCs w:val="20"/>
        </w:rPr>
        <w:t xml:space="preserve">, Mizoram: A case study. In J. </w:t>
      </w:r>
      <w:proofErr w:type="spellStart"/>
      <w:r>
        <w:rPr>
          <w:rFonts w:ascii="Arial" w:hAnsi="Arial" w:cs="Arial"/>
          <w:iCs/>
          <w:sz w:val="20"/>
          <w:szCs w:val="20"/>
        </w:rPr>
        <w:t>Zothanzama</w:t>
      </w:r>
      <w:proofErr w:type="spellEnd"/>
      <w:r>
        <w:rPr>
          <w:rFonts w:ascii="Arial" w:hAnsi="Arial" w:cs="Arial"/>
          <w:iCs/>
          <w:sz w:val="20"/>
          <w:szCs w:val="20"/>
        </w:rPr>
        <w:t xml:space="preserve">, B.L. </w:t>
      </w:r>
      <w:proofErr w:type="spellStart"/>
      <w:r>
        <w:rPr>
          <w:rFonts w:ascii="Arial" w:hAnsi="Arial" w:cs="Arial"/>
          <w:iCs/>
          <w:sz w:val="20"/>
          <w:szCs w:val="20"/>
        </w:rPr>
        <w:t>Saitluan</w:t>
      </w:r>
      <w:r>
        <w:rPr>
          <w:rFonts w:ascii="Arial" w:hAnsi="Arial" w:cs="Arial"/>
          <w:iCs/>
          <w:sz w:val="20"/>
          <w:szCs w:val="20"/>
        </w:rPr>
        <w:t>ga</w:t>
      </w:r>
      <w:proofErr w:type="spellEnd"/>
      <w:r>
        <w:rPr>
          <w:rFonts w:ascii="Arial" w:hAnsi="Arial" w:cs="Arial"/>
          <w:iCs/>
          <w:sz w:val="20"/>
          <w:szCs w:val="20"/>
        </w:rPr>
        <w:t xml:space="preserve">, </w:t>
      </w:r>
      <w:proofErr w:type="spellStart"/>
      <w:r>
        <w:rPr>
          <w:rFonts w:ascii="Arial" w:hAnsi="Arial" w:cs="Arial"/>
          <w:iCs/>
          <w:sz w:val="20"/>
          <w:szCs w:val="20"/>
        </w:rPr>
        <w:t>Lalnuntluanga</w:t>
      </w:r>
      <w:proofErr w:type="spellEnd"/>
      <w:r>
        <w:rPr>
          <w:rFonts w:ascii="Arial" w:hAnsi="Arial" w:cs="Arial"/>
          <w:iCs/>
          <w:sz w:val="20"/>
          <w:szCs w:val="20"/>
        </w:rPr>
        <w:t xml:space="preserve">, S.T. Lalzarzovi, &amp; R. </w:t>
      </w:r>
      <w:proofErr w:type="spellStart"/>
      <w:r>
        <w:rPr>
          <w:rFonts w:ascii="Arial" w:hAnsi="Arial" w:cs="Arial"/>
          <w:iCs/>
          <w:sz w:val="20"/>
          <w:szCs w:val="20"/>
        </w:rPr>
        <w:t>Zonunsanga</w:t>
      </w:r>
      <w:proofErr w:type="spellEnd"/>
      <w:r>
        <w:rPr>
          <w:rFonts w:ascii="Arial" w:hAnsi="Arial" w:cs="Arial"/>
          <w:iCs/>
          <w:sz w:val="20"/>
          <w:szCs w:val="20"/>
        </w:rPr>
        <w:t xml:space="preserve"> (Eds.), Climate change: Impact, adaptation &amp; response in the Eastern Himalayas (pp. 28–39). Excel India Publishers, New Delhi.</w:t>
      </w:r>
    </w:p>
    <w:p w14:paraId="54A533B3"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Saikia, P., &amp; Khan, M.L. (2014). </w:t>
      </w:r>
      <w:proofErr w:type="spellStart"/>
      <w:r>
        <w:rPr>
          <w:rFonts w:ascii="Arial" w:hAnsi="Arial" w:cs="Arial"/>
          <w:iCs/>
          <w:sz w:val="20"/>
          <w:szCs w:val="20"/>
        </w:rPr>
        <w:t>Homegardens</w:t>
      </w:r>
      <w:proofErr w:type="spellEnd"/>
      <w:r>
        <w:rPr>
          <w:rFonts w:ascii="Arial" w:hAnsi="Arial" w:cs="Arial"/>
          <w:iCs/>
          <w:sz w:val="20"/>
          <w:szCs w:val="20"/>
        </w:rPr>
        <w:t xml:space="preserve"> of upper Assam, northeast India:</w:t>
      </w:r>
      <w:r>
        <w:rPr>
          <w:rFonts w:ascii="Arial" w:hAnsi="Arial" w:cs="Arial"/>
          <w:iCs/>
          <w:sz w:val="20"/>
          <w:szCs w:val="20"/>
        </w:rPr>
        <w:t xml:space="preserve"> A typical example of on-farm conservation of Agarwood (Aquilaria </w:t>
      </w:r>
      <w:proofErr w:type="spellStart"/>
      <w:r>
        <w:rPr>
          <w:rFonts w:ascii="Arial" w:hAnsi="Arial" w:cs="Arial"/>
          <w:iCs/>
          <w:sz w:val="20"/>
          <w:szCs w:val="20"/>
        </w:rPr>
        <w:t>malaccensis</w:t>
      </w:r>
      <w:proofErr w:type="spellEnd"/>
      <w:r>
        <w:rPr>
          <w:rFonts w:ascii="Arial" w:hAnsi="Arial" w:cs="Arial"/>
          <w:iCs/>
          <w:sz w:val="20"/>
          <w:szCs w:val="20"/>
        </w:rPr>
        <w:t xml:space="preserve"> Lam.). International Journal of Biodiversity Science, Ecosystem Services and Management, 10(4), 262–269. https://doi.org/10.1080/21513732.2014.973449</w:t>
      </w:r>
    </w:p>
    <w:p w14:paraId="60BD421A"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Salam, S., Singh, P.K., &amp; Ja</w:t>
      </w:r>
      <w:r>
        <w:rPr>
          <w:rFonts w:ascii="Arial" w:hAnsi="Arial" w:cs="Arial"/>
          <w:iCs/>
          <w:sz w:val="20"/>
          <w:szCs w:val="20"/>
        </w:rPr>
        <w:t xml:space="preserve">mir, N.S. (2011). Kitchen garden plants of </w:t>
      </w:r>
      <w:proofErr w:type="spellStart"/>
      <w:r>
        <w:rPr>
          <w:rFonts w:ascii="Arial" w:hAnsi="Arial" w:cs="Arial"/>
          <w:iCs/>
          <w:sz w:val="20"/>
          <w:szCs w:val="20"/>
        </w:rPr>
        <w:t>Tangkhul</w:t>
      </w:r>
      <w:proofErr w:type="spellEnd"/>
      <w:r>
        <w:rPr>
          <w:rFonts w:ascii="Arial" w:hAnsi="Arial" w:cs="Arial"/>
          <w:iCs/>
          <w:sz w:val="20"/>
          <w:szCs w:val="20"/>
        </w:rPr>
        <w:t xml:space="preserve"> tribe in </w:t>
      </w:r>
      <w:proofErr w:type="spellStart"/>
      <w:r>
        <w:rPr>
          <w:rFonts w:ascii="Arial" w:hAnsi="Arial" w:cs="Arial"/>
          <w:iCs/>
          <w:sz w:val="20"/>
          <w:szCs w:val="20"/>
        </w:rPr>
        <w:t>Ukhrul</w:t>
      </w:r>
      <w:proofErr w:type="spellEnd"/>
      <w:r>
        <w:rPr>
          <w:rFonts w:ascii="Arial" w:hAnsi="Arial" w:cs="Arial"/>
          <w:iCs/>
          <w:sz w:val="20"/>
          <w:szCs w:val="20"/>
        </w:rPr>
        <w:t xml:space="preserve"> District, Manipur, India. Pleione, 5(2), 280–285.</w:t>
      </w:r>
    </w:p>
    <w:p w14:paraId="579DC4BF"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Sarma, J.K. (2015). The benefits of a ‘</w:t>
      </w:r>
      <w:proofErr w:type="spellStart"/>
      <w:r>
        <w:rPr>
          <w:rFonts w:ascii="Arial" w:hAnsi="Arial" w:cs="Arial"/>
          <w:iCs/>
          <w:sz w:val="20"/>
          <w:szCs w:val="20"/>
        </w:rPr>
        <w:t>bari</w:t>
      </w:r>
      <w:proofErr w:type="spellEnd"/>
      <w:r>
        <w:rPr>
          <w:rFonts w:ascii="Arial" w:hAnsi="Arial" w:cs="Arial"/>
          <w:iCs/>
          <w:sz w:val="20"/>
          <w:szCs w:val="20"/>
        </w:rPr>
        <w:t xml:space="preserve">’. </w:t>
      </w:r>
      <w:proofErr w:type="spellStart"/>
      <w:r>
        <w:rPr>
          <w:rFonts w:ascii="Arial" w:hAnsi="Arial" w:cs="Arial"/>
          <w:iCs/>
          <w:sz w:val="20"/>
          <w:szCs w:val="20"/>
        </w:rPr>
        <w:t>Nezine</w:t>
      </w:r>
      <w:proofErr w:type="spellEnd"/>
      <w:r>
        <w:rPr>
          <w:rFonts w:ascii="Arial" w:hAnsi="Arial" w:cs="Arial"/>
          <w:iCs/>
          <w:sz w:val="20"/>
          <w:szCs w:val="20"/>
        </w:rPr>
        <w:t>, Issue 2, September.</w:t>
      </w:r>
    </w:p>
    <w:p w14:paraId="5A91C36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Sharma, G. (2012). Climate change and sustainability of traditio</w:t>
      </w:r>
      <w:r>
        <w:rPr>
          <w:rFonts w:ascii="Arial" w:hAnsi="Arial" w:cs="Arial"/>
          <w:iCs/>
          <w:sz w:val="20"/>
          <w:szCs w:val="20"/>
        </w:rPr>
        <w:t xml:space="preserve">nal farming systems in Sikkim Himalaya, India. In K.G. Saxena, L. </w:t>
      </w:r>
      <w:proofErr w:type="spellStart"/>
      <w:r>
        <w:rPr>
          <w:rFonts w:ascii="Arial" w:hAnsi="Arial" w:cs="Arial"/>
          <w:iCs/>
          <w:sz w:val="20"/>
          <w:szCs w:val="20"/>
        </w:rPr>
        <w:t>Luohui</w:t>
      </w:r>
      <w:proofErr w:type="spellEnd"/>
      <w:r>
        <w:rPr>
          <w:rFonts w:ascii="Arial" w:hAnsi="Arial" w:cs="Arial"/>
          <w:iCs/>
          <w:sz w:val="20"/>
          <w:szCs w:val="20"/>
        </w:rPr>
        <w:t>, K. Tanaka, &amp; S. Takahashi (Eds.), Land management in marginal mountain regions: Adaptation and vulnerability to global change (p. 349). United Nations University, Tokyo, Japan.</w:t>
      </w:r>
    </w:p>
    <w:p w14:paraId="2502357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Sharm</w:t>
      </w:r>
      <w:r>
        <w:rPr>
          <w:rFonts w:ascii="Arial" w:hAnsi="Arial" w:cs="Arial"/>
          <w:iCs/>
          <w:sz w:val="20"/>
          <w:szCs w:val="20"/>
        </w:rPr>
        <w:t>a, G., Hunsdorfer, B., &amp; Singh, K.K. (2016a). Comparative analysis on the socio-ecological and economic potentials of traditional agroforestry systems in the Sikkim Himalaya. Tropical Ecology, 57(4), 751–764.</w:t>
      </w:r>
    </w:p>
    <w:p w14:paraId="60C9D10C"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Sharma, G., Partap, U., Sharma, E., Rasul, G., &amp; </w:t>
      </w:r>
      <w:proofErr w:type="spellStart"/>
      <w:r>
        <w:rPr>
          <w:rFonts w:ascii="Arial" w:hAnsi="Arial" w:cs="Arial"/>
          <w:iCs/>
          <w:sz w:val="20"/>
          <w:szCs w:val="20"/>
        </w:rPr>
        <w:t>Awasthe</w:t>
      </w:r>
      <w:proofErr w:type="spellEnd"/>
      <w:r>
        <w:rPr>
          <w:rFonts w:ascii="Arial" w:hAnsi="Arial" w:cs="Arial"/>
          <w:iCs/>
          <w:sz w:val="20"/>
          <w:szCs w:val="20"/>
        </w:rPr>
        <w:t>, R.K. (2016b). Agrobiodiversity in the Sikkim Himalaya: Sociocultural significance, status, practices, and challenges. ICIMOD Working Paper 2016/5. ICMOD, Kathmandu, Nepal, and The Mountain Institute</w:t>
      </w:r>
      <w:r>
        <w:rPr>
          <w:rFonts w:ascii="Arial" w:hAnsi="Arial" w:cs="Arial"/>
          <w:iCs/>
          <w:sz w:val="20"/>
          <w:szCs w:val="20"/>
        </w:rPr>
        <w:t>, Gangtok, India, 55 pp.</w:t>
      </w:r>
    </w:p>
    <w:p w14:paraId="3965A9C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Shrivastava, R.J., &amp; Heinen, J.T. (2005). Migration and home gardens in the Brahmaputra Valley, Assam, India. Journal of Ecological Anthropology, 9(1), 20–34.</w:t>
      </w:r>
    </w:p>
    <w:p w14:paraId="0C2E1647"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Singh, A.B., &amp; Teron, R. (2015). Diversity of wild edible plants used by</w:t>
      </w:r>
      <w:r>
        <w:rPr>
          <w:rFonts w:ascii="Arial" w:hAnsi="Arial" w:cs="Arial"/>
          <w:iCs/>
          <w:sz w:val="20"/>
          <w:szCs w:val="20"/>
        </w:rPr>
        <w:t xml:space="preserve"> the Angami-Nagas in Kohima District of Nagaland, India. Pleione, 9(2), 311–324.</w:t>
      </w:r>
    </w:p>
    <w:p w14:paraId="5F19480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Singh, A.K., Arunachalam, A., </w:t>
      </w:r>
      <w:proofErr w:type="spellStart"/>
      <w:r>
        <w:rPr>
          <w:rFonts w:ascii="Arial" w:hAnsi="Arial" w:cs="Arial"/>
          <w:iCs/>
          <w:sz w:val="20"/>
          <w:szCs w:val="20"/>
        </w:rPr>
        <w:t>Ngachan</w:t>
      </w:r>
      <w:proofErr w:type="spellEnd"/>
      <w:r>
        <w:rPr>
          <w:rFonts w:ascii="Arial" w:hAnsi="Arial" w:cs="Arial"/>
          <w:iCs/>
          <w:sz w:val="20"/>
          <w:szCs w:val="20"/>
        </w:rPr>
        <w:t xml:space="preserve">, S.V., Mohapatra, K.P., &amp; Dagar, J.C. (2014). From shifting cultivation to integrated farming: Experience of agroforestry development in </w:t>
      </w:r>
      <w:r>
        <w:rPr>
          <w:rFonts w:ascii="Arial" w:hAnsi="Arial" w:cs="Arial"/>
          <w:iCs/>
          <w:sz w:val="20"/>
          <w:szCs w:val="20"/>
        </w:rPr>
        <w:t>the Northeastern Himalayan Region. In J.C. Dagar, A.K. Singh, &amp; A. Arunachalam (Eds.), Agroforestry systems in India: Livelihood security and ecosystem services (pp. 70–78). Springer India. https://doi.org/10.1007/978-81-322-1662-9_3</w:t>
      </w:r>
    </w:p>
    <w:p w14:paraId="67EC40A0"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Singh, L.S., &amp; Sahoo, </w:t>
      </w:r>
      <w:r>
        <w:rPr>
          <w:rFonts w:ascii="Arial" w:hAnsi="Arial" w:cs="Arial"/>
          <w:iCs/>
          <w:sz w:val="20"/>
          <w:szCs w:val="20"/>
        </w:rPr>
        <w:t xml:space="preserve">U.K. (2021). Tree species composition, diversity and soil organic carbon stock in </w:t>
      </w:r>
      <w:proofErr w:type="spellStart"/>
      <w:r>
        <w:rPr>
          <w:rFonts w:ascii="Arial" w:hAnsi="Arial" w:cs="Arial"/>
          <w:iCs/>
          <w:sz w:val="20"/>
          <w:szCs w:val="20"/>
        </w:rPr>
        <w:t>homegardens</w:t>
      </w:r>
      <w:proofErr w:type="spellEnd"/>
      <w:r>
        <w:rPr>
          <w:rFonts w:ascii="Arial" w:hAnsi="Arial" w:cs="Arial"/>
          <w:iCs/>
          <w:sz w:val="20"/>
          <w:szCs w:val="20"/>
        </w:rPr>
        <w:t xml:space="preserve"> and shifting cultivation fallows of Mizoram, Northeast India. International Journal of Plant Research, 34, 220–228. https://doi.org/10.1007/s42535-021-00194-1</w:t>
      </w:r>
    </w:p>
    <w:p w14:paraId="6D783A66"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lastRenderedPageBreak/>
        <w:t>Sin</w:t>
      </w:r>
      <w:r>
        <w:rPr>
          <w:rFonts w:ascii="Arial" w:hAnsi="Arial" w:cs="Arial"/>
          <w:iCs/>
          <w:sz w:val="20"/>
          <w:szCs w:val="20"/>
        </w:rPr>
        <w:t xml:space="preserve">gh, S., &amp; Sahoo, U.K. (2019). Socio-economic and demographic factors influencing farmers’ decision on </w:t>
      </w:r>
      <w:proofErr w:type="spellStart"/>
      <w:r>
        <w:rPr>
          <w:rFonts w:ascii="Arial" w:hAnsi="Arial" w:cs="Arial"/>
          <w:iCs/>
          <w:sz w:val="20"/>
          <w:szCs w:val="20"/>
        </w:rPr>
        <w:t>homegarden</w:t>
      </w:r>
      <w:proofErr w:type="spellEnd"/>
      <w:r>
        <w:rPr>
          <w:rFonts w:ascii="Arial" w:hAnsi="Arial" w:cs="Arial"/>
          <w:iCs/>
          <w:sz w:val="20"/>
          <w:szCs w:val="20"/>
        </w:rPr>
        <w:t xml:space="preserve"> management practices and carbon storage in Mizoram, Northeast India. International Journal of Ecology and Environmental Sciences, 45(1), 59–69.</w:t>
      </w:r>
    </w:p>
    <w:p w14:paraId="38655A0F"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Singnar</w:t>
      </w:r>
      <w:proofErr w:type="spellEnd"/>
      <w:r>
        <w:rPr>
          <w:rFonts w:ascii="Arial" w:hAnsi="Arial" w:cs="Arial"/>
          <w:iCs/>
          <w:sz w:val="20"/>
          <w:szCs w:val="20"/>
        </w:rPr>
        <w:t xml:space="preserve">, P., Das, M.C., Sileshi, G.W., Brahma, B., Nath, A.J., &amp; Das, A.J. (2017). Allometric scaling, biomass accumulation and carbon stocks in different aged stands of thin-walled bamboos </w:t>
      </w:r>
      <w:proofErr w:type="spellStart"/>
      <w:r>
        <w:rPr>
          <w:rFonts w:ascii="Arial" w:hAnsi="Arial" w:cs="Arial"/>
          <w:iCs/>
          <w:sz w:val="20"/>
          <w:szCs w:val="20"/>
        </w:rPr>
        <w:t>Schizostachyum</w:t>
      </w:r>
      <w:proofErr w:type="spellEnd"/>
      <w:r>
        <w:rPr>
          <w:rFonts w:ascii="Arial" w:hAnsi="Arial" w:cs="Arial"/>
          <w:iCs/>
          <w:sz w:val="20"/>
          <w:szCs w:val="20"/>
        </w:rPr>
        <w:t xml:space="preserve"> </w:t>
      </w:r>
      <w:proofErr w:type="spellStart"/>
      <w:r>
        <w:rPr>
          <w:rFonts w:ascii="Arial" w:hAnsi="Arial" w:cs="Arial"/>
          <w:iCs/>
          <w:sz w:val="20"/>
          <w:szCs w:val="20"/>
        </w:rPr>
        <w:t>dullooa</w:t>
      </w:r>
      <w:proofErr w:type="spellEnd"/>
      <w:r>
        <w:rPr>
          <w:rFonts w:ascii="Arial" w:hAnsi="Arial" w:cs="Arial"/>
          <w:iCs/>
          <w:sz w:val="20"/>
          <w:szCs w:val="20"/>
        </w:rPr>
        <w:t xml:space="preserve">, </w:t>
      </w:r>
      <w:proofErr w:type="spellStart"/>
      <w:r>
        <w:rPr>
          <w:rFonts w:ascii="Arial" w:hAnsi="Arial" w:cs="Arial"/>
          <w:iCs/>
          <w:sz w:val="20"/>
          <w:szCs w:val="20"/>
        </w:rPr>
        <w:t>Pseudostachyum</w:t>
      </w:r>
      <w:proofErr w:type="spellEnd"/>
      <w:r>
        <w:rPr>
          <w:rFonts w:ascii="Arial" w:hAnsi="Arial" w:cs="Arial"/>
          <w:iCs/>
          <w:sz w:val="20"/>
          <w:szCs w:val="20"/>
        </w:rPr>
        <w:t xml:space="preserve"> </w:t>
      </w:r>
      <w:proofErr w:type="spellStart"/>
      <w:r>
        <w:rPr>
          <w:rFonts w:ascii="Arial" w:hAnsi="Arial" w:cs="Arial"/>
          <w:iCs/>
          <w:sz w:val="20"/>
          <w:szCs w:val="20"/>
        </w:rPr>
        <w:t>polymorphum</w:t>
      </w:r>
      <w:proofErr w:type="spellEnd"/>
      <w:r>
        <w:rPr>
          <w:rFonts w:ascii="Arial" w:hAnsi="Arial" w:cs="Arial"/>
          <w:iCs/>
          <w:sz w:val="20"/>
          <w:szCs w:val="20"/>
        </w:rPr>
        <w:t xml:space="preserve"> and </w:t>
      </w:r>
      <w:proofErr w:type="spellStart"/>
      <w:r>
        <w:rPr>
          <w:rFonts w:ascii="Arial" w:hAnsi="Arial" w:cs="Arial"/>
          <w:iCs/>
          <w:sz w:val="20"/>
          <w:szCs w:val="20"/>
        </w:rPr>
        <w:t>Melocanna</w:t>
      </w:r>
      <w:proofErr w:type="spellEnd"/>
      <w:r>
        <w:rPr>
          <w:rFonts w:ascii="Arial" w:hAnsi="Arial" w:cs="Arial"/>
          <w:iCs/>
          <w:sz w:val="20"/>
          <w:szCs w:val="20"/>
        </w:rPr>
        <w:t xml:space="preserve"> </w:t>
      </w:r>
      <w:proofErr w:type="spellStart"/>
      <w:r>
        <w:rPr>
          <w:rFonts w:ascii="Arial" w:hAnsi="Arial" w:cs="Arial"/>
          <w:iCs/>
          <w:sz w:val="20"/>
          <w:szCs w:val="20"/>
        </w:rPr>
        <w:t>baccifera</w:t>
      </w:r>
      <w:proofErr w:type="spellEnd"/>
      <w:r>
        <w:rPr>
          <w:rFonts w:ascii="Arial" w:hAnsi="Arial" w:cs="Arial"/>
          <w:iCs/>
          <w:sz w:val="20"/>
          <w:szCs w:val="20"/>
        </w:rPr>
        <w:t>. Forest Ecology and Management, 395, 81–91. https://doi.org/10.1016/j.foreco.2017.04.001</w:t>
      </w:r>
    </w:p>
    <w:p w14:paraId="233CC6CB"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Swain, S., Chakrabarty, S., </w:t>
      </w:r>
      <w:proofErr w:type="spellStart"/>
      <w:r>
        <w:rPr>
          <w:rFonts w:ascii="Arial" w:hAnsi="Arial" w:cs="Arial"/>
          <w:iCs/>
          <w:sz w:val="20"/>
          <w:szCs w:val="20"/>
        </w:rPr>
        <w:t>Zomuankima</w:t>
      </w:r>
      <w:proofErr w:type="spellEnd"/>
      <w:r>
        <w:rPr>
          <w:rFonts w:ascii="Arial" w:hAnsi="Arial" w:cs="Arial"/>
          <w:iCs/>
          <w:sz w:val="20"/>
          <w:szCs w:val="20"/>
        </w:rPr>
        <w:t xml:space="preserve">, &amp; </w:t>
      </w:r>
      <w:proofErr w:type="spellStart"/>
      <w:r>
        <w:rPr>
          <w:rFonts w:ascii="Arial" w:hAnsi="Arial" w:cs="Arial"/>
          <w:iCs/>
          <w:sz w:val="20"/>
          <w:szCs w:val="20"/>
        </w:rPr>
        <w:t>Vanlalhmangaia</w:t>
      </w:r>
      <w:proofErr w:type="spellEnd"/>
      <w:r>
        <w:rPr>
          <w:rFonts w:ascii="Arial" w:hAnsi="Arial" w:cs="Arial"/>
          <w:iCs/>
          <w:sz w:val="20"/>
          <w:szCs w:val="20"/>
        </w:rPr>
        <w:t xml:space="preserve">. (2020). Domestication of wild plant diversity in home gardens for culinary and curative use by the </w:t>
      </w:r>
      <w:r>
        <w:rPr>
          <w:rFonts w:ascii="Arial" w:hAnsi="Arial" w:cs="Arial"/>
          <w:iCs/>
          <w:sz w:val="20"/>
          <w:szCs w:val="20"/>
        </w:rPr>
        <w:t>tribal women farmers in Mizoram, India. Biodiversity International Journal, 4(4), 155–159.</w:t>
      </w:r>
    </w:p>
    <w:p w14:paraId="6DA32F50"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Swamy, P.S., </w:t>
      </w:r>
      <w:proofErr w:type="spellStart"/>
      <w:r>
        <w:rPr>
          <w:rFonts w:ascii="Arial" w:hAnsi="Arial" w:cs="Arial"/>
          <w:iCs/>
          <w:sz w:val="20"/>
          <w:szCs w:val="20"/>
        </w:rPr>
        <w:t>Sundarpandian</w:t>
      </w:r>
      <w:proofErr w:type="spellEnd"/>
      <w:r>
        <w:rPr>
          <w:rFonts w:ascii="Arial" w:hAnsi="Arial" w:cs="Arial"/>
          <w:iCs/>
          <w:sz w:val="20"/>
          <w:szCs w:val="20"/>
        </w:rPr>
        <w:t xml:space="preserve">, S.M., &amp; </w:t>
      </w:r>
      <w:proofErr w:type="spellStart"/>
      <w:r>
        <w:rPr>
          <w:rFonts w:ascii="Arial" w:hAnsi="Arial" w:cs="Arial"/>
          <w:iCs/>
          <w:sz w:val="20"/>
          <w:szCs w:val="20"/>
        </w:rPr>
        <w:t>Chandrasekaharan</w:t>
      </w:r>
      <w:proofErr w:type="spellEnd"/>
      <w:r>
        <w:rPr>
          <w:rFonts w:ascii="Arial" w:hAnsi="Arial" w:cs="Arial"/>
          <w:iCs/>
          <w:sz w:val="20"/>
          <w:szCs w:val="20"/>
        </w:rPr>
        <w:t>, S. (1998). Sacred groves of Tamil Nadu. In P.S. Ramakrishnan, K.G. Saxena, &amp; U.M. Chandrasekhar (Eds.), Conserv</w:t>
      </w:r>
      <w:r>
        <w:rPr>
          <w:rFonts w:ascii="Arial" w:hAnsi="Arial" w:cs="Arial"/>
          <w:iCs/>
          <w:sz w:val="20"/>
          <w:szCs w:val="20"/>
        </w:rPr>
        <w:t>ing the sacred for biodiversity management (pp. 357–361). UNESCO and Oxford-IBH Publishing, New Delhi.</w:t>
      </w:r>
    </w:p>
    <w:p w14:paraId="285AFA8A"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Syngai</w:t>
      </w:r>
      <w:proofErr w:type="spellEnd"/>
      <w:r>
        <w:rPr>
          <w:rFonts w:ascii="Arial" w:hAnsi="Arial" w:cs="Arial"/>
          <w:iCs/>
          <w:sz w:val="20"/>
          <w:szCs w:val="20"/>
        </w:rPr>
        <w:t xml:space="preserve">, D. (1999). Sacred groves of Meghalaya. In B. </w:t>
      </w:r>
      <w:proofErr w:type="spellStart"/>
      <w:r>
        <w:rPr>
          <w:rFonts w:ascii="Arial" w:hAnsi="Arial" w:cs="Arial"/>
          <w:iCs/>
          <w:sz w:val="20"/>
          <w:szCs w:val="20"/>
        </w:rPr>
        <w:t>Kharbuli</w:t>
      </w:r>
      <w:proofErr w:type="spellEnd"/>
      <w:r>
        <w:rPr>
          <w:rFonts w:ascii="Arial" w:hAnsi="Arial" w:cs="Arial"/>
          <w:iCs/>
          <w:sz w:val="20"/>
          <w:szCs w:val="20"/>
        </w:rPr>
        <w:t xml:space="preserve">, D. </w:t>
      </w:r>
      <w:proofErr w:type="spellStart"/>
      <w:r>
        <w:rPr>
          <w:rFonts w:ascii="Arial" w:hAnsi="Arial" w:cs="Arial"/>
          <w:iCs/>
          <w:sz w:val="20"/>
          <w:szCs w:val="20"/>
        </w:rPr>
        <w:t>Syiem</w:t>
      </w:r>
      <w:proofErr w:type="spellEnd"/>
      <w:r>
        <w:rPr>
          <w:rFonts w:ascii="Arial" w:hAnsi="Arial" w:cs="Arial"/>
          <w:iCs/>
          <w:sz w:val="20"/>
          <w:szCs w:val="20"/>
        </w:rPr>
        <w:t xml:space="preserve">, &amp; H. </w:t>
      </w:r>
      <w:proofErr w:type="spellStart"/>
      <w:r>
        <w:rPr>
          <w:rFonts w:ascii="Arial" w:hAnsi="Arial" w:cs="Arial"/>
          <w:iCs/>
          <w:sz w:val="20"/>
          <w:szCs w:val="20"/>
        </w:rPr>
        <w:t>Kayang</w:t>
      </w:r>
      <w:proofErr w:type="spellEnd"/>
      <w:r>
        <w:rPr>
          <w:rFonts w:ascii="Arial" w:hAnsi="Arial" w:cs="Arial"/>
          <w:iCs/>
          <w:sz w:val="20"/>
          <w:szCs w:val="20"/>
        </w:rPr>
        <w:t xml:space="preserve"> (Eds.), Biodiversity: Northeast India perspectives (pp. 70–76). North Eastern Biodiversity Research Cell, North–Eastern Hill University, Shillong.</w:t>
      </w:r>
    </w:p>
    <w:p w14:paraId="454A37F4"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Talukdar, S., &amp; Gupta, A. (2018). Ethnomedicinal knowledge of the Garo community of two villages in western </w:t>
      </w:r>
      <w:r>
        <w:rPr>
          <w:rFonts w:ascii="Arial" w:hAnsi="Arial" w:cs="Arial"/>
          <w:iCs/>
          <w:sz w:val="20"/>
          <w:szCs w:val="20"/>
        </w:rPr>
        <w:t>Assam, India. Journal of Herbal Medicine, 20, 100–229. https://doi.org/10.1016/j.hermed.2018.08.004</w:t>
      </w:r>
    </w:p>
    <w:p w14:paraId="4B5171D8"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Tangjang</w:t>
      </w:r>
      <w:proofErr w:type="spellEnd"/>
      <w:r>
        <w:rPr>
          <w:rFonts w:ascii="Arial" w:hAnsi="Arial" w:cs="Arial"/>
          <w:iCs/>
          <w:sz w:val="20"/>
          <w:szCs w:val="20"/>
        </w:rPr>
        <w:t xml:space="preserve">, S., &amp; Arunachalam, A. (2017). Traditional </w:t>
      </w:r>
      <w:proofErr w:type="spellStart"/>
      <w:r>
        <w:rPr>
          <w:rFonts w:ascii="Arial" w:hAnsi="Arial" w:cs="Arial"/>
          <w:iCs/>
          <w:sz w:val="20"/>
          <w:szCs w:val="20"/>
        </w:rPr>
        <w:t>homegardens</w:t>
      </w:r>
      <w:proofErr w:type="spellEnd"/>
      <w:r>
        <w:rPr>
          <w:rFonts w:ascii="Arial" w:hAnsi="Arial" w:cs="Arial"/>
          <w:iCs/>
          <w:sz w:val="20"/>
          <w:szCs w:val="20"/>
        </w:rPr>
        <w:t xml:space="preserve"> in rural landscapes of Northeast India – A model for conserving plant species for sustainabi</w:t>
      </w:r>
      <w:r>
        <w:rPr>
          <w:rFonts w:ascii="Arial" w:hAnsi="Arial" w:cs="Arial"/>
          <w:iCs/>
          <w:sz w:val="20"/>
          <w:szCs w:val="20"/>
        </w:rPr>
        <w:t>lity. Indian Journal of Hill Farming, 30(2), 313–325.</w:t>
      </w:r>
    </w:p>
    <w:p w14:paraId="0E893C0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The Northeast Today. (n.d.). Northeast Today. Retrieved September 18, 2025, from https://www.thenortheasttoday.com</w:t>
      </w:r>
    </w:p>
    <w:p w14:paraId="41D04968"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Thokchom, A., &amp; Yadava, P.S. (2013). Biomass and carbon stock assessment in the sub-tro</w:t>
      </w:r>
      <w:r>
        <w:rPr>
          <w:rFonts w:ascii="Arial" w:hAnsi="Arial" w:cs="Arial"/>
          <w:iCs/>
          <w:sz w:val="20"/>
          <w:szCs w:val="20"/>
        </w:rPr>
        <w:t>pical forests of Manipur, North East India. International Journal of Ecology and Environmental Sciences, 39(2), 107–113.</w:t>
      </w:r>
    </w:p>
    <w:p w14:paraId="6E9D0075"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Tiwari, B.K., Barik, S.K., &amp; Tripathi, R.S. (2008). Biodiversity value, status, and strategies for conservation of sacred groves of Meg</w:t>
      </w:r>
      <w:r>
        <w:rPr>
          <w:rFonts w:ascii="Arial" w:hAnsi="Arial" w:cs="Arial"/>
          <w:iCs/>
          <w:sz w:val="20"/>
          <w:szCs w:val="20"/>
        </w:rPr>
        <w:t>halaya, India. Ecosystem Health, 4(1), 20–32. https://doi.org/10.1046/j.1526-0992.1998.00068.x</w:t>
      </w:r>
    </w:p>
    <w:p w14:paraId="18277501"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Tiwari, B.K., </w:t>
      </w:r>
      <w:proofErr w:type="spellStart"/>
      <w:r>
        <w:rPr>
          <w:rFonts w:ascii="Arial" w:hAnsi="Arial" w:cs="Arial"/>
          <w:iCs/>
          <w:sz w:val="20"/>
          <w:szCs w:val="20"/>
        </w:rPr>
        <w:t>Tynsong</w:t>
      </w:r>
      <w:proofErr w:type="spellEnd"/>
      <w:r>
        <w:rPr>
          <w:rFonts w:ascii="Arial" w:hAnsi="Arial" w:cs="Arial"/>
          <w:iCs/>
          <w:sz w:val="20"/>
          <w:szCs w:val="20"/>
        </w:rPr>
        <w:t xml:space="preserve">, H., </w:t>
      </w:r>
      <w:proofErr w:type="spellStart"/>
      <w:r>
        <w:rPr>
          <w:rFonts w:ascii="Arial" w:hAnsi="Arial" w:cs="Arial"/>
          <w:iCs/>
          <w:sz w:val="20"/>
          <w:szCs w:val="20"/>
        </w:rPr>
        <w:t>Lynrah</w:t>
      </w:r>
      <w:proofErr w:type="spellEnd"/>
      <w:r>
        <w:rPr>
          <w:rFonts w:ascii="Arial" w:hAnsi="Arial" w:cs="Arial"/>
          <w:iCs/>
          <w:sz w:val="20"/>
          <w:szCs w:val="20"/>
        </w:rPr>
        <w:t xml:space="preserve">, M.M., </w:t>
      </w:r>
      <w:proofErr w:type="spellStart"/>
      <w:r>
        <w:rPr>
          <w:rFonts w:ascii="Arial" w:hAnsi="Arial" w:cs="Arial"/>
          <w:iCs/>
          <w:sz w:val="20"/>
          <w:szCs w:val="20"/>
        </w:rPr>
        <w:t>Lapasam</w:t>
      </w:r>
      <w:proofErr w:type="spellEnd"/>
      <w:r>
        <w:rPr>
          <w:rFonts w:ascii="Arial" w:hAnsi="Arial" w:cs="Arial"/>
          <w:iCs/>
          <w:sz w:val="20"/>
          <w:szCs w:val="20"/>
        </w:rPr>
        <w:t>, E., Deb, S., &amp; Sharma, D. (2013). Institutional arrangement and typology of community forests of Meghalaya, Miz</w:t>
      </w:r>
      <w:r>
        <w:rPr>
          <w:rFonts w:ascii="Arial" w:hAnsi="Arial" w:cs="Arial"/>
          <w:iCs/>
          <w:sz w:val="20"/>
          <w:szCs w:val="20"/>
        </w:rPr>
        <w:t>oram and Nagaland of North-East India. Journal of Forest Research, 24, 179–186. https://doi.org/10.1007/s11676-013-0337-x</w:t>
      </w:r>
    </w:p>
    <w:p w14:paraId="3CC05B70"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Tynsong</w:t>
      </w:r>
      <w:proofErr w:type="spellEnd"/>
      <w:r>
        <w:rPr>
          <w:rFonts w:ascii="Arial" w:hAnsi="Arial" w:cs="Arial"/>
          <w:iCs/>
          <w:sz w:val="20"/>
          <w:szCs w:val="20"/>
        </w:rPr>
        <w:t xml:space="preserve">, H., &amp; Tiwari, B.K. (2011). Diversity and population characteristics of woody species in natural forests and </w:t>
      </w:r>
      <w:proofErr w:type="spellStart"/>
      <w:r>
        <w:rPr>
          <w:rFonts w:ascii="Arial" w:hAnsi="Arial" w:cs="Arial"/>
          <w:iCs/>
          <w:sz w:val="20"/>
          <w:szCs w:val="20"/>
        </w:rPr>
        <w:t>arecanut</w:t>
      </w:r>
      <w:proofErr w:type="spellEnd"/>
      <w:r>
        <w:rPr>
          <w:rFonts w:ascii="Arial" w:hAnsi="Arial" w:cs="Arial"/>
          <w:iCs/>
          <w:sz w:val="20"/>
          <w:szCs w:val="20"/>
        </w:rPr>
        <w:t xml:space="preserve"> agrofore</w:t>
      </w:r>
      <w:r>
        <w:rPr>
          <w:rFonts w:ascii="Arial" w:hAnsi="Arial" w:cs="Arial"/>
          <w:iCs/>
          <w:sz w:val="20"/>
          <w:szCs w:val="20"/>
        </w:rPr>
        <w:t>sts of south Meghalaya, Northeast India. Tropical Ecology, 52(3), 243–252.</w:t>
      </w:r>
    </w:p>
    <w:p w14:paraId="3A80BABE"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Tynsong</w:t>
      </w:r>
      <w:proofErr w:type="spellEnd"/>
      <w:r>
        <w:rPr>
          <w:rFonts w:ascii="Arial" w:hAnsi="Arial" w:cs="Arial"/>
          <w:iCs/>
          <w:sz w:val="20"/>
          <w:szCs w:val="20"/>
        </w:rPr>
        <w:t xml:space="preserve">, H., &amp; Tiwari, B.K. (2010a). Diversity of plant species in </w:t>
      </w:r>
      <w:proofErr w:type="spellStart"/>
      <w:r>
        <w:rPr>
          <w:rFonts w:ascii="Arial" w:hAnsi="Arial" w:cs="Arial"/>
          <w:iCs/>
          <w:sz w:val="20"/>
          <w:szCs w:val="20"/>
        </w:rPr>
        <w:t>arecanut</w:t>
      </w:r>
      <w:proofErr w:type="spellEnd"/>
      <w:r>
        <w:rPr>
          <w:rFonts w:ascii="Arial" w:hAnsi="Arial" w:cs="Arial"/>
          <w:iCs/>
          <w:sz w:val="20"/>
          <w:szCs w:val="20"/>
        </w:rPr>
        <w:t xml:space="preserve"> agroforests of south Meghalaya, north-east India. Journal of Forest Research, 21, 281–286. </w:t>
      </w:r>
      <w:proofErr w:type="spellStart"/>
      <w:r>
        <w:rPr>
          <w:rFonts w:ascii="Arial" w:hAnsi="Arial" w:cs="Arial"/>
          <w:iCs/>
          <w:sz w:val="20"/>
          <w:szCs w:val="20"/>
        </w:rPr>
        <w:t>Tynsong</w:t>
      </w:r>
      <w:proofErr w:type="spellEnd"/>
      <w:r>
        <w:rPr>
          <w:rFonts w:ascii="Arial" w:hAnsi="Arial" w:cs="Arial"/>
          <w:iCs/>
          <w:sz w:val="20"/>
          <w:szCs w:val="20"/>
        </w:rPr>
        <w:t>, H., T</w:t>
      </w:r>
      <w:r>
        <w:rPr>
          <w:rFonts w:ascii="Arial" w:hAnsi="Arial" w:cs="Arial"/>
          <w:iCs/>
          <w:sz w:val="20"/>
          <w:szCs w:val="20"/>
        </w:rPr>
        <w:t xml:space="preserve">iwari, B.K. Diversity of plant species in </w:t>
      </w:r>
      <w:proofErr w:type="spellStart"/>
      <w:r>
        <w:rPr>
          <w:rFonts w:ascii="Arial" w:hAnsi="Arial" w:cs="Arial"/>
          <w:iCs/>
          <w:sz w:val="20"/>
          <w:szCs w:val="20"/>
        </w:rPr>
        <w:t>arecanut</w:t>
      </w:r>
      <w:proofErr w:type="spellEnd"/>
      <w:r>
        <w:rPr>
          <w:rFonts w:ascii="Arial" w:hAnsi="Arial" w:cs="Arial"/>
          <w:iCs/>
          <w:sz w:val="20"/>
          <w:szCs w:val="20"/>
        </w:rPr>
        <w:t xml:space="preserve"> agroforests of south Meghalaya, north-east India. Journal of Forestry Research 21, 281–286 (2010). https://doi.org/10.1007/s11676-010-0072-5</w:t>
      </w:r>
    </w:p>
    <w:p w14:paraId="7788E9CE"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Tynsong</w:t>
      </w:r>
      <w:proofErr w:type="spellEnd"/>
      <w:r>
        <w:rPr>
          <w:rFonts w:ascii="Arial" w:hAnsi="Arial" w:cs="Arial"/>
          <w:iCs/>
          <w:sz w:val="20"/>
          <w:szCs w:val="20"/>
        </w:rPr>
        <w:t xml:space="preserve">, H., &amp; Tiwari, B.K. (2010b). Plant diversity in the </w:t>
      </w:r>
      <w:proofErr w:type="spellStart"/>
      <w:r>
        <w:rPr>
          <w:rFonts w:ascii="Arial" w:hAnsi="Arial" w:cs="Arial"/>
          <w:iCs/>
          <w:sz w:val="20"/>
          <w:szCs w:val="20"/>
        </w:rPr>
        <w:t>home</w:t>
      </w:r>
      <w:r>
        <w:rPr>
          <w:rFonts w:ascii="Arial" w:hAnsi="Arial" w:cs="Arial"/>
          <w:iCs/>
          <w:sz w:val="20"/>
          <w:szCs w:val="20"/>
        </w:rPr>
        <w:t>gardens</w:t>
      </w:r>
      <w:proofErr w:type="spellEnd"/>
      <w:r>
        <w:rPr>
          <w:rFonts w:ascii="Arial" w:hAnsi="Arial" w:cs="Arial"/>
          <w:iCs/>
          <w:sz w:val="20"/>
          <w:szCs w:val="20"/>
        </w:rPr>
        <w:t xml:space="preserve"> and their significance in the livelihoods of War Khasi community of Meghalaya, North-east India. Journal of Biodiversity, 1(1), 1–11.</w:t>
      </w:r>
    </w:p>
    <w:p w14:paraId="5A7E7B6C"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lastRenderedPageBreak/>
        <w:t>Upadhaya</w:t>
      </w:r>
      <w:proofErr w:type="spellEnd"/>
      <w:r>
        <w:rPr>
          <w:rFonts w:ascii="Arial" w:hAnsi="Arial" w:cs="Arial"/>
          <w:iCs/>
          <w:sz w:val="20"/>
          <w:szCs w:val="20"/>
        </w:rPr>
        <w:t>, K., Barik, S., Pandey, H.N., &amp; Tripathi, O.P. (2008). Response of woody species to anthropogenic disturb</w:t>
      </w:r>
      <w:r>
        <w:rPr>
          <w:rFonts w:ascii="Arial" w:hAnsi="Arial" w:cs="Arial"/>
          <w:iCs/>
          <w:sz w:val="20"/>
          <w:szCs w:val="20"/>
        </w:rPr>
        <w:t>ances in sacred forests of Northeast India. International Journal of Ecology and Environmental Sciences, 34(1), 1–13.</w:t>
      </w:r>
    </w:p>
    <w:p w14:paraId="4151B42D"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Upadhyaya, K., Pandey, H.N., Law, P.S., &amp; Tripathi, R.S. (2003). Tree diversity in sacred groves of the Jaintia Hills in Meghalaya, northe</w:t>
      </w:r>
      <w:r>
        <w:rPr>
          <w:rFonts w:ascii="Arial" w:hAnsi="Arial" w:cs="Arial"/>
          <w:iCs/>
          <w:sz w:val="20"/>
          <w:szCs w:val="20"/>
        </w:rPr>
        <w:t>ast India. Biodiversity and Conservation, 12(3), 583–597. https://doi.org/10.1023/A:1022401012824</w:t>
      </w:r>
    </w:p>
    <w:p w14:paraId="767A094C" w14:textId="77777777" w:rsidR="00D108FA" w:rsidRDefault="00E82DA6">
      <w:pPr>
        <w:spacing w:line="240" w:lineRule="auto"/>
        <w:ind w:left="810" w:hanging="720"/>
        <w:jc w:val="both"/>
        <w:rPr>
          <w:rFonts w:ascii="Arial" w:hAnsi="Arial" w:cs="Arial"/>
          <w:iCs/>
          <w:sz w:val="20"/>
          <w:szCs w:val="20"/>
        </w:rPr>
      </w:pPr>
      <w:r>
        <w:rPr>
          <w:rFonts w:ascii="Arial" w:hAnsi="Arial" w:cs="Arial"/>
          <w:iCs/>
          <w:sz w:val="20"/>
          <w:szCs w:val="20"/>
        </w:rPr>
        <w:t xml:space="preserve">Upadhyay, K.K., </w:t>
      </w:r>
      <w:proofErr w:type="spellStart"/>
      <w:r>
        <w:rPr>
          <w:rFonts w:ascii="Arial" w:hAnsi="Arial" w:cs="Arial"/>
          <w:iCs/>
          <w:sz w:val="20"/>
          <w:szCs w:val="20"/>
        </w:rPr>
        <w:t>Japang</w:t>
      </w:r>
      <w:proofErr w:type="spellEnd"/>
      <w:r>
        <w:rPr>
          <w:rFonts w:ascii="Arial" w:hAnsi="Arial" w:cs="Arial"/>
          <w:iCs/>
          <w:sz w:val="20"/>
          <w:szCs w:val="20"/>
        </w:rPr>
        <w:t>, B., Singh, N.S., &amp; Tripathi, S.K. (2019). Status and socio-ecological dimensions of sacred groves in North east India. Journal of Appl</w:t>
      </w:r>
      <w:r>
        <w:rPr>
          <w:rFonts w:ascii="Arial" w:hAnsi="Arial" w:cs="Arial"/>
          <w:iCs/>
          <w:sz w:val="20"/>
          <w:szCs w:val="20"/>
        </w:rPr>
        <w:t>ied and Natural Science, 11(3), 590–596.</w:t>
      </w:r>
    </w:p>
    <w:p w14:paraId="42C3987A"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Waikhom</w:t>
      </w:r>
      <w:proofErr w:type="spellEnd"/>
      <w:r>
        <w:rPr>
          <w:rFonts w:ascii="Arial" w:hAnsi="Arial" w:cs="Arial"/>
          <w:iCs/>
          <w:sz w:val="20"/>
          <w:szCs w:val="20"/>
        </w:rPr>
        <w:t>, A.C., Nath, A.J., &amp; Yadava, P.S. (2017). Aboveground biomass and carbon stock in the largest sacred grove of Manipur, Northeast India. Journal of Forest Research, 29, 425–428. https://doi.org/10.1007/s11676</w:t>
      </w:r>
      <w:r>
        <w:rPr>
          <w:rFonts w:ascii="Arial" w:hAnsi="Arial" w:cs="Arial"/>
          <w:iCs/>
          <w:sz w:val="20"/>
          <w:szCs w:val="20"/>
        </w:rPr>
        <w:t>-017-0439-y</w:t>
      </w:r>
    </w:p>
    <w:p w14:paraId="0F55FE7A" w14:textId="77777777" w:rsidR="00D108FA" w:rsidRDefault="00E82DA6">
      <w:pPr>
        <w:spacing w:line="240" w:lineRule="auto"/>
        <w:ind w:left="810" w:hanging="720"/>
        <w:jc w:val="both"/>
        <w:rPr>
          <w:rFonts w:ascii="Arial" w:hAnsi="Arial" w:cs="Arial"/>
          <w:iCs/>
          <w:sz w:val="20"/>
          <w:szCs w:val="20"/>
        </w:rPr>
      </w:pPr>
      <w:proofErr w:type="spellStart"/>
      <w:r>
        <w:rPr>
          <w:rFonts w:ascii="Arial" w:hAnsi="Arial" w:cs="Arial"/>
          <w:iCs/>
          <w:sz w:val="20"/>
          <w:szCs w:val="20"/>
        </w:rPr>
        <w:t>Zimik</w:t>
      </w:r>
      <w:proofErr w:type="spellEnd"/>
      <w:r>
        <w:rPr>
          <w:rFonts w:ascii="Arial" w:hAnsi="Arial" w:cs="Arial"/>
          <w:iCs/>
          <w:sz w:val="20"/>
          <w:szCs w:val="20"/>
        </w:rPr>
        <w:t xml:space="preserve">, L., Saikia, P., &amp; Khan, M.L. (2012). Comparative study on </w:t>
      </w:r>
      <w:proofErr w:type="spellStart"/>
      <w:r>
        <w:rPr>
          <w:rFonts w:ascii="Arial" w:hAnsi="Arial" w:cs="Arial"/>
          <w:iCs/>
          <w:sz w:val="20"/>
          <w:szCs w:val="20"/>
        </w:rPr>
        <w:t>homegardens</w:t>
      </w:r>
      <w:proofErr w:type="spellEnd"/>
      <w:r>
        <w:rPr>
          <w:rFonts w:ascii="Arial" w:hAnsi="Arial" w:cs="Arial"/>
          <w:iCs/>
          <w:sz w:val="20"/>
          <w:szCs w:val="20"/>
        </w:rPr>
        <w:t xml:space="preserve"> of Assam and Arunachal Pradesh in terms of species diversity and plant utilization pattern. Research Journal of Agricultural Sciences, 3(3), 611–618.</w:t>
      </w:r>
    </w:p>
    <w:p w14:paraId="7026A5E2" w14:textId="77777777" w:rsidR="00D108FA" w:rsidRDefault="00D108FA">
      <w:pPr>
        <w:spacing w:line="240" w:lineRule="auto"/>
        <w:jc w:val="both"/>
        <w:rPr>
          <w:rFonts w:ascii="Arial" w:hAnsi="Arial" w:cs="Arial"/>
          <w:iCs/>
          <w:sz w:val="20"/>
          <w:szCs w:val="20"/>
        </w:rPr>
      </w:pPr>
    </w:p>
    <w:sectPr w:rsidR="00D108F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5C64F1" w16cex:dateUtc="2025-10-07T18:26:00Z"/>
  <w16cex:commentExtensible w16cex:durableId="095A052B" w16cex:dateUtc="2025-10-04T18:45:00Z"/>
  <w16cex:commentExtensible w16cex:durableId="57B36F99" w16cex:dateUtc="2025-10-04T16:50:00Z"/>
  <w16cex:commentExtensible w16cex:durableId="28A03D37" w16cex:dateUtc="2025-10-04T16:51:00Z"/>
  <w16cex:commentExtensible w16cex:durableId="29D3676D" w16cex:dateUtc="2025-10-04T16:52:00Z"/>
  <w16cex:commentExtensible w16cex:durableId="7EC130C6" w16cex:dateUtc="2025-10-04T19: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AC8EE" w14:textId="77777777" w:rsidR="00E82DA6" w:rsidRDefault="00E82DA6">
      <w:pPr>
        <w:spacing w:line="240" w:lineRule="auto"/>
      </w:pPr>
      <w:r>
        <w:separator/>
      </w:r>
    </w:p>
  </w:endnote>
  <w:endnote w:type="continuationSeparator" w:id="0">
    <w:p w14:paraId="5AEADD47" w14:textId="77777777" w:rsidR="00E82DA6" w:rsidRDefault="00E82D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CE6" w14:textId="77777777" w:rsidR="00D108FA" w:rsidRDefault="00D10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7529" w14:textId="77777777" w:rsidR="00D108FA" w:rsidRDefault="00D108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20B9" w14:textId="77777777" w:rsidR="00D108FA" w:rsidRDefault="00D1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B6F8C" w14:textId="77777777" w:rsidR="00E82DA6" w:rsidRDefault="00E82DA6">
      <w:pPr>
        <w:spacing w:after="0"/>
      </w:pPr>
      <w:r>
        <w:separator/>
      </w:r>
    </w:p>
  </w:footnote>
  <w:footnote w:type="continuationSeparator" w:id="0">
    <w:p w14:paraId="564823CD" w14:textId="77777777" w:rsidR="00E82DA6" w:rsidRDefault="00E82D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D1C6B" w14:textId="77777777" w:rsidR="00D108FA" w:rsidRDefault="00E82DA6">
    <w:pPr>
      <w:pStyle w:val="Header"/>
    </w:pPr>
    <w:r>
      <w:pict w14:anchorId="3C0EF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8" o:spid="_x0000_s2050"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C9472" w14:textId="77777777" w:rsidR="00D108FA" w:rsidRDefault="00E82DA6">
    <w:pPr>
      <w:pStyle w:val="Header"/>
    </w:pPr>
    <w:r>
      <w:pict w14:anchorId="0BEDA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9" o:spid="_x0000_s2051" type="#_x0000_t136" style="position:absolute;margin-left:0;margin-top:0;width:555.6pt;height:104.1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F143" w14:textId="77777777" w:rsidR="00D108FA" w:rsidRDefault="00E82DA6">
    <w:pPr>
      <w:pStyle w:val="Header"/>
    </w:pPr>
    <w:r>
      <w:pict w14:anchorId="0CFA3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038687" o:spid="_x0000_s2049"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AF7"/>
    <w:rsid w:val="000104C0"/>
    <w:rsid w:val="0001490E"/>
    <w:rsid w:val="00014F75"/>
    <w:rsid w:val="0001633E"/>
    <w:rsid w:val="0002410B"/>
    <w:rsid w:val="00030D4F"/>
    <w:rsid w:val="00033B2B"/>
    <w:rsid w:val="00043EFC"/>
    <w:rsid w:val="00084AF7"/>
    <w:rsid w:val="000A4801"/>
    <w:rsid w:val="000A4FDD"/>
    <w:rsid w:val="000A6536"/>
    <w:rsid w:val="000B567D"/>
    <w:rsid w:val="000B7446"/>
    <w:rsid w:val="000D1B6D"/>
    <w:rsid w:val="000E40D4"/>
    <w:rsid w:val="000E5C82"/>
    <w:rsid w:val="000F6DB2"/>
    <w:rsid w:val="00117BF1"/>
    <w:rsid w:val="001216FD"/>
    <w:rsid w:val="001219BD"/>
    <w:rsid w:val="00133EA3"/>
    <w:rsid w:val="00135983"/>
    <w:rsid w:val="00173D6A"/>
    <w:rsid w:val="001816D2"/>
    <w:rsid w:val="00183F88"/>
    <w:rsid w:val="001A79A8"/>
    <w:rsid w:val="001C1C19"/>
    <w:rsid w:val="001E1590"/>
    <w:rsid w:val="001E1AE5"/>
    <w:rsid w:val="001E42C4"/>
    <w:rsid w:val="001F2127"/>
    <w:rsid w:val="001F6527"/>
    <w:rsid w:val="0020269D"/>
    <w:rsid w:val="002068A3"/>
    <w:rsid w:val="002167D9"/>
    <w:rsid w:val="00223A0C"/>
    <w:rsid w:val="00226CEA"/>
    <w:rsid w:val="0023695B"/>
    <w:rsid w:val="00256A42"/>
    <w:rsid w:val="00275410"/>
    <w:rsid w:val="0028710C"/>
    <w:rsid w:val="0029305E"/>
    <w:rsid w:val="00293CA5"/>
    <w:rsid w:val="002A5A5A"/>
    <w:rsid w:val="002B538A"/>
    <w:rsid w:val="002C35F4"/>
    <w:rsid w:val="002C5610"/>
    <w:rsid w:val="002D7DB3"/>
    <w:rsid w:val="002E2F8D"/>
    <w:rsid w:val="002F3FD4"/>
    <w:rsid w:val="002F6FA2"/>
    <w:rsid w:val="00304E18"/>
    <w:rsid w:val="00327E80"/>
    <w:rsid w:val="00334BBE"/>
    <w:rsid w:val="00334EF9"/>
    <w:rsid w:val="003424DE"/>
    <w:rsid w:val="00352CF3"/>
    <w:rsid w:val="003631A4"/>
    <w:rsid w:val="00365130"/>
    <w:rsid w:val="0036798C"/>
    <w:rsid w:val="00383801"/>
    <w:rsid w:val="00384066"/>
    <w:rsid w:val="00387384"/>
    <w:rsid w:val="003B24C5"/>
    <w:rsid w:val="003B471A"/>
    <w:rsid w:val="003B627D"/>
    <w:rsid w:val="003C1D9C"/>
    <w:rsid w:val="003D0B3B"/>
    <w:rsid w:val="003D784A"/>
    <w:rsid w:val="003F07BF"/>
    <w:rsid w:val="003F7BB7"/>
    <w:rsid w:val="00403011"/>
    <w:rsid w:val="004134E1"/>
    <w:rsid w:val="0041352C"/>
    <w:rsid w:val="00422737"/>
    <w:rsid w:val="00427112"/>
    <w:rsid w:val="004300CB"/>
    <w:rsid w:val="00453EA8"/>
    <w:rsid w:val="00482F73"/>
    <w:rsid w:val="004873CA"/>
    <w:rsid w:val="004B2C48"/>
    <w:rsid w:val="004B7819"/>
    <w:rsid w:val="004C5359"/>
    <w:rsid w:val="004C6B63"/>
    <w:rsid w:val="004C761C"/>
    <w:rsid w:val="004E5851"/>
    <w:rsid w:val="004F31DD"/>
    <w:rsid w:val="004F4CE1"/>
    <w:rsid w:val="00503165"/>
    <w:rsid w:val="005046EB"/>
    <w:rsid w:val="00504757"/>
    <w:rsid w:val="005203E4"/>
    <w:rsid w:val="00521545"/>
    <w:rsid w:val="005278B6"/>
    <w:rsid w:val="00545B8D"/>
    <w:rsid w:val="00553BC8"/>
    <w:rsid w:val="00560D65"/>
    <w:rsid w:val="005617B6"/>
    <w:rsid w:val="00575621"/>
    <w:rsid w:val="00576B26"/>
    <w:rsid w:val="0059778F"/>
    <w:rsid w:val="005A72E1"/>
    <w:rsid w:val="005B6B89"/>
    <w:rsid w:val="005C0EB5"/>
    <w:rsid w:val="005D6360"/>
    <w:rsid w:val="005F0B5F"/>
    <w:rsid w:val="006061CB"/>
    <w:rsid w:val="006143F1"/>
    <w:rsid w:val="00625303"/>
    <w:rsid w:val="00633EDB"/>
    <w:rsid w:val="006465C0"/>
    <w:rsid w:val="0065349F"/>
    <w:rsid w:val="00654987"/>
    <w:rsid w:val="0067236F"/>
    <w:rsid w:val="00673D26"/>
    <w:rsid w:val="00687D87"/>
    <w:rsid w:val="006956CD"/>
    <w:rsid w:val="006A3306"/>
    <w:rsid w:val="006A688F"/>
    <w:rsid w:val="006A7120"/>
    <w:rsid w:val="006B0EDA"/>
    <w:rsid w:val="006D797B"/>
    <w:rsid w:val="006F6719"/>
    <w:rsid w:val="006F68FF"/>
    <w:rsid w:val="007028B8"/>
    <w:rsid w:val="00703A63"/>
    <w:rsid w:val="00712455"/>
    <w:rsid w:val="0071326F"/>
    <w:rsid w:val="007326D0"/>
    <w:rsid w:val="00745120"/>
    <w:rsid w:val="00745406"/>
    <w:rsid w:val="00746BFC"/>
    <w:rsid w:val="00751848"/>
    <w:rsid w:val="00754E12"/>
    <w:rsid w:val="00755E3E"/>
    <w:rsid w:val="00757B51"/>
    <w:rsid w:val="00761F9B"/>
    <w:rsid w:val="00777821"/>
    <w:rsid w:val="00782185"/>
    <w:rsid w:val="00785CE4"/>
    <w:rsid w:val="0079475D"/>
    <w:rsid w:val="00795938"/>
    <w:rsid w:val="007A16B9"/>
    <w:rsid w:val="007B68F6"/>
    <w:rsid w:val="007B738A"/>
    <w:rsid w:val="007B7544"/>
    <w:rsid w:val="007C594F"/>
    <w:rsid w:val="007E4593"/>
    <w:rsid w:val="007F0A67"/>
    <w:rsid w:val="007F0D61"/>
    <w:rsid w:val="007F6B1D"/>
    <w:rsid w:val="00815F06"/>
    <w:rsid w:val="00831937"/>
    <w:rsid w:val="00841493"/>
    <w:rsid w:val="00845F06"/>
    <w:rsid w:val="00875FB0"/>
    <w:rsid w:val="008824BD"/>
    <w:rsid w:val="00892D7A"/>
    <w:rsid w:val="008A013D"/>
    <w:rsid w:val="008A7652"/>
    <w:rsid w:val="008B2D50"/>
    <w:rsid w:val="008D213D"/>
    <w:rsid w:val="008D623B"/>
    <w:rsid w:val="008D6A0B"/>
    <w:rsid w:val="008E47E4"/>
    <w:rsid w:val="008F2C2D"/>
    <w:rsid w:val="008F6EE8"/>
    <w:rsid w:val="008F79D7"/>
    <w:rsid w:val="00907210"/>
    <w:rsid w:val="00931D6C"/>
    <w:rsid w:val="0093462B"/>
    <w:rsid w:val="00940E2B"/>
    <w:rsid w:val="009677B5"/>
    <w:rsid w:val="00967DE1"/>
    <w:rsid w:val="00973F7F"/>
    <w:rsid w:val="00990BB3"/>
    <w:rsid w:val="00994025"/>
    <w:rsid w:val="0099563C"/>
    <w:rsid w:val="00997121"/>
    <w:rsid w:val="009A0E23"/>
    <w:rsid w:val="009D38F8"/>
    <w:rsid w:val="00A11331"/>
    <w:rsid w:val="00A214CD"/>
    <w:rsid w:val="00A340CA"/>
    <w:rsid w:val="00A61E3D"/>
    <w:rsid w:val="00A71EEC"/>
    <w:rsid w:val="00A75915"/>
    <w:rsid w:val="00AB29AD"/>
    <w:rsid w:val="00AC3FE8"/>
    <w:rsid w:val="00AD4E40"/>
    <w:rsid w:val="00AD6453"/>
    <w:rsid w:val="00B018EA"/>
    <w:rsid w:val="00B11421"/>
    <w:rsid w:val="00B141B6"/>
    <w:rsid w:val="00B1491F"/>
    <w:rsid w:val="00B14B67"/>
    <w:rsid w:val="00B213AF"/>
    <w:rsid w:val="00B4680A"/>
    <w:rsid w:val="00B5759F"/>
    <w:rsid w:val="00B63380"/>
    <w:rsid w:val="00B7371C"/>
    <w:rsid w:val="00B76C43"/>
    <w:rsid w:val="00B93282"/>
    <w:rsid w:val="00BB66CB"/>
    <w:rsid w:val="00BB7899"/>
    <w:rsid w:val="00BC72D1"/>
    <w:rsid w:val="00C24DFA"/>
    <w:rsid w:val="00C26C08"/>
    <w:rsid w:val="00C36BCC"/>
    <w:rsid w:val="00C44630"/>
    <w:rsid w:val="00C44938"/>
    <w:rsid w:val="00C4609B"/>
    <w:rsid w:val="00C57009"/>
    <w:rsid w:val="00C638DC"/>
    <w:rsid w:val="00C641FB"/>
    <w:rsid w:val="00C906A8"/>
    <w:rsid w:val="00C97CE8"/>
    <w:rsid w:val="00CA00A7"/>
    <w:rsid w:val="00CD1C15"/>
    <w:rsid w:val="00CD57B0"/>
    <w:rsid w:val="00CF5D03"/>
    <w:rsid w:val="00D01CBE"/>
    <w:rsid w:val="00D05AF9"/>
    <w:rsid w:val="00D108FA"/>
    <w:rsid w:val="00D12610"/>
    <w:rsid w:val="00D13043"/>
    <w:rsid w:val="00D17348"/>
    <w:rsid w:val="00D23DC1"/>
    <w:rsid w:val="00D303A3"/>
    <w:rsid w:val="00D353EE"/>
    <w:rsid w:val="00D403DD"/>
    <w:rsid w:val="00D43BC3"/>
    <w:rsid w:val="00D459C5"/>
    <w:rsid w:val="00D610D9"/>
    <w:rsid w:val="00D6452E"/>
    <w:rsid w:val="00D9549B"/>
    <w:rsid w:val="00DA0B98"/>
    <w:rsid w:val="00DA6368"/>
    <w:rsid w:val="00DB192C"/>
    <w:rsid w:val="00DE3E35"/>
    <w:rsid w:val="00DF1242"/>
    <w:rsid w:val="00E02703"/>
    <w:rsid w:val="00E064AE"/>
    <w:rsid w:val="00E17B57"/>
    <w:rsid w:val="00E36449"/>
    <w:rsid w:val="00E417AC"/>
    <w:rsid w:val="00E57088"/>
    <w:rsid w:val="00E719F0"/>
    <w:rsid w:val="00E7450F"/>
    <w:rsid w:val="00E82778"/>
    <w:rsid w:val="00E82DA6"/>
    <w:rsid w:val="00E92E29"/>
    <w:rsid w:val="00EA1924"/>
    <w:rsid w:val="00EA7007"/>
    <w:rsid w:val="00EB435C"/>
    <w:rsid w:val="00EB565B"/>
    <w:rsid w:val="00ED1BB9"/>
    <w:rsid w:val="00EF42BD"/>
    <w:rsid w:val="00EF576D"/>
    <w:rsid w:val="00EF5916"/>
    <w:rsid w:val="00EF609F"/>
    <w:rsid w:val="00EF7A8D"/>
    <w:rsid w:val="00F03EDE"/>
    <w:rsid w:val="00F15DDA"/>
    <w:rsid w:val="00F24097"/>
    <w:rsid w:val="00F2598A"/>
    <w:rsid w:val="00F35310"/>
    <w:rsid w:val="00F53A7C"/>
    <w:rsid w:val="00F67F68"/>
    <w:rsid w:val="00F7265A"/>
    <w:rsid w:val="00F75847"/>
    <w:rsid w:val="00FA5F9E"/>
    <w:rsid w:val="00FD57A5"/>
    <w:rsid w:val="00FE024D"/>
    <w:rsid w:val="00FF12A9"/>
    <w:rsid w:val="19C748EC"/>
    <w:rsid w:val="693949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DA4732C"/>
  <w15:docId w15:val="{B84887B1-1132-4B0B-A182-9B037F19D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Theme="minorHAnsi" w:hAnsi="Tahoma" w:cs="Tahoma"/>
      <w:sz w:val="16"/>
      <w:szCs w:val="16"/>
    </w:rPr>
  </w:style>
  <w:style w:type="paragraph" w:styleId="Caption">
    <w:name w:val="caption"/>
    <w:basedOn w:val="Normal"/>
    <w:next w:val="Normal"/>
    <w:uiPriority w:val="35"/>
    <w:unhideWhenUsed/>
    <w:qFormat/>
    <w:pPr>
      <w:spacing w:line="240" w:lineRule="auto"/>
    </w:pPr>
    <w:rPr>
      <w:rFonts w:eastAsiaTheme="minorHAnsi"/>
      <w:b/>
      <w:bCs/>
      <w:color w:val="4F81BD" w:themeColor="accent1"/>
      <w:sz w:val="18"/>
      <w:szCs w:val="18"/>
    </w:rPr>
  </w:style>
  <w:style w:type="paragraph" w:styleId="CommentText">
    <w:name w:val="annotation text"/>
    <w:basedOn w:val="Normal"/>
    <w:link w:val="CommentTextChar"/>
    <w:uiPriority w:val="99"/>
    <w:unhideWhenUsed/>
    <w:qFormat/>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eastAsiaTheme="minorHAnsi"/>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eastAsiaTheme="minorHAnsi"/>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rFonts w:eastAsiaTheme="minorHAnsi"/>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table" w:styleId="TableGrid">
    <w:name w:val="Table Grid"/>
    <w:basedOn w:val="TableNormal"/>
    <w:uiPriority w:val="59"/>
    <w:qFormat/>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FootnoteTextChar">
    <w:name w:val="Footnote Text Char"/>
    <w:basedOn w:val="DefaultParagraphFont"/>
    <w:link w:val="FootnoteText"/>
    <w:uiPriority w:val="99"/>
    <w:semiHidden/>
    <w:qFormat/>
    <w:rPr>
      <w:rFonts w:eastAsiaTheme="minorHAnsi"/>
      <w:sz w:val="20"/>
      <w:szCs w:val="2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character" w:customStyle="1" w:styleId="ls24">
    <w:name w:val="ls24"/>
    <w:basedOn w:val="DefaultParagraphFont"/>
    <w:qFormat/>
  </w:style>
  <w:style w:type="paragraph" w:styleId="ListParagraph">
    <w:name w:val="List Paragraph"/>
    <w:basedOn w:val="Normal"/>
    <w:uiPriority w:val="34"/>
    <w:qFormat/>
    <w:pPr>
      <w:ind w:left="720"/>
      <w:contextualSpacing/>
    </w:pPr>
    <w:rPr>
      <w:rFonts w:eastAsiaTheme="minorHAnsi"/>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rPr>
  </w:style>
  <w:style w:type="character" w:customStyle="1" w:styleId="HeaderChar">
    <w:name w:val="Header Char"/>
    <w:basedOn w:val="DefaultParagraphFont"/>
    <w:link w:val="Header"/>
    <w:uiPriority w:val="99"/>
    <w:qFormat/>
    <w:rPr>
      <w:rFonts w:eastAsiaTheme="minorHAnsi"/>
    </w:rPr>
  </w:style>
  <w:style w:type="character" w:customStyle="1" w:styleId="FooterChar">
    <w:name w:val="Footer Char"/>
    <w:basedOn w:val="DefaultParagraphFont"/>
    <w:link w:val="Footer"/>
    <w:uiPriority w:val="99"/>
    <w:qFormat/>
    <w:rPr>
      <w:rFonts w:eastAsiaTheme="minorHAnsi"/>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Style">
    <w:name w:val="Style"/>
    <w:uiPriority w:val="99"/>
    <w:qFormat/>
    <w:pPr>
      <w:widowControl w:val="0"/>
      <w:autoSpaceDE w:val="0"/>
      <w:autoSpaceDN w:val="0"/>
      <w:adjustRightInd w:val="0"/>
    </w:pPr>
    <w:rPr>
      <w:rFonts w:ascii="Times New Roman" w:eastAsia="Times New Roman" w:hAnsi="Times New Roman" w:cs="Times New Roman"/>
      <w:sz w:val="24"/>
      <w:szCs w:val="24"/>
    </w:rPr>
  </w:style>
  <w:style w:type="character" w:customStyle="1" w:styleId="a">
    <w:name w:val="a"/>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0104C0"/>
    <w:rPr>
      <w:sz w:val="22"/>
      <w:szCs w:val="22"/>
    </w:rPr>
  </w:style>
  <w:style w:type="paragraph" w:styleId="CommentSubject">
    <w:name w:val="annotation subject"/>
    <w:basedOn w:val="CommentText"/>
    <w:next w:val="CommentText"/>
    <w:link w:val="CommentSubjectChar"/>
    <w:uiPriority w:val="99"/>
    <w:semiHidden/>
    <w:unhideWhenUsed/>
    <w:rsid w:val="000104C0"/>
    <w:pPr>
      <w:spacing w:line="240" w:lineRule="auto"/>
    </w:pPr>
    <w:rPr>
      <w:b/>
      <w:bCs/>
      <w:sz w:val="20"/>
      <w:szCs w:val="20"/>
    </w:rPr>
  </w:style>
  <w:style w:type="character" w:customStyle="1" w:styleId="CommentTextChar">
    <w:name w:val="Comment Text Char"/>
    <w:basedOn w:val="DefaultParagraphFont"/>
    <w:link w:val="CommentText"/>
    <w:uiPriority w:val="99"/>
    <w:rsid w:val="000104C0"/>
    <w:rPr>
      <w:sz w:val="22"/>
      <w:szCs w:val="22"/>
    </w:rPr>
  </w:style>
  <w:style w:type="character" w:customStyle="1" w:styleId="CommentSubjectChar">
    <w:name w:val="Comment Subject Char"/>
    <w:basedOn w:val="CommentTextChar"/>
    <w:link w:val="CommentSubject"/>
    <w:uiPriority w:val="99"/>
    <w:semiHidden/>
    <w:rsid w:val="000104C0"/>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549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H:\TOF%20Bibl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912544732057494E-2"/>
          <c:y val="2.62174259742439E-2"/>
          <c:w val="0.91253925516172996"/>
          <c:h val="0.810027228924867"/>
        </c:manualLayout>
      </c:layout>
      <c:barChart>
        <c:barDir val="col"/>
        <c:grouping val="clustered"/>
        <c:varyColors val="1"/>
        <c:ser>
          <c:idx val="1"/>
          <c:order val="0"/>
          <c:tx>
            <c:strRef>
              <c:f>Sheet1!$B$1</c:f>
              <c:strCache>
                <c:ptCount val="1"/>
                <c:pt idx="0">
                  <c:v>Number of Publications</c:v>
                </c:pt>
              </c:strCache>
            </c:strRef>
          </c:tx>
          <c:spPr>
            <a:ln>
              <a:solidFill>
                <a:sysClr val="windowText" lastClr="000000"/>
              </a:solidFill>
            </a:ln>
          </c:spPr>
          <c:invertIfNegative val="0"/>
          <c:dPt>
            <c:idx val="0"/>
            <c:invertIfNegative val="0"/>
            <c:bubble3D val="0"/>
            <c:spPr>
              <a:solidFill>
                <a:schemeClr val="accent1"/>
              </a:solidFill>
              <a:ln>
                <a:solidFill>
                  <a:sysClr val="windowText" lastClr="000000"/>
                </a:solidFill>
              </a:ln>
              <a:effectLst/>
            </c:spPr>
            <c:extLst>
              <c:ext xmlns:c16="http://schemas.microsoft.com/office/drawing/2014/chart" uri="{C3380CC4-5D6E-409C-BE32-E72D297353CC}">
                <c16:uniqueId val="{00000001-E778-476C-8B59-7A02753FC035}"/>
              </c:ext>
            </c:extLst>
          </c:dPt>
          <c:dPt>
            <c:idx val="1"/>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3-E778-476C-8B59-7A02753FC035}"/>
              </c:ext>
            </c:extLst>
          </c:dPt>
          <c:dPt>
            <c:idx val="2"/>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E778-476C-8B59-7A02753FC035}"/>
              </c:ext>
            </c:extLst>
          </c:dPt>
          <c:dPt>
            <c:idx val="3"/>
            <c:invertIfNegative val="0"/>
            <c:bubble3D val="0"/>
            <c:spPr>
              <a:solidFill>
                <a:schemeClr val="accent4"/>
              </a:solidFill>
              <a:ln>
                <a:solidFill>
                  <a:sysClr val="windowText" lastClr="000000"/>
                </a:solidFill>
              </a:ln>
              <a:effectLst/>
            </c:spPr>
            <c:extLst>
              <c:ext xmlns:c16="http://schemas.microsoft.com/office/drawing/2014/chart" uri="{C3380CC4-5D6E-409C-BE32-E72D297353CC}">
                <c16:uniqueId val="{00000007-E778-476C-8B59-7A02753FC035}"/>
              </c:ext>
            </c:extLst>
          </c:dPt>
          <c:dPt>
            <c:idx val="4"/>
            <c:invertIfNegative val="0"/>
            <c:bubble3D val="0"/>
            <c:spPr>
              <a:solidFill>
                <a:schemeClr val="accent5"/>
              </a:solidFill>
              <a:ln>
                <a:solidFill>
                  <a:sysClr val="windowText" lastClr="000000"/>
                </a:solidFill>
              </a:ln>
              <a:effectLst/>
            </c:spPr>
            <c:extLst>
              <c:ext xmlns:c16="http://schemas.microsoft.com/office/drawing/2014/chart" uri="{C3380CC4-5D6E-409C-BE32-E72D297353CC}">
                <c16:uniqueId val="{00000009-E778-476C-8B59-7A02753FC035}"/>
              </c:ext>
            </c:extLst>
          </c:dPt>
          <c:dPt>
            <c:idx val="5"/>
            <c:invertIfNegative val="0"/>
            <c:bubble3D val="0"/>
            <c:spPr>
              <a:solidFill>
                <a:schemeClr val="accent6"/>
              </a:solidFill>
              <a:ln>
                <a:solidFill>
                  <a:sysClr val="windowText" lastClr="000000"/>
                </a:solidFill>
              </a:ln>
              <a:effectLst/>
            </c:spPr>
            <c:extLst>
              <c:ext xmlns:c16="http://schemas.microsoft.com/office/drawing/2014/chart" uri="{C3380CC4-5D6E-409C-BE32-E72D297353CC}">
                <c16:uniqueId val="{0000000B-E778-476C-8B59-7A02753FC035}"/>
              </c:ext>
            </c:extLst>
          </c:dPt>
          <c:dPt>
            <c:idx val="6"/>
            <c:invertIfNegative val="0"/>
            <c:bubble3D val="0"/>
            <c:spPr>
              <a:solidFill>
                <a:schemeClr val="accent1">
                  <a:lumMod val="60000"/>
                </a:schemeClr>
              </a:solidFill>
              <a:ln>
                <a:solidFill>
                  <a:sysClr val="windowText" lastClr="000000"/>
                </a:solidFill>
              </a:ln>
              <a:effectLst/>
            </c:spPr>
            <c:extLst>
              <c:ext xmlns:c16="http://schemas.microsoft.com/office/drawing/2014/chart" uri="{C3380CC4-5D6E-409C-BE32-E72D297353CC}">
                <c16:uniqueId val="{0000000D-E778-476C-8B59-7A02753FC035}"/>
              </c:ext>
            </c:extLst>
          </c:dPt>
          <c:dPt>
            <c:idx val="7"/>
            <c:invertIfNegative val="0"/>
            <c:bubble3D val="0"/>
            <c:spPr>
              <a:solidFill>
                <a:schemeClr val="accent2">
                  <a:lumMod val="60000"/>
                </a:schemeClr>
              </a:solidFill>
              <a:ln>
                <a:solidFill>
                  <a:sysClr val="windowText" lastClr="000000"/>
                </a:solidFill>
              </a:ln>
              <a:effectLst/>
            </c:spPr>
            <c:extLst>
              <c:ext xmlns:c16="http://schemas.microsoft.com/office/drawing/2014/chart" uri="{C3380CC4-5D6E-409C-BE32-E72D297353CC}">
                <c16:uniqueId val="{0000000F-E778-476C-8B59-7A02753FC035}"/>
              </c:ext>
            </c:extLst>
          </c:dPt>
          <c:dPt>
            <c:idx val="8"/>
            <c:invertIfNegative val="0"/>
            <c:bubble3D val="0"/>
            <c:spPr>
              <a:solidFill>
                <a:schemeClr val="accent3">
                  <a:lumMod val="60000"/>
                </a:schemeClr>
              </a:solidFill>
              <a:ln>
                <a:solidFill>
                  <a:sysClr val="windowText" lastClr="000000"/>
                </a:solidFill>
              </a:ln>
              <a:effectLst/>
            </c:spPr>
            <c:extLst>
              <c:ext xmlns:c16="http://schemas.microsoft.com/office/drawing/2014/chart" uri="{C3380CC4-5D6E-409C-BE32-E72D297353CC}">
                <c16:uniqueId val="{00000011-E778-476C-8B59-7A02753FC035}"/>
              </c:ext>
            </c:extLst>
          </c:dPt>
          <c:dPt>
            <c:idx val="9"/>
            <c:invertIfNegative val="0"/>
            <c:bubble3D val="0"/>
            <c:spPr>
              <a:solidFill>
                <a:schemeClr val="accent4">
                  <a:lumMod val="60000"/>
                </a:schemeClr>
              </a:solidFill>
              <a:ln>
                <a:solidFill>
                  <a:sysClr val="windowText" lastClr="000000"/>
                </a:solidFill>
              </a:ln>
              <a:effectLst/>
            </c:spPr>
            <c:extLst>
              <c:ext xmlns:c16="http://schemas.microsoft.com/office/drawing/2014/chart" uri="{C3380CC4-5D6E-409C-BE32-E72D297353CC}">
                <c16:uniqueId val="{00000013-E778-476C-8B59-7A02753FC035}"/>
              </c:ext>
            </c:extLst>
          </c:dPt>
          <c:dPt>
            <c:idx val="10"/>
            <c:invertIfNegative val="0"/>
            <c:bubble3D val="0"/>
            <c:spPr>
              <a:solidFill>
                <a:schemeClr val="accent5">
                  <a:lumMod val="60000"/>
                </a:schemeClr>
              </a:solidFill>
              <a:ln>
                <a:solidFill>
                  <a:sysClr val="windowText" lastClr="000000"/>
                </a:solidFill>
              </a:ln>
              <a:effectLst/>
            </c:spPr>
            <c:extLst>
              <c:ext xmlns:c16="http://schemas.microsoft.com/office/drawing/2014/chart" uri="{C3380CC4-5D6E-409C-BE32-E72D297353CC}">
                <c16:uniqueId val="{00000015-E778-476C-8B59-7A02753FC035}"/>
              </c:ext>
            </c:extLst>
          </c:dPt>
          <c:dPt>
            <c:idx val="11"/>
            <c:invertIfNegative val="0"/>
            <c:bubble3D val="0"/>
            <c:spPr>
              <a:solidFill>
                <a:schemeClr val="accent6">
                  <a:lumMod val="60000"/>
                </a:schemeClr>
              </a:solidFill>
              <a:ln>
                <a:solidFill>
                  <a:sysClr val="windowText" lastClr="000000"/>
                </a:solidFill>
              </a:ln>
              <a:effectLst/>
            </c:spPr>
            <c:extLst>
              <c:ext xmlns:c16="http://schemas.microsoft.com/office/drawing/2014/chart" uri="{C3380CC4-5D6E-409C-BE32-E72D297353CC}">
                <c16:uniqueId val="{00000017-E778-476C-8B59-7A02753FC035}"/>
              </c:ext>
            </c:extLst>
          </c:dPt>
          <c:dPt>
            <c:idx val="12"/>
            <c:invertIfNegative val="0"/>
            <c:bubble3D val="0"/>
            <c:spPr>
              <a:solidFill>
                <a:schemeClr val="accent1">
                  <a:lumMod val="80000"/>
                  <a:lumOff val="20000"/>
                </a:schemeClr>
              </a:solidFill>
              <a:ln>
                <a:solidFill>
                  <a:sysClr val="windowText" lastClr="000000"/>
                </a:solidFill>
              </a:ln>
              <a:effectLst/>
            </c:spPr>
            <c:extLst>
              <c:ext xmlns:c16="http://schemas.microsoft.com/office/drawing/2014/chart" uri="{C3380CC4-5D6E-409C-BE32-E72D297353CC}">
                <c16:uniqueId val="{00000019-E778-476C-8B59-7A02753FC035}"/>
              </c:ext>
            </c:extLst>
          </c:dPt>
          <c:dPt>
            <c:idx val="13"/>
            <c:invertIfNegative val="0"/>
            <c:bubble3D val="0"/>
            <c:spPr>
              <a:solidFill>
                <a:schemeClr val="accent2">
                  <a:lumMod val="80000"/>
                  <a:lumOff val="20000"/>
                </a:schemeClr>
              </a:solidFill>
              <a:ln>
                <a:solidFill>
                  <a:sysClr val="windowText" lastClr="000000"/>
                </a:solidFill>
              </a:ln>
              <a:effectLst/>
            </c:spPr>
            <c:extLst>
              <c:ext xmlns:c16="http://schemas.microsoft.com/office/drawing/2014/chart" uri="{C3380CC4-5D6E-409C-BE32-E72D297353CC}">
                <c16:uniqueId val="{0000001B-E778-476C-8B59-7A02753FC035}"/>
              </c:ext>
            </c:extLst>
          </c:dPt>
          <c:dPt>
            <c:idx val="14"/>
            <c:invertIfNegative val="0"/>
            <c:bubble3D val="0"/>
            <c:spPr>
              <a:solidFill>
                <a:schemeClr val="accent3">
                  <a:lumMod val="80000"/>
                  <a:lumOff val="20000"/>
                </a:schemeClr>
              </a:solidFill>
              <a:ln>
                <a:solidFill>
                  <a:sysClr val="windowText" lastClr="000000"/>
                </a:solidFill>
              </a:ln>
              <a:effectLst/>
            </c:spPr>
            <c:extLst>
              <c:ext xmlns:c16="http://schemas.microsoft.com/office/drawing/2014/chart" uri="{C3380CC4-5D6E-409C-BE32-E72D297353CC}">
                <c16:uniqueId val="{0000001D-E778-476C-8B59-7A02753FC035}"/>
              </c:ext>
            </c:extLst>
          </c:dPt>
          <c:dPt>
            <c:idx val="15"/>
            <c:invertIfNegative val="0"/>
            <c:bubble3D val="0"/>
            <c:spPr>
              <a:solidFill>
                <a:schemeClr val="accent4">
                  <a:lumMod val="80000"/>
                  <a:lumOff val="20000"/>
                </a:schemeClr>
              </a:solidFill>
              <a:ln>
                <a:solidFill>
                  <a:sysClr val="windowText" lastClr="000000"/>
                </a:solidFill>
              </a:ln>
              <a:effectLst/>
            </c:spPr>
            <c:extLst>
              <c:ext xmlns:c16="http://schemas.microsoft.com/office/drawing/2014/chart" uri="{C3380CC4-5D6E-409C-BE32-E72D297353CC}">
                <c16:uniqueId val="{0000001F-E778-476C-8B59-7A02753FC035}"/>
              </c:ext>
            </c:extLst>
          </c:dPt>
          <c:dPt>
            <c:idx val="16"/>
            <c:invertIfNegative val="0"/>
            <c:bubble3D val="0"/>
            <c:spPr>
              <a:solidFill>
                <a:schemeClr val="accent5">
                  <a:lumMod val="80000"/>
                  <a:lumOff val="20000"/>
                </a:schemeClr>
              </a:solidFill>
              <a:ln>
                <a:solidFill>
                  <a:sysClr val="windowText" lastClr="000000"/>
                </a:solidFill>
              </a:ln>
              <a:effectLst/>
            </c:spPr>
            <c:extLst>
              <c:ext xmlns:c16="http://schemas.microsoft.com/office/drawing/2014/chart" uri="{C3380CC4-5D6E-409C-BE32-E72D297353CC}">
                <c16:uniqueId val="{00000021-E778-476C-8B59-7A02753FC035}"/>
              </c:ext>
            </c:extLst>
          </c:dPt>
          <c:dPt>
            <c:idx val="17"/>
            <c:invertIfNegative val="0"/>
            <c:bubble3D val="0"/>
            <c:spPr>
              <a:solidFill>
                <a:schemeClr val="accent6">
                  <a:lumMod val="80000"/>
                  <a:lumOff val="20000"/>
                </a:schemeClr>
              </a:solidFill>
              <a:ln>
                <a:solidFill>
                  <a:sysClr val="windowText" lastClr="000000"/>
                </a:solidFill>
              </a:ln>
              <a:effectLst/>
            </c:spPr>
            <c:extLst>
              <c:ext xmlns:c16="http://schemas.microsoft.com/office/drawing/2014/chart" uri="{C3380CC4-5D6E-409C-BE32-E72D297353CC}">
                <c16:uniqueId val="{00000023-E778-476C-8B59-7A02753FC035}"/>
              </c:ext>
            </c:extLst>
          </c:dPt>
          <c:dPt>
            <c:idx val="18"/>
            <c:invertIfNegative val="0"/>
            <c:bubble3D val="0"/>
            <c:spPr>
              <a:solidFill>
                <a:schemeClr val="accent1">
                  <a:lumMod val="80000"/>
                </a:schemeClr>
              </a:solidFill>
              <a:ln>
                <a:solidFill>
                  <a:sysClr val="windowText" lastClr="000000"/>
                </a:solidFill>
              </a:ln>
              <a:effectLst/>
            </c:spPr>
            <c:extLst>
              <c:ext xmlns:c16="http://schemas.microsoft.com/office/drawing/2014/chart" uri="{C3380CC4-5D6E-409C-BE32-E72D297353CC}">
                <c16:uniqueId val="{00000025-E778-476C-8B59-7A02753FC035}"/>
              </c:ext>
            </c:extLst>
          </c:dPt>
          <c:dPt>
            <c:idx val="19"/>
            <c:invertIfNegative val="0"/>
            <c:bubble3D val="0"/>
            <c:spPr>
              <a:solidFill>
                <a:schemeClr val="accent2">
                  <a:lumMod val="80000"/>
                </a:schemeClr>
              </a:solidFill>
              <a:ln>
                <a:solidFill>
                  <a:sysClr val="windowText" lastClr="000000"/>
                </a:solidFill>
              </a:ln>
              <a:effectLst/>
            </c:spPr>
            <c:extLst>
              <c:ext xmlns:c16="http://schemas.microsoft.com/office/drawing/2014/chart" uri="{C3380CC4-5D6E-409C-BE32-E72D297353CC}">
                <c16:uniqueId val="{00000027-E778-476C-8B59-7A02753FC035}"/>
              </c:ext>
            </c:extLst>
          </c:dPt>
          <c:dPt>
            <c:idx val="20"/>
            <c:invertIfNegative val="0"/>
            <c:bubble3D val="0"/>
            <c:spPr>
              <a:solidFill>
                <a:schemeClr val="accent3">
                  <a:lumMod val="80000"/>
                </a:schemeClr>
              </a:solidFill>
              <a:ln>
                <a:solidFill>
                  <a:sysClr val="windowText" lastClr="000000"/>
                </a:solidFill>
              </a:ln>
              <a:effectLst/>
            </c:spPr>
            <c:extLst>
              <c:ext xmlns:c16="http://schemas.microsoft.com/office/drawing/2014/chart" uri="{C3380CC4-5D6E-409C-BE32-E72D297353CC}">
                <c16:uniqueId val="{00000029-E778-476C-8B59-7A02753FC035}"/>
              </c:ext>
            </c:extLst>
          </c:dPt>
          <c:dPt>
            <c:idx val="21"/>
            <c:invertIfNegative val="0"/>
            <c:bubble3D val="0"/>
            <c:spPr>
              <a:solidFill>
                <a:schemeClr val="accent4">
                  <a:lumMod val="80000"/>
                </a:schemeClr>
              </a:solidFill>
              <a:ln>
                <a:solidFill>
                  <a:sysClr val="windowText" lastClr="000000"/>
                </a:solidFill>
              </a:ln>
              <a:effectLst/>
            </c:spPr>
            <c:extLst>
              <c:ext xmlns:c16="http://schemas.microsoft.com/office/drawing/2014/chart" uri="{C3380CC4-5D6E-409C-BE32-E72D297353CC}">
                <c16:uniqueId val="{0000002B-E778-476C-8B59-7A02753FC035}"/>
              </c:ext>
            </c:extLst>
          </c:dPt>
          <c:dPt>
            <c:idx val="22"/>
            <c:invertIfNegative val="0"/>
            <c:bubble3D val="0"/>
            <c:spPr>
              <a:solidFill>
                <a:schemeClr val="accent5">
                  <a:lumMod val="80000"/>
                </a:schemeClr>
              </a:solidFill>
              <a:ln>
                <a:solidFill>
                  <a:sysClr val="windowText" lastClr="000000"/>
                </a:solidFill>
              </a:ln>
              <a:effectLst/>
            </c:spPr>
            <c:extLst>
              <c:ext xmlns:c16="http://schemas.microsoft.com/office/drawing/2014/chart" uri="{C3380CC4-5D6E-409C-BE32-E72D297353CC}">
                <c16:uniqueId val="{0000002D-E778-476C-8B59-7A02753FC035}"/>
              </c:ext>
            </c:extLst>
          </c:dPt>
          <c:dPt>
            <c:idx val="23"/>
            <c:invertIfNegative val="0"/>
            <c:bubble3D val="0"/>
            <c:spPr>
              <a:solidFill>
                <a:schemeClr val="accent6">
                  <a:lumMod val="80000"/>
                </a:schemeClr>
              </a:solidFill>
              <a:ln>
                <a:solidFill>
                  <a:sysClr val="windowText" lastClr="000000"/>
                </a:solidFill>
              </a:ln>
              <a:effectLst/>
            </c:spPr>
            <c:extLst>
              <c:ext xmlns:c16="http://schemas.microsoft.com/office/drawing/2014/chart" uri="{C3380CC4-5D6E-409C-BE32-E72D297353CC}">
                <c16:uniqueId val="{0000002F-E778-476C-8B59-7A02753FC035}"/>
              </c:ext>
            </c:extLst>
          </c:dPt>
          <c:dPt>
            <c:idx val="24"/>
            <c:invertIfNegative val="0"/>
            <c:bubble3D val="0"/>
            <c:spPr>
              <a:solidFill>
                <a:schemeClr val="accent1">
                  <a:lumMod val="60000"/>
                  <a:lumOff val="40000"/>
                </a:schemeClr>
              </a:solidFill>
              <a:ln>
                <a:solidFill>
                  <a:sysClr val="windowText" lastClr="000000"/>
                </a:solidFill>
              </a:ln>
              <a:effectLst/>
            </c:spPr>
            <c:extLst>
              <c:ext xmlns:c16="http://schemas.microsoft.com/office/drawing/2014/chart" uri="{C3380CC4-5D6E-409C-BE32-E72D297353CC}">
                <c16:uniqueId val="{00000031-E778-476C-8B59-7A02753FC035}"/>
              </c:ext>
            </c:extLst>
          </c:dPt>
          <c:dPt>
            <c:idx val="25"/>
            <c:invertIfNegative val="0"/>
            <c:bubble3D val="0"/>
            <c:spPr>
              <a:solidFill>
                <a:schemeClr val="accent2">
                  <a:lumMod val="60000"/>
                  <a:lumOff val="40000"/>
                </a:schemeClr>
              </a:solidFill>
              <a:ln>
                <a:solidFill>
                  <a:sysClr val="windowText" lastClr="000000"/>
                </a:solidFill>
              </a:ln>
              <a:effectLst/>
            </c:spPr>
            <c:extLst>
              <c:ext xmlns:c16="http://schemas.microsoft.com/office/drawing/2014/chart" uri="{C3380CC4-5D6E-409C-BE32-E72D297353CC}">
                <c16:uniqueId val="{00000033-E778-476C-8B59-7A02753FC035}"/>
              </c:ext>
            </c:extLst>
          </c:dPt>
          <c:dPt>
            <c:idx val="26"/>
            <c:invertIfNegative val="0"/>
            <c:bubble3D val="0"/>
            <c:spPr>
              <a:solidFill>
                <a:schemeClr val="accent3">
                  <a:lumMod val="60000"/>
                  <a:lumOff val="40000"/>
                </a:schemeClr>
              </a:solidFill>
              <a:ln>
                <a:solidFill>
                  <a:sysClr val="windowText" lastClr="000000"/>
                </a:solidFill>
              </a:ln>
              <a:effectLst/>
            </c:spPr>
            <c:extLst>
              <c:ext xmlns:c16="http://schemas.microsoft.com/office/drawing/2014/chart" uri="{C3380CC4-5D6E-409C-BE32-E72D297353CC}">
                <c16:uniqueId val="{00000035-E778-476C-8B59-7A02753FC035}"/>
              </c:ext>
            </c:extLst>
          </c:dPt>
          <c:dPt>
            <c:idx val="27"/>
            <c:invertIfNegative val="0"/>
            <c:bubble3D val="0"/>
            <c:spPr>
              <a:solidFill>
                <a:schemeClr val="accent4">
                  <a:lumMod val="60000"/>
                  <a:lumOff val="40000"/>
                </a:schemeClr>
              </a:solidFill>
              <a:ln>
                <a:solidFill>
                  <a:sysClr val="windowText" lastClr="000000"/>
                </a:solidFill>
              </a:ln>
              <a:effectLst/>
            </c:spPr>
            <c:extLst>
              <c:ext xmlns:c16="http://schemas.microsoft.com/office/drawing/2014/chart" uri="{C3380CC4-5D6E-409C-BE32-E72D297353CC}">
                <c16:uniqueId val="{00000037-E778-476C-8B59-7A02753FC035}"/>
              </c:ext>
            </c:extLst>
          </c:dPt>
          <c:dPt>
            <c:idx val="28"/>
            <c:invertIfNegative val="0"/>
            <c:bubble3D val="0"/>
            <c:spPr>
              <a:solidFill>
                <a:schemeClr val="accent5">
                  <a:lumMod val="60000"/>
                  <a:lumOff val="40000"/>
                </a:schemeClr>
              </a:solidFill>
              <a:ln>
                <a:solidFill>
                  <a:sysClr val="windowText" lastClr="000000"/>
                </a:solidFill>
              </a:ln>
              <a:effectLst/>
            </c:spPr>
            <c:extLst>
              <c:ext xmlns:c16="http://schemas.microsoft.com/office/drawing/2014/chart" uri="{C3380CC4-5D6E-409C-BE32-E72D297353CC}">
                <c16:uniqueId val="{00000039-E778-476C-8B59-7A02753FC035}"/>
              </c:ext>
            </c:extLst>
          </c:dPt>
          <c:dPt>
            <c:idx val="29"/>
            <c:invertIfNegative val="0"/>
            <c:bubble3D val="0"/>
            <c:spPr>
              <a:solidFill>
                <a:schemeClr val="accent6">
                  <a:lumMod val="60000"/>
                  <a:lumOff val="40000"/>
                </a:schemeClr>
              </a:solidFill>
              <a:ln>
                <a:solidFill>
                  <a:sysClr val="windowText" lastClr="000000"/>
                </a:solidFill>
              </a:ln>
              <a:effectLst/>
            </c:spPr>
            <c:extLst>
              <c:ext xmlns:c16="http://schemas.microsoft.com/office/drawing/2014/chart" uri="{C3380CC4-5D6E-409C-BE32-E72D297353CC}">
                <c16:uniqueId val="{0000003B-E778-476C-8B59-7A02753FC035}"/>
              </c:ext>
            </c:extLst>
          </c:dPt>
          <c:dPt>
            <c:idx val="30"/>
            <c:invertIfNegative val="0"/>
            <c:bubble3D val="0"/>
            <c:spPr>
              <a:solidFill>
                <a:schemeClr val="accent1">
                  <a:lumMod val="50000"/>
                </a:schemeClr>
              </a:solidFill>
              <a:ln>
                <a:solidFill>
                  <a:sysClr val="windowText" lastClr="000000"/>
                </a:solidFill>
              </a:ln>
              <a:effectLst/>
            </c:spPr>
            <c:extLst>
              <c:ext xmlns:c16="http://schemas.microsoft.com/office/drawing/2014/chart" uri="{C3380CC4-5D6E-409C-BE32-E72D297353CC}">
                <c16:uniqueId val="{0000003D-E778-476C-8B59-7A02753FC035}"/>
              </c:ext>
            </c:extLst>
          </c:dPt>
          <c:dPt>
            <c:idx val="31"/>
            <c:invertIfNegative val="0"/>
            <c:bubble3D val="0"/>
            <c:spPr>
              <a:solidFill>
                <a:schemeClr val="accent2">
                  <a:lumMod val="50000"/>
                </a:schemeClr>
              </a:solidFill>
              <a:ln>
                <a:solidFill>
                  <a:sysClr val="windowText" lastClr="000000"/>
                </a:solidFill>
              </a:ln>
              <a:effectLst/>
            </c:spPr>
            <c:extLst>
              <c:ext xmlns:c16="http://schemas.microsoft.com/office/drawing/2014/chart" uri="{C3380CC4-5D6E-409C-BE32-E72D297353CC}">
                <c16:uniqueId val="{0000003F-E778-476C-8B59-7A02753FC035}"/>
              </c:ext>
            </c:extLst>
          </c:dPt>
          <c:dPt>
            <c:idx val="32"/>
            <c:invertIfNegative val="0"/>
            <c:bubble3D val="0"/>
            <c:spPr>
              <a:solidFill>
                <a:schemeClr val="accent3">
                  <a:lumMod val="50000"/>
                </a:schemeClr>
              </a:solidFill>
              <a:ln>
                <a:solidFill>
                  <a:sysClr val="windowText" lastClr="000000"/>
                </a:solidFill>
              </a:ln>
              <a:effectLst/>
            </c:spPr>
            <c:extLst>
              <c:ext xmlns:c16="http://schemas.microsoft.com/office/drawing/2014/chart" uri="{C3380CC4-5D6E-409C-BE32-E72D297353CC}">
                <c16:uniqueId val="{00000041-E778-476C-8B59-7A02753FC035}"/>
              </c:ext>
            </c:extLst>
          </c:dPt>
          <c:dPt>
            <c:idx val="33"/>
            <c:invertIfNegative val="0"/>
            <c:bubble3D val="0"/>
            <c:spPr>
              <a:solidFill>
                <a:schemeClr val="accent4">
                  <a:lumMod val="50000"/>
                </a:schemeClr>
              </a:solidFill>
              <a:ln>
                <a:solidFill>
                  <a:sysClr val="windowText" lastClr="000000"/>
                </a:solidFill>
              </a:ln>
              <a:effectLst/>
            </c:spPr>
            <c:extLst>
              <c:ext xmlns:c16="http://schemas.microsoft.com/office/drawing/2014/chart" uri="{C3380CC4-5D6E-409C-BE32-E72D297353CC}">
                <c16:uniqueId val="{00000043-E778-476C-8B59-7A02753FC035}"/>
              </c:ext>
            </c:extLst>
          </c:dPt>
          <c:dPt>
            <c:idx val="34"/>
            <c:invertIfNegative val="0"/>
            <c:bubble3D val="0"/>
            <c:spPr>
              <a:solidFill>
                <a:schemeClr val="accent5">
                  <a:lumMod val="50000"/>
                </a:schemeClr>
              </a:solidFill>
              <a:ln>
                <a:solidFill>
                  <a:sysClr val="windowText" lastClr="000000"/>
                </a:solidFill>
              </a:ln>
              <a:effectLst/>
            </c:spPr>
            <c:extLst>
              <c:ext xmlns:c16="http://schemas.microsoft.com/office/drawing/2014/chart" uri="{C3380CC4-5D6E-409C-BE32-E72D297353CC}">
                <c16:uniqueId val="{00000045-E778-476C-8B59-7A02753FC035}"/>
              </c:ext>
            </c:extLst>
          </c:dPt>
          <c:dPt>
            <c:idx val="35"/>
            <c:invertIfNegative val="0"/>
            <c:bubble3D val="0"/>
            <c:spPr>
              <a:solidFill>
                <a:schemeClr val="accent6">
                  <a:lumMod val="50000"/>
                </a:schemeClr>
              </a:solidFill>
              <a:ln>
                <a:solidFill>
                  <a:sysClr val="windowText" lastClr="000000"/>
                </a:solidFill>
              </a:ln>
              <a:effectLst/>
            </c:spPr>
            <c:extLst>
              <c:ext xmlns:c16="http://schemas.microsoft.com/office/drawing/2014/chart" uri="{C3380CC4-5D6E-409C-BE32-E72D297353CC}">
                <c16:uniqueId val="{00000047-E778-476C-8B59-7A02753FC035}"/>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2" charset="0"/>
                    <a:ea typeface="+mn-ea"/>
                    <a:cs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cmpd="sng" algn="ctr">
                <a:solidFill>
                  <a:schemeClr val="accent2"/>
                </a:solidFill>
                <a:prstDash val="sysDot"/>
                <a:round/>
              </a:ln>
              <a:effectLst/>
            </c:spPr>
            <c:trendlineType val="linear"/>
            <c:dispRSqr val="0"/>
            <c:dispEq val="0"/>
          </c:trendline>
          <c:trendline>
            <c:spPr>
              <a:ln w="19050" cap="rnd" cmpd="sng" algn="ctr">
                <a:solidFill>
                  <a:schemeClr val="accent2"/>
                </a:solidFill>
                <a:prstDash val="sysDot"/>
                <a:round/>
              </a:ln>
              <a:effectLst/>
            </c:spPr>
            <c:trendlineType val="linear"/>
            <c:dispRSqr val="0"/>
            <c:dispEq val="0"/>
          </c:trendline>
          <c:cat>
            <c:numRef>
              <c:f>Sheet1!$A$2:$A$37</c:f>
              <c:numCache>
                <c:formatCode>General</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cat>
          <c:val>
            <c:numRef>
              <c:f>Sheet1!$B$2:$B$37</c:f>
              <c:numCache>
                <c:formatCode>General</c:formatCode>
                <c:ptCount val="36"/>
                <c:pt idx="0">
                  <c:v>1</c:v>
                </c:pt>
                <c:pt idx="1">
                  <c:v>0</c:v>
                </c:pt>
                <c:pt idx="2">
                  <c:v>0</c:v>
                </c:pt>
                <c:pt idx="3">
                  <c:v>1</c:v>
                </c:pt>
                <c:pt idx="4">
                  <c:v>0</c:v>
                </c:pt>
                <c:pt idx="5">
                  <c:v>0</c:v>
                </c:pt>
                <c:pt idx="6">
                  <c:v>1</c:v>
                </c:pt>
                <c:pt idx="7">
                  <c:v>1</c:v>
                </c:pt>
                <c:pt idx="8">
                  <c:v>4</c:v>
                </c:pt>
                <c:pt idx="9">
                  <c:v>1</c:v>
                </c:pt>
                <c:pt idx="10">
                  <c:v>1</c:v>
                </c:pt>
                <c:pt idx="11">
                  <c:v>2</c:v>
                </c:pt>
                <c:pt idx="12">
                  <c:v>0</c:v>
                </c:pt>
                <c:pt idx="13">
                  <c:v>4</c:v>
                </c:pt>
                <c:pt idx="14">
                  <c:v>2</c:v>
                </c:pt>
                <c:pt idx="15">
                  <c:v>6</c:v>
                </c:pt>
                <c:pt idx="16">
                  <c:v>6</c:v>
                </c:pt>
                <c:pt idx="17">
                  <c:v>4</c:v>
                </c:pt>
                <c:pt idx="18">
                  <c:v>4</c:v>
                </c:pt>
                <c:pt idx="19">
                  <c:v>6</c:v>
                </c:pt>
                <c:pt idx="20">
                  <c:v>6</c:v>
                </c:pt>
                <c:pt idx="21">
                  <c:v>5</c:v>
                </c:pt>
                <c:pt idx="22">
                  <c:v>8</c:v>
                </c:pt>
                <c:pt idx="23">
                  <c:v>7</c:v>
                </c:pt>
                <c:pt idx="24">
                  <c:v>10</c:v>
                </c:pt>
                <c:pt idx="25">
                  <c:v>10</c:v>
                </c:pt>
                <c:pt idx="26">
                  <c:v>9</c:v>
                </c:pt>
                <c:pt idx="27">
                  <c:v>12</c:v>
                </c:pt>
                <c:pt idx="28">
                  <c:v>10</c:v>
                </c:pt>
                <c:pt idx="29">
                  <c:v>6</c:v>
                </c:pt>
                <c:pt idx="30">
                  <c:v>5</c:v>
                </c:pt>
                <c:pt idx="31">
                  <c:v>10</c:v>
                </c:pt>
                <c:pt idx="32">
                  <c:v>0</c:v>
                </c:pt>
                <c:pt idx="33">
                  <c:v>1</c:v>
                </c:pt>
                <c:pt idx="34">
                  <c:v>4</c:v>
                </c:pt>
                <c:pt idx="35">
                  <c:v>1</c:v>
                </c:pt>
              </c:numCache>
            </c:numRef>
          </c:val>
          <c:extLst>
            <c:ext xmlns:c16="http://schemas.microsoft.com/office/drawing/2014/chart" uri="{C3380CC4-5D6E-409C-BE32-E72D297353CC}">
              <c16:uniqueId val="{0000004A-E778-476C-8B59-7A02753FC035}"/>
            </c:ext>
          </c:extLst>
        </c:ser>
        <c:dLbls>
          <c:showLegendKey val="0"/>
          <c:showVal val="0"/>
          <c:showCatName val="0"/>
          <c:showSerName val="0"/>
          <c:showPercent val="0"/>
          <c:showBubbleSize val="0"/>
        </c:dLbls>
        <c:gapWidth val="50"/>
        <c:overlap val="-27"/>
        <c:axId val="115519872"/>
        <c:axId val="115521792"/>
      </c:barChart>
      <c:catAx>
        <c:axId val="115519872"/>
        <c:scaling>
          <c:orientation val="minMax"/>
        </c:scaling>
        <c:delete val="0"/>
        <c:axPos val="b"/>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900">
                    <a:solidFill>
                      <a:schemeClr val="tx1"/>
                    </a:solidFill>
                    <a:latin typeface="Arial" panose="020B0604020202020204" pitchFamily="2" charset="0"/>
                    <a:cs typeface="Arial" panose="020B0604020202020204" pitchFamily="2" charset="0"/>
                  </a:rPr>
                  <a:t>Year</a:t>
                </a:r>
              </a:p>
            </c:rich>
          </c:tx>
          <c:layout>
            <c:manualLayout>
              <c:xMode val="edge"/>
              <c:yMode val="edge"/>
              <c:x val="0.47824430280583302"/>
              <c:y val="0.933091874430457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54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endParaRPr lang="en-US"/>
          </a:p>
        </c:txPr>
        <c:crossAx val="115521792"/>
        <c:crosses val="autoZero"/>
        <c:auto val="1"/>
        <c:lblAlgn val="ctr"/>
        <c:lblOffset val="100"/>
        <c:noMultiLvlLbl val="0"/>
      </c:catAx>
      <c:valAx>
        <c:axId val="1155217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2" charset="0"/>
                    <a:ea typeface="+mn-ea"/>
                    <a:cs typeface="Arial" panose="020B0604020202020204" pitchFamily="2" charset="0"/>
                  </a:defRPr>
                </a:pPr>
                <a:r>
                  <a:rPr lang="en-US" sz="900">
                    <a:solidFill>
                      <a:schemeClr val="tx1"/>
                    </a:solidFill>
                    <a:latin typeface="Arial" panose="020B0604020202020204" pitchFamily="2" charset="0"/>
                    <a:cs typeface="Arial" panose="020B0604020202020204" pitchFamily="2" charset="0"/>
                  </a:rPr>
                  <a:t>Number of publications</a:t>
                </a:r>
              </a:p>
            </c:rich>
          </c:tx>
          <c:layout>
            <c:manualLayout>
              <c:xMode val="edge"/>
              <c:yMode val="edge"/>
              <c:x val="0"/>
              <c:y val="0.35493176398688198"/>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115519872"/>
        <c:crosses val="autoZero"/>
        <c:crossBetween val="between"/>
      </c:valAx>
      <c:spPr>
        <a:noFill/>
        <a:ln>
          <a:noFill/>
        </a:ln>
        <a:effectLst/>
      </c:spPr>
    </c:plotArea>
    <c:plotVisOnly val="1"/>
    <c:dispBlanksAs val="gap"/>
    <c:showDLblsOverMax val="0"/>
    <c:extLst>
      <c:ext uri="{0b15fc19-7d7d-44ad-8c2d-2c3a37ce22c3}">
        <chartProps xmlns="https://web.wps.cn/et/2018/main" chartId="{df9e0eae-a7bb-4637-8886-7c6e8629412c}"/>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7C8806-64F6-4DBF-8FAB-9F1EAA01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18</Pages>
  <Words>7452</Words>
  <Characters>42477</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1186</cp:lastModifiedBy>
  <cp:revision>36</cp:revision>
  <dcterms:created xsi:type="dcterms:W3CDTF">2025-09-25T10:26:00Z</dcterms:created>
  <dcterms:modified xsi:type="dcterms:W3CDTF">2025-10-08T06:31:00Z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9CB95C857DE043F8B29223E57C2EB430_13</vt:lpwstr>
  </property>
</Properties>
</file>