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53D73" w14:textId="77777777" w:rsidR="004609F0" w:rsidRDefault="00BC7B8C">
      <w:pPr>
        <w:widowControl w:val="0"/>
        <w:pBdr>
          <w:top w:val="nil"/>
          <w:left w:val="nil"/>
          <w:bottom w:val="nil"/>
          <w:right w:val="nil"/>
          <w:between w:val="nil"/>
        </w:pBdr>
        <w:spacing w:after="0" w:line="276" w:lineRule="auto"/>
      </w:pPr>
      <w:bookmarkStart w:id="0" w:name="_GoBack"/>
      <w:bookmarkEnd w:id="0"/>
      <w:r>
        <w:pict w14:anchorId="6BDB4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728;visibility:hidden">
            <o:lock v:ext="edit" selection="t"/>
          </v:shape>
        </w:pict>
      </w:r>
      <w:r>
        <w:pict w14:anchorId="5769AC0A">
          <v:shape id="_x0000_s1027" type="#_x0000_t136" style="position:absolute;margin-left:0;margin-top:0;width:50pt;height:50pt;z-index:251658752;visibility:hidden">
            <o:lock v:ext="edit" selection="t"/>
          </v:shape>
        </w:pict>
      </w:r>
      <w:r>
        <w:pict w14:anchorId="0BF9D8C6">
          <v:shape id="_x0000_s1026" type="#_x0000_t136" style="position:absolute;margin-left:0;margin-top:0;width:50pt;height:50pt;z-index:251659776;visibility:hidden">
            <o:lock v:ext="edit" selection="t"/>
          </v:shape>
        </w:pict>
      </w:r>
    </w:p>
    <w:p w14:paraId="5FD342BC" w14:textId="77777777" w:rsidR="004609F0" w:rsidRDefault="00BC7B8C">
      <w:pPr>
        <w:spacing w:line="240" w:lineRule="auto"/>
        <w:jc w:val="both"/>
        <w:rPr>
          <w:rFonts w:ascii="Arial" w:eastAsia="Arial" w:hAnsi="Arial" w:cs="Arial"/>
          <w:b/>
          <w:sz w:val="24"/>
          <w:szCs w:val="24"/>
        </w:rPr>
      </w:pPr>
      <w:r>
        <w:rPr>
          <w:rFonts w:ascii="Arial" w:eastAsia="Arial" w:hAnsi="Arial" w:cs="Arial"/>
          <w:b/>
          <w:sz w:val="24"/>
          <w:szCs w:val="24"/>
        </w:rPr>
        <w:t>Original Research Article</w:t>
      </w:r>
    </w:p>
    <w:p w14:paraId="46B41DF5" w14:textId="77777777" w:rsidR="004609F0" w:rsidRDefault="004609F0">
      <w:pPr>
        <w:spacing w:line="240" w:lineRule="auto"/>
        <w:jc w:val="both"/>
        <w:rPr>
          <w:rFonts w:ascii="Arial" w:eastAsia="Arial" w:hAnsi="Arial" w:cs="Arial"/>
          <w:b/>
          <w:sz w:val="24"/>
          <w:szCs w:val="24"/>
        </w:rPr>
      </w:pPr>
    </w:p>
    <w:p w14:paraId="06EE1CEB" w14:textId="77777777" w:rsidR="004609F0" w:rsidRDefault="00BC7B8C">
      <w:pPr>
        <w:spacing w:line="240" w:lineRule="auto"/>
        <w:jc w:val="both"/>
        <w:rPr>
          <w:rFonts w:ascii="Arial" w:eastAsia="Arial" w:hAnsi="Arial" w:cs="Arial"/>
          <w:b/>
          <w:sz w:val="24"/>
          <w:szCs w:val="24"/>
        </w:rPr>
      </w:pPr>
      <w:r>
        <w:rPr>
          <w:rFonts w:ascii="Arial" w:eastAsia="Arial" w:hAnsi="Arial" w:cs="Arial"/>
          <w:b/>
          <w:sz w:val="24"/>
          <w:szCs w:val="24"/>
        </w:rPr>
        <w:t xml:space="preserve">Hydrogeochemical Assessment and Irrigation Suitability of Groundwater in </w:t>
      </w:r>
      <w:proofErr w:type="spellStart"/>
      <w:r>
        <w:rPr>
          <w:rFonts w:ascii="Arial" w:eastAsia="Arial" w:hAnsi="Arial" w:cs="Arial"/>
          <w:b/>
          <w:sz w:val="24"/>
          <w:szCs w:val="24"/>
        </w:rPr>
        <w:t>Banaskantha’s</w:t>
      </w:r>
      <w:proofErr w:type="spellEnd"/>
      <w:r>
        <w:rPr>
          <w:rFonts w:ascii="Arial" w:eastAsia="Arial" w:hAnsi="Arial" w:cs="Arial"/>
          <w:b/>
          <w:sz w:val="24"/>
          <w:szCs w:val="24"/>
        </w:rPr>
        <w:t xml:space="preserve"> Vegetation Zone, India</w:t>
      </w:r>
    </w:p>
    <w:p w14:paraId="505AB79F" w14:textId="77777777" w:rsidR="004609F0" w:rsidRDefault="004609F0">
      <w:pPr>
        <w:spacing w:line="240" w:lineRule="auto"/>
        <w:jc w:val="both"/>
        <w:rPr>
          <w:rFonts w:ascii="Arial" w:eastAsia="Arial" w:hAnsi="Arial" w:cs="Arial"/>
          <w:b/>
          <w:sz w:val="24"/>
          <w:szCs w:val="24"/>
        </w:rPr>
      </w:pPr>
    </w:p>
    <w:p w14:paraId="434337D0" w14:textId="77777777" w:rsidR="004609F0" w:rsidRDefault="004609F0">
      <w:pPr>
        <w:spacing w:line="240" w:lineRule="auto"/>
        <w:jc w:val="both"/>
        <w:rPr>
          <w:rFonts w:ascii="Arial" w:eastAsia="Arial" w:hAnsi="Arial" w:cs="Arial"/>
          <w:b/>
          <w:sz w:val="24"/>
          <w:szCs w:val="24"/>
        </w:rPr>
      </w:pPr>
    </w:p>
    <w:p w14:paraId="04C0F35E" w14:textId="77777777" w:rsidR="004609F0" w:rsidRDefault="00BC7B8C">
      <w:pPr>
        <w:spacing w:line="240" w:lineRule="auto"/>
        <w:rPr>
          <w:rFonts w:ascii="Arial" w:eastAsia="Arial" w:hAnsi="Arial" w:cs="Arial"/>
          <w:b/>
          <w:sz w:val="24"/>
          <w:szCs w:val="24"/>
        </w:rPr>
      </w:pPr>
      <w:r>
        <w:rPr>
          <w:rFonts w:ascii="Arial" w:eastAsia="Arial" w:hAnsi="Arial" w:cs="Arial"/>
          <w:b/>
          <w:sz w:val="24"/>
          <w:szCs w:val="24"/>
        </w:rPr>
        <w:t xml:space="preserve">Abstract </w:t>
      </w:r>
    </w:p>
    <w:p w14:paraId="79451797" w14:textId="77777777" w:rsidR="004609F0" w:rsidRDefault="00BC7B8C">
      <w:pPr>
        <w:spacing w:line="240" w:lineRule="auto"/>
        <w:jc w:val="both"/>
        <w:rPr>
          <w:rFonts w:ascii="Arial" w:eastAsia="Arial" w:hAnsi="Arial" w:cs="Arial"/>
          <w:sz w:val="24"/>
          <w:szCs w:val="24"/>
          <w:highlight w:val="yellow"/>
        </w:rPr>
      </w:pPr>
      <w:r>
        <w:rPr>
          <w:rFonts w:ascii="Arial" w:eastAsia="Arial" w:hAnsi="Arial" w:cs="Arial"/>
          <w:sz w:val="24"/>
          <w:szCs w:val="24"/>
        </w:rPr>
        <w:t xml:space="preserve">Groundwater is the primary source of water for domestic and agricultural needs in the semi-arid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district of Gujarat, India. This study presents a </w:t>
      </w:r>
      <w:r>
        <w:rPr>
          <w:rFonts w:ascii="Arial" w:eastAsia="Arial" w:hAnsi="Arial" w:cs="Arial"/>
          <w:sz w:val="24"/>
          <w:szCs w:val="24"/>
        </w:rPr>
        <w:t>comprehensive hydrogeochemical analysis of 207 groundwater samples collected from the vegetation zone in 2021 during the post-monsoon season.  pH, EC, TDS, TH, Ca</w:t>
      </w:r>
      <w:r>
        <w:rPr>
          <w:rFonts w:ascii="Arial" w:eastAsia="Arial" w:hAnsi="Arial" w:cs="Arial"/>
          <w:sz w:val="24"/>
          <w:szCs w:val="24"/>
          <w:vertAlign w:val="superscript"/>
        </w:rPr>
        <w:t>2+</w:t>
      </w:r>
      <w:r>
        <w:rPr>
          <w:rFonts w:ascii="Arial" w:eastAsia="Arial" w:hAnsi="Arial" w:cs="Arial"/>
          <w:sz w:val="24"/>
          <w:szCs w:val="24"/>
        </w:rPr>
        <w:t>, Mg</w:t>
      </w:r>
      <w:r>
        <w:rPr>
          <w:rFonts w:ascii="Arial" w:eastAsia="Arial" w:hAnsi="Arial" w:cs="Arial"/>
          <w:sz w:val="24"/>
          <w:szCs w:val="24"/>
          <w:vertAlign w:val="superscript"/>
        </w:rPr>
        <w:t>2+</w:t>
      </w:r>
      <w:r>
        <w:rPr>
          <w:rFonts w:ascii="Arial" w:eastAsia="Arial" w:hAnsi="Arial" w:cs="Arial"/>
          <w:sz w:val="24"/>
          <w:szCs w:val="24"/>
        </w:rPr>
        <w:t>, Na</w:t>
      </w:r>
      <w:r>
        <w:rPr>
          <w:rFonts w:ascii="Arial" w:eastAsia="Arial" w:hAnsi="Arial" w:cs="Arial"/>
          <w:sz w:val="24"/>
          <w:szCs w:val="24"/>
          <w:vertAlign w:val="superscript"/>
        </w:rPr>
        <w:t>+</w:t>
      </w:r>
      <w:r>
        <w:rPr>
          <w:rFonts w:ascii="Arial" w:eastAsia="Arial" w:hAnsi="Arial" w:cs="Arial"/>
          <w:sz w:val="24"/>
          <w:szCs w:val="24"/>
        </w:rPr>
        <w:t>, K</w:t>
      </w:r>
      <w:r>
        <w:rPr>
          <w:rFonts w:ascii="Arial" w:eastAsia="Arial" w:hAnsi="Arial" w:cs="Arial"/>
          <w:sz w:val="24"/>
          <w:szCs w:val="24"/>
          <w:vertAlign w:val="superscript"/>
        </w:rPr>
        <w:t>+</w:t>
      </w:r>
      <w:r>
        <w:rPr>
          <w:rFonts w:ascii="Arial" w:eastAsia="Arial" w:hAnsi="Arial" w:cs="Arial"/>
          <w:sz w:val="24"/>
          <w:szCs w:val="24"/>
        </w:rPr>
        <w:t>, Cl</w:t>
      </w:r>
      <w:r>
        <w:rPr>
          <w:rFonts w:ascii="Arial" w:eastAsia="Arial" w:hAnsi="Arial" w:cs="Arial"/>
          <w:sz w:val="24"/>
          <w:szCs w:val="24"/>
          <w:vertAlign w:val="superscript"/>
        </w:rPr>
        <w:t>-</w:t>
      </w:r>
      <w:r>
        <w:rPr>
          <w:rFonts w:ascii="Arial" w:eastAsia="Arial" w:hAnsi="Arial" w:cs="Arial"/>
          <w:sz w:val="24"/>
          <w:szCs w:val="24"/>
        </w:rPr>
        <w:t>, SO</w:t>
      </w:r>
      <w:r>
        <w:rPr>
          <w:rFonts w:ascii="Cambria Math" w:eastAsia="Cambria Math" w:hAnsi="Cambria Math" w:cs="Cambria Math"/>
          <w:sz w:val="24"/>
          <w:szCs w:val="24"/>
        </w:rPr>
        <w:t>₄</w:t>
      </w:r>
      <w:r>
        <w:rPr>
          <w:rFonts w:ascii="Arial" w:eastAsia="Arial" w:hAnsi="Arial" w:cs="Arial"/>
          <w:sz w:val="24"/>
          <w:szCs w:val="24"/>
        </w:rPr>
        <w:t>²</w:t>
      </w:r>
      <w:r>
        <w:rPr>
          <w:rFonts w:ascii="Cambria Math" w:eastAsia="Cambria Math" w:hAnsi="Cambria Math" w:cs="Cambria Math"/>
          <w:sz w:val="24"/>
          <w:szCs w:val="24"/>
        </w:rPr>
        <w:t>⁻</w:t>
      </w:r>
      <w:r>
        <w:rPr>
          <w:rFonts w:ascii="Arial" w:eastAsia="Arial" w:hAnsi="Arial" w:cs="Arial"/>
          <w:sz w:val="24"/>
          <w:szCs w:val="24"/>
        </w:rPr>
        <w:t>, HCO</w:t>
      </w:r>
      <w:r>
        <w:rPr>
          <w:rFonts w:ascii="Cambria Math" w:eastAsia="Cambria Math" w:hAnsi="Cambria Math" w:cs="Cambria Math"/>
          <w:sz w:val="24"/>
          <w:szCs w:val="24"/>
        </w:rPr>
        <w:t>₃⁻</w:t>
      </w:r>
      <w:r>
        <w:rPr>
          <w:rFonts w:ascii="Arial" w:eastAsia="Arial" w:hAnsi="Arial" w:cs="Arial"/>
          <w:sz w:val="24"/>
          <w:szCs w:val="24"/>
        </w:rPr>
        <w:t>, CO</w:t>
      </w:r>
      <w:r>
        <w:rPr>
          <w:rFonts w:ascii="Cambria Math" w:eastAsia="Cambria Math" w:hAnsi="Cambria Math" w:cs="Cambria Math"/>
          <w:sz w:val="24"/>
          <w:szCs w:val="24"/>
        </w:rPr>
        <w:t>₃</w:t>
      </w:r>
      <w:r>
        <w:rPr>
          <w:rFonts w:ascii="Arial" w:eastAsia="Arial" w:hAnsi="Arial" w:cs="Arial"/>
          <w:sz w:val="24"/>
          <w:szCs w:val="24"/>
        </w:rPr>
        <w:t>²</w:t>
      </w:r>
      <w:r>
        <w:rPr>
          <w:rFonts w:ascii="Cambria Math" w:eastAsia="Cambria Math" w:hAnsi="Cambria Math" w:cs="Cambria Math"/>
          <w:sz w:val="24"/>
          <w:szCs w:val="24"/>
        </w:rPr>
        <w:t>⁻</w:t>
      </w:r>
      <w:r>
        <w:rPr>
          <w:rFonts w:ascii="Arial" w:eastAsia="Arial" w:hAnsi="Arial" w:cs="Arial"/>
          <w:sz w:val="24"/>
          <w:szCs w:val="24"/>
        </w:rPr>
        <w:t>, NO</w:t>
      </w:r>
      <w:r>
        <w:rPr>
          <w:rFonts w:ascii="Cambria Math" w:eastAsia="Cambria Math" w:hAnsi="Cambria Math" w:cs="Cambria Math"/>
          <w:sz w:val="24"/>
          <w:szCs w:val="24"/>
        </w:rPr>
        <w:t>₃⁻</w:t>
      </w:r>
      <w:r>
        <w:rPr>
          <w:rFonts w:ascii="Arial" w:eastAsia="Arial" w:hAnsi="Arial" w:cs="Arial"/>
          <w:sz w:val="24"/>
          <w:szCs w:val="24"/>
        </w:rPr>
        <w:t>, and F</w:t>
      </w:r>
      <w:r>
        <w:rPr>
          <w:rFonts w:ascii="Cambria Math" w:eastAsia="Cambria Math" w:hAnsi="Cambria Math" w:cs="Cambria Math"/>
          <w:sz w:val="24"/>
          <w:szCs w:val="24"/>
        </w:rPr>
        <w:t>⁻</w:t>
      </w:r>
      <w:r>
        <w:rPr>
          <w:rFonts w:ascii="Arial" w:eastAsia="Arial" w:hAnsi="Arial" w:cs="Arial"/>
          <w:sz w:val="24"/>
          <w:szCs w:val="24"/>
        </w:rPr>
        <w:t xml:space="preserve"> were among the physicochemical param</w:t>
      </w:r>
      <w:r>
        <w:rPr>
          <w:rFonts w:ascii="Arial" w:eastAsia="Arial" w:hAnsi="Arial" w:cs="Arial"/>
          <w:sz w:val="24"/>
          <w:szCs w:val="24"/>
        </w:rPr>
        <w:t>eters that were examined and contrasted with BIS and WHO standards.  The majority of the samples have high salinity, excessive hardness, and high levels of carbonate and chloride, according to the results, making the water mostly unfit for human consumptio</w:t>
      </w:r>
      <w:r>
        <w:rPr>
          <w:rFonts w:ascii="Arial" w:eastAsia="Arial" w:hAnsi="Arial" w:cs="Arial"/>
          <w:sz w:val="24"/>
          <w:szCs w:val="24"/>
        </w:rPr>
        <w:t xml:space="preserve">n.  Rock-water interactions, evaporation, and human inputs have modified the </w:t>
      </w:r>
      <w:proofErr w:type="spellStart"/>
      <w:r>
        <w:rPr>
          <w:rFonts w:ascii="Arial" w:eastAsia="Arial" w:hAnsi="Arial" w:cs="Arial"/>
          <w:sz w:val="24"/>
          <w:szCs w:val="24"/>
        </w:rPr>
        <w:t>hydrochemical</w:t>
      </w:r>
      <w:proofErr w:type="spellEnd"/>
      <w:r>
        <w:rPr>
          <w:rFonts w:ascii="Arial" w:eastAsia="Arial" w:hAnsi="Arial" w:cs="Arial"/>
          <w:sz w:val="24"/>
          <w:szCs w:val="24"/>
        </w:rPr>
        <w:t xml:space="preserve"> facies characterised by Piper and </w:t>
      </w:r>
      <w:proofErr w:type="spellStart"/>
      <w:r>
        <w:rPr>
          <w:rFonts w:ascii="Arial" w:eastAsia="Arial" w:hAnsi="Arial" w:cs="Arial"/>
          <w:sz w:val="24"/>
          <w:szCs w:val="24"/>
        </w:rPr>
        <w:t>Durov</w:t>
      </w:r>
      <w:proofErr w:type="spellEnd"/>
      <w:r>
        <w:rPr>
          <w:rFonts w:ascii="Arial" w:eastAsia="Arial" w:hAnsi="Arial" w:cs="Arial"/>
          <w:sz w:val="24"/>
          <w:szCs w:val="24"/>
        </w:rPr>
        <w:t xml:space="preserve"> diagrams, which show the dominance of Ca–Mg–Cl–SO</w:t>
      </w:r>
      <w:r>
        <w:rPr>
          <w:rFonts w:ascii="Cambria Math" w:eastAsia="Cambria Math" w:hAnsi="Cambria Math" w:cs="Cambria Math"/>
          <w:sz w:val="24"/>
          <w:szCs w:val="24"/>
        </w:rPr>
        <w:t>₄</w:t>
      </w:r>
      <w:r>
        <w:rPr>
          <w:rFonts w:ascii="Arial" w:eastAsia="Arial" w:hAnsi="Arial" w:cs="Arial"/>
          <w:sz w:val="24"/>
          <w:szCs w:val="24"/>
        </w:rPr>
        <w:t xml:space="preserve"> and Na–Cl types. In addition to the Irrigation Water Quality Index (IWQI),</w:t>
      </w:r>
      <w:r>
        <w:rPr>
          <w:rFonts w:ascii="Arial" w:eastAsia="Arial" w:hAnsi="Arial" w:cs="Arial"/>
          <w:sz w:val="24"/>
          <w:szCs w:val="24"/>
        </w:rPr>
        <w:t xml:space="preserve"> indices like SAR, MAR, KR, PI, PS, and RSC were used to assess irrigation suitability.  Irrigation use is restricted by high magnesium hazard and heightened potential salinity, even if SAR readings indicate low </w:t>
      </w:r>
      <w:proofErr w:type="spellStart"/>
      <w:r>
        <w:rPr>
          <w:rFonts w:ascii="Arial" w:eastAsia="Arial" w:hAnsi="Arial" w:cs="Arial"/>
          <w:sz w:val="24"/>
          <w:szCs w:val="24"/>
        </w:rPr>
        <w:t>sodicity</w:t>
      </w:r>
      <w:proofErr w:type="spellEnd"/>
      <w:r>
        <w:rPr>
          <w:rFonts w:ascii="Arial" w:eastAsia="Arial" w:hAnsi="Arial" w:cs="Arial"/>
          <w:sz w:val="24"/>
          <w:szCs w:val="24"/>
        </w:rPr>
        <w:t xml:space="preserve"> hazard.  </w:t>
      </w:r>
      <w:r>
        <w:rPr>
          <w:rFonts w:ascii="Arial" w:eastAsia="Arial" w:hAnsi="Arial" w:cs="Arial"/>
          <w:sz w:val="24"/>
          <w:szCs w:val="24"/>
          <w:highlight w:val="yellow"/>
        </w:rPr>
        <w:t>Evaluation of irrigation w</w:t>
      </w:r>
      <w:r>
        <w:rPr>
          <w:rFonts w:ascii="Arial" w:eastAsia="Arial" w:hAnsi="Arial" w:cs="Arial"/>
          <w:sz w:val="24"/>
          <w:szCs w:val="24"/>
          <w:highlight w:val="yellow"/>
        </w:rPr>
        <w:t xml:space="preserve">ater quality using </w:t>
      </w:r>
      <w:proofErr w:type="spellStart"/>
      <w:r>
        <w:rPr>
          <w:rFonts w:ascii="Arial" w:eastAsia="Arial" w:hAnsi="Arial" w:cs="Arial"/>
          <w:sz w:val="24"/>
          <w:szCs w:val="24"/>
          <w:highlight w:val="yellow"/>
        </w:rPr>
        <w:t>IWQi</w:t>
      </w:r>
      <w:proofErr w:type="spellEnd"/>
      <w:r>
        <w:rPr>
          <w:rFonts w:ascii="Arial" w:eastAsia="Arial" w:hAnsi="Arial" w:cs="Arial"/>
          <w:sz w:val="24"/>
          <w:szCs w:val="24"/>
          <w:highlight w:val="yellow"/>
        </w:rPr>
        <w:t xml:space="preserve"> values shows that only 1.45% of samples fall under the ‘no restriction’ category, while 18.84% have ‘low restriction.’ About 35.27% of samples are classified as ‘moderate restriction,’ and 39.61% as ‘high restriction,’ raising conce</w:t>
      </w:r>
      <w:r>
        <w:rPr>
          <w:rFonts w:ascii="Arial" w:eastAsia="Arial" w:hAnsi="Arial" w:cs="Arial"/>
          <w:sz w:val="24"/>
          <w:szCs w:val="24"/>
          <w:highlight w:val="yellow"/>
        </w:rPr>
        <w:t>rns about long-term soil and crop health. A further 4.83% fall into the ‘severe restriction’ class, indicating unsuitability for irrigation.</w:t>
      </w:r>
      <w:r>
        <w:rPr>
          <w:rFonts w:ascii="Arial" w:eastAsia="Arial" w:hAnsi="Arial" w:cs="Arial"/>
          <w:sz w:val="24"/>
          <w:szCs w:val="24"/>
        </w:rPr>
        <w:t>"  Critical salinity and alkalinity danger zones are highlighted by spatial distribution mapping using GIS.  To ensu</w:t>
      </w:r>
      <w:r>
        <w:rPr>
          <w:rFonts w:ascii="Arial" w:eastAsia="Arial" w:hAnsi="Arial" w:cs="Arial"/>
          <w:sz w:val="24"/>
          <w:szCs w:val="24"/>
        </w:rPr>
        <w:t xml:space="preserve">re stable agricultural output, the results underscore the crucial need for sustainable groundwater management and soil-water conservation techniques. </w:t>
      </w:r>
      <w:r>
        <w:rPr>
          <w:rFonts w:ascii="Arial" w:eastAsia="Arial" w:hAnsi="Arial" w:cs="Arial"/>
          <w:sz w:val="24"/>
          <w:szCs w:val="24"/>
          <w:highlight w:val="yellow"/>
        </w:rPr>
        <w:t xml:space="preserve">These findings underscore the urgent need for sustainable groundwater management, soil–water conservation </w:t>
      </w:r>
      <w:r>
        <w:rPr>
          <w:rFonts w:ascii="Arial" w:eastAsia="Arial" w:hAnsi="Arial" w:cs="Arial"/>
          <w:sz w:val="24"/>
          <w:szCs w:val="24"/>
          <w:highlight w:val="yellow"/>
        </w:rPr>
        <w:t>strategies, and policy interventions focused on regulating groundwater extraction, promoting efficient irrigation practices, and ensuring long-term water security in the region.</w:t>
      </w:r>
    </w:p>
    <w:p w14:paraId="6AA6EFC4" w14:textId="77777777" w:rsidR="004609F0" w:rsidRDefault="00BC7B8C">
      <w:pPr>
        <w:spacing w:line="240" w:lineRule="auto"/>
        <w:rPr>
          <w:rFonts w:ascii="Arial" w:eastAsia="Arial" w:hAnsi="Arial" w:cs="Arial"/>
          <w:sz w:val="24"/>
          <w:szCs w:val="24"/>
        </w:rPr>
      </w:pPr>
      <w:r>
        <w:rPr>
          <w:rFonts w:ascii="Arial" w:eastAsia="Arial" w:hAnsi="Arial" w:cs="Arial"/>
          <w:b/>
          <w:sz w:val="24"/>
          <w:szCs w:val="24"/>
        </w:rPr>
        <w:t xml:space="preserve">Key-words: </w:t>
      </w:r>
      <w:r>
        <w:rPr>
          <w:rFonts w:ascii="Arial" w:eastAsia="Arial" w:hAnsi="Arial" w:cs="Arial"/>
          <w:sz w:val="24"/>
          <w:szCs w:val="24"/>
        </w:rPr>
        <w:t>Hydrogeochemical, Irrigation water Quality index, Groundwater Suita</w:t>
      </w:r>
      <w:r>
        <w:rPr>
          <w:rFonts w:ascii="Arial" w:eastAsia="Arial" w:hAnsi="Arial" w:cs="Arial"/>
          <w:sz w:val="24"/>
          <w:szCs w:val="24"/>
        </w:rPr>
        <w:t>bility, Water Management</w:t>
      </w:r>
    </w:p>
    <w:p w14:paraId="21493268" w14:textId="77777777" w:rsidR="004609F0" w:rsidRDefault="00BC7B8C">
      <w:pPr>
        <w:spacing w:line="240" w:lineRule="auto"/>
        <w:rPr>
          <w:rFonts w:ascii="Arial" w:eastAsia="Arial" w:hAnsi="Arial" w:cs="Arial"/>
          <w:b/>
          <w:sz w:val="24"/>
          <w:szCs w:val="24"/>
        </w:rPr>
      </w:pPr>
      <w:r>
        <w:rPr>
          <w:rFonts w:ascii="Arial" w:eastAsia="Arial" w:hAnsi="Arial" w:cs="Arial"/>
          <w:b/>
          <w:sz w:val="24"/>
          <w:szCs w:val="24"/>
        </w:rPr>
        <w:t xml:space="preserve">1. Introduction </w:t>
      </w:r>
    </w:p>
    <w:p w14:paraId="101F9175" w14:textId="77777777" w:rsidR="004609F0" w:rsidRDefault="00BC7B8C">
      <w:pPr>
        <w:spacing w:line="240" w:lineRule="auto"/>
        <w:ind w:firstLine="720"/>
        <w:jc w:val="both"/>
        <w:rPr>
          <w:rFonts w:ascii="Arial" w:eastAsia="Arial" w:hAnsi="Arial" w:cs="Arial"/>
          <w:sz w:val="24"/>
          <w:szCs w:val="24"/>
        </w:rPr>
      </w:pPr>
      <w:r>
        <w:rPr>
          <w:rFonts w:ascii="Arial" w:eastAsia="Arial" w:hAnsi="Arial" w:cs="Arial"/>
          <w:sz w:val="24"/>
          <w:szCs w:val="24"/>
        </w:rPr>
        <w:t xml:space="preserve">The world's groundwater resources are one of the most challenging issues of our time and the future. Both the natural demand for water supplies and the continuous growth of the population have led to intense water </w:t>
      </w:r>
      <w:r>
        <w:rPr>
          <w:rFonts w:ascii="Arial" w:eastAsia="Arial" w:hAnsi="Arial" w:cs="Arial"/>
          <w:sz w:val="24"/>
          <w:szCs w:val="24"/>
        </w:rPr>
        <w:t>exploitation. Groundwater is essential, especially in places with scarce water supplies, for residential, drinking, agricultural, and industrial applications (</w:t>
      </w:r>
      <w:proofErr w:type="spellStart"/>
      <w:r>
        <w:rPr>
          <w:rFonts w:ascii="Arial" w:eastAsia="Arial" w:hAnsi="Arial" w:cs="Arial"/>
          <w:sz w:val="24"/>
          <w:szCs w:val="24"/>
          <w:highlight w:val="yellow"/>
        </w:rPr>
        <w:t>Alao</w:t>
      </w:r>
      <w:proofErr w:type="spellEnd"/>
      <w:r>
        <w:rPr>
          <w:rFonts w:ascii="Arial" w:eastAsia="Arial" w:hAnsi="Arial" w:cs="Arial"/>
          <w:sz w:val="24"/>
          <w:szCs w:val="24"/>
          <w:highlight w:val="yellow"/>
        </w:rPr>
        <w:t xml:space="preserve"> &amp; Abubakar, 2025; </w:t>
      </w:r>
      <w:r>
        <w:rPr>
          <w:rFonts w:ascii="Arial" w:eastAsia="Arial" w:hAnsi="Arial" w:cs="Arial"/>
          <w:sz w:val="24"/>
          <w:szCs w:val="24"/>
        </w:rPr>
        <w:t>Paternoster et al., 2021). As the demand for water use increases, the quan</w:t>
      </w:r>
      <w:r>
        <w:rPr>
          <w:rFonts w:ascii="Arial" w:eastAsia="Arial" w:hAnsi="Arial" w:cs="Arial"/>
          <w:sz w:val="24"/>
          <w:szCs w:val="24"/>
        </w:rPr>
        <w:t xml:space="preserve">tity and quality of water required for the irrigation of cultivated land are deteriorating. The quality of the soil and the water available for irrigation are also related to crop productivity </w:t>
      </w:r>
      <w:r>
        <w:rPr>
          <w:rFonts w:ascii="Arial" w:eastAsia="Arial" w:hAnsi="Arial" w:cs="Arial"/>
          <w:sz w:val="24"/>
          <w:szCs w:val="24"/>
          <w:highlight w:val="yellow"/>
        </w:rPr>
        <w:t>(</w:t>
      </w:r>
      <w:proofErr w:type="spellStart"/>
      <w:r>
        <w:rPr>
          <w:rFonts w:ascii="Arial" w:eastAsia="Arial" w:hAnsi="Arial" w:cs="Arial"/>
          <w:sz w:val="24"/>
          <w:szCs w:val="24"/>
          <w:highlight w:val="yellow"/>
        </w:rPr>
        <w:t>Alao</w:t>
      </w:r>
      <w:proofErr w:type="spellEnd"/>
      <w:r>
        <w:rPr>
          <w:rFonts w:ascii="Arial" w:eastAsia="Arial" w:hAnsi="Arial" w:cs="Arial"/>
          <w:sz w:val="24"/>
          <w:szCs w:val="24"/>
          <w:highlight w:val="yellow"/>
        </w:rPr>
        <w:t xml:space="preserve">, 2024, 2025; </w:t>
      </w:r>
      <w:proofErr w:type="spellStart"/>
      <w:r>
        <w:rPr>
          <w:rFonts w:ascii="Arial" w:eastAsia="Arial" w:hAnsi="Arial" w:cs="Arial"/>
          <w:sz w:val="24"/>
          <w:szCs w:val="24"/>
        </w:rPr>
        <w:lastRenderedPageBreak/>
        <w:t>Etteieb</w:t>
      </w:r>
      <w:proofErr w:type="spellEnd"/>
      <w:r>
        <w:rPr>
          <w:rFonts w:ascii="Arial" w:eastAsia="Arial" w:hAnsi="Arial" w:cs="Arial"/>
          <w:sz w:val="24"/>
          <w:szCs w:val="24"/>
        </w:rPr>
        <w:t xml:space="preserve"> et al., 2017). When surface water is</w:t>
      </w:r>
      <w:r>
        <w:rPr>
          <w:rFonts w:ascii="Arial" w:eastAsia="Arial" w:hAnsi="Arial" w:cs="Arial"/>
          <w:sz w:val="24"/>
          <w:szCs w:val="24"/>
        </w:rPr>
        <w:t xml:space="preserve"> limited, groundwater is frequently utilised for irrigation, and many nations look for alternate sources of water to meet the expanding needs of industry, agriculture, and households in the face of freshwater scarcity (</w:t>
      </w:r>
      <w:proofErr w:type="spellStart"/>
      <w:r>
        <w:rPr>
          <w:rFonts w:ascii="Arial" w:eastAsia="Arial" w:hAnsi="Arial" w:cs="Arial"/>
          <w:sz w:val="24"/>
          <w:szCs w:val="24"/>
        </w:rPr>
        <w:t>Ghoto</w:t>
      </w:r>
      <w:proofErr w:type="spellEnd"/>
      <w:r>
        <w:rPr>
          <w:rFonts w:ascii="Arial" w:eastAsia="Arial" w:hAnsi="Arial" w:cs="Arial"/>
          <w:sz w:val="24"/>
          <w:szCs w:val="24"/>
        </w:rPr>
        <w:t xml:space="preserve"> et al., 2025; </w:t>
      </w:r>
      <w:proofErr w:type="spellStart"/>
      <w:r>
        <w:rPr>
          <w:rFonts w:ascii="Arial" w:eastAsia="Arial" w:hAnsi="Arial" w:cs="Arial"/>
          <w:sz w:val="24"/>
          <w:szCs w:val="24"/>
        </w:rPr>
        <w:t>Yifru</w:t>
      </w:r>
      <w:proofErr w:type="spellEnd"/>
      <w:r>
        <w:rPr>
          <w:rFonts w:ascii="Arial" w:eastAsia="Arial" w:hAnsi="Arial" w:cs="Arial"/>
          <w:sz w:val="24"/>
          <w:szCs w:val="24"/>
        </w:rPr>
        <w:t xml:space="preserve"> et al., 202</w:t>
      </w:r>
      <w:r>
        <w:rPr>
          <w:rFonts w:ascii="Arial" w:eastAsia="Arial" w:hAnsi="Arial" w:cs="Arial"/>
          <w:sz w:val="24"/>
          <w:szCs w:val="24"/>
        </w:rPr>
        <w:t>4). For agricultural purposes, industrial growth and manufacturing, and the lives of people, groundwater is more valuable, especially in arid and semi-arid areas (Xu et al., 2019).</w:t>
      </w:r>
      <w:r>
        <w:rPr>
          <w:rFonts w:ascii="Arial" w:eastAsia="Arial" w:hAnsi="Arial" w:cs="Arial"/>
          <w:sz w:val="24"/>
          <w:szCs w:val="24"/>
          <w:highlight w:val="yellow"/>
        </w:rPr>
        <w:t xml:space="preserve"> Water quality encompasses the physical, chemical, and other intrinsic prope</w:t>
      </w:r>
      <w:r>
        <w:rPr>
          <w:rFonts w:ascii="Arial" w:eastAsia="Arial" w:hAnsi="Arial" w:cs="Arial"/>
          <w:sz w:val="24"/>
          <w:szCs w:val="24"/>
          <w:highlight w:val="yellow"/>
        </w:rPr>
        <w:t>rties of water, as well as the variations arising from anthropogenic influences. Specifically, groundwater quality is determined by a series of natural processes and reactions that occur from the point of recharge to its storage within aquifers. These proc</w:t>
      </w:r>
      <w:r>
        <w:rPr>
          <w:rFonts w:ascii="Arial" w:eastAsia="Arial" w:hAnsi="Arial" w:cs="Arial"/>
          <w:sz w:val="24"/>
          <w:szCs w:val="24"/>
          <w:highlight w:val="yellow"/>
        </w:rPr>
        <w:t>esses, together with human-induced factors, regulate the physicochemical characteristics by which groundwater quality is routinely assessed</w:t>
      </w:r>
      <w:r>
        <w:rPr>
          <w:rFonts w:ascii="Arial" w:eastAsia="Arial" w:hAnsi="Arial" w:cs="Arial"/>
          <w:sz w:val="24"/>
          <w:szCs w:val="24"/>
        </w:rPr>
        <w:t xml:space="preserve"> (</w:t>
      </w:r>
      <w:proofErr w:type="spellStart"/>
      <w:r>
        <w:rPr>
          <w:rFonts w:ascii="Arial" w:eastAsia="Arial" w:hAnsi="Arial" w:cs="Arial"/>
          <w:sz w:val="24"/>
          <w:szCs w:val="24"/>
        </w:rPr>
        <w:t>Asadi</w:t>
      </w:r>
      <w:proofErr w:type="spellEnd"/>
      <w:r>
        <w:rPr>
          <w:rFonts w:ascii="Arial" w:eastAsia="Arial" w:hAnsi="Arial" w:cs="Arial"/>
          <w:sz w:val="24"/>
          <w:szCs w:val="24"/>
        </w:rPr>
        <w:t xml:space="preserve"> et al., 2019). To investigate recharge, water–rock interactions, and mineralisation processes, the use of che</w:t>
      </w:r>
      <w:r>
        <w:rPr>
          <w:rFonts w:ascii="Arial" w:eastAsia="Arial" w:hAnsi="Arial" w:cs="Arial"/>
          <w:sz w:val="24"/>
          <w:szCs w:val="24"/>
        </w:rPr>
        <w:t xml:space="preserve">mical and isotopic tracers, statistical methods, and groundwater evaluations has increased recently.  These methods also assist in determining the source, flow, and mixing of groundwater from different sources (Hassen et al., 2016). The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distric</w:t>
      </w:r>
      <w:r>
        <w:rPr>
          <w:rFonts w:ascii="Arial" w:eastAsia="Arial" w:hAnsi="Arial" w:cs="Arial"/>
          <w:sz w:val="24"/>
          <w:szCs w:val="24"/>
        </w:rPr>
        <w:t>t's vegetation zone supports a range of agricultural activities due to its comparatively fertile soils and better water availability than the arid desert region. Important crops, such as wheat, bajra, castor, and cotton, are grown in this area, in addition</w:t>
      </w:r>
      <w:r>
        <w:rPr>
          <w:rFonts w:ascii="Arial" w:eastAsia="Arial" w:hAnsi="Arial" w:cs="Arial"/>
          <w:sz w:val="24"/>
          <w:szCs w:val="24"/>
        </w:rPr>
        <w:t xml:space="preserve"> to horticultural goods like fruits and vegetables (</w:t>
      </w:r>
      <w:r>
        <w:rPr>
          <w:rFonts w:ascii="Arial" w:eastAsia="Arial" w:hAnsi="Arial" w:cs="Arial"/>
          <w:sz w:val="24"/>
          <w:szCs w:val="24"/>
          <w:highlight w:val="yellow"/>
        </w:rPr>
        <w:t>Prakash et al., 2012</w:t>
      </w:r>
      <w:r>
        <w:rPr>
          <w:rFonts w:ascii="Arial" w:eastAsia="Arial" w:hAnsi="Arial" w:cs="Arial"/>
          <w:sz w:val="24"/>
          <w:szCs w:val="24"/>
        </w:rPr>
        <w:t>). Natural vegetation, such as scattered trees, grasses, and shrubs that thrive in semi-arid conditions, also prevents soil erosion (</w:t>
      </w:r>
      <w:proofErr w:type="spellStart"/>
      <w:r>
        <w:rPr>
          <w:rFonts w:ascii="Arial" w:eastAsia="Arial" w:hAnsi="Arial" w:cs="Arial"/>
          <w:sz w:val="24"/>
          <w:szCs w:val="24"/>
          <w:highlight w:val="yellow"/>
        </w:rPr>
        <w:t>Dahanayake</w:t>
      </w:r>
      <w:proofErr w:type="spellEnd"/>
      <w:r>
        <w:rPr>
          <w:rFonts w:ascii="Arial" w:eastAsia="Arial" w:hAnsi="Arial" w:cs="Arial"/>
          <w:sz w:val="24"/>
          <w:szCs w:val="24"/>
          <w:highlight w:val="yellow"/>
        </w:rPr>
        <w:t xml:space="preserve"> et al., 2024)</w:t>
      </w:r>
      <w:r>
        <w:rPr>
          <w:rFonts w:ascii="Arial" w:eastAsia="Arial" w:hAnsi="Arial" w:cs="Arial"/>
          <w:sz w:val="24"/>
          <w:szCs w:val="24"/>
        </w:rPr>
        <w:t xml:space="preserve">. The agricultural productivity of the area has a significant impact on the district's economy and food supply (Groundwater Brochure of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District 2014; Prakash et al., 2012). In the </w:t>
      </w:r>
      <w:r>
        <w:rPr>
          <w:rFonts w:ascii="Arial" w:eastAsia="Arial" w:hAnsi="Arial" w:cs="Arial"/>
          <w:sz w:val="24"/>
          <w:szCs w:val="24"/>
          <w:highlight w:val="yellow"/>
        </w:rPr>
        <w:t>study area (</w:t>
      </w:r>
      <w:proofErr w:type="spellStart"/>
      <w:r>
        <w:rPr>
          <w:rFonts w:ascii="Arial" w:eastAsia="Arial" w:hAnsi="Arial" w:cs="Arial"/>
          <w:sz w:val="24"/>
          <w:szCs w:val="24"/>
          <w:highlight w:val="yellow"/>
        </w:rPr>
        <w:t>Banaskantha</w:t>
      </w:r>
      <w:proofErr w:type="spellEnd"/>
      <w:r>
        <w:rPr>
          <w:rFonts w:ascii="Arial" w:eastAsia="Arial" w:hAnsi="Arial" w:cs="Arial"/>
          <w:sz w:val="24"/>
          <w:szCs w:val="24"/>
          <w:highlight w:val="yellow"/>
        </w:rPr>
        <w:t>)</w:t>
      </w:r>
      <w:r>
        <w:rPr>
          <w:rFonts w:ascii="Arial" w:eastAsia="Arial" w:hAnsi="Arial" w:cs="Arial"/>
          <w:sz w:val="24"/>
          <w:szCs w:val="24"/>
        </w:rPr>
        <w:t xml:space="preserve"> and its surrounding areas, groundwater</w:t>
      </w:r>
      <w:r>
        <w:rPr>
          <w:rFonts w:ascii="Arial" w:eastAsia="Arial" w:hAnsi="Arial" w:cs="Arial"/>
          <w:sz w:val="24"/>
          <w:szCs w:val="24"/>
        </w:rPr>
        <w:t xml:space="preserve"> is the primary source of both agricultural and drinking water. However, little is understood about its </w:t>
      </w:r>
      <w:proofErr w:type="spellStart"/>
      <w:r>
        <w:rPr>
          <w:rFonts w:ascii="Arial" w:eastAsia="Arial" w:hAnsi="Arial" w:cs="Arial"/>
          <w:sz w:val="24"/>
          <w:szCs w:val="24"/>
        </w:rPr>
        <w:t>hydrogeochemistry</w:t>
      </w:r>
      <w:proofErr w:type="spellEnd"/>
      <w:r>
        <w:rPr>
          <w:rFonts w:ascii="Arial" w:eastAsia="Arial" w:hAnsi="Arial" w:cs="Arial"/>
          <w:sz w:val="24"/>
          <w:szCs w:val="24"/>
        </w:rPr>
        <w:t xml:space="preserve">, and issues like declining water levels and salinization highlight the pressing need for a comprehensive system assessment to support </w:t>
      </w:r>
      <w:r>
        <w:rPr>
          <w:rFonts w:ascii="Arial" w:eastAsia="Arial" w:hAnsi="Arial" w:cs="Arial"/>
          <w:sz w:val="24"/>
          <w:szCs w:val="24"/>
        </w:rPr>
        <w:t>sustainable management (</w:t>
      </w:r>
      <w:proofErr w:type="spellStart"/>
      <w:r>
        <w:rPr>
          <w:rFonts w:ascii="Arial" w:eastAsia="Arial" w:hAnsi="Arial" w:cs="Arial"/>
          <w:sz w:val="24"/>
          <w:szCs w:val="24"/>
        </w:rPr>
        <w:t>Hosseinifard</w:t>
      </w:r>
      <w:proofErr w:type="spellEnd"/>
      <w:r>
        <w:rPr>
          <w:rFonts w:ascii="Arial" w:eastAsia="Arial" w:hAnsi="Arial" w:cs="Arial"/>
          <w:sz w:val="24"/>
          <w:szCs w:val="24"/>
        </w:rPr>
        <w:t xml:space="preserve"> and Mirzaei </w:t>
      </w:r>
      <w:proofErr w:type="spellStart"/>
      <w:r>
        <w:rPr>
          <w:rFonts w:ascii="Arial" w:eastAsia="Arial" w:hAnsi="Arial" w:cs="Arial"/>
          <w:sz w:val="24"/>
          <w:szCs w:val="24"/>
        </w:rPr>
        <w:t>Aminiyan</w:t>
      </w:r>
      <w:proofErr w:type="spellEnd"/>
      <w:r>
        <w:rPr>
          <w:rFonts w:ascii="Arial" w:eastAsia="Arial" w:hAnsi="Arial" w:cs="Arial"/>
          <w:sz w:val="24"/>
          <w:szCs w:val="24"/>
        </w:rPr>
        <w:t xml:space="preserve">, 2015). Geology and human activity both influence the quality of groundwater </w:t>
      </w:r>
      <w:r>
        <w:rPr>
          <w:rFonts w:ascii="Arial" w:eastAsia="Arial" w:hAnsi="Arial" w:cs="Arial"/>
          <w:sz w:val="24"/>
          <w:szCs w:val="24"/>
          <w:highlight w:val="yellow"/>
        </w:rPr>
        <w:t>(</w:t>
      </w:r>
      <w:proofErr w:type="spellStart"/>
      <w:r>
        <w:rPr>
          <w:rFonts w:ascii="Arial" w:eastAsia="Arial" w:hAnsi="Arial" w:cs="Arial"/>
          <w:sz w:val="24"/>
          <w:szCs w:val="24"/>
          <w:highlight w:val="yellow"/>
        </w:rPr>
        <w:t>Alao</w:t>
      </w:r>
      <w:proofErr w:type="spellEnd"/>
      <w:r>
        <w:rPr>
          <w:rFonts w:ascii="Arial" w:eastAsia="Arial" w:hAnsi="Arial" w:cs="Arial"/>
          <w:sz w:val="24"/>
          <w:szCs w:val="24"/>
          <w:highlight w:val="yellow"/>
        </w:rPr>
        <w:t>, 2023, 2025b)</w:t>
      </w:r>
      <w:r>
        <w:rPr>
          <w:rFonts w:ascii="Arial" w:eastAsia="Arial" w:hAnsi="Arial" w:cs="Arial"/>
          <w:sz w:val="24"/>
          <w:szCs w:val="24"/>
        </w:rPr>
        <w:t>.  As it passes from recharge to discharge zones, its composition is changed by processes like evapora</w:t>
      </w:r>
      <w:r>
        <w:rPr>
          <w:rFonts w:ascii="Arial" w:eastAsia="Arial" w:hAnsi="Arial" w:cs="Arial"/>
          <w:sz w:val="24"/>
          <w:szCs w:val="24"/>
        </w:rPr>
        <w:t>tion, transpiration, cation exchange, mineral dissolution, precipitation, and leaching of agricultural inputs (</w:t>
      </w:r>
      <w:proofErr w:type="spellStart"/>
      <w:r>
        <w:rPr>
          <w:rFonts w:ascii="Arial" w:eastAsia="Arial" w:hAnsi="Arial" w:cs="Arial"/>
          <w:sz w:val="24"/>
          <w:szCs w:val="24"/>
          <w:highlight w:val="yellow"/>
        </w:rPr>
        <w:t>Omeiza</w:t>
      </w:r>
      <w:proofErr w:type="spellEnd"/>
      <w:r>
        <w:rPr>
          <w:rFonts w:ascii="Arial" w:eastAsia="Arial" w:hAnsi="Arial" w:cs="Arial"/>
          <w:sz w:val="24"/>
          <w:szCs w:val="24"/>
          <w:highlight w:val="yellow"/>
        </w:rPr>
        <w:t xml:space="preserve"> et. al., 2018; </w:t>
      </w:r>
      <w:proofErr w:type="spellStart"/>
      <w:r>
        <w:rPr>
          <w:rFonts w:ascii="Arial" w:eastAsia="Arial" w:hAnsi="Arial" w:cs="Arial"/>
          <w:sz w:val="24"/>
          <w:szCs w:val="24"/>
          <w:highlight w:val="yellow"/>
        </w:rPr>
        <w:t>Omeiza</w:t>
      </w:r>
      <w:proofErr w:type="spellEnd"/>
      <w:r>
        <w:rPr>
          <w:rFonts w:ascii="Arial" w:eastAsia="Arial" w:hAnsi="Arial" w:cs="Arial"/>
          <w:sz w:val="24"/>
          <w:szCs w:val="24"/>
          <w:highlight w:val="yellow"/>
        </w:rPr>
        <w:t xml:space="preserve"> &amp; </w:t>
      </w:r>
      <w:proofErr w:type="spellStart"/>
      <w:r>
        <w:rPr>
          <w:rFonts w:ascii="Arial" w:eastAsia="Arial" w:hAnsi="Arial" w:cs="Arial"/>
          <w:sz w:val="24"/>
          <w:szCs w:val="24"/>
          <w:highlight w:val="yellow"/>
        </w:rPr>
        <w:t>Dary</w:t>
      </w:r>
      <w:proofErr w:type="spellEnd"/>
      <w:r>
        <w:rPr>
          <w:rFonts w:ascii="Arial" w:eastAsia="Arial" w:hAnsi="Arial" w:cs="Arial"/>
          <w:sz w:val="24"/>
          <w:szCs w:val="24"/>
          <w:highlight w:val="yellow"/>
        </w:rPr>
        <w:t>, 2023)</w:t>
      </w:r>
      <w:r>
        <w:rPr>
          <w:rFonts w:ascii="Arial" w:eastAsia="Arial" w:hAnsi="Arial" w:cs="Arial"/>
          <w:sz w:val="24"/>
          <w:szCs w:val="24"/>
        </w:rPr>
        <w:t>.  Determining the origins of these chemical properties requires an understanding of hydrochemistry (</w:t>
      </w:r>
      <w:proofErr w:type="spellStart"/>
      <w:r>
        <w:rPr>
          <w:rFonts w:ascii="Arial" w:eastAsia="Arial" w:hAnsi="Arial" w:cs="Arial"/>
          <w:sz w:val="24"/>
          <w:szCs w:val="24"/>
        </w:rPr>
        <w:t>Sr</w:t>
      </w:r>
      <w:r>
        <w:rPr>
          <w:rFonts w:ascii="Arial" w:eastAsia="Arial" w:hAnsi="Arial" w:cs="Arial"/>
          <w:sz w:val="24"/>
          <w:szCs w:val="24"/>
        </w:rPr>
        <w:t>inivasamoorthy</w:t>
      </w:r>
      <w:proofErr w:type="spellEnd"/>
      <w:r>
        <w:rPr>
          <w:rFonts w:ascii="Arial" w:eastAsia="Arial" w:hAnsi="Arial" w:cs="Arial"/>
          <w:sz w:val="24"/>
          <w:szCs w:val="24"/>
        </w:rPr>
        <w:t xml:space="preserve"> et al., 2014).</w:t>
      </w:r>
    </w:p>
    <w:p w14:paraId="261BE888" w14:textId="77777777" w:rsidR="004609F0" w:rsidRDefault="00BC7B8C">
      <w:pPr>
        <w:spacing w:line="240" w:lineRule="auto"/>
        <w:ind w:firstLine="720"/>
        <w:jc w:val="both"/>
        <w:rPr>
          <w:rFonts w:ascii="Arial" w:eastAsia="Arial" w:hAnsi="Arial" w:cs="Arial"/>
          <w:sz w:val="24"/>
          <w:szCs w:val="24"/>
        </w:rPr>
      </w:pPr>
      <w:r>
        <w:rPr>
          <w:rFonts w:ascii="Arial" w:eastAsia="Arial" w:hAnsi="Arial" w:cs="Arial"/>
          <w:sz w:val="24"/>
          <w:szCs w:val="24"/>
        </w:rPr>
        <w:t>Sodium adsorption ratio, electrical conductivity, residual sodium carbonate, Kelly's ratio, percentage sodium, and permeability index are examples of commonly used irrigation indices (Kanji et al., 2025). A valuable tool for p</w:t>
      </w:r>
      <w:r>
        <w:rPr>
          <w:rFonts w:ascii="Arial" w:eastAsia="Arial" w:hAnsi="Arial" w:cs="Arial"/>
          <w:sz w:val="24"/>
          <w:szCs w:val="24"/>
        </w:rPr>
        <w:t>resenting and summarising water quality for irrigation or drinking is the Water Quality Index (WQI) (</w:t>
      </w:r>
      <w:proofErr w:type="spellStart"/>
      <w:r>
        <w:rPr>
          <w:rFonts w:ascii="Arial" w:eastAsia="Arial" w:hAnsi="Arial" w:cs="Arial"/>
          <w:sz w:val="24"/>
          <w:szCs w:val="24"/>
        </w:rPr>
        <w:t>Bouteraa</w:t>
      </w:r>
      <w:proofErr w:type="spellEnd"/>
      <w:r>
        <w:rPr>
          <w:rFonts w:ascii="Arial" w:eastAsia="Arial" w:hAnsi="Arial" w:cs="Arial"/>
          <w:sz w:val="24"/>
          <w:szCs w:val="24"/>
        </w:rPr>
        <w:t xml:space="preserve"> et al., 2019). WQI selects and weights the water quality parameters and uses an aggregation function to aggregate many different groundwater chemi</w:t>
      </w:r>
      <w:r>
        <w:rPr>
          <w:rFonts w:ascii="Arial" w:eastAsia="Arial" w:hAnsi="Arial" w:cs="Arial"/>
          <w:sz w:val="24"/>
          <w:szCs w:val="24"/>
        </w:rPr>
        <w:t xml:space="preserve">cal components into a single, easily interpretable score (Gao et al., 2020a).  The Water Quality Index (WQI) has been used in numerous studies to assess groundwater.  Accuracy is increased by </w:t>
      </w:r>
      <w:proofErr w:type="gramStart"/>
      <w:r>
        <w:rPr>
          <w:rFonts w:ascii="Arial" w:eastAsia="Arial" w:hAnsi="Arial" w:cs="Arial"/>
          <w:sz w:val="24"/>
          <w:szCs w:val="24"/>
        </w:rPr>
        <w:t>taking into account</w:t>
      </w:r>
      <w:proofErr w:type="gramEnd"/>
      <w:r>
        <w:rPr>
          <w:rFonts w:ascii="Arial" w:eastAsia="Arial" w:hAnsi="Arial" w:cs="Arial"/>
          <w:sz w:val="24"/>
          <w:szCs w:val="24"/>
        </w:rPr>
        <w:t xml:space="preserve"> the entire ionic composition as opposed to j</w:t>
      </w:r>
      <w:r>
        <w:rPr>
          <w:rFonts w:ascii="Arial" w:eastAsia="Arial" w:hAnsi="Arial" w:cs="Arial"/>
          <w:sz w:val="24"/>
          <w:szCs w:val="24"/>
        </w:rPr>
        <w:t xml:space="preserve">ust a few parameters.  By combining several indicators into a single value, the Irrigation Water Quality Index (IWQI) provides a more effective method (Ghazaryan et al., 2020a). Using the same </w:t>
      </w:r>
      <w:proofErr w:type="spellStart"/>
      <w:r>
        <w:rPr>
          <w:rFonts w:ascii="Arial" w:eastAsia="Arial" w:hAnsi="Arial" w:cs="Arial"/>
          <w:sz w:val="24"/>
          <w:szCs w:val="24"/>
        </w:rPr>
        <w:t>hydrophysical</w:t>
      </w:r>
      <w:proofErr w:type="spellEnd"/>
      <w:r>
        <w:rPr>
          <w:rFonts w:ascii="Arial" w:eastAsia="Arial" w:hAnsi="Arial" w:cs="Arial"/>
          <w:sz w:val="24"/>
          <w:szCs w:val="24"/>
        </w:rPr>
        <w:t xml:space="preserve"> and </w:t>
      </w:r>
      <w:proofErr w:type="spellStart"/>
      <w:r>
        <w:rPr>
          <w:rFonts w:ascii="Arial" w:eastAsia="Arial" w:hAnsi="Arial" w:cs="Arial"/>
          <w:sz w:val="24"/>
          <w:szCs w:val="24"/>
        </w:rPr>
        <w:t>hydrochemical</w:t>
      </w:r>
      <w:proofErr w:type="spellEnd"/>
      <w:r>
        <w:rPr>
          <w:rFonts w:ascii="Arial" w:eastAsia="Arial" w:hAnsi="Arial" w:cs="Arial"/>
          <w:sz w:val="24"/>
          <w:szCs w:val="24"/>
        </w:rPr>
        <w:t xml:space="preserve"> properties but applying various</w:t>
      </w:r>
      <w:r>
        <w:rPr>
          <w:rFonts w:ascii="Arial" w:eastAsia="Arial" w:hAnsi="Arial" w:cs="Arial"/>
          <w:sz w:val="24"/>
          <w:szCs w:val="24"/>
        </w:rPr>
        <w:t xml:space="preserve"> statistical analyses and interpretations, several studies have investigated various approaches for calculating IWQI (Ahmed et al., 2021; Ghazaryan et al., 2020b; Ghosh and </w:t>
      </w:r>
      <w:proofErr w:type="spellStart"/>
      <w:r>
        <w:rPr>
          <w:rFonts w:ascii="Arial" w:eastAsia="Arial" w:hAnsi="Arial" w:cs="Arial"/>
          <w:sz w:val="24"/>
          <w:szCs w:val="24"/>
        </w:rPr>
        <w:t>Bera</w:t>
      </w:r>
      <w:proofErr w:type="spellEnd"/>
      <w:r>
        <w:rPr>
          <w:rFonts w:ascii="Arial" w:eastAsia="Arial" w:hAnsi="Arial" w:cs="Arial"/>
          <w:sz w:val="24"/>
          <w:szCs w:val="24"/>
        </w:rPr>
        <w:t xml:space="preserve">, 2023; </w:t>
      </w:r>
      <w:proofErr w:type="spellStart"/>
      <w:r>
        <w:rPr>
          <w:rFonts w:ascii="Arial" w:eastAsia="Arial" w:hAnsi="Arial" w:cs="Arial"/>
          <w:sz w:val="24"/>
          <w:szCs w:val="24"/>
        </w:rPr>
        <w:t>Şener</w:t>
      </w:r>
      <w:proofErr w:type="spellEnd"/>
      <w:r>
        <w:rPr>
          <w:rFonts w:ascii="Arial" w:eastAsia="Arial" w:hAnsi="Arial" w:cs="Arial"/>
          <w:sz w:val="24"/>
          <w:szCs w:val="24"/>
        </w:rPr>
        <w:t xml:space="preserve"> et al., 2021; Wang et al., 2023; Zhang et al., 2021). By </w:t>
      </w:r>
      <w:r>
        <w:rPr>
          <w:rFonts w:ascii="Arial" w:eastAsia="Arial" w:hAnsi="Arial" w:cs="Arial"/>
          <w:sz w:val="24"/>
          <w:szCs w:val="24"/>
        </w:rPr>
        <w:lastRenderedPageBreak/>
        <w:t xml:space="preserve">using a </w:t>
      </w:r>
      <w:r>
        <w:rPr>
          <w:rFonts w:ascii="Arial" w:eastAsia="Arial" w:hAnsi="Arial" w:cs="Arial"/>
          <w:sz w:val="24"/>
          <w:szCs w:val="24"/>
        </w:rPr>
        <w:t>geographic information system (GIS), maps on different chemical parameters can be digitised and then combined to determine whether groundwater quality zones are suitable for irrigation (</w:t>
      </w:r>
      <w:proofErr w:type="spellStart"/>
      <w:r>
        <w:rPr>
          <w:rFonts w:ascii="Arial" w:eastAsia="Arial" w:hAnsi="Arial" w:cs="Arial"/>
          <w:sz w:val="24"/>
          <w:szCs w:val="24"/>
        </w:rPr>
        <w:t>Aravinthasamy</w:t>
      </w:r>
      <w:proofErr w:type="spellEnd"/>
      <w:r>
        <w:rPr>
          <w:rFonts w:ascii="Arial" w:eastAsia="Arial" w:hAnsi="Arial" w:cs="Arial"/>
          <w:sz w:val="24"/>
          <w:szCs w:val="24"/>
        </w:rPr>
        <w:t xml:space="preserve"> et al., 2020).</w:t>
      </w:r>
    </w:p>
    <w:p w14:paraId="17B477A2" w14:textId="77777777" w:rsidR="004609F0" w:rsidRDefault="00BC7B8C">
      <w:pPr>
        <w:spacing w:line="240" w:lineRule="auto"/>
        <w:ind w:firstLine="720"/>
        <w:jc w:val="both"/>
        <w:rPr>
          <w:rFonts w:ascii="Arial" w:eastAsia="Arial" w:hAnsi="Arial" w:cs="Arial"/>
          <w:sz w:val="24"/>
          <w:szCs w:val="24"/>
        </w:rPr>
      </w:pPr>
      <w:r>
        <w:rPr>
          <w:rFonts w:ascii="Arial" w:eastAsia="Arial" w:hAnsi="Arial" w:cs="Arial"/>
          <w:sz w:val="24"/>
          <w:szCs w:val="24"/>
        </w:rPr>
        <w:t>The groundwater quality and its spatial d</w:t>
      </w:r>
      <w:r>
        <w:rPr>
          <w:rFonts w:ascii="Arial" w:eastAsia="Arial" w:hAnsi="Arial" w:cs="Arial"/>
          <w:sz w:val="24"/>
          <w:szCs w:val="24"/>
        </w:rPr>
        <w:t xml:space="preserve">istribution in the study area have not been assessed in any previous hydrogeochemical studies.  Using hydrogeochemical and statistical techniques, this study provides a comprehensive overview of the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aquifer, highlighting key processes such as e</w:t>
      </w:r>
      <w:r>
        <w:rPr>
          <w:rFonts w:ascii="Arial" w:eastAsia="Arial" w:hAnsi="Arial" w:cs="Arial"/>
          <w:sz w:val="24"/>
          <w:szCs w:val="24"/>
        </w:rPr>
        <w:t>vaporation, rock weathering, dissolution, and cation exchange. The secondary objectives of this study are to: (</w:t>
      </w:r>
      <w:proofErr w:type="spellStart"/>
      <w:r>
        <w:rPr>
          <w:rFonts w:ascii="Arial" w:eastAsia="Arial" w:hAnsi="Arial" w:cs="Arial"/>
          <w:sz w:val="24"/>
          <w:szCs w:val="24"/>
        </w:rPr>
        <w:t>i</w:t>
      </w:r>
      <w:proofErr w:type="spellEnd"/>
      <w:r>
        <w:rPr>
          <w:rFonts w:ascii="Arial" w:eastAsia="Arial" w:hAnsi="Arial" w:cs="Arial"/>
          <w:sz w:val="24"/>
          <w:szCs w:val="24"/>
        </w:rPr>
        <w:t xml:space="preserve">) This study is the first to examine the </w:t>
      </w:r>
      <w:proofErr w:type="spellStart"/>
      <w:r>
        <w:rPr>
          <w:rFonts w:ascii="Arial" w:eastAsia="Arial" w:hAnsi="Arial" w:cs="Arial"/>
          <w:sz w:val="24"/>
          <w:szCs w:val="24"/>
        </w:rPr>
        <w:t>hydrogeochemistry</w:t>
      </w:r>
      <w:proofErr w:type="spellEnd"/>
      <w:r>
        <w:rPr>
          <w:rFonts w:ascii="Arial" w:eastAsia="Arial" w:hAnsi="Arial" w:cs="Arial"/>
          <w:sz w:val="24"/>
          <w:szCs w:val="24"/>
        </w:rPr>
        <w:t xml:space="preserve"> of the vegetation area in </w:t>
      </w:r>
      <w:proofErr w:type="spellStart"/>
      <w:r>
        <w:rPr>
          <w:rFonts w:ascii="Arial" w:eastAsia="Arial" w:hAnsi="Arial" w:cs="Arial"/>
          <w:sz w:val="24"/>
          <w:szCs w:val="24"/>
        </w:rPr>
        <w:t>Banaskantha</w:t>
      </w:r>
      <w:proofErr w:type="spellEnd"/>
      <w:r>
        <w:rPr>
          <w:rFonts w:ascii="Arial" w:eastAsia="Arial" w:hAnsi="Arial" w:cs="Arial"/>
          <w:sz w:val="24"/>
          <w:szCs w:val="24"/>
        </w:rPr>
        <w:t>, providing foundational physiochemical data for</w:t>
      </w:r>
      <w:r>
        <w:rPr>
          <w:rFonts w:ascii="Arial" w:eastAsia="Arial" w:hAnsi="Arial" w:cs="Arial"/>
          <w:sz w:val="24"/>
          <w:szCs w:val="24"/>
        </w:rPr>
        <w:t xml:space="preserve"> a region with no previous research. (ii) It employs Piper and </w:t>
      </w:r>
      <w:proofErr w:type="spellStart"/>
      <w:r>
        <w:rPr>
          <w:rFonts w:ascii="Arial" w:eastAsia="Arial" w:hAnsi="Arial" w:cs="Arial"/>
          <w:sz w:val="24"/>
          <w:szCs w:val="24"/>
        </w:rPr>
        <w:t>Durov</w:t>
      </w:r>
      <w:proofErr w:type="spellEnd"/>
      <w:r>
        <w:rPr>
          <w:rFonts w:ascii="Arial" w:eastAsia="Arial" w:hAnsi="Arial" w:cs="Arial"/>
          <w:sz w:val="24"/>
          <w:szCs w:val="24"/>
        </w:rPr>
        <w:t xml:space="preserve"> diagrams to identify </w:t>
      </w:r>
      <w:proofErr w:type="spellStart"/>
      <w:r>
        <w:rPr>
          <w:rFonts w:ascii="Arial" w:eastAsia="Arial" w:hAnsi="Arial" w:cs="Arial"/>
          <w:sz w:val="24"/>
          <w:szCs w:val="24"/>
        </w:rPr>
        <w:t>hydrochemical</w:t>
      </w:r>
      <w:proofErr w:type="spellEnd"/>
      <w:r>
        <w:rPr>
          <w:rFonts w:ascii="Arial" w:eastAsia="Arial" w:hAnsi="Arial" w:cs="Arial"/>
          <w:sz w:val="24"/>
          <w:szCs w:val="24"/>
        </w:rPr>
        <w:t xml:space="preserve"> facies and the controlling mechanisms of groundwater. (iii) The study uses established indices, including the recently developed Irrigation Water Qualit</w:t>
      </w:r>
      <w:r>
        <w:rPr>
          <w:rFonts w:ascii="Arial" w:eastAsia="Arial" w:hAnsi="Arial" w:cs="Arial"/>
          <w:sz w:val="24"/>
          <w:szCs w:val="24"/>
        </w:rPr>
        <w:t>y Index (IWQI), to assess groundwater suitability for irrigation. (iv) Additionally, Geographic Information System (GIS) tools are used to map the spatial distribution within the study area.</w:t>
      </w:r>
    </w:p>
    <w:p w14:paraId="015E4D9C" w14:textId="77777777" w:rsidR="004609F0" w:rsidRDefault="00BC7B8C">
      <w:pPr>
        <w:spacing w:line="240" w:lineRule="auto"/>
        <w:jc w:val="both"/>
        <w:rPr>
          <w:rFonts w:ascii="Arial" w:eastAsia="Arial" w:hAnsi="Arial" w:cs="Arial"/>
          <w:b/>
          <w:sz w:val="24"/>
          <w:szCs w:val="24"/>
        </w:rPr>
      </w:pPr>
      <w:r>
        <w:rPr>
          <w:rFonts w:ascii="Arial" w:eastAsia="Arial" w:hAnsi="Arial" w:cs="Arial"/>
          <w:b/>
          <w:sz w:val="24"/>
          <w:szCs w:val="24"/>
        </w:rPr>
        <w:t>2. Study Area’s Profile</w:t>
      </w:r>
    </w:p>
    <w:p w14:paraId="19D3FF4A" w14:textId="77777777" w:rsidR="004609F0" w:rsidRDefault="00BC7B8C">
      <w:pPr>
        <w:spacing w:line="240" w:lineRule="auto"/>
        <w:ind w:firstLine="720"/>
        <w:jc w:val="both"/>
        <w:rPr>
          <w:rFonts w:ascii="Arial" w:eastAsia="Arial" w:hAnsi="Arial" w:cs="Arial"/>
          <w:sz w:val="24"/>
          <w:szCs w:val="24"/>
        </w:rPr>
      </w:pPr>
      <w:proofErr w:type="spellStart"/>
      <w:r>
        <w:rPr>
          <w:rFonts w:ascii="Arial" w:eastAsia="Arial" w:hAnsi="Arial" w:cs="Arial"/>
          <w:sz w:val="24"/>
          <w:szCs w:val="24"/>
        </w:rPr>
        <w:t>Northeastern</w:t>
      </w:r>
      <w:proofErr w:type="spellEnd"/>
      <w:r>
        <w:rPr>
          <w:rFonts w:ascii="Arial" w:eastAsia="Arial" w:hAnsi="Arial" w:cs="Arial"/>
          <w:sz w:val="24"/>
          <w:szCs w:val="24"/>
        </w:rPr>
        <w:t xml:space="preserve"> Gujarat's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Distri</w:t>
      </w:r>
      <w:r>
        <w:rPr>
          <w:rFonts w:ascii="Arial" w:eastAsia="Arial" w:hAnsi="Arial" w:cs="Arial"/>
          <w:sz w:val="24"/>
          <w:szCs w:val="24"/>
        </w:rPr>
        <w:t xml:space="preserve">ct is situated along the banks of the Banas River between latitudes 23.33° and 24.45° N and longitudes 72.15° and 73.87° E. Mehsana District borders the desert to the south, </w:t>
      </w:r>
      <w:proofErr w:type="spellStart"/>
      <w:r>
        <w:rPr>
          <w:rFonts w:ascii="Arial" w:eastAsia="Arial" w:hAnsi="Arial" w:cs="Arial"/>
          <w:sz w:val="24"/>
          <w:szCs w:val="24"/>
        </w:rPr>
        <w:t>Patan</w:t>
      </w:r>
      <w:proofErr w:type="spellEnd"/>
      <w:r>
        <w:rPr>
          <w:rFonts w:ascii="Arial" w:eastAsia="Arial" w:hAnsi="Arial" w:cs="Arial"/>
          <w:sz w:val="24"/>
          <w:szCs w:val="24"/>
        </w:rPr>
        <w:t xml:space="preserve"> District borders it to the west, </w:t>
      </w:r>
      <w:proofErr w:type="spellStart"/>
      <w:r>
        <w:rPr>
          <w:rFonts w:ascii="Arial" w:eastAsia="Arial" w:hAnsi="Arial" w:cs="Arial"/>
          <w:sz w:val="24"/>
          <w:szCs w:val="24"/>
        </w:rPr>
        <w:t>Sabarkantha</w:t>
      </w:r>
      <w:proofErr w:type="spellEnd"/>
      <w:r>
        <w:rPr>
          <w:rFonts w:ascii="Arial" w:eastAsia="Arial" w:hAnsi="Arial" w:cs="Arial"/>
          <w:sz w:val="24"/>
          <w:szCs w:val="24"/>
        </w:rPr>
        <w:t xml:space="preserve"> District borders it to the east</w:t>
      </w:r>
      <w:r>
        <w:rPr>
          <w:rFonts w:ascii="Arial" w:eastAsia="Arial" w:hAnsi="Arial" w:cs="Arial"/>
          <w:sz w:val="24"/>
          <w:szCs w:val="24"/>
        </w:rPr>
        <w:t xml:space="preserve">, and the Rajasthani districts of </w:t>
      </w:r>
      <w:proofErr w:type="spellStart"/>
      <w:r>
        <w:rPr>
          <w:rFonts w:ascii="Arial" w:eastAsia="Arial" w:hAnsi="Arial" w:cs="Arial"/>
          <w:sz w:val="24"/>
          <w:szCs w:val="24"/>
        </w:rPr>
        <w:t>Sirohi</w:t>
      </w:r>
      <w:proofErr w:type="spellEnd"/>
      <w:r>
        <w:rPr>
          <w:rFonts w:ascii="Arial" w:eastAsia="Arial" w:hAnsi="Arial" w:cs="Arial"/>
          <w:sz w:val="24"/>
          <w:szCs w:val="24"/>
        </w:rPr>
        <w:t xml:space="preserve"> and </w:t>
      </w:r>
      <w:proofErr w:type="spellStart"/>
      <w:r>
        <w:rPr>
          <w:rFonts w:ascii="Arial" w:eastAsia="Arial" w:hAnsi="Arial" w:cs="Arial"/>
          <w:sz w:val="24"/>
          <w:szCs w:val="24"/>
        </w:rPr>
        <w:t>Marwar</w:t>
      </w:r>
      <w:proofErr w:type="spellEnd"/>
      <w:r>
        <w:rPr>
          <w:rFonts w:ascii="Arial" w:eastAsia="Arial" w:hAnsi="Arial" w:cs="Arial"/>
          <w:sz w:val="24"/>
          <w:szCs w:val="24"/>
        </w:rPr>
        <w:t xml:space="preserve"> border it to the north. The desert extends all the way to the Pakistani border. From hilly terrain in the east to sandy deserts and alluvial plains in the west, the district's physiography is diverse. Due</w:t>
      </w:r>
      <w:r>
        <w:rPr>
          <w:rFonts w:ascii="Arial" w:eastAsia="Arial" w:hAnsi="Arial" w:cs="Arial"/>
          <w:sz w:val="24"/>
          <w:szCs w:val="24"/>
        </w:rPr>
        <w:t xml:space="preserve"> to the scarcity of surface water resources and ephemeral rivers in this semi-arid region, groundwater is the primary source of water and is crucial for sustaining agriculture and livelihoods (Groundwater Brochure of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District 2014; Prakash et a</w:t>
      </w:r>
      <w:r>
        <w:rPr>
          <w:rFonts w:ascii="Arial" w:eastAsia="Arial" w:hAnsi="Arial" w:cs="Arial"/>
          <w:sz w:val="24"/>
          <w:szCs w:val="24"/>
        </w:rPr>
        <w:t xml:space="preserve">l., 2012). The piedmont and alluvial plains that lie between the sandy/desert zones in the west and the hilly Aravalli ranges in the east make up the majority of </w:t>
      </w:r>
      <w:proofErr w:type="spellStart"/>
      <w:r>
        <w:rPr>
          <w:rFonts w:ascii="Arial" w:eastAsia="Arial" w:hAnsi="Arial" w:cs="Arial"/>
          <w:sz w:val="24"/>
          <w:szCs w:val="24"/>
        </w:rPr>
        <w:t>Banaskantha's</w:t>
      </w:r>
      <w:proofErr w:type="spellEnd"/>
      <w:r>
        <w:rPr>
          <w:rFonts w:ascii="Arial" w:eastAsia="Arial" w:hAnsi="Arial" w:cs="Arial"/>
          <w:sz w:val="24"/>
          <w:szCs w:val="24"/>
        </w:rPr>
        <w:t xml:space="preserve"> vegetation area </w:t>
      </w:r>
      <w:r>
        <w:rPr>
          <w:rFonts w:ascii="Arial" w:eastAsia="Arial" w:hAnsi="Arial" w:cs="Arial"/>
          <w:b/>
          <w:sz w:val="24"/>
          <w:szCs w:val="24"/>
        </w:rPr>
        <w:t>(Figure 1)</w:t>
      </w:r>
      <w:r>
        <w:rPr>
          <w:rFonts w:ascii="Arial" w:eastAsia="Arial" w:hAnsi="Arial" w:cs="Arial"/>
          <w:sz w:val="24"/>
          <w:szCs w:val="24"/>
        </w:rPr>
        <w:t>.  Compared to the saline or desert areas, this zone—w</w:t>
      </w:r>
      <w:r>
        <w:rPr>
          <w:rFonts w:ascii="Arial" w:eastAsia="Arial" w:hAnsi="Arial" w:cs="Arial"/>
          <w:sz w:val="24"/>
          <w:szCs w:val="24"/>
        </w:rPr>
        <w:t xml:space="preserve">hich includes talukas like </w:t>
      </w:r>
      <w:proofErr w:type="spellStart"/>
      <w:r>
        <w:rPr>
          <w:rFonts w:ascii="Arial" w:eastAsia="Arial" w:hAnsi="Arial" w:cs="Arial"/>
          <w:sz w:val="24"/>
          <w:szCs w:val="24"/>
        </w:rPr>
        <w:t>Palanpur</w:t>
      </w:r>
      <w:proofErr w:type="spellEnd"/>
      <w:r>
        <w:rPr>
          <w:rFonts w:ascii="Arial" w:eastAsia="Arial" w:hAnsi="Arial" w:cs="Arial"/>
          <w:sz w:val="24"/>
          <w:szCs w:val="24"/>
        </w:rPr>
        <w:t xml:space="preserve">, </w:t>
      </w:r>
      <w:proofErr w:type="spellStart"/>
      <w:r>
        <w:rPr>
          <w:rFonts w:ascii="Arial" w:eastAsia="Arial" w:hAnsi="Arial" w:cs="Arial"/>
          <w:sz w:val="24"/>
          <w:szCs w:val="24"/>
        </w:rPr>
        <w:t>Vadgam</w:t>
      </w:r>
      <w:proofErr w:type="spellEnd"/>
      <w:r>
        <w:rPr>
          <w:rFonts w:ascii="Arial" w:eastAsia="Arial" w:hAnsi="Arial" w:cs="Arial"/>
          <w:sz w:val="24"/>
          <w:szCs w:val="24"/>
        </w:rPr>
        <w:t xml:space="preserve">, </w:t>
      </w:r>
      <w:proofErr w:type="spellStart"/>
      <w:r>
        <w:rPr>
          <w:rFonts w:ascii="Arial" w:eastAsia="Arial" w:hAnsi="Arial" w:cs="Arial"/>
          <w:sz w:val="24"/>
          <w:szCs w:val="24"/>
        </w:rPr>
        <w:t>Dhanera</w:t>
      </w:r>
      <w:proofErr w:type="spellEnd"/>
      <w:r>
        <w:rPr>
          <w:rFonts w:ascii="Arial" w:eastAsia="Arial" w:hAnsi="Arial" w:cs="Arial"/>
          <w:sz w:val="24"/>
          <w:szCs w:val="24"/>
        </w:rPr>
        <w:t xml:space="preserve">, </w:t>
      </w:r>
      <w:proofErr w:type="spellStart"/>
      <w:r>
        <w:rPr>
          <w:rFonts w:ascii="Arial" w:eastAsia="Arial" w:hAnsi="Arial" w:cs="Arial"/>
          <w:sz w:val="24"/>
          <w:szCs w:val="24"/>
        </w:rPr>
        <w:t>Tharad</w:t>
      </w:r>
      <w:proofErr w:type="spellEnd"/>
      <w:r>
        <w:rPr>
          <w:rFonts w:ascii="Arial" w:eastAsia="Arial" w:hAnsi="Arial" w:cs="Arial"/>
          <w:sz w:val="24"/>
          <w:szCs w:val="24"/>
        </w:rPr>
        <w:t xml:space="preserve">, </w:t>
      </w:r>
      <w:proofErr w:type="spellStart"/>
      <w:r>
        <w:rPr>
          <w:rFonts w:ascii="Arial" w:eastAsia="Arial" w:hAnsi="Arial" w:cs="Arial"/>
          <w:sz w:val="24"/>
          <w:szCs w:val="24"/>
        </w:rPr>
        <w:t>Diyodar</w:t>
      </w:r>
      <w:proofErr w:type="spellEnd"/>
      <w:r>
        <w:rPr>
          <w:rFonts w:ascii="Arial" w:eastAsia="Arial" w:hAnsi="Arial" w:cs="Arial"/>
          <w:sz w:val="24"/>
          <w:szCs w:val="24"/>
        </w:rPr>
        <w:t xml:space="preserve">, </w:t>
      </w:r>
      <w:proofErr w:type="spellStart"/>
      <w:r>
        <w:rPr>
          <w:rFonts w:ascii="Arial" w:eastAsia="Arial" w:hAnsi="Arial" w:cs="Arial"/>
          <w:sz w:val="24"/>
          <w:szCs w:val="24"/>
        </w:rPr>
        <w:t>Bhabhar</w:t>
      </w:r>
      <w:proofErr w:type="spellEnd"/>
      <w:r>
        <w:rPr>
          <w:rFonts w:ascii="Arial" w:eastAsia="Arial" w:hAnsi="Arial" w:cs="Arial"/>
          <w:sz w:val="24"/>
          <w:szCs w:val="24"/>
        </w:rPr>
        <w:t xml:space="preserve">, </w:t>
      </w:r>
      <w:proofErr w:type="spellStart"/>
      <w:r>
        <w:rPr>
          <w:rFonts w:ascii="Arial" w:eastAsia="Arial" w:hAnsi="Arial" w:cs="Arial"/>
          <w:sz w:val="24"/>
          <w:szCs w:val="24"/>
        </w:rPr>
        <w:t>Kankrej</w:t>
      </w:r>
      <w:proofErr w:type="spellEnd"/>
      <w:r>
        <w:rPr>
          <w:rFonts w:ascii="Arial" w:eastAsia="Arial" w:hAnsi="Arial" w:cs="Arial"/>
          <w:sz w:val="24"/>
          <w:szCs w:val="24"/>
        </w:rPr>
        <w:t xml:space="preserve">, </w:t>
      </w:r>
      <w:proofErr w:type="spellStart"/>
      <w:r>
        <w:rPr>
          <w:rFonts w:ascii="Arial" w:eastAsia="Arial" w:hAnsi="Arial" w:cs="Arial"/>
          <w:sz w:val="24"/>
          <w:szCs w:val="24"/>
        </w:rPr>
        <w:t>Lakhni</w:t>
      </w:r>
      <w:proofErr w:type="spellEnd"/>
      <w:r>
        <w:rPr>
          <w:rFonts w:ascii="Arial" w:eastAsia="Arial" w:hAnsi="Arial" w:cs="Arial"/>
          <w:sz w:val="24"/>
          <w:szCs w:val="24"/>
        </w:rPr>
        <w:t xml:space="preserve">, and </w:t>
      </w:r>
      <w:proofErr w:type="spellStart"/>
      <w:r>
        <w:rPr>
          <w:rFonts w:ascii="Arial" w:eastAsia="Arial" w:hAnsi="Arial" w:cs="Arial"/>
          <w:sz w:val="24"/>
          <w:szCs w:val="24"/>
        </w:rPr>
        <w:t>Deesa</w:t>
      </w:r>
      <w:proofErr w:type="spellEnd"/>
      <w:r>
        <w:rPr>
          <w:rFonts w:ascii="Arial" w:eastAsia="Arial" w:hAnsi="Arial" w:cs="Arial"/>
          <w:sz w:val="24"/>
          <w:szCs w:val="24"/>
        </w:rPr>
        <w:t xml:space="preserve">—benefits from comparatively better soil conditions and groundwater availability. </w:t>
      </w:r>
      <w:proofErr w:type="spellStart"/>
      <w:r>
        <w:rPr>
          <w:rFonts w:ascii="Arial" w:eastAsia="Arial" w:hAnsi="Arial" w:cs="Arial"/>
          <w:sz w:val="24"/>
          <w:szCs w:val="24"/>
        </w:rPr>
        <w:t>Physiographically</w:t>
      </w:r>
      <w:proofErr w:type="spellEnd"/>
      <w:r>
        <w:rPr>
          <w:rFonts w:ascii="Arial" w:eastAsia="Arial" w:hAnsi="Arial" w:cs="Arial"/>
          <w:sz w:val="24"/>
          <w:szCs w:val="24"/>
        </w:rPr>
        <w:t>, it is made up of alluvium-formed plains that slop</w:t>
      </w:r>
      <w:r>
        <w:rPr>
          <w:rFonts w:ascii="Arial" w:eastAsia="Arial" w:hAnsi="Arial" w:cs="Arial"/>
          <w:sz w:val="24"/>
          <w:szCs w:val="24"/>
        </w:rPr>
        <w:t>e gently. The soils range from non-calcic brown soils to calcareous sandy loams, and they have moderate to good drainage and permeability.  The foundation of the local economy is agriculture, which is supported by these traits.  Since there is little acces</w:t>
      </w:r>
      <w:r>
        <w:rPr>
          <w:rFonts w:ascii="Arial" w:eastAsia="Arial" w:hAnsi="Arial" w:cs="Arial"/>
          <w:sz w:val="24"/>
          <w:szCs w:val="24"/>
        </w:rPr>
        <w:t xml:space="preserve">s to surface water, groundwater—stored in confined and phreatic aquifers—is the main source of irrigation in this area.  In addition to canal irrigation from projects like </w:t>
      </w:r>
      <w:proofErr w:type="spellStart"/>
      <w:r>
        <w:rPr>
          <w:rFonts w:ascii="Arial" w:eastAsia="Arial" w:hAnsi="Arial" w:cs="Arial"/>
          <w:sz w:val="24"/>
          <w:szCs w:val="24"/>
        </w:rPr>
        <w:t>Dantiwada</w:t>
      </w:r>
      <w:proofErr w:type="spellEnd"/>
      <w:r>
        <w:rPr>
          <w:rFonts w:ascii="Arial" w:eastAsia="Arial" w:hAnsi="Arial" w:cs="Arial"/>
          <w:sz w:val="24"/>
          <w:szCs w:val="24"/>
        </w:rPr>
        <w:t xml:space="preserve"> and </w:t>
      </w:r>
      <w:proofErr w:type="spellStart"/>
      <w:r>
        <w:rPr>
          <w:rFonts w:ascii="Arial" w:eastAsia="Arial" w:hAnsi="Arial" w:cs="Arial"/>
          <w:sz w:val="24"/>
          <w:szCs w:val="24"/>
        </w:rPr>
        <w:t>Sipu</w:t>
      </w:r>
      <w:proofErr w:type="spellEnd"/>
      <w:r>
        <w:rPr>
          <w:rFonts w:ascii="Arial" w:eastAsia="Arial" w:hAnsi="Arial" w:cs="Arial"/>
          <w:sz w:val="24"/>
          <w:szCs w:val="24"/>
        </w:rPr>
        <w:t xml:space="preserve"> reservoirs, </w:t>
      </w:r>
      <w:proofErr w:type="spellStart"/>
      <w:r>
        <w:rPr>
          <w:rFonts w:ascii="Arial" w:eastAsia="Arial" w:hAnsi="Arial" w:cs="Arial"/>
          <w:sz w:val="24"/>
          <w:szCs w:val="24"/>
        </w:rPr>
        <w:t>tubewells</w:t>
      </w:r>
      <w:proofErr w:type="spellEnd"/>
      <w:r>
        <w:rPr>
          <w:rFonts w:ascii="Arial" w:eastAsia="Arial" w:hAnsi="Arial" w:cs="Arial"/>
          <w:sz w:val="24"/>
          <w:szCs w:val="24"/>
        </w:rPr>
        <w:t xml:space="preserve"> are the primary source of irrigation.</w:t>
      </w:r>
    </w:p>
    <w:p w14:paraId="74F57466" w14:textId="77777777" w:rsidR="004609F0" w:rsidRDefault="00BC7B8C">
      <w:pPr>
        <w:spacing w:line="240" w:lineRule="auto"/>
        <w:ind w:firstLine="720"/>
        <w:jc w:val="both"/>
        <w:rPr>
          <w:rFonts w:ascii="Arial" w:eastAsia="Arial" w:hAnsi="Arial" w:cs="Arial"/>
          <w:sz w:val="24"/>
          <w:szCs w:val="24"/>
        </w:rPr>
      </w:pPr>
      <w:r>
        <w:rPr>
          <w:rFonts w:ascii="Arial" w:eastAsia="Arial" w:hAnsi="Arial" w:cs="Arial"/>
          <w:sz w:val="24"/>
          <w:szCs w:val="24"/>
        </w:rPr>
        <w:t>The r</w:t>
      </w:r>
      <w:r>
        <w:rPr>
          <w:rFonts w:ascii="Arial" w:eastAsia="Arial" w:hAnsi="Arial" w:cs="Arial"/>
          <w:sz w:val="24"/>
          <w:szCs w:val="24"/>
        </w:rPr>
        <w:t>egion has hot summers, mild winters, and unpredictable rainfall due to its semi-arid climate. About 579 mm of rain falls on average each year, with 80–85% of that falling during the southwestern monsoon season (June–September). Since the remainder of the y</w:t>
      </w:r>
      <w:r>
        <w:rPr>
          <w:rFonts w:ascii="Arial" w:eastAsia="Arial" w:hAnsi="Arial" w:cs="Arial"/>
          <w:sz w:val="24"/>
          <w:szCs w:val="24"/>
        </w:rPr>
        <w:t>ear is dry, irrigation based on groundwater is required to keep agriculture going. With high cropping intensity in canal-irrigated and high-yield aquifer areas, vegetation zone agriculture thrives on comparatively better groundwater quality and availabilit</w:t>
      </w:r>
      <w:r>
        <w:rPr>
          <w:rFonts w:ascii="Arial" w:eastAsia="Arial" w:hAnsi="Arial" w:cs="Arial"/>
          <w:sz w:val="24"/>
          <w:szCs w:val="24"/>
        </w:rPr>
        <w:t xml:space="preserve">y. While wheat, mustard, cumin, and </w:t>
      </w:r>
      <w:proofErr w:type="spellStart"/>
      <w:r>
        <w:rPr>
          <w:rFonts w:ascii="Arial" w:eastAsia="Arial" w:hAnsi="Arial" w:cs="Arial"/>
          <w:sz w:val="24"/>
          <w:szCs w:val="24"/>
        </w:rPr>
        <w:t>gramme</w:t>
      </w:r>
      <w:proofErr w:type="spellEnd"/>
      <w:r>
        <w:rPr>
          <w:rFonts w:ascii="Arial" w:eastAsia="Arial" w:hAnsi="Arial" w:cs="Arial"/>
          <w:sz w:val="24"/>
          <w:szCs w:val="24"/>
        </w:rPr>
        <w:t xml:space="preserve"> are the main </w:t>
      </w:r>
      <w:proofErr w:type="spellStart"/>
      <w:r>
        <w:rPr>
          <w:rFonts w:ascii="Arial" w:eastAsia="Arial" w:hAnsi="Arial" w:cs="Arial"/>
          <w:sz w:val="24"/>
          <w:szCs w:val="24"/>
        </w:rPr>
        <w:t>rabi</w:t>
      </w:r>
      <w:proofErr w:type="spellEnd"/>
      <w:r>
        <w:rPr>
          <w:rFonts w:ascii="Arial" w:eastAsia="Arial" w:hAnsi="Arial" w:cs="Arial"/>
          <w:sz w:val="24"/>
          <w:szCs w:val="24"/>
        </w:rPr>
        <w:t xml:space="preserve"> crops, the main kharif crops are pearl millet, groundnut, castor, cotton, and green </w:t>
      </w:r>
      <w:proofErr w:type="spellStart"/>
      <w:r>
        <w:rPr>
          <w:rFonts w:ascii="Arial" w:eastAsia="Arial" w:hAnsi="Arial" w:cs="Arial"/>
          <w:sz w:val="24"/>
          <w:szCs w:val="24"/>
        </w:rPr>
        <w:t>gramme</w:t>
      </w:r>
      <w:proofErr w:type="spellEnd"/>
      <w:r>
        <w:rPr>
          <w:rFonts w:ascii="Arial" w:eastAsia="Arial" w:hAnsi="Arial" w:cs="Arial"/>
          <w:sz w:val="24"/>
          <w:szCs w:val="24"/>
        </w:rPr>
        <w:t xml:space="preserve">. Long-term sustainability is threatened by the cultivation of fodder crops like </w:t>
      </w:r>
      <w:proofErr w:type="spellStart"/>
      <w:r>
        <w:rPr>
          <w:rFonts w:ascii="Arial" w:eastAsia="Arial" w:hAnsi="Arial" w:cs="Arial"/>
          <w:sz w:val="24"/>
          <w:szCs w:val="24"/>
        </w:rPr>
        <w:t>lucerne</w:t>
      </w:r>
      <w:proofErr w:type="spellEnd"/>
      <w:r>
        <w:rPr>
          <w:rFonts w:ascii="Arial" w:eastAsia="Arial" w:hAnsi="Arial" w:cs="Arial"/>
          <w:sz w:val="24"/>
          <w:szCs w:val="24"/>
        </w:rPr>
        <w:t xml:space="preserve"> </w:t>
      </w:r>
      <w:r>
        <w:rPr>
          <w:rFonts w:ascii="Arial" w:eastAsia="Arial" w:hAnsi="Arial" w:cs="Arial"/>
          <w:sz w:val="24"/>
          <w:szCs w:val="24"/>
        </w:rPr>
        <w:lastRenderedPageBreak/>
        <w:t xml:space="preserve">and sorghum, as </w:t>
      </w:r>
      <w:r>
        <w:rPr>
          <w:rFonts w:ascii="Arial" w:eastAsia="Arial" w:hAnsi="Arial" w:cs="Arial"/>
          <w:sz w:val="24"/>
          <w:szCs w:val="24"/>
        </w:rPr>
        <w:t xml:space="preserve">well as onions, garlic, and brinjal (Groundwater Brochure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District 2014).</w:t>
      </w:r>
    </w:p>
    <w:p w14:paraId="077F7371" w14:textId="77777777" w:rsidR="004609F0" w:rsidRDefault="00BC7B8C">
      <w:pPr>
        <w:spacing w:after="0" w:line="24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0AFDCEF1" wp14:editId="45F8B111">
            <wp:extent cx="5731510" cy="3223895"/>
            <wp:effectExtent l="0" t="0" r="0" b="0"/>
            <wp:docPr id="20836335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510" cy="3223895"/>
                    </a:xfrm>
                    <a:prstGeom prst="rect">
                      <a:avLst/>
                    </a:prstGeom>
                    <a:ln/>
                  </pic:spPr>
                </pic:pic>
              </a:graphicData>
            </a:graphic>
          </wp:inline>
        </w:drawing>
      </w:r>
    </w:p>
    <w:p w14:paraId="3F7C7404" w14:textId="77777777" w:rsidR="004609F0" w:rsidRDefault="00BC7B8C">
      <w:pPr>
        <w:spacing w:after="0" w:line="240" w:lineRule="auto"/>
        <w:jc w:val="both"/>
        <w:rPr>
          <w:rFonts w:ascii="Arial" w:eastAsia="Arial" w:hAnsi="Arial" w:cs="Arial"/>
          <w:sz w:val="24"/>
          <w:szCs w:val="24"/>
        </w:rPr>
      </w:pPr>
      <w:r>
        <w:rPr>
          <w:rFonts w:ascii="Arial" w:eastAsia="Arial" w:hAnsi="Arial" w:cs="Arial"/>
          <w:b/>
          <w:sz w:val="24"/>
          <w:szCs w:val="24"/>
        </w:rPr>
        <w:t>Figure 1</w:t>
      </w:r>
      <w:r>
        <w:rPr>
          <w:rFonts w:ascii="Arial" w:eastAsia="Arial" w:hAnsi="Arial" w:cs="Arial"/>
          <w:sz w:val="24"/>
          <w:szCs w:val="24"/>
        </w:rPr>
        <w:t xml:space="preserve">: Topological map depicting the vegetation zone of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District, highlighting its 9 talukas along with the river bodies within the study area. </w:t>
      </w:r>
    </w:p>
    <w:p w14:paraId="247B9F9C" w14:textId="77777777" w:rsidR="004609F0" w:rsidRDefault="004609F0">
      <w:pPr>
        <w:spacing w:after="0" w:line="240" w:lineRule="auto"/>
        <w:jc w:val="both"/>
        <w:rPr>
          <w:rFonts w:ascii="Arial" w:eastAsia="Arial" w:hAnsi="Arial" w:cs="Arial"/>
          <w:sz w:val="24"/>
          <w:szCs w:val="24"/>
        </w:rPr>
      </w:pPr>
    </w:p>
    <w:p w14:paraId="35A6FB90" w14:textId="77777777" w:rsidR="004609F0" w:rsidRDefault="00BC7B8C">
      <w:pPr>
        <w:spacing w:line="240" w:lineRule="auto"/>
        <w:jc w:val="both"/>
        <w:rPr>
          <w:rFonts w:ascii="Arial" w:eastAsia="Arial" w:hAnsi="Arial" w:cs="Arial"/>
          <w:b/>
          <w:sz w:val="24"/>
          <w:szCs w:val="24"/>
        </w:rPr>
      </w:pPr>
      <w:r>
        <w:rPr>
          <w:rFonts w:ascii="Arial" w:eastAsia="Arial" w:hAnsi="Arial" w:cs="Arial"/>
          <w:b/>
          <w:sz w:val="24"/>
          <w:szCs w:val="24"/>
        </w:rPr>
        <w:t>3. Grou</w:t>
      </w:r>
      <w:r>
        <w:rPr>
          <w:rFonts w:ascii="Arial" w:eastAsia="Arial" w:hAnsi="Arial" w:cs="Arial"/>
          <w:b/>
          <w:sz w:val="24"/>
          <w:szCs w:val="24"/>
        </w:rPr>
        <w:t>ndwater Sampling and Chemical Analyses</w:t>
      </w:r>
    </w:p>
    <w:p w14:paraId="620D9F9F" w14:textId="77777777" w:rsidR="004609F0" w:rsidRDefault="00BC7B8C">
      <w:pPr>
        <w:spacing w:line="240" w:lineRule="auto"/>
        <w:ind w:firstLine="284"/>
        <w:jc w:val="both"/>
        <w:rPr>
          <w:rFonts w:ascii="Arial" w:eastAsia="Arial" w:hAnsi="Arial" w:cs="Arial"/>
          <w:sz w:val="24"/>
          <w:szCs w:val="24"/>
        </w:rPr>
      </w:pPr>
      <w:r>
        <w:rPr>
          <w:rFonts w:ascii="Arial" w:eastAsia="Arial" w:hAnsi="Arial" w:cs="Arial"/>
          <w:sz w:val="24"/>
          <w:szCs w:val="24"/>
        </w:rPr>
        <w:t xml:space="preserve">Groundwater supplies sustain extensive agricultural activities in the nine talukas that make up the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District's vegetation zone.  For drinking and irrigation purposes, groundwater is drawn from many aquifer</w:t>
      </w:r>
      <w:r>
        <w:rPr>
          <w:rFonts w:ascii="Arial" w:eastAsia="Arial" w:hAnsi="Arial" w:cs="Arial"/>
          <w:sz w:val="24"/>
          <w:szCs w:val="24"/>
        </w:rPr>
        <w:t xml:space="preserve"> systems in this area.  Unconfined to semi-confined aquifers of different </w:t>
      </w:r>
    </w:p>
    <w:p w14:paraId="3FB18E93" w14:textId="77777777" w:rsidR="004609F0" w:rsidRDefault="00BC7B8C">
      <w:pPr>
        <w:spacing w:line="240" w:lineRule="auto"/>
        <w:jc w:val="both"/>
        <w:rPr>
          <w:rFonts w:ascii="Arial" w:eastAsia="Arial" w:hAnsi="Arial" w:cs="Arial"/>
          <w:b/>
          <w:sz w:val="24"/>
          <w:szCs w:val="24"/>
        </w:rPr>
      </w:pPr>
      <w:bookmarkStart w:id="1" w:name="_heading=h.48u0rbou9yx7" w:colFirst="0" w:colLast="0"/>
      <w:bookmarkEnd w:id="1"/>
      <w:r>
        <w:rPr>
          <w:rFonts w:ascii="Arial" w:eastAsia="Arial" w:hAnsi="Arial" w:cs="Arial"/>
          <w:noProof/>
          <w:sz w:val="24"/>
          <w:szCs w:val="24"/>
        </w:rPr>
        <w:lastRenderedPageBreak/>
        <w:drawing>
          <wp:inline distT="0" distB="0" distL="0" distR="0" wp14:anchorId="70ADB7E2" wp14:editId="537449B8">
            <wp:extent cx="5731510" cy="3970655"/>
            <wp:effectExtent l="0" t="0" r="0" b="0"/>
            <wp:docPr id="20836335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510" cy="3970655"/>
                    </a:xfrm>
                    <a:prstGeom prst="rect">
                      <a:avLst/>
                    </a:prstGeom>
                    <a:ln/>
                  </pic:spPr>
                </pic:pic>
              </a:graphicData>
            </a:graphic>
          </wp:inline>
        </w:drawing>
      </w:r>
    </w:p>
    <w:p w14:paraId="19B761E4" w14:textId="77777777" w:rsidR="004609F0" w:rsidRDefault="00BC7B8C">
      <w:pPr>
        <w:spacing w:line="240" w:lineRule="auto"/>
        <w:jc w:val="both"/>
        <w:rPr>
          <w:rFonts w:ascii="Arial" w:eastAsia="Arial" w:hAnsi="Arial" w:cs="Arial"/>
          <w:sz w:val="24"/>
          <w:szCs w:val="24"/>
        </w:rPr>
      </w:pPr>
      <w:r>
        <w:rPr>
          <w:rFonts w:ascii="Arial" w:eastAsia="Arial" w:hAnsi="Arial" w:cs="Arial"/>
          <w:b/>
          <w:sz w:val="24"/>
          <w:szCs w:val="24"/>
        </w:rPr>
        <w:t>Figure 2:</w:t>
      </w:r>
      <w:r>
        <w:rPr>
          <w:rFonts w:ascii="Arial" w:eastAsia="Arial" w:hAnsi="Arial" w:cs="Arial"/>
          <w:sz w:val="24"/>
          <w:szCs w:val="24"/>
        </w:rPr>
        <w:t xml:space="preserve"> Study area map with 207 sampling locations in vegetation region of </w:t>
      </w:r>
      <w:proofErr w:type="spellStart"/>
      <w:r>
        <w:rPr>
          <w:rFonts w:ascii="Arial" w:eastAsia="Arial" w:hAnsi="Arial" w:cs="Arial"/>
          <w:sz w:val="24"/>
          <w:szCs w:val="24"/>
        </w:rPr>
        <w:t>Banaskantha</w:t>
      </w:r>
      <w:proofErr w:type="spellEnd"/>
      <w:r>
        <w:rPr>
          <w:rFonts w:ascii="Arial" w:eastAsia="Arial" w:hAnsi="Arial" w:cs="Arial"/>
          <w:sz w:val="24"/>
          <w:szCs w:val="24"/>
        </w:rPr>
        <w:t>.</w:t>
      </w:r>
    </w:p>
    <w:p w14:paraId="2B331C0E" w14:textId="77777777" w:rsidR="004609F0" w:rsidRDefault="00BC7B8C">
      <w:pPr>
        <w:spacing w:line="240" w:lineRule="auto"/>
        <w:jc w:val="both"/>
        <w:rPr>
          <w:rFonts w:ascii="Arial" w:eastAsia="Arial" w:hAnsi="Arial" w:cs="Arial"/>
          <w:sz w:val="24"/>
          <w:szCs w:val="24"/>
        </w:rPr>
      </w:pPr>
      <w:r>
        <w:rPr>
          <w:rFonts w:ascii="Arial" w:eastAsia="Arial" w:hAnsi="Arial" w:cs="Arial"/>
          <w:sz w:val="24"/>
          <w:szCs w:val="24"/>
        </w:rPr>
        <w:t xml:space="preserve">depths can be accessed by tube wells, bore wells, and dug wells.  A total of 207 representative samples </w:t>
      </w:r>
      <w:r>
        <w:rPr>
          <w:rFonts w:ascii="Arial" w:eastAsia="Arial" w:hAnsi="Arial" w:cs="Arial"/>
          <w:b/>
          <w:sz w:val="24"/>
          <w:szCs w:val="24"/>
        </w:rPr>
        <w:t>(Figure 2)</w:t>
      </w:r>
      <w:r>
        <w:rPr>
          <w:rFonts w:ascii="Arial" w:eastAsia="Arial" w:hAnsi="Arial" w:cs="Arial"/>
          <w:sz w:val="24"/>
          <w:szCs w:val="24"/>
        </w:rPr>
        <w:t xml:space="preserve"> were taken throughout the vegetation zone during the post-monsoon season of 2021 in order to assess the groundwater quality thoroughly. Consi</w:t>
      </w:r>
      <w:r>
        <w:rPr>
          <w:rFonts w:ascii="Arial" w:eastAsia="Arial" w:hAnsi="Arial" w:cs="Arial"/>
          <w:sz w:val="24"/>
          <w:szCs w:val="24"/>
        </w:rPr>
        <w:t>dering variations in lithology, hydrogeological context, and land-use patterns, the sample network was planned to provide spatial coverage of all nine talukas. The groundwater sources that were sampled represented both shallow and deep aquifer systems, wit</w:t>
      </w:r>
      <w:r>
        <w:rPr>
          <w:rFonts w:ascii="Arial" w:eastAsia="Arial" w:hAnsi="Arial" w:cs="Arial"/>
          <w:sz w:val="24"/>
          <w:szCs w:val="24"/>
        </w:rPr>
        <w:t>h depths varying from 15 to 250 metres. Tube wells and bore wells were run for 10 to 15 minutes before sampling to remove stagnant water from the column and extract new aquifer water. This procedure reduced the possibility of bias brought on by extended st</w:t>
      </w:r>
      <w:r>
        <w:rPr>
          <w:rFonts w:ascii="Arial" w:eastAsia="Arial" w:hAnsi="Arial" w:cs="Arial"/>
          <w:sz w:val="24"/>
          <w:szCs w:val="24"/>
        </w:rPr>
        <w:t>agnation, temperature fluctuations, or surface contamination. The samples were gathered in 500 mL high-density polythene (HDPE) bottles that had been previously cleaned and labelled. To guarantee sample integrity, each bottle was carefully washed with deio</w:t>
      </w:r>
      <w:r>
        <w:rPr>
          <w:rFonts w:ascii="Arial" w:eastAsia="Arial" w:hAnsi="Arial" w:cs="Arial"/>
          <w:sz w:val="24"/>
          <w:szCs w:val="24"/>
        </w:rPr>
        <w:t>nized water before being filled with the corresponding source water. To avoid any outside interference, all sampling procedures were conducted with talc-free lab coats and clean, powder-free latex gloves. Unacidified water was gathered for general physicoc</w:t>
      </w:r>
      <w:r>
        <w:rPr>
          <w:rFonts w:ascii="Arial" w:eastAsia="Arial" w:hAnsi="Arial" w:cs="Arial"/>
          <w:sz w:val="24"/>
          <w:szCs w:val="24"/>
        </w:rPr>
        <w:t xml:space="preserve">hemical study at each location and kept at room temperature until it was brought to the </w:t>
      </w:r>
      <w:proofErr w:type="gramStart"/>
      <w:r>
        <w:rPr>
          <w:rFonts w:ascii="Arial" w:eastAsia="Arial" w:hAnsi="Arial" w:cs="Arial"/>
          <w:sz w:val="24"/>
          <w:szCs w:val="24"/>
        </w:rPr>
        <w:t>lab,  were</w:t>
      </w:r>
      <w:proofErr w:type="gramEnd"/>
      <w:r>
        <w:rPr>
          <w:rFonts w:ascii="Arial" w:eastAsia="Arial" w:hAnsi="Arial" w:cs="Arial"/>
          <w:sz w:val="24"/>
          <w:szCs w:val="24"/>
        </w:rPr>
        <w:t xml:space="preserve"> done according to the standard methods of APHA (2017) guideline. Temperature, pH, EC, and TDS were measured on the spot through portable equipment. The evalu</w:t>
      </w:r>
      <w:r>
        <w:rPr>
          <w:rFonts w:ascii="Arial" w:eastAsia="Arial" w:hAnsi="Arial" w:cs="Arial"/>
          <w:sz w:val="24"/>
          <w:szCs w:val="24"/>
        </w:rPr>
        <w:t>ation of water quality involved the measurement of other parameters like total hardness (TH), calcium (Ca</w:t>
      </w:r>
      <w:r>
        <w:rPr>
          <w:rFonts w:ascii="Arial" w:eastAsia="Arial" w:hAnsi="Arial" w:cs="Arial"/>
          <w:sz w:val="24"/>
          <w:szCs w:val="24"/>
          <w:vertAlign w:val="superscript"/>
        </w:rPr>
        <w:t>2+</w:t>
      </w:r>
      <w:r>
        <w:rPr>
          <w:rFonts w:ascii="Arial" w:eastAsia="Arial" w:hAnsi="Arial" w:cs="Arial"/>
          <w:sz w:val="24"/>
          <w:szCs w:val="24"/>
        </w:rPr>
        <w:t>), magnesium (Mg</w:t>
      </w:r>
      <w:r>
        <w:rPr>
          <w:rFonts w:ascii="Arial" w:eastAsia="Arial" w:hAnsi="Arial" w:cs="Arial"/>
          <w:sz w:val="24"/>
          <w:szCs w:val="24"/>
          <w:vertAlign w:val="superscript"/>
        </w:rPr>
        <w:t>2+</w:t>
      </w:r>
      <w:r>
        <w:rPr>
          <w:rFonts w:ascii="Arial" w:eastAsia="Arial" w:hAnsi="Arial" w:cs="Arial"/>
          <w:sz w:val="24"/>
          <w:szCs w:val="24"/>
        </w:rPr>
        <w:t>), sodium (Na</w:t>
      </w:r>
      <w:r>
        <w:rPr>
          <w:rFonts w:ascii="Arial" w:eastAsia="Arial" w:hAnsi="Arial" w:cs="Arial"/>
          <w:sz w:val="24"/>
          <w:szCs w:val="24"/>
          <w:vertAlign w:val="superscript"/>
        </w:rPr>
        <w:t>+</w:t>
      </w:r>
      <w:r>
        <w:rPr>
          <w:rFonts w:ascii="Arial" w:eastAsia="Arial" w:hAnsi="Arial" w:cs="Arial"/>
          <w:sz w:val="24"/>
          <w:szCs w:val="24"/>
        </w:rPr>
        <w:t>), potassium (K</w:t>
      </w:r>
      <w:r>
        <w:rPr>
          <w:rFonts w:ascii="Arial" w:eastAsia="Arial" w:hAnsi="Arial" w:cs="Arial"/>
          <w:sz w:val="24"/>
          <w:szCs w:val="24"/>
          <w:vertAlign w:val="superscript"/>
        </w:rPr>
        <w:t>+</w:t>
      </w:r>
      <w:r>
        <w:rPr>
          <w:rFonts w:ascii="Arial" w:eastAsia="Arial" w:hAnsi="Arial" w:cs="Arial"/>
          <w:sz w:val="24"/>
          <w:szCs w:val="24"/>
        </w:rPr>
        <w:t>), chloride (Cl</w:t>
      </w:r>
      <w:sdt>
        <w:sdtPr>
          <w:tag w:val="goog_rdk_0"/>
          <w:id w:val="810058124"/>
        </w:sdtPr>
        <w:sdtEndPr/>
        <w:sdtContent>
          <w:r>
            <w:rPr>
              <w:rFonts w:ascii="Arial Unicode MS" w:eastAsia="Arial Unicode MS" w:hAnsi="Arial Unicode MS" w:cs="Arial Unicode MS"/>
              <w:sz w:val="24"/>
              <w:szCs w:val="24"/>
              <w:vertAlign w:val="superscript"/>
            </w:rPr>
            <w:t>−</w:t>
          </w:r>
        </w:sdtContent>
      </w:sdt>
      <w:r>
        <w:rPr>
          <w:rFonts w:ascii="Arial" w:eastAsia="Arial" w:hAnsi="Arial" w:cs="Arial"/>
          <w:sz w:val="24"/>
          <w:szCs w:val="24"/>
        </w:rPr>
        <w:t>), fluoride (F</w:t>
      </w:r>
      <w:sdt>
        <w:sdtPr>
          <w:tag w:val="goog_rdk_1"/>
          <w:id w:val="-1763199974"/>
        </w:sdtPr>
        <w:sdtEndPr/>
        <w:sdtContent>
          <w:r>
            <w:rPr>
              <w:rFonts w:ascii="Arial Unicode MS" w:eastAsia="Arial Unicode MS" w:hAnsi="Arial Unicode MS" w:cs="Arial Unicode MS"/>
              <w:sz w:val="24"/>
              <w:szCs w:val="24"/>
              <w:vertAlign w:val="superscript"/>
            </w:rPr>
            <w:t>−</w:t>
          </w:r>
        </w:sdtContent>
      </w:sdt>
      <w:r>
        <w:rPr>
          <w:rFonts w:ascii="Arial" w:eastAsia="Arial" w:hAnsi="Arial" w:cs="Arial"/>
          <w:sz w:val="24"/>
          <w:szCs w:val="24"/>
        </w:rPr>
        <w:t>), nitrate (NO</w:t>
      </w:r>
      <w:r>
        <w:rPr>
          <w:rFonts w:ascii="Arial" w:eastAsia="Arial" w:hAnsi="Arial" w:cs="Arial"/>
          <w:sz w:val="24"/>
          <w:szCs w:val="24"/>
          <w:vertAlign w:val="subscript"/>
        </w:rPr>
        <w:t>3</w:t>
      </w:r>
      <w:r>
        <w:rPr>
          <w:rFonts w:ascii="Arial" w:eastAsia="Arial" w:hAnsi="Arial" w:cs="Arial"/>
          <w:sz w:val="24"/>
          <w:szCs w:val="24"/>
          <w:vertAlign w:val="superscript"/>
        </w:rPr>
        <w:t>-</w:t>
      </w:r>
      <w:r>
        <w:rPr>
          <w:rFonts w:ascii="Arial" w:eastAsia="Arial" w:hAnsi="Arial" w:cs="Arial"/>
          <w:sz w:val="24"/>
          <w:szCs w:val="24"/>
        </w:rPr>
        <w:t>), carbonate (CO</w:t>
      </w:r>
      <w:r>
        <w:rPr>
          <w:rFonts w:ascii="Arial" w:eastAsia="Arial" w:hAnsi="Arial" w:cs="Arial"/>
          <w:sz w:val="24"/>
          <w:szCs w:val="24"/>
          <w:vertAlign w:val="subscript"/>
        </w:rPr>
        <w:t>3</w:t>
      </w:r>
      <w:r>
        <w:rPr>
          <w:rFonts w:ascii="Arial" w:eastAsia="Arial" w:hAnsi="Arial" w:cs="Arial"/>
          <w:sz w:val="24"/>
          <w:szCs w:val="24"/>
          <w:vertAlign w:val="superscript"/>
        </w:rPr>
        <w:t>2-</w:t>
      </w:r>
      <w:r>
        <w:rPr>
          <w:rFonts w:ascii="Arial" w:eastAsia="Arial" w:hAnsi="Arial" w:cs="Arial"/>
          <w:sz w:val="24"/>
          <w:szCs w:val="24"/>
        </w:rPr>
        <w:t>), bicarbonate (HCO</w:t>
      </w:r>
      <w:r>
        <w:rPr>
          <w:rFonts w:ascii="Arial" w:eastAsia="Arial" w:hAnsi="Arial" w:cs="Arial"/>
          <w:sz w:val="24"/>
          <w:szCs w:val="24"/>
          <w:vertAlign w:val="subscript"/>
        </w:rPr>
        <w:t>3</w:t>
      </w:r>
      <w:r>
        <w:rPr>
          <w:rFonts w:ascii="Arial" w:eastAsia="Arial" w:hAnsi="Arial" w:cs="Arial"/>
          <w:sz w:val="24"/>
          <w:szCs w:val="24"/>
          <w:vertAlign w:val="superscript"/>
        </w:rPr>
        <w:t>-</w:t>
      </w:r>
      <w:r>
        <w:rPr>
          <w:rFonts w:ascii="Arial" w:eastAsia="Arial" w:hAnsi="Arial" w:cs="Arial"/>
          <w:sz w:val="24"/>
          <w:szCs w:val="24"/>
        </w:rPr>
        <w:t xml:space="preserve">) and </w:t>
      </w:r>
      <w:r>
        <w:rPr>
          <w:rFonts w:ascii="Arial" w:eastAsia="Arial" w:hAnsi="Arial" w:cs="Arial"/>
          <w:sz w:val="24"/>
          <w:szCs w:val="24"/>
        </w:rPr>
        <w:t>sulphate (SO</w:t>
      </w:r>
      <w:r>
        <w:rPr>
          <w:rFonts w:ascii="Arial" w:eastAsia="Arial" w:hAnsi="Arial" w:cs="Arial"/>
          <w:sz w:val="24"/>
          <w:szCs w:val="24"/>
          <w:vertAlign w:val="subscript"/>
        </w:rPr>
        <w:t>4</w:t>
      </w:r>
      <w:r>
        <w:rPr>
          <w:rFonts w:ascii="Arial" w:eastAsia="Arial" w:hAnsi="Arial" w:cs="Arial"/>
          <w:sz w:val="24"/>
          <w:szCs w:val="24"/>
          <w:vertAlign w:val="superscript"/>
        </w:rPr>
        <w:t>2-</w:t>
      </w:r>
      <w:r>
        <w:rPr>
          <w:rFonts w:ascii="Arial" w:eastAsia="Arial" w:hAnsi="Arial" w:cs="Arial"/>
          <w:sz w:val="24"/>
          <w:szCs w:val="24"/>
        </w:rPr>
        <w:t xml:space="preserve">). For the analysis, AR-grade reagents and tools were utilised. </w:t>
      </w:r>
      <w:r>
        <w:rPr>
          <w:rFonts w:ascii="Arial" w:eastAsia="Arial" w:hAnsi="Arial" w:cs="Arial"/>
          <w:b/>
          <w:sz w:val="24"/>
          <w:szCs w:val="24"/>
        </w:rPr>
        <w:t>Table 1</w:t>
      </w:r>
      <w:r>
        <w:rPr>
          <w:rFonts w:ascii="Arial" w:eastAsia="Arial" w:hAnsi="Arial" w:cs="Arial"/>
          <w:sz w:val="24"/>
          <w:szCs w:val="24"/>
        </w:rPr>
        <w:t xml:space="preserve"> provides </w:t>
      </w:r>
      <w:r>
        <w:rPr>
          <w:rFonts w:ascii="Arial" w:eastAsia="Arial" w:hAnsi="Arial" w:cs="Arial"/>
          <w:sz w:val="24"/>
          <w:szCs w:val="24"/>
        </w:rPr>
        <w:lastRenderedPageBreak/>
        <w:t>an overview of the analysed parameters, the accepted methodologies for analysis, and the standard parameter values used for comparison with the obtained results</w:t>
      </w:r>
      <w:r>
        <w:rPr>
          <w:rFonts w:ascii="Arial" w:eastAsia="Arial" w:hAnsi="Arial" w:cs="Arial"/>
          <w:sz w:val="24"/>
          <w:szCs w:val="24"/>
        </w:rPr>
        <w:t>.</w:t>
      </w:r>
    </w:p>
    <w:p w14:paraId="62C80FB6" w14:textId="77777777" w:rsidR="004609F0" w:rsidRDefault="00BC7B8C">
      <w:pPr>
        <w:spacing w:line="240" w:lineRule="auto"/>
        <w:ind w:hanging="851"/>
        <w:jc w:val="center"/>
        <w:rPr>
          <w:rFonts w:ascii="Arial" w:eastAsia="Arial" w:hAnsi="Arial" w:cs="Arial"/>
          <w:color w:val="231F20"/>
          <w:sz w:val="24"/>
          <w:szCs w:val="24"/>
        </w:rPr>
      </w:pPr>
      <w:r>
        <w:rPr>
          <w:rFonts w:ascii="Arial" w:eastAsia="Arial" w:hAnsi="Arial" w:cs="Arial"/>
          <w:b/>
          <w:color w:val="231F20"/>
          <w:sz w:val="24"/>
          <w:szCs w:val="24"/>
        </w:rPr>
        <w:t xml:space="preserve">          Table 1. </w:t>
      </w:r>
      <w:r>
        <w:rPr>
          <w:rFonts w:ascii="Arial" w:eastAsia="Arial" w:hAnsi="Arial" w:cs="Arial"/>
          <w:color w:val="231F20"/>
          <w:sz w:val="24"/>
          <w:szCs w:val="24"/>
        </w:rPr>
        <w:t>Analytical procedures for specific water parameters and their units.</w:t>
      </w:r>
    </w:p>
    <w:tbl>
      <w:tblPr>
        <w:tblStyle w:val="a"/>
        <w:tblW w:w="9356" w:type="dxa"/>
        <w:tblInd w:w="-10" w:type="dxa"/>
        <w:tblLayout w:type="fixed"/>
        <w:tblLook w:val="0400" w:firstRow="0" w:lastRow="0" w:firstColumn="0" w:lastColumn="0" w:noHBand="0" w:noVBand="1"/>
      </w:tblPr>
      <w:tblGrid>
        <w:gridCol w:w="709"/>
        <w:gridCol w:w="1276"/>
        <w:gridCol w:w="2268"/>
        <w:gridCol w:w="1276"/>
        <w:gridCol w:w="3827"/>
      </w:tblGrid>
      <w:tr w:rsidR="004609F0" w14:paraId="3E2B3E09" w14:textId="77777777">
        <w:trPr>
          <w:trHeight w:val="420"/>
        </w:trPr>
        <w:tc>
          <w:tcPr>
            <w:tcW w:w="709" w:type="dxa"/>
            <w:tcBorders>
              <w:bottom w:val="single" w:sz="4" w:space="0" w:color="000000"/>
            </w:tcBorders>
            <w:vAlign w:val="center"/>
          </w:tcPr>
          <w:p w14:paraId="300FB606" w14:textId="77777777" w:rsidR="004609F0" w:rsidRDefault="00BC7B8C">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Sr. No.</w:t>
            </w:r>
          </w:p>
        </w:tc>
        <w:tc>
          <w:tcPr>
            <w:tcW w:w="1276" w:type="dxa"/>
            <w:tcBorders>
              <w:bottom w:val="single" w:sz="4" w:space="0" w:color="000000"/>
            </w:tcBorders>
            <w:vAlign w:val="center"/>
          </w:tcPr>
          <w:p w14:paraId="65C6D626" w14:textId="77777777" w:rsidR="004609F0" w:rsidRDefault="00BC7B8C">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Category</w:t>
            </w:r>
          </w:p>
        </w:tc>
        <w:tc>
          <w:tcPr>
            <w:tcW w:w="2268" w:type="dxa"/>
            <w:tcBorders>
              <w:bottom w:val="single" w:sz="4" w:space="0" w:color="000000"/>
            </w:tcBorders>
            <w:vAlign w:val="center"/>
          </w:tcPr>
          <w:p w14:paraId="18126512" w14:textId="77777777" w:rsidR="004609F0" w:rsidRDefault="00BC7B8C">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Parameters</w:t>
            </w:r>
          </w:p>
        </w:tc>
        <w:tc>
          <w:tcPr>
            <w:tcW w:w="1276" w:type="dxa"/>
            <w:tcBorders>
              <w:bottom w:val="single" w:sz="4" w:space="0" w:color="000000"/>
            </w:tcBorders>
            <w:vAlign w:val="center"/>
          </w:tcPr>
          <w:p w14:paraId="14BC2148" w14:textId="77777777" w:rsidR="004609F0" w:rsidRDefault="00BC7B8C">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Unit</w:t>
            </w:r>
          </w:p>
        </w:tc>
        <w:tc>
          <w:tcPr>
            <w:tcW w:w="3827" w:type="dxa"/>
            <w:tcBorders>
              <w:bottom w:val="single" w:sz="4" w:space="0" w:color="000000"/>
            </w:tcBorders>
            <w:vAlign w:val="center"/>
          </w:tcPr>
          <w:p w14:paraId="10559469" w14:textId="77777777" w:rsidR="004609F0" w:rsidRDefault="00BC7B8C">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Method</w:t>
            </w:r>
          </w:p>
        </w:tc>
      </w:tr>
      <w:tr w:rsidR="004609F0" w14:paraId="506C5EC2" w14:textId="77777777">
        <w:trPr>
          <w:trHeight w:val="315"/>
        </w:trPr>
        <w:tc>
          <w:tcPr>
            <w:tcW w:w="709" w:type="dxa"/>
            <w:tcBorders>
              <w:top w:val="single" w:sz="4" w:space="0" w:color="000000"/>
            </w:tcBorders>
            <w:vAlign w:val="center"/>
          </w:tcPr>
          <w:p w14:paraId="1BF7BA76"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w:t>
            </w:r>
          </w:p>
        </w:tc>
        <w:tc>
          <w:tcPr>
            <w:tcW w:w="1276" w:type="dxa"/>
            <w:tcBorders>
              <w:top w:val="single" w:sz="4" w:space="0" w:color="000000"/>
            </w:tcBorders>
            <w:vAlign w:val="center"/>
          </w:tcPr>
          <w:p w14:paraId="09B8F685"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General</w:t>
            </w:r>
          </w:p>
        </w:tc>
        <w:tc>
          <w:tcPr>
            <w:tcW w:w="2268" w:type="dxa"/>
            <w:tcBorders>
              <w:top w:val="single" w:sz="4" w:space="0" w:color="000000"/>
            </w:tcBorders>
            <w:vAlign w:val="center"/>
          </w:tcPr>
          <w:p w14:paraId="17D601E5"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Temperature</w:t>
            </w:r>
          </w:p>
        </w:tc>
        <w:tc>
          <w:tcPr>
            <w:tcW w:w="1276" w:type="dxa"/>
            <w:tcBorders>
              <w:top w:val="single" w:sz="4" w:space="0" w:color="000000"/>
            </w:tcBorders>
            <w:vAlign w:val="center"/>
          </w:tcPr>
          <w:p w14:paraId="08135CCD"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°C</w:t>
            </w:r>
          </w:p>
        </w:tc>
        <w:tc>
          <w:tcPr>
            <w:tcW w:w="3827" w:type="dxa"/>
            <w:vMerge w:val="restart"/>
            <w:tcBorders>
              <w:top w:val="single" w:sz="4" w:space="0" w:color="000000"/>
              <w:bottom w:val="single" w:sz="4" w:space="0" w:color="000000"/>
            </w:tcBorders>
            <w:vAlign w:val="center"/>
          </w:tcPr>
          <w:p w14:paraId="69DBD732"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Digital multi parameter</w:t>
            </w:r>
          </w:p>
          <w:p w14:paraId="31DB983E"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w:t>
            </w:r>
            <w:proofErr w:type="spellStart"/>
            <w:r>
              <w:rPr>
                <w:rFonts w:ascii="Arial" w:eastAsia="Arial" w:hAnsi="Arial" w:cs="Arial"/>
                <w:color w:val="000000"/>
                <w:sz w:val="24"/>
                <w:szCs w:val="24"/>
              </w:rPr>
              <w:t>Systronics</w:t>
            </w:r>
            <w:proofErr w:type="spellEnd"/>
            <w:r>
              <w:rPr>
                <w:rFonts w:ascii="Arial" w:eastAsia="Arial" w:hAnsi="Arial" w:cs="Arial"/>
                <w:color w:val="000000"/>
                <w:sz w:val="24"/>
                <w:szCs w:val="24"/>
              </w:rPr>
              <w:t xml:space="preserve"> Water Analyser 371)</w:t>
            </w:r>
          </w:p>
        </w:tc>
      </w:tr>
      <w:tr w:rsidR="004609F0" w14:paraId="0C5F8225" w14:textId="77777777">
        <w:trPr>
          <w:trHeight w:val="315"/>
        </w:trPr>
        <w:tc>
          <w:tcPr>
            <w:tcW w:w="709" w:type="dxa"/>
            <w:vAlign w:val="center"/>
          </w:tcPr>
          <w:p w14:paraId="687C2951"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2</w:t>
            </w:r>
          </w:p>
        </w:tc>
        <w:tc>
          <w:tcPr>
            <w:tcW w:w="1276" w:type="dxa"/>
            <w:vAlign w:val="center"/>
          </w:tcPr>
          <w:p w14:paraId="7E49F764"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General</w:t>
            </w:r>
          </w:p>
        </w:tc>
        <w:tc>
          <w:tcPr>
            <w:tcW w:w="2268" w:type="dxa"/>
            <w:vAlign w:val="center"/>
          </w:tcPr>
          <w:p w14:paraId="76A4B7E7"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pH</w:t>
            </w:r>
          </w:p>
        </w:tc>
        <w:tc>
          <w:tcPr>
            <w:tcW w:w="1276" w:type="dxa"/>
            <w:vAlign w:val="center"/>
          </w:tcPr>
          <w:p w14:paraId="28300D6F"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w:t>
            </w:r>
          </w:p>
        </w:tc>
        <w:tc>
          <w:tcPr>
            <w:tcW w:w="3827" w:type="dxa"/>
            <w:vMerge/>
            <w:tcBorders>
              <w:top w:val="single" w:sz="4" w:space="0" w:color="000000"/>
              <w:bottom w:val="single" w:sz="4" w:space="0" w:color="000000"/>
            </w:tcBorders>
            <w:vAlign w:val="center"/>
          </w:tcPr>
          <w:p w14:paraId="5680202F" w14:textId="77777777" w:rsidR="004609F0" w:rsidRDefault="004609F0">
            <w:pPr>
              <w:widowControl w:val="0"/>
              <w:pBdr>
                <w:top w:val="nil"/>
                <w:left w:val="nil"/>
                <w:bottom w:val="nil"/>
                <w:right w:val="nil"/>
                <w:between w:val="nil"/>
              </w:pBdr>
              <w:spacing w:after="0" w:line="276" w:lineRule="auto"/>
              <w:rPr>
                <w:rFonts w:ascii="Arial" w:eastAsia="Arial" w:hAnsi="Arial" w:cs="Arial"/>
                <w:color w:val="000000"/>
                <w:sz w:val="24"/>
                <w:szCs w:val="24"/>
              </w:rPr>
            </w:pPr>
          </w:p>
        </w:tc>
      </w:tr>
      <w:tr w:rsidR="004609F0" w14:paraId="38B75D62" w14:textId="77777777">
        <w:trPr>
          <w:trHeight w:val="315"/>
        </w:trPr>
        <w:tc>
          <w:tcPr>
            <w:tcW w:w="709" w:type="dxa"/>
            <w:vAlign w:val="center"/>
          </w:tcPr>
          <w:p w14:paraId="47107B77"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w:t>
            </w:r>
          </w:p>
        </w:tc>
        <w:tc>
          <w:tcPr>
            <w:tcW w:w="1276" w:type="dxa"/>
            <w:vAlign w:val="center"/>
          </w:tcPr>
          <w:p w14:paraId="5E5D5CA5"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General</w:t>
            </w:r>
          </w:p>
        </w:tc>
        <w:tc>
          <w:tcPr>
            <w:tcW w:w="2268" w:type="dxa"/>
            <w:vAlign w:val="center"/>
          </w:tcPr>
          <w:p w14:paraId="3EB80CAB"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TDS</w:t>
            </w:r>
          </w:p>
        </w:tc>
        <w:tc>
          <w:tcPr>
            <w:tcW w:w="1276" w:type="dxa"/>
            <w:vAlign w:val="center"/>
          </w:tcPr>
          <w:p w14:paraId="35CAD716"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vMerge/>
            <w:tcBorders>
              <w:top w:val="single" w:sz="4" w:space="0" w:color="000000"/>
              <w:bottom w:val="single" w:sz="4" w:space="0" w:color="000000"/>
            </w:tcBorders>
            <w:vAlign w:val="center"/>
          </w:tcPr>
          <w:p w14:paraId="41AA2E19" w14:textId="77777777" w:rsidR="004609F0" w:rsidRDefault="004609F0">
            <w:pPr>
              <w:widowControl w:val="0"/>
              <w:pBdr>
                <w:top w:val="nil"/>
                <w:left w:val="nil"/>
                <w:bottom w:val="nil"/>
                <w:right w:val="nil"/>
                <w:between w:val="nil"/>
              </w:pBdr>
              <w:spacing w:after="0" w:line="276" w:lineRule="auto"/>
              <w:rPr>
                <w:rFonts w:ascii="Arial" w:eastAsia="Arial" w:hAnsi="Arial" w:cs="Arial"/>
                <w:color w:val="000000"/>
                <w:sz w:val="24"/>
                <w:szCs w:val="24"/>
              </w:rPr>
            </w:pPr>
          </w:p>
        </w:tc>
      </w:tr>
      <w:tr w:rsidR="004609F0" w14:paraId="07B2FB83" w14:textId="77777777">
        <w:trPr>
          <w:trHeight w:val="315"/>
        </w:trPr>
        <w:tc>
          <w:tcPr>
            <w:tcW w:w="709" w:type="dxa"/>
            <w:vAlign w:val="center"/>
          </w:tcPr>
          <w:p w14:paraId="6D864C72"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4</w:t>
            </w:r>
          </w:p>
        </w:tc>
        <w:tc>
          <w:tcPr>
            <w:tcW w:w="1276" w:type="dxa"/>
            <w:vAlign w:val="center"/>
          </w:tcPr>
          <w:p w14:paraId="542F9511"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General</w:t>
            </w:r>
          </w:p>
        </w:tc>
        <w:tc>
          <w:tcPr>
            <w:tcW w:w="2268" w:type="dxa"/>
            <w:vAlign w:val="center"/>
          </w:tcPr>
          <w:p w14:paraId="40769D7E"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Salinity</w:t>
            </w:r>
          </w:p>
        </w:tc>
        <w:tc>
          <w:tcPr>
            <w:tcW w:w="1276" w:type="dxa"/>
            <w:vAlign w:val="center"/>
          </w:tcPr>
          <w:p w14:paraId="2184CF54"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w:t>
            </w:r>
          </w:p>
        </w:tc>
        <w:tc>
          <w:tcPr>
            <w:tcW w:w="3827" w:type="dxa"/>
            <w:vMerge/>
            <w:tcBorders>
              <w:top w:val="single" w:sz="4" w:space="0" w:color="000000"/>
              <w:bottom w:val="single" w:sz="4" w:space="0" w:color="000000"/>
            </w:tcBorders>
            <w:vAlign w:val="center"/>
          </w:tcPr>
          <w:p w14:paraId="7F129A36" w14:textId="77777777" w:rsidR="004609F0" w:rsidRDefault="004609F0">
            <w:pPr>
              <w:widowControl w:val="0"/>
              <w:pBdr>
                <w:top w:val="nil"/>
                <w:left w:val="nil"/>
                <w:bottom w:val="nil"/>
                <w:right w:val="nil"/>
                <w:between w:val="nil"/>
              </w:pBdr>
              <w:spacing w:after="0" w:line="276" w:lineRule="auto"/>
              <w:rPr>
                <w:rFonts w:ascii="Arial" w:eastAsia="Arial" w:hAnsi="Arial" w:cs="Arial"/>
                <w:color w:val="000000"/>
                <w:sz w:val="24"/>
                <w:szCs w:val="24"/>
              </w:rPr>
            </w:pPr>
          </w:p>
        </w:tc>
      </w:tr>
      <w:tr w:rsidR="004609F0" w14:paraId="0880E0A9" w14:textId="77777777">
        <w:trPr>
          <w:trHeight w:val="315"/>
        </w:trPr>
        <w:tc>
          <w:tcPr>
            <w:tcW w:w="709" w:type="dxa"/>
            <w:tcBorders>
              <w:bottom w:val="single" w:sz="4" w:space="0" w:color="000000"/>
            </w:tcBorders>
            <w:vAlign w:val="center"/>
          </w:tcPr>
          <w:p w14:paraId="786787A9"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5</w:t>
            </w:r>
          </w:p>
        </w:tc>
        <w:tc>
          <w:tcPr>
            <w:tcW w:w="1276" w:type="dxa"/>
            <w:tcBorders>
              <w:bottom w:val="single" w:sz="4" w:space="0" w:color="000000"/>
            </w:tcBorders>
            <w:vAlign w:val="center"/>
          </w:tcPr>
          <w:p w14:paraId="36CC4BA4"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General</w:t>
            </w:r>
          </w:p>
        </w:tc>
        <w:tc>
          <w:tcPr>
            <w:tcW w:w="2268" w:type="dxa"/>
            <w:tcBorders>
              <w:bottom w:val="single" w:sz="4" w:space="0" w:color="000000"/>
            </w:tcBorders>
            <w:vAlign w:val="center"/>
          </w:tcPr>
          <w:p w14:paraId="567EA61F"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EC</w:t>
            </w:r>
          </w:p>
        </w:tc>
        <w:tc>
          <w:tcPr>
            <w:tcW w:w="1276" w:type="dxa"/>
            <w:tcBorders>
              <w:bottom w:val="single" w:sz="4" w:space="0" w:color="000000"/>
            </w:tcBorders>
            <w:vAlign w:val="center"/>
          </w:tcPr>
          <w:p w14:paraId="53B7E168"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µS/cm</w:t>
            </w:r>
          </w:p>
        </w:tc>
        <w:tc>
          <w:tcPr>
            <w:tcW w:w="3827" w:type="dxa"/>
            <w:vMerge/>
            <w:tcBorders>
              <w:top w:val="single" w:sz="4" w:space="0" w:color="000000"/>
              <w:bottom w:val="single" w:sz="4" w:space="0" w:color="000000"/>
            </w:tcBorders>
            <w:vAlign w:val="center"/>
          </w:tcPr>
          <w:p w14:paraId="504F2D12" w14:textId="77777777" w:rsidR="004609F0" w:rsidRDefault="004609F0">
            <w:pPr>
              <w:widowControl w:val="0"/>
              <w:pBdr>
                <w:top w:val="nil"/>
                <w:left w:val="nil"/>
                <w:bottom w:val="nil"/>
                <w:right w:val="nil"/>
                <w:between w:val="nil"/>
              </w:pBdr>
              <w:spacing w:after="0" w:line="276" w:lineRule="auto"/>
              <w:rPr>
                <w:rFonts w:ascii="Arial" w:eastAsia="Arial" w:hAnsi="Arial" w:cs="Arial"/>
                <w:color w:val="000000"/>
                <w:sz w:val="24"/>
                <w:szCs w:val="24"/>
              </w:rPr>
            </w:pPr>
          </w:p>
        </w:tc>
      </w:tr>
      <w:tr w:rsidR="004609F0" w14:paraId="6811F4FC" w14:textId="77777777">
        <w:trPr>
          <w:trHeight w:val="315"/>
        </w:trPr>
        <w:tc>
          <w:tcPr>
            <w:tcW w:w="709" w:type="dxa"/>
            <w:tcBorders>
              <w:top w:val="single" w:sz="4" w:space="0" w:color="000000"/>
            </w:tcBorders>
            <w:vAlign w:val="center"/>
          </w:tcPr>
          <w:p w14:paraId="5337740F"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8</w:t>
            </w:r>
          </w:p>
        </w:tc>
        <w:tc>
          <w:tcPr>
            <w:tcW w:w="1276" w:type="dxa"/>
            <w:tcBorders>
              <w:top w:val="single" w:sz="4" w:space="0" w:color="000000"/>
            </w:tcBorders>
            <w:vAlign w:val="center"/>
          </w:tcPr>
          <w:p w14:paraId="116C33ED"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Cation</w:t>
            </w:r>
          </w:p>
        </w:tc>
        <w:tc>
          <w:tcPr>
            <w:tcW w:w="2268" w:type="dxa"/>
            <w:tcBorders>
              <w:top w:val="single" w:sz="4" w:space="0" w:color="000000"/>
            </w:tcBorders>
            <w:vAlign w:val="center"/>
          </w:tcPr>
          <w:p w14:paraId="7F10C1B8"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Total Hardness (TH)</w:t>
            </w:r>
          </w:p>
        </w:tc>
        <w:tc>
          <w:tcPr>
            <w:tcW w:w="1276" w:type="dxa"/>
            <w:tcBorders>
              <w:top w:val="single" w:sz="4" w:space="0" w:color="000000"/>
            </w:tcBorders>
            <w:vAlign w:val="center"/>
          </w:tcPr>
          <w:p w14:paraId="40E499A5"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vMerge w:val="restart"/>
            <w:tcBorders>
              <w:top w:val="single" w:sz="4" w:space="0" w:color="000000"/>
              <w:bottom w:val="single" w:sz="4" w:space="0" w:color="000000"/>
            </w:tcBorders>
            <w:vAlign w:val="center"/>
          </w:tcPr>
          <w:p w14:paraId="1CE714B4"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EDTA Titrimetric Method</w:t>
            </w:r>
          </w:p>
        </w:tc>
      </w:tr>
      <w:tr w:rsidR="004609F0" w14:paraId="6613366B" w14:textId="77777777">
        <w:trPr>
          <w:trHeight w:val="345"/>
        </w:trPr>
        <w:tc>
          <w:tcPr>
            <w:tcW w:w="709" w:type="dxa"/>
            <w:vAlign w:val="center"/>
          </w:tcPr>
          <w:p w14:paraId="13F05F36"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6</w:t>
            </w:r>
          </w:p>
        </w:tc>
        <w:tc>
          <w:tcPr>
            <w:tcW w:w="1276" w:type="dxa"/>
            <w:vAlign w:val="center"/>
          </w:tcPr>
          <w:p w14:paraId="0781512B"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Cation</w:t>
            </w:r>
          </w:p>
        </w:tc>
        <w:tc>
          <w:tcPr>
            <w:tcW w:w="2268" w:type="dxa"/>
            <w:vAlign w:val="center"/>
          </w:tcPr>
          <w:p w14:paraId="07139B18"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Calcium (Ca</w:t>
            </w:r>
            <w:r>
              <w:rPr>
                <w:rFonts w:ascii="Arial" w:eastAsia="Arial" w:hAnsi="Arial" w:cs="Arial"/>
                <w:color w:val="000000"/>
                <w:sz w:val="24"/>
                <w:szCs w:val="24"/>
                <w:vertAlign w:val="superscript"/>
              </w:rPr>
              <w:t>2+</w:t>
            </w:r>
            <w:r>
              <w:rPr>
                <w:rFonts w:ascii="Arial" w:eastAsia="Arial" w:hAnsi="Arial" w:cs="Arial"/>
                <w:color w:val="000000"/>
                <w:sz w:val="24"/>
                <w:szCs w:val="24"/>
              </w:rPr>
              <w:t>)</w:t>
            </w:r>
          </w:p>
        </w:tc>
        <w:tc>
          <w:tcPr>
            <w:tcW w:w="1276" w:type="dxa"/>
            <w:vAlign w:val="center"/>
          </w:tcPr>
          <w:p w14:paraId="16318B3D"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vMerge/>
            <w:tcBorders>
              <w:top w:val="single" w:sz="4" w:space="0" w:color="000000"/>
              <w:bottom w:val="single" w:sz="4" w:space="0" w:color="000000"/>
            </w:tcBorders>
            <w:vAlign w:val="center"/>
          </w:tcPr>
          <w:p w14:paraId="05B75A63" w14:textId="77777777" w:rsidR="004609F0" w:rsidRDefault="004609F0">
            <w:pPr>
              <w:widowControl w:val="0"/>
              <w:pBdr>
                <w:top w:val="nil"/>
                <w:left w:val="nil"/>
                <w:bottom w:val="nil"/>
                <w:right w:val="nil"/>
                <w:between w:val="nil"/>
              </w:pBdr>
              <w:spacing w:after="0" w:line="276" w:lineRule="auto"/>
              <w:rPr>
                <w:rFonts w:ascii="Arial" w:eastAsia="Arial" w:hAnsi="Arial" w:cs="Arial"/>
                <w:color w:val="000000"/>
                <w:sz w:val="24"/>
                <w:szCs w:val="24"/>
              </w:rPr>
            </w:pPr>
          </w:p>
        </w:tc>
      </w:tr>
      <w:tr w:rsidR="004609F0" w14:paraId="7B465BEE" w14:textId="77777777">
        <w:trPr>
          <w:trHeight w:val="345"/>
        </w:trPr>
        <w:tc>
          <w:tcPr>
            <w:tcW w:w="709" w:type="dxa"/>
            <w:tcBorders>
              <w:bottom w:val="single" w:sz="4" w:space="0" w:color="000000"/>
            </w:tcBorders>
            <w:vAlign w:val="center"/>
          </w:tcPr>
          <w:p w14:paraId="0A1B9864"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7</w:t>
            </w:r>
          </w:p>
        </w:tc>
        <w:tc>
          <w:tcPr>
            <w:tcW w:w="1276" w:type="dxa"/>
            <w:tcBorders>
              <w:bottom w:val="single" w:sz="4" w:space="0" w:color="000000"/>
            </w:tcBorders>
            <w:vAlign w:val="center"/>
          </w:tcPr>
          <w:p w14:paraId="5FB1EEEC"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Cation</w:t>
            </w:r>
          </w:p>
        </w:tc>
        <w:tc>
          <w:tcPr>
            <w:tcW w:w="2268" w:type="dxa"/>
            <w:tcBorders>
              <w:bottom w:val="single" w:sz="4" w:space="0" w:color="000000"/>
            </w:tcBorders>
            <w:vAlign w:val="center"/>
          </w:tcPr>
          <w:p w14:paraId="4827AF39"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Magnesium (Mg</w:t>
            </w:r>
            <w:r>
              <w:rPr>
                <w:rFonts w:ascii="Arial" w:eastAsia="Arial" w:hAnsi="Arial" w:cs="Arial"/>
                <w:color w:val="000000"/>
                <w:sz w:val="24"/>
                <w:szCs w:val="24"/>
                <w:vertAlign w:val="superscript"/>
              </w:rPr>
              <w:t>2+</w:t>
            </w:r>
            <w:r>
              <w:rPr>
                <w:rFonts w:ascii="Arial" w:eastAsia="Arial" w:hAnsi="Arial" w:cs="Arial"/>
                <w:color w:val="000000"/>
                <w:sz w:val="24"/>
                <w:szCs w:val="24"/>
              </w:rPr>
              <w:t>)</w:t>
            </w:r>
          </w:p>
        </w:tc>
        <w:tc>
          <w:tcPr>
            <w:tcW w:w="1276" w:type="dxa"/>
            <w:tcBorders>
              <w:bottom w:val="single" w:sz="4" w:space="0" w:color="000000"/>
            </w:tcBorders>
            <w:vAlign w:val="center"/>
          </w:tcPr>
          <w:p w14:paraId="3579EF3B"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vMerge/>
            <w:tcBorders>
              <w:top w:val="single" w:sz="4" w:space="0" w:color="000000"/>
              <w:bottom w:val="single" w:sz="4" w:space="0" w:color="000000"/>
            </w:tcBorders>
            <w:vAlign w:val="center"/>
          </w:tcPr>
          <w:p w14:paraId="21DB75E3" w14:textId="77777777" w:rsidR="004609F0" w:rsidRDefault="004609F0">
            <w:pPr>
              <w:widowControl w:val="0"/>
              <w:pBdr>
                <w:top w:val="nil"/>
                <w:left w:val="nil"/>
                <w:bottom w:val="nil"/>
                <w:right w:val="nil"/>
                <w:between w:val="nil"/>
              </w:pBdr>
              <w:spacing w:after="0" w:line="276" w:lineRule="auto"/>
              <w:rPr>
                <w:rFonts w:ascii="Arial" w:eastAsia="Arial" w:hAnsi="Arial" w:cs="Arial"/>
                <w:color w:val="000000"/>
                <w:sz w:val="24"/>
                <w:szCs w:val="24"/>
              </w:rPr>
            </w:pPr>
          </w:p>
        </w:tc>
      </w:tr>
      <w:tr w:rsidR="004609F0" w14:paraId="69C3EE2B" w14:textId="77777777">
        <w:trPr>
          <w:trHeight w:val="345"/>
        </w:trPr>
        <w:tc>
          <w:tcPr>
            <w:tcW w:w="709" w:type="dxa"/>
            <w:tcBorders>
              <w:top w:val="single" w:sz="4" w:space="0" w:color="000000"/>
            </w:tcBorders>
            <w:vAlign w:val="center"/>
          </w:tcPr>
          <w:p w14:paraId="5541AAD4"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9</w:t>
            </w:r>
          </w:p>
        </w:tc>
        <w:tc>
          <w:tcPr>
            <w:tcW w:w="1276" w:type="dxa"/>
            <w:tcBorders>
              <w:top w:val="single" w:sz="4" w:space="0" w:color="000000"/>
            </w:tcBorders>
            <w:vAlign w:val="center"/>
          </w:tcPr>
          <w:p w14:paraId="53435A1C"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Cation</w:t>
            </w:r>
          </w:p>
        </w:tc>
        <w:tc>
          <w:tcPr>
            <w:tcW w:w="2268" w:type="dxa"/>
            <w:tcBorders>
              <w:top w:val="single" w:sz="4" w:space="0" w:color="000000"/>
            </w:tcBorders>
            <w:vAlign w:val="center"/>
          </w:tcPr>
          <w:p w14:paraId="59E4CEDE"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Sodium (Na</w:t>
            </w:r>
            <w:r>
              <w:rPr>
                <w:rFonts w:ascii="Arial" w:eastAsia="Arial" w:hAnsi="Arial" w:cs="Arial"/>
                <w:color w:val="000000"/>
                <w:sz w:val="24"/>
                <w:szCs w:val="24"/>
                <w:vertAlign w:val="superscript"/>
              </w:rPr>
              <w:t>+</w:t>
            </w:r>
            <w:r>
              <w:rPr>
                <w:rFonts w:ascii="Arial" w:eastAsia="Arial" w:hAnsi="Arial" w:cs="Arial"/>
                <w:color w:val="000000"/>
                <w:sz w:val="24"/>
                <w:szCs w:val="24"/>
              </w:rPr>
              <w:t>)</w:t>
            </w:r>
          </w:p>
        </w:tc>
        <w:tc>
          <w:tcPr>
            <w:tcW w:w="1276" w:type="dxa"/>
            <w:tcBorders>
              <w:top w:val="single" w:sz="4" w:space="0" w:color="000000"/>
            </w:tcBorders>
            <w:vAlign w:val="center"/>
          </w:tcPr>
          <w:p w14:paraId="39E10DAA"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vMerge w:val="restart"/>
            <w:tcBorders>
              <w:top w:val="single" w:sz="4" w:space="0" w:color="000000"/>
              <w:bottom w:val="single" w:sz="4" w:space="0" w:color="000000"/>
            </w:tcBorders>
            <w:vAlign w:val="center"/>
          </w:tcPr>
          <w:p w14:paraId="09D605A2"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Flame Photometry</w:t>
            </w:r>
          </w:p>
          <w:p w14:paraId="72A2C747"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w:t>
            </w:r>
            <w:proofErr w:type="spellStart"/>
            <w:r>
              <w:rPr>
                <w:rFonts w:ascii="Arial" w:eastAsia="Arial" w:hAnsi="Arial" w:cs="Arial"/>
                <w:color w:val="000000"/>
                <w:sz w:val="24"/>
                <w:szCs w:val="24"/>
              </w:rPr>
              <w:t>Systronics</w:t>
            </w:r>
            <w:proofErr w:type="spellEnd"/>
            <w:r>
              <w:rPr>
                <w:rFonts w:ascii="Arial" w:eastAsia="Arial" w:hAnsi="Arial" w:cs="Arial"/>
                <w:color w:val="000000"/>
                <w:sz w:val="24"/>
                <w:szCs w:val="24"/>
              </w:rPr>
              <w:t xml:space="preserve"> Flame Photometer 128)</w:t>
            </w:r>
          </w:p>
        </w:tc>
      </w:tr>
      <w:tr w:rsidR="004609F0" w14:paraId="46BB4D73" w14:textId="77777777">
        <w:trPr>
          <w:trHeight w:val="345"/>
        </w:trPr>
        <w:tc>
          <w:tcPr>
            <w:tcW w:w="709" w:type="dxa"/>
            <w:tcBorders>
              <w:bottom w:val="single" w:sz="4" w:space="0" w:color="000000"/>
            </w:tcBorders>
            <w:vAlign w:val="center"/>
          </w:tcPr>
          <w:p w14:paraId="1C94DFBC"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10</w:t>
            </w:r>
          </w:p>
        </w:tc>
        <w:tc>
          <w:tcPr>
            <w:tcW w:w="1276" w:type="dxa"/>
            <w:tcBorders>
              <w:bottom w:val="single" w:sz="4" w:space="0" w:color="000000"/>
            </w:tcBorders>
            <w:vAlign w:val="center"/>
          </w:tcPr>
          <w:p w14:paraId="1657E94B"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Cation</w:t>
            </w:r>
          </w:p>
        </w:tc>
        <w:tc>
          <w:tcPr>
            <w:tcW w:w="2268" w:type="dxa"/>
            <w:tcBorders>
              <w:bottom w:val="single" w:sz="4" w:space="0" w:color="000000"/>
            </w:tcBorders>
            <w:vAlign w:val="center"/>
          </w:tcPr>
          <w:p w14:paraId="459DAC5A"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Potassium (K</w:t>
            </w:r>
            <w:r>
              <w:rPr>
                <w:rFonts w:ascii="Arial" w:eastAsia="Arial" w:hAnsi="Arial" w:cs="Arial"/>
                <w:color w:val="000000"/>
                <w:sz w:val="24"/>
                <w:szCs w:val="24"/>
                <w:vertAlign w:val="superscript"/>
              </w:rPr>
              <w:t>+</w:t>
            </w:r>
            <w:r>
              <w:rPr>
                <w:rFonts w:ascii="Arial" w:eastAsia="Arial" w:hAnsi="Arial" w:cs="Arial"/>
                <w:color w:val="000000"/>
                <w:sz w:val="24"/>
                <w:szCs w:val="24"/>
              </w:rPr>
              <w:t>)</w:t>
            </w:r>
          </w:p>
        </w:tc>
        <w:tc>
          <w:tcPr>
            <w:tcW w:w="1276" w:type="dxa"/>
            <w:tcBorders>
              <w:bottom w:val="single" w:sz="4" w:space="0" w:color="000000"/>
            </w:tcBorders>
            <w:vAlign w:val="center"/>
          </w:tcPr>
          <w:p w14:paraId="4CE9C4D2"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vMerge/>
            <w:tcBorders>
              <w:top w:val="single" w:sz="4" w:space="0" w:color="000000"/>
              <w:bottom w:val="single" w:sz="4" w:space="0" w:color="000000"/>
            </w:tcBorders>
            <w:vAlign w:val="center"/>
          </w:tcPr>
          <w:p w14:paraId="3F309B1C" w14:textId="77777777" w:rsidR="004609F0" w:rsidRDefault="004609F0">
            <w:pPr>
              <w:widowControl w:val="0"/>
              <w:pBdr>
                <w:top w:val="nil"/>
                <w:left w:val="nil"/>
                <w:bottom w:val="nil"/>
                <w:right w:val="nil"/>
                <w:between w:val="nil"/>
              </w:pBdr>
              <w:spacing w:after="0" w:line="276" w:lineRule="auto"/>
              <w:rPr>
                <w:rFonts w:ascii="Arial" w:eastAsia="Arial" w:hAnsi="Arial" w:cs="Arial"/>
                <w:color w:val="000000"/>
                <w:sz w:val="24"/>
                <w:szCs w:val="24"/>
              </w:rPr>
            </w:pPr>
          </w:p>
        </w:tc>
      </w:tr>
      <w:tr w:rsidR="004609F0" w14:paraId="74F47F94" w14:textId="77777777">
        <w:trPr>
          <w:trHeight w:val="360"/>
        </w:trPr>
        <w:tc>
          <w:tcPr>
            <w:tcW w:w="709" w:type="dxa"/>
            <w:tcBorders>
              <w:top w:val="single" w:sz="4" w:space="0" w:color="000000"/>
            </w:tcBorders>
            <w:vAlign w:val="center"/>
          </w:tcPr>
          <w:p w14:paraId="1A970B2C"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11</w:t>
            </w:r>
          </w:p>
        </w:tc>
        <w:tc>
          <w:tcPr>
            <w:tcW w:w="1276" w:type="dxa"/>
            <w:tcBorders>
              <w:top w:val="single" w:sz="4" w:space="0" w:color="000000"/>
            </w:tcBorders>
            <w:vAlign w:val="center"/>
          </w:tcPr>
          <w:p w14:paraId="2F945B05"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Anion</w:t>
            </w:r>
          </w:p>
        </w:tc>
        <w:tc>
          <w:tcPr>
            <w:tcW w:w="2268" w:type="dxa"/>
            <w:tcBorders>
              <w:top w:val="single" w:sz="4" w:space="0" w:color="000000"/>
            </w:tcBorders>
            <w:vAlign w:val="center"/>
          </w:tcPr>
          <w:p w14:paraId="6974A5F5"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Carbonate (CO</w:t>
            </w:r>
            <w:r>
              <w:rPr>
                <w:rFonts w:ascii="Arial" w:eastAsia="Arial" w:hAnsi="Arial" w:cs="Arial"/>
                <w:color w:val="000000"/>
                <w:sz w:val="24"/>
                <w:szCs w:val="24"/>
                <w:vertAlign w:val="subscript"/>
              </w:rPr>
              <w:t>3</w:t>
            </w:r>
            <w:r>
              <w:rPr>
                <w:rFonts w:ascii="Arial" w:eastAsia="Arial" w:hAnsi="Arial" w:cs="Arial"/>
                <w:color w:val="000000"/>
                <w:sz w:val="24"/>
                <w:szCs w:val="24"/>
                <w:vertAlign w:val="superscript"/>
              </w:rPr>
              <w:t>2-</w:t>
            </w:r>
            <w:r>
              <w:rPr>
                <w:rFonts w:ascii="Arial" w:eastAsia="Arial" w:hAnsi="Arial" w:cs="Arial"/>
                <w:color w:val="000000"/>
                <w:sz w:val="24"/>
                <w:szCs w:val="24"/>
              </w:rPr>
              <w:t>)</w:t>
            </w:r>
          </w:p>
        </w:tc>
        <w:tc>
          <w:tcPr>
            <w:tcW w:w="1276" w:type="dxa"/>
            <w:tcBorders>
              <w:top w:val="single" w:sz="4" w:space="0" w:color="000000"/>
            </w:tcBorders>
            <w:vAlign w:val="center"/>
          </w:tcPr>
          <w:p w14:paraId="3B0F8B5C"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vMerge w:val="restart"/>
            <w:tcBorders>
              <w:top w:val="single" w:sz="4" w:space="0" w:color="000000"/>
              <w:bottom w:val="single" w:sz="4" w:space="0" w:color="000000"/>
            </w:tcBorders>
            <w:vAlign w:val="center"/>
          </w:tcPr>
          <w:p w14:paraId="5E621CB7"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Titrimetric Method</w:t>
            </w:r>
          </w:p>
        </w:tc>
      </w:tr>
      <w:tr w:rsidR="004609F0" w14:paraId="112B64D6" w14:textId="77777777">
        <w:trPr>
          <w:trHeight w:val="360"/>
        </w:trPr>
        <w:tc>
          <w:tcPr>
            <w:tcW w:w="709" w:type="dxa"/>
            <w:vAlign w:val="center"/>
          </w:tcPr>
          <w:p w14:paraId="62CF4E92"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12</w:t>
            </w:r>
          </w:p>
        </w:tc>
        <w:tc>
          <w:tcPr>
            <w:tcW w:w="1276" w:type="dxa"/>
            <w:vAlign w:val="center"/>
          </w:tcPr>
          <w:p w14:paraId="46060FFB"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Anion</w:t>
            </w:r>
          </w:p>
        </w:tc>
        <w:tc>
          <w:tcPr>
            <w:tcW w:w="2268" w:type="dxa"/>
            <w:vAlign w:val="center"/>
          </w:tcPr>
          <w:p w14:paraId="719FDAF6"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Bicarbonate (HCO</w:t>
            </w:r>
            <w:r>
              <w:rPr>
                <w:rFonts w:ascii="Arial" w:eastAsia="Arial" w:hAnsi="Arial" w:cs="Arial"/>
                <w:color w:val="000000"/>
                <w:sz w:val="24"/>
                <w:szCs w:val="24"/>
                <w:vertAlign w:val="subscript"/>
              </w:rPr>
              <w:t>3</w:t>
            </w:r>
            <w:r>
              <w:rPr>
                <w:rFonts w:ascii="Arial" w:eastAsia="Arial" w:hAnsi="Arial" w:cs="Arial"/>
                <w:color w:val="000000"/>
                <w:sz w:val="24"/>
                <w:szCs w:val="24"/>
                <w:vertAlign w:val="superscript"/>
              </w:rPr>
              <w:t>-</w:t>
            </w:r>
            <w:r>
              <w:rPr>
                <w:rFonts w:ascii="Arial" w:eastAsia="Arial" w:hAnsi="Arial" w:cs="Arial"/>
                <w:color w:val="000000"/>
                <w:sz w:val="24"/>
                <w:szCs w:val="24"/>
              </w:rPr>
              <w:t>)</w:t>
            </w:r>
          </w:p>
        </w:tc>
        <w:tc>
          <w:tcPr>
            <w:tcW w:w="1276" w:type="dxa"/>
            <w:vAlign w:val="center"/>
          </w:tcPr>
          <w:p w14:paraId="1C9FF3D9"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vMerge/>
            <w:tcBorders>
              <w:top w:val="single" w:sz="4" w:space="0" w:color="000000"/>
              <w:bottom w:val="single" w:sz="4" w:space="0" w:color="000000"/>
            </w:tcBorders>
            <w:vAlign w:val="center"/>
          </w:tcPr>
          <w:p w14:paraId="3F5A95A3" w14:textId="77777777" w:rsidR="004609F0" w:rsidRDefault="004609F0">
            <w:pPr>
              <w:widowControl w:val="0"/>
              <w:pBdr>
                <w:top w:val="nil"/>
                <w:left w:val="nil"/>
                <w:bottom w:val="nil"/>
                <w:right w:val="nil"/>
                <w:between w:val="nil"/>
              </w:pBdr>
              <w:spacing w:after="0" w:line="276" w:lineRule="auto"/>
              <w:rPr>
                <w:rFonts w:ascii="Arial" w:eastAsia="Arial" w:hAnsi="Arial" w:cs="Arial"/>
                <w:color w:val="000000"/>
                <w:sz w:val="24"/>
                <w:szCs w:val="24"/>
              </w:rPr>
            </w:pPr>
          </w:p>
        </w:tc>
      </w:tr>
      <w:tr w:rsidR="004609F0" w14:paraId="28654AF9" w14:textId="77777777">
        <w:trPr>
          <w:trHeight w:val="315"/>
        </w:trPr>
        <w:tc>
          <w:tcPr>
            <w:tcW w:w="709" w:type="dxa"/>
            <w:tcBorders>
              <w:bottom w:val="single" w:sz="4" w:space="0" w:color="000000"/>
            </w:tcBorders>
            <w:vAlign w:val="center"/>
          </w:tcPr>
          <w:p w14:paraId="48C81852"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13</w:t>
            </w:r>
          </w:p>
        </w:tc>
        <w:tc>
          <w:tcPr>
            <w:tcW w:w="1276" w:type="dxa"/>
            <w:tcBorders>
              <w:bottom w:val="single" w:sz="4" w:space="0" w:color="000000"/>
            </w:tcBorders>
            <w:vAlign w:val="center"/>
          </w:tcPr>
          <w:p w14:paraId="3F59CC91"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Anion</w:t>
            </w:r>
          </w:p>
        </w:tc>
        <w:tc>
          <w:tcPr>
            <w:tcW w:w="2268" w:type="dxa"/>
            <w:tcBorders>
              <w:bottom w:val="single" w:sz="4" w:space="0" w:color="000000"/>
            </w:tcBorders>
            <w:vAlign w:val="center"/>
          </w:tcPr>
          <w:p w14:paraId="7309BB27"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Total Alkalinity (TA)</w:t>
            </w:r>
          </w:p>
        </w:tc>
        <w:tc>
          <w:tcPr>
            <w:tcW w:w="1276" w:type="dxa"/>
            <w:tcBorders>
              <w:bottom w:val="single" w:sz="4" w:space="0" w:color="000000"/>
            </w:tcBorders>
            <w:vAlign w:val="center"/>
          </w:tcPr>
          <w:p w14:paraId="575DB742"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vMerge/>
            <w:tcBorders>
              <w:top w:val="single" w:sz="4" w:space="0" w:color="000000"/>
              <w:bottom w:val="single" w:sz="4" w:space="0" w:color="000000"/>
            </w:tcBorders>
            <w:vAlign w:val="center"/>
          </w:tcPr>
          <w:p w14:paraId="414C54FD" w14:textId="77777777" w:rsidR="004609F0" w:rsidRDefault="004609F0">
            <w:pPr>
              <w:widowControl w:val="0"/>
              <w:pBdr>
                <w:top w:val="nil"/>
                <w:left w:val="nil"/>
                <w:bottom w:val="nil"/>
                <w:right w:val="nil"/>
                <w:between w:val="nil"/>
              </w:pBdr>
              <w:spacing w:after="0" w:line="276" w:lineRule="auto"/>
              <w:rPr>
                <w:rFonts w:ascii="Arial" w:eastAsia="Arial" w:hAnsi="Arial" w:cs="Arial"/>
                <w:color w:val="000000"/>
                <w:sz w:val="24"/>
                <w:szCs w:val="24"/>
              </w:rPr>
            </w:pPr>
          </w:p>
        </w:tc>
      </w:tr>
      <w:tr w:rsidR="004609F0" w14:paraId="5B451061" w14:textId="77777777">
        <w:trPr>
          <w:trHeight w:val="345"/>
        </w:trPr>
        <w:tc>
          <w:tcPr>
            <w:tcW w:w="709" w:type="dxa"/>
            <w:tcBorders>
              <w:top w:val="single" w:sz="4" w:space="0" w:color="000000"/>
              <w:bottom w:val="single" w:sz="4" w:space="0" w:color="000000"/>
            </w:tcBorders>
            <w:vAlign w:val="center"/>
          </w:tcPr>
          <w:p w14:paraId="50F9FCDC"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14</w:t>
            </w:r>
          </w:p>
        </w:tc>
        <w:tc>
          <w:tcPr>
            <w:tcW w:w="1276" w:type="dxa"/>
            <w:tcBorders>
              <w:top w:val="single" w:sz="4" w:space="0" w:color="000000"/>
              <w:bottom w:val="single" w:sz="4" w:space="0" w:color="000000"/>
            </w:tcBorders>
            <w:vAlign w:val="center"/>
          </w:tcPr>
          <w:p w14:paraId="21666BED"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Anion</w:t>
            </w:r>
          </w:p>
        </w:tc>
        <w:tc>
          <w:tcPr>
            <w:tcW w:w="2268" w:type="dxa"/>
            <w:tcBorders>
              <w:top w:val="single" w:sz="4" w:space="0" w:color="000000"/>
              <w:bottom w:val="single" w:sz="4" w:space="0" w:color="000000"/>
            </w:tcBorders>
            <w:vAlign w:val="center"/>
          </w:tcPr>
          <w:p w14:paraId="71471B11"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Chloride (Cl</w:t>
            </w:r>
            <w:r>
              <w:rPr>
                <w:rFonts w:ascii="Arial" w:eastAsia="Arial" w:hAnsi="Arial" w:cs="Arial"/>
                <w:color w:val="000000"/>
                <w:sz w:val="24"/>
                <w:szCs w:val="24"/>
                <w:vertAlign w:val="superscript"/>
              </w:rPr>
              <w:t>-</w:t>
            </w:r>
            <w:r>
              <w:rPr>
                <w:rFonts w:ascii="Arial" w:eastAsia="Arial" w:hAnsi="Arial" w:cs="Arial"/>
                <w:color w:val="000000"/>
                <w:sz w:val="24"/>
                <w:szCs w:val="24"/>
              </w:rPr>
              <w:t>)</w:t>
            </w:r>
          </w:p>
        </w:tc>
        <w:tc>
          <w:tcPr>
            <w:tcW w:w="1276" w:type="dxa"/>
            <w:tcBorders>
              <w:top w:val="single" w:sz="4" w:space="0" w:color="000000"/>
              <w:bottom w:val="single" w:sz="4" w:space="0" w:color="000000"/>
            </w:tcBorders>
            <w:vAlign w:val="center"/>
          </w:tcPr>
          <w:p w14:paraId="4FE64F50"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tcBorders>
              <w:top w:val="single" w:sz="4" w:space="0" w:color="000000"/>
              <w:bottom w:val="single" w:sz="4" w:space="0" w:color="000000"/>
            </w:tcBorders>
            <w:vAlign w:val="center"/>
          </w:tcPr>
          <w:p w14:paraId="517D9EE1"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Argentometric Method</w:t>
            </w:r>
          </w:p>
        </w:tc>
      </w:tr>
      <w:tr w:rsidR="004609F0" w14:paraId="2A43BE18" w14:textId="77777777">
        <w:trPr>
          <w:trHeight w:val="585"/>
        </w:trPr>
        <w:tc>
          <w:tcPr>
            <w:tcW w:w="709" w:type="dxa"/>
            <w:tcBorders>
              <w:top w:val="single" w:sz="4" w:space="0" w:color="000000"/>
              <w:bottom w:val="single" w:sz="4" w:space="0" w:color="000000"/>
            </w:tcBorders>
            <w:vAlign w:val="center"/>
          </w:tcPr>
          <w:p w14:paraId="03922FA2"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15</w:t>
            </w:r>
          </w:p>
        </w:tc>
        <w:tc>
          <w:tcPr>
            <w:tcW w:w="1276" w:type="dxa"/>
            <w:tcBorders>
              <w:top w:val="single" w:sz="4" w:space="0" w:color="000000"/>
              <w:bottom w:val="single" w:sz="4" w:space="0" w:color="000000"/>
            </w:tcBorders>
            <w:vAlign w:val="center"/>
          </w:tcPr>
          <w:p w14:paraId="1A3A1DE4"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Anion</w:t>
            </w:r>
          </w:p>
        </w:tc>
        <w:tc>
          <w:tcPr>
            <w:tcW w:w="2268" w:type="dxa"/>
            <w:tcBorders>
              <w:top w:val="single" w:sz="4" w:space="0" w:color="000000"/>
              <w:bottom w:val="single" w:sz="4" w:space="0" w:color="000000"/>
            </w:tcBorders>
            <w:vAlign w:val="center"/>
          </w:tcPr>
          <w:p w14:paraId="4299649B"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Fluoride (F</w:t>
            </w:r>
            <w:r>
              <w:rPr>
                <w:rFonts w:ascii="Arial" w:eastAsia="Arial" w:hAnsi="Arial" w:cs="Arial"/>
                <w:color w:val="000000"/>
                <w:sz w:val="24"/>
                <w:szCs w:val="24"/>
                <w:vertAlign w:val="superscript"/>
              </w:rPr>
              <w:t>-</w:t>
            </w:r>
            <w:r>
              <w:rPr>
                <w:rFonts w:ascii="Arial" w:eastAsia="Arial" w:hAnsi="Arial" w:cs="Arial"/>
                <w:color w:val="000000"/>
                <w:sz w:val="24"/>
                <w:szCs w:val="24"/>
              </w:rPr>
              <w:t>)</w:t>
            </w:r>
          </w:p>
        </w:tc>
        <w:tc>
          <w:tcPr>
            <w:tcW w:w="1276" w:type="dxa"/>
            <w:tcBorders>
              <w:top w:val="single" w:sz="4" w:space="0" w:color="000000"/>
              <w:bottom w:val="single" w:sz="4" w:space="0" w:color="000000"/>
            </w:tcBorders>
            <w:vAlign w:val="center"/>
          </w:tcPr>
          <w:p w14:paraId="11B571AB"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tcBorders>
              <w:top w:val="single" w:sz="4" w:space="0" w:color="000000"/>
              <w:bottom w:val="single" w:sz="4" w:space="0" w:color="000000"/>
            </w:tcBorders>
            <w:vAlign w:val="center"/>
          </w:tcPr>
          <w:p w14:paraId="78D65B0D"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UV-Visible Spectrophotometer</w:t>
            </w:r>
          </w:p>
          <w:p w14:paraId="526FE8D3"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(SPADNS Method)</w:t>
            </w:r>
          </w:p>
        </w:tc>
      </w:tr>
      <w:tr w:rsidR="004609F0" w14:paraId="44F03C34" w14:textId="77777777">
        <w:trPr>
          <w:trHeight w:val="585"/>
        </w:trPr>
        <w:tc>
          <w:tcPr>
            <w:tcW w:w="709" w:type="dxa"/>
            <w:tcBorders>
              <w:top w:val="single" w:sz="4" w:space="0" w:color="000000"/>
              <w:bottom w:val="single" w:sz="4" w:space="0" w:color="000000"/>
            </w:tcBorders>
            <w:vAlign w:val="center"/>
          </w:tcPr>
          <w:p w14:paraId="03E07796"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16</w:t>
            </w:r>
          </w:p>
        </w:tc>
        <w:tc>
          <w:tcPr>
            <w:tcW w:w="1276" w:type="dxa"/>
            <w:tcBorders>
              <w:top w:val="single" w:sz="4" w:space="0" w:color="000000"/>
              <w:bottom w:val="single" w:sz="4" w:space="0" w:color="000000"/>
            </w:tcBorders>
            <w:vAlign w:val="center"/>
          </w:tcPr>
          <w:p w14:paraId="5558794D"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Anion</w:t>
            </w:r>
          </w:p>
        </w:tc>
        <w:tc>
          <w:tcPr>
            <w:tcW w:w="2268" w:type="dxa"/>
            <w:tcBorders>
              <w:top w:val="single" w:sz="4" w:space="0" w:color="000000"/>
              <w:bottom w:val="single" w:sz="4" w:space="0" w:color="000000"/>
            </w:tcBorders>
            <w:vAlign w:val="center"/>
          </w:tcPr>
          <w:p w14:paraId="3E326793"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Nitrate (NO</w:t>
            </w:r>
            <w:r>
              <w:rPr>
                <w:rFonts w:ascii="Arial" w:eastAsia="Arial" w:hAnsi="Arial" w:cs="Arial"/>
                <w:color w:val="000000"/>
                <w:sz w:val="24"/>
                <w:szCs w:val="24"/>
                <w:vertAlign w:val="subscript"/>
              </w:rPr>
              <w:t>3</w:t>
            </w:r>
            <w:r>
              <w:rPr>
                <w:rFonts w:ascii="Arial" w:eastAsia="Arial" w:hAnsi="Arial" w:cs="Arial"/>
                <w:color w:val="000000"/>
                <w:sz w:val="24"/>
                <w:szCs w:val="24"/>
                <w:vertAlign w:val="superscript"/>
              </w:rPr>
              <w:t>-</w:t>
            </w:r>
            <w:r>
              <w:rPr>
                <w:rFonts w:ascii="Arial" w:eastAsia="Arial" w:hAnsi="Arial" w:cs="Arial"/>
                <w:color w:val="000000"/>
                <w:sz w:val="24"/>
                <w:szCs w:val="24"/>
              </w:rPr>
              <w:t>)</w:t>
            </w:r>
          </w:p>
        </w:tc>
        <w:tc>
          <w:tcPr>
            <w:tcW w:w="1276" w:type="dxa"/>
            <w:tcBorders>
              <w:top w:val="single" w:sz="4" w:space="0" w:color="000000"/>
              <w:bottom w:val="single" w:sz="4" w:space="0" w:color="000000"/>
            </w:tcBorders>
            <w:vAlign w:val="center"/>
          </w:tcPr>
          <w:p w14:paraId="2EBC3BC2"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tcBorders>
              <w:top w:val="single" w:sz="4" w:space="0" w:color="000000"/>
              <w:bottom w:val="single" w:sz="4" w:space="0" w:color="000000"/>
            </w:tcBorders>
            <w:vAlign w:val="center"/>
          </w:tcPr>
          <w:p w14:paraId="064D54A7"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UV-Visible Spectrophotometer</w:t>
            </w:r>
          </w:p>
          <w:p w14:paraId="5FB52F9B"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(Screening Method)</w:t>
            </w:r>
          </w:p>
        </w:tc>
      </w:tr>
      <w:tr w:rsidR="004609F0" w14:paraId="2AECECEB" w14:textId="77777777">
        <w:trPr>
          <w:trHeight w:val="60"/>
        </w:trPr>
        <w:tc>
          <w:tcPr>
            <w:tcW w:w="709" w:type="dxa"/>
            <w:tcBorders>
              <w:top w:val="single" w:sz="4" w:space="0" w:color="000000"/>
              <w:bottom w:val="single" w:sz="4" w:space="0" w:color="000000"/>
            </w:tcBorders>
            <w:vAlign w:val="center"/>
          </w:tcPr>
          <w:p w14:paraId="4F426A23"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17</w:t>
            </w:r>
          </w:p>
        </w:tc>
        <w:tc>
          <w:tcPr>
            <w:tcW w:w="1276" w:type="dxa"/>
            <w:tcBorders>
              <w:top w:val="single" w:sz="4" w:space="0" w:color="000000"/>
              <w:bottom w:val="single" w:sz="4" w:space="0" w:color="000000"/>
            </w:tcBorders>
            <w:vAlign w:val="center"/>
          </w:tcPr>
          <w:p w14:paraId="41EE92FC"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Anion</w:t>
            </w:r>
          </w:p>
        </w:tc>
        <w:tc>
          <w:tcPr>
            <w:tcW w:w="2268" w:type="dxa"/>
            <w:tcBorders>
              <w:top w:val="single" w:sz="4" w:space="0" w:color="000000"/>
              <w:bottom w:val="single" w:sz="4" w:space="0" w:color="000000"/>
            </w:tcBorders>
            <w:vAlign w:val="center"/>
          </w:tcPr>
          <w:p w14:paraId="7889B851"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Phosphate (PO</w:t>
            </w:r>
            <w:r>
              <w:rPr>
                <w:rFonts w:ascii="Arial" w:eastAsia="Arial" w:hAnsi="Arial" w:cs="Arial"/>
                <w:color w:val="000000"/>
                <w:sz w:val="24"/>
                <w:szCs w:val="24"/>
                <w:vertAlign w:val="subscript"/>
              </w:rPr>
              <w:t>4</w:t>
            </w:r>
            <w:r>
              <w:rPr>
                <w:rFonts w:ascii="Arial" w:eastAsia="Arial" w:hAnsi="Arial" w:cs="Arial"/>
                <w:color w:val="000000"/>
                <w:sz w:val="24"/>
                <w:szCs w:val="24"/>
                <w:vertAlign w:val="superscript"/>
              </w:rPr>
              <w:t>3-</w:t>
            </w:r>
            <w:r>
              <w:rPr>
                <w:rFonts w:ascii="Arial" w:eastAsia="Arial" w:hAnsi="Arial" w:cs="Arial"/>
                <w:color w:val="000000"/>
                <w:sz w:val="24"/>
                <w:szCs w:val="24"/>
              </w:rPr>
              <w:t>)</w:t>
            </w:r>
          </w:p>
        </w:tc>
        <w:tc>
          <w:tcPr>
            <w:tcW w:w="1276" w:type="dxa"/>
            <w:tcBorders>
              <w:top w:val="single" w:sz="4" w:space="0" w:color="000000"/>
              <w:bottom w:val="single" w:sz="4" w:space="0" w:color="000000"/>
            </w:tcBorders>
            <w:vAlign w:val="center"/>
          </w:tcPr>
          <w:p w14:paraId="5670F568"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tcBorders>
              <w:top w:val="single" w:sz="4" w:space="0" w:color="000000"/>
              <w:bottom w:val="single" w:sz="4" w:space="0" w:color="000000"/>
            </w:tcBorders>
            <w:vAlign w:val="center"/>
          </w:tcPr>
          <w:p w14:paraId="46838BE5"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UV-Visible Spectrophotometer</w:t>
            </w:r>
          </w:p>
          <w:p w14:paraId="3F9AA65C"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(Ascorbic Acid Method)</w:t>
            </w:r>
          </w:p>
        </w:tc>
      </w:tr>
      <w:tr w:rsidR="004609F0" w14:paraId="58C6775C" w14:textId="77777777">
        <w:trPr>
          <w:trHeight w:val="60"/>
        </w:trPr>
        <w:tc>
          <w:tcPr>
            <w:tcW w:w="709" w:type="dxa"/>
            <w:tcBorders>
              <w:top w:val="single" w:sz="4" w:space="0" w:color="000000"/>
              <w:bottom w:val="single" w:sz="4" w:space="0" w:color="000000"/>
            </w:tcBorders>
            <w:vAlign w:val="center"/>
          </w:tcPr>
          <w:p w14:paraId="5E49B083"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18</w:t>
            </w:r>
          </w:p>
        </w:tc>
        <w:tc>
          <w:tcPr>
            <w:tcW w:w="1276" w:type="dxa"/>
            <w:tcBorders>
              <w:top w:val="single" w:sz="4" w:space="0" w:color="000000"/>
              <w:bottom w:val="single" w:sz="4" w:space="0" w:color="000000"/>
            </w:tcBorders>
            <w:vAlign w:val="center"/>
          </w:tcPr>
          <w:p w14:paraId="4C0573D2"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Anion</w:t>
            </w:r>
          </w:p>
        </w:tc>
        <w:tc>
          <w:tcPr>
            <w:tcW w:w="2268" w:type="dxa"/>
            <w:tcBorders>
              <w:top w:val="single" w:sz="4" w:space="0" w:color="000000"/>
              <w:bottom w:val="single" w:sz="4" w:space="0" w:color="000000"/>
            </w:tcBorders>
            <w:vAlign w:val="center"/>
          </w:tcPr>
          <w:p w14:paraId="08391E27"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Sulphate (SO</w:t>
            </w:r>
            <w:r>
              <w:rPr>
                <w:rFonts w:ascii="Arial" w:eastAsia="Arial" w:hAnsi="Arial" w:cs="Arial"/>
                <w:color w:val="000000"/>
                <w:sz w:val="24"/>
                <w:szCs w:val="24"/>
                <w:vertAlign w:val="subscript"/>
              </w:rPr>
              <w:t>4</w:t>
            </w:r>
            <w:r>
              <w:rPr>
                <w:rFonts w:ascii="Arial" w:eastAsia="Arial" w:hAnsi="Arial" w:cs="Arial"/>
                <w:color w:val="000000"/>
                <w:sz w:val="24"/>
                <w:szCs w:val="24"/>
                <w:vertAlign w:val="superscript"/>
              </w:rPr>
              <w:t>2-</w:t>
            </w:r>
            <w:r>
              <w:rPr>
                <w:rFonts w:ascii="Arial" w:eastAsia="Arial" w:hAnsi="Arial" w:cs="Arial"/>
                <w:color w:val="000000"/>
                <w:sz w:val="24"/>
                <w:szCs w:val="24"/>
              </w:rPr>
              <w:t>)</w:t>
            </w:r>
          </w:p>
        </w:tc>
        <w:tc>
          <w:tcPr>
            <w:tcW w:w="1276" w:type="dxa"/>
            <w:tcBorders>
              <w:top w:val="single" w:sz="4" w:space="0" w:color="000000"/>
              <w:bottom w:val="single" w:sz="4" w:space="0" w:color="000000"/>
            </w:tcBorders>
            <w:vAlign w:val="center"/>
          </w:tcPr>
          <w:p w14:paraId="12467000"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mg/L</w:t>
            </w:r>
          </w:p>
        </w:tc>
        <w:tc>
          <w:tcPr>
            <w:tcW w:w="3827" w:type="dxa"/>
            <w:tcBorders>
              <w:top w:val="single" w:sz="4" w:space="0" w:color="000000"/>
              <w:bottom w:val="single" w:sz="4" w:space="0" w:color="000000"/>
            </w:tcBorders>
          </w:tcPr>
          <w:p w14:paraId="33435B76"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UV-Visible Spectrophotometer</w:t>
            </w:r>
          </w:p>
          <w:p w14:paraId="3A187ED5" w14:textId="77777777" w:rsidR="004609F0" w:rsidRDefault="00BC7B8C">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 xml:space="preserve">(Turbiditic </w:t>
            </w:r>
            <w:r>
              <w:rPr>
                <w:rFonts w:ascii="Arial" w:eastAsia="Arial" w:hAnsi="Arial" w:cs="Arial"/>
                <w:color w:val="000000"/>
                <w:sz w:val="24"/>
                <w:szCs w:val="24"/>
              </w:rPr>
              <w:t>Method)</w:t>
            </w:r>
          </w:p>
        </w:tc>
      </w:tr>
    </w:tbl>
    <w:p w14:paraId="50DDF749" w14:textId="77777777" w:rsidR="004609F0" w:rsidRDefault="00BC7B8C">
      <w:pPr>
        <w:spacing w:before="240" w:line="240" w:lineRule="auto"/>
        <w:jc w:val="both"/>
        <w:rPr>
          <w:rFonts w:ascii="Arial" w:eastAsia="Arial" w:hAnsi="Arial" w:cs="Arial"/>
          <w:sz w:val="24"/>
          <w:szCs w:val="24"/>
        </w:rPr>
      </w:pPr>
      <w:bookmarkStart w:id="2" w:name="_heading=h.wpe2pnus2erb" w:colFirst="0" w:colLast="0"/>
      <w:bookmarkEnd w:id="2"/>
      <w:r>
        <w:rPr>
          <w:rFonts w:ascii="Arial" w:eastAsia="Arial" w:hAnsi="Arial" w:cs="Arial"/>
          <w:sz w:val="24"/>
          <w:szCs w:val="24"/>
        </w:rPr>
        <w:t xml:space="preserve">The analysis's findings were confirmed using the Ionic Balance (IB) </w:t>
      </w:r>
      <w:r>
        <w:rPr>
          <w:rFonts w:ascii="Arial" w:eastAsia="Arial" w:hAnsi="Arial" w:cs="Arial"/>
          <w:b/>
          <w:sz w:val="24"/>
          <w:szCs w:val="24"/>
        </w:rPr>
        <w:t>(Eq. (1))</w:t>
      </w:r>
      <w:r>
        <w:rPr>
          <w:rFonts w:ascii="Arial" w:eastAsia="Arial" w:hAnsi="Arial" w:cs="Arial"/>
          <w:sz w:val="24"/>
          <w:szCs w:val="24"/>
        </w:rPr>
        <w:t xml:space="preserve">.  The total concentrations of cations and anions are equal to each other within a tolerable error range; this is typically 5%, but it can be as high as 10% (Ait Said et </w:t>
      </w:r>
      <w:r>
        <w:rPr>
          <w:rFonts w:ascii="Arial" w:eastAsia="Arial" w:hAnsi="Arial" w:cs="Arial"/>
          <w:sz w:val="24"/>
          <w:szCs w:val="24"/>
        </w:rPr>
        <w:t>al., 2023). The ionic balance of all examined samples is within the tolerance value.</w:t>
      </w:r>
    </w:p>
    <w:p w14:paraId="6E6496D0" w14:textId="77777777" w:rsidR="004609F0" w:rsidRDefault="00BC7B8C">
      <w:pPr>
        <w:spacing w:before="240" w:line="240" w:lineRule="auto"/>
        <w:jc w:val="both"/>
        <w:rPr>
          <w:rFonts w:ascii="Arial" w:eastAsia="Arial" w:hAnsi="Arial" w:cs="Arial"/>
          <w:sz w:val="24"/>
          <w:szCs w:val="24"/>
        </w:rPr>
      </w:pPr>
      <m:oMath>
        <m:r>
          <w:rPr>
            <w:rFonts w:ascii="Cambria Math" w:eastAsia="Cambria Math" w:hAnsi="Cambria Math" w:cs="Cambria Math"/>
            <w:sz w:val="24"/>
            <w:szCs w:val="24"/>
          </w:rPr>
          <m:t>IB</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t>
            </m:r>
            <m:r>
              <w:rPr>
                <w:rFonts w:ascii="Cambria Math" w:eastAsia="Cambria Math" w:hAnsi="Cambria Math" w:cs="Cambria Math"/>
                <w:sz w:val="24"/>
                <w:szCs w:val="24"/>
              </w:rPr>
              <m:t>Cations</m:t>
            </m:r>
            <m:r>
              <w:rPr>
                <w:rFonts w:ascii="Cambria Math" w:eastAsia="Cambria Math" w:hAnsi="Cambria Math" w:cs="Cambria Math"/>
                <w:sz w:val="24"/>
                <w:szCs w:val="24"/>
              </w:rPr>
              <m:t>-∑</m:t>
            </m:r>
            <m:r>
              <w:rPr>
                <w:rFonts w:ascii="Cambria Math" w:eastAsia="Cambria Math" w:hAnsi="Cambria Math" w:cs="Cambria Math"/>
                <w:sz w:val="24"/>
                <w:szCs w:val="24"/>
              </w:rPr>
              <m:t>Anions</m:t>
            </m:r>
            <m:r>
              <w:rPr>
                <w:rFonts w:ascii="Cambria Math" w:eastAsia="Cambria Math" w:hAnsi="Cambria Math" w:cs="Cambria Math"/>
                <w:sz w:val="24"/>
                <w:szCs w:val="24"/>
              </w:rPr>
              <m:t>)</m:t>
            </m:r>
          </m:num>
          <m:den>
            <m:r>
              <w:rPr>
                <w:rFonts w:ascii="Cambria Math" w:eastAsia="Cambria Math" w:hAnsi="Cambria Math" w:cs="Cambria Math"/>
                <w:sz w:val="24"/>
                <w:szCs w:val="24"/>
              </w:rPr>
              <m:t>(∑</m:t>
            </m:r>
            <m:r>
              <w:rPr>
                <w:rFonts w:ascii="Cambria Math" w:eastAsia="Cambria Math" w:hAnsi="Cambria Math" w:cs="Cambria Math"/>
                <w:sz w:val="24"/>
                <w:szCs w:val="24"/>
              </w:rPr>
              <m:t>Cations</m:t>
            </m:r>
            <m:r>
              <w:rPr>
                <w:rFonts w:ascii="Cambria Math" w:eastAsia="Cambria Math" w:hAnsi="Cambria Math" w:cs="Cambria Math"/>
                <w:sz w:val="24"/>
                <w:szCs w:val="24"/>
              </w:rPr>
              <m:t>-∑</m:t>
            </m:r>
            <m:r>
              <w:rPr>
                <w:rFonts w:ascii="Cambria Math" w:eastAsia="Cambria Math" w:hAnsi="Cambria Math" w:cs="Cambria Math"/>
                <w:sz w:val="24"/>
                <w:szCs w:val="24"/>
              </w:rPr>
              <m:t>Anions</m:t>
            </m:r>
            <m:r>
              <w:rPr>
                <w:rFonts w:ascii="Cambria Math" w:eastAsia="Cambria Math" w:hAnsi="Cambria Math" w:cs="Cambria Math"/>
                <w:sz w:val="24"/>
                <w:szCs w:val="24"/>
              </w:rPr>
              <m:t>)</m:t>
            </m:r>
          </m:den>
        </m:f>
        <m:r>
          <w:rPr>
            <w:rFonts w:ascii="Cambria Math" w:eastAsia="Cambria Math" w:hAnsi="Cambria Math" w:cs="Cambria Math"/>
            <w:sz w:val="24"/>
            <w:szCs w:val="24"/>
          </w:rPr>
          <m:t xml:space="preserve"> ×100</m:t>
        </m:r>
      </m:oMath>
      <w:r>
        <w:rPr>
          <w:rFonts w:ascii="Arial" w:eastAsia="Arial" w:hAnsi="Arial" w:cs="Arial"/>
          <w:sz w:val="24"/>
          <w:szCs w:val="24"/>
        </w:rPr>
        <w:t xml:space="preserve">                                                                                                                (1)</w:t>
      </w:r>
    </w:p>
    <w:p w14:paraId="23FAADF6" w14:textId="77777777" w:rsidR="004609F0" w:rsidRDefault="00BC7B8C">
      <w:pPr>
        <w:spacing w:before="240" w:line="240" w:lineRule="auto"/>
        <w:jc w:val="both"/>
        <w:rPr>
          <w:rFonts w:ascii="Arial" w:eastAsia="Arial" w:hAnsi="Arial" w:cs="Arial"/>
          <w:b/>
          <w:sz w:val="24"/>
          <w:szCs w:val="24"/>
        </w:rPr>
      </w:pPr>
      <w:r>
        <w:rPr>
          <w:rFonts w:ascii="Arial" w:eastAsia="Arial" w:hAnsi="Arial" w:cs="Arial"/>
          <w:b/>
          <w:sz w:val="24"/>
          <w:szCs w:val="24"/>
        </w:rPr>
        <w:t>4. Assessment of Environmental Methods</w:t>
      </w:r>
    </w:p>
    <w:p w14:paraId="62F08EB5" w14:textId="77777777" w:rsidR="004609F0" w:rsidRDefault="00BC7B8C">
      <w:pPr>
        <w:spacing w:line="240" w:lineRule="auto"/>
        <w:ind w:firstLine="720"/>
        <w:jc w:val="both"/>
        <w:rPr>
          <w:rFonts w:ascii="Arial" w:eastAsia="Arial" w:hAnsi="Arial" w:cs="Arial"/>
          <w:sz w:val="24"/>
          <w:szCs w:val="24"/>
        </w:rPr>
      </w:pPr>
      <w:r>
        <w:rPr>
          <w:rFonts w:ascii="Arial" w:eastAsia="Arial" w:hAnsi="Arial" w:cs="Arial"/>
          <w:sz w:val="24"/>
          <w:szCs w:val="24"/>
        </w:rPr>
        <w:t xml:space="preserve">The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vegetation zone relies heavily on groundwater for agriculture, livelihoods, and domes</w:t>
      </w:r>
      <w:r>
        <w:rPr>
          <w:rFonts w:ascii="Arial" w:eastAsia="Arial" w:hAnsi="Arial" w:cs="Arial"/>
          <w:sz w:val="24"/>
          <w:szCs w:val="24"/>
        </w:rPr>
        <w:t>tic needs. However, intensive irrigation, diverse cropping patterns, and varying aquifer depths have increased pressure on these resources, further affected by natural hydrogeochemical processes and human activities like excessive fertiliser use and unregu</w:t>
      </w:r>
      <w:r>
        <w:rPr>
          <w:rFonts w:ascii="Arial" w:eastAsia="Arial" w:hAnsi="Arial" w:cs="Arial"/>
          <w:sz w:val="24"/>
          <w:szCs w:val="24"/>
        </w:rPr>
        <w:t xml:space="preserve">lated extraction. To evaluate water safety and </w:t>
      </w:r>
      <w:r>
        <w:rPr>
          <w:rFonts w:ascii="Arial" w:eastAsia="Arial" w:hAnsi="Arial" w:cs="Arial"/>
          <w:sz w:val="24"/>
          <w:szCs w:val="24"/>
        </w:rPr>
        <w:lastRenderedPageBreak/>
        <w:t>sustainability, this study analysed the physicochemical properties of 207 groundwater samples, comparing results with WHO (2017) and BIS (2012) drinking water standards. This assessment identifies parameters t</w:t>
      </w:r>
      <w:r>
        <w:rPr>
          <w:rFonts w:ascii="Arial" w:eastAsia="Arial" w:hAnsi="Arial" w:cs="Arial"/>
          <w:sz w:val="24"/>
          <w:szCs w:val="24"/>
        </w:rPr>
        <w:t xml:space="preserve">hat exceed permissible limits and highlights potential health and environmental risks. </w:t>
      </w:r>
    </w:p>
    <w:p w14:paraId="419F9583" w14:textId="77777777" w:rsidR="004609F0" w:rsidRDefault="00BC7B8C">
      <w:pPr>
        <w:spacing w:line="240" w:lineRule="auto"/>
        <w:ind w:firstLine="720"/>
        <w:jc w:val="both"/>
        <w:rPr>
          <w:rFonts w:ascii="Arial" w:eastAsia="Arial" w:hAnsi="Arial" w:cs="Arial"/>
          <w:sz w:val="24"/>
          <w:szCs w:val="24"/>
        </w:rPr>
      </w:pPr>
      <w:r>
        <w:rPr>
          <w:rFonts w:ascii="Arial" w:eastAsia="Arial" w:hAnsi="Arial" w:cs="Arial"/>
          <w:sz w:val="24"/>
          <w:szCs w:val="24"/>
        </w:rPr>
        <w:t>For regional assessment of groundwater quality, we employed the IWQI to perform an integrated evaluation of groundwater suitability for irrigation. Before using groundw</w:t>
      </w:r>
      <w:r>
        <w:rPr>
          <w:rFonts w:ascii="Arial" w:eastAsia="Arial" w:hAnsi="Arial" w:cs="Arial"/>
          <w:sz w:val="24"/>
          <w:szCs w:val="24"/>
        </w:rPr>
        <w:t>ater for irrigation, evaluating its quality is essential to protect plants and soil. Metrics such as the sodium adsorption ratio (SAR), magnesium hazard (MH), residual sodium carbonate (RSC), potential salinity (PS), percent sodium (%Na), Kelly's index (KI</w:t>
      </w:r>
      <w:r>
        <w:rPr>
          <w:rFonts w:ascii="Arial" w:eastAsia="Arial" w:hAnsi="Arial" w:cs="Arial"/>
          <w:sz w:val="24"/>
          <w:szCs w:val="24"/>
        </w:rPr>
        <w:t xml:space="preserve">), permeability index (PI), chloro-alkaline indicators (CAI1, CAI2), and corrosivity ratio (CR) were calculated to determine if wetland water is suitable for irrigation. Piper and </w:t>
      </w:r>
      <w:proofErr w:type="spellStart"/>
      <w:r>
        <w:rPr>
          <w:rFonts w:ascii="Arial" w:eastAsia="Arial" w:hAnsi="Arial" w:cs="Arial"/>
          <w:sz w:val="24"/>
          <w:szCs w:val="24"/>
        </w:rPr>
        <w:t>Durov</w:t>
      </w:r>
      <w:proofErr w:type="spellEnd"/>
      <w:r>
        <w:rPr>
          <w:rFonts w:ascii="Arial" w:eastAsia="Arial" w:hAnsi="Arial" w:cs="Arial"/>
          <w:sz w:val="24"/>
          <w:szCs w:val="24"/>
        </w:rPr>
        <w:t xml:space="preserve"> diagrams were employed as graphical tools to understand hydrogeochemic</w:t>
      </w:r>
      <w:r>
        <w:rPr>
          <w:rFonts w:ascii="Arial" w:eastAsia="Arial" w:hAnsi="Arial" w:cs="Arial"/>
          <w:sz w:val="24"/>
          <w:szCs w:val="24"/>
        </w:rPr>
        <w:t xml:space="preserve">al facies and groundwater dynamics. These diagrams distinguish between evaporation-precipitation influences and rock-water interactions, identify different types of water, and reveal key </w:t>
      </w:r>
      <w:proofErr w:type="spellStart"/>
      <w:r>
        <w:rPr>
          <w:rFonts w:ascii="Arial" w:eastAsia="Arial" w:hAnsi="Arial" w:cs="Arial"/>
          <w:sz w:val="24"/>
          <w:szCs w:val="24"/>
        </w:rPr>
        <w:t>hydrochemical</w:t>
      </w:r>
      <w:proofErr w:type="spellEnd"/>
      <w:r>
        <w:rPr>
          <w:rFonts w:ascii="Arial" w:eastAsia="Arial" w:hAnsi="Arial" w:cs="Arial"/>
          <w:sz w:val="24"/>
          <w:szCs w:val="24"/>
        </w:rPr>
        <w:t xml:space="preserve"> processes. This study provides a comprehensive assessme</w:t>
      </w:r>
      <w:r>
        <w:rPr>
          <w:rFonts w:ascii="Arial" w:eastAsia="Arial" w:hAnsi="Arial" w:cs="Arial"/>
          <w:sz w:val="24"/>
          <w:szCs w:val="24"/>
        </w:rPr>
        <w:t xml:space="preserve">nt of groundwater in the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vegetation zone by integrating general hydrochemistry, geochemical mapping, and irrigation suitability, as well as an index-based evaluation of groundwater in the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District of Gujarat.</w:t>
      </w:r>
    </w:p>
    <w:p w14:paraId="2237A1AD" w14:textId="77777777" w:rsidR="004609F0" w:rsidRDefault="00BC7B8C">
      <w:pPr>
        <w:spacing w:line="240" w:lineRule="auto"/>
        <w:jc w:val="both"/>
        <w:rPr>
          <w:rFonts w:ascii="Arial" w:eastAsia="Arial" w:hAnsi="Arial" w:cs="Arial"/>
          <w:b/>
          <w:sz w:val="24"/>
          <w:szCs w:val="24"/>
        </w:rPr>
      </w:pPr>
      <w:r>
        <w:rPr>
          <w:rFonts w:ascii="Arial" w:eastAsia="Arial" w:hAnsi="Arial" w:cs="Arial"/>
          <w:b/>
          <w:sz w:val="24"/>
          <w:szCs w:val="24"/>
        </w:rPr>
        <w:t>5. Results and Discussi</w:t>
      </w:r>
      <w:r>
        <w:rPr>
          <w:rFonts w:ascii="Arial" w:eastAsia="Arial" w:hAnsi="Arial" w:cs="Arial"/>
          <w:b/>
          <w:sz w:val="24"/>
          <w:szCs w:val="24"/>
        </w:rPr>
        <w:t xml:space="preserve">on </w:t>
      </w:r>
    </w:p>
    <w:p w14:paraId="4B423094" w14:textId="77777777" w:rsidR="004609F0" w:rsidRDefault="00BC7B8C">
      <w:pPr>
        <w:spacing w:line="240" w:lineRule="auto"/>
        <w:jc w:val="both"/>
        <w:rPr>
          <w:rFonts w:ascii="Arial" w:eastAsia="Arial" w:hAnsi="Arial" w:cs="Arial"/>
          <w:b/>
          <w:sz w:val="24"/>
          <w:szCs w:val="24"/>
        </w:rPr>
      </w:pPr>
      <w:r>
        <w:rPr>
          <w:rFonts w:ascii="Arial" w:eastAsia="Arial" w:hAnsi="Arial" w:cs="Arial"/>
          <w:b/>
          <w:sz w:val="24"/>
          <w:szCs w:val="24"/>
        </w:rPr>
        <w:t>5.1 General hydrochemistry</w:t>
      </w:r>
    </w:p>
    <w:p w14:paraId="454E8996" w14:textId="77777777" w:rsidR="004609F0" w:rsidRDefault="00BC7B8C">
      <w:pPr>
        <w:spacing w:line="240" w:lineRule="auto"/>
        <w:jc w:val="both"/>
        <w:rPr>
          <w:rFonts w:ascii="Arial" w:eastAsia="Arial" w:hAnsi="Arial" w:cs="Arial"/>
          <w:sz w:val="24"/>
          <w:szCs w:val="24"/>
        </w:rPr>
      </w:pPr>
      <w:r>
        <w:rPr>
          <w:rFonts w:ascii="Arial" w:eastAsia="Arial" w:hAnsi="Arial" w:cs="Arial"/>
          <w:sz w:val="24"/>
          <w:szCs w:val="24"/>
        </w:rPr>
        <w:tab/>
        <w:t xml:space="preserve">The </w:t>
      </w:r>
      <w:proofErr w:type="spellStart"/>
      <w:r>
        <w:rPr>
          <w:rFonts w:ascii="Arial" w:eastAsia="Arial" w:hAnsi="Arial" w:cs="Arial"/>
          <w:sz w:val="24"/>
          <w:szCs w:val="24"/>
        </w:rPr>
        <w:t>physico</w:t>
      </w:r>
      <w:proofErr w:type="spellEnd"/>
      <w:r>
        <w:rPr>
          <w:rFonts w:ascii="Arial" w:eastAsia="Arial" w:hAnsi="Arial" w:cs="Arial"/>
          <w:sz w:val="24"/>
          <w:szCs w:val="24"/>
        </w:rPr>
        <w:t xml:space="preserve">-chemical properties of the groundwater samples from the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vegetation area are listed in </w:t>
      </w:r>
      <w:r>
        <w:rPr>
          <w:rFonts w:ascii="Arial" w:eastAsia="Arial" w:hAnsi="Arial" w:cs="Arial"/>
          <w:b/>
          <w:sz w:val="24"/>
          <w:szCs w:val="24"/>
        </w:rPr>
        <w:t>Table 2</w:t>
      </w:r>
      <w:r>
        <w:rPr>
          <w:rFonts w:ascii="Arial" w:eastAsia="Arial" w:hAnsi="Arial" w:cs="Arial"/>
          <w:sz w:val="24"/>
          <w:szCs w:val="24"/>
        </w:rPr>
        <w:t>, along with descriptive statistical measures like the mean, minimum, maximum, and standard deviation value</w:t>
      </w:r>
      <w:r>
        <w:rPr>
          <w:rFonts w:ascii="Arial" w:eastAsia="Arial" w:hAnsi="Arial" w:cs="Arial"/>
          <w:sz w:val="24"/>
          <w:szCs w:val="24"/>
        </w:rPr>
        <w:t>s of the different water quality parameters examined and the World Health Organisation (WHO 2017) and Bureau of Indian Standards (BIS 2012) standards.</w:t>
      </w:r>
    </w:p>
    <w:p w14:paraId="710127F1" w14:textId="77777777" w:rsidR="004609F0" w:rsidRDefault="00BC7B8C">
      <w:pPr>
        <w:pBdr>
          <w:bottom w:val="single" w:sz="4" w:space="1" w:color="000000"/>
        </w:pBdr>
        <w:spacing w:after="0" w:line="240" w:lineRule="auto"/>
        <w:jc w:val="center"/>
        <w:rPr>
          <w:rFonts w:ascii="Arial" w:eastAsia="Arial" w:hAnsi="Arial" w:cs="Arial"/>
          <w:b/>
          <w:sz w:val="24"/>
          <w:szCs w:val="24"/>
        </w:rPr>
      </w:pPr>
      <w:bookmarkStart w:id="3" w:name="_heading=h.3t25f49etfx4" w:colFirst="0" w:colLast="0"/>
      <w:bookmarkEnd w:id="3"/>
      <w:r>
        <w:rPr>
          <w:rFonts w:ascii="Arial" w:eastAsia="Arial" w:hAnsi="Arial" w:cs="Arial"/>
          <w:b/>
          <w:sz w:val="24"/>
          <w:szCs w:val="24"/>
        </w:rPr>
        <w:t xml:space="preserve">Table 2: </w:t>
      </w:r>
      <w:r>
        <w:rPr>
          <w:rFonts w:ascii="Arial" w:eastAsia="Arial" w:hAnsi="Arial" w:cs="Arial"/>
          <w:sz w:val="24"/>
          <w:szCs w:val="24"/>
        </w:rPr>
        <w:t>Summary of the physicochemical parameters in the study area.</w:t>
      </w:r>
    </w:p>
    <w:tbl>
      <w:tblPr>
        <w:tblStyle w:val="a0"/>
        <w:tblW w:w="8974" w:type="dxa"/>
        <w:jc w:val="center"/>
        <w:tblBorders>
          <w:top w:val="nil"/>
          <w:left w:val="nil"/>
          <w:bottom w:val="nil"/>
          <w:right w:val="nil"/>
          <w:insideH w:val="nil"/>
          <w:insideV w:val="nil"/>
        </w:tblBorders>
        <w:tblLayout w:type="fixed"/>
        <w:tblLook w:val="0400" w:firstRow="0" w:lastRow="0" w:firstColumn="0" w:lastColumn="0" w:noHBand="0" w:noVBand="1"/>
      </w:tblPr>
      <w:tblGrid>
        <w:gridCol w:w="1444"/>
        <w:gridCol w:w="1103"/>
        <w:gridCol w:w="1134"/>
        <w:gridCol w:w="1134"/>
        <w:gridCol w:w="1417"/>
        <w:gridCol w:w="1276"/>
        <w:gridCol w:w="1466"/>
      </w:tblGrid>
      <w:tr w:rsidR="004609F0" w14:paraId="1080359E" w14:textId="77777777">
        <w:trPr>
          <w:trHeight w:val="313"/>
          <w:jc w:val="center"/>
        </w:trPr>
        <w:tc>
          <w:tcPr>
            <w:tcW w:w="1444" w:type="dxa"/>
            <w:vAlign w:val="center"/>
          </w:tcPr>
          <w:p w14:paraId="54662A55" w14:textId="77777777" w:rsidR="004609F0" w:rsidRDefault="00BC7B8C">
            <w:pPr>
              <w:pBdr>
                <w:bottom w:val="single" w:sz="4" w:space="1" w:color="000000"/>
              </w:pBdr>
              <w:jc w:val="center"/>
              <w:rPr>
                <w:rFonts w:ascii="Arial" w:eastAsia="Arial" w:hAnsi="Arial" w:cs="Arial"/>
                <w:sz w:val="24"/>
                <w:szCs w:val="24"/>
              </w:rPr>
            </w:pPr>
            <w:r>
              <w:rPr>
                <w:rFonts w:ascii="Arial" w:eastAsia="Arial" w:hAnsi="Arial" w:cs="Arial"/>
                <w:b/>
                <w:sz w:val="24"/>
                <w:szCs w:val="24"/>
              </w:rPr>
              <w:t>Paraments</w:t>
            </w:r>
          </w:p>
        </w:tc>
        <w:tc>
          <w:tcPr>
            <w:tcW w:w="1103" w:type="dxa"/>
            <w:vAlign w:val="center"/>
          </w:tcPr>
          <w:p w14:paraId="6E72DA5D" w14:textId="77777777" w:rsidR="004609F0" w:rsidRDefault="00BC7B8C">
            <w:pPr>
              <w:pBdr>
                <w:bottom w:val="single" w:sz="4" w:space="1" w:color="000000"/>
              </w:pBdr>
              <w:jc w:val="center"/>
              <w:rPr>
                <w:rFonts w:ascii="Arial" w:eastAsia="Arial" w:hAnsi="Arial" w:cs="Arial"/>
                <w:b/>
                <w:color w:val="000000"/>
                <w:sz w:val="24"/>
                <w:szCs w:val="24"/>
              </w:rPr>
            </w:pPr>
            <w:r>
              <w:rPr>
                <w:rFonts w:ascii="Arial" w:eastAsia="Arial" w:hAnsi="Arial" w:cs="Arial"/>
                <w:b/>
                <w:color w:val="000000"/>
                <w:sz w:val="24"/>
                <w:szCs w:val="24"/>
              </w:rPr>
              <w:t>Min.</w:t>
            </w:r>
          </w:p>
        </w:tc>
        <w:tc>
          <w:tcPr>
            <w:tcW w:w="1134" w:type="dxa"/>
            <w:vAlign w:val="center"/>
          </w:tcPr>
          <w:p w14:paraId="473019AC" w14:textId="77777777" w:rsidR="004609F0" w:rsidRDefault="00BC7B8C">
            <w:pPr>
              <w:pBdr>
                <w:bottom w:val="single" w:sz="4" w:space="1" w:color="000000"/>
              </w:pBdr>
              <w:jc w:val="center"/>
              <w:rPr>
                <w:rFonts w:ascii="Arial" w:eastAsia="Arial" w:hAnsi="Arial" w:cs="Arial"/>
                <w:b/>
                <w:color w:val="000000"/>
                <w:sz w:val="24"/>
                <w:szCs w:val="24"/>
              </w:rPr>
            </w:pPr>
            <w:r>
              <w:rPr>
                <w:rFonts w:ascii="Arial" w:eastAsia="Arial" w:hAnsi="Arial" w:cs="Arial"/>
                <w:b/>
                <w:color w:val="000000"/>
                <w:sz w:val="24"/>
                <w:szCs w:val="24"/>
              </w:rPr>
              <w:t>Max.</w:t>
            </w:r>
          </w:p>
        </w:tc>
        <w:tc>
          <w:tcPr>
            <w:tcW w:w="1134" w:type="dxa"/>
            <w:vAlign w:val="center"/>
          </w:tcPr>
          <w:p w14:paraId="1B55A6F1" w14:textId="77777777" w:rsidR="004609F0" w:rsidRDefault="00BC7B8C">
            <w:pPr>
              <w:pBdr>
                <w:bottom w:val="single" w:sz="4" w:space="1" w:color="000000"/>
              </w:pBdr>
              <w:jc w:val="center"/>
              <w:rPr>
                <w:rFonts w:ascii="Arial" w:eastAsia="Arial" w:hAnsi="Arial" w:cs="Arial"/>
                <w:b/>
                <w:color w:val="000000"/>
                <w:sz w:val="24"/>
                <w:szCs w:val="24"/>
              </w:rPr>
            </w:pPr>
            <w:r>
              <w:rPr>
                <w:rFonts w:ascii="Arial" w:eastAsia="Arial" w:hAnsi="Arial" w:cs="Arial"/>
                <w:b/>
                <w:color w:val="000000"/>
                <w:sz w:val="24"/>
                <w:szCs w:val="24"/>
              </w:rPr>
              <w:t>Mean</w:t>
            </w:r>
          </w:p>
        </w:tc>
        <w:tc>
          <w:tcPr>
            <w:tcW w:w="1417" w:type="dxa"/>
            <w:vAlign w:val="center"/>
          </w:tcPr>
          <w:p w14:paraId="3FF21BA8" w14:textId="77777777" w:rsidR="004609F0" w:rsidRDefault="00BC7B8C">
            <w:pPr>
              <w:pBdr>
                <w:bottom w:val="single" w:sz="4" w:space="1" w:color="000000"/>
              </w:pBdr>
              <w:jc w:val="center"/>
              <w:rPr>
                <w:rFonts w:ascii="Arial" w:eastAsia="Arial" w:hAnsi="Arial" w:cs="Arial"/>
                <w:b/>
                <w:color w:val="000000"/>
                <w:sz w:val="24"/>
                <w:szCs w:val="24"/>
              </w:rPr>
            </w:pPr>
            <w:r>
              <w:rPr>
                <w:rFonts w:ascii="Arial" w:eastAsia="Arial" w:hAnsi="Arial" w:cs="Arial"/>
                <w:b/>
                <w:color w:val="000000"/>
                <w:sz w:val="24"/>
                <w:szCs w:val="24"/>
              </w:rPr>
              <w:t>Std. Dev.</w:t>
            </w:r>
          </w:p>
        </w:tc>
        <w:tc>
          <w:tcPr>
            <w:tcW w:w="1276" w:type="dxa"/>
            <w:vAlign w:val="center"/>
          </w:tcPr>
          <w:p w14:paraId="461BC709" w14:textId="77777777" w:rsidR="004609F0" w:rsidRDefault="00BC7B8C">
            <w:pPr>
              <w:pBdr>
                <w:bottom w:val="single" w:sz="4" w:space="1" w:color="000000"/>
              </w:pBdr>
              <w:jc w:val="center"/>
              <w:rPr>
                <w:rFonts w:ascii="Arial" w:eastAsia="Arial" w:hAnsi="Arial" w:cs="Arial"/>
                <w:b/>
                <w:color w:val="000000"/>
                <w:sz w:val="24"/>
                <w:szCs w:val="24"/>
              </w:rPr>
            </w:pPr>
            <w:r>
              <w:rPr>
                <w:rFonts w:ascii="Arial" w:eastAsia="Arial" w:hAnsi="Arial" w:cs="Arial"/>
                <w:b/>
                <w:color w:val="000000"/>
                <w:sz w:val="24"/>
                <w:szCs w:val="24"/>
              </w:rPr>
              <w:t>BIS (2012)</w:t>
            </w:r>
          </w:p>
        </w:tc>
        <w:tc>
          <w:tcPr>
            <w:tcW w:w="1466" w:type="dxa"/>
            <w:vAlign w:val="center"/>
          </w:tcPr>
          <w:p w14:paraId="32AF774B" w14:textId="77777777" w:rsidR="004609F0" w:rsidRDefault="00BC7B8C">
            <w:pPr>
              <w:pBdr>
                <w:bottom w:val="single" w:sz="4" w:space="1" w:color="000000"/>
              </w:pBdr>
              <w:jc w:val="center"/>
              <w:rPr>
                <w:rFonts w:ascii="Arial" w:eastAsia="Arial" w:hAnsi="Arial" w:cs="Arial"/>
                <w:b/>
                <w:color w:val="000000"/>
                <w:sz w:val="24"/>
                <w:szCs w:val="24"/>
              </w:rPr>
            </w:pPr>
            <w:r>
              <w:rPr>
                <w:rFonts w:ascii="Arial" w:eastAsia="Arial" w:hAnsi="Arial" w:cs="Arial"/>
                <w:b/>
                <w:color w:val="000000"/>
                <w:sz w:val="24"/>
                <w:szCs w:val="24"/>
              </w:rPr>
              <w:t>WHO (2017)</w:t>
            </w:r>
          </w:p>
        </w:tc>
      </w:tr>
      <w:tr w:rsidR="004609F0" w14:paraId="12460756" w14:textId="77777777">
        <w:trPr>
          <w:trHeight w:val="313"/>
          <w:jc w:val="center"/>
        </w:trPr>
        <w:tc>
          <w:tcPr>
            <w:tcW w:w="1444" w:type="dxa"/>
            <w:vAlign w:val="center"/>
          </w:tcPr>
          <w:p w14:paraId="219598CF"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Temp.</w:t>
            </w:r>
          </w:p>
        </w:tc>
        <w:tc>
          <w:tcPr>
            <w:tcW w:w="1103" w:type="dxa"/>
            <w:vAlign w:val="center"/>
          </w:tcPr>
          <w:p w14:paraId="03140FB3"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28.10</w:t>
            </w:r>
          </w:p>
        </w:tc>
        <w:tc>
          <w:tcPr>
            <w:tcW w:w="1134" w:type="dxa"/>
            <w:vAlign w:val="center"/>
          </w:tcPr>
          <w:p w14:paraId="33AAF8F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36.50</w:t>
            </w:r>
          </w:p>
        </w:tc>
        <w:tc>
          <w:tcPr>
            <w:tcW w:w="1134" w:type="dxa"/>
            <w:vAlign w:val="center"/>
          </w:tcPr>
          <w:p w14:paraId="411E7C7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32.16</w:t>
            </w:r>
          </w:p>
        </w:tc>
        <w:tc>
          <w:tcPr>
            <w:tcW w:w="1417" w:type="dxa"/>
            <w:vAlign w:val="center"/>
          </w:tcPr>
          <w:p w14:paraId="4998E1ED"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2.26</w:t>
            </w:r>
          </w:p>
        </w:tc>
        <w:tc>
          <w:tcPr>
            <w:tcW w:w="1276" w:type="dxa"/>
            <w:vAlign w:val="center"/>
          </w:tcPr>
          <w:p w14:paraId="09202A00"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w:t>
            </w:r>
          </w:p>
        </w:tc>
        <w:tc>
          <w:tcPr>
            <w:tcW w:w="1466" w:type="dxa"/>
            <w:vAlign w:val="center"/>
          </w:tcPr>
          <w:p w14:paraId="31F800DE"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w:t>
            </w:r>
          </w:p>
        </w:tc>
      </w:tr>
      <w:tr w:rsidR="004609F0" w14:paraId="70C9A9E9" w14:textId="77777777">
        <w:trPr>
          <w:trHeight w:val="313"/>
          <w:jc w:val="center"/>
        </w:trPr>
        <w:tc>
          <w:tcPr>
            <w:tcW w:w="1444" w:type="dxa"/>
            <w:vAlign w:val="center"/>
          </w:tcPr>
          <w:p w14:paraId="23943B0C"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pH</w:t>
            </w:r>
          </w:p>
        </w:tc>
        <w:tc>
          <w:tcPr>
            <w:tcW w:w="1103" w:type="dxa"/>
            <w:vAlign w:val="center"/>
          </w:tcPr>
          <w:p w14:paraId="08A9F5C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7.10</w:t>
            </w:r>
          </w:p>
        </w:tc>
        <w:tc>
          <w:tcPr>
            <w:tcW w:w="1134" w:type="dxa"/>
            <w:vAlign w:val="center"/>
          </w:tcPr>
          <w:p w14:paraId="7B47AD62"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12.50</w:t>
            </w:r>
          </w:p>
        </w:tc>
        <w:tc>
          <w:tcPr>
            <w:tcW w:w="1134" w:type="dxa"/>
            <w:vAlign w:val="center"/>
          </w:tcPr>
          <w:p w14:paraId="07D388BC"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9.53</w:t>
            </w:r>
          </w:p>
        </w:tc>
        <w:tc>
          <w:tcPr>
            <w:tcW w:w="1417" w:type="dxa"/>
            <w:vAlign w:val="center"/>
          </w:tcPr>
          <w:p w14:paraId="593138C9"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1.25</w:t>
            </w:r>
          </w:p>
        </w:tc>
        <w:tc>
          <w:tcPr>
            <w:tcW w:w="1276" w:type="dxa"/>
            <w:vAlign w:val="center"/>
          </w:tcPr>
          <w:p w14:paraId="505C6277"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6.5–8.5</w:t>
            </w:r>
          </w:p>
        </w:tc>
        <w:tc>
          <w:tcPr>
            <w:tcW w:w="1466" w:type="dxa"/>
            <w:vAlign w:val="center"/>
          </w:tcPr>
          <w:p w14:paraId="033A5B3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6.5–8.5</w:t>
            </w:r>
          </w:p>
        </w:tc>
      </w:tr>
      <w:tr w:rsidR="004609F0" w14:paraId="4FE94CE1" w14:textId="77777777">
        <w:trPr>
          <w:trHeight w:val="313"/>
          <w:jc w:val="center"/>
        </w:trPr>
        <w:tc>
          <w:tcPr>
            <w:tcW w:w="1444" w:type="dxa"/>
            <w:vAlign w:val="center"/>
          </w:tcPr>
          <w:p w14:paraId="03884F8E"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EC</w:t>
            </w:r>
          </w:p>
        </w:tc>
        <w:tc>
          <w:tcPr>
            <w:tcW w:w="1103" w:type="dxa"/>
            <w:vAlign w:val="center"/>
          </w:tcPr>
          <w:p w14:paraId="1F60A107"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366.00</w:t>
            </w:r>
          </w:p>
        </w:tc>
        <w:tc>
          <w:tcPr>
            <w:tcW w:w="1134" w:type="dxa"/>
            <w:vAlign w:val="center"/>
          </w:tcPr>
          <w:p w14:paraId="590E43FC"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9918.00</w:t>
            </w:r>
          </w:p>
        </w:tc>
        <w:tc>
          <w:tcPr>
            <w:tcW w:w="1134" w:type="dxa"/>
            <w:vAlign w:val="center"/>
          </w:tcPr>
          <w:p w14:paraId="13530E77"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3743.55</w:t>
            </w:r>
          </w:p>
        </w:tc>
        <w:tc>
          <w:tcPr>
            <w:tcW w:w="1417" w:type="dxa"/>
            <w:vAlign w:val="center"/>
          </w:tcPr>
          <w:p w14:paraId="745E9EA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2658.73</w:t>
            </w:r>
          </w:p>
        </w:tc>
        <w:tc>
          <w:tcPr>
            <w:tcW w:w="1276" w:type="dxa"/>
            <w:vAlign w:val="center"/>
          </w:tcPr>
          <w:p w14:paraId="6CF8778D"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500-1500</w:t>
            </w:r>
          </w:p>
        </w:tc>
        <w:tc>
          <w:tcPr>
            <w:tcW w:w="1466" w:type="dxa"/>
            <w:vAlign w:val="center"/>
          </w:tcPr>
          <w:p w14:paraId="130F602D"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500-1500</w:t>
            </w:r>
          </w:p>
        </w:tc>
      </w:tr>
      <w:tr w:rsidR="004609F0" w14:paraId="4439039E" w14:textId="77777777">
        <w:trPr>
          <w:trHeight w:val="313"/>
          <w:jc w:val="center"/>
        </w:trPr>
        <w:tc>
          <w:tcPr>
            <w:tcW w:w="1444" w:type="dxa"/>
            <w:vAlign w:val="center"/>
          </w:tcPr>
          <w:p w14:paraId="443725DC"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TDS</w:t>
            </w:r>
          </w:p>
        </w:tc>
        <w:tc>
          <w:tcPr>
            <w:tcW w:w="1103" w:type="dxa"/>
            <w:vAlign w:val="center"/>
          </w:tcPr>
          <w:p w14:paraId="12B445C3"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170.00</w:t>
            </w:r>
          </w:p>
        </w:tc>
        <w:tc>
          <w:tcPr>
            <w:tcW w:w="1134" w:type="dxa"/>
            <w:vAlign w:val="center"/>
          </w:tcPr>
          <w:p w14:paraId="28E4FF57"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4915</w:t>
            </w:r>
          </w:p>
        </w:tc>
        <w:tc>
          <w:tcPr>
            <w:tcW w:w="1134" w:type="dxa"/>
            <w:vAlign w:val="center"/>
          </w:tcPr>
          <w:p w14:paraId="74247A9A"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1889.86</w:t>
            </w:r>
          </w:p>
        </w:tc>
        <w:tc>
          <w:tcPr>
            <w:tcW w:w="1417" w:type="dxa"/>
            <w:vAlign w:val="center"/>
          </w:tcPr>
          <w:p w14:paraId="3680698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1354.13</w:t>
            </w:r>
          </w:p>
        </w:tc>
        <w:tc>
          <w:tcPr>
            <w:tcW w:w="1276" w:type="dxa"/>
            <w:vAlign w:val="center"/>
          </w:tcPr>
          <w:p w14:paraId="775CEBA7"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w:t>
            </w:r>
          </w:p>
        </w:tc>
        <w:tc>
          <w:tcPr>
            <w:tcW w:w="1466" w:type="dxa"/>
            <w:vAlign w:val="center"/>
          </w:tcPr>
          <w:p w14:paraId="42C96BCA"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1000-1500</w:t>
            </w:r>
          </w:p>
        </w:tc>
      </w:tr>
      <w:tr w:rsidR="004609F0" w14:paraId="0F546B2F" w14:textId="77777777">
        <w:trPr>
          <w:trHeight w:val="313"/>
          <w:jc w:val="center"/>
        </w:trPr>
        <w:tc>
          <w:tcPr>
            <w:tcW w:w="1444" w:type="dxa"/>
            <w:vAlign w:val="center"/>
          </w:tcPr>
          <w:p w14:paraId="5A4C9911"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TH</w:t>
            </w:r>
          </w:p>
        </w:tc>
        <w:tc>
          <w:tcPr>
            <w:tcW w:w="1103" w:type="dxa"/>
            <w:vAlign w:val="center"/>
          </w:tcPr>
          <w:p w14:paraId="479904C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52.00</w:t>
            </w:r>
          </w:p>
        </w:tc>
        <w:tc>
          <w:tcPr>
            <w:tcW w:w="1134" w:type="dxa"/>
            <w:vAlign w:val="center"/>
          </w:tcPr>
          <w:p w14:paraId="54584950"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1668</w:t>
            </w:r>
          </w:p>
        </w:tc>
        <w:tc>
          <w:tcPr>
            <w:tcW w:w="1134" w:type="dxa"/>
            <w:vAlign w:val="center"/>
          </w:tcPr>
          <w:p w14:paraId="5A015CCD"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573.28</w:t>
            </w:r>
          </w:p>
        </w:tc>
        <w:tc>
          <w:tcPr>
            <w:tcW w:w="1417" w:type="dxa"/>
            <w:vAlign w:val="center"/>
          </w:tcPr>
          <w:p w14:paraId="0151FD0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470.86</w:t>
            </w:r>
          </w:p>
        </w:tc>
        <w:tc>
          <w:tcPr>
            <w:tcW w:w="1276" w:type="dxa"/>
            <w:vAlign w:val="center"/>
          </w:tcPr>
          <w:p w14:paraId="416536E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200-600</w:t>
            </w:r>
          </w:p>
        </w:tc>
        <w:tc>
          <w:tcPr>
            <w:tcW w:w="1466" w:type="dxa"/>
            <w:vAlign w:val="center"/>
          </w:tcPr>
          <w:p w14:paraId="62F9418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w:t>
            </w:r>
          </w:p>
        </w:tc>
      </w:tr>
      <w:tr w:rsidR="004609F0" w14:paraId="3EBE3596" w14:textId="77777777">
        <w:trPr>
          <w:trHeight w:val="313"/>
          <w:jc w:val="center"/>
        </w:trPr>
        <w:tc>
          <w:tcPr>
            <w:tcW w:w="1444" w:type="dxa"/>
            <w:vAlign w:val="center"/>
          </w:tcPr>
          <w:p w14:paraId="34A09CF4"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Na</w:t>
            </w:r>
            <w:r>
              <w:rPr>
                <w:rFonts w:ascii="Arial" w:eastAsia="Arial" w:hAnsi="Arial" w:cs="Arial"/>
                <w:b/>
                <w:color w:val="000000"/>
                <w:sz w:val="24"/>
                <w:szCs w:val="24"/>
                <w:vertAlign w:val="superscript"/>
              </w:rPr>
              <w:t>+</w:t>
            </w:r>
          </w:p>
        </w:tc>
        <w:tc>
          <w:tcPr>
            <w:tcW w:w="1103" w:type="dxa"/>
            <w:vAlign w:val="center"/>
          </w:tcPr>
          <w:p w14:paraId="10B1FCE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2.85</w:t>
            </w:r>
          </w:p>
        </w:tc>
        <w:tc>
          <w:tcPr>
            <w:tcW w:w="1134" w:type="dxa"/>
            <w:vAlign w:val="center"/>
          </w:tcPr>
          <w:p w14:paraId="17410A7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641.10</w:t>
            </w:r>
          </w:p>
        </w:tc>
        <w:tc>
          <w:tcPr>
            <w:tcW w:w="1134" w:type="dxa"/>
            <w:vAlign w:val="center"/>
          </w:tcPr>
          <w:p w14:paraId="353AF5BC"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56.93</w:t>
            </w:r>
          </w:p>
        </w:tc>
        <w:tc>
          <w:tcPr>
            <w:tcW w:w="1417" w:type="dxa"/>
            <w:vAlign w:val="center"/>
          </w:tcPr>
          <w:p w14:paraId="31F1EEDC"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52.80</w:t>
            </w:r>
          </w:p>
        </w:tc>
        <w:tc>
          <w:tcPr>
            <w:tcW w:w="1276" w:type="dxa"/>
            <w:vAlign w:val="center"/>
          </w:tcPr>
          <w:p w14:paraId="2965454A"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w:t>
            </w:r>
          </w:p>
        </w:tc>
        <w:tc>
          <w:tcPr>
            <w:tcW w:w="1466" w:type="dxa"/>
            <w:vAlign w:val="center"/>
          </w:tcPr>
          <w:p w14:paraId="2D1FF9C8"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200</w:t>
            </w:r>
          </w:p>
        </w:tc>
      </w:tr>
      <w:tr w:rsidR="004609F0" w14:paraId="741910DA" w14:textId="77777777">
        <w:trPr>
          <w:trHeight w:val="313"/>
          <w:jc w:val="center"/>
        </w:trPr>
        <w:tc>
          <w:tcPr>
            <w:tcW w:w="1444" w:type="dxa"/>
            <w:vAlign w:val="center"/>
          </w:tcPr>
          <w:p w14:paraId="221AA3B8"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K</w:t>
            </w:r>
            <w:r>
              <w:rPr>
                <w:rFonts w:ascii="Arial" w:eastAsia="Arial" w:hAnsi="Arial" w:cs="Arial"/>
                <w:b/>
                <w:color w:val="000000"/>
                <w:sz w:val="24"/>
                <w:szCs w:val="24"/>
                <w:vertAlign w:val="superscript"/>
              </w:rPr>
              <w:t>+</w:t>
            </w:r>
          </w:p>
        </w:tc>
        <w:tc>
          <w:tcPr>
            <w:tcW w:w="1103" w:type="dxa"/>
            <w:vAlign w:val="center"/>
          </w:tcPr>
          <w:p w14:paraId="730796B8"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0.51</w:t>
            </w:r>
          </w:p>
        </w:tc>
        <w:tc>
          <w:tcPr>
            <w:tcW w:w="1134" w:type="dxa"/>
            <w:vAlign w:val="center"/>
          </w:tcPr>
          <w:p w14:paraId="052DF8A0"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33.89</w:t>
            </w:r>
          </w:p>
        </w:tc>
        <w:tc>
          <w:tcPr>
            <w:tcW w:w="1134" w:type="dxa"/>
            <w:vAlign w:val="center"/>
          </w:tcPr>
          <w:p w14:paraId="4FA7B544"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4.47</w:t>
            </w:r>
          </w:p>
        </w:tc>
        <w:tc>
          <w:tcPr>
            <w:tcW w:w="1417" w:type="dxa"/>
            <w:vAlign w:val="center"/>
          </w:tcPr>
          <w:p w14:paraId="6FE1D2C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3.82</w:t>
            </w:r>
          </w:p>
        </w:tc>
        <w:tc>
          <w:tcPr>
            <w:tcW w:w="1276" w:type="dxa"/>
            <w:vAlign w:val="center"/>
          </w:tcPr>
          <w:p w14:paraId="456138A0"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w:t>
            </w:r>
          </w:p>
        </w:tc>
        <w:tc>
          <w:tcPr>
            <w:tcW w:w="1466" w:type="dxa"/>
            <w:vAlign w:val="center"/>
          </w:tcPr>
          <w:p w14:paraId="3DC61B7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10</w:t>
            </w:r>
          </w:p>
        </w:tc>
      </w:tr>
      <w:tr w:rsidR="004609F0" w14:paraId="7E2B334C" w14:textId="77777777">
        <w:trPr>
          <w:trHeight w:val="313"/>
          <w:jc w:val="center"/>
        </w:trPr>
        <w:tc>
          <w:tcPr>
            <w:tcW w:w="1444" w:type="dxa"/>
            <w:vAlign w:val="center"/>
          </w:tcPr>
          <w:p w14:paraId="00A86CDE"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Ca</w:t>
            </w:r>
            <w:r>
              <w:rPr>
                <w:rFonts w:ascii="Arial" w:eastAsia="Arial" w:hAnsi="Arial" w:cs="Arial"/>
                <w:b/>
                <w:color w:val="000000"/>
                <w:sz w:val="24"/>
                <w:szCs w:val="24"/>
                <w:vertAlign w:val="superscript"/>
              </w:rPr>
              <w:t>+2</w:t>
            </w:r>
          </w:p>
        </w:tc>
        <w:tc>
          <w:tcPr>
            <w:tcW w:w="1103" w:type="dxa"/>
            <w:vAlign w:val="center"/>
          </w:tcPr>
          <w:p w14:paraId="586522E4"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4.80</w:t>
            </w:r>
          </w:p>
        </w:tc>
        <w:tc>
          <w:tcPr>
            <w:tcW w:w="1134" w:type="dxa"/>
            <w:vAlign w:val="center"/>
          </w:tcPr>
          <w:p w14:paraId="3AF85F0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312.62</w:t>
            </w:r>
          </w:p>
        </w:tc>
        <w:tc>
          <w:tcPr>
            <w:tcW w:w="1134" w:type="dxa"/>
            <w:vAlign w:val="center"/>
          </w:tcPr>
          <w:p w14:paraId="6563029C"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98.35</w:t>
            </w:r>
          </w:p>
        </w:tc>
        <w:tc>
          <w:tcPr>
            <w:tcW w:w="1417" w:type="dxa"/>
            <w:vAlign w:val="center"/>
          </w:tcPr>
          <w:p w14:paraId="2267FDCE"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84.65</w:t>
            </w:r>
          </w:p>
        </w:tc>
        <w:tc>
          <w:tcPr>
            <w:tcW w:w="1276" w:type="dxa"/>
            <w:vAlign w:val="center"/>
          </w:tcPr>
          <w:p w14:paraId="0A80873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75-200</w:t>
            </w:r>
          </w:p>
        </w:tc>
        <w:tc>
          <w:tcPr>
            <w:tcW w:w="1466" w:type="dxa"/>
            <w:vAlign w:val="center"/>
          </w:tcPr>
          <w:p w14:paraId="7FD0892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75-200</w:t>
            </w:r>
          </w:p>
        </w:tc>
      </w:tr>
      <w:tr w:rsidR="004609F0" w14:paraId="5BDEB6A6" w14:textId="77777777">
        <w:trPr>
          <w:trHeight w:val="313"/>
          <w:jc w:val="center"/>
        </w:trPr>
        <w:tc>
          <w:tcPr>
            <w:tcW w:w="1444" w:type="dxa"/>
            <w:vAlign w:val="center"/>
          </w:tcPr>
          <w:p w14:paraId="5A5BF467"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Mg</w:t>
            </w:r>
            <w:r>
              <w:rPr>
                <w:rFonts w:ascii="Arial" w:eastAsia="Arial" w:hAnsi="Arial" w:cs="Arial"/>
                <w:b/>
                <w:color w:val="000000"/>
                <w:sz w:val="24"/>
                <w:szCs w:val="24"/>
                <w:vertAlign w:val="superscript"/>
              </w:rPr>
              <w:t>+2</w:t>
            </w:r>
          </w:p>
        </w:tc>
        <w:tc>
          <w:tcPr>
            <w:tcW w:w="1103" w:type="dxa"/>
            <w:vAlign w:val="center"/>
          </w:tcPr>
          <w:p w14:paraId="14BBEEC2"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5.83</w:t>
            </w:r>
          </w:p>
        </w:tc>
        <w:tc>
          <w:tcPr>
            <w:tcW w:w="1134" w:type="dxa"/>
            <w:vAlign w:val="center"/>
          </w:tcPr>
          <w:p w14:paraId="08C34C1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346.99</w:t>
            </w:r>
          </w:p>
        </w:tc>
        <w:tc>
          <w:tcPr>
            <w:tcW w:w="1134" w:type="dxa"/>
            <w:vAlign w:val="center"/>
          </w:tcPr>
          <w:p w14:paraId="4749D582"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120.62</w:t>
            </w:r>
          </w:p>
        </w:tc>
        <w:tc>
          <w:tcPr>
            <w:tcW w:w="1417" w:type="dxa"/>
            <w:vAlign w:val="center"/>
          </w:tcPr>
          <w:p w14:paraId="7690B1F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107.91</w:t>
            </w:r>
          </w:p>
        </w:tc>
        <w:tc>
          <w:tcPr>
            <w:tcW w:w="1276" w:type="dxa"/>
            <w:vAlign w:val="center"/>
          </w:tcPr>
          <w:p w14:paraId="280762F6"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30-100</w:t>
            </w:r>
          </w:p>
        </w:tc>
        <w:tc>
          <w:tcPr>
            <w:tcW w:w="1466" w:type="dxa"/>
            <w:vAlign w:val="center"/>
          </w:tcPr>
          <w:p w14:paraId="3E6C4D4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50-150</w:t>
            </w:r>
          </w:p>
        </w:tc>
      </w:tr>
      <w:tr w:rsidR="004609F0" w14:paraId="693BC233" w14:textId="77777777">
        <w:trPr>
          <w:trHeight w:val="313"/>
          <w:jc w:val="center"/>
        </w:trPr>
        <w:tc>
          <w:tcPr>
            <w:tcW w:w="1444" w:type="dxa"/>
            <w:vAlign w:val="center"/>
          </w:tcPr>
          <w:p w14:paraId="0A11EE2D"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Cl</w:t>
            </w:r>
            <w:r>
              <w:rPr>
                <w:rFonts w:ascii="Arial" w:eastAsia="Arial" w:hAnsi="Arial" w:cs="Arial"/>
                <w:b/>
                <w:color w:val="000000"/>
                <w:sz w:val="24"/>
                <w:szCs w:val="24"/>
                <w:vertAlign w:val="superscript"/>
              </w:rPr>
              <w:t>-</w:t>
            </w:r>
          </w:p>
        </w:tc>
        <w:tc>
          <w:tcPr>
            <w:tcW w:w="1103" w:type="dxa"/>
            <w:vAlign w:val="center"/>
          </w:tcPr>
          <w:p w14:paraId="6CEAEF17"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34.99</w:t>
            </w:r>
          </w:p>
        </w:tc>
        <w:tc>
          <w:tcPr>
            <w:tcW w:w="1134" w:type="dxa"/>
            <w:vAlign w:val="center"/>
          </w:tcPr>
          <w:p w14:paraId="0BE32EC8"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2329.28</w:t>
            </w:r>
          </w:p>
        </w:tc>
        <w:tc>
          <w:tcPr>
            <w:tcW w:w="1134" w:type="dxa"/>
            <w:vAlign w:val="center"/>
          </w:tcPr>
          <w:p w14:paraId="25867803"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822.68</w:t>
            </w:r>
          </w:p>
        </w:tc>
        <w:tc>
          <w:tcPr>
            <w:tcW w:w="1417" w:type="dxa"/>
            <w:vAlign w:val="center"/>
          </w:tcPr>
          <w:p w14:paraId="32B6DE43"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585.17</w:t>
            </w:r>
          </w:p>
        </w:tc>
        <w:tc>
          <w:tcPr>
            <w:tcW w:w="1276" w:type="dxa"/>
            <w:vAlign w:val="center"/>
          </w:tcPr>
          <w:p w14:paraId="2C797BA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300</w:t>
            </w:r>
          </w:p>
        </w:tc>
        <w:tc>
          <w:tcPr>
            <w:tcW w:w="1466" w:type="dxa"/>
            <w:vAlign w:val="center"/>
          </w:tcPr>
          <w:p w14:paraId="4B893179"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300-600</w:t>
            </w:r>
          </w:p>
        </w:tc>
      </w:tr>
      <w:tr w:rsidR="004609F0" w14:paraId="0D9A024C" w14:textId="77777777">
        <w:trPr>
          <w:trHeight w:val="313"/>
          <w:jc w:val="center"/>
        </w:trPr>
        <w:tc>
          <w:tcPr>
            <w:tcW w:w="1444" w:type="dxa"/>
            <w:vAlign w:val="center"/>
          </w:tcPr>
          <w:p w14:paraId="3496172A"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SO</w:t>
            </w:r>
            <w:r>
              <w:rPr>
                <w:rFonts w:ascii="Arial" w:eastAsia="Arial" w:hAnsi="Arial" w:cs="Arial"/>
                <w:b/>
                <w:color w:val="000000"/>
                <w:sz w:val="24"/>
                <w:szCs w:val="24"/>
                <w:vertAlign w:val="subscript"/>
              </w:rPr>
              <w:t>4</w:t>
            </w:r>
            <w:r>
              <w:rPr>
                <w:rFonts w:ascii="Arial" w:eastAsia="Arial" w:hAnsi="Arial" w:cs="Arial"/>
                <w:b/>
                <w:color w:val="000000"/>
                <w:sz w:val="24"/>
                <w:szCs w:val="24"/>
                <w:vertAlign w:val="superscript"/>
              </w:rPr>
              <w:t>2-</w:t>
            </w:r>
          </w:p>
        </w:tc>
        <w:tc>
          <w:tcPr>
            <w:tcW w:w="1103" w:type="dxa"/>
            <w:vAlign w:val="center"/>
          </w:tcPr>
          <w:p w14:paraId="7D036AAA"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10.01</w:t>
            </w:r>
          </w:p>
        </w:tc>
        <w:tc>
          <w:tcPr>
            <w:tcW w:w="1134" w:type="dxa"/>
            <w:vAlign w:val="center"/>
          </w:tcPr>
          <w:p w14:paraId="071FF5B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493.22</w:t>
            </w:r>
          </w:p>
        </w:tc>
        <w:tc>
          <w:tcPr>
            <w:tcW w:w="1134" w:type="dxa"/>
            <w:vAlign w:val="center"/>
          </w:tcPr>
          <w:p w14:paraId="702348C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172.45</w:t>
            </w:r>
          </w:p>
        </w:tc>
        <w:tc>
          <w:tcPr>
            <w:tcW w:w="1417" w:type="dxa"/>
            <w:vAlign w:val="center"/>
          </w:tcPr>
          <w:p w14:paraId="14ABAA1A"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126.00</w:t>
            </w:r>
          </w:p>
        </w:tc>
        <w:tc>
          <w:tcPr>
            <w:tcW w:w="1276" w:type="dxa"/>
            <w:vAlign w:val="center"/>
          </w:tcPr>
          <w:p w14:paraId="18A956BA"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w:t>
            </w:r>
          </w:p>
        </w:tc>
        <w:tc>
          <w:tcPr>
            <w:tcW w:w="1466" w:type="dxa"/>
            <w:vAlign w:val="center"/>
          </w:tcPr>
          <w:p w14:paraId="3370E8A6"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w:t>
            </w:r>
          </w:p>
        </w:tc>
      </w:tr>
      <w:tr w:rsidR="004609F0" w14:paraId="5B98717E" w14:textId="77777777">
        <w:trPr>
          <w:trHeight w:val="313"/>
          <w:jc w:val="center"/>
        </w:trPr>
        <w:tc>
          <w:tcPr>
            <w:tcW w:w="1444" w:type="dxa"/>
            <w:vAlign w:val="center"/>
          </w:tcPr>
          <w:p w14:paraId="6856D6DA"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CO</w:t>
            </w:r>
            <w:r>
              <w:rPr>
                <w:rFonts w:ascii="Arial" w:eastAsia="Arial" w:hAnsi="Arial" w:cs="Arial"/>
                <w:b/>
                <w:color w:val="000000"/>
                <w:sz w:val="24"/>
                <w:szCs w:val="24"/>
                <w:vertAlign w:val="subscript"/>
              </w:rPr>
              <w:t>3</w:t>
            </w:r>
            <w:r>
              <w:rPr>
                <w:rFonts w:ascii="Arial" w:eastAsia="Arial" w:hAnsi="Arial" w:cs="Arial"/>
                <w:b/>
                <w:color w:val="000000"/>
                <w:sz w:val="24"/>
                <w:szCs w:val="24"/>
                <w:vertAlign w:val="superscript"/>
              </w:rPr>
              <w:t>2-</w:t>
            </w:r>
          </w:p>
        </w:tc>
        <w:tc>
          <w:tcPr>
            <w:tcW w:w="1103" w:type="dxa"/>
            <w:vAlign w:val="center"/>
          </w:tcPr>
          <w:p w14:paraId="667D60B4"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30.00</w:t>
            </w:r>
          </w:p>
        </w:tc>
        <w:tc>
          <w:tcPr>
            <w:tcW w:w="1134" w:type="dxa"/>
            <w:vAlign w:val="center"/>
          </w:tcPr>
          <w:p w14:paraId="72F3CEBA"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300</w:t>
            </w:r>
          </w:p>
        </w:tc>
        <w:tc>
          <w:tcPr>
            <w:tcW w:w="1134" w:type="dxa"/>
            <w:vAlign w:val="center"/>
          </w:tcPr>
          <w:p w14:paraId="0E4EA0A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1450.00</w:t>
            </w:r>
          </w:p>
        </w:tc>
        <w:tc>
          <w:tcPr>
            <w:tcW w:w="1417" w:type="dxa"/>
            <w:vAlign w:val="center"/>
          </w:tcPr>
          <w:p w14:paraId="7975A32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66.87</w:t>
            </w:r>
          </w:p>
        </w:tc>
        <w:tc>
          <w:tcPr>
            <w:tcW w:w="1276" w:type="dxa"/>
            <w:vAlign w:val="center"/>
          </w:tcPr>
          <w:p w14:paraId="3100AE0A"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250-1000</w:t>
            </w:r>
          </w:p>
        </w:tc>
        <w:tc>
          <w:tcPr>
            <w:tcW w:w="1466" w:type="dxa"/>
            <w:vAlign w:val="center"/>
          </w:tcPr>
          <w:p w14:paraId="0221892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250</w:t>
            </w:r>
          </w:p>
        </w:tc>
      </w:tr>
      <w:tr w:rsidR="004609F0" w14:paraId="2AEAB00B" w14:textId="77777777">
        <w:trPr>
          <w:trHeight w:val="313"/>
          <w:jc w:val="center"/>
        </w:trPr>
        <w:tc>
          <w:tcPr>
            <w:tcW w:w="1444" w:type="dxa"/>
            <w:vAlign w:val="center"/>
          </w:tcPr>
          <w:p w14:paraId="0246C912"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HCO</w:t>
            </w:r>
            <w:r>
              <w:rPr>
                <w:rFonts w:ascii="Arial" w:eastAsia="Arial" w:hAnsi="Arial" w:cs="Arial"/>
                <w:b/>
                <w:color w:val="000000"/>
                <w:sz w:val="24"/>
                <w:szCs w:val="24"/>
                <w:vertAlign w:val="subscript"/>
              </w:rPr>
              <w:t>3</w:t>
            </w:r>
            <w:r>
              <w:rPr>
                <w:rFonts w:ascii="Arial" w:eastAsia="Arial" w:hAnsi="Arial" w:cs="Arial"/>
                <w:b/>
                <w:color w:val="000000"/>
                <w:sz w:val="24"/>
                <w:szCs w:val="24"/>
                <w:vertAlign w:val="superscript"/>
              </w:rPr>
              <w:t>-</w:t>
            </w:r>
          </w:p>
        </w:tc>
        <w:tc>
          <w:tcPr>
            <w:tcW w:w="1103" w:type="dxa"/>
            <w:vAlign w:val="center"/>
          </w:tcPr>
          <w:p w14:paraId="709C56EE"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0</w:t>
            </w:r>
          </w:p>
        </w:tc>
        <w:tc>
          <w:tcPr>
            <w:tcW w:w="1134" w:type="dxa"/>
            <w:vAlign w:val="center"/>
          </w:tcPr>
          <w:p w14:paraId="38BFECCA"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400</w:t>
            </w:r>
          </w:p>
        </w:tc>
        <w:tc>
          <w:tcPr>
            <w:tcW w:w="1134" w:type="dxa"/>
            <w:vAlign w:val="center"/>
          </w:tcPr>
          <w:p w14:paraId="35EBC36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201.68</w:t>
            </w:r>
          </w:p>
        </w:tc>
        <w:tc>
          <w:tcPr>
            <w:tcW w:w="1417" w:type="dxa"/>
            <w:vAlign w:val="center"/>
          </w:tcPr>
          <w:p w14:paraId="30B3D48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85.96</w:t>
            </w:r>
          </w:p>
        </w:tc>
        <w:tc>
          <w:tcPr>
            <w:tcW w:w="1276" w:type="dxa"/>
            <w:vAlign w:val="center"/>
          </w:tcPr>
          <w:p w14:paraId="7DEC386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45</w:t>
            </w:r>
          </w:p>
        </w:tc>
        <w:tc>
          <w:tcPr>
            <w:tcW w:w="1466" w:type="dxa"/>
            <w:vAlign w:val="center"/>
          </w:tcPr>
          <w:p w14:paraId="6A3C6B3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45</w:t>
            </w:r>
          </w:p>
        </w:tc>
      </w:tr>
      <w:tr w:rsidR="004609F0" w14:paraId="517D2ABA" w14:textId="77777777">
        <w:trPr>
          <w:trHeight w:val="60"/>
          <w:jc w:val="center"/>
        </w:trPr>
        <w:tc>
          <w:tcPr>
            <w:tcW w:w="1444" w:type="dxa"/>
            <w:vAlign w:val="center"/>
          </w:tcPr>
          <w:p w14:paraId="08706845"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NO</w:t>
            </w:r>
            <w:r>
              <w:rPr>
                <w:rFonts w:ascii="Arial" w:eastAsia="Arial" w:hAnsi="Arial" w:cs="Arial"/>
                <w:b/>
                <w:color w:val="000000"/>
                <w:sz w:val="24"/>
                <w:szCs w:val="24"/>
                <w:vertAlign w:val="subscript"/>
              </w:rPr>
              <w:t>3</w:t>
            </w:r>
            <w:r>
              <w:rPr>
                <w:rFonts w:ascii="Arial" w:eastAsia="Arial" w:hAnsi="Arial" w:cs="Arial"/>
                <w:b/>
                <w:color w:val="000000"/>
                <w:sz w:val="24"/>
                <w:szCs w:val="24"/>
                <w:vertAlign w:val="superscript"/>
              </w:rPr>
              <w:t>-</w:t>
            </w:r>
          </w:p>
        </w:tc>
        <w:tc>
          <w:tcPr>
            <w:tcW w:w="1103" w:type="dxa"/>
            <w:vAlign w:val="center"/>
          </w:tcPr>
          <w:p w14:paraId="5B5CE379"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0.22</w:t>
            </w:r>
          </w:p>
        </w:tc>
        <w:tc>
          <w:tcPr>
            <w:tcW w:w="1134" w:type="dxa"/>
            <w:vAlign w:val="center"/>
          </w:tcPr>
          <w:p w14:paraId="158F92F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67.55</w:t>
            </w:r>
          </w:p>
        </w:tc>
        <w:tc>
          <w:tcPr>
            <w:tcW w:w="1134" w:type="dxa"/>
            <w:vAlign w:val="center"/>
          </w:tcPr>
          <w:p w14:paraId="4004F64D"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5.27</w:t>
            </w:r>
          </w:p>
        </w:tc>
        <w:tc>
          <w:tcPr>
            <w:tcW w:w="1417" w:type="dxa"/>
            <w:vAlign w:val="center"/>
          </w:tcPr>
          <w:p w14:paraId="1969BE2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6.49</w:t>
            </w:r>
          </w:p>
        </w:tc>
        <w:tc>
          <w:tcPr>
            <w:tcW w:w="1276" w:type="dxa"/>
            <w:vAlign w:val="center"/>
          </w:tcPr>
          <w:p w14:paraId="08B04093"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200-400</w:t>
            </w:r>
          </w:p>
        </w:tc>
        <w:tc>
          <w:tcPr>
            <w:tcW w:w="1466" w:type="dxa"/>
            <w:vAlign w:val="center"/>
          </w:tcPr>
          <w:p w14:paraId="6CAA048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400</w:t>
            </w:r>
          </w:p>
        </w:tc>
      </w:tr>
      <w:tr w:rsidR="004609F0" w14:paraId="7E968CAD" w14:textId="77777777">
        <w:trPr>
          <w:trHeight w:val="313"/>
          <w:jc w:val="center"/>
        </w:trPr>
        <w:tc>
          <w:tcPr>
            <w:tcW w:w="1444" w:type="dxa"/>
            <w:tcBorders>
              <w:bottom w:val="single" w:sz="4" w:space="0" w:color="000000"/>
            </w:tcBorders>
            <w:vAlign w:val="center"/>
          </w:tcPr>
          <w:p w14:paraId="49DD0081" w14:textId="77777777" w:rsidR="004609F0" w:rsidRDefault="00BC7B8C">
            <w:pPr>
              <w:jc w:val="center"/>
              <w:rPr>
                <w:rFonts w:ascii="Arial" w:eastAsia="Arial" w:hAnsi="Arial" w:cs="Arial"/>
                <w:color w:val="000000"/>
                <w:sz w:val="24"/>
                <w:szCs w:val="24"/>
              </w:rPr>
            </w:pPr>
            <w:r>
              <w:rPr>
                <w:rFonts w:ascii="Arial" w:eastAsia="Arial" w:hAnsi="Arial" w:cs="Arial"/>
                <w:b/>
                <w:color w:val="000000"/>
                <w:sz w:val="24"/>
                <w:szCs w:val="24"/>
              </w:rPr>
              <w:t>F</w:t>
            </w:r>
            <w:r>
              <w:rPr>
                <w:rFonts w:ascii="Arial" w:eastAsia="Arial" w:hAnsi="Arial" w:cs="Arial"/>
                <w:b/>
                <w:color w:val="000000"/>
                <w:sz w:val="24"/>
                <w:szCs w:val="24"/>
                <w:vertAlign w:val="superscript"/>
              </w:rPr>
              <w:t>-</w:t>
            </w:r>
          </w:p>
        </w:tc>
        <w:tc>
          <w:tcPr>
            <w:tcW w:w="1103" w:type="dxa"/>
            <w:tcBorders>
              <w:bottom w:val="single" w:sz="4" w:space="0" w:color="000000"/>
            </w:tcBorders>
            <w:vAlign w:val="center"/>
          </w:tcPr>
          <w:p w14:paraId="3E693406"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0.12</w:t>
            </w:r>
          </w:p>
        </w:tc>
        <w:tc>
          <w:tcPr>
            <w:tcW w:w="1134" w:type="dxa"/>
            <w:tcBorders>
              <w:bottom w:val="single" w:sz="4" w:space="0" w:color="000000"/>
            </w:tcBorders>
            <w:vAlign w:val="center"/>
          </w:tcPr>
          <w:p w14:paraId="64FD97E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2.15</w:t>
            </w:r>
          </w:p>
        </w:tc>
        <w:tc>
          <w:tcPr>
            <w:tcW w:w="1134" w:type="dxa"/>
            <w:tcBorders>
              <w:bottom w:val="single" w:sz="4" w:space="0" w:color="000000"/>
            </w:tcBorders>
            <w:vAlign w:val="center"/>
          </w:tcPr>
          <w:p w14:paraId="6FB87A70"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1.02</w:t>
            </w:r>
          </w:p>
        </w:tc>
        <w:tc>
          <w:tcPr>
            <w:tcW w:w="1417" w:type="dxa"/>
            <w:tcBorders>
              <w:bottom w:val="single" w:sz="4" w:space="0" w:color="000000"/>
            </w:tcBorders>
            <w:vAlign w:val="center"/>
          </w:tcPr>
          <w:p w14:paraId="133E0384"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0.48</w:t>
            </w:r>
          </w:p>
        </w:tc>
        <w:tc>
          <w:tcPr>
            <w:tcW w:w="1276" w:type="dxa"/>
            <w:tcBorders>
              <w:bottom w:val="single" w:sz="4" w:space="0" w:color="000000"/>
            </w:tcBorders>
            <w:vAlign w:val="center"/>
          </w:tcPr>
          <w:p w14:paraId="4D1996ED"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1-1.5</w:t>
            </w:r>
          </w:p>
        </w:tc>
        <w:tc>
          <w:tcPr>
            <w:tcW w:w="1466" w:type="dxa"/>
            <w:tcBorders>
              <w:bottom w:val="single" w:sz="4" w:space="0" w:color="000000"/>
            </w:tcBorders>
            <w:vAlign w:val="center"/>
          </w:tcPr>
          <w:p w14:paraId="69BFCFD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1.5</w:t>
            </w:r>
          </w:p>
        </w:tc>
      </w:tr>
    </w:tbl>
    <w:p w14:paraId="709FD3E9" w14:textId="77777777" w:rsidR="004609F0" w:rsidRDefault="00BC7B8C">
      <w:pPr>
        <w:pBdr>
          <w:bottom w:val="single" w:sz="4" w:space="1" w:color="000000"/>
        </w:pBdr>
        <w:spacing w:after="0" w:line="240" w:lineRule="auto"/>
        <w:ind w:left="-284"/>
        <w:jc w:val="center"/>
        <w:rPr>
          <w:rFonts w:ascii="Arial" w:eastAsia="Arial" w:hAnsi="Arial" w:cs="Arial"/>
          <w:i/>
          <w:color w:val="000000"/>
          <w:sz w:val="24"/>
          <w:szCs w:val="24"/>
        </w:rPr>
      </w:pPr>
      <w:r>
        <w:rPr>
          <w:rFonts w:ascii="Arial" w:eastAsia="Arial" w:hAnsi="Arial" w:cs="Arial"/>
          <w:i/>
          <w:color w:val="000000"/>
          <w:sz w:val="24"/>
          <w:szCs w:val="24"/>
        </w:rPr>
        <w:t xml:space="preserve">All parameters are expressed in mg/L except pH, Temp. (°C) &amp; EC (µS/cm); </w:t>
      </w:r>
    </w:p>
    <w:p w14:paraId="3E9196A5" w14:textId="77777777" w:rsidR="004609F0" w:rsidRDefault="00BC7B8C">
      <w:pPr>
        <w:spacing w:after="0" w:line="240" w:lineRule="auto"/>
        <w:ind w:left="-284"/>
        <w:jc w:val="center"/>
        <w:rPr>
          <w:rFonts w:ascii="Arial" w:eastAsia="Arial" w:hAnsi="Arial" w:cs="Arial"/>
          <w:i/>
          <w:color w:val="000000"/>
          <w:sz w:val="24"/>
          <w:szCs w:val="24"/>
        </w:rPr>
      </w:pPr>
      <w:r>
        <w:rPr>
          <w:rFonts w:ascii="Arial" w:eastAsia="Arial" w:hAnsi="Arial" w:cs="Arial"/>
          <w:i/>
          <w:color w:val="000000"/>
          <w:sz w:val="24"/>
          <w:szCs w:val="24"/>
        </w:rPr>
        <w:lastRenderedPageBreak/>
        <w:t xml:space="preserve">EC: Electrical conductivity; TDS: Total dissolved solids; TH: Total </w:t>
      </w:r>
      <w:r>
        <w:rPr>
          <w:rFonts w:ascii="Arial" w:eastAsia="Arial" w:hAnsi="Arial" w:cs="Arial"/>
          <w:i/>
          <w:color w:val="000000"/>
          <w:sz w:val="24"/>
          <w:szCs w:val="24"/>
        </w:rPr>
        <w:t>hardness.</w:t>
      </w:r>
    </w:p>
    <w:p w14:paraId="724CFB4D" w14:textId="77777777" w:rsidR="004609F0" w:rsidRDefault="00BC7B8C">
      <w:pPr>
        <w:spacing w:before="240" w:line="240" w:lineRule="auto"/>
        <w:ind w:firstLine="720"/>
        <w:jc w:val="both"/>
        <w:rPr>
          <w:rFonts w:ascii="Arial" w:eastAsia="Arial" w:hAnsi="Arial" w:cs="Arial"/>
          <w:color w:val="000000"/>
          <w:sz w:val="24"/>
          <w:szCs w:val="24"/>
        </w:rPr>
      </w:pPr>
      <w:r>
        <w:rPr>
          <w:rFonts w:ascii="Arial" w:eastAsia="Arial" w:hAnsi="Arial" w:cs="Arial"/>
          <w:color w:val="000000"/>
          <w:sz w:val="24"/>
          <w:szCs w:val="24"/>
        </w:rPr>
        <w:t xml:space="preserve">The </w:t>
      </w:r>
      <w:proofErr w:type="spellStart"/>
      <w:r>
        <w:rPr>
          <w:rFonts w:ascii="Arial" w:eastAsia="Arial" w:hAnsi="Arial" w:cs="Arial"/>
          <w:color w:val="000000"/>
          <w:sz w:val="24"/>
          <w:szCs w:val="24"/>
        </w:rPr>
        <w:t>Banaskantha</w:t>
      </w:r>
      <w:proofErr w:type="spellEnd"/>
      <w:r>
        <w:rPr>
          <w:rFonts w:ascii="Arial" w:eastAsia="Arial" w:hAnsi="Arial" w:cs="Arial"/>
          <w:color w:val="000000"/>
          <w:sz w:val="24"/>
          <w:szCs w:val="24"/>
        </w:rPr>
        <w:t xml:space="preserve"> vegetation zone's groundwater exhibits traits of a semi-arid climate.  The average temperature is 32.17°C, with a range of 28.1 to 36.5°C.  Groundwater's pH ranges from 7.1 to 12.5, with an average of 9.53. </w:t>
      </w:r>
      <w:r>
        <w:rPr>
          <w:rFonts w:ascii="Arial" w:eastAsia="Arial" w:hAnsi="Arial" w:cs="Arial"/>
          <w:sz w:val="24"/>
          <w:szCs w:val="24"/>
          <w:highlight w:val="yellow"/>
        </w:rPr>
        <w:t xml:space="preserve">The higher value of pH </w:t>
      </w:r>
      <w:r>
        <w:rPr>
          <w:rFonts w:ascii="Arial" w:eastAsia="Arial" w:hAnsi="Arial" w:cs="Arial"/>
          <w:sz w:val="24"/>
          <w:szCs w:val="24"/>
          <w:highlight w:val="yellow"/>
        </w:rPr>
        <w:t>in some areas may be due to higher carbonate and bicarbonate concentration</w:t>
      </w:r>
      <w:r>
        <w:rPr>
          <w:rFonts w:ascii="Arial" w:eastAsia="Arial" w:hAnsi="Arial" w:cs="Arial"/>
          <w:sz w:val="24"/>
          <w:szCs w:val="24"/>
        </w:rPr>
        <w:t>.</w:t>
      </w:r>
      <w:r>
        <w:rPr>
          <w:rFonts w:ascii="Arial" w:eastAsia="Arial" w:hAnsi="Arial" w:cs="Arial"/>
          <w:color w:val="000000"/>
          <w:sz w:val="24"/>
          <w:szCs w:val="24"/>
        </w:rPr>
        <w:t xml:space="preserve"> Taste issues, scaling, decreased disinfection effectiveness, and potential risks to drinking and irrigation arise from the mean and maximum values being significantly higher, despi</w:t>
      </w:r>
      <w:r>
        <w:rPr>
          <w:rFonts w:ascii="Arial" w:eastAsia="Arial" w:hAnsi="Arial" w:cs="Arial"/>
          <w:color w:val="000000"/>
          <w:sz w:val="24"/>
          <w:szCs w:val="24"/>
        </w:rPr>
        <w:t xml:space="preserve">te the minimum value being within the BIS (2012) and WHO (2017) acceptable range of 6.5–8.5. The concentration of dissolved salts is represented by electrical conductivity (EC), which ranges from </w:t>
      </w:r>
      <w:r>
        <w:rPr>
          <w:rFonts w:ascii="Arial" w:eastAsia="Arial" w:hAnsi="Arial" w:cs="Arial"/>
          <w:sz w:val="24"/>
          <w:szCs w:val="24"/>
          <w:highlight w:val="yellow"/>
        </w:rPr>
        <w:t>366.00</w:t>
      </w:r>
      <w:r>
        <w:rPr>
          <w:rFonts w:ascii="Arial" w:eastAsia="Arial" w:hAnsi="Arial" w:cs="Arial"/>
          <w:color w:val="000000"/>
          <w:sz w:val="24"/>
          <w:szCs w:val="24"/>
          <w:highlight w:val="yellow"/>
        </w:rPr>
        <w:t xml:space="preserve"> to </w:t>
      </w:r>
      <w:r>
        <w:rPr>
          <w:rFonts w:ascii="Arial" w:eastAsia="Arial" w:hAnsi="Arial" w:cs="Arial"/>
          <w:sz w:val="24"/>
          <w:szCs w:val="24"/>
          <w:highlight w:val="yellow"/>
        </w:rPr>
        <w:t>9918.00</w:t>
      </w:r>
      <w:r>
        <w:rPr>
          <w:rFonts w:ascii="Arial" w:eastAsia="Arial" w:hAnsi="Arial" w:cs="Arial"/>
          <w:color w:val="000000"/>
          <w:sz w:val="24"/>
          <w:szCs w:val="24"/>
          <w:highlight w:val="yellow"/>
        </w:rPr>
        <w:t xml:space="preserve"> µS/cm</w:t>
      </w:r>
      <w:r>
        <w:rPr>
          <w:rFonts w:ascii="Arial" w:eastAsia="Arial" w:hAnsi="Arial" w:cs="Arial"/>
          <w:color w:val="000000"/>
          <w:sz w:val="24"/>
          <w:szCs w:val="24"/>
        </w:rPr>
        <w:t xml:space="preserve">, with a mean of </w:t>
      </w:r>
      <w:r>
        <w:rPr>
          <w:rFonts w:ascii="Arial" w:eastAsia="Arial" w:hAnsi="Arial" w:cs="Arial"/>
          <w:sz w:val="24"/>
          <w:szCs w:val="24"/>
          <w:highlight w:val="yellow"/>
        </w:rPr>
        <w:t>3743.55</w:t>
      </w:r>
      <w:r>
        <w:rPr>
          <w:rFonts w:ascii="Arial" w:eastAsia="Arial" w:hAnsi="Arial" w:cs="Arial"/>
          <w:color w:val="000000"/>
          <w:sz w:val="24"/>
          <w:szCs w:val="24"/>
          <w:highlight w:val="yellow"/>
        </w:rPr>
        <w:t xml:space="preserve"> µS/cm.</w:t>
      </w:r>
      <w:r>
        <w:rPr>
          <w:rFonts w:ascii="Arial" w:eastAsia="Arial" w:hAnsi="Arial" w:cs="Arial"/>
          <w:color w:val="000000"/>
          <w:sz w:val="24"/>
          <w:szCs w:val="24"/>
        </w:rPr>
        <w:t xml:space="preserve">  Give</w:t>
      </w:r>
      <w:r>
        <w:rPr>
          <w:rFonts w:ascii="Arial" w:eastAsia="Arial" w:hAnsi="Arial" w:cs="Arial"/>
          <w:color w:val="000000"/>
          <w:sz w:val="24"/>
          <w:szCs w:val="24"/>
        </w:rPr>
        <w:t>n that natural groundwater typically ranges between 500 and 1500 µS/cm (BIS/WHO), these values seem abnormally low, indicating a unit/notation error.  Total dissolved solids (TDS), on the other hand, are incredibly high, with a mean of 3769.86 mg/L and a r</w:t>
      </w:r>
      <w:r>
        <w:rPr>
          <w:rFonts w:ascii="Arial" w:eastAsia="Arial" w:hAnsi="Arial" w:cs="Arial"/>
          <w:color w:val="000000"/>
          <w:sz w:val="24"/>
          <w:szCs w:val="24"/>
        </w:rPr>
        <w:t>ange of 366 to 9918 mg/L.  This indicates excessive salinity, which limits both irrigation suitability and potability, as it is significantly higher than the recommended 1000–1500 mg/L limit.  Similarly, total hardness (TH) averages 1913.65 mg/L (range: 17</w:t>
      </w:r>
      <w:r>
        <w:rPr>
          <w:rFonts w:ascii="Arial" w:eastAsia="Arial" w:hAnsi="Arial" w:cs="Arial"/>
          <w:color w:val="000000"/>
          <w:sz w:val="24"/>
          <w:szCs w:val="24"/>
        </w:rPr>
        <w:t xml:space="preserve">0–4915 mg/L), far exceeding the recommended guideline of 200–600 mg/L.  Scaling, infiltration, and decreased irrigation efficiency are risks associated with these values, primarily caused by carbonates, bicarbonates, and </w:t>
      </w:r>
      <w:proofErr w:type="spellStart"/>
      <w:r>
        <w:rPr>
          <w:rFonts w:ascii="Arial" w:eastAsia="Arial" w:hAnsi="Arial" w:cs="Arial"/>
          <w:color w:val="000000"/>
          <w:sz w:val="24"/>
          <w:szCs w:val="24"/>
        </w:rPr>
        <w:t>sulfates</w:t>
      </w:r>
      <w:proofErr w:type="spellEnd"/>
      <w:r>
        <w:rPr>
          <w:rFonts w:ascii="Arial" w:eastAsia="Arial" w:hAnsi="Arial" w:cs="Arial"/>
          <w:color w:val="000000"/>
          <w:sz w:val="24"/>
          <w:szCs w:val="24"/>
        </w:rPr>
        <w:t>, which are abundant calciu</w:t>
      </w:r>
      <w:r>
        <w:rPr>
          <w:rFonts w:ascii="Arial" w:eastAsia="Arial" w:hAnsi="Arial" w:cs="Arial"/>
          <w:color w:val="000000"/>
          <w:sz w:val="24"/>
          <w:szCs w:val="24"/>
        </w:rPr>
        <w:t>m and magnesium salts.</w:t>
      </w:r>
    </w:p>
    <w:p w14:paraId="0E519E21" w14:textId="77777777" w:rsidR="004609F0" w:rsidRDefault="00BC7B8C">
      <w:pPr>
        <w:spacing w:before="240" w:line="240" w:lineRule="auto"/>
        <w:ind w:firstLine="720"/>
        <w:jc w:val="both"/>
        <w:rPr>
          <w:rFonts w:ascii="Arial" w:eastAsia="Arial" w:hAnsi="Arial" w:cs="Arial"/>
          <w:color w:val="000000"/>
          <w:sz w:val="24"/>
          <w:szCs w:val="24"/>
        </w:rPr>
      </w:pPr>
      <w:r>
        <w:rPr>
          <w:rFonts w:ascii="Arial" w:eastAsia="Arial" w:hAnsi="Arial" w:cs="Arial"/>
          <w:color w:val="000000"/>
          <w:sz w:val="24"/>
          <w:szCs w:val="24"/>
        </w:rPr>
        <w:t>The order of cation chemistry is Mg²</w:t>
      </w:r>
      <w:r>
        <w:rPr>
          <w:rFonts w:ascii="Cambria Math" w:eastAsia="Cambria Math" w:hAnsi="Cambria Math" w:cs="Cambria Math"/>
          <w:color w:val="000000"/>
          <w:sz w:val="24"/>
          <w:szCs w:val="24"/>
        </w:rPr>
        <w:t>⁺</w:t>
      </w:r>
      <w:r>
        <w:rPr>
          <w:rFonts w:ascii="Arial" w:eastAsia="Arial" w:hAnsi="Arial" w:cs="Arial"/>
          <w:color w:val="000000"/>
          <w:sz w:val="24"/>
          <w:szCs w:val="24"/>
        </w:rPr>
        <w:t xml:space="preserve"> &gt; Ca²</w:t>
      </w:r>
      <w:r>
        <w:rPr>
          <w:rFonts w:ascii="Cambria Math" w:eastAsia="Cambria Math" w:hAnsi="Cambria Math" w:cs="Cambria Math"/>
          <w:color w:val="000000"/>
          <w:sz w:val="24"/>
          <w:szCs w:val="24"/>
        </w:rPr>
        <w:t>⁺</w:t>
      </w:r>
      <w:r>
        <w:rPr>
          <w:rFonts w:ascii="Arial" w:eastAsia="Arial" w:hAnsi="Arial" w:cs="Arial"/>
          <w:color w:val="000000"/>
          <w:sz w:val="24"/>
          <w:szCs w:val="24"/>
        </w:rPr>
        <w:t xml:space="preserve"> &gt; Na</w:t>
      </w:r>
      <w:r>
        <w:rPr>
          <w:rFonts w:ascii="Cambria Math" w:eastAsia="Cambria Math" w:hAnsi="Cambria Math" w:cs="Cambria Math"/>
          <w:color w:val="000000"/>
          <w:sz w:val="24"/>
          <w:szCs w:val="24"/>
        </w:rPr>
        <w:t>⁺</w:t>
      </w:r>
      <w:r>
        <w:rPr>
          <w:rFonts w:ascii="Arial" w:eastAsia="Arial" w:hAnsi="Arial" w:cs="Arial"/>
          <w:color w:val="000000"/>
          <w:sz w:val="24"/>
          <w:szCs w:val="24"/>
        </w:rPr>
        <w:t xml:space="preserve"> &gt; K</w:t>
      </w:r>
      <w:r>
        <w:rPr>
          <w:rFonts w:ascii="Cambria Math" w:eastAsia="Cambria Math" w:hAnsi="Cambria Math" w:cs="Cambria Math"/>
          <w:color w:val="000000"/>
          <w:sz w:val="24"/>
          <w:szCs w:val="24"/>
        </w:rPr>
        <w:t>⁺</w:t>
      </w:r>
      <w:r>
        <w:rPr>
          <w:rFonts w:ascii="Arial" w:eastAsia="Arial" w:hAnsi="Arial" w:cs="Arial"/>
          <w:color w:val="000000"/>
          <w:sz w:val="24"/>
          <w:szCs w:val="24"/>
        </w:rPr>
        <w:t>.  With high local peaks brought on by salinity from evaporation, sodic soil interaction, or irrigation return flow, sodium (Na</w:t>
      </w:r>
      <w:r>
        <w:rPr>
          <w:rFonts w:ascii="Cambria Math" w:eastAsia="Cambria Math" w:hAnsi="Cambria Math" w:cs="Cambria Math"/>
          <w:color w:val="000000"/>
          <w:sz w:val="24"/>
          <w:szCs w:val="24"/>
        </w:rPr>
        <w:t>⁺</w:t>
      </w:r>
      <w:r>
        <w:rPr>
          <w:rFonts w:ascii="Arial" w:eastAsia="Arial" w:hAnsi="Arial" w:cs="Arial"/>
          <w:color w:val="000000"/>
          <w:sz w:val="24"/>
          <w:szCs w:val="24"/>
        </w:rPr>
        <w:t>) typically falls within the safe limit of 200 mg/</w:t>
      </w:r>
      <w:r>
        <w:rPr>
          <w:rFonts w:ascii="Arial" w:eastAsia="Arial" w:hAnsi="Arial" w:cs="Arial"/>
          <w:color w:val="000000"/>
          <w:sz w:val="24"/>
          <w:szCs w:val="24"/>
        </w:rPr>
        <w:t>L, averaging 56.94 mg/L (range 2.85–641.1 mg/L).  Potassium (K</w:t>
      </w:r>
      <w:r>
        <w:rPr>
          <w:rFonts w:ascii="Cambria Math" w:eastAsia="Cambria Math" w:hAnsi="Cambria Math" w:cs="Cambria Math"/>
          <w:color w:val="000000"/>
          <w:sz w:val="24"/>
          <w:szCs w:val="24"/>
        </w:rPr>
        <w:t>⁺</w:t>
      </w:r>
      <w:r>
        <w:rPr>
          <w:rFonts w:ascii="Arial" w:eastAsia="Arial" w:hAnsi="Arial" w:cs="Arial"/>
          <w:color w:val="000000"/>
          <w:sz w:val="24"/>
          <w:szCs w:val="24"/>
        </w:rPr>
        <w:t>) concentrations range from 0.51 to 33.89 mg/L (mean 4.47 mg/L); they are typically low due to clay fixation, but higher in agricultural areas due to fertiliser leaching.  Calcium (Ca²</w:t>
      </w:r>
      <w:r>
        <w:rPr>
          <w:rFonts w:ascii="Cambria Math" w:eastAsia="Cambria Math" w:hAnsi="Cambria Math" w:cs="Cambria Math"/>
          <w:color w:val="000000"/>
          <w:sz w:val="24"/>
          <w:szCs w:val="24"/>
        </w:rPr>
        <w:t>⁺</w:t>
      </w:r>
      <w:r>
        <w:rPr>
          <w:rFonts w:ascii="Arial" w:eastAsia="Arial" w:hAnsi="Arial" w:cs="Arial"/>
          <w:color w:val="000000"/>
          <w:sz w:val="24"/>
          <w:szCs w:val="24"/>
        </w:rPr>
        <w:t>) levels</w:t>
      </w:r>
      <w:r>
        <w:rPr>
          <w:rFonts w:ascii="Arial" w:eastAsia="Arial" w:hAnsi="Arial" w:cs="Arial"/>
          <w:color w:val="000000"/>
          <w:sz w:val="24"/>
          <w:szCs w:val="24"/>
        </w:rPr>
        <w:t xml:space="preserve"> average 98.35 mg/L (range 4.8–312.62 mg/L), generally within the acceptable range of 75–200 mg/L, but with high outliers resulting from the dissolution of carbonate and gypsum.  Magnesium (Mg²</w:t>
      </w:r>
      <w:r>
        <w:rPr>
          <w:rFonts w:ascii="Cambria Math" w:eastAsia="Cambria Math" w:hAnsi="Cambria Math" w:cs="Cambria Math"/>
          <w:color w:val="000000"/>
          <w:sz w:val="24"/>
          <w:szCs w:val="24"/>
        </w:rPr>
        <w:t>⁺</w:t>
      </w:r>
      <w:r>
        <w:rPr>
          <w:rFonts w:ascii="Arial" w:eastAsia="Arial" w:hAnsi="Arial" w:cs="Arial"/>
          <w:color w:val="000000"/>
          <w:sz w:val="24"/>
          <w:szCs w:val="24"/>
        </w:rPr>
        <w:t>) has a mean of 120.63 mg/L (range 5.83–346.99 mg/L), which is</w:t>
      </w:r>
      <w:r>
        <w:rPr>
          <w:rFonts w:ascii="Arial" w:eastAsia="Arial" w:hAnsi="Arial" w:cs="Arial"/>
          <w:color w:val="000000"/>
          <w:sz w:val="24"/>
          <w:szCs w:val="24"/>
        </w:rPr>
        <w:t xml:space="preserve"> marginally higher than the average limit of 50–150 mg/L. Dolomitic lithology, extended water–rock interaction, and evaporative concentration are associated with extreme highs. Overall, the groundwater is of a mixed Ca–Mg–Na type, with hardness dominated b</w:t>
      </w:r>
      <w:r>
        <w:rPr>
          <w:rFonts w:ascii="Arial" w:eastAsia="Arial" w:hAnsi="Arial" w:cs="Arial"/>
          <w:color w:val="000000"/>
          <w:sz w:val="24"/>
          <w:szCs w:val="24"/>
        </w:rPr>
        <w:t>y Ca–Mg, and occasional sodium enrichment, which reduces soil suitability for irrigation.</w:t>
      </w:r>
    </w:p>
    <w:p w14:paraId="6C2C13DB" w14:textId="77777777" w:rsidR="004609F0" w:rsidRDefault="00BC7B8C">
      <w:pPr>
        <w:spacing w:before="240" w:line="240" w:lineRule="auto"/>
        <w:ind w:firstLine="720"/>
        <w:jc w:val="both"/>
        <w:rPr>
          <w:rFonts w:ascii="Arial" w:eastAsia="Arial" w:hAnsi="Arial" w:cs="Arial"/>
          <w:color w:val="000000"/>
          <w:sz w:val="24"/>
          <w:szCs w:val="24"/>
        </w:rPr>
      </w:pPr>
      <w:r>
        <w:rPr>
          <w:rFonts w:ascii="Arial" w:eastAsia="Arial" w:hAnsi="Arial" w:cs="Arial"/>
          <w:color w:val="000000"/>
          <w:sz w:val="24"/>
          <w:szCs w:val="24"/>
        </w:rPr>
        <w:t>The order Cl</w:t>
      </w:r>
      <w:r>
        <w:rPr>
          <w:rFonts w:ascii="Cambria Math" w:eastAsia="Cambria Math" w:hAnsi="Cambria Math" w:cs="Cambria Math"/>
          <w:color w:val="000000"/>
          <w:sz w:val="24"/>
          <w:szCs w:val="24"/>
        </w:rPr>
        <w:t>⁻</w:t>
      </w:r>
      <w:r>
        <w:rPr>
          <w:rFonts w:ascii="Arial" w:eastAsia="Arial" w:hAnsi="Arial" w:cs="Arial"/>
          <w:color w:val="000000"/>
          <w:sz w:val="24"/>
          <w:szCs w:val="24"/>
        </w:rPr>
        <w:t xml:space="preserve"> &gt; HCO</w:t>
      </w:r>
      <w:r>
        <w:rPr>
          <w:rFonts w:ascii="Cambria Math" w:eastAsia="Cambria Math" w:hAnsi="Cambria Math" w:cs="Cambria Math"/>
          <w:color w:val="000000"/>
          <w:sz w:val="24"/>
          <w:szCs w:val="24"/>
        </w:rPr>
        <w:t>₃⁻</w:t>
      </w:r>
      <w:r>
        <w:rPr>
          <w:rFonts w:ascii="Arial" w:eastAsia="Arial" w:hAnsi="Arial" w:cs="Arial"/>
          <w:color w:val="000000"/>
          <w:sz w:val="24"/>
          <w:szCs w:val="24"/>
        </w:rPr>
        <w:t xml:space="preserve"> &gt; SO</w:t>
      </w:r>
      <w:r>
        <w:rPr>
          <w:rFonts w:ascii="Cambria Math" w:eastAsia="Cambria Math" w:hAnsi="Cambria Math" w:cs="Cambria Math"/>
          <w:color w:val="000000"/>
          <w:sz w:val="24"/>
          <w:szCs w:val="24"/>
        </w:rPr>
        <w:t>₄</w:t>
      </w:r>
      <w:r>
        <w:rPr>
          <w:rFonts w:ascii="Arial" w:eastAsia="Arial" w:hAnsi="Arial" w:cs="Arial"/>
          <w:color w:val="000000"/>
          <w:sz w:val="24"/>
          <w:szCs w:val="24"/>
        </w:rPr>
        <w:t>²</w:t>
      </w:r>
      <w:r>
        <w:rPr>
          <w:rFonts w:ascii="Cambria Math" w:eastAsia="Cambria Math" w:hAnsi="Cambria Math" w:cs="Cambria Math"/>
          <w:color w:val="000000"/>
          <w:sz w:val="24"/>
          <w:szCs w:val="24"/>
        </w:rPr>
        <w:t>⁻</w:t>
      </w:r>
      <w:r>
        <w:rPr>
          <w:rFonts w:ascii="Arial" w:eastAsia="Arial" w:hAnsi="Arial" w:cs="Arial"/>
          <w:color w:val="000000"/>
          <w:sz w:val="24"/>
          <w:szCs w:val="24"/>
        </w:rPr>
        <w:t xml:space="preserve"> &gt; CO</w:t>
      </w:r>
      <w:r>
        <w:rPr>
          <w:rFonts w:ascii="Cambria Math" w:eastAsia="Cambria Math" w:hAnsi="Cambria Math" w:cs="Cambria Math"/>
          <w:color w:val="000000"/>
          <w:sz w:val="24"/>
          <w:szCs w:val="24"/>
        </w:rPr>
        <w:t>₃</w:t>
      </w:r>
      <w:r>
        <w:rPr>
          <w:rFonts w:ascii="Arial" w:eastAsia="Arial" w:hAnsi="Arial" w:cs="Arial"/>
          <w:color w:val="000000"/>
          <w:sz w:val="24"/>
          <w:szCs w:val="24"/>
        </w:rPr>
        <w:t>²</w:t>
      </w:r>
      <w:r>
        <w:rPr>
          <w:rFonts w:ascii="Cambria Math" w:eastAsia="Cambria Math" w:hAnsi="Cambria Math" w:cs="Cambria Math"/>
          <w:color w:val="000000"/>
          <w:sz w:val="24"/>
          <w:szCs w:val="24"/>
        </w:rPr>
        <w:t>⁻</w:t>
      </w:r>
      <w:r>
        <w:rPr>
          <w:rFonts w:ascii="Arial" w:eastAsia="Arial" w:hAnsi="Arial" w:cs="Arial"/>
          <w:color w:val="000000"/>
          <w:sz w:val="24"/>
          <w:szCs w:val="24"/>
        </w:rPr>
        <w:t xml:space="preserve"> &gt; NO</w:t>
      </w:r>
      <w:r>
        <w:rPr>
          <w:rFonts w:ascii="Cambria Math" w:eastAsia="Cambria Math" w:hAnsi="Cambria Math" w:cs="Cambria Math"/>
          <w:color w:val="000000"/>
          <w:sz w:val="24"/>
          <w:szCs w:val="24"/>
        </w:rPr>
        <w:t>₃⁻</w:t>
      </w:r>
      <w:r>
        <w:rPr>
          <w:rFonts w:ascii="Arial" w:eastAsia="Arial" w:hAnsi="Arial" w:cs="Arial"/>
          <w:color w:val="000000"/>
          <w:sz w:val="24"/>
          <w:szCs w:val="24"/>
        </w:rPr>
        <w:t xml:space="preserve"> &gt; F</w:t>
      </w:r>
      <w:r>
        <w:rPr>
          <w:rFonts w:ascii="Cambria Math" w:eastAsia="Cambria Math" w:hAnsi="Cambria Math" w:cs="Cambria Math"/>
          <w:color w:val="000000"/>
          <w:sz w:val="24"/>
          <w:szCs w:val="24"/>
        </w:rPr>
        <w:t>⁻</w:t>
      </w:r>
      <w:r>
        <w:rPr>
          <w:rFonts w:ascii="Arial" w:eastAsia="Arial" w:hAnsi="Arial" w:cs="Arial"/>
          <w:color w:val="000000"/>
          <w:sz w:val="24"/>
          <w:szCs w:val="24"/>
        </w:rPr>
        <w:t xml:space="preserve"> dominates anion chemistry.  Chloride (Cl</w:t>
      </w:r>
      <w:r>
        <w:rPr>
          <w:rFonts w:ascii="Cambria Math" w:eastAsia="Cambria Math" w:hAnsi="Cambria Math" w:cs="Cambria Math"/>
          <w:color w:val="000000"/>
          <w:sz w:val="24"/>
          <w:szCs w:val="24"/>
        </w:rPr>
        <w:t>⁻</w:t>
      </w:r>
      <w:r>
        <w:rPr>
          <w:rFonts w:ascii="Arial" w:eastAsia="Arial" w:hAnsi="Arial" w:cs="Arial"/>
          <w:color w:val="000000"/>
          <w:sz w:val="24"/>
          <w:szCs w:val="24"/>
        </w:rPr>
        <w:t xml:space="preserve">) is much higher than the tolerance of 300–600 mg/L, with an average of </w:t>
      </w:r>
      <w:r>
        <w:rPr>
          <w:rFonts w:ascii="Arial" w:eastAsia="Arial" w:hAnsi="Arial" w:cs="Arial"/>
          <w:color w:val="000000"/>
          <w:sz w:val="24"/>
          <w:szCs w:val="24"/>
        </w:rPr>
        <w:t>822.68 mg/L (range 34.99–2329.28 mg/L). This suggests that salinity enrichment is caused by anthropogenic return flows, evaporation, and halite dissolution.   Higher sulphate (SO</w:t>
      </w:r>
      <w:r>
        <w:rPr>
          <w:rFonts w:ascii="Cambria Math" w:eastAsia="Cambria Math" w:hAnsi="Cambria Math" w:cs="Cambria Math"/>
          <w:color w:val="000000"/>
          <w:sz w:val="24"/>
          <w:szCs w:val="24"/>
        </w:rPr>
        <w:t>₄</w:t>
      </w:r>
      <w:r>
        <w:rPr>
          <w:rFonts w:ascii="Arial" w:eastAsia="Arial" w:hAnsi="Arial" w:cs="Arial"/>
          <w:color w:val="000000"/>
          <w:sz w:val="24"/>
          <w:szCs w:val="24"/>
        </w:rPr>
        <w:t>²</w:t>
      </w:r>
      <w:r>
        <w:rPr>
          <w:rFonts w:ascii="Cambria Math" w:eastAsia="Cambria Math" w:hAnsi="Cambria Math" w:cs="Cambria Math"/>
          <w:color w:val="000000"/>
          <w:sz w:val="24"/>
          <w:szCs w:val="24"/>
        </w:rPr>
        <w:t>⁻</w:t>
      </w:r>
      <w:r>
        <w:rPr>
          <w:rFonts w:ascii="Arial" w:eastAsia="Arial" w:hAnsi="Arial" w:cs="Arial"/>
          <w:color w:val="000000"/>
          <w:sz w:val="24"/>
          <w:szCs w:val="24"/>
        </w:rPr>
        <w:t>) concentrations may taste bitter and have a slight laxative effect.  The d</w:t>
      </w:r>
      <w:r>
        <w:rPr>
          <w:rFonts w:ascii="Arial" w:eastAsia="Arial" w:hAnsi="Arial" w:cs="Arial"/>
          <w:color w:val="000000"/>
          <w:sz w:val="24"/>
          <w:szCs w:val="24"/>
        </w:rPr>
        <w:t>issolution of gypsum/anhydrite and industrial/agricultural inputs are most likely the causes of the range of sulphate levels, which range from 10.01 to 493.22 mg/L (mean 172.45 mg/L).   Bicarbonate (HCO</w:t>
      </w:r>
      <w:r>
        <w:rPr>
          <w:rFonts w:ascii="Cambria Math" w:eastAsia="Cambria Math" w:hAnsi="Cambria Math" w:cs="Cambria Math"/>
          <w:color w:val="000000"/>
          <w:sz w:val="24"/>
          <w:szCs w:val="24"/>
        </w:rPr>
        <w:t>₃⁻</w:t>
      </w:r>
      <w:r>
        <w:rPr>
          <w:rFonts w:ascii="Arial" w:eastAsia="Arial" w:hAnsi="Arial" w:cs="Arial"/>
          <w:color w:val="000000"/>
          <w:sz w:val="24"/>
          <w:szCs w:val="24"/>
        </w:rPr>
        <w:t>) and carbonate (CO</w:t>
      </w:r>
      <w:r>
        <w:rPr>
          <w:rFonts w:ascii="Cambria Math" w:eastAsia="Cambria Math" w:hAnsi="Cambria Math" w:cs="Cambria Math"/>
          <w:color w:val="000000"/>
          <w:sz w:val="24"/>
          <w:szCs w:val="24"/>
        </w:rPr>
        <w:t>₃</w:t>
      </w:r>
      <w:r>
        <w:rPr>
          <w:rFonts w:ascii="Arial" w:eastAsia="Arial" w:hAnsi="Arial" w:cs="Arial"/>
          <w:color w:val="000000"/>
          <w:sz w:val="24"/>
          <w:szCs w:val="24"/>
        </w:rPr>
        <w:t>²</w:t>
      </w:r>
      <w:r>
        <w:rPr>
          <w:rFonts w:ascii="Cambria Math" w:eastAsia="Cambria Math" w:hAnsi="Cambria Math" w:cs="Cambria Math"/>
          <w:color w:val="000000"/>
          <w:sz w:val="24"/>
          <w:szCs w:val="24"/>
        </w:rPr>
        <w:t>⁻</w:t>
      </w:r>
      <w:r>
        <w:rPr>
          <w:rFonts w:ascii="Arial" w:eastAsia="Arial" w:hAnsi="Arial" w:cs="Arial"/>
          <w:color w:val="000000"/>
          <w:sz w:val="24"/>
          <w:szCs w:val="24"/>
        </w:rPr>
        <w:t>), which represent carbonate l</w:t>
      </w:r>
      <w:r>
        <w:rPr>
          <w:rFonts w:ascii="Arial" w:eastAsia="Arial" w:hAnsi="Arial" w:cs="Arial"/>
          <w:color w:val="000000"/>
          <w:sz w:val="24"/>
          <w:szCs w:val="24"/>
        </w:rPr>
        <w:t>ithology, contribute to alkalinity and elevated pH levels. Their respective concentrations range from 0 to 400 mg/L (mean 201.68 mg/L) and 30 to 300 mg/L. There is a possible sodium carbonate hazard in irrigation.  Localised exceedances above the 45 mg/L l</w:t>
      </w:r>
      <w:r>
        <w:rPr>
          <w:rFonts w:ascii="Arial" w:eastAsia="Arial" w:hAnsi="Arial" w:cs="Arial"/>
          <w:color w:val="000000"/>
          <w:sz w:val="24"/>
          <w:szCs w:val="24"/>
        </w:rPr>
        <w:t>imit, caused by sewage, animal waste, or agricultural runoff, can result in health risks, such as infant methemoglobinemia. Nitrate (NO</w:t>
      </w:r>
      <w:r>
        <w:rPr>
          <w:rFonts w:ascii="Cambria Math" w:eastAsia="Cambria Math" w:hAnsi="Cambria Math" w:cs="Cambria Math"/>
          <w:color w:val="000000"/>
          <w:sz w:val="24"/>
          <w:szCs w:val="24"/>
        </w:rPr>
        <w:t>₃⁻</w:t>
      </w:r>
      <w:r>
        <w:rPr>
          <w:rFonts w:ascii="Arial" w:eastAsia="Arial" w:hAnsi="Arial" w:cs="Arial"/>
          <w:color w:val="000000"/>
          <w:sz w:val="24"/>
          <w:szCs w:val="24"/>
        </w:rPr>
        <w:t>) ranges from 0.22 to 67.55 mg/L (mean 5.27 mg/L).  Fluoride (F</w:t>
      </w:r>
      <w:r>
        <w:rPr>
          <w:rFonts w:ascii="Cambria Math" w:eastAsia="Cambria Math" w:hAnsi="Cambria Math" w:cs="Cambria Math"/>
          <w:color w:val="000000"/>
          <w:sz w:val="24"/>
          <w:szCs w:val="24"/>
        </w:rPr>
        <w:t>⁻</w:t>
      </w:r>
      <w:r>
        <w:rPr>
          <w:rFonts w:ascii="Arial" w:eastAsia="Arial" w:hAnsi="Arial" w:cs="Arial"/>
          <w:color w:val="000000"/>
          <w:sz w:val="24"/>
          <w:szCs w:val="24"/>
        </w:rPr>
        <w:t xml:space="preserve">) is mostly within the </w:t>
      </w:r>
      <w:r>
        <w:rPr>
          <w:rFonts w:ascii="Arial" w:eastAsia="Arial" w:hAnsi="Arial" w:cs="Arial"/>
          <w:color w:val="000000"/>
          <w:sz w:val="24"/>
          <w:szCs w:val="24"/>
        </w:rPr>
        <w:lastRenderedPageBreak/>
        <w:t>1.0–1.5 mg/L limit, with an aver</w:t>
      </w:r>
      <w:r>
        <w:rPr>
          <w:rFonts w:ascii="Arial" w:eastAsia="Arial" w:hAnsi="Arial" w:cs="Arial"/>
          <w:color w:val="000000"/>
          <w:sz w:val="24"/>
          <w:szCs w:val="24"/>
        </w:rPr>
        <w:t>age of 1.02 mg/L (range 0.12–2.15 mg/L). However, maximum values indicate that long-term consumption of fluoride can lead to fluorosis, which is exacerbated by an alkaline pH and prolonged residence time. High salinity, hardness, and elevated chloride–carb</w:t>
      </w:r>
      <w:r>
        <w:rPr>
          <w:rFonts w:ascii="Arial" w:eastAsia="Arial" w:hAnsi="Arial" w:cs="Arial"/>
          <w:color w:val="000000"/>
          <w:sz w:val="24"/>
          <w:szCs w:val="24"/>
        </w:rPr>
        <w:t xml:space="preserve">onate levels, along with sporadic enrichment in nitrate and fluoride, are characteristics of groundwater in the </w:t>
      </w:r>
      <w:proofErr w:type="spellStart"/>
      <w:r>
        <w:rPr>
          <w:rFonts w:ascii="Arial" w:eastAsia="Arial" w:hAnsi="Arial" w:cs="Arial"/>
          <w:color w:val="000000"/>
          <w:sz w:val="24"/>
          <w:szCs w:val="24"/>
        </w:rPr>
        <w:t>Banaskantha</w:t>
      </w:r>
      <w:proofErr w:type="spellEnd"/>
      <w:r>
        <w:rPr>
          <w:rFonts w:ascii="Arial" w:eastAsia="Arial" w:hAnsi="Arial" w:cs="Arial"/>
          <w:color w:val="000000"/>
          <w:sz w:val="24"/>
          <w:szCs w:val="24"/>
        </w:rPr>
        <w:t xml:space="preserve"> vegetation zone.  It is predominantly of the chloride-bicarbonate type and exhibits a mixed Ca-Mg-Na dominance, which renders it mos</w:t>
      </w:r>
      <w:r>
        <w:rPr>
          <w:rFonts w:ascii="Arial" w:eastAsia="Arial" w:hAnsi="Arial" w:cs="Arial"/>
          <w:color w:val="000000"/>
          <w:sz w:val="24"/>
          <w:szCs w:val="24"/>
        </w:rPr>
        <w:t>tly unfit for drinking and only partially suitable for irrigation if not properly managed.</w:t>
      </w:r>
    </w:p>
    <w:p w14:paraId="7202976A" w14:textId="77777777" w:rsidR="004609F0" w:rsidRDefault="00BC7B8C">
      <w:pPr>
        <w:spacing w:before="240" w:line="240" w:lineRule="auto"/>
        <w:jc w:val="both"/>
        <w:rPr>
          <w:rFonts w:ascii="Arial" w:eastAsia="Arial" w:hAnsi="Arial" w:cs="Arial"/>
          <w:color w:val="000000"/>
          <w:sz w:val="24"/>
          <w:szCs w:val="24"/>
        </w:rPr>
      </w:pPr>
      <w:r>
        <w:rPr>
          <w:rFonts w:ascii="Arial" w:eastAsia="Arial" w:hAnsi="Arial" w:cs="Arial"/>
          <w:b/>
          <w:color w:val="000000"/>
          <w:sz w:val="24"/>
          <w:szCs w:val="24"/>
        </w:rPr>
        <w:t>5.2 Irrigation Indices for Suitability of Groundwater</w:t>
      </w:r>
      <w:r>
        <w:rPr>
          <w:rFonts w:ascii="Arial" w:eastAsia="Arial" w:hAnsi="Arial" w:cs="Arial"/>
          <w:color w:val="000000"/>
          <w:sz w:val="24"/>
          <w:szCs w:val="24"/>
        </w:rPr>
        <w:t xml:space="preserve"> </w:t>
      </w:r>
    </w:p>
    <w:p w14:paraId="6877BC36" w14:textId="77777777" w:rsidR="004609F0" w:rsidRDefault="00BC7B8C">
      <w:pPr>
        <w:spacing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Indicators of irrigation water quality are crucial instruments for determining whether surface or groundwater </w:t>
      </w:r>
      <w:r>
        <w:rPr>
          <w:rFonts w:ascii="Arial" w:eastAsia="Arial" w:hAnsi="Arial" w:cs="Arial"/>
          <w:color w:val="000000"/>
          <w:sz w:val="24"/>
          <w:szCs w:val="24"/>
        </w:rPr>
        <w:t xml:space="preserve">is fit for agricultural use. To evaluate possible risks like soil </w:t>
      </w:r>
      <w:proofErr w:type="spellStart"/>
      <w:r>
        <w:rPr>
          <w:rFonts w:ascii="Arial" w:eastAsia="Arial" w:hAnsi="Arial" w:cs="Arial"/>
          <w:color w:val="000000"/>
          <w:sz w:val="24"/>
          <w:szCs w:val="24"/>
        </w:rPr>
        <w:t>sodicity</w:t>
      </w:r>
      <w:proofErr w:type="spellEnd"/>
      <w:r>
        <w:rPr>
          <w:rFonts w:ascii="Arial" w:eastAsia="Arial" w:hAnsi="Arial" w:cs="Arial"/>
          <w:color w:val="000000"/>
          <w:sz w:val="24"/>
          <w:szCs w:val="24"/>
        </w:rPr>
        <w:t xml:space="preserve">, salinity, permeability reduction, and crop toxicity, these indices are computed using the concentrations of essential cations and anions </w:t>
      </w:r>
      <w:r>
        <w:rPr>
          <w:rFonts w:ascii="Arial" w:eastAsia="Arial" w:hAnsi="Arial" w:cs="Arial"/>
          <w:sz w:val="24"/>
          <w:szCs w:val="24"/>
        </w:rPr>
        <w:t>(Rawat et al., 2018)</w:t>
      </w:r>
      <w:r>
        <w:rPr>
          <w:rFonts w:ascii="Arial" w:eastAsia="Arial" w:hAnsi="Arial" w:cs="Arial"/>
          <w:color w:val="000000"/>
          <w:sz w:val="24"/>
          <w:szCs w:val="24"/>
        </w:rPr>
        <w:t>. The suitability of gr</w:t>
      </w:r>
      <w:r>
        <w:rPr>
          <w:rFonts w:ascii="Arial" w:eastAsia="Arial" w:hAnsi="Arial" w:cs="Arial"/>
          <w:color w:val="000000"/>
          <w:sz w:val="24"/>
          <w:szCs w:val="24"/>
        </w:rPr>
        <w:t xml:space="preserve">oundwater for agricultural use was thoroughly assessed in this study using ten widely employed indices of irrigation water quality </w:t>
      </w:r>
      <w:r>
        <w:rPr>
          <w:rFonts w:ascii="Arial" w:eastAsia="Arial" w:hAnsi="Arial" w:cs="Arial"/>
          <w:sz w:val="24"/>
          <w:szCs w:val="24"/>
        </w:rPr>
        <w:t>(Ali et al., 2024, 2025)</w:t>
      </w:r>
      <w:r>
        <w:rPr>
          <w:rFonts w:ascii="Arial" w:eastAsia="Arial" w:hAnsi="Arial" w:cs="Arial"/>
          <w:color w:val="000000"/>
          <w:sz w:val="24"/>
          <w:szCs w:val="24"/>
        </w:rPr>
        <w:t xml:space="preserve">.  </w:t>
      </w:r>
    </w:p>
    <w:p w14:paraId="547C4373" w14:textId="77777777" w:rsidR="004609F0" w:rsidRDefault="00BC7B8C">
      <w:pPr>
        <w:spacing w:line="240" w:lineRule="auto"/>
        <w:jc w:val="both"/>
        <w:rPr>
          <w:rFonts w:ascii="Arial" w:eastAsia="Arial" w:hAnsi="Arial" w:cs="Arial"/>
          <w:b/>
          <w:color w:val="000000"/>
          <w:sz w:val="24"/>
          <w:szCs w:val="24"/>
        </w:rPr>
      </w:pPr>
      <w:r>
        <w:rPr>
          <w:rFonts w:ascii="Arial" w:eastAsia="Arial" w:hAnsi="Arial" w:cs="Arial"/>
          <w:b/>
          <w:color w:val="000000"/>
          <w:sz w:val="24"/>
          <w:szCs w:val="24"/>
        </w:rPr>
        <w:t>5.2.1 Sodium adsorption ratio (SAR)</w:t>
      </w:r>
    </w:p>
    <w:p w14:paraId="3E3478D5" w14:textId="77777777" w:rsidR="004609F0" w:rsidRDefault="00BC7B8C">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The equilibrium of sodium ions in irrigation water concerning calcium and magnesium is shown by the Sodium Adsorption Ratio (SAR) </w:t>
      </w:r>
      <w:r>
        <w:rPr>
          <w:rFonts w:ascii="Arial" w:eastAsia="Arial" w:hAnsi="Arial" w:cs="Arial"/>
          <w:b/>
          <w:color w:val="000000"/>
          <w:sz w:val="24"/>
          <w:szCs w:val="24"/>
        </w:rPr>
        <w:t>(Eq. (2))</w:t>
      </w:r>
      <w:r>
        <w:rPr>
          <w:rFonts w:ascii="Arial" w:eastAsia="Arial" w:hAnsi="Arial" w:cs="Arial"/>
          <w:color w:val="000000"/>
          <w:sz w:val="24"/>
          <w:szCs w:val="24"/>
        </w:rPr>
        <w:t>.  It is used to evaluate the possibility of sodium accumulation in soils, which can lower soil permeability and wate</w:t>
      </w:r>
      <w:r>
        <w:rPr>
          <w:rFonts w:ascii="Arial" w:eastAsia="Arial" w:hAnsi="Arial" w:cs="Arial"/>
          <w:color w:val="000000"/>
          <w:sz w:val="24"/>
          <w:szCs w:val="24"/>
        </w:rPr>
        <w:t xml:space="preserve">r infiltration </w:t>
      </w:r>
      <w:r>
        <w:rPr>
          <w:rFonts w:ascii="Arial" w:eastAsia="Arial" w:hAnsi="Arial" w:cs="Arial"/>
          <w:sz w:val="24"/>
          <w:szCs w:val="24"/>
        </w:rPr>
        <w:t>(Rawat et al., 2018)</w:t>
      </w:r>
      <w:r>
        <w:rPr>
          <w:rFonts w:ascii="Arial" w:eastAsia="Arial" w:hAnsi="Arial" w:cs="Arial"/>
          <w:color w:val="000000"/>
          <w:sz w:val="24"/>
          <w:szCs w:val="24"/>
        </w:rPr>
        <w:t xml:space="preserve">.  </w:t>
      </w:r>
    </w:p>
    <w:p w14:paraId="7E0C45FD" w14:textId="77777777" w:rsidR="004609F0" w:rsidRDefault="00BC7B8C">
      <w:pPr>
        <w:spacing w:before="240" w:after="0" w:line="240" w:lineRule="auto"/>
        <w:jc w:val="both"/>
        <w:rPr>
          <w:rFonts w:ascii="Arial" w:eastAsia="Arial" w:hAnsi="Arial" w:cs="Arial"/>
          <w:sz w:val="24"/>
          <w:szCs w:val="24"/>
        </w:rPr>
      </w:pPr>
      <m:oMath>
        <m:r>
          <w:rPr>
            <w:rFonts w:ascii="Cambria Math" w:eastAsia="Cambria Math" w:hAnsi="Cambria Math" w:cs="Cambria Math"/>
            <w:sz w:val="24"/>
            <w:szCs w:val="24"/>
          </w:rPr>
          <m:t>SAR</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m:t>
                </m:r>
              </m:sup>
            </m:sSup>
          </m:num>
          <m:den>
            <m:rad>
              <m:radPr>
                <m:degHide m:val="1"/>
                <m:ctrlPr>
                  <w:rPr>
                    <w:rFonts w:ascii="Cambria Math" w:eastAsia="Cambria Math" w:hAnsi="Cambria Math" w:cs="Cambria Math"/>
                    <w:sz w:val="24"/>
                    <w:szCs w:val="24"/>
                  </w:rPr>
                </m:ctrlPr>
              </m:radPr>
              <m:deg/>
              <m:e>
                <m:f>
                  <m:fPr>
                    <m:ctrlPr>
                      <w:rPr>
                        <w:rFonts w:ascii="Cambria Math" w:eastAsia="Cambria Math" w:hAnsi="Cambria Math" w:cs="Cambria Math"/>
                        <w:sz w:val="24"/>
                        <w:szCs w:val="24"/>
                      </w:rPr>
                    </m:ctrlPr>
                  </m:fPr>
                  <m:num>
                    <m:r>
                      <w:rPr>
                        <w:rFonts w:ascii="Cambria Math" w:eastAsia="Cambria Math" w:hAnsi="Cambria Math" w:cs="Cambria Math"/>
                        <w:sz w:val="24"/>
                        <w:szCs w:val="24"/>
                      </w:rPr>
                      <m:t>C</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r>
                      <w:rPr>
                        <w:rFonts w:ascii="Cambria Math" w:eastAsia="Cambria Math" w:hAnsi="Cambria Math" w:cs="Cambria Math"/>
                        <w:sz w:val="24"/>
                        <w:szCs w:val="24"/>
                      </w:rPr>
                      <m:t>M</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g</m:t>
                        </m:r>
                      </m:e>
                      <m:sup>
                        <m:r>
                          <w:rPr>
                            <w:rFonts w:ascii="Cambria Math" w:eastAsia="Cambria Math" w:hAnsi="Cambria Math" w:cs="Cambria Math"/>
                            <w:sz w:val="24"/>
                            <w:szCs w:val="24"/>
                          </w:rPr>
                          <m:t>2+</m:t>
                        </m:r>
                      </m:sup>
                    </m:sSup>
                  </m:num>
                  <m:den>
                    <m:r>
                      <w:rPr>
                        <w:rFonts w:ascii="Cambria Math" w:eastAsia="Cambria Math" w:hAnsi="Cambria Math" w:cs="Cambria Math"/>
                        <w:sz w:val="24"/>
                        <w:szCs w:val="24"/>
                      </w:rPr>
                      <m:t>2</m:t>
                    </m:r>
                  </m:den>
                </m:f>
              </m:e>
            </m:rad>
          </m:den>
        </m:f>
      </m:oMath>
      <w:r>
        <w:rPr>
          <w:rFonts w:ascii="Arial" w:eastAsia="Arial" w:hAnsi="Arial" w:cs="Arial"/>
          <w:sz w:val="24"/>
          <w:szCs w:val="24"/>
        </w:rPr>
        <w:t xml:space="preserve">                                                                                                                                          (2)</w:t>
      </w:r>
    </w:p>
    <w:p w14:paraId="37E5E71C" w14:textId="77777777" w:rsidR="004609F0" w:rsidRDefault="00BC7B8C">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where Na</w:t>
      </w:r>
      <w:r>
        <w:rPr>
          <w:rFonts w:ascii="Arial" w:eastAsia="Arial" w:hAnsi="Arial" w:cs="Arial"/>
          <w:color w:val="000000"/>
          <w:sz w:val="24"/>
          <w:szCs w:val="24"/>
          <w:vertAlign w:val="superscript"/>
        </w:rPr>
        <w:t>+</w:t>
      </w:r>
      <w:r>
        <w:rPr>
          <w:rFonts w:ascii="Arial" w:eastAsia="Arial" w:hAnsi="Arial" w:cs="Arial"/>
          <w:color w:val="000000"/>
          <w:sz w:val="24"/>
          <w:szCs w:val="24"/>
        </w:rPr>
        <w:t>, Ca</w:t>
      </w:r>
      <w:r>
        <w:rPr>
          <w:rFonts w:ascii="Arial" w:eastAsia="Arial" w:hAnsi="Arial" w:cs="Arial"/>
          <w:color w:val="000000"/>
          <w:sz w:val="24"/>
          <w:szCs w:val="24"/>
          <w:vertAlign w:val="superscript"/>
        </w:rPr>
        <w:t>2+</w:t>
      </w:r>
      <w:r>
        <w:rPr>
          <w:rFonts w:ascii="Arial" w:eastAsia="Arial" w:hAnsi="Arial" w:cs="Arial"/>
          <w:color w:val="000000"/>
          <w:sz w:val="24"/>
          <w:szCs w:val="24"/>
        </w:rPr>
        <w:t xml:space="preserve"> and Mg</w:t>
      </w:r>
      <w:r>
        <w:rPr>
          <w:rFonts w:ascii="Arial" w:eastAsia="Arial" w:hAnsi="Arial" w:cs="Arial"/>
          <w:color w:val="000000"/>
          <w:sz w:val="24"/>
          <w:szCs w:val="24"/>
          <w:vertAlign w:val="superscript"/>
        </w:rPr>
        <w:t>2+</w:t>
      </w:r>
      <w:r>
        <w:rPr>
          <w:rFonts w:ascii="Arial" w:eastAsia="Arial" w:hAnsi="Arial" w:cs="Arial"/>
          <w:color w:val="000000"/>
          <w:sz w:val="24"/>
          <w:szCs w:val="24"/>
        </w:rPr>
        <w:t xml:space="preserve"> are in </w:t>
      </w:r>
      <w:proofErr w:type="spellStart"/>
      <w:r>
        <w:rPr>
          <w:rFonts w:ascii="Arial" w:eastAsia="Arial" w:hAnsi="Arial" w:cs="Arial"/>
          <w:color w:val="000000"/>
          <w:sz w:val="24"/>
          <w:szCs w:val="24"/>
        </w:rPr>
        <w:t>meq</w:t>
      </w:r>
      <w:proofErr w:type="spellEnd"/>
      <w:r>
        <w:rPr>
          <w:rFonts w:ascii="Arial" w:eastAsia="Arial" w:hAnsi="Arial" w:cs="Arial"/>
          <w:color w:val="000000"/>
          <w:sz w:val="24"/>
          <w:szCs w:val="24"/>
        </w:rPr>
        <w:t>/l.</w:t>
      </w:r>
    </w:p>
    <w:p w14:paraId="09DFDBBE" w14:textId="77777777" w:rsidR="004609F0" w:rsidRDefault="00BC7B8C">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Excellent (SAR &lt; 10), good (10–18), doubtful (18–26), and unsuitable (&gt; 26) are the classifications for irrigation water.  Lower SAR values are ideal for preserving soil health and promoting sustainable irrigation, as high values impede water movement. Nea</w:t>
      </w:r>
      <w:r>
        <w:rPr>
          <w:rFonts w:ascii="Arial" w:eastAsia="Arial" w:hAnsi="Arial" w:cs="Arial"/>
          <w:color w:val="000000"/>
          <w:sz w:val="24"/>
          <w:szCs w:val="24"/>
        </w:rPr>
        <w:t>rly all of the 207 water samples (206 samples, or 99.5% of the total) fall into the excellent category (&lt;10).  There are no samples in the good (10–18) or unsuitable (&gt;26) categories, and only one sample, V2 (SAR = 23.91), falls into the doubtful range (18</w:t>
      </w:r>
      <w:r>
        <w:rPr>
          <w:rFonts w:ascii="Arial" w:eastAsia="Arial" w:hAnsi="Arial" w:cs="Arial"/>
          <w:color w:val="000000"/>
          <w:sz w:val="24"/>
          <w:szCs w:val="24"/>
        </w:rPr>
        <w:t xml:space="preserve">–26) </w:t>
      </w:r>
      <w:r>
        <w:rPr>
          <w:rFonts w:ascii="Arial" w:eastAsia="Arial" w:hAnsi="Arial" w:cs="Arial"/>
          <w:b/>
          <w:color w:val="000000"/>
          <w:sz w:val="24"/>
          <w:szCs w:val="24"/>
        </w:rPr>
        <w:t>(Table 3)</w:t>
      </w:r>
      <w:r>
        <w:rPr>
          <w:rFonts w:ascii="Arial" w:eastAsia="Arial" w:hAnsi="Arial" w:cs="Arial"/>
          <w:color w:val="000000"/>
          <w:sz w:val="24"/>
          <w:szCs w:val="24"/>
        </w:rPr>
        <w:t xml:space="preserve">.  A very low sodium hazard is indicated by the SAR values (0.07–23.91; mean 1.24, median 0.96), which also suggest that irrigation water is generally safe, with little chance of </w:t>
      </w:r>
      <w:proofErr w:type="spellStart"/>
      <w:r>
        <w:rPr>
          <w:rFonts w:ascii="Arial" w:eastAsia="Arial" w:hAnsi="Arial" w:cs="Arial"/>
          <w:color w:val="000000"/>
          <w:sz w:val="24"/>
          <w:szCs w:val="24"/>
        </w:rPr>
        <w:t>sodicity</w:t>
      </w:r>
      <w:proofErr w:type="spellEnd"/>
      <w:r>
        <w:rPr>
          <w:rFonts w:ascii="Arial" w:eastAsia="Arial" w:hAnsi="Arial" w:cs="Arial"/>
          <w:color w:val="000000"/>
          <w:sz w:val="24"/>
          <w:szCs w:val="24"/>
        </w:rPr>
        <w:t xml:space="preserve"> and good soil permeability.</w:t>
      </w:r>
    </w:p>
    <w:p w14:paraId="6BFDAED5" w14:textId="77777777" w:rsidR="004609F0" w:rsidRDefault="00BC7B8C">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5.2.2 Magnesium adsorption</w:t>
      </w:r>
      <w:r>
        <w:rPr>
          <w:rFonts w:ascii="Arial" w:eastAsia="Arial" w:hAnsi="Arial" w:cs="Arial"/>
          <w:b/>
          <w:color w:val="000000"/>
          <w:sz w:val="24"/>
          <w:szCs w:val="24"/>
        </w:rPr>
        <w:t xml:space="preserve"> ratio (MAR)</w:t>
      </w:r>
    </w:p>
    <w:p w14:paraId="7E292506" w14:textId="77777777" w:rsidR="004609F0" w:rsidRDefault="00BC7B8C">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Magnesium (Mg²</w:t>
      </w:r>
      <w:r>
        <w:rPr>
          <w:rFonts w:ascii="Cambria Math" w:eastAsia="Cambria Math" w:hAnsi="Cambria Math" w:cs="Cambria Math"/>
          <w:color w:val="000000"/>
          <w:sz w:val="24"/>
          <w:szCs w:val="24"/>
        </w:rPr>
        <w:t>⁺</w:t>
      </w:r>
      <w:r>
        <w:rPr>
          <w:rFonts w:ascii="Arial" w:eastAsia="Arial" w:hAnsi="Arial" w:cs="Arial"/>
          <w:color w:val="000000"/>
          <w:sz w:val="24"/>
          <w:szCs w:val="24"/>
        </w:rPr>
        <w:t>) and calcium (Ca²</w:t>
      </w:r>
      <w:r>
        <w:rPr>
          <w:rFonts w:ascii="Cambria Math" w:eastAsia="Cambria Math" w:hAnsi="Cambria Math" w:cs="Cambria Math"/>
          <w:color w:val="000000"/>
          <w:sz w:val="24"/>
          <w:szCs w:val="24"/>
        </w:rPr>
        <w:t>⁺</w:t>
      </w:r>
      <w:r>
        <w:rPr>
          <w:rFonts w:ascii="Arial" w:eastAsia="Arial" w:hAnsi="Arial" w:cs="Arial"/>
          <w:color w:val="000000"/>
          <w:sz w:val="24"/>
          <w:szCs w:val="24"/>
        </w:rPr>
        <w:t xml:space="preserve">) in groundwater typically balance one another, supporting soil structure and acting as vital crop nutrients, but too much of either can be detrimental </w:t>
      </w:r>
      <w:r>
        <w:rPr>
          <w:rFonts w:ascii="Arial" w:eastAsia="Arial" w:hAnsi="Arial" w:cs="Arial"/>
          <w:sz w:val="24"/>
          <w:szCs w:val="24"/>
        </w:rPr>
        <w:t>(Al-</w:t>
      </w:r>
      <w:proofErr w:type="spellStart"/>
      <w:r>
        <w:rPr>
          <w:rFonts w:ascii="Arial" w:eastAsia="Arial" w:hAnsi="Arial" w:cs="Arial"/>
          <w:sz w:val="24"/>
          <w:szCs w:val="24"/>
        </w:rPr>
        <w:t>Shammiri</w:t>
      </w:r>
      <w:proofErr w:type="spellEnd"/>
      <w:r>
        <w:rPr>
          <w:rFonts w:ascii="Arial" w:eastAsia="Arial" w:hAnsi="Arial" w:cs="Arial"/>
          <w:sz w:val="24"/>
          <w:szCs w:val="24"/>
        </w:rPr>
        <w:t xml:space="preserve"> et al., 2005)</w:t>
      </w:r>
      <w:r>
        <w:rPr>
          <w:rFonts w:ascii="Arial" w:eastAsia="Arial" w:hAnsi="Arial" w:cs="Arial"/>
          <w:color w:val="000000"/>
          <w:sz w:val="24"/>
          <w:szCs w:val="24"/>
        </w:rPr>
        <w:t>.  Elevated Ca</w:t>
      </w:r>
      <w:r>
        <w:rPr>
          <w:rFonts w:ascii="Arial" w:eastAsia="Arial" w:hAnsi="Arial" w:cs="Arial"/>
          <w:color w:val="000000"/>
          <w:sz w:val="24"/>
          <w:szCs w:val="24"/>
          <w:vertAlign w:val="superscript"/>
        </w:rPr>
        <w:t>2+</w:t>
      </w:r>
      <w:r>
        <w:rPr>
          <w:rFonts w:ascii="Arial" w:eastAsia="Arial" w:hAnsi="Arial" w:cs="Arial"/>
          <w:color w:val="000000"/>
          <w:sz w:val="24"/>
          <w:szCs w:val="24"/>
        </w:rPr>
        <w:t xml:space="preserve"> and Mg</w:t>
      </w:r>
      <w:r>
        <w:rPr>
          <w:rFonts w:ascii="Arial" w:eastAsia="Arial" w:hAnsi="Arial" w:cs="Arial"/>
          <w:color w:val="000000"/>
          <w:sz w:val="24"/>
          <w:szCs w:val="24"/>
          <w:vertAlign w:val="superscript"/>
        </w:rPr>
        <w:t>2+</w:t>
      </w:r>
      <w:r>
        <w:rPr>
          <w:rFonts w:ascii="Arial" w:eastAsia="Arial" w:hAnsi="Arial" w:cs="Arial"/>
          <w:color w:val="000000"/>
          <w:sz w:val="24"/>
          <w:szCs w:val="24"/>
        </w:rPr>
        <w:t xml:space="preserve"> conce</w:t>
      </w:r>
      <w:r>
        <w:rPr>
          <w:rFonts w:ascii="Arial" w:eastAsia="Arial" w:hAnsi="Arial" w:cs="Arial"/>
          <w:color w:val="000000"/>
          <w:sz w:val="24"/>
          <w:szCs w:val="24"/>
        </w:rPr>
        <w:t>ntrations cause the soil pH to rise, resulting in saline conditions and decreased phosphorus availability.  In particular, excessive magnesium can cause soil quality to deteriorate by increasing alkalinity, which negatively impacts crop yield.  This risk i</w:t>
      </w:r>
      <w:r>
        <w:rPr>
          <w:rFonts w:ascii="Arial" w:eastAsia="Arial" w:hAnsi="Arial" w:cs="Arial"/>
          <w:color w:val="000000"/>
          <w:sz w:val="24"/>
          <w:szCs w:val="24"/>
        </w:rPr>
        <w:t xml:space="preserve">s frequently assessed using the Magnesium Hazard (MH) index </w:t>
      </w:r>
      <w:r>
        <w:rPr>
          <w:rFonts w:ascii="Arial" w:eastAsia="Arial" w:hAnsi="Arial" w:cs="Arial"/>
          <w:b/>
          <w:color w:val="000000"/>
          <w:sz w:val="24"/>
          <w:szCs w:val="24"/>
        </w:rPr>
        <w:t>(Eq. (3))</w:t>
      </w:r>
      <w:r>
        <w:rPr>
          <w:rFonts w:ascii="Arial" w:eastAsia="Arial" w:hAnsi="Arial" w:cs="Arial"/>
          <w:color w:val="000000"/>
          <w:sz w:val="24"/>
          <w:szCs w:val="24"/>
        </w:rPr>
        <w:t xml:space="preserve">, where values higher than 50 are deemed inappropriate for irrigation </w:t>
      </w:r>
      <w:r>
        <w:rPr>
          <w:rFonts w:ascii="Arial" w:eastAsia="Arial" w:hAnsi="Arial" w:cs="Arial"/>
          <w:sz w:val="24"/>
          <w:szCs w:val="24"/>
        </w:rPr>
        <w:t>(</w:t>
      </w:r>
      <w:proofErr w:type="spellStart"/>
      <w:r>
        <w:rPr>
          <w:rFonts w:ascii="Arial" w:eastAsia="Arial" w:hAnsi="Arial" w:cs="Arial"/>
          <w:sz w:val="24"/>
          <w:szCs w:val="24"/>
        </w:rPr>
        <w:t>Gowd</w:t>
      </w:r>
      <w:proofErr w:type="spellEnd"/>
      <w:r>
        <w:rPr>
          <w:rFonts w:ascii="Arial" w:eastAsia="Arial" w:hAnsi="Arial" w:cs="Arial"/>
          <w:sz w:val="24"/>
          <w:szCs w:val="24"/>
        </w:rPr>
        <w:t>, 2005; Rawat et al., 2018)</w:t>
      </w:r>
      <w:r>
        <w:rPr>
          <w:rFonts w:ascii="Arial" w:eastAsia="Arial" w:hAnsi="Arial" w:cs="Arial"/>
          <w:color w:val="000000"/>
          <w:sz w:val="24"/>
          <w:szCs w:val="24"/>
        </w:rPr>
        <w:t>.</w:t>
      </w:r>
    </w:p>
    <w:p w14:paraId="0B7E5CEE" w14:textId="77777777" w:rsidR="004609F0" w:rsidRDefault="00BC7B8C">
      <w:pPr>
        <w:spacing w:before="240" w:line="240" w:lineRule="auto"/>
        <w:rPr>
          <w:rFonts w:ascii="Arial" w:eastAsia="Arial" w:hAnsi="Arial" w:cs="Arial"/>
          <w:sz w:val="24"/>
          <w:szCs w:val="24"/>
        </w:rPr>
      </w:pPr>
      <m:oMath>
        <m:r>
          <w:rPr>
            <w:rFonts w:ascii="Cambria Math" w:eastAsia="Cambria Math" w:hAnsi="Cambria Math" w:cs="Cambria Math"/>
            <w:sz w:val="24"/>
            <w:szCs w:val="24"/>
          </w:rPr>
          <m:t>MAR</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Mg</m:t>
                </m:r>
              </m:e>
              <m:sup>
                <m:r>
                  <w:rPr>
                    <w:rFonts w:ascii="Cambria Math" w:eastAsia="Cambria Math" w:hAnsi="Cambria Math" w:cs="Cambria Math"/>
                    <w:sz w:val="24"/>
                    <w:szCs w:val="24"/>
                  </w:rPr>
                  <m:t>+2</m:t>
                </m:r>
              </m:sup>
            </m:sSup>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Ca</m:t>
                </m:r>
              </m:e>
              <m:sup>
                <m:r>
                  <w:rPr>
                    <w:rFonts w:ascii="Cambria Math" w:eastAsia="Cambria Math" w:hAnsi="Cambria Math" w:cs="Cambria Math"/>
                    <w:sz w:val="24"/>
                    <w:szCs w:val="24"/>
                  </w:rPr>
                  <m:t>+2</m:t>
                </m:r>
              </m:sup>
            </m:sSup>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Mg</m:t>
                </m:r>
              </m:e>
              <m:sup>
                <m:r>
                  <w:rPr>
                    <w:rFonts w:ascii="Cambria Math" w:eastAsia="Cambria Math" w:hAnsi="Cambria Math" w:cs="Cambria Math"/>
                    <w:sz w:val="24"/>
                    <w:szCs w:val="24"/>
                  </w:rPr>
                  <m:t>+2</m:t>
                </m:r>
              </m:sup>
            </m:sSup>
          </m:den>
        </m:f>
        <m:r>
          <w:rPr>
            <w:rFonts w:ascii="Cambria Math" w:eastAsia="Cambria Math" w:hAnsi="Cambria Math" w:cs="Cambria Math"/>
            <w:sz w:val="24"/>
            <w:szCs w:val="24"/>
          </w:rPr>
          <m:t xml:space="preserve"> ×100</m:t>
        </m:r>
      </m:oMath>
      <w:r>
        <w:rPr>
          <w:rFonts w:ascii="Arial" w:eastAsia="Arial" w:hAnsi="Arial" w:cs="Arial"/>
          <w:sz w:val="24"/>
          <w:szCs w:val="24"/>
        </w:rPr>
        <w:t xml:space="preserve">                                                   </w:t>
      </w:r>
      <w:r>
        <w:rPr>
          <w:rFonts w:ascii="Arial" w:eastAsia="Arial" w:hAnsi="Arial" w:cs="Arial"/>
          <w:sz w:val="24"/>
          <w:szCs w:val="24"/>
        </w:rPr>
        <w:t xml:space="preserve">                                              (3)  </w:t>
      </w:r>
    </w:p>
    <w:p w14:paraId="09BFD2C8" w14:textId="77777777" w:rsidR="004609F0" w:rsidRDefault="00BC7B8C">
      <w:pPr>
        <w:spacing w:line="240" w:lineRule="auto"/>
        <w:jc w:val="both"/>
        <w:rPr>
          <w:rFonts w:ascii="Arial" w:eastAsia="Arial" w:hAnsi="Arial" w:cs="Arial"/>
          <w:sz w:val="24"/>
          <w:szCs w:val="24"/>
        </w:rPr>
      </w:pPr>
      <w:r>
        <w:rPr>
          <w:rFonts w:ascii="Arial" w:eastAsia="Arial" w:hAnsi="Arial" w:cs="Arial"/>
          <w:sz w:val="24"/>
          <w:szCs w:val="24"/>
        </w:rPr>
        <w:t xml:space="preserve">(all the ion concentrations are expressed in </w:t>
      </w:r>
      <w:proofErr w:type="spellStart"/>
      <w:r>
        <w:rPr>
          <w:rFonts w:ascii="Arial" w:eastAsia="Arial" w:hAnsi="Arial" w:cs="Arial"/>
          <w:sz w:val="24"/>
          <w:szCs w:val="24"/>
        </w:rPr>
        <w:t>meq</w:t>
      </w:r>
      <w:proofErr w:type="spellEnd"/>
      <w:r>
        <w:rPr>
          <w:rFonts w:ascii="Arial" w:eastAsia="Arial" w:hAnsi="Arial" w:cs="Arial"/>
          <w:sz w:val="24"/>
          <w:szCs w:val="24"/>
        </w:rPr>
        <w:t xml:space="preserve">/l). </w:t>
      </w:r>
    </w:p>
    <w:p w14:paraId="1F05FE9A" w14:textId="77777777" w:rsidR="004609F0" w:rsidRDefault="00BC7B8C">
      <w:pPr>
        <w:spacing w:line="240" w:lineRule="auto"/>
        <w:jc w:val="both"/>
        <w:rPr>
          <w:rFonts w:ascii="Arial" w:eastAsia="Arial" w:hAnsi="Arial" w:cs="Arial"/>
          <w:sz w:val="24"/>
          <w:szCs w:val="24"/>
        </w:rPr>
      </w:pPr>
      <w:r>
        <w:rPr>
          <w:rFonts w:ascii="Arial" w:eastAsia="Arial" w:hAnsi="Arial" w:cs="Arial"/>
          <w:sz w:val="24"/>
          <w:szCs w:val="24"/>
        </w:rPr>
        <w:lastRenderedPageBreak/>
        <w:t xml:space="preserve">In the majority of irrigation waters, magnesium predominates over calcium, as indicated by the Magnesium Adsorption Ratio (MAR) of the analysed water </w:t>
      </w:r>
      <w:r>
        <w:rPr>
          <w:rFonts w:ascii="Arial" w:eastAsia="Arial" w:hAnsi="Arial" w:cs="Arial"/>
          <w:sz w:val="24"/>
          <w:szCs w:val="24"/>
        </w:rPr>
        <w:t xml:space="preserve">samples, which shows that only about 27% of samples fall in the safe range (&lt;50), and 73% of samples fall under the unsuitable category </w:t>
      </w:r>
      <w:r>
        <w:rPr>
          <w:rFonts w:ascii="Arial" w:eastAsia="Arial" w:hAnsi="Arial" w:cs="Arial"/>
          <w:b/>
          <w:sz w:val="24"/>
          <w:szCs w:val="24"/>
        </w:rPr>
        <w:t>(Table 3)</w:t>
      </w:r>
      <w:r>
        <w:rPr>
          <w:rFonts w:ascii="Arial" w:eastAsia="Arial" w:hAnsi="Arial" w:cs="Arial"/>
          <w:sz w:val="24"/>
          <w:szCs w:val="24"/>
        </w:rPr>
        <w:t xml:space="preserve">.  Since excessive magnesium can cause poor soil aggregation and decreased permeability compared to </w:t>
      </w:r>
      <w:r>
        <w:rPr>
          <w:rFonts w:ascii="Arial" w:eastAsia="Arial" w:hAnsi="Arial" w:cs="Arial"/>
          <w:sz w:val="24"/>
          <w:szCs w:val="24"/>
        </w:rPr>
        <w:t>calcium-rich waters, such conditions can harm soil quality.  Practically speaking, this indicates that while the sodium hazard (SAR) was found to be low for most samples, the magnesium hazard is significantly higher. This can still limit the amount of wate</w:t>
      </w:r>
      <w:r>
        <w:rPr>
          <w:rFonts w:ascii="Arial" w:eastAsia="Arial" w:hAnsi="Arial" w:cs="Arial"/>
          <w:sz w:val="24"/>
          <w:szCs w:val="24"/>
        </w:rPr>
        <w:t>r that is suitable for irrigation in sensitive soils.  Soil structure may be weakened by prolonged use of high-MAR water, becoming less permeable and more compacted.</w:t>
      </w:r>
    </w:p>
    <w:p w14:paraId="44051969" w14:textId="77777777" w:rsidR="004609F0" w:rsidRDefault="00BC7B8C">
      <w:pPr>
        <w:spacing w:line="240" w:lineRule="auto"/>
        <w:jc w:val="both"/>
        <w:rPr>
          <w:rFonts w:ascii="Arial" w:eastAsia="Arial" w:hAnsi="Arial" w:cs="Arial"/>
          <w:b/>
          <w:sz w:val="24"/>
          <w:szCs w:val="24"/>
        </w:rPr>
      </w:pPr>
      <w:r>
        <w:rPr>
          <w:rFonts w:ascii="Arial" w:eastAsia="Arial" w:hAnsi="Arial" w:cs="Arial"/>
          <w:b/>
          <w:sz w:val="24"/>
          <w:szCs w:val="24"/>
        </w:rPr>
        <w:t>5.2.3 Kelly’s ratio (KR) or Kelly’s index (KI)</w:t>
      </w:r>
    </w:p>
    <w:p w14:paraId="12ACA538" w14:textId="77777777" w:rsidR="004609F0" w:rsidRDefault="00BC7B8C">
      <w:pPr>
        <w:spacing w:line="240" w:lineRule="auto"/>
        <w:jc w:val="both"/>
        <w:rPr>
          <w:rFonts w:ascii="Arial" w:eastAsia="Arial" w:hAnsi="Arial" w:cs="Arial"/>
          <w:sz w:val="24"/>
          <w:szCs w:val="24"/>
        </w:rPr>
      </w:pPr>
      <w:r>
        <w:rPr>
          <w:rFonts w:ascii="Arial" w:eastAsia="Arial" w:hAnsi="Arial" w:cs="Arial"/>
          <w:sz w:val="24"/>
          <w:szCs w:val="24"/>
        </w:rPr>
        <w:t>The ratio of sodium (Na</w:t>
      </w:r>
      <w:r>
        <w:rPr>
          <w:rFonts w:ascii="Cambria Math" w:eastAsia="Cambria Math" w:hAnsi="Cambria Math" w:cs="Cambria Math"/>
          <w:sz w:val="24"/>
          <w:szCs w:val="24"/>
        </w:rPr>
        <w:t>⁺</w:t>
      </w:r>
      <w:r>
        <w:rPr>
          <w:rFonts w:ascii="Arial" w:eastAsia="Arial" w:hAnsi="Arial" w:cs="Arial"/>
          <w:sz w:val="24"/>
          <w:szCs w:val="24"/>
        </w:rPr>
        <w:t>) to calcium (Ca²</w:t>
      </w:r>
      <w:r>
        <w:rPr>
          <w:rFonts w:ascii="Cambria Math" w:eastAsia="Cambria Math" w:hAnsi="Cambria Math" w:cs="Cambria Math"/>
          <w:sz w:val="24"/>
          <w:szCs w:val="24"/>
        </w:rPr>
        <w:t>⁺</w:t>
      </w:r>
      <w:r>
        <w:rPr>
          <w:rFonts w:ascii="Arial" w:eastAsia="Arial" w:hAnsi="Arial" w:cs="Arial"/>
          <w:sz w:val="24"/>
          <w:szCs w:val="24"/>
        </w:rPr>
        <w:t>)</w:t>
      </w:r>
      <w:r>
        <w:rPr>
          <w:rFonts w:ascii="Arial" w:eastAsia="Arial" w:hAnsi="Arial" w:cs="Arial"/>
          <w:sz w:val="24"/>
          <w:szCs w:val="24"/>
        </w:rPr>
        <w:t xml:space="preserve"> and magnesium (Mg²</w:t>
      </w:r>
      <w:r>
        <w:rPr>
          <w:rFonts w:ascii="Cambria Math" w:eastAsia="Cambria Math" w:hAnsi="Cambria Math" w:cs="Cambria Math"/>
          <w:sz w:val="24"/>
          <w:szCs w:val="24"/>
        </w:rPr>
        <w:t>⁺</w:t>
      </w:r>
      <w:r>
        <w:rPr>
          <w:rFonts w:ascii="Arial" w:eastAsia="Arial" w:hAnsi="Arial" w:cs="Arial"/>
          <w:sz w:val="24"/>
          <w:szCs w:val="24"/>
        </w:rPr>
        <w:t xml:space="preserve">) ions is another metric used to assess the quality of irrigation water.  </w:t>
      </w:r>
      <w:r>
        <w:rPr>
          <w:rFonts w:ascii="Arial" w:eastAsia="Arial" w:hAnsi="Arial" w:cs="Arial"/>
          <w:b/>
          <w:sz w:val="24"/>
          <w:szCs w:val="24"/>
        </w:rPr>
        <w:t>Eq. (4)</w:t>
      </w:r>
      <w:r>
        <w:rPr>
          <w:rFonts w:ascii="Arial" w:eastAsia="Arial" w:hAnsi="Arial" w:cs="Arial"/>
          <w:sz w:val="24"/>
          <w:szCs w:val="24"/>
        </w:rPr>
        <w:t xml:space="preserve"> is used to calculate this factor; a value larger than 1 denotes an excess of sodium in the water.  A value of less than one indicates that irrigation wate</w:t>
      </w:r>
      <w:r>
        <w:rPr>
          <w:rFonts w:ascii="Arial" w:eastAsia="Arial" w:hAnsi="Arial" w:cs="Arial"/>
          <w:sz w:val="24"/>
          <w:szCs w:val="24"/>
        </w:rPr>
        <w:t xml:space="preserve">r is suitable, whereas a value greater than one indicates that it is not, because of possible alkali hazards (Ramesh and </w:t>
      </w:r>
      <w:proofErr w:type="spellStart"/>
      <w:r>
        <w:rPr>
          <w:rFonts w:ascii="Arial" w:eastAsia="Arial" w:hAnsi="Arial" w:cs="Arial"/>
          <w:sz w:val="24"/>
          <w:szCs w:val="24"/>
        </w:rPr>
        <w:t>Elango</w:t>
      </w:r>
      <w:proofErr w:type="spellEnd"/>
      <w:r>
        <w:rPr>
          <w:rFonts w:ascii="Arial" w:eastAsia="Arial" w:hAnsi="Arial" w:cs="Arial"/>
          <w:sz w:val="24"/>
          <w:szCs w:val="24"/>
        </w:rPr>
        <w:t xml:space="preserve">, 2012; Rawat et al., 2018). All the ion concentrations are expressed in </w:t>
      </w:r>
      <w:proofErr w:type="spellStart"/>
      <w:r>
        <w:rPr>
          <w:rFonts w:ascii="Arial" w:eastAsia="Arial" w:hAnsi="Arial" w:cs="Arial"/>
          <w:sz w:val="24"/>
          <w:szCs w:val="24"/>
        </w:rPr>
        <w:t>meq</w:t>
      </w:r>
      <w:proofErr w:type="spellEnd"/>
      <w:r>
        <w:rPr>
          <w:rFonts w:ascii="Arial" w:eastAsia="Arial" w:hAnsi="Arial" w:cs="Arial"/>
          <w:sz w:val="24"/>
          <w:szCs w:val="24"/>
        </w:rPr>
        <w:t>/l.</w:t>
      </w:r>
    </w:p>
    <w:p w14:paraId="044B012E" w14:textId="77777777" w:rsidR="004609F0" w:rsidRDefault="00BC7B8C">
      <w:pPr>
        <w:spacing w:line="240" w:lineRule="auto"/>
        <w:rPr>
          <w:rFonts w:ascii="Arial" w:eastAsia="Arial" w:hAnsi="Arial" w:cs="Arial"/>
          <w:sz w:val="24"/>
          <w:szCs w:val="24"/>
        </w:rPr>
      </w:pPr>
      <m:oMath>
        <m:r>
          <w:rPr>
            <w:rFonts w:ascii="Cambria Math" w:eastAsia="Cambria Math" w:hAnsi="Cambria Math" w:cs="Cambria Math"/>
            <w:sz w:val="24"/>
            <w:szCs w:val="24"/>
          </w:rPr>
          <m:t>KR</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m:t>
                </m:r>
              </m:sup>
            </m:sSup>
          </m:num>
          <m:den>
            <m:r>
              <w:rPr>
                <w:rFonts w:ascii="Cambria Math" w:eastAsia="Cambria Math" w:hAnsi="Cambria Math" w:cs="Cambria Math"/>
                <w:sz w:val="24"/>
                <w:szCs w:val="24"/>
              </w:rPr>
              <m:t>C</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r>
              <w:rPr>
                <w:rFonts w:ascii="Cambria Math" w:eastAsia="Cambria Math" w:hAnsi="Cambria Math" w:cs="Cambria Math"/>
                <w:sz w:val="24"/>
                <w:szCs w:val="24"/>
              </w:rPr>
              <m:t>M</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g</m:t>
                </m:r>
              </m:e>
              <m:sup>
                <m:r>
                  <w:rPr>
                    <w:rFonts w:ascii="Cambria Math" w:eastAsia="Cambria Math" w:hAnsi="Cambria Math" w:cs="Cambria Math"/>
                    <w:sz w:val="24"/>
                    <w:szCs w:val="24"/>
                  </w:rPr>
                  <m:t>2+</m:t>
                </m:r>
              </m:sup>
            </m:sSup>
          </m:den>
        </m:f>
      </m:oMath>
      <w:r>
        <w:rPr>
          <w:rFonts w:ascii="Arial" w:eastAsia="Arial" w:hAnsi="Arial" w:cs="Arial"/>
          <w:sz w:val="24"/>
          <w:szCs w:val="24"/>
        </w:rPr>
        <w:t xml:space="preserve">                          </w:t>
      </w:r>
      <w:r>
        <w:rPr>
          <w:rFonts w:ascii="Arial" w:eastAsia="Arial" w:hAnsi="Arial" w:cs="Arial"/>
          <w:sz w:val="24"/>
          <w:szCs w:val="24"/>
        </w:rPr>
        <w:t xml:space="preserve">                                                                                          (4)           </w:t>
      </w:r>
    </w:p>
    <w:p w14:paraId="4C78FF27" w14:textId="77777777" w:rsidR="004609F0" w:rsidRDefault="00BC7B8C">
      <w:pPr>
        <w:spacing w:line="240" w:lineRule="auto"/>
        <w:jc w:val="both"/>
        <w:rPr>
          <w:rFonts w:ascii="Arial" w:eastAsia="Arial" w:hAnsi="Arial" w:cs="Arial"/>
          <w:sz w:val="24"/>
          <w:szCs w:val="24"/>
        </w:rPr>
      </w:pPr>
      <w:sdt>
        <w:sdtPr>
          <w:tag w:val="goog_rdk_2"/>
          <w:id w:val="-1252231706"/>
        </w:sdtPr>
        <w:sdtEndPr/>
        <w:sdtContent>
          <w:r>
            <w:rPr>
              <w:rFonts w:ascii="Arial Unicode MS" w:eastAsia="Arial Unicode MS" w:hAnsi="Arial Unicode MS" w:cs="Arial Unicode MS"/>
              <w:sz w:val="24"/>
              <w:szCs w:val="24"/>
            </w:rPr>
            <w:t xml:space="preserve">With an average of 0.39 and a median of 0.16, the 207 water samples' Kelly's Ratios (KR) range from 0.009 to 10.25.  A few outliers exceed 1, implying </w:t>
          </w:r>
          <w:r>
            <w:rPr>
              <w:rFonts w:ascii="Arial Unicode MS" w:eastAsia="Arial Unicode MS" w:hAnsi="Arial Unicode MS" w:cs="Arial Unicode MS"/>
              <w:sz w:val="24"/>
              <w:szCs w:val="24"/>
            </w:rPr>
            <w:t xml:space="preserve">possible unsuitability, but the majority of values are significantly below 1, suggesting general suitability.  According to classification results, only 6.8% of samples are deemed unsuitable for irrigation, with 93.2% falling within the suitable range (KR </w:t>
          </w:r>
          <w:r>
            <w:rPr>
              <w:rFonts w:ascii="Arial Unicode MS" w:eastAsia="Arial Unicode MS" w:hAnsi="Arial Unicode MS" w:cs="Arial Unicode MS"/>
              <w:sz w:val="24"/>
              <w:szCs w:val="24"/>
            </w:rPr>
            <w:t xml:space="preserve">≤ 1) </w:t>
          </w:r>
        </w:sdtContent>
      </w:sdt>
      <w:r>
        <w:rPr>
          <w:rFonts w:ascii="Arial" w:eastAsia="Arial" w:hAnsi="Arial" w:cs="Arial"/>
          <w:b/>
          <w:sz w:val="24"/>
          <w:szCs w:val="24"/>
        </w:rPr>
        <w:t>(Table 3)</w:t>
      </w:r>
      <w:r>
        <w:rPr>
          <w:rFonts w:ascii="Arial" w:eastAsia="Arial" w:hAnsi="Arial" w:cs="Arial"/>
          <w:sz w:val="24"/>
          <w:szCs w:val="24"/>
        </w:rPr>
        <w:t xml:space="preserve">.  This indicates that compared to calcium and magnesium, most groundwater has a low sodium hazard.          </w:t>
      </w:r>
    </w:p>
    <w:p w14:paraId="58E152E8" w14:textId="77777777" w:rsidR="004609F0" w:rsidRDefault="00BC7B8C">
      <w:pPr>
        <w:spacing w:line="240" w:lineRule="auto"/>
        <w:jc w:val="both"/>
        <w:rPr>
          <w:rFonts w:ascii="Arial" w:eastAsia="Arial" w:hAnsi="Arial" w:cs="Arial"/>
          <w:b/>
          <w:sz w:val="24"/>
          <w:szCs w:val="24"/>
        </w:rPr>
      </w:pPr>
      <w:r>
        <w:rPr>
          <w:rFonts w:ascii="Arial" w:eastAsia="Arial" w:hAnsi="Arial" w:cs="Arial"/>
          <w:b/>
          <w:sz w:val="24"/>
          <w:szCs w:val="24"/>
        </w:rPr>
        <w:t xml:space="preserve">5.2.4    Permeability index (PI)       </w:t>
      </w:r>
    </w:p>
    <w:p w14:paraId="57368305" w14:textId="77777777" w:rsidR="004609F0" w:rsidRDefault="00BC7B8C">
      <w:pPr>
        <w:spacing w:line="240" w:lineRule="auto"/>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One helpful metric for assessing whether water is suitable for irrigation is the Permeabi</w:t>
      </w:r>
      <w:r>
        <w:rPr>
          <w:rFonts w:ascii="Arial" w:eastAsia="Arial" w:hAnsi="Arial" w:cs="Arial"/>
          <w:sz w:val="24"/>
          <w:szCs w:val="24"/>
        </w:rPr>
        <w:t xml:space="preserve">lity Index (PI), which is in </w:t>
      </w:r>
      <w:r>
        <w:rPr>
          <w:rFonts w:ascii="Arial" w:eastAsia="Arial" w:hAnsi="Arial" w:cs="Arial"/>
          <w:b/>
          <w:sz w:val="24"/>
          <w:szCs w:val="24"/>
        </w:rPr>
        <w:t>Eq. (5)</w:t>
      </w:r>
      <w:r>
        <w:rPr>
          <w:rFonts w:ascii="Arial" w:eastAsia="Arial" w:hAnsi="Arial" w:cs="Arial"/>
          <w:sz w:val="24"/>
          <w:szCs w:val="24"/>
        </w:rPr>
        <w:t>.  The concentrations of sodium (Na</w:t>
      </w:r>
      <w:r>
        <w:rPr>
          <w:rFonts w:ascii="Cambria Math" w:eastAsia="Cambria Math" w:hAnsi="Cambria Math" w:cs="Cambria Math"/>
          <w:sz w:val="24"/>
          <w:szCs w:val="24"/>
        </w:rPr>
        <w:t>⁺</w:t>
      </w:r>
      <w:r>
        <w:rPr>
          <w:rFonts w:ascii="Arial" w:eastAsia="Arial" w:hAnsi="Arial" w:cs="Arial"/>
          <w:sz w:val="24"/>
          <w:szCs w:val="24"/>
        </w:rPr>
        <w:t>), calcium (Ca²</w:t>
      </w:r>
      <w:r>
        <w:rPr>
          <w:rFonts w:ascii="Cambria Math" w:eastAsia="Cambria Math" w:hAnsi="Cambria Math" w:cs="Cambria Math"/>
          <w:sz w:val="24"/>
          <w:szCs w:val="24"/>
        </w:rPr>
        <w:t>⁺</w:t>
      </w:r>
      <w:r>
        <w:rPr>
          <w:rFonts w:ascii="Arial" w:eastAsia="Arial" w:hAnsi="Arial" w:cs="Arial"/>
          <w:sz w:val="24"/>
          <w:szCs w:val="24"/>
        </w:rPr>
        <w:t>), magnesium (Mg²</w:t>
      </w:r>
      <w:r>
        <w:rPr>
          <w:rFonts w:ascii="Cambria Math" w:eastAsia="Cambria Math" w:hAnsi="Cambria Math" w:cs="Cambria Math"/>
          <w:sz w:val="24"/>
          <w:szCs w:val="24"/>
        </w:rPr>
        <w:t>⁺</w:t>
      </w:r>
      <w:r>
        <w:rPr>
          <w:rFonts w:ascii="Arial" w:eastAsia="Arial" w:hAnsi="Arial" w:cs="Arial"/>
          <w:sz w:val="24"/>
          <w:szCs w:val="24"/>
        </w:rPr>
        <w:t>), and bicarbonate (HCO</w:t>
      </w:r>
      <w:r>
        <w:rPr>
          <w:rFonts w:ascii="Cambria Math" w:eastAsia="Cambria Math" w:hAnsi="Cambria Math" w:cs="Cambria Math"/>
          <w:sz w:val="24"/>
          <w:szCs w:val="24"/>
        </w:rPr>
        <w:t>₃⁻</w:t>
      </w:r>
      <w:r>
        <w:rPr>
          <w:rFonts w:ascii="Arial" w:eastAsia="Arial" w:hAnsi="Arial" w:cs="Arial"/>
          <w:sz w:val="24"/>
          <w:szCs w:val="24"/>
        </w:rPr>
        <w:t>) ions affect the water's ability to pass through soil.  PI is a crucial metric for irrigation planning since a higher salt c</w:t>
      </w:r>
      <w:r>
        <w:rPr>
          <w:rFonts w:ascii="Arial" w:eastAsia="Arial" w:hAnsi="Arial" w:cs="Arial"/>
          <w:sz w:val="24"/>
          <w:szCs w:val="24"/>
        </w:rPr>
        <w:t xml:space="preserve">ontent in irrigation water can eventually decrease soil permeability (Rawat et al., 2018).  </w:t>
      </w:r>
    </w:p>
    <w:p w14:paraId="614D3081" w14:textId="77777777" w:rsidR="004609F0" w:rsidRDefault="00BC7B8C">
      <w:pPr>
        <w:spacing w:line="240" w:lineRule="auto"/>
        <w:jc w:val="both"/>
        <w:rPr>
          <w:rFonts w:ascii="Arial" w:eastAsia="Arial" w:hAnsi="Arial" w:cs="Arial"/>
          <w:sz w:val="24"/>
          <w:szCs w:val="24"/>
        </w:rPr>
      </w:pPr>
      <m:oMath>
        <m:r>
          <w:rPr>
            <w:rFonts w:ascii="Cambria Math" w:eastAsia="Cambria Math" w:hAnsi="Cambria Math" w:cs="Cambria Math"/>
            <w:sz w:val="24"/>
            <w:szCs w:val="24"/>
          </w:rPr>
          <m:t>PI</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m:t>
                </m:r>
              </m:sup>
            </m:sSup>
            <m:r>
              <w:rPr>
                <w:rFonts w:ascii="Cambria Math" w:eastAsia="Cambria Math" w:hAnsi="Cambria Math" w:cs="Cambria Math"/>
                <w:sz w:val="24"/>
                <w:szCs w:val="24"/>
              </w:rPr>
              <m:t>+</m:t>
            </m:r>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HC</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3</m:t>
                    </m:r>
                  </m:sub>
                </m:sSub>
              </m:e>
            </m:rad>
          </m:num>
          <m:den>
            <m:r>
              <w:rPr>
                <w:rFonts w:ascii="Cambria Math" w:eastAsia="Cambria Math" w:hAnsi="Cambria Math" w:cs="Cambria Math"/>
                <w:sz w:val="24"/>
                <w:szCs w:val="24"/>
              </w:rPr>
              <m:t>N</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m:t>
                </m:r>
              </m:sup>
            </m:sSup>
            <m:r>
              <w:rPr>
                <w:rFonts w:ascii="Cambria Math" w:eastAsia="Cambria Math" w:hAnsi="Cambria Math" w:cs="Cambria Math"/>
                <w:sz w:val="24"/>
                <w:szCs w:val="24"/>
              </w:rPr>
              <m:t>+</m:t>
            </m:r>
            <m:r>
              <w:rPr>
                <w:rFonts w:ascii="Cambria Math" w:eastAsia="Cambria Math" w:hAnsi="Cambria Math" w:cs="Cambria Math"/>
                <w:sz w:val="24"/>
                <w:szCs w:val="24"/>
              </w:rPr>
              <m:t>M</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g</m:t>
                </m:r>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r>
              <w:rPr>
                <w:rFonts w:ascii="Cambria Math" w:eastAsia="Cambria Math" w:hAnsi="Cambria Math" w:cs="Cambria Math"/>
                <w:sz w:val="24"/>
                <w:szCs w:val="24"/>
              </w:rPr>
              <m:t>C</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2+</m:t>
                </m:r>
              </m:sup>
            </m:sSup>
          </m:den>
        </m:f>
        <m:r>
          <w:rPr>
            <w:rFonts w:ascii="Cambria Math" w:eastAsia="Cambria Math" w:hAnsi="Cambria Math" w:cs="Cambria Math"/>
            <w:sz w:val="24"/>
            <w:szCs w:val="24"/>
          </w:rPr>
          <m:t>×100</m:t>
        </m:r>
      </m:oMath>
      <w:r>
        <w:rPr>
          <w:rFonts w:ascii="Arial" w:eastAsia="Arial" w:hAnsi="Arial" w:cs="Arial"/>
          <w:sz w:val="24"/>
          <w:szCs w:val="24"/>
        </w:rPr>
        <w:t xml:space="preserve">                                                                                                    (5)                   </w:t>
      </w:r>
      <w:r>
        <w:rPr>
          <w:rFonts w:ascii="Arial" w:eastAsia="Arial" w:hAnsi="Arial" w:cs="Arial"/>
          <w:sz w:val="24"/>
          <w:szCs w:val="24"/>
        </w:rPr>
        <w:t xml:space="preserve">                                                                        </w:t>
      </w:r>
    </w:p>
    <w:p w14:paraId="694AAEF6" w14:textId="77777777" w:rsidR="004609F0" w:rsidRDefault="00BC7B8C">
      <w:pPr>
        <w:spacing w:line="240" w:lineRule="auto"/>
        <w:jc w:val="both"/>
        <w:rPr>
          <w:rFonts w:ascii="Arial" w:eastAsia="Arial" w:hAnsi="Arial" w:cs="Arial"/>
          <w:b/>
          <w:sz w:val="24"/>
          <w:szCs w:val="24"/>
        </w:rPr>
      </w:pPr>
      <w:r>
        <w:rPr>
          <w:rFonts w:ascii="Arial" w:eastAsia="Arial" w:hAnsi="Arial" w:cs="Arial"/>
          <w:sz w:val="24"/>
          <w:szCs w:val="24"/>
        </w:rPr>
        <w:t xml:space="preserve">All the ion concentrations are expressed in </w:t>
      </w:r>
      <w:proofErr w:type="spellStart"/>
      <w:r>
        <w:rPr>
          <w:rFonts w:ascii="Arial" w:eastAsia="Arial" w:hAnsi="Arial" w:cs="Arial"/>
          <w:sz w:val="24"/>
          <w:szCs w:val="24"/>
        </w:rPr>
        <w:t>meq</w:t>
      </w:r>
      <w:proofErr w:type="spellEnd"/>
      <w:r>
        <w:rPr>
          <w:rFonts w:ascii="Arial" w:eastAsia="Arial" w:hAnsi="Arial" w:cs="Arial"/>
          <w:sz w:val="24"/>
          <w:szCs w:val="24"/>
        </w:rPr>
        <w:t>/l. Water can be divided into three groups based on PI values: Class I (&gt; 75%, suitable), Class II (25–75%, good), and Class III (&lt; 25%,</w:t>
      </w:r>
      <w:r>
        <w:rPr>
          <w:rFonts w:ascii="Arial" w:eastAsia="Arial" w:hAnsi="Arial" w:cs="Arial"/>
          <w:sz w:val="24"/>
          <w:szCs w:val="24"/>
        </w:rPr>
        <w:t xml:space="preserve"> unsuitable).  It is generally advised to use Class I and Class II water for irrigation. The permeability index (PI) of the 207 water samples ranges greatly, from 2.70 to 113.94, with a median of 14.22 and an average of 20.60. With the 90th percentile at 3</w:t>
      </w:r>
      <w:r>
        <w:rPr>
          <w:rFonts w:ascii="Arial" w:eastAsia="Arial" w:hAnsi="Arial" w:cs="Arial"/>
          <w:sz w:val="24"/>
          <w:szCs w:val="24"/>
        </w:rPr>
        <w:t xml:space="preserve">8.74 and the 75th percentile at 27.20, the majority of samples are in the lower to mid-range. According to classification, only a small percentage of samples </w:t>
      </w:r>
      <w:r>
        <w:rPr>
          <w:rFonts w:ascii="Arial" w:eastAsia="Arial" w:hAnsi="Arial" w:cs="Arial"/>
          <w:sz w:val="24"/>
          <w:szCs w:val="24"/>
        </w:rPr>
        <w:lastRenderedPageBreak/>
        <w:t>(~2.4%) fall into Class I (Excellent, &gt;75%), 27% fall into Class II (Good, 25–75%), and the majori</w:t>
      </w:r>
      <w:r>
        <w:rPr>
          <w:rFonts w:ascii="Arial" w:eastAsia="Arial" w:hAnsi="Arial" w:cs="Arial"/>
          <w:sz w:val="24"/>
          <w:szCs w:val="24"/>
        </w:rPr>
        <w:t xml:space="preserve">ty (~70%) fall into Class III (Unsuitable, &lt;25%) </w:t>
      </w:r>
      <w:r>
        <w:rPr>
          <w:rFonts w:ascii="Arial" w:eastAsia="Arial" w:hAnsi="Arial" w:cs="Arial"/>
          <w:b/>
          <w:sz w:val="24"/>
          <w:szCs w:val="24"/>
        </w:rPr>
        <w:t>(Table 3)</w:t>
      </w:r>
      <w:r>
        <w:rPr>
          <w:rFonts w:ascii="Arial" w:eastAsia="Arial" w:hAnsi="Arial" w:cs="Arial"/>
          <w:sz w:val="24"/>
          <w:szCs w:val="24"/>
        </w:rPr>
        <w:t>. This suggests that there may be limitations on long-term soil permeability and irrigation suitability, even though some waters are suitable for irrigation and the majority have low permeability in</w:t>
      </w:r>
      <w:r>
        <w:rPr>
          <w:rFonts w:ascii="Arial" w:eastAsia="Arial" w:hAnsi="Arial" w:cs="Arial"/>
          <w:sz w:val="24"/>
          <w:szCs w:val="24"/>
        </w:rPr>
        <w:t xml:space="preserve">dex values.                                                                                                                                                                                    </w:t>
      </w:r>
    </w:p>
    <w:p w14:paraId="7126F4FF" w14:textId="77777777" w:rsidR="004609F0" w:rsidRDefault="00BC7B8C">
      <w:pPr>
        <w:spacing w:line="240" w:lineRule="auto"/>
        <w:rPr>
          <w:rFonts w:ascii="Arial" w:eastAsia="Arial" w:hAnsi="Arial" w:cs="Arial"/>
          <w:b/>
          <w:sz w:val="24"/>
          <w:szCs w:val="24"/>
        </w:rPr>
      </w:pPr>
      <w:r>
        <w:rPr>
          <w:rFonts w:ascii="Arial" w:eastAsia="Arial" w:hAnsi="Arial" w:cs="Arial"/>
          <w:b/>
          <w:sz w:val="24"/>
          <w:szCs w:val="24"/>
        </w:rPr>
        <w:t xml:space="preserve">5.2.5 Potential salinity (PS) </w:t>
      </w:r>
    </w:p>
    <w:p w14:paraId="7E91CE79" w14:textId="77777777" w:rsidR="004609F0" w:rsidRDefault="00BC7B8C">
      <w:pPr>
        <w:spacing w:line="240" w:lineRule="auto"/>
        <w:jc w:val="both"/>
        <w:rPr>
          <w:rFonts w:ascii="Arial" w:eastAsia="Arial" w:hAnsi="Arial" w:cs="Arial"/>
          <w:sz w:val="24"/>
          <w:szCs w:val="24"/>
        </w:rPr>
      </w:pPr>
      <w:r>
        <w:rPr>
          <w:rFonts w:ascii="Arial" w:eastAsia="Arial" w:hAnsi="Arial" w:cs="Arial"/>
          <w:sz w:val="24"/>
          <w:szCs w:val="24"/>
        </w:rPr>
        <w:t>PS is an additional index based o</w:t>
      </w:r>
      <w:r>
        <w:rPr>
          <w:rFonts w:ascii="Arial" w:eastAsia="Arial" w:hAnsi="Arial" w:cs="Arial"/>
          <w:sz w:val="24"/>
          <w:szCs w:val="24"/>
        </w:rPr>
        <w:t xml:space="preserve">n water quality parameters used to classify water for agricultural use (Eq. (6)). All ion concentrations are expressed in </w:t>
      </w:r>
      <w:proofErr w:type="spellStart"/>
      <w:r>
        <w:rPr>
          <w:rFonts w:ascii="Arial" w:eastAsia="Arial" w:hAnsi="Arial" w:cs="Arial"/>
          <w:sz w:val="24"/>
          <w:szCs w:val="24"/>
        </w:rPr>
        <w:t>meq</w:t>
      </w:r>
      <w:proofErr w:type="spellEnd"/>
      <w:r>
        <w:rPr>
          <w:rFonts w:ascii="Arial" w:eastAsia="Arial" w:hAnsi="Arial" w:cs="Arial"/>
          <w:sz w:val="24"/>
          <w:szCs w:val="24"/>
        </w:rPr>
        <w:t xml:space="preserve">/L in this context. A water's suitability for irrigation is indicated by PS &lt; 3 </w:t>
      </w:r>
      <w:proofErr w:type="spellStart"/>
      <w:r>
        <w:rPr>
          <w:rFonts w:ascii="Arial" w:eastAsia="Arial" w:hAnsi="Arial" w:cs="Arial"/>
          <w:sz w:val="24"/>
          <w:szCs w:val="24"/>
        </w:rPr>
        <w:t>meq</w:t>
      </w:r>
      <w:proofErr w:type="spellEnd"/>
      <w:r>
        <w:rPr>
          <w:rFonts w:ascii="Arial" w:eastAsia="Arial" w:hAnsi="Arial" w:cs="Arial"/>
          <w:sz w:val="24"/>
          <w:szCs w:val="24"/>
        </w:rPr>
        <w:t>/l (Rawat et al., 2018).</w:t>
      </w:r>
    </w:p>
    <w:p w14:paraId="3AAAF144" w14:textId="77777777" w:rsidR="004609F0" w:rsidRDefault="00BC7B8C">
      <w:pPr>
        <w:spacing w:line="240" w:lineRule="auto"/>
        <w:rPr>
          <w:rFonts w:ascii="Arial" w:eastAsia="Arial" w:hAnsi="Arial" w:cs="Arial"/>
          <w:sz w:val="24"/>
          <w:szCs w:val="24"/>
        </w:rPr>
      </w:pPr>
      <w:r>
        <w:rPr>
          <w:rFonts w:ascii="Arial" w:eastAsia="Arial" w:hAnsi="Arial" w:cs="Arial"/>
          <w:sz w:val="24"/>
          <w:szCs w:val="24"/>
        </w:rPr>
        <w:t>PS = Cl</w:t>
      </w:r>
      <w:r>
        <w:rPr>
          <w:rFonts w:ascii="Arial" w:eastAsia="Arial" w:hAnsi="Arial" w:cs="Arial"/>
          <w:sz w:val="24"/>
          <w:szCs w:val="24"/>
          <w:vertAlign w:val="superscript"/>
        </w:rPr>
        <w:t>-</w:t>
      </w:r>
      <w:r>
        <w:rPr>
          <w:rFonts w:ascii="Arial" w:eastAsia="Arial" w:hAnsi="Arial" w:cs="Arial"/>
          <w:sz w:val="24"/>
          <w:szCs w:val="24"/>
        </w:rPr>
        <w:t xml:space="preserve"> + 0.5 × SO</w:t>
      </w:r>
      <w:r>
        <w:rPr>
          <w:rFonts w:ascii="Arial" w:eastAsia="Arial" w:hAnsi="Arial" w:cs="Arial"/>
          <w:sz w:val="24"/>
          <w:szCs w:val="24"/>
          <w:vertAlign w:val="subscript"/>
        </w:rPr>
        <w:t>4</w:t>
      </w:r>
      <w:sdt>
        <w:sdtPr>
          <w:tag w:val="goog_rdk_3"/>
          <w:id w:val="-254433622"/>
        </w:sdtPr>
        <w:sdtEndPr/>
        <w:sdtContent>
          <w:r>
            <w:rPr>
              <w:rFonts w:ascii="Arial Unicode MS" w:eastAsia="Arial Unicode MS" w:hAnsi="Arial Unicode MS" w:cs="Arial Unicode MS"/>
              <w:sz w:val="24"/>
              <w:szCs w:val="24"/>
              <w:vertAlign w:val="superscript"/>
            </w:rPr>
            <w:t xml:space="preserve">2−   </w:t>
          </w:r>
        </w:sdtContent>
      </w:sdt>
      <w:r>
        <w:rPr>
          <w:rFonts w:ascii="Arial" w:eastAsia="Arial" w:hAnsi="Arial" w:cs="Arial"/>
          <w:sz w:val="24"/>
          <w:szCs w:val="24"/>
        </w:rPr>
        <w:t xml:space="preserve">                                                                                     </w:t>
      </w:r>
      <w:proofErr w:type="gramStart"/>
      <w:r>
        <w:rPr>
          <w:rFonts w:ascii="Arial" w:eastAsia="Arial" w:hAnsi="Arial" w:cs="Arial"/>
          <w:sz w:val="24"/>
          <w:szCs w:val="24"/>
        </w:rPr>
        <w:t xml:space="preserve">   (</w:t>
      </w:r>
      <w:proofErr w:type="gramEnd"/>
      <w:r>
        <w:rPr>
          <w:rFonts w:ascii="Arial" w:eastAsia="Arial" w:hAnsi="Arial" w:cs="Arial"/>
          <w:sz w:val="24"/>
          <w:szCs w:val="24"/>
        </w:rPr>
        <w:t>6)</w:t>
      </w:r>
    </w:p>
    <w:p w14:paraId="4AF69A8A" w14:textId="77777777" w:rsidR="004609F0" w:rsidRDefault="00BC7B8C">
      <w:pPr>
        <w:spacing w:line="240" w:lineRule="auto"/>
        <w:jc w:val="both"/>
        <w:rPr>
          <w:rFonts w:ascii="Arial" w:eastAsia="Arial" w:hAnsi="Arial" w:cs="Arial"/>
          <w:sz w:val="24"/>
          <w:szCs w:val="24"/>
        </w:rPr>
      </w:pPr>
      <w:r>
        <w:rPr>
          <w:rFonts w:ascii="Arial" w:eastAsia="Arial" w:hAnsi="Arial" w:cs="Arial"/>
          <w:sz w:val="24"/>
          <w:szCs w:val="24"/>
        </w:rPr>
        <w:t xml:space="preserve">According to </w:t>
      </w:r>
      <w:r>
        <w:rPr>
          <w:rFonts w:ascii="Arial" w:eastAsia="Arial" w:hAnsi="Arial" w:cs="Arial"/>
          <w:b/>
          <w:sz w:val="24"/>
          <w:szCs w:val="24"/>
        </w:rPr>
        <w:t>Table 3,</w:t>
      </w:r>
      <w:r>
        <w:rPr>
          <w:rFonts w:ascii="Arial" w:eastAsia="Arial" w:hAnsi="Arial" w:cs="Arial"/>
          <w:sz w:val="24"/>
          <w:szCs w:val="24"/>
        </w:rPr>
        <w:t xml:space="preserve"> only 12 samples (5.80%) of the water samples analysed fit into the appropriate category (PS &lt; 3). In comparison, the vast majority of 1</w:t>
      </w:r>
      <w:r>
        <w:rPr>
          <w:rFonts w:ascii="Arial" w:eastAsia="Arial" w:hAnsi="Arial" w:cs="Arial"/>
          <w:sz w:val="24"/>
          <w:szCs w:val="24"/>
        </w:rPr>
        <w:t xml:space="preserve">94 samples (93.72%) are inappropriate (PS &gt; 3) for irrigation. Given that high concentrations of sulphate and chloride </w:t>
      </w:r>
    </w:p>
    <w:p w14:paraId="71937BFE" w14:textId="77777777" w:rsidR="004609F0" w:rsidRDefault="00BC7B8C">
      <w:pPr>
        <w:spacing w:before="240" w:line="240" w:lineRule="auto"/>
        <w:jc w:val="both"/>
        <w:rPr>
          <w:rFonts w:ascii="Arial" w:eastAsia="Arial" w:hAnsi="Arial" w:cs="Arial"/>
          <w:sz w:val="24"/>
          <w:szCs w:val="24"/>
        </w:rPr>
      </w:pPr>
      <w:r>
        <w:rPr>
          <w:rFonts w:ascii="Arial" w:eastAsia="Arial" w:hAnsi="Arial" w:cs="Arial"/>
          <w:b/>
          <w:sz w:val="24"/>
          <w:szCs w:val="24"/>
        </w:rPr>
        <w:t>Table 3:</w:t>
      </w:r>
      <w:r>
        <w:rPr>
          <w:rFonts w:ascii="Arial" w:eastAsia="Arial" w:hAnsi="Arial" w:cs="Arial"/>
          <w:sz w:val="24"/>
          <w:szCs w:val="24"/>
        </w:rPr>
        <w:t xml:space="preserve"> Comprehensive Classification of Groundwater Samples Based on Irrigation Water Quality Indices (SAR, MAR, KR, PI, PS and RSC) fo</w:t>
      </w:r>
      <w:r>
        <w:rPr>
          <w:rFonts w:ascii="Arial" w:eastAsia="Arial" w:hAnsi="Arial" w:cs="Arial"/>
          <w:sz w:val="24"/>
          <w:szCs w:val="24"/>
        </w:rPr>
        <w:t>r Evaluating Agricultural Suitability for the study area.</w:t>
      </w:r>
    </w:p>
    <w:tbl>
      <w:tblPr>
        <w:tblStyle w:val="a1"/>
        <w:tblW w:w="7430" w:type="dxa"/>
        <w:jc w:val="center"/>
        <w:tblBorders>
          <w:top w:val="nil"/>
          <w:left w:val="nil"/>
          <w:bottom w:val="nil"/>
          <w:right w:val="nil"/>
          <w:insideH w:val="nil"/>
          <w:insideV w:val="nil"/>
        </w:tblBorders>
        <w:tblLayout w:type="fixed"/>
        <w:tblLook w:val="0400" w:firstRow="0" w:lastRow="0" w:firstColumn="0" w:lastColumn="0" w:noHBand="0" w:noVBand="1"/>
      </w:tblPr>
      <w:tblGrid>
        <w:gridCol w:w="988"/>
        <w:gridCol w:w="1559"/>
        <w:gridCol w:w="1283"/>
        <w:gridCol w:w="1200"/>
        <w:gridCol w:w="1180"/>
        <w:gridCol w:w="1220"/>
      </w:tblGrid>
      <w:tr w:rsidR="004609F0" w14:paraId="3E3A85AA" w14:textId="77777777">
        <w:trPr>
          <w:trHeight w:val="312"/>
          <w:jc w:val="center"/>
        </w:trPr>
        <w:tc>
          <w:tcPr>
            <w:tcW w:w="988" w:type="dxa"/>
            <w:tcBorders>
              <w:bottom w:val="single" w:sz="4" w:space="0" w:color="000000"/>
            </w:tcBorders>
          </w:tcPr>
          <w:p w14:paraId="4208B3A3" w14:textId="77777777" w:rsidR="004609F0" w:rsidRDefault="00BC7B8C">
            <w:pPr>
              <w:jc w:val="center"/>
              <w:rPr>
                <w:rFonts w:ascii="Arial" w:eastAsia="Arial" w:hAnsi="Arial" w:cs="Arial"/>
                <w:b/>
                <w:color w:val="000000"/>
                <w:sz w:val="24"/>
                <w:szCs w:val="24"/>
              </w:rPr>
            </w:pPr>
            <w:r>
              <w:rPr>
                <w:rFonts w:ascii="Arial" w:eastAsia="Arial" w:hAnsi="Arial" w:cs="Arial"/>
                <w:b/>
                <w:color w:val="000000"/>
                <w:sz w:val="24"/>
                <w:szCs w:val="24"/>
              </w:rPr>
              <w:t>Sr. No.</w:t>
            </w:r>
          </w:p>
        </w:tc>
        <w:tc>
          <w:tcPr>
            <w:tcW w:w="1559" w:type="dxa"/>
            <w:tcBorders>
              <w:bottom w:val="single" w:sz="4" w:space="0" w:color="000000"/>
            </w:tcBorders>
          </w:tcPr>
          <w:p w14:paraId="62E05180" w14:textId="77777777" w:rsidR="004609F0" w:rsidRDefault="00BC7B8C">
            <w:pPr>
              <w:jc w:val="center"/>
              <w:rPr>
                <w:rFonts w:ascii="Arial" w:eastAsia="Arial" w:hAnsi="Arial" w:cs="Arial"/>
                <w:b/>
                <w:color w:val="000000"/>
                <w:sz w:val="24"/>
                <w:szCs w:val="24"/>
              </w:rPr>
            </w:pPr>
            <w:r>
              <w:rPr>
                <w:rFonts w:ascii="Arial" w:eastAsia="Arial" w:hAnsi="Arial" w:cs="Arial"/>
                <w:b/>
                <w:color w:val="000000"/>
                <w:sz w:val="24"/>
                <w:szCs w:val="24"/>
              </w:rPr>
              <w:t>Irrigation Indices</w:t>
            </w:r>
          </w:p>
        </w:tc>
        <w:tc>
          <w:tcPr>
            <w:tcW w:w="1283" w:type="dxa"/>
            <w:tcBorders>
              <w:bottom w:val="single" w:sz="4" w:space="0" w:color="000000"/>
            </w:tcBorders>
          </w:tcPr>
          <w:p w14:paraId="52A37ACF" w14:textId="77777777" w:rsidR="004609F0" w:rsidRDefault="00BC7B8C">
            <w:pPr>
              <w:jc w:val="center"/>
              <w:rPr>
                <w:rFonts w:ascii="Arial" w:eastAsia="Arial" w:hAnsi="Arial" w:cs="Arial"/>
                <w:b/>
                <w:color w:val="000000"/>
                <w:sz w:val="24"/>
                <w:szCs w:val="24"/>
              </w:rPr>
            </w:pPr>
            <w:r>
              <w:rPr>
                <w:rFonts w:ascii="Arial" w:eastAsia="Arial" w:hAnsi="Arial" w:cs="Arial"/>
                <w:b/>
                <w:color w:val="000000"/>
                <w:sz w:val="24"/>
                <w:szCs w:val="24"/>
              </w:rPr>
              <w:t>Range</w:t>
            </w:r>
          </w:p>
        </w:tc>
        <w:tc>
          <w:tcPr>
            <w:tcW w:w="1200" w:type="dxa"/>
            <w:tcBorders>
              <w:bottom w:val="single" w:sz="4" w:space="0" w:color="000000"/>
            </w:tcBorders>
          </w:tcPr>
          <w:p w14:paraId="64AB32D6" w14:textId="77777777" w:rsidR="004609F0" w:rsidRDefault="00BC7B8C">
            <w:pPr>
              <w:jc w:val="center"/>
              <w:rPr>
                <w:rFonts w:ascii="Arial" w:eastAsia="Arial" w:hAnsi="Arial" w:cs="Arial"/>
                <w:b/>
                <w:color w:val="000000"/>
                <w:sz w:val="24"/>
                <w:szCs w:val="24"/>
              </w:rPr>
            </w:pPr>
            <w:r>
              <w:rPr>
                <w:rFonts w:ascii="Arial" w:eastAsia="Arial" w:hAnsi="Arial" w:cs="Arial"/>
                <w:b/>
                <w:color w:val="000000"/>
                <w:sz w:val="24"/>
                <w:szCs w:val="24"/>
              </w:rPr>
              <w:t>Class</w:t>
            </w:r>
          </w:p>
        </w:tc>
        <w:tc>
          <w:tcPr>
            <w:tcW w:w="1180" w:type="dxa"/>
            <w:tcBorders>
              <w:bottom w:val="single" w:sz="4" w:space="0" w:color="000000"/>
            </w:tcBorders>
          </w:tcPr>
          <w:p w14:paraId="16CA1B34" w14:textId="77777777" w:rsidR="004609F0" w:rsidRDefault="00BC7B8C">
            <w:pPr>
              <w:jc w:val="center"/>
              <w:rPr>
                <w:rFonts w:ascii="Arial" w:eastAsia="Arial" w:hAnsi="Arial" w:cs="Arial"/>
                <w:b/>
                <w:color w:val="000000"/>
                <w:sz w:val="24"/>
                <w:szCs w:val="24"/>
              </w:rPr>
            </w:pPr>
            <w:r>
              <w:rPr>
                <w:rFonts w:ascii="Arial" w:eastAsia="Arial" w:hAnsi="Arial" w:cs="Arial"/>
                <w:b/>
                <w:color w:val="000000"/>
                <w:sz w:val="24"/>
                <w:szCs w:val="24"/>
              </w:rPr>
              <w:t>No. of sample</w:t>
            </w:r>
          </w:p>
        </w:tc>
        <w:tc>
          <w:tcPr>
            <w:tcW w:w="1220" w:type="dxa"/>
            <w:tcBorders>
              <w:bottom w:val="single" w:sz="4" w:space="0" w:color="000000"/>
            </w:tcBorders>
          </w:tcPr>
          <w:p w14:paraId="62825D19" w14:textId="77777777" w:rsidR="004609F0" w:rsidRDefault="00BC7B8C">
            <w:pPr>
              <w:jc w:val="center"/>
              <w:rPr>
                <w:rFonts w:ascii="Arial" w:eastAsia="Arial" w:hAnsi="Arial" w:cs="Arial"/>
                <w:b/>
                <w:color w:val="000000"/>
                <w:sz w:val="24"/>
                <w:szCs w:val="24"/>
              </w:rPr>
            </w:pPr>
            <w:r>
              <w:rPr>
                <w:rFonts w:ascii="Arial" w:eastAsia="Arial" w:hAnsi="Arial" w:cs="Arial"/>
                <w:b/>
                <w:color w:val="000000"/>
                <w:sz w:val="24"/>
                <w:szCs w:val="24"/>
              </w:rPr>
              <w:t>% of Sample</w:t>
            </w:r>
          </w:p>
        </w:tc>
      </w:tr>
      <w:tr w:rsidR="004609F0" w14:paraId="1A738E4A" w14:textId="77777777">
        <w:trPr>
          <w:trHeight w:val="288"/>
          <w:jc w:val="center"/>
        </w:trPr>
        <w:tc>
          <w:tcPr>
            <w:tcW w:w="988" w:type="dxa"/>
            <w:tcBorders>
              <w:top w:val="single" w:sz="4" w:space="0" w:color="000000"/>
            </w:tcBorders>
          </w:tcPr>
          <w:p w14:paraId="66268EB7"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w:t>
            </w:r>
          </w:p>
        </w:tc>
        <w:tc>
          <w:tcPr>
            <w:tcW w:w="1559" w:type="dxa"/>
            <w:tcBorders>
              <w:top w:val="single" w:sz="4" w:space="0" w:color="000000"/>
            </w:tcBorders>
          </w:tcPr>
          <w:p w14:paraId="703DF904"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SAR</w:t>
            </w:r>
          </w:p>
        </w:tc>
        <w:tc>
          <w:tcPr>
            <w:tcW w:w="1283" w:type="dxa"/>
            <w:tcBorders>
              <w:top w:val="single" w:sz="4" w:space="0" w:color="000000"/>
            </w:tcBorders>
          </w:tcPr>
          <w:p w14:paraId="1486F5E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&lt;10</w:t>
            </w:r>
          </w:p>
        </w:tc>
        <w:tc>
          <w:tcPr>
            <w:tcW w:w="1200" w:type="dxa"/>
            <w:tcBorders>
              <w:top w:val="single" w:sz="4" w:space="0" w:color="000000"/>
            </w:tcBorders>
          </w:tcPr>
          <w:p w14:paraId="18957F7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Exc.</w:t>
            </w:r>
          </w:p>
        </w:tc>
        <w:tc>
          <w:tcPr>
            <w:tcW w:w="1180" w:type="dxa"/>
            <w:tcBorders>
              <w:top w:val="single" w:sz="4" w:space="0" w:color="000000"/>
            </w:tcBorders>
          </w:tcPr>
          <w:p w14:paraId="3A4776BC"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206</w:t>
            </w:r>
          </w:p>
        </w:tc>
        <w:tc>
          <w:tcPr>
            <w:tcW w:w="1220" w:type="dxa"/>
            <w:tcBorders>
              <w:top w:val="single" w:sz="4" w:space="0" w:color="000000"/>
            </w:tcBorders>
          </w:tcPr>
          <w:p w14:paraId="62A2CBD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100%</w:t>
            </w:r>
          </w:p>
        </w:tc>
      </w:tr>
      <w:tr w:rsidR="004609F0" w14:paraId="1E91EFF1" w14:textId="77777777">
        <w:trPr>
          <w:trHeight w:val="288"/>
          <w:jc w:val="center"/>
        </w:trPr>
        <w:tc>
          <w:tcPr>
            <w:tcW w:w="988" w:type="dxa"/>
          </w:tcPr>
          <w:p w14:paraId="5E267EC7" w14:textId="77777777" w:rsidR="004609F0" w:rsidRDefault="004609F0">
            <w:pPr>
              <w:jc w:val="center"/>
              <w:rPr>
                <w:rFonts w:ascii="Arial" w:eastAsia="Arial" w:hAnsi="Arial" w:cs="Arial"/>
                <w:color w:val="000000"/>
                <w:sz w:val="24"/>
                <w:szCs w:val="24"/>
              </w:rPr>
            </w:pPr>
          </w:p>
        </w:tc>
        <w:tc>
          <w:tcPr>
            <w:tcW w:w="1559" w:type="dxa"/>
          </w:tcPr>
          <w:p w14:paraId="05DA8697" w14:textId="77777777" w:rsidR="004609F0" w:rsidRDefault="004609F0">
            <w:pPr>
              <w:jc w:val="center"/>
              <w:rPr>
                <w:rFonts w:ascii="Arial" w:eastAsia="Arial" w:hAnsi="Arial" w:cs="Arial"/>
                <w:sz w:val="24"/>
                <w:szCs w:val="24"/>
              </w:rPr>
            </w:pPr>
          </w:p>
        </w:tc>
        <w:tc>
          <w:tcPr>
            <w:tcW w:w="1283" w:type="dxa"/>
          </w:tcPr>
          <w:p w14:paraId="2B6A10B8"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Oct-18</w:t>
            </w:r>
          </w:p>
        </w:tc>
        <w:tc>
          <w:tcPr>
            <w:tcW w:w="1200" w:type="dxa"/>
          </w:tcPr>
          <w:p w14:paraId="1F102FB9"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Go.</w:t>
            </w:r>
          </w:p>
        </w:tc>
        <w:tc>
          <w:tcPr>
            <w:tcW w:w="1180" w:type="dxa"/>
          </w:tcPr>
          <w:p w14:paraId="4B038D9E"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0</w:t>
            </w:r>
          </w:p>
        </w:tc>
        <w:tc>
          <w:tcPr>
            <w:tcW w:w="1220" w:type="dxa"/>
          </w:tcPr>
          <w:p w14:paraId="625CD63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w:t>
            </w:r>
          </w:p>
        </w:tc>
      </w:tr>
      <w:tr w:rsidR="004609F0" w14:paraId="271B25A1" w14:textId="77777777">
        <w:trPr>
          <w:trHeight w:val="288"/>
          <w:jc w:val="center"/>
        </w:trPr>
        <w:tc>
          <w:tcPr>
            <w:tcW w:w="988" w:type="dxa"/>
          </w:tcPr>
          <w:p w14:paraId="5FAEB7BB" w14:textId="77777777" w:rsidR="004609F0" w:rsidRDefault="004609F0">
            <w:pPr>
              <w:jc w:val="center"/>
              <w:rPr>
                <w:rFonts w:ascii="Arial" w:eastAsia="Arial" w:hAnsi="Arial" w:cs="Arial"/>
                <w:sz w:val="24"/>
                <w:szCs w:val="24"/>
              </w:rPr>
            </w:pPr>
          </w:p>
        </w:tc>
        <w:tc>
          <w:tcPr>
            <w:tcW w:w="1559" w:type="dxa"/>
          </w:tcPr>
          <w:p w14:paraId="4CCB7034" w14:textId="77777777" w:rsidR="004609F0" w:rsidRDefault="004609F0">
            <w:pPr>
              <w:jc w:val="center"/>
              <w:rPr>
                <w:rFonts w:ascii="Arial" w:eastAsia="Arial" w:hAnsi="Arial" w:cs="Arial"/>
                <w:sz w:val="24"/>
                <w:szCs w:val="24"/>
              </w:rPr>
            </w:pPr>
          </w:p>
        </w:tc>
        <w:tc>
          <w:tcPr>
            <w:tcW w:w="1283" w:type="dxa"/>
          </w:tcPr>
          <w:p w14:paraId="339C4A9E"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18-26</w:t>
            </w:r>
          </w:p>
        </w:tc>
        <w:tc>
          <w:tcPr>
            <w:tcW w:w="1200" w:type="dxa"/>
          </w:tcPr>
          <w:p w14:paraId="0DE74D1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Dou.</w:t>
            </w:r>
          </w:p>
        </w:tc>
        <w:tc>
          <w:tcPr>
            <w:tcW w:w="1180" w:type="dxa"/>
          </w:tcPr>
          <w:p w14:paraId="7D844B7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w:t>
            </w:r>
          </w:p>
        </w:tc>
        <w:tc>
          <w:tcPr>
            <w:tcW w:w="1220" w:type="dxa"/>
          </w:tcPr>
          <w:p w14:paraId="574FAFE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0.48%</w:t>
            </w:r>
          </w:p>
        </w:tc>
      </w:tr>
      <w:tr w:rsidR="004609F0" w14:paraId="084F4E79" w14:textId="77777777">
        <w:trPr>
          <w:trHeight w:val="288"/>
          <w:jc w:val="center"/>
        </w:trPr>
        <w:tc>
          <w:tcPr>
            <w:tcW w:w="988" w:type="dxa"/>
          </w:tcPr>
          <w:p w14:paraId="577F51A0" w14:textId="77777777" w:rsidR="004609F0" w:rsidRDefault="004609F0">
            <w:pPr>
              <w:jc w:val="center"/>
              <w:rPr>
                <w:rFonts w:ascii="Arial" w:eastAsia="Arial" w:hAnsi="Arial" w:cs="Arial"/>
                <w:color w:val="000000"/>
                <w:sz w:val="24"/>
                <w:szCs w:val="24"/>
              </w:rPr>
            </w:pPr>
          </w:p>
        </w:tc>
        <w:tc>
          <w:tcPr>
            <w:tcW w:w="1559" w:type="dxa"/>
          </w:tcPr>
          <w:p w14:paraId="4A6B538C" w14:textId="77777777" w:rsidR="004609F0" w:rsidRDefault="004609F0">
            <w:pPr>
              <w:jc w:val="center"/>
              <w:rPr>
                <w:rFonts w:ascii="Arial" w:eastAsia="Arial" w:hAnsi="Arial" w:cs="Arial"/>
                <w:sz w:val="24"/>
                <w:szCs w:val="24"/>
              </w:rPr>
            </w:pPr>
          </w:p>
        </w:tc>
        <w:tc>
          <w:tcPr>
            <w:tcW w:w="1283" w:type="dxa"/>
          </w:tcPr>
          <w:p w14:paraId="1270F55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&gt;26</w:t>
            </w:r>
          </w:p>
        </w:tc>
        <w:tc>
          <w:tcPr>
            <w:tcW w:w="1200" w:type="dxa"/>
          </w:tcPr>
          <w:p w14:paraId="12807EB2" w14:textId="77777777" w:rsidR="004609F0" w:rsidRDefault="00BC7B8C">
            <w:pPr>
              <w:jc w:val="center"/>
              <w:rPr>
                <w:rFonts w:ascii="Arial" w:eastAsia="Arial" w:hAnsi="Arial" w:cs="Arial"/>
                <w:color w:val="000000"/>
                <w:sz w:val="24"/>
                <w:szCs w:val="24"/>
              </w:rPr>
            </w:pPr>
            <w:proofErr w:type="spellStart"/>
            <w:r>
              <w:rPr>
                <w:rFonts w:ascii="Arial" w:eastAsia="Arial" w:hAnsi="Arial" w:cs="Arial"/>
                <w:color w:val="000000"/>
                <w:sz w:val="24"/>
                <w:szCs w:val="24"/>
              </w:rPr>
              <w:t>UnSu</w:t>
            </w:r>
            <w:proofErr w:type="spellEnd"/>
            <w:r>
              <w:rPr>
                <w:rFonts w:ascii="Arial" w:eastAsia="Arial" w:hAnsi="Arial" w:cs="Arial"/>
                <w:color w:val="000000"/>
                <w:sz w:val="24"/>
                <w:szCs w:val="24"/>
              </w:rPr>
              <w:t>.</w:t>
            </w:r>
          </w:p>
        </w:tc>
        <w:tc>
          <w:tcPr>
            <w:tcW w:w="1180" w:type="dxa"/>
          </w:tcPr>
          <w:p w14:paraId="66892AB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0</w:t>
            </w:r>
          </w:p>
        </w:tc>
        <w:tc>
          <w:tcPr>
            <w:tcW w:w="1220" w:type="dxa"/>
          </w:tcPr>
          <w:p w14:paraId="37385CDD"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w:t>
            </w:r>
          </w:p>
        </w:tc>
      </w:tr>
      <w:tr w:rsidR="004609F0" w14:paraId="7BA9ED1F" w14:textId="77777777">
        <w:trPr>
          <w:trHeight w:val="288"/>
          <w:jc w:val="center"/>
        </w:trPr>
        <w:tc>
          <w:tcPr>
            <w:tcW w:w="988" w:type="dxa"/>
          </w:tcPr>
          <w:p w14:paraId="658236AC"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w:t>
            </w:r>
          </w:p>
        </w:tc>
        <w:tc>
          <w:tcPr>
            <w:tcW w:w="1559" w:type="dxa"/>
          </w:tcPr>
          <w:p w14:paraId="4F783F99"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MAR</w:t>
            </w:r>
          </w:p>
        </w:tc>
        <w:tc>
          <w:tcPr>
            <w:tcW w:w="1283" w:type="dxa"/>
          </w:tcPr>
          <w:p w14:paraId="532CA5A0"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&lt;50</w:t>
            </w:r>
          </w:p>
        </w:tc>
        <w:tc>
          <w:tcPr>
            <w:tcW w:w="1200" w:type="dxa"/>
          </w:tcPr>
          <w:p w14:paraId="72DACB2E" w14:textId="77777777" w:rsidR="004609F0" w:rsidRDefault="00BC7B8C">
            <w:pPr>
              <w:jc w:val="center"/>
              <w:rPr>
                <w:rFonts w:ascii="Arial" w:eastAsia="Arial" w:hAnsi="Arial" w:cs="Arial"/>
                <w:color w:val="000000"/>
                <w:sz w:val="24"/>
                <w:szCs w:val="24"/>
              </w:rPr>
            </w:pPr>
            <w:proofErr w:type="spellStart"/>
            <w:r>
              <w:rPr>
                <w:rFonts w:ascii="Arial" w:eastAsia="Arial" w:hAnsi="Arial" w:cs="Arial"/>
                <w:color w:val="000000"/>
                <w:sz w:val="24"/>
                <w:szCs w:val="24"/>
              </w:rPr>
              <w:t>Su</w:t>
            </w:r>
            <w:proofErr w:type="spellEnd"/>
            <w:r>
              <w:rPr>
                <w:rFonts w:ascii="Arial" w:eastAsia="Arial" w:hAnsi="Arial" w:cs="Arial"/>
                <w:color w:val="000000"/>
                <w:sz w:val="24"/>
                <w:szCs w:val="24"/>
              </w:rPr>
              <w:t>.</w:t>
            </w:r>
          </w:p>
        </w:tc>
        <w:tc>
          <w:tcPr>
            <w:tcW w:w="1180" w:type="dxa"/>
          </w:tcPr>
          <w:p w14:paraId="4EB19EA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55</w:t>
            </w:r>
          </w:p>
        </w:tc>
        <w:tc>
          <w:tcPr>
            <w:tcW w:w="1220" w:type="dxa"/>
          </w:tcPr>
          <w:p w14:paraId="0F20E2D0"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27%</w:t>
            </w:r>
          </w:p>
        </w:tc>
      </w:tr>
      <w:tr w:rsidR="004609F0" w14:paraId="41FE2DC4" w14:textId="77777777">
        <w:trPr>
          <w:trHeight w:val="288"/>
          <w:jc w:val="center"/>
        </w:trPr>
        <w:tc>
          <w:tcPr>
            <w:tcW w:w="988" w:type="dxa"/>
          </w:tcPr>
          <w:p w14:paraId="40FABADE" w14:textId="77777777" w:rsidR="004609F0" w:rsidRDefault="004609F0">
            <w:pPr>
              <w:jc w:val="center"/>
              <w:rPr>
                <w:rFonts w:ascii="Arial" w:eastAsia="Arial" w:hAnsi="Arial" w:cs="Arial"/>
                <w:color w:val="000000"/>
                <w:sz w:val="24"/>
                <w:szCs w:val="24"/>
              </w:rPr>
            </w:pPr>
          </w:p>
        </w:tc>
        <w:tc>
          <w:tcPr>
            <w:tcW w:w="1559" w:type="dxa"/>
          </w:tcPr>
          <w:p w14:paraId="6DDFB32F" w14:textId="77777777" w:rsidR="004609F0" w:rsidRDefault="004609F0">
            <w:pPr>
              <w:jc w:val="center"/>
              <w:rPr>
                <w:rFonts w:ascii="Arial" w:eastAsia="Arial" w:hAnsi="Arial" w:cs="Arial"/>
                <w:sz w:val="24"/>
                <w:szCs w:val="24"/>
              </w:rPr>
            </w:pPr>
          </w:p>
        </w:tc>
        <w:tc>
          <w:tcPr>
            <w:tcW w:w="1283" w:type="dxa"/>
          </w:tcPr>
          <w:p w14:paraId="39E9F86D"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&gt;50</w:t>
            </w:r>
          </w:p>
        </w:tc>
        <w:tc>
          <w:tcPr>
            <w:tcW w:w="1200" w:type="dxa"/>
          </w:tcPr>
          <w:p w14:paraId="5FEC4C3B" w14:textId="77777777" w:rsidR="004609F0" w:rsidRDefault="00BC7B8C">
            <w:pPr>
              <w:jc w:val="center"/>
              <w:rPr>
                <w:rFonts w:ascii="Arial" w:eastAsia="Arial" w:hAnsi="Arial" w:cs="Arial"/>
                <w:color w:val="000000"/>
                <w:sz w:val="24"/>
                <w:szCs w:val="24"/>
              </w:rPr>
            </w:pPr>
            <w:proofErr w:type="spellStart"/>
            <w:r>
              <w:rPr>
                <w:rFonts w:ascii="Arial" w:eastAsia="Arial" w:hAnsi="Arial" w:cs="Arial"/>
                <w:color w:val="000000"/>
                <w:sz w:val="24"/>
                <w:szCs w:val="24"/>
              </w:rPr>
              <w:t>UnSu</w:t>
            </w:r>
            <w:proofErr w:type="spellEnd"/>
            <w:r>
              <w:rPr>
                <w:rFonts w:ascii="Arial" w:eastAsia="Arial" w:hAnsi="Arial" w:cs="Arial"/>
                <w:color w:val="000000"/>
                <w:sz w:val="24"/>
                <w:szCs w:val="24"/>
              </w:rPr>
              <w:t>.</w:t>
            </w:r>
          </w:p>
        </w:tc>
        <w:tc>
          <w:tcPr>
            <w:tcW w:w="1180" w:type="dxa"/>
          </w:tcPr>
          <w:p w14:paraId="07355D16"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152</w:t>
            </w:r>
          </w:p>
        </w:tc>
        <w:tc>
          <w:tcPr>
            <w:tcW w:w="1220" w:type="dxa"/>
          </w:tcPr>
          <w:p w14:paraId="2540CCD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73.42%</w:t>
            </w:r>
          </w:p>
        </w:tc>
      </w:tr>
      <w:tr w:rsidR="004609F0" w14:paraId="43B2282B" w14:textId="77777777">
        <w:trPr>
          <w:trHeight w:val="288"/>
          <w:jc w:val="center"/>
        </w:trPr>
        <w:tc>
          <w:tcPr>
            <w:tcW w:w="988" w:type="dxa"/>
          </w:tcPr>
          <w:p w14:paraId="4F2E88C0"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w:t>
            </w:r>
          </w:p>
        </w:tc>
        <w:tc>
          <w:tcPr>
            <w:tcW w:w="1559" w:type="dxa"/>
          </w:tcPr>
          <w:p w14:paraId="474111B4"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KR</w:t>
            </w:r>
          </w:p>
        </w:tc>
        <w:tc>
          <w:tcPr>
            <w:tcW w:w="1283" w:type="dxa"/>
          </w:tcPr>
          <w:p w14:paraId="26510C12"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&lt;1</w:t>
            </w:r>
          </w:p>
        </w:tc>
        <w:tc>
          <w:tcPr>
            <w:tcW w:w="1200" w:type="dxa"/>
          </w:tcPr>
          <w:p w14:paraId="0E48D4AD" w14:textId="77777777" w:rsidR="004609F0" w:rsidRDefault="00BC7B8C">
            <w:pPr>
              <w:jc w:val="center"/>
              <w:rPr>
                <w:rFonts w:ascii="Arial" w:eastAsia="Arial" w:hAnsi="Arial" w:cs="Arial"/>
                <w:color w:val="000000"/>
                <w:sz w:val="24"/>
                <w:szCs w:val="24"/>
              </w:rPr>
            </w:pPr>
            <w:proofErr w:type="spellStart"/>
            <w:r>
              <w:rPr>
                <w:rFonts w:ascii="Arial" w:eastAsia="Arial" w:hAnsi="Arial" w:cs="Arial"/>
                <w:color w:val="000000"/>
                <w:sz w:val="24"/>
                <w:szCs w:val="24"/>
              </w:rPr>
              <w:t>Su</w:t>
            </w:r>
            <w:proofErr w:type="spellEnd"/>
            <w:r>
              <w:rPr>
                <w:rFonts w:ascii="Arial" w:eastAsia="Arial" w:hAnsi="Arial" w:cs="Arial"/>
                <w:color w:val="000000"/>
                <w:sz w:val="24"/>
                <w:szCs w:val="24"/>
              </w:rPr>
              <w:t>.</w:t>
            </w:r>
          </w:p>
        </w:tc>
        <w:tc>
          <w:tcPr>
            <w:tcW w:w="1180" w:type="dxa"/>
          </w:tcPr>
          <w:p w14:paraId="1B13A4ED"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189</w:t>
            </w:r>
          </w:p>
        </w:tc>
        <w:tc>
          <w:tcPr>
            <w:tcW w:w="1220" w:type="dxa"/>
          </w:tcPr>
          <w:p w14:paraId="5BAAD4CA"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91.03%</w:t>
            </w:r>
          </w:p>
        </w:tc>
      </w:tr>
      <w:tr w:rsidR="004609F0" w14:paraId="77F63D14" w14:textId="77777777">
        <w:trPr>
          <w:trHeight w:val="288"/>
          <w:jc w:val="center"/>
        </w:trPr>
        <w:tc>
          <w:tcPr>
            <w:tcW w:w="988" w:type="dxa"/>
          </w:tcPr>
          <w:p w14:paraId="24BBCAD8" w14:textId="77777777" w:rsidR="004609F0" w:rsidRDefault="004609F0">
            <w:pPr>
              <w:jc w:val="center"/>
              <w:rPr>
                <w:rFonts w:ascii="Arial" w:eastAsia="Arial" w:hAnsi="Arial" w:cs="Arial"/>
                <w:color w:val="000000"/>
                <w:sz w:val="24"/>
                <w:szCs w:val="24"/>
              </w:rPr>
            </w:pPr>
          </w:p>
        </w:tc>
        <w:tc>
          <w:tcPr>
            <w:tcW w:w="1559" w:type="dxa"/>
          </w:tcPr>
          <w:p w14:paraId="53619669" w14:textId="77777777" w:rsidR="004609F0" w:rsidRDefault="004609F0">
            <w:pPr>
              <w:jc w:val="center"/>
              <w:rPr>
                <w:rFonts w:ascii="Arial" w:eastAsia="Arial" w:hAnsi="Arial" w:cs="Arial"/>
                <w:sz w:val="24"/>
                <w:szCs w:val="24"/>
              </w:rPr>
            </w:pPr>
          </w:p>
        </w:tc>
        <w:tc>
          <w:tcPr>
            <w:tcW w:w="1283" w:type="dxa"/>
          </w:tcPr>
          <w:p w14:paraId="61D42118"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&gt;1</w:t>
            </w:r>
          </w:p>
        </w:tc>
        <w:tc>
          <w:tcPr>
            <w:tcW w:w="1200" w:type="dxa"/>
          </w:tcPr>
          <w:p w14:paraId="22068597" w14:textId="77777777" w:rsidR="004609F0" w:rsidRDefault="00BC7B8C">
            <w:pPr>
              <w:jc w:val="center"/>
              <w:rPr>
                <w:rFonts w:ascii="Arial" w:eastAsia="Arial" w:hAnsi="Arial" w:cs="Arial"/>
                <w:color w:val="000000"/>
                <w:sz w:val="24"/>
                <w:szCs w:val="24"/>
              </w:rPr>
            </w:pPr>
            <w:proofErr w:type="spellStart"/>
            <w:r>
              <w:rPr>
                <w:rFonts w:ascii="Arial" w:eastAsia="Arial" w:hAnsi="Arial" w:cs="Arial"/>
                <w:color w:val="000000"/>
                <w:sz w:val="24"/>
                <w:szCs w:val="24"/>
              </w:rPr>
              <w:t>UnSu</w:t>
            </w:r>
            <w:proofErr w:type="spellEnd"/>
            <w:r>
              <w:rPr>
                <w:rFonts w:ascii="Arial" w:eastAsia="Arial" w:hAnsi="Arial" w:cs="Arial"/>
                <w:color w:val="000000"/>
                <w:sz w:val="24"/>
                <w:szCs w:val="24"/>
              </w:rPr>
              <w:t>.</w:t>
            </w:r>
          </w:p>
        </w:tc>
        <w:tc>
          <w:tcPr>
            <w:tcW w:w="1180" w:type="dxa"/>
          </w:tcPr>
          <w:p w14:paraId="6F3FAC99"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18</w:t>
            </w:r>
          </w:p>
        </w:tc>
        <w:tc>
          <w:tcPr>
            <w:tcW w:w="1220" w:type="dxa"/>
          </w:tcPr>
          <w:p w14:paraId="78CD530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8.69%</w:t>
            </w:r>
          </w:p>
        </w:tc>
      </w:tr>
      <w:tr w:rsidR="004609F0" w14:paraId="64DFFB0A" w14:textId="77777777">
        <w:trPr>
          <w:trHeight w:val="288"/>
          <w:jc w:val="center"/>
        </w:trPr>
        <w:tc>
          <w:tcPr>
            <w:tcW w:w="988" w:type="dxa"/>
          </w:tcPr>
          <w:p w14:paraId="3C9221E0"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4</w:t>
            </w:r>
          </w:p>
        </w:tc>
        <w:tc>
          <w:tcPr>
            <w:tcW w:w="1559" w:type="dxa"/>
          </w:tcPr>
          <w:p w14:paraId="4D2A60B9"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PI</w:t>
            </w:r>
          </w:p>
        </w:tc>
        <w:tc>
          <w:tcPr>
            <w:tcW w:w="1283" w:type="dxa"/>
          </w:tcPr>
          <w:p w14:paraId="6DCD649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&gt;75%</w:t>
            </w:r>
          </w:p>
        </w:tc>
        <w:tc>
          <w:tcPr>
            <w:tcW w:w="1200" w:type="dxa"/>
          </w:tcPr>
          <w:p w14:paraId="7B989DFD" w14:textId="77777777" w:rsidR="004609F0" w:rsidRDefault="00BC7B8C">
            <w:pPr>
              <w:jc w:val="center"/>
              <w:rPr>
                <w:rFonts w:ascii="Arial" w:eastAsia="Arial" w:hAnsi="Arial" w:cs="Arial"/>
                <w:color w:val="000000"/>
                <w:sz w:val="24"/>
                <w:szCs w:val="24"/>
              </w:rPr>
            </w:pPr>
            <w:proofErr w:type="spellStart"/>
            <w:r>
              <w:rPr>
                <w:rFonts w:ascii="Arial" w:eastAsia="Arial" w:hAnsi="Arial" w:cs="Arial"/>
                <w:color w:val="000000"/>
                <w:sz w:val="24"/>
                <w:szCs w:val="24"/>
              </w:rPr>
              <w:t>Su</w:t>
            </w:r>
            <w:proofErr w:type="spellEnd"/>
            <w:r>
              <w:rPr>
                <w:rFonts w:ascii="Arial" w:eastAsia="Arial" w:hAnsi="Arial" w:cs="Arial"/>
                <w:color w:val="000000"/>
                <w:sz w:val="24"/>
                <w:szCs w:val="24"/>
              </w:rPr>
              <w:t>.</w:t>
            </w:r>
          </w:p>
        </w:tc>
        <w:tc>
          <w:tcPr>
            <w:tcW w:w="1180" w:type="dxa"/>
          </w:tcPr>
          <w:p w14:paraId="28F1E879"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w:t>
            </w:r>
          </w:p>
        </w:tc>
        <w:tc>
          <w:tcPr>
            <w:tcW w:w="1220" w:type="dxa"/>
          </w:tcPr>
          <w:p w14:paraId="637043A5"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1.45%</w:t>
            </w:r>
          </w:p>
        </w:tc>
      </w:tr>
      <w:tr w:rsidR="004609F0" w14:paraId="2FDA3EA5" w14:textId="77777777">
        <w:trPr>
          <w:trHeight w:val="288"/>
          <w:jc w:val="center"/>
        </w:trPr>
        <w:tc>
          <w:tcPr>
            <w:tcW w:w="988" w:type="dxa"/>
          </w:tcPr>
          <w:p w14:paraId="7FAE9043" w14:textId="77777777" w:rsidR="004609F0" w:rsidRDefault="004609F0">
            <w:pPr>
              <w:jc w:val="center"/>
              <w:rPr>
                <w:rFonts w:ascii="Arial" w:eastAsia="Arial" w:hAnsi="Arial" w:cs="Arial"/>
                <w:color w:val="000000"/>
                <w:sz w:val="24"/>
                <w:szCs w:val="24"/>
              </w:rPr>
            </w:pPr>
          </w:p>
        </w:tc>
        <w:tc>
          <w:tcPr>
            <w:tcW w:w="1559" w:type="dxa"/>
          </w:tcPr>
          <w:p w14:paraId="66E14E2D" w14:textId="77777777" w:rsidR="004609F0" w:rsidRDefault="004609F0">
            <w:pPr>
              <w:jc w:val="center"/>
              <w:rPr>
                <w:rFonts w:ascii="Arial" w:eastAsia="Arial" w:hAnsi="Arial" w:cs="Arial"/>
                <w:sz w:val="24"/>
                <w:szCs w:val="24"/>
              </w:rPr>
            </w:pPr>
          </w:p>
        </w:tc>
        <w:tc>
          <w:tcPr>
            <w:tcW w:w="1283" w:type="dxa"/>
          </w:tcPr>
          <w:p w14:paraId="6C810DA7"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25-75%</w:t>
            </w:r>
          </w:p>
        </w:tc>
        <w:tc>
          <w:tcPr>
            <w:tcW w:w="1200" w:type="dxa"/>
          </w:tcPr>
          <w:p w14:paraId="2DF5C2C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Go.</w:t>
            </w:r>
          </w:p>
        </w:tc>
        <w:tc>
          <w:tcPr>
            <w:tcW w:w="1180" w:type="dxa"/>
          </w:tcPr>
          <w:p w14:paraId="483EBACA"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56</w:t>
            </w:r>
          </w:p>
        </w:tc>
        <w:tc>
          <w:tcPr>
            <w:tcW w:w="1220" w:type="dxa"/>
          </w:tcPr>
          <w:p w14:paraId="2990B771"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27.05%</w:t>
            </w:r>
          </w:p>
        </w:tc>
      </w:tr>
      <w:tr w:rsidR="004609F0" w14:paraId="38887BC6" w14:textId="77777777">
        <w:trPr>
          <w:trHeight w:val="288"/>
          <w:jc w:val="center"/>
        </w:trPr>
        <w:tc>
          <w:tcPr>
            <w:tcW w:w="988" w:type="dxa"/>
          </w:tcPr>
          <w:p w14:paraId="62A21C8D" w14:textId="77777777" w:rsidR="004609F0" w:rsidRDefault="004609F0">
            <w:pPr>
              <w:jc w:val="center"/>
              <w:rPr>
                <w:rFonts w:ascii="Arial" w:eastAsia="Arial" w:hAnsi="Arial" w:cs="Arial"/>
                <w:color w:val="000000"/>
                <w:sz w:val="24"/>
                <w:szCs w:val="24"/>
              </w:rPr>
            </w:pPr>
          </w:p>
        </w:tc>
        <w:tc>
          <w:tcPr>
            <w:tcW w:w="1559" w:type="dxa"/>
          </w:tcPr>
          <w:p w14:paraId="002E3A8C" w14:textId="77777777" w:rsidR="004609F0" w:rsidRDefault="004609F0">
            <w:pPr>
              <w:jc w:val="center"/>
              <w:rPr>
                <w:rFonts w:ascii="Arial" w:eastAsia="Arial" w:hAnsi="Arial" w:cs="Arial"/>
                <w:sz w:val="24"/>
                <w:szCs w:val="24"/>
              </w:rPr>
            </w:pPr>
          </w:p>
        </w:tc>
        <w:tc>
          <w:tcPr>
            <w:tcW w:w="1283" w:type="dxa"/>
          </w:tcPr>
          <w:p w14:paraId="0888C0DD"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&lt;25%</w:t>
            </w:r>
          </w:p>
        </w:tc>
        <w:tc>
          <w:tcPr>
            <w:tcW w:w="1200" w:type="dxa"/>
          </w:tcPr>
          <w:p w14:paraId="015B9404" w14:textId="77777777" w:rsidR="004609F0" w:rsidRDefault="00BC7B8C">
            <w:pPr>
              <w:jc w:val="center"/>
              <w:rPr>
                <w:rFonts w:ascii="Arial" w:eastAsia="Arial" w:hAnsi="Arial" w:cs="Arial"/>
                <w:color w:val="000000"/>
                <w:sz w:val="24"/>
                <w:szCs w:val="24"/>
              </w:rPr>
            </w:pPr>
            <w:proofErr w:type="spellStart"/>
            <w:r>
              <w:rPr>
                <w:rFonts w:ascii="Arial" w:eastAsia="Arial" w:hAnsi="Arial" w:cs="Arial"/>
                <w:color w:val="000000"/>
                <w:sz w:val="24"/>
                <w:szCs w:val="24"/>
              </w:rPr>
              <w:t>UnSu</w:t>
            </w:r>
            <w:proofErr w:type="spellEnd"/>
            <w:r>
              <w:rPr>
                <w:rFonts w:ascii="Arial" w:eastAsia="Arial" w:hAnsi="Arial" w:cs="Arial"/>
                <w:color w:val="000000"/>
                <w:sz w:val="24"/>
                <w:szCs w:val="24"/>
              </w:rPr>
              <w:t>.</w:t>
            </w:r>
          </w:p>
        </w:tc>
        <w:tc>
          <w:tcPr>
            <w:tcW w:w="1180" w:type="dxa"/>
          </w:tcPr>
          <w:p w14:paraId="314A0203"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148</w:t>
            </w:r>
          </w:p>
        </w:tc>
        <w:tc>
          <w:tcPr>
            <w:tcW w:w="1220" w:type="dxa"/>
          </w:tcPr>
          <w:p w14:paraId="7F3BE9E2"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71.50%</w:t>
            </w:r>
          </w:p>
        </w:tc>
      </w:tr>
      <w:tr w:rsidR="004609F0" w14:paraId="439FC244" w14:textId="77777777">
        <w:trPr>
          <w:trHeight w:val="288"/>
          <w:jc w:val="center"/>
        </w:trPr>
        <w:tc>
          <w:tcPr>
            <w:tcW w:w="988" w:type="dxa"/>
          </w:tcPr>
          <w:p w14:paraId="6701361E"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w:t>
            </w:r>
          </w:p>
        </w:tc>
        <w:tc>
          <w:tcPr>
            <w:tcW w:w="1559" w:type="dxa"/>
          </w:tcPr>
          <w:p w14:paraId="3485F8E9"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PS</w:t>
            </w:r>
          </w:p>
        </w:tc>
        <w:tc>
          <w:tcPr>
            <w:tcW w:w="1283" w:type="dxa"/>
          </w:tcPr>
          <w:p w14:paraId="12AADE96"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&lt;3</w:t>
            </w:r>
          </w:p>
        </w:tc>
        <w:tc>
          <w:tcPr>
            <w:tcW w:w="1200" w:type="dxa"/>
          </w:tcPr>
          <w:p w14:paraId="4029CF19" w14:textId="77777777" w:rsidR="004609F0" w:rsidRDefault="00BC7B8C">
            <w:pPr>
              <w:jc w:val="center"/>
              <w:rPr>
                <w:rFonts w:ascii="Arial" w:eastAsia="Arial" w:hAnsi="Arial" w:cs="Arial"/>
                <w:color w:val="000000"/>
                <w:sz w:val="24"/>
                <w:szCs w:val="24"/>
              </w:rPr>
            </w:pPr>
            <w:proofErr w:type="spellStart"/>
            <w:r>
              <w:rPr>
                <w:rFonts w:ascii="Arial" w:eastAsia="Arial" w:hAnsi="Arial" w:cs="Arial"/>
                <w:color w:val="000000"/>
                <w:sz w:val="24"/>
                <w:szCs w:val="24"/>
              </w:rPr>
              <w:t>Su</w:t>
            </w:r>
            <w:proofErr w:type="spellEnd"/>
            <w:r>
              <w:rPr>
                <w:rFonts w:ascii="Arial" w:eastAsia="Arial" w:hAnsi="Arial" w:cs="Arial"/>
                <w:color w:val="000000"/>
                <w:sz w:val="24"/>
                <w:szCs w:val="24"/>
              </w:rPr>
              <w:t>.</w:t>
            </w:r>
          </w:p>
        </w:tc>
        <w:tc>
          <w:tcPr>
            <w:tcW w:w="1180" w:type="dxa"/>
          </w:tcPr>
          <w:p w14:paraId="1EFACB2D"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12</w:t>
            </w:r>
          </w:p>
        </w:tc>
        <w:tc>
          <w:tcPr>
            <w:tcW w:w="1220" w:type="dxa"/>
          </w:tcPr>
          <w:p w14:paraId="16512FB4"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5.80%</w:t>
            </w:r>
          </w:p>
        </w:tc>
      </w:tr>
      <w:tr w:rsidR="004609F0" w14:paraId="7F7C740B" w14:textId="77777777">
        <w:trPr>
          <w:trHeight w:val="288"/>
          <w:jc w:val="center"/>
        </w:trPr>
        <w:tc>
          <w:tcPr>
            <w:tcW w:w="988" w:type="dxa"/>
          </w:tcPr>
          <w:p w14:paraId="62EC752E" w14:textId="77777777" w:rsidR="004609F0" w:rsidRDefault="004609F0">
            <w:pPr>
              <w:jc w:val="center"/>
              <w:rPr>
                <w:rFonts w:ascii="Arial" w:eastAsia="Arial" w:hAnsi="Arial" w:cs="Arial"/>
                <w:color w:val="000000"/>
                <w:sz w:val="24"/>
                <w:szCs w:val="24"/>
              </w:rPr>
            </w:pPr>
          </w:p>
        </w:tc>
        <w:tc>
          <w:tcPr>
            <w:tcW w:w="1559" w:type="dxa"/>
          </w:tcPr>
          <w:p w14:paraId="245854AF" w14:textId="77777777" w:rsidR="004609F0" w:rsidRDefault="004609F0">
            <w:pPr>
              <w:jc w:val="center"/>
              <w:rPr>
                <w:rFonts w:ascii="Arial" w:eastAsia="Arial" w:hAnsi="Arial" w:cs="Arial"/>
                <w:sz w:val="24"/>
                <w:szCs w:val="24"/>
              </w:rPr>
            </w:pPr>
          </w:p>
        </w:tc>
        <w:tc>
          <w:tcPr>
            <w:tcW w:w="1283" w:type="dxa"/>
          </w:tcPr>
          <w:p w14:paraId="6BB5716C"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&gt;3</w:t>
            </w:r>
          </w:p>
        </w:tc>
        <w:tc>
          <w:tcPr>
            <w:tcW w:w="1200" w:type="dxa"/>
          </w:tcPr>
          <w:p w14:paraId="2ACD30C0" w14:textId="77777777" w:rsidR="004609F0" w:rsidRDefault="00BC7B8C">
            <w:pPr>
              <w:jc w:val="center"/>
              <w:rPr>
                <w:rFonts w:ascii="Arial" w:eastAsia="Arial" w:hAnsi="Arial" w:cs="Arial"/>
                <w:color w:val="000000"/>
                <w:sz w:val="24"/>
                <w:szCs w:val="24"/>
              </w:rPr>
            </w:pPr>
            <w:proofErr w:type="spellStart"/>
            <w:r>
              <w:rPr>
                <w:rFonts w:ascii="Arial" w:eastAsia="Arial" w:hAnsi="Arial" w:cs="Arial"/>
                <w:color w:val="000000"/>
                <w:sz w:val="24"/>
                <w:szCs w:val="24"/>
              </w:rPr>
              <w:t>UnSu</w:t>
            </w:r>
            <w:proofErr w:type="spellEnd"/>
            <w:r>
              <w:rPr>
                <w:rFonts w:ascii="Arial" w:eastAsia="Arial" w:hAnsi="Arial" w:cs="Arial"/>
                <w:color w:val="000000"/>
                <w:sz w:val="24"/>
                <w:szCs w:val="24"/>
              </w:rPr>
              <w:t>.</w:t>
            </w:r>
          </w:p>
        </w:tc>
        <w:tc>
          <w:tcPr>
            <w:tcW w:w="1180" w:type="dxa"/>
          </w:tcPr>
          <w:p w14:paraId="1CD3FA9D"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194</w:t>
            </w:r>
          </w:p>
        </w:tc>
        <w:tc>
          <w:tcPr>
            <w:tcW w:w="1220" w:type="dxa"/>
          </w:tcPr>
          <w:p w14:paraId="0B4209BE"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93.72%</w:t>
            </w:r>
          </w:p>
        </w:tc>
      </w:tr>
      <w:tr w:rsidR="004609F0" w14:paraId="6E40F44A" w14:textId="77777777">
        <w:trPr>
          <w:trHeight w:val="288"/>
          <w:jc w:val="center"/>
        </w:trPr>
        <w:tc>
          <w:tcPr>
            <w:tcW w:w="988" w:type="dxa"/>
          </w:tcPr>
          <w:p w14:paraId="647CC8C6"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6</w:t>
            </w:r>
          </w:p>
        </w:tc>
        <w:tc>
          <w:tcPr>
            <w:tcW w:w="1559" w:type="dxa"/>
          </w:tcPr>
          <w:p w14:paraId="222F3AA9"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RSC</w:t>
            </w:r>
          </w:p>
        </w:tc>
        <w:tc>
          <w:tcPr>
            <w:tcW w:w="1283" w:type="dxa"/>
          </w:tcPr>
          <w:p w14:paraId="08EA19F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 xml:space="preserve"> 1.25</w:t>
            </w:r>
          </w:p>
        </w:tc>
        <w:tc>
          <w:tcPr>
            <w:tcW w:w="1200" w:type="dxa"/>
          </w:tcPr>
          <w:p w14:paraId="17F412B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Go.</w:t>
            </w:r>
          </w:p>
        </w:tc>
        <w:tc>
          <w:tcPr>
            <w:tcW w:w="1180" w:type="dxa"/>
          </w:tcPr>
          <w:p w14:paraId="097FEB54"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137</w:t>
            </w:r>
          </w:p>
        </w:tc>
        <w:tc>
          <w:tcPr>
            <w:tcW w:w="1220" w:type="dxa"/>
          </w:tcPr>
          <w:p w14:paraId="0B73A300"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66.18%</w:t>
            </w:r>
          </w:p>
        </w:tc>
      </w:tr>
      <w:tr w:rsidR="004609F0" w14:paraId="660ACF3F" w14:textId="77777777">
        <w:trPr>
          <w:trHeight w:val="288"/>
          <w:jc w:val="center"/>
        </w:trPr>
        <w:tc>
          <w:tcPr>
            <w:tcW w:w="988" w:type="dxa"/>
          </w:tcPr>
          <w:p w14:paraId="4CE8AB0D" w14:textId="77777777" w:rsidR="004609F0" w:rsidRDefault="004609F0">
            <w:pPr>
              <w:jc w:val="center"/>
              <w:rPr>
                <w:rFonts w:ascii="Arial" w:eastAsia="Arial" w:hAnsi="Arial" w:cs="Arial"/>
                <w:color w:val="000000"/>
                <w:sz w:val="24"/>
                <w:szCs w:val="24"/>
              </w:rPr>
            </w:pPr>
          </w:p>
        </w:tc>
        <w:tc>
          <w:tcPr>
            <w:tcW w:w="1559" w:type="dxa"/>
          </w:tcPr>
          <w:p w14:paraId="14F6E86B" w14:textId="77777777" w:rsidR="004609F0" w:rsidRDefault="004609F0">
            <w:pPr>
              <w:jc w:val="center"/>
              <w:rPr>
                <w:rFonts w:ascii="Arial" w:eastAsia="Arial" w:hAnsi="Arial" w:cs="Arial"/>
                <w:sz w:val="24"/>
                <w:szCs w:val="24"/>
              </w:rPr>
            </w:pPr>
          </w:p>
        </w:tc>
        <w:tc>
          <w:tcPr>
            <w:tcW w:w="1283" w:type="dxa"/>
          </w:tcPr>
          <w:p w14:paraId="5F3F0A6A"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1.25 - 2.5</w:t>
            </w:r>
          </w:p>
        </w:tc>
        <w:tc>
          <w:tcPr>
            <w:tcW w:w="1200" w:type="dxa"/>
          </w:tcPr>
          <w:p w14:paraId="107F7188"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Doc.</w:t>
            </w:r>
          </w:p>
        </w:tc>
        <w:tc>
          <w:tcPr>
            <w:tcW w:w="1180" w:type="dxa"/>
          </w:tcPr>
          <w:p w14:paraId="04332CE7"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17</w:t>
            </w:r>
          </w:p>
        </w:tc>
        <w:tc>
          <w:tcPr>
            <w:tcW w:w="1220" w:type="dxa"/>
          </w:tcPr>
          <w:p w14:paraId="3A4E39C3"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8.21%</w:t>
            </w:r>
          </w:p>
        </w:tc>
      </w:tr>
      <w:tr w:rsidR="004609F0" w14:paraId="5EA359C8" w14:textId="77777777">
        <w:trPr>
          <w:trHeight w:val="288"/>
          <w:jc w:val="center"/>
        </w:trPr>
        <w:tc>
          <w:tcPr>
            <w:tcW w:w="988" w:type="dxa"/>
            <w:tcBorders>
              <w:bottom w:val="single" w:sz="4" w:space="0" w:color="000000"/>
            </w:tcBorders>
          </w:tcPr>
          <w:p w14:paraId="47BD82D2" w14:textId="77777777" w:rsidR="004609F0" w:rsidRDefault="004609F0">
            <w:pPr>
              <w:rPr>
                <w:rFonts w:ascii="Arial" w:eastAsia="Arial" w:hAnsi="Arial" w:cs="Arial"/>
                <w:color w:val="000000"/>
                <w:sz w:val="24"/>
                <w:szCs w:val="24"/>
              </w:rPr>
            </w:pPr>
          </w:p>
        </w:tc>
        <w:tc>
          <w:tcPr>
            <w:tcW w:w="1559" w:type="dxa"/>
            <w:tcBorders>
              <w:bottom w:val="single" w:sz="4" w:space="0" w:color="000000"/>
            </w:tcBorders>
          </w:tcPr>
          <w:p w14:paraId="4C509173" w14:textId="77777777" w:rsidR="004609F0" w:rsidRDefault="004609F0">
            <w:pPr>
              <w:jc w:val="center"/>
              <w:rPr>
                <w:rFonts w:ascii="Arial" w:eastAsia="Arial" w:hAnsi="Arial" w:cs="Arial"/>
                <w:sz w:val="24"/>
                <w:szCs w:val="24"/>
              </w:rPr>
            </w:pPr>
          </w:p>
        </w:tc>
        <w:tc>
          <w:tcPr>
            <w:tcW w:w="1283" w:type="dxa"/>
            <w:tcBorders>
              <w:bottom w:val="single" w:sz="4" w:space="0" w:color="000000"/>
            </w:tcBorders>
          </w:tcPr>
          <w:p w14:paraId="49E8B67A"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 xml:space="preserve"> 2.5</w:t>
            </w:r>
          </w:p>
        </w:tc>
        <w:tc>
          <w:tcPr>
            <w:tcW w:w="1200" w:type="dxa"/>
            <w:tcBorders>
              <w:bottom w:val="single" w:sz="4" w:space="0" w:color="000000"/>
            </w:tcBorders>
          </w:tcPr>
          <w:p w14:paraId="7FAD4E04" w14:textId="77777777" w:rsidR="004609F0" w:rsidRDefault="00BC7B8C">
            <w:pPr>
              <w:jc w:val="center"/>
              <w:rPr>
                <w:rFonts w:ascii="Arial" w:eastAsia="Arial" w:hAnsi="Arial" w:cs="Arial"/>
                <w:color w:val="000000"/>
                <w:sz w:val="24"/>
                <w:szCs w:val="24"/>
              </w:rPr>
            </w:pPr>
            <w:proofErr w:type="spellStart"/>
            <w:r>
              <w:rPr>
                <w:rFonts w:ascii="Arial" w:eastAsia="Arial" w:hAnsi="Arial" w:cs="Arial"/>
                <w:color w:val="000000"/>
                <w:sz w:val="24"/>
                <w:szCs w:val="24"/>
              </w:rPr>
              <w:t>UnSu</w:t>
            </w:r>
            <w:proofErr w:type="spellEnd"/>
            <w:r>
              <w:rPr>
                <w:rFonts w:ascii="Arial" w:eastAsia="Arial" w:hAnsi="Arial" w:cs="Arial"/>
                <w:color w:val="000000"/>
                <w:sz w:val="24"/>
                <w:szCs w:val="24"/>
              </w:rPr>
              <w:t>.</w:t>
            </w:r>
          </w:p>
        </w:tc>
        <w:tc>
          <w:tcPr>
            <w:tcW w:w="1180" w:type="dxa"/>
            <w:tcBorders>
              <w:bottom w:val="single" w:sz="4" w:space="0" w:color="000000"/>
            </w:tcBorders>
          </w:tcPr>
          <w:p w14:paraId="3696FEA4"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53</w:t>
            </w:r>
          </w:p>
        </w:tc>
        <w:tc>
          <w:tcPr>
            <w:tcW w:w="1220" w:type="dxa"/>
            <w:tcBorders>
              <w:bottom w:val="single" w:sz="4" w:space="0" w:color="000000"/>
            </w:tcBorders>
          </w:tcPr>
          <w:p w14:paraId="59B3B7E9"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25.60%</w:t>
            </w:r>
          </w:p>
        </w:tc>
      </w:tr>
    </w:tbl>
    <w:p w14:paraId="3BB83C53" w14:textId="77777777" w:rsidR="004609F0" w:rsidRDefault="004609F0">
      <w:pPr>
        <w:spacing w:line="240" w:lineRule="auto"/>
        <w:jc w:val="both"/>
        <w:rPr>
          <w:rFonts w:ascii="Arial" w:eastAsia="Arial" w:hAnsi="Arial" w:cs="Arial"/>
          <w:sz w:val="24"/>
          <w:szCs w:val="24"/>
        </w:rPr>
      </w:pPr>
    </w:p>
    <w:p w14:paraId="25EF20DC" w14:textId="77777777" w:rsidR="004609F0" w:rsidRDefault="00BC7B8C">
      <w:pPr>
        <w:spacing w:line="240" w:lineRule="auto"/>
        <w:jc w:val="both"/>
        <w:rPr>
          <w:rFonts w:ascii="Arial" w:eastAsia="Arial" w:hAnsi="Arial" w:cs="Arial"/>
          <w:sz w:val="24"/>
          <w:szCs w:val="24"/>
        </w:rPr>
      </w:pPr>
      <w:r>
        <w:rPr>
          <w:rFonts w:ascii="Arial" w:eastAsia="Arial" w:hAnsi="Arial" w:cs="Arial"/>
          <w:sz w:val="24"/>
          <w:szCs w:val="24"/>
        </w:rPr>
        <w:t xml:space="preserve">Predominantly, </w:t>
      </w:r>
      <w:r>
        <w:rPr>
          <w:rFonts w:ascii="Arial" w:eastAsia="Arial" w:hAnsi="Arial" w:cs="Arial"/>
          <w:sz w:val="24"/>
          <w:szCs w:val="24"/>
        </w:rPr>
        <w:t xml:space="preserve">it is evident that the majority of the groundwater presents a significant salinity hazard. If such water is used repeatedly, it can lead to reduced permeability, progressive soil </w:t>
      </w:r>
      <w:proofErr w:type="spellStart"/>
      <w:r>
        <w:rPr>
          <w:rFonts w:ascii="Arial" w:eastAsia="Arial" w:hAnsi="Arial" w:cs="Arial"/>
          <w:sz w:val="24"/>
          <w:szCs w:val="24"/>
        </w:rPr>
        <w:t>salinisation</w:t>
      </w:r>
      <w:proofErr w:type="spellEnd"/>
      <w:r>
        <w:rPr>
          <w:rFonts w:ascii="Arial" w:eastAsia="Arial" w:hAnsi="Arial" w:cs="Arial"/>
          <w:sz w:val="24"/>
          <w:szCs w:val="24"/>
        </w:rPr>
        <w:t>, and decreased crop productivity.</w:t>
      </w:r>
    </w:p>
    <w:p w14:paraId="61CC5031" w14:textId="77777777" w:rsidR="004609F0" w:rsidRDefault="00BC7B8C">
      <w:pPr>
        <w:spacing w:line="240" w:lineRule="auto"/>
        <w:rPr>
          <w:rFonts w:ascii="Arial" w:eastAsia="Arial" w:hAnsi="Arial" w:cs="Arial"/>
          <w:b/>
          <w:sz w:val="24"/>
          <w:szCs w:val="24"/>
        </w:rPr>
      </w:pPr>
      <w:r>
        <w:rPr>
          <w:rFonts w:ascii="Arial" w:eastAsia="Arial" w:hAnsi="Arial" w:cs="Arial"/>
          <w:b/>
          <w:sz w:val="24"/>
          <w:szCs w:val="24"/>
        </w:rPr>
        <w:t>5.2.6</w:t>
      </w:r>
      <w:r>
        <w:rPr>
          <w:rFonts w:ascii="Arial" w:eastAsia="Arial" w:hAnsi="Arial" w:cs="Arial"/>
          <w:sz w:val="24"/>
          <w:szCs w:val="24"/>
        </w:rPr>
        <w:t xml:space="preserve"> </w:t>
      </w:r>
      <w:r>
        <w:rPr>
          <w:rFonts w:ascii="Arial" w:eastAsia="Arial" w:hAnsi="Arial" w:cs="Arial"/>
          <w:b/>
          <w:sz w:val="24"/>
          <w:szCs w:val="24"/>
        </w:rPr>
        <w:t>Residual sodium carbonat</w:t>
      </w:r>
      <w:r>
        <w:rPr>
          <w:rFonts w:ascii="Arial" w:eastAsia="Arial" w:hAnsi="Arial" w:cs="Arial"/>
          <w:b/>
          <w:sz w:val="24"/>
          <w:szCs w:val="24"/>
        </w:rPr>
        <w:t>e (RSC)/residual alkalinity (RA)</w:t>
      </w:r>
    </w:p>
    <w:p w14:paraId="762D5172" w14:textId="77777777" w:rsidR="004609F0" w:rsidRDefault="00BC7B8C">
      <w:pPr>
        <w:spacing w:line="240" w:lineRule="auto"/>
        <w:jc w:val="both"/>
        <w:rPr>
          <w:rFonts w:ascii="Arial" w:eastAsia="Arial" w:hAnsi="Arial" w:cs="Arial"/>
          <w:sz w:val="24"/>
          <w:szCs w:val="24"/>
        </w:rPr>
      </w:pPr>
      <w:r>
        <w:rPr>
          <w:rFonts w:ascii="Arial" w:eastAsia="Arial" w:hAnsi="Arial" w:cs="Arial"/>
          <w:sz w:val="24"/>
          <w:szCs w:val="24"/>
        </w:rPr>
        <w:t>The balance between carbonate (CO</w:t>
      </w:r>
      <w:r>
        <w:rPr>
          <w:rFonts w:ascii="Cambria Math" w:eastAsia="Cambria Math" w:hAnsi="Cambria Math" w:cs="Cambria Math"/>
          <w:sz w:val="24"/>
          <w:szCs w:val="24"/>
        </w:rPr>
        <w:t>₃</w:t>
      </w:r>
      <w:r>
        <w:rPr>
          <w:rFonts w:ascii="Arial" w:eastAsia="Arial" w:hAnsi="Arial" w:cs="Arial"/>
          <w:sz w:val="24"/>
          <w:szCs w:val="24"/>
        </w:rPr>
        <w:t>²</w:t>
      </w:r>
      <w:r>
        <w:rPr>
          <w:rFonts w:ascii="Cambria Math" w:eastAsia="Cambria Math" w:hAnsi="Cambria Math" w:cs="Cambria Math"/>
          <w:sz w:val="24"/>
          <w:szCs w:val="24"/>
        </w:rPr>
        <w:t>⁻</w:t>
      </w:r>
      <w:r>
        <w:rPr>
          <w:rFonts w:ascii="Arial" w:eastAsia="Arial" w:hAnsi="Arial" w:cs="Arial"/>
          <w:sz w:val="24"/>
          <w:szCs w:val="24"/>
        </w:rPr>
        <w:t>) and bicarbonate (HCO</w:t>
      </w:r>
      <w:r>
        <w:rPr>
          <w:rFonts w:ascii="Cambria Math" w:eastAsia="Cambria Math" w:hAnsi="Cambria Math" w:cs="Cambria Math"/>
          <w:sz w:val="24"/>
          <w:szCs w:val="24"/>
        </w:rPr>
        <w:t>₃⁻</w:t>
      </w:r>
      <w:r>
        <w:rPr>
          <w:rFonts w:ascii="Arial" w:eastAsia="Arial" w:hAnsi="Arial" w:cs="Arial"/>
          <w:sz w:val="24"/>
          <w:szCs w:val="24"/>
        </w:rPr>
        <w:t>) ions in relation to calcium (Ca²</w:t>
      </w:r>
      <w:r>
        <w:rPr>
          <w:rFonts w:ascii="Cambria Math" w:eastAsia="Cambria Math" w:hAnsi="Cambria Math" w:cs="Cambria Math"/>
          <w:sz w:val="24"/>
          <w:szCs w:val="24"/>
        </w:rPr>
        <w:t>⁺</w:t>
      </w:r>
      <w:r>
        <w:rPr>
          <w:rFonts w:ascii="Arial" w:eastAsia="Arial" w:hAnsi="Arial" w:cs="Arial"/>
          <w:sz w:val="24"/>
          <w:szCs w:val="24"/>
        </w:rPr>
        <w:t>) and magnesium (Mg²</w:t>
      </w:r>
      <w:r>
        <w:rPr>
          <w:rFonts w:ascii="Cambria Math" w:eastAsia="Cambria Math" w:hAnsi="Cambria Math" w:cs="Cambria Math"/>
          <w:sz w:val="24"/>
          <w:szCs w:val="24"/>
        </w:rPr>
        <w:t>⁺</w:t>
      </w:r>
      <w:r>
        <w:rPr>
          <w:rFonts w:ascii="Arial" w:eastAsia="Arial" w:hAnsi="Arial" w:cs="Arial"/>
          <w:sz w:val="24"/>
          <w:szCs w:val="24"/>
        </w:rPr>
        <w:t xml:space="preserve">) in irrigation water is indicated by residual sodium carbonate, or RSC.  </w:t>
      </w:r>
      <w:proofErr w:type="spellStart"/>
      <w:r>
        <w:rPr>
          <w:rFonts w:ascii="Arial" w:eastAsia="Arial" w:hAnsi="Arial" w:cs="Arial"/>
          <w:sz w:val="24"/>
          <w:szCs w:val="24"/>
        </w:rPr>
        <w:t>Sodicity</w:t>
      </w:r>
      <w:proofErr w:type="spellEnd"/>
      <w:r>
        <w:rPr>
          <w:rFonts w:ascii="Arial" w:eastAsia="Arial" w:hAnsi="Arial" w:cs="Arial"/>
          <w:sz w:val="24"/>
          <w:szCs w:val="24"/>
        </w:rPr>
        <w:t>, decreased permeability,</w:t>
      </w:r>
      <w:r>
        <w:rPr>
          <w:rFonts w:ascii="Arial" w:eastAsia="Arial" w:hAnsi="Arial" w:cs="Arial"/>
          <w:sz w:val="24"/>
          <w:szCs w:val="24"/>
        </w:rPr>
        <w:t xml:space="preserve"> and structural damage </w:t>
      </w:r>
      <w:r>
        <w:rPr>
          <w:rFonts w:ascii="Arial" w:eastAsia="Arial" w:hAnsi="Arial" w:cs="Arial"/>
          <w:sz w:val="24"/>
          <w:szCs w:val="24"/>
        </w:rPr>
        <w:lastRenderedPageBreak/>
        <w:t>result from calcium and magnesium precipitation when CO</w:t>
      </w:r>
      <w:r>
        <w:rPr>
          <w:rFonts w:ascii="Cambria Math" w:eastAsia="Cambria Math" w:hAnsi="Cambria Math" w:cs="Cambria Math"/>
          <w:sz w:val="24"/>
          <w:szCs w:val="24"/>
        </w:rPr>
        <w:t>₃</w:t>
      </w:r>
      <w:r>
        <w:rPr>
          <w:rFonts w:ascii="Arial" w:eastAsia="Arial" w:hAnsi="Arial" w:cs="Arial"/>
          <w:sz w:val="24"/>
          <w:szCs w:val="24"/>
        </w:rPr>
        <w:t>²</w:t>
      </w:r>
      <w:r>
        <w:rPr>
          <w:rFonts w:ascii="Cambria Math" w:eastAsia="Cambria Math" w:hAnsi="Cambria Math" w:cs="Cambria Math"/>
          <w:sz w:val="24"/>
          <w:szCs w:val="24"/>
        </w:rPr>
        <w:t>⁻</w:t>
      </w:r>
      <w:r>
        <w:rPr>
          <w:rFonts w:ascii="Arial" w:eastAsia="Arial" w:hAnsi="Arial" w:cs="Arial"/>
          <w:sz w:val="24"/>
          <w:szCs w:val="24"/>
        </w:rPr>
        <w:t xml:space="preserve"> and HCO</w:t>
      </w:r>
      <w:r>
        <w:rPr>
          <w:rFonts w:ascii="Cambria Math" w:eastAsia="Cambria Math" w:hAnsi="Cambria Math" w:cs="Cambria Math"/>
          <w:sz w:val="24"/>
          <w:szCs w:val="24"/>
        </w:rPr>
        <w:t>₃⁻</w:t>
      </w:r>
      <w:r>
        <w:rPr>
          <w:rFonts w:ascii="Arial" w:eastAsia="Arial" w:hAnsi="Arial" w:cs="Arial"/>
          <w:sz w:val="24"/>
          <w:szCs w:val="24"/>
        </w:rPr>
        <w:t xml:space="preserve"> surpass Ca²</w:t>
      </w:r>
      <w:r>
        <w:rPr>
          <w:rFonts w:ascii="Cambria Math" w:eastAsia="Cambria Math" w:hAnsi="Cambria Math" w:cs="Cambria Math"/>
          <w:sz w:val="24"/>
          <w:szCs w:val="24"/>
        </w:rPr>
        <w:t>⁺</w:t>
      </w:r>
      <w:r>
        <w:rPr>
          <w:rFonts w:ascii="Arial" w:eastAsia="Arial" w:hAnsi="Arial" w:cs="Arial"/>
          <w:sz w:val="24"/>
          <w:szCs w:val="24"/>
        </w:rPr>
        <w:t xml:space="preserve"> and Mg²</w:t>
      </w:r>
      <w:r>
        <w:rPr>
          <w:rFonts w:ascii="Cambria Math" w:eastAsia="Cambria Math" w:hAnsi="Cambria Math" w:cs="Cambria Math"/>
          <w:sz w:val="24"/>
          <w:szCs w:val="24"/>
        </w:rPr>
        <w:t>⁺</w:t>
      </w:r>
      <w:r>
        <w:rPr>
          <w:rFonts w:ascii="Arial" w:eastAsia="Arial" w:hAnsi="Arial" w:cs="Arial"/>
          <w:sz w:val="24"/>
          <w:szCs w:val="24"/>
        </w:rPr>
        <w:t>.  RSC is measured in milliequivalents per litre (</w:t>
      </w:r>
      <w:proofErr w:type="spellStart"/>
      <w:r>
        <w:rPr>
          <w:rFonts w:ascii="Arial" w:eastAsia="Arial" w:hAnsi="Arial" w:cs="Arial"/>
          <w:sz w:val="24"/>
          <w:szCs w:val="24"/>
        </w:rPr>
        <w:t>meq</w:t>
      </w:r>
      <w:proofErr w:type="spellEnd"/>
      <w:r>
        <w:rPr>
          <w:rFonts w:ascii="Arial" w:eastAsia="Arial" w:hAnsi="Arial" w:cs="Arial"/>
          <w:sz w:val="24"/>
          <w:szCs w:val="24"/>
        </w:rPr>
        <w:t>/L) and is categorised as low (less than 1.25, safe), medium (1.25–2.5, marginal), and hig</w:t>
      </w:r>
      <w:r>
        <w:rPr>
          <w:rFonts w:ascii="Arial" w:eastAsia="Arial" w:hAnsi="Arial" w:cs="Arial"/>
          <w:sz w:val="24"/>
          <w:szCs w:val="24"/>
        </w:rPr>
        <w:t xml:space="preserve">h (greater than 2.5, inappropriate).  RSC </w:t>
      </w:r>
      <w:r>
        <w:rPr>
          <w:rFonts w:ascii="Arial" w:eastAsia="Arial" w:hAnsi="Arial" w:cs="Arial"/>
          <w:b/>
          <w:sz w:val="24"/>
          <w:szCs w:val="24"/>
        </w:rPr>
        <w:t>(Eq. (7))</w:t>
      </w:r>
      <w:r>
        <w:rPr>
          <w:rFonts w:ascii="Arial" w:eastAsia="Arial" w:hAnsi="Arial" w:cs="Arial"/>
          <w:sz w:val="24"/>
          <w:szCs w:val="24"/>
        </w:rPr>
        <w:t xml:space="preserve"> values above 2.5 are typically not appropriate for agricultural use, and values above five are strongly discouraged because they have detrimental effects on soil and plant growth.  Negative RSC values ind</w:t>
      </w:r>
      <w:r>
        <w:rPr>
          <w:rFonts w:ascii="Arial" w:eastAsia="Arial" w:hAnsi="Arial" w:cs="Arial"/>
          <w:sz w:val="24"/>
          <w:szCs w:val="24"/>
        </w:rPr>
        <w:t>icate a surplus of Ca</w:t>
      </w:r>
      <w:r>
        <w:rPr>
          <w:rFonts w:ascii="Arial" w:eastAsia="Arial" w:hAnsi="Arial" w:cs="Arial"/>
          <w:sz w:val="24"/>
          <w:szCs w:val="24"/>
          <w:vertAlign w:val="superscript"/>
        </w:rPr>
        <w:t>2+</w:t>
      </w:r>
      <w:r>
        <w:rPr>
          <w:rFonts w:ascii="Arial" w:eastAsia="Arial" w:hAnsi="Arial" w:cs="Arial"/>
          <w:sz w:val="24"/>
          <w:szCs w:val="24"/>
        </w:rPr>
        <w:t xml:space="preserve"> and Mg</w:t>
      </w:r>
      <w:r>
        <w:rPr>
          <w:rFonts w:ascii="Arial" w:eastAsia="Arial" w:hAnsi="Arial" w:cs="Arial"/>
          <w:sz w:val="24"/>
          <w:szCs w:val="24"/>
          <w:vertAlign w:val="superscript"/>
        </w:rPr>
        <w:t>2+</w:t>
      </w:r>
      <w:r>
        <w:rPr>
          <w:rFonts w:ascii="Arial" w:eastAsia="Arial" w:hAnsi="Arial" w:cs="Arial"/>
          <w:sz w:val="24"/>
          <w:szCs w:val="24"/>
        </w:rPr>
        <w:t xml:space="preserve">, whereas positive values suggest possible sodium risks. To neutralise dangerous residual carbonates, RSC assessment also aids in determining whether soil amendments, such as sulfuric acid or gypsum, are necessary (Rawat et </w:t>
      </w:r>
      <w:r>
        <w:rPr>
          <w:rFonts w:ascii="Arial" w:eastAsia="Arial" w:hAnsi="Arial" w:cs="Arial"/>
          <w:sz w:val="24"/>
          <w:szCs w:val="24"/>
        </w:rPr>
        <w:t>al., 2018).</w:t>
      </w:r>
    </w:p>
    <w:p w14:paraId="439A86F6" w14:textId="77777777" w:rsidR="004609F0" w:rsidRDefault="00BC7B8C">
      <w:pPr>
        <w:spacing w:line="240" w:lineRule="auto"/>
        <w:rPr>
          <w:rFonts w:ascii="Arial" w:eastAsia="Arial" w:hAnsi="Arial" w:cs="Arial"/>
          <w:sz w:val="24"/>
          <w:szCs w:val="24"/>
        </w:rPr>
      </w:pPr>
      <w:r>
        <w:rPr>
          <w:rFonts w:ascii="Arial" w:eastAsia="Arial" w:hAnsi="Arial" w:cs="Arial"/>
          <w:color w:val="000000"/>
          <w:sz w:val="24"/>
          <w:szCs w:val="24"/>
        </w:rPr>
        <w:t>RSC = (HCO</w:t>
      </w:r>
      <w:r>
        <w:rPr>
          <w:rFonts w:ascii="Arial" w:eastAsia="Arial" w:hAnsi="Arial" w:cs="Arial"/>
          <w:color w:val="000000"/>
          <w:sz w:val="24"/>
          <w:szCs w:val="24"/>
          <w:vertAlign w:val="subscript"/>
        </w:rPr>
        <w:t>3</w:t>
      </w:r>
      <w:sdt>
        <w:sdtPr>
          <w:tag w:val="goog_rdk_4"/>
          <w:id w:val="-874296782"/>
        </w:sdtPr>
        <w:sdtEndPr/>
        <w:sdtContent>
          <w:r>
            <w:rPr>
              <w:rFonts w:ascii="Arial Unicode MS" w:eastAsia="Arial Unicode MS" w:hAnsi="Arial Unicode MS" w:cs="Arial Unicode MS"/>
              <w:color w:val="000000"/>
              <w:sz w:val="24"/>
              <w:szCs w:val="24"/>
              <w:vertAlign w:val="superscript"/>
            </w:rPr>
            <w:t>−</w:t>
          </w:r>
          <w:r>
            <w:rPr>
              <w:rFonts w:ascii="Arial Unicode MS" w:eastAsia="Arial Unicode MS" w:hAnsi="Arial Unicode MS" w:cs="Arial Unicode MS"/>
              <w:color w:val="000000"/>
              <w:sz w:val="24"/>
              <w:szCs w:val="24"/>
              <w:vertAlign w:val="superscript"/>
            </w:rPr>
            <w:t xml:space="preserve"> </w:t>
          </w:r>
        </w:sdtContent>
      </w:sdt>
      <w:r>
        <w:rPr>
          <w:rFonts w:ascii="Arial" w:eastAsia="Arial" w:hAnsi="Arial" w:cs="Arial"/>
          <w:color w:val="000000"/>
          <w:sz w:val="24"/>
          <w:szCs w:val="24"/>
        </w:rPr>
        <w:t>+ CO</w:t>
      </w:r>
      <w:r>
        <w:rPr>
          <w:rFonts w:ascii="Arial" w:eastAsia="Arial" w:hAnsi="Arial" w:cs="Arial"/>
          <w:color w:val="000000"/>
          <w:sz w:val="24"/>
          <w:szCs w:val="24"/>
          <w:vertAlign w:val="subscript"/>
        </w:rPr>
        <w:t>3</w:t>
      </w:r>
      <w:sdt>
        <w:sdtPr>
          <w:tag w:val="goog_rdk_5"/>
          <w:id w:val="114584184"/>
        </w:sdtPr>
        <w:sdtEndPr/>
        <w:sdtContent>
          <w:r>
            <w:rPr>
              <w:rFonts w:ascii="Arial Unicode MS" w:eastAsia="Arial Unicode MS" w:hAnsi="Arial Unicode MS" w:cs="Arial Unicode MS"/>
              <w:color w:val="000000"/>
              <w:sz w:val="24"/>
              <w:szCs w:val="24"/>
              <w:vertAlign w:val="superscript"/>
            </w:rPr>
            <w:t>−</w:t>
          </w:r>
          <w:r>
            <w:rPr>
              <w:rFonts w:ascii="Arial Unicode MS" w:eastAsia="Arial Unicode MS" w:hAnsi="Arial Unicode MS" w:cs="Arial Unicode MS"/>
              <w:color w:val="000000"/>
              <w:sz w:val="24"/>
              <w:szCs w:val="24"/>
              <w:vertAlign w:val="superscript"/>
            </w:rPr>
            <w:t xml:space="preserve"> 2</w:t>
          </w:r>
        </w:sdtContent>
      </w:sdt>
      <w:sdt>
        <w:sdtPr>
          <w:tag w:val="goog_rdk_6"/>
          <w:id w:val="-1291998948"/>
        </w:sdtPr>
        <w:sdtEndPr/>
        <w:sdtContent>
          <w:r>
            <w:rPr>
              <w:rFonts w:ascii="Arial Unicode MS" w:eastAsia="Arial Unicode MS" w:hAnsi="Arial Unicode MS" w:cs="Arial Unicode MS"/>
              <w:color w:val="000000"/>
              <w:sz w:val="24"/>
              <w:szCs w:val="24"/>
            </w:rPr>
            <w:t>) − (Ca</w:t>
          </w:r>
        </w:sdtContent>
      </w:sdt>
      <w:r>
        <w:rPr>
          <w:rFonts w:ascii="Arial" w:eastAsia="Arial" w:hAnsi="Arial" w:cs="Arial"/>
          <w:color w:val="000000"/>
          <w:sz w:val="24"/>
          <w:szCs w:val="24"/>
          <w:vertAlign w:val="superscript"/>
        </w:rPr>
        <w:t>2+</w:t>
      </w:r>
      <w:r>
        <w:rPr>
          <w:rFonts w:ascii="Arial" w:eastAsia="Arial" w:hAnsi="Arial" w:cs="Arial"/>
          <w:color w:val="000000"/>
          <w:sz w:val="24"/>
          <w:szCs w:val="24"/>
        </w:rPr>
        <w:t xml:space="preserve"> + Mg</w:t>
      </w:r>
      <w:r>
        <w:rPr>
          <w:rFonts w:ascii="Arial" w:eastAsia="Arial" w:hAnsi="Arial" w:cs="Arial"/>
          <w:color w:val="000000"/>
          <w:sz w:val="24"/>
          <w:szCs w:val="24"/>
          <w:vertAlign w:val="superscript"/>
        </w:rPr>
        <w:t>2+</w:t>
      </w:r>
      <w:r>
        <w:rPr>
          <w:rFonts w:ascii="Arial" w:eastAsia="Arial" w:hAnsi="Arial" w:cs="Arial"/>
          <w:color w:val="000000"/>
          <w:sz w:val="24"/>
          <w:szCs w:val="24"/>
        </w:rPr>
        <w:t xml:space="preserve">)  </w:t>
      </w:r>
      <w:r>
        <w:rPr>
          <w:rFonts w:ascii="Arial" w:eastAsia="Arial" w:hAnsi="Arial" w:cs="Arial"/>
          <w:sz w:val="24"/>
          <w:szCs w:val="24"/>
        </w:rPr>
        <w:t xml:space="preserve">                                                                        </w:t>
      </w:r>
      <w:proofErr w:type="gramStart"/>
      <w:r>
        <w:rPr>
          <w:rFonts w:ascii="Arial" w:eastAsia="Arial" w:hAnsi="Arial" w:cs="Arial"/>
          <w:sz w:val="24"/>
          <w:szCs w:val="24"/>
        </w:rPr>
        <w:t xml:space="preserve">   (</w:t>
      </w:r>
      <w:proofErr w:type="gramEnd"/>
      <w:r>
        <w:rPr>
          <w:rFonts w:ascii="Arial" w:eastAsia="Arial" w:hAnsi="Arial" w:cs="Arial"/>
          <w:sz w:val="24"/>
          <w:szCs w:val="24"/>
        </w:rPr>
        <w:t>7)</w:t>
      </w:r>
    </w:p>
    <w:p w14:paraId="1A3871A6" w14:textId="77777777" w:rsidR="004609F0" w:rsidRDefault="00BC7B8C">
      <w:pPr>
        <w:spacing w:line="240" w:lineRule="auto"/>
        <w:jc w:val="both"/>
        <w:rPr>
          <w:rFonts w:ascii="Arial" w:eastAsia="Arial" w:hAnsi="Arial" w:cs="Arial"/>
          <w:sz w:val="24"/>
          <w:szCs w:val="24"/>
        </w:rPr>
      </w:pPr>
      <w:r>
        <w:rPr>
          <w:rFonts w:ascii="Arial" w:eastAsia="Arial" w:hAnsi="Arial" w:cs="Arial"/>
          <w:sz w:val="24"/>
          <w:szCs w:val="24"/>
        </w:rPr>
        <w:t xml:space="preserve">According to </w:t>
      </w:r>
      <w:r>
        <w:rPr>
          <w:rFonts w:ascii="Arial" w:eastAsia="Arial" w:hAnsi="Arial" w:cs="Arial"/>
          <w:b/>
          <w:sz w:val="24"/>
          <w:szCs w:val="24"/>
        </w:rPr>
        <w:t>Table 3,</w:t>
      </w:r>
      <w:r>
        <w:rPr>
          <w:rFonts w:ascii="Arial" w:eastAsia="Arial" w:hAnsi="Arial" w:cs="Arial"/>
          <w:sz w:val="24"/>
          <w:szCs w:val="24"/>
        </w:rPr>
        <w:t xml:space="preserve"> the Residual Sodium Carbonate (RSC) classification of the groundwater samples indicates that 137 </w:t>
      </w:r>
      <w:r>
        <w:rPr>
          <w:rFonts w:ascii="Arial" w:eastAsia="Arial" w:hAnsi="Arial" w:cs="Arial"/>
          <w:sz w:val="24"/>
          <w:szCs w:val="24"/>
        </w:rPr>
        <w:t xml:space="preserve">samples (66.18%) are in the good category (RSC &lt; 1.25 </w:t>
      </w:r>
      <w:proofErr w:type="spellStart"/>
      <w:r>
        <w:rPr>
          <w:rFonts w:ascii="Arial" w:eastAsia="Arial" w:hAnsi="Arial" w:cs="Arial"/>
          <w:sz w:val="24"/>
          <w:szCs w:val="24"/>
        </w:rPr>
        <w:t>meq</w:t>
      </w:r>
      <w:proofErr w:type="spellEnd"/>
      <w:r>
        <w:rPr>
          <w:rFonts w:ascii="Arial" w:eastAsia="Arial" w:hAnsi="Arial" w:cs="Arial"/>
          <w:sz w:val="24"/>
          <w:szCs w:val="24"/>
        </w:rPr>
        <w:t>/L), suggesting that there is no substantial risk of a carbonate hazard when irrigation is carried out. Depending on the soil and crop type, approximately 17 samples (8.21%) fall into the doubtful ra</w:t>
      </w:r>
      <w:r>
        <w:rPr>
          <w:rFonts w:ascii="Arial" w:eastAsia="Arial" w:hAnsi="Arial" w:cs="Arial"/>
          <w:sz w:val="24"/>
          <w:szCs w:val="24"/>
        </w:rPr>
        <w:t xml:space="preserve">nge (1.25–2.5 </w:t>
      </w:r>
      <w:proofErr w:type="spellStart"/>
      <w:r>
        <w:rPr>
          <w:rFonts w:ascii="Arial" w:eastAsia="Arial" w:hAnsi="Arial" w:cs="Arial"/>
          <w:sz w:val="24"/>
          <w:szCs w:val="24"/>
        </w:rPr>
        <w:t>meq</w:t>
      </w:r>
      <w:proofErr w:type="spellEnd"/>
      <w:r>
        <w:rPr>
          <w:rFonts w:ascii="Arial" w:eastAsia="Arial" w:hAnsi="Arial" w:cs="Arial"/>
          <w:sz w:val="24"/>
          <w:szCs w:val="24"/>
        </w:rPr>
        <w:t xml:space="preserve">/L), which may necessitate vigilance and sporadic management techniques. 53 samples, or 25.60% of the total, are deemed unsuitable (RSC &gt; 2.5 </w:t>
      </w:r>
      <w:proofErr w:type="spellStart"/>
      <w:r>
        <w:rPr>
          <w:rFonts w:ascii="Arial" w:eastAsia="Arial" w:hAnsi="Arial" w:cs="Arial"/>
          <w:sz w:val="24"/>
          <w:szCs w:val="24"/>
        </w:rPr>
        <w:t>meq</w:t>
      </w:r>
      <w:proofErr w:type="spellEnd"/>
      <w:r>
        <w:rPr>
          <w:rFonts w:ascii="Arial" w:eastAsia="Arial" w:hAnsi="Arial" w:cs="Arial"/>
          <w:sz w:val="24"/>
          <w:szCs w:val="24"/>
        </w:rPr>
        <w:t xml:space="preserve">/L), indicating a significant risk of sodium </w:t>
      </w:r>
      <w:proofErr w:type="spellStart"/>
      <w:r>
        <w:rPr>
          <w:rFonts w:ascii="Arial" w:eastAsia="Arial" w:hAnsi="Arial" w:cs="Arial"/>
          <w:sz w:val="24"/>
          <w:szCs w:val="24"/>
        </w:rPr>
        <w:t>buildup</w:t>
      </w:r>
      <w:proofErr w:type="spellEnd"/>
      <w:r>
        <w:rPr>
          <w:rFonts w:ascii="Arial" w:eastAsia="Arial" w:hAnsi="Arial" w:cs="Arial"/>
          <w:sz w:val="24"/>
          <w:szCs w:val="24"/>
        </w:rPr>
        <w:t xml:space="preserve"> due to the precipitation of calcium and m</w:t>
      </w:r>
      <w:r>
        <w:rPr>
          <w:rFonts w:ascii="Arial" w:eastAsia="Arial" w:hAnsi="Arial" w:cs="Arial"/>
          <w:sz w:val="24"/>
          <w:szCs w:val="24"/>
        </w:rPr>
        <w:t>agnesium in carbonate and bicarbonate. Such prolonged water use can, over time, weaken soil structure and decrease permeability.</w:t>
      </w:r>
    </w:p>
    <w:p w14:paraId="026C9E76" w14:textId="77777777" w:rsidR="004609F0" w:rsidRDefault="00BC7B8C">
      <w:pPr>
        <w:spacing w:line="240" w:lineRule="auto"/>
        <w:jc w:val="both"/>
        <w:rPr>
          <w:rFonts w:ascii="Arial" w:eastAsia="Arial" w:hAnsi="Arial" w:cs="Arial"/>
          <w:b/>
          <w:sz w:val="24"/>
          <w:szCs w:val="24"/>
        </w:rPr>
      </w:pPr>
      <w:r>
        <w:rPr>
          <w:rFonts w:ascii="Arial" w:eastAsia="Arial" w:hAnsi="Arial" w:cs="Arial"/>
          <w:b/>
          <w:sz w:val="24"/>
          <w:szCs w:val="24"/>
        </w:rPr>
        <w:t>5.3 Irrigation water quality index (IWQI)</w:t>
      </w:r>
    </w:p>
    <w:p w14:paraId="1C07CE57" w14:textId="77777777" w:rsidR="004609F0" w:rsidRDefault="00BC7B8C">
      <w:pPr>
        <w:spacing w:after="0" w:line="240" w:lineRule="auto"/>
        <w:ind w:firstLine="426"/>
        <w:jc w:val="both"/>
        <w:rPr>
          <w:rFonts w:ascii="Arial" w:eastAsia="Arial" w:hAnsi="Arial" w:cs="Arial"/>
          <w:sz w:val="24"/>
          <w:szCs w:val="24"/>
        </w:rPr>
      </w:pPr>
      <w:r>
        <w:rPr>
          <w:rFonts w:ascii="Arial" w:eastAsia="Arial" w:hAnsi="Arial" w:cs="Arial"/>
          <w:sz w:val="24"/>
          <w:szCs w:val="24"/>
        </w:rPr>
        <w:t>The Irrigation Water Quality Index (IWQI) is a quantitative tool used to evaluate the</w:t>
      </w:r>
      <w:r>
        <w:rPr>
          <w:rFonts w:ascii="Arial" w:eastAsia="Arial" w:hAnsi="Arial" w:cs="Arial"/>
          <w:sz w:val="24"/>
          <w:szCs w:val="24"/>
        </w:rPr>
        <w:t xml:space="preserve"> suitability of water for agricultural irrigation. It integrates various water quality parameters to assess potential risks to soil health and crop productivity. This index is particularly crucial in regions where water salinity and ion toxicity can impact</w:t>
      </w:r>
      <w:r>
        <w:rPr>
          <w:rFonts w:ascii="Arial" w:eastAsia="Arial" w:hAnsi="Arial" w:cs="Arial"/>
          <w:sz w:val="24"/>
          <w:szCs w:val="24"/>
        </w:rPr>
        <w:t xml:space="preserve"> long-term agricultural </w:t>
      </w:r>
      <w:proofErr w:type="gramStart"/>
      <w:r>
        <w:rPr>
          <w:rFonts w:ascii="Arial" w:eastAsia="Arial" w:hAnsi="Arial" w:cs="Arial"/>
          <w:sz w:val="24"/>
          <w:szCs w:val="24"/>
        </w:rPr>
        <w:t>sustainability  (</w:t>
      </w:r>
      <w:proofErr w:type="spellStart"/>
      <w:proofErr w:type="gramEnd"/>
      <w:r>
        <w:rPr>
          <w:rFonts w:ascii="Arial" w:eastAsia="Arial" w:hAnsi="Arial" w:cs="Arial"/>
          <w:sz w:val="24"/>
          <w:szCs w:val="24"/>
        </w:rPr>
        <w:t>Meireles</w:t>
      </w:r>
      <w:proofErr w:type="spellEnd"/>
      <w:r>
        <w:rPr>
          <w:rFonts w:ascii="Arial" w:eastAsia="Arial" w:hAnsi="Arial" w:cs="Arial"/>
          <w:sz w:val="24"/>
          <w:szCs w:val="24"/>
        </w:rPr>
        <w:t xml:space="preserve"> et al., 2010). The IWQI was calculated using five key water quality parameters: Electrical conductivity (EC), SAR, Na</w:t>
      </w:r>
      <w:r>
        <w:rPr>
          <w:rFonts w:ascii="Cambria Math" w:eastAsia="Cambria Math" w:hAnsi="Cambria Math" w:cs="Cambria Math"/>
          <w:sz w:val="24"/>
          <w:szCs w:val="24"/>
        </w:rPr>
        <w:t>⁺</w:t>
      </w:r>
      <w:r>
        <w:rPr>
          <w:rFonts w:ascii="Arial" w:eastAsia="Arial" w:hAnsi="Arial" w:cs="Arial"/>
          <w:sz w:val="24"/>
          <w:szCs w:val="24"/>
        </w:rPr>
        <w:t>, Cl</w:t>
      </w:r>
      <w:r>
        <w:rPr>
          <w:rFonts w:ascii="Cambria Math" w:eastAsia="Cambria Math" w:hAnsi="Cambria Math" w:cs="Cambria Math"/>
          <w:sz w:val="24"/>
          <w:szCs w:val="24"/>
        </w:rPr>
        <w:t>⁻</w:t>
      </w:r>
      <w:r>
        <w:rPr>
          <w:rFonts w:ascii="Arial" w:eastAsia="Arial" w:hAnsi="Arial" w:cs="Arial"/>
          <w:sz w:val="24"/>
          <w:szCs w:val="24"/>
        </w:rPr>
        <w:t>, and HCO</w:t>
      </w:r>
      <w:r>
        <w:rPr>
          <w:rFonts w:ascii="Cambria Math" w:eastAsia="Cambria Math" w:hAnsi="Cambria Math" w:cs="Cambria Math"/>
          <w:sz w:val="24"/>
          <w:szCs w:val="24"/>
        </w:rPr>
        <w:t>₃⁻</w:t>
      </w:r>
      <w:r>
        <w:rPr>
          <w:rFonts w:ascii="Arial" w:eastAsia="Arial" w:hAnsi="Arial" w:cs="Arial"/>
          <w:sz w:val="24"/>
          <w:szCs w:val="24"/>
        </w:rPr>
        <w:t xml:space="preserve"> concentration (</w:t>
      </w:r>
      <w:proofErr w:type="spellStart"/>
      <w:r>
        <w:rPr>
          <w:rFonts w:ascii="Arial" w:eastAsia="Arial" w:hAnsi="Arial" w:cs="Arial"/>
          <w:sz w:val="24"/>
          <w:szCs w:val="24"/>
        </w:rPr>
        <w:t>Abbasnia</w:t>
      </w:r>
      <w:proofErr w:type="spellEnd"/>
      <w:r>
        <w:rPr>
          <w:rFonts w:ascii="Arial" w:eastAsia="Arial" w:hAnsi="Arial" w:cs="Arial"/>
          <w:sz w:val="24"/>
          <w:szCs w:val="24"/>
        </w:rPr>
        <w:t xml:space="preserve"> et al., 2018b). Before data analysis, concentration units were converted from mg/L to </w:t>
      </w:r>
      <w:proofErr w:type="spellStart"/>
      <w:r>
        <w:rPr>
          <w:rFonts w:ascii="Arial" w:eastAsia="Arial" w:hAnsi="Arial" w:cs="Arial"/>
          <w:sz w:val="24"/>
          <w:szCs w:val="24"/>
        </w:rPr>
        <w:t>meq</w:t>
      </w:r>
      <w:proofErr w:type="spellEnd"/>
      <w:r>
        <w:rPr>
          <w:rFonts w:ascii="Arial" w:eastAsia="Arial" w:hAnsi="Arial" w:cs="Arial"/>
          <w:sz w:val="24"/>
          <w:szCs w:val="24"/>
        </w:rPr>
        <w:t xml:space="preserve">/L using the conversion factors provided by </w:t>
      </w:r>
      <w:proofErr w:type="spellStart"/>
      <w:r>
        <w:rPr>
          <w:rFonts w:ascii="Arial" w:eastAsia="Arial" w:hAnsi="Arial" w:cs="Arial"/>
          <w:sz w:val="24"/>
          <w:szCs w:val="24"/>
        </w:rPr>
        <w:t>Lesch</w:t>
      </w:r>
      <w:proofErr w:type="spellEnd"/>
      <w:r>
        <w:rPr>
          <w:rFonts w:ascii="Arial" w:eastAsia="Arial" w:hAnsi="Arial" w:cs="Arial"/>
          <w:sz w:val="24"/>
          <w:szCs w:val="24"/>
        </w:rPr>
        <w:t xml:space="preserve"> and Suarez (2009). </w:t>
      </w:r>
      <w:r>
        <w:rPr>
          <w:rFonts w:ascii="Arial" w:eastAsia="Arial" w:hAnsi="Arial" w:cs="Arial"/>
          <w:color w:val="000000"/>
          <w:sz w:val="24"/>
          <w:szCs w:val="24"/>
        </w:rPr>
        <w:t>The IWQI assessment was conducted by calculating the quality index values</w:t>
      </w:r>
      <w:r>
        <w:rPr>
          <w:rFonts w:ascii="Arial" w:eastAsia="Arial" w:hAnsi="Arial" w:cs="Arial"/>
          <w:color w:val="000000"/>
          <w:sz w:val="24"/>
          <w:szCs w:val="24"/>
        </w:rPr>
        <w:t xml:space="preserve"> (qi) and the corresponding weight factors (Wi) </w:t>
      </w:r>
      <w:r>
        <w:rPr>
          <w:rFonts w:ascii="Arial" w:eastAsia="Arial" w:hAnsi="Arial" w:cs="Arial"/>
          <w:sz w:val="24"/>
          <w:szCs w:val="24"/>
        </w:rPr>
        <w:t>(</w:t>
      </w:r>
      <w:proofErr w:type="spellStart"/>
      <w:r>
        <w:rPr>
          <w:rFonts w:ascii="Arial" w:eastAsia="Arial" w:hAnsi="Arial" w:cs="Arial"/>
          <w:sz w:val="24"/>
          <w:szCs w:val="24"/>
        </w:rPr>
        <w:t>Abbasnia</w:t>
      </w:r>
      <w:proofErr w:type="spellEnd"/>
      <w:r>
        <w:rPr>
          <w:rFonts w:ascii="Arial" w:eastAsia="Arial" w:hAnsi="Arial" w:cs="Arial"/>
          <w:sz w:val="24"/>
          <w:szCs w:val="24"/>
        </w:rPr>
        <w:t xml:space="preserve"> et al., 2018a; </w:t>
      </w:r>
      <w:proofErr w:type="spellStart"/>
      <w:r>
        <w:rPr>
          <w:rFonts w:ascii="Arial" w:eastAsia="Arial" w:hAnsi="Arial" w:cs="Arial"/>
          <w:sz w:val="24"/>
          <w:szCs w:val="24"/>
        </w:rPr>
        <w:t>Batarseh</w:t>
      </w:r>
      <w:proofErr w:type="spellEnd"/>
      <w:r>
        <w:rPr>
          <w:rFonts w:ascii="Arial" w:eastAsia="Arial" w:hAnsi="Arial" w:cs="Arial"/>
          <w:sz w:val="24"/>
          <w:szCs w:val="24"/>
        </w:rPr>
        <w:t xml:space="preserve"> et al., 2021). The qi values for the five parameters (</w:t>
      </w:r>
      <w:proofErr w:type="spellStart"/>
      <w:r>
        <w:rPr>
          <w:rFonts w:ascii="Arial" w:eastAsia="Arial" w:hAnsi="Arial" w:cs="Arial"/>
          <w:sz w:val="24"/>
          <w:szCs w:val="24"/>
        </w:rPr>
        <w:t>qEC</w:t>
      </w:r>
      <w:proofErr w:type="spellEnd"/>
      <w:r>
        <w:rPr>
          <w:rFonts w:ascii="Arial" w:eastAsia="Arial" w:hAnsi="Arial" w:cs="Arial"/>
          <w:sz w:val="24"/>
          <w:szCs w:val="24"/>
        </w:rPr>
        <w:t xml:space="preserve">, </w:t>
      </w:r>
      <w:proofErr w:type="spellStart"/>
      <w:r>
        <w:rPr>
          <w:rFonts w:ascii="Arial" w:eastAsia="Arial" w:hAnsi="Arial" w:cs="Arial"/>
          <w:sz w:val="24"/>
          <w:szCs w:val="24"/>
        </w:rPr>
        <w:t>qSAR</w:t>
      </w:r>
      <w:proofErr w:type="spellEnd"/>
      <w:r>
        <w:rPr>
          <w:rFonts w:ascii="Arial" w:eastAsia="Arial" w:hAnsi="Arial" w:cs="Arial"/>
          <w:sz w:val="24"/>
          <w:szCs w:val="24"/>
        </w:rPr>
        <w:t xml:space="preserve">, </w:t>
      </w:r>
      <w:proofErr w:type="spellStart"/>
      <w:r>
        <w:rPr>
          <w:rFonts w:ascii="Arial" w:eastAsia="Arial" w:hAnsi="Arial" w:cs="Arial"/>
          <w:sz w:val="24"/>
          <w:szCs w:val="24"/>
        </w:rPr>
        <w:t>qNa</w:t>
      </w:r>
      <w:proofErr w:type="spellEnd"/>
      <w:r>
        <w:rPr>
          <w:rFonts w:ascii="Cambria Math" w:eastAsia="Cambria Math" w:hAnsi="Cambria Math" w:cs="Cambria Math"/>
          <w:sz w:val="24"/>
          <w:szCs w:val="24"/>
        </w:rPr>
        <w:t>⁺</w:t>
      </w:r>
      <w:r>
        <w:rPr>
          <w:rFonts w:ascii="Arial" w:eastAsia="Arial" w:hAnsi="Arial" w:cs="Arial"/>
          <w:sz w:val="24"/>
          <w:szCs w:val="24"/>
        </w:rPr>
        <w:t xml:space="preserve">, </w:t>
      </w:r>
      <w:proofErr w:type="spellStart"/>
      <w:r>
        <w:rPr>
          <w:rFonts w:ascii="Arial" w:eastAsia="Arial" w:hAnsi="Arial" w:cs="Arial"/>
          <w:sz w:val="24"/>
          <w:szCs w:val="24"/>
        </w:rPr>
        <w:t>qCl</w:t>
      </w:r>
      <w:proofErr w:type="spellEnd"/>
      <w:r>
        <w:rPr>
          <w:rFonts w:ascii="Cambria Math" w:eastAsia="Cambria Math" w:hAnsi="Cambria Math" w:cs="Cambria Math"/>
          <w:sz w:val="24"/>
          <w:szCs w:val="24"/>
        </w:rPr>
        <w:t>⁻</w:t>
      </w:r>
      <w:r>
        <w:rPr>
          <w:rFonts w:ascii="Arial" w:eastAsia="Arial" w:hAnsi="Arial" w:cs="Arial"/>
          <w:sz w:val="24"/>
          <w:szCs w:val="24"/>
        </w:rPr>
        <w:t xml:space="preserve">, and </w:t>
      </w:r>
      <w:proofErr w:type="spellStart"/>
      <w:r>
        <w:rPr>
          <w:rFonts w:ascii="Arial" w:eastAsia="Arial" w:hAnsi="Arial" w:cs="Arial"/>
          <w:sz w:val="24"/>
          <w:szCs w:val="24"/>
        </w:rPr>
        <w:t>qHCO</w:t>
      </w:r>
      <w:proofErr w:type="spellEnd"/>
      <w:r>
        <w:rPr>
          <w:rFonts w:ascii="Cambria Math" w:eastAsia="Cambria Math" w:hAnsi="Cambria Math" w:cs="Cambria Math"/>
          <w:sz w:val="24"/>
          <w:szCs w:val="24"/>
        </w:rPr>
        <w:t>₃⁻</w:t>
      </w:r>
      <w:r>
        <w:rPr>
          <w:rFonts w:ascii="Arial" w:eastAsia="Arial" w:hAnsi="Arial" w:cs="Arial"/>
          <w:sz w:val="24"/>
          <w:szCs w:val="24"/>
        </w:rPr>
        <w:t xml:space="preserve">) were determined using </w:t>
      </w:r>
      <w:r>
        <w:rPr>
          <w:rFonts w:ascii="Arial" w:eastAsia="Arial" w:hAnsi="Arial" w:cs="Arial"/>
          <w:b/>
          <w:sz w:val="24"/>
          <w:szCs w:val="24"/>
        </w:rPr>
        <w:t>Equation 8</w:t>
      </w:r>
      <w:r>
        <w:rPr>
          <w:rFonts w:ascii="Arial" w:eastAsia="Arial" w:hAnsi="Arial" w:cs="Arial"/>
          <w:sz w:val="24"/>
          <w:szCs w:val="24"/>
        </w:rPr>
        <w:t>. The upper limits of these parameters were used as t</w:t>
      </w:r>
      <w:r>
        <w:rPr>
          <w:rFonts w:ascii="Arial" w:eastAsia="Arial" w:hAnsi="Arial" w:cs="Arial"/>
          <w:sz w:val="24"/>
          <w:szCs w:val="24"/>
        </w:rPr>
        <w:t xml:space="preserve">he highest observed values to evaluate </w:t>
      </w:r>
      <w:proofErr w:type="spellStart"/>
      <w:r>
        <w:rPr>
          <w:rFonts w:ascii="Arial" w:eastAsia="Arial" w:hAnsi="Arial" w:cs="Arial"/>
          <w:sz w:val="24"/>
          <w:szCs w:val="24"/>
        </w:rPr>
        <w:t>x</w:t>
      </w:r>
      <w:r>
        <w:rPr>
          <w:rFonts w:ascii="Arial" w:eastAsia="Arial" w:hAnsi="Arial" w:cs="Arial"/>
          <w:sz w:val="24"/>
          <w:szCs w:val="24"/>
          <w:vertAlign w:val="subscript"/>
        </w:rPr>
        <w:t>imap</w:t>
      </w:r>
      <w:proofErr w:type="spellEnd"/>
      <w:r>
        <w:rPr>
          <w:rFonts w:ascii="Arial" w:eastAsia="Arial" w:hAnsi="Arial" w:cs="Arial"/>
          <w:sz w:val="24"/>
          <w:szCs w:val="24"/>
        </w:rPr>
        <w:t xml:space="preserve">. </w:t>
      </w:r>
    </w:p>
    <w:p w14:paraId="72839F4B" w14:textId="77777777" w:rsidR="004609F0" w:rsidRDefault="00BC7B8C">
      <w:pPr>
        <w:spacing w:after="0" w:line="240" w:lineRule="auto"/>
        <w:rPr>
          <w:rFonts w:ascii="Arial" w:eastAsia="Arial" w:hAnsi="Arial" w:cs="Arial"/>
          <w:sz w:val="24"/>
          <w:szCs w:val="24"/>
        </w:rPr>
      </w:pPr>
      <w:r>
        <w:rPr>
          <w:rFonts w:ascii="Arial" w:eastAsia="Arial" w:hAnsi="Arial" w:cs="Arial"/>
          <w:sz w:val="24"/>
          <w:szCs w:val="24"/>
        </w:rPr>
        <w:t>q</w:t>
      </w:r>
      <w:r>
        <w:rPr>
          <w:rFonts w:ascii="Arial" w:eastAsia="Arial" w:hAnsi="Arial" w:cs="Arial"/>
          <w:sz w:val="24"/>
          <w:szCs w:val="24"/>
          <w:vertAlign w:val="subscript"/>
        </w:rPr>
        <w:t>i</w:t>
      </w:r>
      <w:r>
        <w:rPr>
          <w:rFonts w:ascii="Arial" w:eastAsia="Arial" w:hAnsi="Arial" w:cs="Arial"/>
          <w:sz w:val="24"/>
          <w:szCs w:val="24"/>
        </w:rPr>
        <w:t xml:space="preserve"> = </w:t>
      </w:r>
      <w:proofErr w:type="spellStart"/>
      <w:r>
        <w:rPr>
          <w:rFonts w:ascii="Arial" w:eastAsia="Arial" w:hAnsi="Arial" w:cs="Arial"/>
          <w:sz w:val="24"/>
          <w:szCs w:val="24"/>
        </w:rPr>
        <w:t>q</w:t>
      </w:r>
      <w:r>
        <w:rPr>
          <w:rFonts w:ascii="Arial" w:eastAsia="Arial" w:hAnsi="Arial" w:cs="Arial"/>
          <w:sz w:val="24"/>
          <w:szCs w:val="24"/>
          <w:vertAlign w:val="subscript"/>
        </w:rPr>
        <w:t>max</w:t>
      </w:r>
      <w:proofErr w:type="spellEnd"/>
      <w:r>
        <w:rPr>
          <w:rFonts w:ascii="Arial" w:eastAsia="Arial" w:hAnsi="Arial" w:cs="Arial"/>
          <w:sz w:val="24"/>
          <w:szCs w:val="24"/>
        </w:rPr>
        <w:t xml:space="preserve"> [ </w:t>
      </w:r>
      <m:oMath>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inf</m:t>
                    </m:r>
                  </m:sub>
                </m:sSub>
              </m:e>
            </m:d>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imap</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amp</m:t>
                </m:r>
              </m:sub>
            </m:sSub>
          </m:den>
        </m:f>
        <m:r>
          <w:rPr>
            <w:rFonts w:ascii="Cambria Math" w:eastAsia="Cambria Math" w:hAnsi="Cambria Math" w:cs="Cambria Math"/>
            <w:sz w:val="24"/>
            <w:szCs w:val="24"/>
          </w:rPr>
          <m:t xml:space="preserve"> </m:t>
        </m:r>
      </m:oMath>
      <w:r>
        <w:rPr>
          <w:rFonts w:ascii="Arial" w:eastAsia="Arial" w:hAnsi="Arial" w:cs="Arial"/>
          <w:sz w:val="24"/>
          <w:szCs w:val="24"/>
        </w:rPr>
        <w:t xml:space="preserve">]                                                                                                </w:t>
      </w:r>
      <w:proofErr w:type="gramStart"/>
      <w:r>
        <w:rPr>
          <w:rFonts w:ascii="Arial" w:eastAsia="Arial" w:hAnsi="Arial" w:cs="Arial"/>
          <w:sz w:val="24"/>
          <w:szCs w:val="24"/>
        </w:rPr>
        <w:t xml:space="preserve">   (</w:t>
      </w:r>
      <w:proofErr w:type="gramEnd"/>
      <w:r>
        <w:rPr>
          <w:rFonts w:ascii="Arial" w:eastAsia="Arial" w:hAnsi="Arial" w:cs="Arial"/>
          <w:sz w:val="24"/>
          <w:szCs w:val="24"/>
        </w:rPr>
        <w:t xml:space="preserve">8)   </w:t>
      </w:r>
    </w:p>
    <w:p w14:paraId="3E830039" w14:textId="77777777" w:rsidR="004609F0" w:rsidRDefault="00BC7B8C">
      <w:pPr>
        <w:spacing w:after="0" w:line="240" w:lineRule="auto"/>
        <w:jc w:val="both"/>
        <w:rPr>
          <w:rFonts w:ascii="Arial" w:eastAsia="Arial" w:hAnsi="Arial" w:cs="Arial"/>
          <w:sz w:val="24"/>
          <w:szCs w:val="24"/>
        </w:rPr>
      </w:pPr>
      <w:r>
        <w:rPr>
          <w:rFonts w:ascii="Arial" w:eastAsia="Arial" w:hAnsi="Arial" w:cs="Arial"/>
          <w:sz w:val="24"/>
          <w:szCs w:val="24"/>
        </w:rPr>
        <w:t>Where;</w:t>
      </w:r>
    </w:p>
    <w:p w14:paraId="42AC6DD6" w14:textId="77777777" w:rsidR="004609F0" w:rsidRDefault="00BC7B8C">
      <w:pPr>
        <w:spacing w:after="0" w:line="240" w:lineRule="auto"/>
        <w:jc w:val="both"/>
        <w:rPr>
          <w:rFonts w:ascii="Arial" w:eastAsia="Arial" w:hAnsi="Arial" w:cs="Arial"/>
          <w:sz w:val="24"/>
          <w:szCs w:val="24"/>
        </w:rPr>
      </w:pPr>
      <w:proofErr w:type="spellStart"/>
      <w:r>
        <w:rPr>
          <w:rFonts w:ascii="Arial" w:eastAsia="Arial" w:hAnsi="Arial" w:cs="Arial"/>
          <w:sz w:val="24"/>
          <w:szCs w:val="24"/>
        </w:rPr>
        <w:t>q</w:t>
      </w:r>
      <w:r>
        <w:rPr>
          <w:rFonts w:ascii="Arial" w:eastAsia="Arial" w:hAnsi="Arial" w:cs="Arial"/>
          <w:sz w:val="24"/>
          <w:szCs w:val="24"/>
          <w:vertAlign w:val="subscript"/>
        </w:rPr>
        <w:t>max</w:t>
      </w:r>
      <w:proofErr w:type="spellEnd"/>
      <w:r>
        <w:rPr>
          <w:rFonts w:ascii="Arial" w:eastAsia="Arial" w:hAnsi="Arial" w:cs="Arial"/>
          <w:sz w:val="24"/>
          <w:szCs w:val="24"/>
          <w:vertAlign w:val="subscript"/>
        </w:rPr>
        <w:t xml:space="preserve"> </w:t>
      </w:r>
      <w:r>
        <w:rPr>
          <w:rFonts w:ascii="Arial" w:eastAsia="Arial" w:hAnsi="Arial" w:cs="Arial"/>
          <w:sz w:val="24"/>
          <w:szCs w:val="24"/>
        </w:rPr>
        <w:t>is the upper boundary of the corresponding</w:t>
      </w:r>
      <w:r>
        <w:rPr>
          <w:rFonts w:ascii="Arial" w:eastAsia="Arial" w:hAnsi="Arial" w:cs="Arial"/>
          <w:sz w:val="24"/>
          <w:szCs w:val="24"/>
        </w:rPr>
        <w:t xml:space="preserve"> qi classification.</w:t>
      </w:r>
    </w:p>
    <w:p w14:paraId="6BFE907E" w14:textId="77777777" w:rsidR="004609F0" w:rsidRDefault="00BC7B8C">
      <w:pPr>
        <w:spacing w:after="0" w:line="240" w:lineRule="auto"/>
        <w:jc w:val="both"/>
        <w:rPr>
          <w:rFonts w:ascii="Arial" w:eastAsia="Arial" w:hAnsi="Arial" w:cs="Arial"/>
          <w:sz w:val="24"/>
          <w:szCs w:val="24"/>
        </w:rPr>
      </w:pPr>
      <w:proofErr w:type="spellStart"/>
      <w:r>
        <w:rPr>
          <w:rFonts w:ascii="Arial" w:eastAsia="Arial" w:hAnsi="Arial" w:cs="Arial"/>
          <w:sz w:val="24"/>
          <w:szCs w:val="24"/>
        </w:rPr>
        <w:t>X</w:t>
      </w:r>
      <w:r>
        <w:rPr>
          <w:rFonts w:ascii="Arial" w:eastAsia="Arial" w:hAnsi="Arial" w:cs="Arial"/>
          <w:sz w:val="24"/>
          <w:szCs w:val="24"/>
          <w:vertAlign w:val="subscript"/>
        </w:rPr>
        <w:t>ij</w:t>
      </w:r>
      <w:proofErr w:type="spellEnd"/>
      <w:r>
        <w:rPr>
          <w:rFonts w:ascii="Arial" w:eastAsia="Arial" w:hAnsi="Arial" w:cs="Arial"/>
          <w:sz w:val="24"/>
          <w:szCs w:val="24"/>
        </w:rPr>
        <w:t xml:space="preserve"> represents the observed values of each parameter.</w:t>
      </w:r>
    </w:p>
    <w:p w14:paraId="1FFA253D" w14:textId="77777777" w:rsidR="004609F0" w:rsidRDefault="00BC7B8C">
      <w:pPr>
        <w:spacing w:after="0" w:line="240" w:lineRule="auto"/>
        <w:jc w:val="both"/>
        <w:rPr>
          <w:rFonts w:ascii="Arial" w:eastAsia="Arial" w:hAnsi="Arial" w:cs="Arial"/>
          <w:sz w:val="24"/>
          <w:szCs w:val="24"/>
        </w:rPr>
      </w:pPr>
      <w:proofErr w:type="spellStart"/>
      <w:r>
        <w:rPr>
          <w:rFonts w:ascii="Arial" w:eastAsia="Arial" w:hAnsi="Arial" w:cs="Arial"/>
          <w:sz w:val="24"/>
          <w:szCs w:val="24"/>
        </w:rPr>
        <w:t>X</w:t>
      </w:r>
      <w:r>
        <w:rPr>
          <w:rFonts w:ascii="Arial" w:eastAsia="Arial" w:hAnsi="Arial" w:cs="Arial"/>
          <w:sz w:val="24"/>
          <w:szCs w:val="24"/>
          <w:vertAlign w:val="subscript"/>
        </w:rPr>
        <w:t>inf</w:t>
      </w:r>
      <w:proofErr w:type="spellEnd"/>
      <w:r>
        <w:rPr>
          <w:rFonts w:ascii="Arial" w:eastAsia="Arial" w:hAnsi="Arial" w:cs="Arial"/>
          <w:sz w:val="24"/>
          <w:szCs w:val="24"/>
        </w:rPr>
        <w:t xml:space="preserve"> denotes the lower limit of the class to which the observed parameter belongs.</w:t>
      </w:r>
    </w:p>
    <w:p w14:paraId="5A736B8D" w14:textId="77777777" w:rsidR="004609F0" w:rsidRDefault="00BC7B8C">
      <w:pPr>
        <w:spacing w:after="0" w:line="240" w:lineRule="auto"/>
        <w:jc w:val="both"/>
        <w:rPr>
          <w:rFonts w:ascii="Arial" w:eastAsia="Arial" w:hAnsi="Arial" w:cs="Arial"/>
          <w:sz w:val="24"/>
          <w:szCs w:val="24"/>
        </w:rPr>
      </w:pPr>
      <w:proofErr w:type="spellStart"/>
      <w:r>
        <w:rPr>
          <w:rFonts w:ascii="Arial" w:eastAsia="Arial" w:hAnsi="Arial" w:cs="Arial"/>
          <w:sz w:val="24"/>
          <w:szCs w:val="24"/>
        </w:rPr>
        <w:t>q</w:t>
      </w:r>
      <w:r>
        <w:rPr>
          <w:rFonts w:ascii="Arial" w:eastAsia="Arial" w:hAnsi="Arial" w:cs="Arial"/>
          <w:sz w:val="24"/>
          <w:szCs w:val="24"/>
          <w:vertAlign w:val="subscript"/>
        </w:rPr>
        <w:t>imap</w:t>
      </w:r>
      <w:proofErr w:type="spellEnd"/>
      <w:r>
        <w:rPr>
          <w:rFonts w:ascii="Arial" w:eastAsia="Arial" w:hAnsi="Arial" w:cs="Arial"/>
          <w:sz w:val="24"/>
          <w:szCs w:val="24"/>
        </w:rPr>
        <w:t xml:space="preserve"> refers to the class range for qi classifications.</w:t>
      </w:r>
    </w:p>
    <w:p w14:paraId="18F1EAA0" w14:textId="77777777" w:rsidR="004609F0" w:rsidRDefault="00BC7B8C">
      <w:pPr>
        <w:spacing w:after="0" w:line="240" w:lineRule="auto"/>
        <w:jc w:val="both"/>
        <w:rPr>
          <w:rFonts w:ascii="Arial" w:eastAsia="Arial" w:hAnsi="Arial" w:cs="Arial"/>
          <w:sz w:val="24"/>
          <w:szCs w:val="24"/>
        </w:rPr>
      </w:pPr>
      <w:proofErr w:type="spellStart"/>
      <w:r>
        <w:rPr>
          <w:rFonts w:ascii="Arial" w:eastAsia="Arial" w:hAnsi="Arial" w:cs="Arial"/>
          <w:sz w:val="24"/>
          <w:szCs w:val="24"/>
        </w:rPr>
        <w:t>x</w:t>
      </w:r>
      <w:r>
        <w:rPr>
          <w:rFonts w:ascii="Arial" w:eastAsia="Arial" w:hAnsi="Arial" w:cs="Arial"/>
          <w:sz w:val="24"/>
          <w:szCs w:val="24"/>
          <w:vertAlign w:val="subscript"/>
        </w:rPr>
        <w:t>imap</w:t>
      </w:r>
      <w:proofErr w:type="spellEnd"/>
      <w:r>
        <w:rPr>
          <w:rFonts w:ascii="Arial" w:eastAsia="Arial" w:hAnsi="Arial" w:cs="Arial"/>
          <w:sz w:val="24"/>
          <w:szCs w:val="24"/>
        </w:rPr>
        <w:t xml:space="preserve"> corresponds to the class amplitude for the respective parameter classification.</w:t>
      </w:r>
    </w:p>
    <w:p w14:paraId="13C2ACE8" w14:textId="77777777" w:rsidR="004609F0" w:rsidRDefault="00BC7B8C">
      <w:pPr>
        <w:spacing w:after="0" w:line="240" w:lineRule="auto"/>
        <w:jc w:val="both"/>
        <w:rPr>
          <w:rFonts w:ascii="Arial" w:eastAsia="Arial" w:hAnsi="Arial" w:cs="Arial"/>
          <w:sz w:val="24"/>
          <w:szCs w:val="24"/>
        </w:rPr>
      </w:pPr>
      <w:r>
        <w:rPr>
          <w:rFonts w:ascii="Arial" w:eastAsia="Arial" w:hAnsi="Arial" w:cs="Arial"/>
          <w:sz w:val="24"/>
          <w:szCs w:val="24"/>
        </w:rPr>
        <w:t xml:space="preserve">The IWQI was then calculated using </w:t>
      </w:r>
      <w:r>
        <w:rPr>
          <w:rFonts w:ascii="Arial" w:eastAsia="Arial" w:hAnsi="Arial" w:cs="Arial"/>
          <w:b/>
          <w:sz w:val="24"/>
          <w:szCs w:val="24"/>
        </w:rPr>
        <w:t>Equation 9</w:t>
      </w:r>
      <w:r>
        <w:rPr>
          <w:rFonts w:ascii="Arial" w:eastAsia="Arial" w:hAnsi="Arial" w:cs="Arial"/>
          <w:sz w:val="24"/>
          <w:szCs w:val="24"/>
        </w:rPr>
        <w:t xml:space="preserve">: </w:t>
      </w:r>
    </w:p>
    <w:p w14:paraId="2E6FFD46" w14:textId="77777777" w:rsidR="004609F0" w:rsidRDefault="00BC7B8C">
      <w:pPr>
        <w:spacing w:after="0" w:line="240" w:lineRule="auto"/>
        <w:rPr>
          <w:rFonts w:ascii="Arial" w:eastAsia="Arial" w:hAnsi="Arial" w:cs="Arial"/>
          <w:sz w:val="24"/>
          <w:szCs w:val="24"/>
        </w:rPr>
      </w:pPr>
      <w:r>
        <w:rPr>
          <w:rFonts w:ascii="Arial" w:eastAsia="Arial" w:hAnsi="Arial" w:cs="Arial"/>
          <w:sz w:val="24"/>
          <w:szCs w:val="24"/>
        </w:rPr>
        <w:lastRenderedPageBreak/>
        <w:t xml:space="preserve">IWQI = </w:t>
      </w:r>
      <m:oMath>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1</m:t>
            </m:r>
          </m:sub>
          <m:sup>
            <m:r>
              <w:rPr>
                <w:rFonts w:ascii="Cambria Math" w:eastAsia="Cambria Math" w:hAnsi="Cambria Math" w:cs="Cambria Math"/>
                <w:sz w:val="24"/>
                <w:szCs w:val="24"/>
              </w:rPr>
              <m:t>n</m:t>
            </m:r>
          </m:sup>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sub>
            <m:r>
              <w:rPr>
                <w:rFonts w:ascii="Cambria Math" w:eastAsia="Cambria Math" w:hAnsi="Cambria Math" w:cs="Cambria Math"/>
                <w:sz w:val="24"/>
                <w:szCs w:val="24"/>
              </w:rPr>
              <m:t>i</m:t>
            </m:r>
            <m:r>
              <w:rPr>
                <w:rFonts w:ascii="Cambria Math" w:eastAsia="Cambria Math" w:hAnsi="Cambria Math" w:cs="Cambria Math"/>
                <w:sz w:val="24"/>
                <w:szCs w:val="24"/>
              </w:rPr>
              <m:t xml:space="preserve">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i</m:t>
            </m:r>
          </m:sub>
        </m:sSub>
      </m:oMath>
      <w:r>
        <w:rPr>
          <w:rFonts w:ascii="Arial" w:eastAsia="Arial" w:hAnsi="Arial" w:cs="Arial"/>
          <w:sz w:val="24"/>
          <w:szCs w:val="24"/>
        </w:rPr>
        <w:t xml:space="preserve">                                                                                                          </w:t>
      </w:r>
      <w:r>
        <w:rPr>
          <w:rFonts w:ascii="Arial" w:eastAsia="Arial" w:hAnsi="Arial" w:cs="Arial"/>
          <w:sz w:val="24"/>
          <w:szCs w:val="24"/>
        </w:rPr>
        <w:t xml:space="preserve">      </w:t>
      </w:r>
      <w:proofErr w:type="gramStart"/>
      <w:r>
        <w:rPr>
          <w:rFonts w:ascii="Arial" w:eastAsia="Arial" w:hAnsi="Arial" w:cs="Arial"/>
          <w:sz w:val="24"/>
          <w:szCs w:val="24"/>
        </w:rPr>
        <w:t xml:space="preserve">   (</w:t>
      </w:r>
      <w:proofErr w:type="gramEnd"/>
      <w:r>
        <w:rPr>
          <w:rFonts w:ascii="Arial" w:eastAsia="Arial" w:hAnsi="Arial" w:cs="Arial"/>
          <w:sz w:val="24"/>
          <w:szCs w:val="24"/>
        </w:rPr>
        <w:t>9)</w:t>
      </w:r>
    </w:p>
    <w:p w14:paraId="19543ABA" w14:textId="77777777" w:rsidR="004609F0" w:rsidRDefault="00BC7B8C">
      <w:pPr>
        <w:spacing w:after="0" w:line="240" w:lineRule="auto"/>
        <w:jc w:val="both"/>
        <w:rPr>
          <w:rFonts w:ascii="Arial" w:eastAsia="Arial" w:hAnsi="Arial" w:cs="Arial"/>
          <w:sz w:val="24"/>
          <w:szCs w:val="24"/>
        </w:rPr>
      </w:pPr>
      <w:r>
        <w:rPr>
          <w:rFonts w:ascii="Arial" w:eastAsia="Arial" w:hAnsi="Arial" w:cs="Arial"/>
          <w:sz w:val="24"/>
          <w:szCs w:val="24"/>
        </w:rPr>
        <w:t xml:space="preserve">where n represents the number of parameters considered (five parameters in this case). </w:t>
      </w:r>
    </w:p>
    <w:p w14:paraId="4F5DB24F" w14:textId="77777777" w:rsidR="004609F0" w:rsidRDefault="00BC7B8C">
      <w:pPr>
        <w:spacing w:after="0" w:line="240" w:lineRule="auto"/>
        <w:jc w:val="both"/>
        <w:rPr>
          <w:rFonts w:ascii="Arial" w:eastAsia="Arial" w:hAnsi="Arial" w:cs="Arial"/>
          <w:sz w:val="24"/>
          <w:szCs w:val="24"/>
        </w:rPr>
      </w:pPr>
      <w:r>
        <w:rPr>
          <w:rFonts w:ascii="Arial" w:eastAsia="Arial" w:hAnsi="Arial" w:cs="Arial"/>
          <w:sz w:val="24"/>
          <w:szCs w:val="24"/>
        </w:rPr>
        <w:t>The q</w:t>
      </w:r>
      <w:r>
        <w:rPr>
          <w:rFonts w:ascii="Arial" w:eastAsia="Arial" w:hAnsi="Arial" w:cs="Arial"/>
          <w:sz w:val="24"/>
          <w:szCs w:val="24"/>
          <w:vertAlign w:val="subscript"/>
        </w:rPr>
        <w:t>i</w:t>
      </w:r>
      <w:r>
        <w:rPr>
          <w:rFonts w:ascii="Arial" w:eastAsia="Arial" w:hAnsi="Arial" w:cs="Arial"/>
          <w:sz w:val="24"/>
          <w:szCs w:val="24"/>
        </w:rPr>
        <w:t xml:space="preserve"> values were multiplied by the corresponding weights </w:t>
      </w:r>
      <w:proofErr w:type="spellStart"/>
      <w:r>
        <w:rPr>
          <w:rFonts w:ascii="Arial" w:eastAsia="Arial" w:hAnsi="Arial" w:cs="Arial"/>
          <w:sz w:val="24"/>
          <w:szCs w:val="24"/>
        </w:rPr>
        <w:t>w</w:t>
      </w:r>
      <w:r>
        <w:rPr>
          <w:rFonts w:ascii="Arial" w:eastAsia="Arial" w:hAnsi="Arial" w:cs="Arial"/>
          <w:sz w:val="24"/>
          <w:szCs w:val="24"/>
          <w:vertAlign w:val="subscript"/>
        </w:rPr>
        <w:t>i</w:t>
      </w:r>
      <w:proofErr w:type="spellEnd"/>
      <w:r>
        <w:rPr>
          <w:rFonts w:ascii="Arial" w:eastAsia="Arial" w:hAnsi="Arial" w:cs="Arial"/>
          <w:sz w:val="24"/>
          <w:szCs w:val="24"/>
        </w:rPr>
        <w:t xml:space="preserve"> for each parameter. The IWQI assigns weights to key parameters: EC (0.211), SAR (0.189), Na</w:t>
      </w:r>
      <w:proofErr w:type="gramStart"/>
      <w:r>
        <w:rPr>
          <w:rFonts w:ascii="Cambria Math" w:eastAsia="Cambria Math" w:hAnsi="Cambria Math" w:cs="Cambria Math"/>
          <w:sz w:val="24"/>
          <w:szCs w:val="24"/>
        </w:rPr>
        <w:t>⁺</w:t>
      </w:r>
      <w:r>
        <w:rPr>
          <w:rFonts w:ascii="Arial" w:eastAsia="Arial" w:hAnsi="Arial" w:cs="Arial"/>
          <w:sz w:val="24"/>
          <w:szCs w:val="24"/>
        </w:rPr>
        <w:t>(</w:t>
      </w:r>
      <w:proofErr w:type="gramEnd"/>
      <w:r>
        <w:rPr>
          <w:rFonts w:ascii="Arial" w:eastAsia="Arial" w:hAnsi="Arial" w:cs="Arial"/>
          <w:sz w:val="24"/>
          <w:szCs w:val="24"/>
        </w:rPr>
        <w:t>0.204), Cl</w:t>
      </w:r>
      <w:r>
        <w:rPr>
          <w:rFonts w:ascii="Cambria Math" w:eastAsia="Cambria Math" w:hAnsi="Cambria Math" w:cs="Cambria Math"/>
          <w:sz w:val="24"/>
          <w:szCs w:val="24"/>
        </w:rPr>
        <w:t>⁻</w:t>
      </w:r>
      <w:r>
        <w:rPr>
          <w:rFonts w:ascii="Arial" w:eastAsia="Arial" w:hAnsi="Arial" w:cs="Arial"/>
          <w:sz w:val="24"/>
          <w:szCs w:val="24"/>
        </w:rPr>
        <w:t>(0.194), and HCO</w:t>
      </w:r>
      <w:r>
        <w:rPr>
          <w:rFonts w:ascii="Cambria Math" w:eastAsia="Cambria Math" w:hAnsi="Cambria Math" w:cs="Cambria Math"/>
          <w:sz w:val="24"/>
          <w:szCs w:val="24"/>
        </w:rPr>
        <w:t>₃⁻</w:t>
      </w:r>
      <w:r>
        <w:rPr>
          <w:rFonts w:ascii="Arial" w:eastAsia="Arial" w:hAnsi="Arial" w:cs="Arial"/>
          <w:sz w:val="24"/>
          <w:szCs w:val="24"/>
        </w:rPr>
        <w:t xml:space="preserve">(0.202). These weighted values collectively assess water suitability for irrigation </w:t>
      </w:r>
      <w:r>
        <w:rPr>
          <w:rFonts w:ascii="Arial" w:eastAsia="Arial" w:hAnsi="Arial" w:cs="Arial"/>
          <w:b/>
          <w:sz w:val="24"/>
          <w:szCs w:val="24"/>
        </w:rPr>
        <w:t>(Table 4)</w:t>
      </w:r>
      <w:r>
        <w:rPr>
          <w:rFonts w:ascii="Arial" w:eastAsia="Arial" w:hAnsi="Arial" w:cs="Arial"/>
          <w:sz w:val="24"/>
          <w:szCs w:val="24"/>
        </w:rPr>
        <w:t>, ensuring the adoption of sustainable agricultural practices (</w:t>
      </w:r>
      <w:proofErr w:type="spellStart"/>
      <w:r>
        <w:rPr>
          <w:rFonts w:ascii="Arial" w:eastAsia="Arial" w:hAnsi="Arial" w:cs="Arial"/>
          <w:sz w:val="24"/>
          <w:szCs w:val="24"/>
        </w:rPr>
        <w:t>Meireles</w:t>
      </w:r>
      <w:proofErr w:type="spellEnd"/>
      <w:r>
        <w:rPr>
          <w:rFonts w:ascii="Arial" w:eastAsia="Arial" w:hAnsi="Arial" w:cs="Arial"/>
          <w:sz w:val="24"/>
          <w:szCs w:val="24"/>
        </w:rPr>
        <w:t xml:space="preserve"> et al., 2010).</w:t>
      </w:r>
    </w:p>
    <w:p w14:paraId="588E5824" w14:textId="77777777" w:rsidR="004609F0" w:rsidRDefault="00BC7B8C">
      <w:pPr>
        <w:spacing w:before="240" w:line="240" w:lineRule="auto"/>
        <w:jc w:val="both"/>
        <w:rPr>
          <w:rFonts w:ascii="Arial" w:eastAsia="Arial" w:hAnsi="Arial" w:cs="Arial"/>
          <w:sz w:val="24"/>
          <w:szCs w:val="24"/>
        </w:rPr>
      </w:pPr>
      <w:r>
        <w:rPr>
          <w:rFonts w:ascii="Arial" w:eastAsia="Arial" w:hAnsi="Arial" w:cs="Arial"/>
          <w:b/>
          <w:sz w:val="24"/>
          <w:szCs w:val="24"/>
        </w:rPr>
        <w:t xml:space="preserve">Table 4: </w:t>
      </w:r>
      <w:r>
        <w:rPr>
          <w:rFonts w:ascii="Arial" w:eastAsia="Arial" w:hAnsi="Arial" w:cs="Arial"/>
          <w:sz w:val="24"/>
          <w:szCs w:val="24"/>
        </w:rPr>
        <w:t>Irrigation Water Quality Parameters a</w:t>
      </w:r>
      <w:r>
        <w:rPr>
          <w:rFonts w:ascii="Arial" w:eastAsia="Arial" w:hAnsi="Arial" w:cs="Arial"/>
          <w:sz w:val="24"/>
          <w:szCs w:val="24"/>
        </w:rPr>
        <w:t>nd Their Limiting Values for Quality Index (qi) Calculation based on (</w:t>
      </w:r>
      <w:proofErr w:type="spellStart"/>
      <w:r>
        <w:rPr>
          <w:rFonts w:ascii="Arial" w:eastAsia="Arial" w:hAnsi="Arial" w:cs="Arial"/>
          <w:sz w:val="24"/>
          <w:szCs w:val="24"/>
        </w:rPr>
        <w:t>Abbasnia</w:t>
      </w:r>
      <w:proofErr w:type="spellEnd"/>
      <w:r>
        <w:rPr>
          <w:rFonts w:ascii="Arial" w:eastAsia="Arial" w:hAnsi="Arial" w:cs="Arial"/>
          <w:sz w:val="24"/>
          <w:szCs w:val="24"/>
        </w:rPr>
        <w:t xml:space="preserve"> et al., 2018a).</w:t>
      </w:r>
    </w:p>
    <w:tbl>
      <w:tblPr>
        <w:tblStyle w:val="a2"/>
        <w:tblW w:w="8938" w:type="dxa"/>
        <w:jc w:val="center"/>
        <w:tblBorders>
          <w:top w:val="nil"/>
          <w:left w:val="nil"/>
          <w:bottom w:val="nil"/>
          <w:right w:val="nil"/>
          <w:insideH w:val="nil"/>
          <w:insideV w:val="nil"/>
        </w:tblBorders>
        <w:tblLayout w:type="fixed"/>
        <w:tblLook w:val="0400" w:firstRow="0" w:lastRow="0" w:firstColumn="0" w:lastColumn="0" w:noHBand="0" w:noVBand="1"/>
      </w:tblPr>
      <w:tblGrid>
        <w:gridCol w:w="976"/>
        <w:gridCol w:w="1230"/>
        <w:gridCol w:w="1457"/>
        <w:gridCol w:w="1134"/>
        <w:gridCol w:w="1418"/>
        <w:gridCol w:w="1276"/>
        <w:gridCol w:w="1447"/>
      </w:tblGrid>
      <w:tr w:rsidR="004609F0" w14:paraId="639FBBE2" w14:textId="77777777">
        <w:trPr>
          <w:jc w:val="center"/>
        </w:trPr>
        <w:tc>
          <w:tcPr>
            <w:tcW w:w="977" w:type="dxa"/>
            <w:tcBorders>
              <w:bottom w:val="single" w:sz="4" w:space="0" w:color="000000"/>
            </w:tcBorders>
            <w:vAlign w:val="center"/>
          </w:tcPr>
          <w:p w14:paraId="67D835F1" w14:textId="77777777" w:rsidR="004609F0" w:rsidRDefault="00BC7B8C">
            <w:pPr>
              <w:spacing w:after="160"/>
              <w:jc w:val="center"/>
              <w:rPr>
                <w:rFonts w:ascii="Arial" w:eastAsia="Arial" w:hAnsi="Arial" w:cs="Arial"/>
                <w:b/>
                <w:sz w:val="24"/>
                <w:szCs w:val="24"/>
              </w:rPr>
            </w:pPr>
            <w:r>
              <w:rPr>
                <w:rFonts w:ascii="Arial" w:eastAsia="Arial" w:hAnsi="Arial" w:cs="Arial"/>
                <w:b/>
                <w:sz w:val="24"/>
                <w:szCs w:val="24"/>
              </w:rPr>
              <w:t>Sr. No.</w:t>
            </w:r>
          </w:p>
        </w:tc>
        <w:tc>
          <w:tcPr>
            <w:tcW w:w="1230" w:type="dxa"/>
            <w:tcBorders>
              <w:bottom w:val="single" w:sz="4" w:space="0" w:color="000000"/>
            </w:tcBorders>
            <w:vAlign w:val="center"/>
          </w:tcPr>
          <w:p w14:paraId="6C9A48B9" w14:textId="77777777" w:rsidR="004609F0" w:rsidRDefault="00BC7B8C">
            <w:pPr>
              <w:spacing w:after="160"/>
              <w:jc w:val="center"/>
              <w:rPr>
                <w:rFonts w:ascii="Arial" w:eastAsia="Arial" w:hAnsi="Arial" w:cs="Arial"/>
                <w:b/>
                <w:sz w:val="24"/>
                <w:szCs w:val="24"/>
              </w:rPr>
            </w:pPr>
            <w:r>
              <w:rPr>
                <w:rFonts w:ascii="Arial" w:eastAsia="Arial" w:hAnsi="Arial" w:cs="Arial"/>
                <w:b/>
                <w:sz w:val="24"/>
                <w:szCs w:val="24"/>
              </w:rPr>
              <w:t>qi Range</w:t>
            </w:r>
          </w:p>
        </w:tc>
        <w:tc>
          <w:tcPr>
            <w:tcW w:w="1457" w:type="dxa"/>
            <w:tcBorders>
              <w:bottom w:val="single" w:sz="4" w:space="0" w:color="000000"/>
            </w:tcBorders>
            <w:vAlign w:val="center"/>
          </w:tcPr>
          <w:p w14:paraId="75E4C9CE" w14:textId="77777777" w:rsidR="004609F0" w:rsidRDefault="00BC7B8C">
            <w:pPr>
              <w:spacing w:after="160"/>
              <w:jc w:val="center"/>
              <w:rPr>
                <w:rFonts w:ascii="Arial" w:eastAsia="Arial" w:hAnsi="Arial" w:cs="Arial"/>
                <w:b/>
                <w:sz w:val="24"/>
                <w:szCs w:val="24"/>
              </w:rPr>
            </w:pPr>
            <w:r>
              <w:rPr>
                <w:rFonts w:ascii="Arial" w:eastAsia="Arial" w:hAnsi="Arial" w:cs="Arial"/>
                <w:b/>
                <w:sz w:val="24"/>
                <w:szCs w:val="24"/>
              </w:rPr>
              <w:t>EC (µS/cm)</w:t>
            </w:r>
          </w:p>
        </w:tc>
        <w:tc>
          <w:tcPr>
            <w:tcW w:w="1134" w:type="dxa"/>
            <w:tcBorders>
              <w:bottom w:val="single" w:sz="4" w:space="0" w:color="000000"/>
            </w:tcBorders>
            <w:vAlign w:val="center"/>
          </w:tcPr>
          <w:p w14:paraId="651ED38D" w14:textId="77777777" w:rsidR="004609F0" w:rsidRDefault="00BC7B8C">
            <w:pPr>
              <w:spacing w:after="160"/>
              <w:jc w:val="center"/>
              <w:rPr>
                <w:rFonts w:ascii="Arial" w:eastAsia="Arial" w:hAnsi="Arial" w:cs="Arial"/>
                <w:b/>
                <w:sz w:val="24"/>
                <w:szCs w:val="24"/>
              </w:rPr>
            </w:pPr>
            <w:r>
              <w:rPr>
                <w:rFonts w:ascii="Arial" w:eastAsia="Arial" w:hAnsi="Arial" w:cs="Arial"/>
                <w:b/>
                <w:sz w:val="24"/>
                <w:szCs w:val="24"/>
              </w:rPr>
              <w:t>SAR</w:t>
            </w:r>
          </w:p>
        </w:tc>
        <w:tc>
          <w:tcPr>
            <w:tcW w:w="1418" w:type="dxa"/>
            <w:tcBorders>
              <w:bottom w:val="single" w:sz="4" w:space="0" w:color="000000"/>
            </w:tcBorders>
            <w:vAlign w:val="center"/>
          </w:tcPr>
          <w:p w14:paraId="6AA6C1D4" w14:textId="77777777" w:rsidR="004609F0" w:rsidRDefault="00BC7B8C">
            <w:pPr>
              <w:spacing w:after="160"/>
              <w:jc w:val="center"/>
              <w:rPr>
                <w:rFonts w:ascii="Arial" w:eastAsia="Arial" w:hAnsi="Arial" w:cs="Arial"/>
                <w:b/>
                <w:sz w:val="24"/>
                <w:szCs w:val="24"/>
              </w:rPr>
            </w:pPr>
            <w:r>
              <w:rPr>
                <w:rFonts w:ascii="Arial" w:eastAsia="Arial" w:hAnsi="Arial" w:cs="Arial"/>
                <w:b/>
                <w:sz w:val="24"/>
                <w:szCs w:val="24"/>
              </w:rPr>
              <w:t>Na</w:t>
            </w:r>
            <w:r>
              <w:rPr>
                <w:rFonts w:ascii="Cambria Math" w:eastAsia="Cambria Math" w:hAnsi="Cambria Math" w:cs="Cambria Math"/>
                <w:b/>
                <w:sz w:val="24"/>
                <w:szCs w:val="24"/>
              </w:rPr>
              <w:t>⁺</w:t>
            </w:r>
            <w:r>
              <w:rPr>
                <w:rFonts w:ascii="Arial" w:eastAsia="Arial" w:hAnsi="Arial" w:cs="Arial"/>
                <w:b/>
                <w:sz w:val="24"/>
                <w:szCs w:val="24"/>
              </w:rPr>
              <w:t xml:space="preserve"> (</w:t>
            </w:r>
            <w:proofErr w:type="spellStart"/>
            <w:r>
              <w:rPr>
                <w:rFonts w:ascii="Arial" w:eastAsia="Arial" w:hAnsi="Arial" w:cs="Arial"/>
                <w:b/>
                <w:sz w:val="24"/>
                <w:szCs w:val="24"/>
              </w:rPr>
              <w:t>meq</w:t>
            </w:r>
            <w:proofErr w:type="spellEnd"/>
            <w:r>
              <w:rPr>
                <w:rFonts w:ascii="Arial" w:eastAsia="Arial" w:hAnsi="Arial" w:cs="Arial"/>
                <w:b/>
                <w:sz w:val="24"/>
                <w:szCs w:val="24"/>
              </w:rPr>
              <w:t>/L)</w:t>
            </w:r>
          </w:p>
        </w:tc>
        <w:tc>
          <w:tcPr>
            <w:tcW w:w="1276" w:type="dxa"/>
            <w:tcBorders>
              <w:bottom w:val="single" w:sz="4" w:space="0" w:color="000000"/>
            </w:tcBorders>
            <w:vAlign w:val="center"/>
          </w:tcPr>
          <w:p w14:paraId="1A66DAA7" w14:textId="77777777" w:rsidR="004609F0" w:rsidRDefault="00BC7B8C">
            <w:pPr>
              <w:spacing w:after="160"/>
              <w:jc w:val="center"/>
              <w:rPr>
                <w:rFonts w:ascii="Arial" w:eastAsia="Arial" w:hAnsi="Arial" w:cs="Arial"/>
                <w:b/>
                <w:sz w:val="24"/>
                <w:szCs w:val="24"/>
              </w:rPr>
            </w:pPr>
            <w:r>
              <w:rPr>
                <w:rFonts w:ascii="Arial" w:eastAsia="Arial" w:hAnsi="Arial" w:cs="Arial"/>
                <w:b/>
                <w:sz w:val="24"/>
                <w:szCs w:val="24"/>
              </w:rPr>
              <w:t>Cl</w:t>
            </w:r>
            <w:r>
              <w:rPr>
                <w:rFonts w:ascii="Cambria Math" w:eastAsia="Cambria Math" w:hAnsi="Cambria Math" w:cs="Cambria Math"/>
                <w:b/>
                <w:sz w:val="24"/>
                <w:szCs w:val="24"/>
              </w:rPr>
              <w:t>⁻</w:t>
            </w:r>
            <w:r>
              <w:rPr>
                <w:rFonts w:ascii="Arial" w:eastAsia="Arial" w:hAnsi="Arial" w:cs="Arial"/>
                <w:b/>
                <w:sz w:val="24"/>
                <w:szCs w:val="24"/>
              </w:rPr>
              <w:t xml:space="preserve"> (</w:t>
            </w:r>
            <w:proofErr w:type="spellStart"/>
            <w:r>
              <w:rPr>
                <w:rFonts w:ascii="Arial" w:eastAsia="Arial" w:hAnsi="Arial" w:cs="Arial"/>
                <w:b/>
                <w:sz w:val="24"/>
                <w:szCs w:val="24"/>
              </w:rPr>
              <w:t>meq</w:t>
            </w:r>
            <w:proofErr w:type="spellEnd"/>
            <w:r>
              <w:rPr>
                <w:rFonts w:ascii="Arial" w:eastAsia="Arial" w:hAnsi="Arial" w:cs="Arial"/>
                <w:b/>
                <w:sz w:val="24"/>
                <w:szCs w:val="24"/>
              </w:rPr>
              <w:t>/L)</w:t>
            </w:r>
          </w:p>
        </w:tc>
        <w:tc>
          <w:tcPr>
            <w:tcW w:w="1447" w:type="dxa"/>
            <w:tcBorders>
              <w:bottom w:val="single" w:sz="4" w:space="0" w:color="000000"/>
            </w:tcBorders>
            <w:vAlign w:val="center"/>
          </w:tcPr>
          <w:p w14:paraId="76DEFD13" w14:textId="77777777" w:rsidR="004609F0" w:rsidRDefault="00BC7B8C">
            <w:pPr>
              <w:spacing w:after="160"/>
              <w:jc w:val="center"/>
              <w:rPr>
                <w:rFonts w:ascii="Arial" w:eastAsia="Arial" w:hAnsi="Arial" w:cs="Arial"/>
                <w:b/>
                <w:sz w:val="24"/>
                <w:szCs w:val="24"/>
              </w:rPr>
            </w:pPr>
            <w:r>
              <w:rPr>
                <w:rFonts w:ascii="Arial" w:eastAsia="Arial" w:hAnsi="Arial" w:cs="Arial"/>
                <w:b/>
                <w:sz w:val="24"/>
                <w:szCs w:val="24"/>
              </w:rPr>
              <w:t>HCO</w:t>
            </w:r>
            <w:r>
              <w:rPr>
                <w:rFonts w:ascii="Cambria Math" w:eastAsia="Cambria Math" w:hAnsi="Cambria Math" w:cs="Cambria Math"/>
                <w:b/>
                <w:sz w:val="24"/>
                <w:szCs w:val="24"/>
              </w:rPr>
              <w:t>₃⁻</w:t>
            </w:r>
            <w:r>
              <w:rPr>
                <w:rFonts w:ascii="Arial" w:eastAsia="Arial" w:hAnsi="Arial" w:cs="Arial"/>
                <w:b/>
                <w:sz w:val="24"/>
                <w:szCs w:val="24"/>
              </w:rPr>
              <w:t xml:space="preserve"> (</w:t>
            </w:r>
            <w:proofErr w:type="spellStart"/>
            <w:r>
              <w:rPr>
                <w:rFonts w:ascii="Arial" w:eastAsia="Arial" w:hAnsi="Arial" w:cs="Arial"/>
                <w:b/>
                <w:sz w:val="24"/>
                <w:szCs w:val="24"/>
              </w:rPr>
              <w:t>meq</w:t>
            </w:r>
            <w:proofErr w:type="spellEnd"/>
            <w:r>
              <w:rPr>
                <w:rFonts w:ascii="Arial" w:eastAsia="Arial" w:hAnsi="Arial" w:cs="Arial"/>
                <w:b/>
                <w:sz w:val="24"/>
                <w:szCs w:val="24"/>
              </w:rPr>
              <w:t>/L)</w:t>
            </w:r>
          </w:p>
        </w:tc>
      </w:tr>
      <w:tr w:rsidR="004609F0" w14:paraId="0AFE3840" w14:textId="77777777">
        <w:trPr>
          <w:jc w:val="center"/>
        </w:trPr>
        <w:tc>
          <w:tcPr>
            <w:tcW w:w="977" w:type="dxa"/>
            <w:tcBorders>
              <w:top w:val="single" w:sz="4" w:space="0" w:color="000000"/>
            </w:tcBorders>
            <w:vAlign w:val="center"/>
          </w:tcPr>
          <w:p w14:paraId="01F7C238"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1</w:t>
            </w:r>
          </w:p>
        </w:tc>
        <w:tc>
          <w:tcPr>
            <w:tcW w:w="1230" w:type="dxa"/>
            <w:tcBorders>
              <w:top w:val="single" w:sz="4" w:space="0" w:color="000000"/>
            </w:tcBorders>
            <w:vAlign w:val="center"/>
          </w:tcPr>
          <w:p w14:paraId="18E28E27"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85–100</w:t>
            </w:r>
          </w:p>
        </w:tc>
        <w:tc>
          <w:tcPr>
            <w:tcW w:w="1457" w:type="dxa"/>
            <w:tcBorders>
              <w:top w:val="single" w:sz="4" w:space="0" w:color="000000"/>
            </w:tcBorders>
            <w:vAlign w:val="center"/>
          </w:tcPr>
          <w:p w14:paraId="46741D4D"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200–750</w:t>
            </w:r>
          </w:p>
        </w:tc>
        <w:tc>
          <w:tcPr>
            <w:tcW w:w="1134" w:type="dxa"/>
            <w:tcBorders>
              <w:top w:val="single" w:sz="4" w:space="0" w:color="000000"/>
            </w:tcBorders>
            <w:vAlign w:val="center"/>
          </w:tcPr>
          <w:p w14:paraId="6F94E71D"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&lt; 3</w:t>
            </w:r>
          </w:p>
        </w:tc>
        <w:tc>
          <w:tcPr>
            <w:tcW w:w="1418" w:type="dxa"/>
            <w:tcBorders>
              <w:top w:val="single" w:sz="4" w:space="0" w:color="000000"/>
            </w:tcBorders>
            <w:vAlign w:val="center"/>
          </w:tcPr>
          <w:p w14:paraId="3E734310"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2–3</w:t>
            </w:r>
          </w:p>
        </w:tc>
        <w:tc>
          <w:tcPr>
            <w:tcW w:w="1276" w:type="dxa"/>
            <w:tcBorders>
              <w:top w:val="single" w:sz="4" w:space="0" w:color="000000"/>
            </w:tcBorders>
            <w:vAlign w:val="center"/>
          </w:tcPr>
          <w:p w14:paraId="66E09CA5"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&lt; 4</w:t>
            </w:r>
          </w:p>
        </w:tc>
        <w:tc>
          <w:tcPr>
            <w:tcW w:w="1447" w:type="dxa"/>
            <w:tcBorders>
              <w:top w:val="single" w:sz="4" w:space="0" w:color="000000"/>
            </w:tcBorders>
            <w:vAlign w:val="center"/>
          </w:tcPr>
          <w:p w14:paraId="51E64BFE"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1–1.5</w:t>
            </w:r>
          </w:p>
        </w:tc>
      </w:tr>
      <w:tr w:rsidR="004609F0" w14:paraId="56FAF736" w14:textId="77777777">
        <w:trPr>
          <w:jc w:val="center"/>
        </w:trPr>
        <w:tc>
          <w:tcPr>
            <w:tcW w:w="977" w:type="dxa"/>
            <w:vAlign w:val="center"/>
          </w:tcPr>
          <w:p w14:paraId="55C0B515"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2</w:t>
            </w:r>
          </w:p>
        </w:tc>
        <w:tc>
          <w:tcPr>
            <w:tcW w:w="1230" w:type="dxa"/>
            <w:vAlign w:val="center"/>
          </w:tcPr>
          <w:p w14:paraId="5CEFCB8E"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60–85</w:t>
            </w:r>
          </w:p>
        </w:tc>
        <w:tc>
          <w:tcPr>
            <w:tcW w:w="1457" w:type="dxa"/>
            <w:vAlign w:val="center"/>
          </w:tcPr>
          <w:p w14:paraId="7660FA1F"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750–1500</w:t>
            </w:r>
          </w:p>
        </w:tc>
        <w:tc>
          <w:tcPr>
            <w:tcW w:w="1134" w:type="dxa"/>
            <w:vAlign w:val="center"/>
          </w:tcPr>
          <w:p w14:paraId="01687AEA"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3–6</w:t>
            </w:r>
          </w:p>
        </w:tc>
        <w:tc>
          <w:tcPr>
            <w:tcW w:w="1418" w:type="dxa"/>
            <w:vAlign w:val="center"/>
          </w:tcPr>
          <w:p w14:paraId="20401C08"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3–6</w:t>
            </w:r>
          </w:p>
        </w:tc>
        <w:tc>
          <w:tcPr>
            <w:tcW w:w="1276" w:type="dxa"/>
            <w:vAlign w:val="center"/>
          </w:tcPr>
          <w:p w14:paraId="56801B26"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4–7</w:t>
            </w:r>
          </w:p>
        </w:tc>
        <w:tc>
          <w:tcPr>
            <w:tcW w:w="1447" w:type="dxa"/>
            <w:vAlign w:val="center"/>
          </w:tcPr>
          <w:p w14:paraId="0B9E67A6"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1.5–4.5</w:t>
            </w:r>
          </w:p>
        </w:tc>
      </w:tr>
      <w:tr w:rsidR="004609F0" w14:paraId="7AECC1C6" w14:textId="77777777">
        <w:trPr>
          <w:trHeight w:val="397"/>
          <w:jc w:val="center"/>
        </w:trPr>
        <w:tc>
          <w:tcPr>
            <w:tcW w:w="977" w:type="dxa"/>
            <w:vAlign w:val="center"/>
          </w:tcPr>
          <w:p w14:paraId="74EABD63"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3</w:t>
            </w:r>
          </w:p>
        </w:tc>
        <w:tc>
          <w:tcPr>
            <w:tcW w:w="1230" w:type="dxa"/>
            <w:vAlign w:val="center"/>
          </w:tcPr>
          <w:p w14:paraId="6C7078F2"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35–60</w:t>
            </w:r>
          </w:p>
        </w:tc>
        <w:tc>
          <w:tcPr>
            <w:tcW w:w="1457" w:type="dxa"/>
            <w:vAlign w:val="center"/>
          </w:tcPr>
          <w:p w14:paraId="31DCD107"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1500–3000</w:t>
            </w:r>
          </w:p>
        </w:tc>
        <w:tc>
          <w:tcPr>
            <w:tcW w:w="1134" w:type="dxa"/>
            <w:vAlign w:val="center"/>
          </w:tcPr>
          <w:p w14:paraId="7F4BCFC8"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6–12</w:t>
            </w:r>
          </w:p>
        </w:tc>
        <w:tc>
          <w:tcPr>
            <w:tcW w:w="1418" w:type="dxa"/>
            <w:vAlign w:val="center"/>
          </w:tcPr>
          <w:p w14:paraId="1A6F2E7C"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6–9</w:t>
            </w:r>
          </w:p>
        </w:tc>
        <w:tc>
          <w:tcPr>
            <w:tcW w:w="1276" w:type="dxa"/>
            <w:vAlign w:val="center"/>
          </w:tcPr>
          <w:p w14:paraId="36570438"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7–10</w:t>
            </w:r>
          </w:p>
        </w:tc>
        <w:tc>
          <w:tcPr>
            <w:tcW w:w="1447" w:type="dxa"/>
            <w:vAlign w:val="center"/>
          </w:tcPr>
          <w:p w14:paraId="4349A286"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4.5–8.5</w:t>
            </w:r>
          </w:p>
        </w:tc>
      </w:tr>
      <w:tr w:rsidR="004609F0" w14:paraId="46B94E6A" w14:textId="77777777">
        <w:trPr>
          <w:jc w:val="center"/>
        </w:trPr>
        <w:tc>
          <w:tcPr>
            <w:tcW w:w="977" w:type="dxa"/>
            <w:tcBorders>
              <w:bottom w:val="single" w:sz="4" w:space="0" w:color="000000"/>
            </w:tcBorders>
            <w:vAlign w:val="center"/>
          </w:tcPr>
          <w:p w14:paraId="67D2B3A0"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4</w:t>
            </w:r>
          </w:p>
        </w:tc>
        <w:tc>
          <w:tcPr>
            <w:tcW w:w="1230" w:type="dxa"/>
            <w:tcBorders>
              <w:bottom w:val="single" w:sz="4" w:space="0" w:color="000000"/>
            </w:tcBorders>
            <w:vAlign w:val="center"/>
          </w:tcPr>
          <w:p w14:paraId="1941F425"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0–35</w:t>
            </w:r>
          </w:p>
        </w:tc>
        <w:tc>
          <w:tcPr>
            <w:tcW w:w="1457" w:type="dxa"/>
            <w:tcBorders>
              <w:bottom w:val="single" w:sz="4" w:space="0" w:color="000000"/>
            </w:tcBorders>
            <w:vAlign w:val="center"/>
          </w:tcPr>
          <w:p w14:paraId="123FDBF4"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&lt; 200 or &gt; 3000</w:t>
            </w:r>
          </w:p>
        </w:tc>
        <w:tc>
          <w:tcPr>
            <w:tcW w:w="1134" w:type="dxa"/>
            <w:tcBorders>
              <w:bottom w:val="single" w:sz="4" w:space="0" w:color="000000"/>
            </w:tcBorders>
            <w:vAlign w:val="center"/>
          </w:tcPr>
          <w:p w14:paraId="36E5CF12"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&gt; 12</w:t>
            </w:r>
          </w:p>
        </w:tc>
        <w:tc>
          <w:tcPr>
            <w:tcW w:w="1418" w:type="dxa"/>
            <w:tcBorders>
              <w:bottom w:val="single" w:sz="4" w:space="0" w:color="000000"/>
            </w:tcBorders>
            <w:vAlign w:val="center"/>
          </w:tcPr>
          <w:p w14:paraId="2945BE8E"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&lt; 2 or &gt; 9</w:t>
            </w:r>
          </w:p>
        </w:tc>
        <w:tc>
          <w:tcPr>
            <w:tcW w:w="1276" w:type="dxa"/>
            <w:tcBorders>
              <w:bottom w:val="single" w:sz="4" w:space="0" w:color="000000"/>
            </w:tcBorders>
            <w:vAlign w:val="center"/>
          </w:tcPr>
          <w:p w14:paraId="73AC1F54"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&gt; 10</w:t>
            </w:r>
          </w:p>
        </w:tc>
        <w:tc>
          <w:tcPr>
            <w:tcW w:w="1447" w:type="dxa"/>
            <w:tcBorders>
              <w:bottom w:val="single" w:sz="4" w:space="0" w:color="000000"/>
            </w:tcBorders>
            <w:vAlign w:val="center"/>
          </w:tcPr>
          <w:p w14:paraId="2D3AE03D" w14:textId="77777777" w:rsidR="004609F0" w:rsidRDefault="00BC7B8C">
            <w:pPr>
              <w:spacing w:after="160"/>
              <w:jc w:val="center"/>
              <w:rPr>
                <w:rFonts w:ascii="Arial" w:eastAsia="Arial" w:hAnsi="Arial" w:cs="Arial"/>
                <w:sz w:val="24"/>
                <w:szCs w:val="24"/>
              </w:rPr>
            </w:pPr>
            <w:r>
              <w:rPr>
                <w:rFonts w:ascii="Arial" w:eastAsia="Arial" w:hAnsi="Arial" w:cs="Arial"/>
                <w:sz w:val="24"/>
                <w:szCs w:val="24"/>
              </w:rPr>
              <w:t>&lt; 1 or &gt; 8.5</w:t>
            </w:r>
          </w:p>
        </w:tc>
      </w:tr>
    </w:tbl>
    <w:p w14:paraId="4E021292" w14:textId="77777777" w:rsidR="004609F0" w:rsidRDefault="00BC7B8C">
      <w:pPr>
        <w:spacing w:before="240" w:line="240" w:lineRule="auto"/>
        <w:jc w:val="both"/>
        <w:rPr>
          <w:rFonts w:ascii="Arial" w:eastAsia="Arial" w:hAnsi="Arial" w:cs="Arial"/>
          <w:sz w:val="24"/>
          <w:szCs w:val="24"/>
        </w:rPr>
      </w:pPr>
      <w:r>
        <w:rPr>
          <w:rFonts w:ascii="Arial" w:eastAsia="Arial" w:hAnsi="Arial" w:cs="Arial"/>
          <w:sz w:val="24"/>
          <w:szCs w:val="24"/>
        </w:rPr>
        <w:t xml:space="preserve">The study area's groundwater quality is mainly limited for irrigation use, according to the Irrigation Water Quality Index (IWQI) results </w:t>
      </w:r>
      <w:r>
        <w:rPr>
          <w:rFonts w:ascii="Arial" w:eastAsia="Arial" w:hAnsi="Arial" w:cs="Arial"/>
          <w:b/>
          <w:sz w:val="24"/>
          <w:szCs w:val="24"/>
        </w:rPr>
        <w:t>(Table 5)</w:t>
      </w:r>
      <w:r>
        <w:rPr>
          <w:rFonts w:ascii="Arial" w:eastAsia="Arial" w:hAnsi="Arial" w:cs="Arial"/>
          <w:sz w:val="24"/>
          <w:szCs w:val="24"/>
        </w:rPr>
        <w:t xml:space="preserve">. A tiny </w:t>
      </w:r>
      <w:r>
        <w:rPr>
          <w:rFonts w:ascii="Arial" w:eastAsia="Arial" w:hAnsi="Arial" w:cs="Arial"/>
          <w:sz w:val="24"/>
          <w:szCs w:val="24"/>
        </w:rPr>
        <w:t xml:space="preserve">percentage of samples (1.45%) fall into the "no restriction" category, indicating excellent quality water that is suitable for irrigation without any restrictions, according to the evaluation of irrigation water quality based on the </w:t>
      </w:r>
      <w:proofErr w:type="spellStart"/>
      <w:r>
        <w:rPr>
          <w:rFonts w:ascii="Arial" w:eastAsia="Arial" w:hAnsi="Arial" w:cs="Arial"/>
          <w:sz w:val="24"/>
          <w:szCs w:val="24"/>
        </w:rPr>
        <w:t>IWQi</w:t>
      </w:r>
      <w:proofErr w:type="spellEnd"/>
      <w:r>
        <w:rPr>
          <w:rFonts w:ascii="Arial" w:eastAsia="Arial" w:hAnsi="Arial" w:cs="Arial"/>
          <w:sz w:val="24"/>
          <w:szCs w:val="24"/>
        </w:rPr>
        <w:t xml:space="preserve"> values.  Approxima</w:t>
      </w:r>
      <w:r>
        <w:rPr>
          <w:rFonts w:ascii="Arial" w:eastAsia="Arial" w:hAnsi="Arial" w:cs="Arial"/>
          <w:sz w:val="24"/>
          <w:szCs w:val="24"/>
        </w:rPr>
        <w:t>tely 18.84% of the samples fall under the category of "low restriction," indicating that most crops can use this type of water safely and with little management concern.  A sizable portion of the samples (35.27%) falls into the category of "moderate restri</w:t>
      </w:r>
      <w:r>
        <w:rPr>
          <w:rFonts w:ascii="Arial" w:eastAsia="Arial" w:hAnsi="Arial" w:cs="Arial"/>
          <w:sz w:val="24"/>
          <w:szCs w:val="24"/>
        </w:rPr>
        <w:t>ction," meaning that while this water can still be used for irrigation, it may need to be managed carefully by using salt-tolerant crops, blending with higher-quality water, or adding soil amendments to mitigate potential risks. The majority of samples (39</w:t>
      </w:r>
      <w:r>
        <w:rPr>
          <w:rFonts w:ascii="Arial" w:eastAsia="Arial" w:hAnsi="Arial" w:cs="Arial"/>
          <w:sz w:val="24"/>
          <w:szCs w:val="24"/>
        </w:rPr>
        <w:t>.61%) fall into the "high restriction" category, which raises serious concerns because, absent stringent management measures, prolonged use of such water could degrade soil quality, decrease permeability, and have a detrimental impact on crop yields.  Last</w:t>
      </w:r>
      <w:r>
        <w:rPr>
          <w:rFonts w:ascii="Arial" w:eastAsia="Arial" w:hAnsi="Arial" w:cs="Arial"/>
          <w:sz w:val="24"/>
          <w:szCs w:val="24"/>
        </w:rPr>
        <w:t>ly, 4.83% of the samples belong to the "severe restriction" class, which means that they are mainly unsuitable for irrigation because, absent corrective action, they seriously jeopardise crop growth and soil health.  Overall, the results indicate that most</w:t>
      </w:r>
      <w:r>
        <w:rPr>
          <w:rFonts w:ascii="Arial" w:eastAsia="Arial" w:hAnsi="Arial" w:cs="Arial"/>
          <w:sz w:val="24"/>
          <w:szCs w:val="24"/>
        </w:rPr>
        <w:t xml:space="preserve"> groundwater samples in the study area are subject to moderate to high restrictions, suggesting that unrestricted irrigation use is generally impractical and that sustainable management practices are necessary to maintain crop and soil productivity.</w:t>
      </w:r>
    </w:p>
    <w:p w14:paraId="408F519E" w14:textId="77777777" w:rsidR="004609F0" w:rsidRDefault="00BC7B8C">
      <w:pPr>
        <w:spacing w:before="240" w:line="240" w:lineRule="auto"/>
        <w:jc w:val="both"/>
        <w:rPr>
          <w:rFonts w:ascii="Arial" w:eastAsia="Arial" w:hAnsi="Arial" w:cs="Arial"/>
          <w:sz w:val="24"/>
          <w:szCs w:val="24"/>
        </w:rPr>
      </w:pPr>
      <w:bookmarkStart w:id="4" w:name="_heading=h.xfhrijdpwl6l" w:colFirst="0" w:colLast="0"/>
      <w:bookmarkEnd w:id="4"/>
      <w:r>
        <w:rPr>
          <w:rFonts w:ascii="Arial" w:eastAsia="Arial" w:hAnsi="Arial" w:cs="Arial"/>
          <w:b/>
          <w:sz w:val="24"/>
          <w:szCs w:val="24"/>
        </w:rPr>
        <w:t xml:space="preserve">Table </w:t>
      </w:r>
      <w:r>
        <w:rPr>
          <w:rFonts w:ascii="Arial" w:eastAsia="Arial" w:hAnsi="Arial" w:cs="Arial"/>
          <w:b/>
          <w:sz w:val="24"/>
          <w:szCs w:val="24"/>
        </w:rPr>
        <w:t>5:</w:t>
      </w:r>
      <w:r>
        <w:rPr>
          <w:rFonts w:ascii="Arial" w:eastAsia="Arial" w:hAnsi="Arial" w:cs="Arial"/>
          <w:sz w:val="24"/>
          <w:szCs w:val="24"/>
        </w:rPr>
        <w:t xml:space="preserve"> IWQI classification, groundwater samples, and recommendations in the study area.</w:t>
      </w:r>
    </w:p>
    <w:tbl>
      <w:tblPr>
        <w:tblStyle w:val="a3"/>
        <w:tblW w:w="8887" w:type="dxa"/>
        <w:jc w:val="center"/>
        <w:tblBorders>
          <w:top w:val="nil"/>
          <w:left w:val="nil"/>
          <w:bottom w:val="nil"/>
          <w:right w:val="nil"/>
          <w:insideH w:val="nil"/>
          <w:insideV w:val="nil"/>
        </w:tblBorders>
        <w:tblLayout w:type="fixed"/>
        <w:tblLook w:val="0400" w:firstRow="0" w:lastRow="0" w:firstColumn="0" w:lastColumn="0" w:noHBand="0" w:noVBand="1"/>
      </w:tblPr>
      <w:tblGrid>
        <w:gridCol w:w="1000"/>
        <w:gridCol w:w="2114"/>
        <w:gridCol w:w="3293"/>
        <w:gridCol w:w="1276"/>
        <w:gridCol w:w="1204"/>
      </w:tblGrid>
      <w:tr w:rsidR="004609F0" w14:paraId="32742C7A" w14:textId="77777777">
        <w:trPr>
          <w:trHeight w:val="312"/>
          <w:jc w:val="center"/>
        </w:trPr>
        <w:tc>
          <w:tcPr>
            <w:tcW w:w="1000" w:type="dxa"/>
            <w:tcBorders>
              <w:bottom w:val="single" w:sz="4" w:space="0" w:color="000000"/>
            </w:tcBorders>
            <w:vAlign w:val="center"/>
          </w:tcPr>
          <w:p w14:paraId="553AE76C" w14:textId="77777777" w:rsidR="004609F0" w:rsidRDefault="00BC7B8C">
            <w:pPr>
              <w:jc w:val="center"/>
              <w:rPr>
                <w:rFonts w:ascii="Arial" w:eastAsia="Arial" w:hAnsi="Arial" w:cs="Arial"/>
                <w:b/>
                <w:color w:val="000000"/>
                <w:sz w:val="24"/>
                <w:szCs w:val="24"/>
              </w:rPr>
            </w:pPr>
            <w:r>
              <w:rPr>
                <w:rFonts w:ascii="Arial" w:eastAsia="Arial" w:hAnsi="Arial" w:cs="Arial"/>
                <w:b/>
                <w:color w:val="000000"/>
                <w:sz w:val="24"/>
                <w:szCs w:val="24"/>
              </w:rPr>
              <w:t>IWQI Range</w:t>
            </w:r>
          </w:p>
        </w:tc>
        <w:tc>
          <w:tcPr>
            <w:tcW w:w="2114" w:type="dxa"/>
            <w:tcBorders>
              <w:bottom w:val="single" w:sz="4" w:space="0" w:color="000000"/>
            </w:tcBorders>
            <w:vAlign w:val="center"/>
          </w:tcPr>
          <w:p w14:paraId="4FCD0FF2" w14:textId="77777777" w:rsidR="004609F0" w:rsidRDefault="00BC7B8C">
            <w:pPr>
              <w:jc w:val="center"/>
              <w:rPr>
                <w:rFonts w:ascii="Arial" w:eastAsia="Arial" w:hAnsi="Arial" w:cs="Arial"/>
                <w:b/>
                <w:color w:val="000000"/>
                <w:sz w:val="24"/>
                <w:szCs w:val="24"/>
              </w:rPr>
            </w:pPr>
            <w:r>
              <w:rPr>
                <w:rFonts w:ascii="Arial" w:eastAsia="Arial" w:hAnsi="Arial" w:cs="Arial"/>
                <w:b/>
                <w:color w:val="000000"/>
                <w:sz w:val="24"/>
                <w:szCs w:val="24"/>
              </w:rPr>
              <w:t>Classification of samples</w:t>
            </w:r>
          </w:p>
        </w:tc>
        <w:tc>
          <w:tcPr>
            <w:tcW w:w="3293" w:type="dxa"/>
            <w:tcBorders>
              <w:bottom w:val="single" w:sz="4" w:space="0" w:color="000000"/>
            </w:tcBorders>
            <w:vAlign w:val="center"/>
          </w:tcPr>
          <w:p w14:paraId="08E99E78" w14:textId="77777777" w:rsidR="004609F0" w:rsidRDefault="00BC7B8C">
            <w:pPr>
              <w:jc w:val="center"/>
              <w:rPr>
                <w:rFonts w:ascii="Arial" w:eastAsia="Arial" w:hAnsi="Arial" w:cs="Arial"/>
                <w:b/>
                <w:color w:val="000000"/>
                <w:sz w:val="24"/>
                <w:szCs w:val="24"/>
              </w:rPr>
            </w:pPr>
            <w:r>
              <w:rPr>
                <w:rFonts w:ascii="Arial" w:eastAsia="Arial" w:hAnsi="Arial" w:cs="Arial"/>
                <w:b/>
                <w:color w:val="000000"/>
                <w:sz w:val="24"/>
                <w:szCs w:val="24"/>
              </w:rPr>
              <w:t>Recommendations</w:t>
            </w:r>
          </w:p>
        </w:tc>
        <w:tc>
          <w:tcPr>
            <w:tcW w:w="1276" w:type="dxa"/>
            <w:tcBorders>
              <w:bottom w:val="single" w:sz="4" w:space="0" w:color="000000"/>
            </w:tcBorders>
            <w:vAlign w:val="center"/>
          </w:tcPr>
          <w:p w14:paraId="0571161F" w14:textId="77777777" w:rsidR="004609F0" w:rsidRDefault="00BC7B8C">
            <w:pPr>
              <w:jc w:val="center"/>
              <w:rPr>
                <w:rFonts w:ascii="Arial" w:eastAsia="Arial" w:hAnsi="Arial" w:cs="Arial"/>
                <w:b/>
                <w:color w:val="000000"/>
                <w:sz w:val="24"/>
                <w:szCs w:val="24"/>
              </w:rPr>
            </w:pPr>
            <w:r>
              <w:rPr>
                <w:rFonts w:ascii="Arial" w:eastAsia="Arial" w:hAnsi="Arial" w:cs="Arial"/>
                <w:b/>
                <w:color w:val="000000"/>
                <w:sz w:val="24"/>
                <w:szCs w:val="24"/>
              </w:rPr>
              <w:t>No. of samples</w:t>
            </w:r>
          </w:p>
        </w:tc>
        <w:tc>
          <w:tcPr>
            <w:tcW w:w="1204" w:type="dxa"/>
            <w:tcBorders>
              <w:bottom w:val="single" w:sz="4" w:space="0" w:color="000000"/>
            </w:tcBorders>
            <w:vAlign w:val="center"/>
          </w:tcPr>
          <w:p w14:paraId="5E6A6366" w14:textId="77777777" w:rsidR="004609F0" w:rsidRDefault="00BC7B8C">
            <w:pPr>
              <w:jc w:val="center"/>
              <w:rPr>
                <w:rFonts w:ascii="Arial" w:eastAsia="Arial" w:hAnsi="Arial" w:cs="Arial"/>
                <w:b/>
                <w:color w:val="000000"/>
                <w:sz w:val="24"/>
                <w:szCs w:val="24"/>
              </w:rPr>
            </w:pPr>
            <w:r>
              <w:rPr>
                <w:rFonts w:ascii="Arial" w:eastAsia="Arial" w:hAnsi="Arial" w:cs="Arial"/>
                <w:b/>
                <w:color w:val="000000"/>
                <w:sz w:val="24"/>
                <w:szCs w:val="24"/>
              </w:rPr>
              <w:t>% of Samples</w:t>
            </w:r>
          </w:p>
        </w:tc>
      </w:tr>
      <w:tr w:rsidR="004609F0" w14:paraId="1A46C5EB" w14:textId="77777777">
        <w:trPr>
          <w:trHeight w:val="288"/>
          <w:jc w:val="center"/>
        </w:trPr>
        <w:tc>
          <w:tcPr>
            <w:tcW w:w="1000" w:type="dxa"/>
            <w:tcBorders>
              <w:top w:val="single" w:sz="4" w:space="0" w:color="000000"/>
            </w:tcBorders>
            <w:vAlign w:val="center"/>
          </w:tcPr>
          <w:p w14:paraId="2DDB17C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lastRenderedPageBreak/>
              <w:t>85-100</w:t>
            </w:r>
          </w:p>
        </w:tc>
        <w:tc>
          <w:tcPr>
            <w:tcW w:w="2114" w:type="dxa"/>
            <w:tcBorders>
              <w:top w:val="single" w:sz="4" w:space="0" w:color="000000"/>
            </w:tcBorders>
            <w:vAlign w:val="center"/>
          </w:tcPr>
          <w:p w14:paraId="492C878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No restriction</w:t>
            </w:r>
          </w:p>
        </w:tc>
        <w:tc>
          <w:tcPr>
            <w:tcW w:w="3293" w:type="dxa"/>
            <w:tcBorders>
              <w:top w:val="single" w:sz="4" w:space="0" w:color="000000"/>
            </w:tcBorders>
            <w:vAlign w:val="center"/>
          </w:tcPr>
          <w:p w14:paraId="4C59575C"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Used for irrigation during normal conditions.</w:t>
            </w:r>
          </w:p>
        </w:tc>
        <w:tc>
          <w:tcPr>
            <w:tcW w:w="1276" w:type="dxa"/>
            <w:tcBorders>
              <w:top w:val="single" w:sz="4" w:space="0" w:color="000000"/>
            </w:tcBorders>
            <w:vAlign w:val="center"/>
          </w:tcPr>
          <w:p w14:paraId="1A79392B"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w:t>
            </w:r>
          </w:p>
        </w:tc>
        <w:tc>
          <w:tcPr>
            <w:tcW w:w="1204" w:type="dxa"/>
            <w:tcBorders>
              <w:top w:val="single" w:sz="4" w:space="0" w:color="000000"/>
            </w:tcBorders>
            <w:vAlign w:val="center"/>
          </w:tcPr>
          <w:p w14:paraId="3792EAC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1.45%</w:t>
            </w:r>
          </w:p>
        </w:tc>
      </w:tr>
      <w:tr w:rsidR="004609F0" w14:paraId="06FE5519" w14:textId="77777777">
        <w:trPr>
          <w:trHeight w:val="288"/>
          <w:jc w:val="center"/>
        </w:trPr>
        <w:tc>
          <w:tcPr>
            <w:tcW w:w="1000" w:type="dxa"/>
            <w:vAlign w:val="center"/>
          </w:tcPr>
          <w:p w14:paraId="28237D1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70-85</w:t>
            </w:r>
          </w:p>
        </w:tc>
        <w:tc>
          <w:tcPr>
            <w:tcW w:w="2114" w:type="dxa"/>
            <w:vAlign w:val="center"/>
          </w:tcPr>
          <w:p w14:paraId="7483E34D"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 xml:space="preserve">Low </w:t>
            </w:r>
            <w:r>
              <w:rPr>
                <w:rFonts w:ascii="Arial" w:eastAsia="Arial" w:hAnsi="Arial" w:cs="Arial"/>
                <w:color w:val="000000"/>
                <w:sz w:val="24"/>
                <w:szCs w:val="24"/>
              </w:rPr>
              <w:t>restriction</w:t>
            </w:r>
          </w:p>
        </w:tc>
        <w:tc>
          <w:tcPr>
            <w:tcW w:w="3293" w:type="dxa"/>
            <w:vAlign w:val="center"/>
          </w:tcPr>
          <w:p w14:paraId="02B40766"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Soils that are irrigated and have a light texture or moderate permeability can be adjusted to fit within this range.</w:t>
            </w:r>
          </w:p>
        </w:tc>
        <w:tc>
          <w:tcPr>
            <w:tcW w:w="1276" w:type="dxa"/>
            <w:vAlign w:val="center"/>
          </w:tcPr>
          <w:p w14:paraId="4F8C826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39</w:t>
            </w:r>
          </w:p>
        </w:tc>
        <w:tc>
          <w:tcPr>
            <w:tcW w:w="1204" w:type="dxa"/>
            <w:vAlign w:val="center"/>
          </w:tcPr>
          <w:p w14:paraId="5C74C6E0"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18.84%</w:t>
            </w:r>
          </w:p>
        </w:tc>
      </w:tr>
      <w:tr w:rsidR="004609F0" w14:paraId="3F44261F" w14:textId="77777777">
        <w:trPr>
          <w:trHeight w:val="288"/>
          <w:jc w:val="center"/>
        </w:trPr>
        <w:tc>
          <w:tcPr>
            <w:tcW w:w="1000" w:type="dxa"/>
            <w:vAlign w:val="center"/>
          </w:tcPr>
          <w:p w14:paraId="66134BC3"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55-70</w:t>
            </w:r>
          </w:p>
        </w:tc>
        <w:tc>
          <w:tcPr>
            <w:tcW w:w="2114" w:type="dxa"/>
            <w:vAlign w:val="center"/>
          </w:tcPr>
          <w:p w14:paraId="0D4E7413"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Moderate restriction</w:t>
            </w:r>
          </w:p>
        </w:tc>
        <w:tc>
          <w:tcPr>
            <w:tcW w:w="3293" w:type="dxa"/>
            <w:vAlign w:val="center"/>
          </w:tcPr>
          <w:p w14:paraId="15C7B686"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Applied in soils with moderate to high permeability values.</w:t>
            </w:r>
          </w:p>
        </w:tc>
        <w:tc>
          <w:tcPr>
            <w:tcW w:w="1276" w:type="dxa"/>
            <w:vAlign w:val="center"/>
          </w:tcPr>
          <w:p w14:paraId="29B2004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73</w:t>
            </w:r>
          </w:p>
        </w:tc>
        <w:tc>
          <w:tcPr>
            <w:tcW w:w="1204" w:type="dxa"/>
            <w:vAlign w:val="center"/>
          </w:tcPr>
          <w:p w14:paraId="2CC29112"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35.27%</w:t>
            </w:r>
          </w:p>
        </w:tc>
      </w:tr>
      <w:tr w:rsidR="004609F0" w14:paraId="53AB8B06" w14:textId="77777777">
        <w:trPr>
          <w:trHeight w:val="288"/>
          <w:jc w:val="center"/>
        </w:trPr>
        <w:tc>
          <w:tcPr>
            <w:tcW w:w="1000" w:type="dxa"/>
            <w:vAlign w:val="center"/>
          </w:tcPr>
          <w:p w14:paraId="34775126"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40-55</w:t>
            </w:r>
          </w:p>
        </w:tc>
        <w:tc>
          <w:tcPr>
            <w:tcW w:w="2114" w:type="dxa"/>
            <w:vAlign w:val="center"/>
          </w:tcPr>
          <w:p w14:paraId="6070E922"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 xml:space="preserve">High </w:t>
            </w:r>
            <w:r>
              <w:rPr>
                <w:rFonts w:ascii="Arial" w:eastAsia="Arial" w:hAnsi="Arial" w:cs="Arial"/>
                <w:color w:val="000000"/>
                <w:sz w:val="24"/>
                <w:szCs w:val="24"/>
              </w:rPr>
              <w:t>restriction</w:t>
            </w:r>
          </w:p>
        </w:tc>
        <w:tc>
          <w:tcPr>
            <w:tcW w:w="3293" w:type="dxa"/>
            <w:vAlign w:val="center"/>
          </w:tcPr>
          <w:p w14:paraId="66AC9E62"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Suitable for use with high-permeability soils that lack compact layers.</w:t>
            </w:r>
          </w:p>
        </w:tc>
        <w:tc>
          <w:tcPr>
            <w:tcW w:w="1276" w:type="dxa"/>
            <w:vAlign w:val="center"/>
          </w:tcPr>
          <w:p w14:paraId="0744F810"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82</w:t>
            </w:r>
          </w:p>
        </w:tc>
        <w:tc>
          <w:tcPr>
            <w:tcW w:w="1204" w:type="dxa"/>
            <w:vAlign w:val="center"/>
          </w:tcPr>
          <w:p w14:paraId="7BED24D9"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39.61%</w:t>
            </w:r>
          </w:p>
        </w:tc>
      </w:tr>
      <w:tr w:rsidR="004609F0" w14:paraId="10098DA6" w14:textId="77777777">
        <w:trPr>
          <w:trHeight w:val="288"/>
          <w:jc w:val="center"/>
        </w:trPr>
        <w:tc>
          <w:tcPr>
            <w:tcW w:w="1000" w:type="dxa"/>
            <w:tcBorders>
              <w:bottom w:val="single" w:sz="4" w:space="0" w:color="000000"/>
            </w:tcBorders>
            <w:vAlign w:val="center"/>
          </w:tcPr>
          <w:p w14:paraId="7701381F"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0-40</w:t>
            </w:r>
          </w:p>
        </w:tc>
        <w:tc>
          <w:tcPr>
            <w:tcW w:w="2114" w:type="dxa"/>
            <w:tcBorders>
              <w:bottom w:val="single" w:sz="4" w:space="0" w:color="000000"/>
            </w:tcBorders>
            <w:vAlign w:val="center"/>
          </w:tcPr>
          <w:p w14:paraId="04D30064"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Severe restriction</w:t>
            </w:r>
          </w:p>
        </w:tc>
        <w:tc>
          <w:tcPr>
            <w:tcW w:w="3293" w:type="dxa"/>
            <w:tcBorders>
              <w:bottom w:val="single" w:sz="4" w:space="0" w:color="000000"/>
            </w:tcBorders>
            <w:vAlign w:val="center"/>
          </w:tcPr>
          <w:p w14:paraId="2DC2AB03"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Not used for irrigation under normal conditions</w:t>
            </w:r>
          </w:p>
        </w:tc>
        <w:tc>
          <w:tcPr>
            <w:tcW w:w="1276" w:type="dxa"/>
            <w:tcBorders>
              <w:bottom w:val="single" w:sz="4" w:space="0" w:color="000000"/>
            </w:tcBorders>
            <w:vAlign w:val="center"/>
          </w:tcPr>
          <w:p w14:paraId="20274BC9"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10</w:t>
            </w:r>
          </w:p>
        </w:tc>
        <w:tc>
          <w:tcPr>
            <w:tcW w:w="1204" w:type="dxa"/>
            <w:tcBorders>
              <w:bottom w:val="single" w:sz="4" w:space="0" w:color="000000"/>
            </w:tcBorders>
            <w:vAlign w:val="center"/>
          </w:tcPr>
          <w:p w14:paraId="1E93329E" w14:textId="77777777" w:rsidR="004609F0" w:rsidRDefault="00BC7B8C">
            <w:pPr>
              <w:jc w:val="center"/>
              <w:rPr>
                <w:rFonts w:ascii="Arial" w:eastAsia="Arial" w:hAnsi="Arial" w:cs="Arial"/>
                <w:color w:val="000000"/>
                <w:sz w:val="24"/>
                <w:szCs w:val="24"/>
              </w:rPr>
            </w:pPr>
            <w:r>
              <w:rPr>
                <w:rFonts w:ascii="Arial" w:eastAsia="Arial" w:hAnsi="Arial" w:cs="Arial"/>
                <w:color w:val="000000"/>
                <w:sz w:val="24"/>
                <w:szCs w:val="24"/>
              </w:rPr>
              <w:t>4.83%</w:t>
            </w:r>
          </w:p>
        </w:tc>
      </w:tr>
    </w:tbl>
    <w:p w14:paraId="598BE043" w14:textId="77777777" w:rsidR="004609F0" w:rsidRDefault="00BC7B8C">
      <w:pPr>
        <w:spacing w:before="240" w:line="240" w:lineRule="auto"/>
        <w:jc w:val="both"/>
        <w:rPr>
          <w:rFonts w:ascii="Arial" w:eastAsia="Arial" w:hAnsi="Arial" w:cs="Arial"/>
          <w:sz w:val="24"/>
          <w:szCs w:val="24"/>
        </w:rPr>
      </w:pPr>
      <w:r>
        <w:rPr>
          <w:rFonts w:ascii="Arial" w:eastAsia="Arial" w:hAnsi="Arial" w:cs="Arial"/>
          <w:sz w:val="24"/>
          <w:szCs w:val="24"/>
        </w:rPr>
        <w:t xml:space="preserve">A Geographic Information System (GIS) is a spatial system designed to collect, organise, analyse, and store data that relies on geographic location as a key feature or essential component of the study.  To create geographical maps and thematic layers, GIS </w:t>
      </w:r>
      <w:r>
        <w:rPr>
          <w:rFonts w:ascii="Arial" w:eastAsia="Arial" w:hAnsi="Arial" w:cs="Arial"/>
          <w:sz w:val="24"/>
          <w:szCs w:val="24"/>
        </w:rPr>
        <w:t xml:space="preserve">facilitates the statistical interpolation of various experimental data.  By removing unclear groundwater parameter components and reducing the creation of statistical correlations, these methods make it possible to represent the groundwater quality in the </w:t>
      </w:r>
      <w:r>
        <w:rPr>
          <w:rFonts w:ascii="Arial" w:eastAsia="Arial" w:hAnsi="Arial" w:cs="Arial"/>
          <w:sz w:val="24"/>
          <w:szCs w:val="24"/>
        </w:rPr>
        <w:t xml:space="preserve">study area visually (Chaudhari et al., 2024; </w:t>
      </w:r>
      <w:proofErr w:type="spellStart"/>
      <w:r>
        <w:rPr>
          <w:rFonts w:ascii="Arial" w:eastAsia="Arial" w:hAnsi="Arial" w:cs="Arial"/>
          <w:sz w:val="24"/>
          <w:szCs w:val="24"/>
        </w:rPr>
        <w:t>Vaiphei</w:t>
      </w:r>
      <w:proofErr w:type="spellEnd"/>
      <w:r>
        <w:rPr>
          <w:rFonts w:ascii="Arial" w:eastAsia="Arial" w:hAnsi="Arial" w:cs="Arial"/>
          <w:sz w:val="24"/>
          <w:szCs w:val="24"/>
        </w:rPr>
        <w:t xml:space="preserve"> et al., 2020). In hydrogeochemical investigations like (</w:t>
      </w:r>
      <w:proofErr w:type="spellStart"/>
      <w:r>
        <w:rPr>
          <w:rFonts w:ascii="Arial" w:eastAsia="Arial" w:hAnsi="Arial" w:cs="Arial"/>
          <w:sz w:val="24"/>
          <w:szCs w:val="24"/>
        </w:rPr>
        <w:t>Nijesh</w:t>
      </w:r>
      <w:proofErr w:type="spellEnd"/>
      <w:r>
        <w:rPr>
          <w:rFonts w:ascii="Arial" w:eastAsia="Arial" w:hAnsi="Arial" w:cs="Arial"/>
          <w:sz w:val="24"/>
          <w:szCs w:val="24"/>
        </w:rPr>
        <w:t xml:space="preserve"> et al., 2021; Tiwari et al., 2016; </w:t>
      </w:r>
      <w:proofErr w:type="spellStart"/>
      <w:r>
        <w:rPr>
          <w:rFonts w:ascii="Arial" w:eastAsia="Arial" w:hAnsi="Arial" w:cs="Arial"/>
          <w:sz w:val="24"/>
          <w:szCs w:val="24"/>
        </w:rPr>
        <w:t>Zolekar</w:t>
      </w:r>
      <w:proofErr w:type="spellEnd"/>
      <w:r>
        <w:rPr>
          <w:rFonts w:ascii="Arial" w:eastAsia="Arial" w:hAnsi="Arial" w:cs="Arial"/>
          <w:sz w:val="24"/>
          <w:szCs w:val="24"/>
        </w:rPr>
        <w:t xml:space="preserve"> et al., 2021) spatial distribution mapping is frequently used to visualise drainage patterns and </w:t>
      </w:r>
      <w:r>
        <w:rPr>
          <w:rFonts w:ascii="Arial" w:eastAsia="Arial" w:hAnsi="Arial" w:cs="Arial"/>
          <w:sz w:val="24"/>
          <w:szCs w:val="24"/>
        </w:rPr>
        <w:t xml:space="preserve">groundwater quality.  These interpolation maps support conservation planning, aid in identifying contamination sources, inform long-term monitoring efforts, and provide decision-makers with clear and accurate information.  Here, </w:t>
      </w:r>
      <w:r>
        <w:rPr>
          <w:rFonts w:ascii="Arial" w:eastAsia="Arial" w:hAnsi="Arial" w:cs="Arial"/>
          <w:b/>
          <w:sz w:val="24"/>
          <w:szCs w:val="24"/>
        </w:rPr>
        <w:t>Figure 3</w:t>
      </w:r>
      <w:r>
        <w:rPr>
          <w:rFonts w:ascii="Arial" w:eastAsia="Arial" w:hAnsi="Arial" w:cs="Arial"/>
          <w:sz w:val="24"/>
          <w:szCs w:val="24"/>
        </w:rPr>
        <w:t xml:space="preserve"> shows a Spatial Di</w:t>
      </w:r>
      <w:r>
        <w:rPr>
          <w:rFonts w:ascii="Arial" w:eastAsia="Arial" w:hAnsi="Arial" w:cs="Arial"/>
          <w:sz w:val="24"/>
          <w:szCs w:val="24"/>
        </w:rPr>
        <w:t xml:space="preserve">stribution map for the classification of the Irrigation Water Quality Index (IWQI). </w:t>
      </w:r>
    </w:p>
    <w:p w14:paraId="662744B4" w14:textId="77777777" w:rsidR="004609F0" w:rsidRDefault="00BC7B8C">
      <w:pPr>
        <w:spacing w:before="240" w:line="240" w:lineRule="auto"/>
        <w:ind w:left="-284"/>
        <w:jc w:val="center"/>
        <w:rPr>
          <w:rFonts w:ascii="Arial" w:eastAsia="Arial" w:hAnsi="Arial" w:cs="Arial"/>
          <w:color w:val="000000"/>
          <w:sz w:val="24"/>
          <w:szCs w:val="24"/>
        </w:rPr>
      </w:pPr>
      <w:r>
        <w:rPr>
          <w:rFonts w:ascii="Arial" w:eastAsia="Arial" w:hAnsi="Arial" w:cs="Arial"/>
          <w:noProof/>
          <w:sz w:val="24"/>
          <w:szCs w:val="24"/>
        </w:rPr>
        <w:lastRenderedPageBreak/>
        <w:drawing>
          <wp:inline distT="0" distB="0" distL="0" distR="0" wp14:anchorId="2F3CF1FC" wp14:editId="501C17BA">
            <wp:extent cx="5086841" cy="6191451"/>
            <wp:effectExtent l="0" t="0" r="0" b="0"/>
            <wp:docPr id="20836335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86841" cy="6191451"/>
                    </a:xfrm>
                    <a:prstGeom prst="rect">
                      <a:avLst/>
                    </a:prstGeom>
                    <a:ln/>
                  </pic:spPr>
                </pic:pic>
              </a:graphicData>
            </a:graphic>
          </wp:inline>
        </w:drawing>
      </w:r>
    </w:p>
    <w:p w14:paraId="0B83897B" w14:textId="77777777" w:rsidR="004609F0" w:rsidRDefault="00BC7B8C">
      <w:pPr>
        <w:spacing w:before="240" w:line="240" w:lineRule="auto"/>
        <w:ind w:left="-284"/>
        <w:jc w:val="center"/>
        <w:rPr>
          <w:rFonts w:ascii="Arial" w:eastAsia="Arial" w:hAnsi="Arial" w:cs="Arial"/>
          <w:color w:val="000000"/>
          <w:sz w:val="24"/>
          <w:szCs w:val="24"/>
        </w:rPr>
      </w:pPr>
      <w:r>
        <w:rPr>
          <w:rFonts w:ascii="Arial" w:eastAsia="Arial" w:hAnsi="Arial" w:cs="Arial"/>
          <w:b/>
          <w:color w:val="000000"/>
          <w:sz w:val="24"/>
          <w:szCs w:val="24"/>
        </w:rPr>
        <w:t xml:space="preserve">Figure 3: </w:t>
      </w:r>
      <w:r>
        <w:rPr>
          <w:rFonts w:ascii="Arial" w:eastAsia="Arial" w:hAnsi="Arial" w:cs="Arial"/>
          <w:color w:val="000000"/>
          <w:sz w:val="24"/>
          <w:szCs w:val="24"/>
        </w:rPr>
        <w:t>Spatial distribution of Irrigation Water Quality Index (IWQI) in the Study Area.</w:t>
      </w:r>
    </w:p>
    <w:p w14:paraId="503DF03A" w14:textId="77777777" w:rsidR="004609F0" w:rsidRDefault="00BC7B8C">
      <w:pPr>
        <w:spacing w:before="240" w:line="240" w:lineRule="auto"/>
        <w:jc w:val="both"/>
        <w:rPr>
          <w:rFonts w:ascii="Arial" w:eastAsia="Arial" w:hAnsi="Arial" w:cs="Arial"/>
          <w:b/>
          <w:sz w:val="24"/>
          <w:szCs w:val="24"/>
        </w:rPr>
      </w:pPr>
      <w:r>
        <w:rPr>
          <w:rFonts w:ascii="Arial" w:eastAsia="Arial" w:hAnsi="Arial" w:cs="Arial"/>
          <w:b/>
          <w:sz w:val="24"/>
          <w:szCs w:val="24"/>
        </w:rPr>
        <w:t xml:space="preserve">5.4 Hydrogeochemical Characterisation </w:t>
      </w:r>
    </w:p>
    <w:p w14:paraId="7335B1EA" w14:textId="77777777" w:rsidR="004609F0" w:rsidRDefault="00BC7B8C">
      <w:pPr>
        <w:spacing w:line="240" w:lineRule="auto"/>
        <w:jc w:val="both"/>
        <w:rPr>
          <w:rFonts w:ascii="Arial" w:eastAsia="Arial" w:hAnsi="Arial" w:cs="Arial"/>
          <w:sz w:val="24"/>
          <w:szCs w:val="24"/>
        </w:rPr>
      </w:pPr>
      <w:r>
        <w:rPr>
          <w:rFonts w:ascii="Arial" w:eastAsia="Arial" w:hAnsi="Arial" w:cs="Arial"/>
          <w:sz w:val="24"/>
          <w:szCs w:val="24"/>
        </w:rPr>
        <w:t xml:space="preserve">To clarify the hydrogeochemical </w:t>
      </w:r>
      <w:r>
        <w:rPr>
          <w:rFonts w:ascii="Arial" w:eastAsia="Arial" w:hAnsi="Arial" w:cs="Arial"/>
          <w:sz w:val="24"/>
          <w:szCs w:val="24"/>
        </w:rPr>
        <w:t xml:space="preserve">processes affecting the vegetation area of </w:t>
      </w:r>
      <w:proofErr w:type="spellStart"/>
      <w:r>
        <w:rPr>
          <w:rFonts w:ascii="Arial" w:eastAsia="Arial" w:hAnsi="Arial" w:cs="Arial"/>
          <w:sz w:val="24"/>
          <w:szCs w:val="24"/>
        </w:rPr>
        <w:t>Banaskantha’s</w:t>
      </w:r>
      <w:proofErr w:type="spellEnd"/>
      <w:r>
        <w:rPr>
          <w:rFonts w:ascii="Arial" w:eastAsia="Arial" w:hAnsi="Arial" w:cs="Arial"/>
          <w:sz w:val="24"/>
          <w:szCs w:val="24"/>
        </w:rPr>
        <w:t xml:space="preserve"> groundwater chemistry, graphical methods such as Piper, </w:t>
      </w:r>
      <w:proofErr w:type="spellStart"/>
      <w:r>
        <w:rPr>
          <w:rFonts w:ascii="Arial" w:eastAsia="Arial" w:hAnsi="Arial" w:cs="Arial"/>
          <w:sz w:val="24"/>
          <w:szCs w:val="24"/>
        </w:rPr>
        <w:t>Durov</w:t>
      </w:r>
      <w:proofErr w:type="spellEnd"/>
      <w:r>
        <w:rPr>
          <w:rFonts w:ascii="Arial" w:eastAsia="Arial" w:hAnsi="Arial" w:cs="Arial"/>
          <w:sz w:val="24"/>
          <w:szCs w:val="24"/>
        </w:rPr>
        <w:t xml:space="preserve">, and Gibbs diagrams were used with </w:t>
      </w:r>
      <w:proofErr w:type="spellStart"/>
      <w:r>
        <w:rPr>
          <w:rFonts w:ascii="Arial" w:eastAsia="Arial" w:hAnsi="Arial" w:cs="Arial"/>
          <w:sz w:val="24"/>
          <w:szCs w:val="24"/>
        </w:rPr>
        <w:t>Aquachem</w:t>
      </w:r>
      <w:proofErr w:type="spellEnd"/>
      <w:r>
        <w:rPr>
          <w:rFonts w:ascii="Arial" w:eastAsia="Arial" w:hAnsi="Arial" w:cs="Arial"/>
          <w:sz w:val="24"/>
          <w:szCs w:val="24"/>
        </w:rPr>
        <w:t xml:space="preserve"> 10.0. Additionally, some scatter plots illustrating key geochemical characteristics in this s</w:t>
      </w:r>
      <w:r>
        <w:rPr>
          <w:rFonts w:ascii="Arial" w:eastAsia="Arial" w:hAnsi="Arial" w:cs="Arial"/>
          <w:sz w:val="24"/>
          <w:szCs w:val="24"/>
        </w:rPr>
        <w:t>tudy area were created using Microsoft Excel.</w:t>
      </w:r>
    </w:p>
    <w:p w14:paraId="6DF75DD5" w14:textId="77777777" w:rsidR="004609F0" w:rsidRDefault="00BC7B8C">
      <w:pPr>
        <w:spacing w:line="240" w:lineRule="auto"/>
        <w:ind w:firstLine="720"/>
        <w:jc w:val="both"/>
        <w:rPr>
          <w:rFonts w:ascii="Arial" w:eastAsia="Arial" w:hAnsi="Arial" w:cs="Arial"/>
          <w:sz w:val="24"/>
          <w:szCs w:val="24"/>
        </w:rPr>
      </w:pPr>
      <w:bookmarkStart w:id="5" w:name="_heading=h.gweqyhyxjtdq" w:colFirst="0" w:colLast="0"/>
      <w:bookmarkEnd w:id="5"/>
      <w:r>
        <w:rPr>
          <w:rFonts w:ascii="Arial" w:eastAsia="Arial" w:hAnsi="Arial" w:cs="Arial"/>
          <w:sz w:val="24"/>
          <w:szCs w:val="24"/>
        </w:rPr>
        <w:t xml:space="preserve">According to one definition, </w:t>
      </w:r>
      <w:proofErr w:type="spellStart"/>
      <w:r>
        <w:rPr>
          <w:rFonts w:ascii="Arial" w:eastAsia="Arial" w:hAnsi="Arial" w:cs="Arial"/>
          <w:sz w:val="24"/>
          <w:szCs w:val="24"/>
        </w:rPr>
        <w:t>hydrochemical</w:t>
      </w:r>
      <w:proofErr w:type="spellEnd"/>
      <w:r>
        <w:rPr>
          <w:rFonts w:ascii="Arial" w:eastAsia="Arial" w:hAnsi="Arial" w:cs="Arial"/>
          <w:sz w:val="24"/>
          <w:szCs w:val="24"/>
        </w:rPr>
        <w:t xml:space="preserve"> facies "reflect the response of chemical processes in the lithologic framework and the pattern of water flow in it," and they "denote the diagnostic chemical aspect of</w:t>
      </w:r>
      <w:r>
        <w:rPr>
          <w:rFonts w:ascii="Arial" w:eastAsia="Arial" w:hAnsi="Arial" w:cs="Arial"/>
          <w:sz w:val="24"/>
          <w:szCs w:val="24"/>
        </w:rPr>
        <w:t xml:space="preserve"> water solutions occurring in hydrologic systems” (Jain et al., 2018). The Piper diagram distinguishes water types by showing relative concentrations of key cations (Ca²</w:t>
      </w:r>
      <w:r>
        <w:rPr>
          <w:rFonts w:ascii="Cambria Math" w:eastAsia="Cambria Math" w:hAnsi="Cambria Math" w:cs="Cambria Math"/>
          <w:sz w:val="24"/>
          <w:szCs w:val="24"/>
        </w:rPr>
        <w:t>⁺</w:t>
      </w:r>
      <w:r>
        <w:rPr>
          <w:rFonts w:ascii="Arial" w:eastAsia="Arial" w:hAnsi="Arial" w:cs="Arial"/>
          <w:sz w:val="24"/>
          <w:szCs w:val="24"/>
        </w:rPr>
        <w:t>, Mg²</w:t>
      </w:r>
      <w:r>
        <w:rPr>
          <w:rFonts w:ascii="Cambria Math" w:eastAsia="Cambria Math" w:hAnsi="Cambria Math" w:cs="Cambria Math"/>
          <w:sz w:val="24"/>
          <w:szCs w:val="24"/>
        </w:rPr>
        <w:t>⁺</w:t>
      </w:r>
      <w:r>
        <w:rPr>
          <w:rFonts w:ascii="Arial" w:eastAsia="Arial" w:hAnsi="Arial" w:cs="Arial"/>
          <w:sz w:val="24"/>
          <w:szCs w:val="24"/>
        </w:rPr>
        <w:t>, Na</w:t>
      </w:r>
      <w:r>
        <w:rPr>
          <w:rFonts w:ascii="Cambria Math" w:eastAsia="Cambria Math" w:hAnsi="Cambria Math" w:cs="Cambria Math"/>
          <w:sz w:val="24"/>
          <w:szCs w:val="24"/>
        </w:rPr>
        <w:t>⁺</w:t>
      </w:r>
      <w:r>
        <w:rPr>
          <w:rFonts w:ascii="Arial" w:eastAsia="Arial" w:hAnsi="Arial" w:cs="Arial"/>
          <w:sz w:val="24"/>
          <w:szCs w:val="24"/>
        </w:rPr>
        <w:t>+ K</w:t>
      </w:r>
      <w:r>
        <w:rPr>
          <w:rFonts w:ascii="Cambria Math" w:eastAsia="Cambria Math" w:hAnsi="Cambria Math" w:cs="Cambria Math"/>
          <w:sz w:val="24"/>
          <w:szCs w:val="24"/>
        </w:rPr>
        <w:t>⁺</w:t>
      </w:r>
      <w:r>
        <w:rPr>
          <w:rFonts w:ascii="Arial" w:eastAsia="Arial" w:hAnsi="Arial" w:cs="Arial"/>
          <w:sz w:val="24"/>
          <w:szCs w:val="24"/>
        </w:rPr>
        <w:t>) and anions (HCO</w:t>
      </w:r>
      <w:r>
        <w:rPr>
          <w:rFonts w:ascii="Cambria Math" w:eastAsia="Cambria Math" w:hAnsi="Cambria Math" w:cs="Cambria Math"/>
          <w:sz w:val="24"/>
          <w:szCs w:val="24"/>
        </w:rPr>
        <w:t>₃</w:t>
      </w:r>
      <w:r>
        <w:rPr>
          <w:rFonts w:ascii="Arial" w:eastAsia="Arial" w:hAnsi="Arial" w:cs="Arial"/>
          <w:sz w:val="24"/>
          <w:szCs w:val="24"/>
          <w:vertAlign w:val="superscript"/>
        </w:rPr>
        <w:t xml:space="preserve">- </w:t>
      </w:r>
      <w:r>
        <w:rPr>
          <w:rFonts w:ascii="Arial" w:eastAsia="Arial" w:hAnsi="Arial" w:cs="Arial"/>
          <w:sz w:val="24"/>
          <w:szCs w:val="24"/>
        </w:rPr>
        <w:t xml:space="preserve">+ </w:t>
      </w:r>
      <w:r>
        <w:rPr>
          <w:rFonts w:ascii="Arial" w:eastAsia="Arial" w:hAnsi="Arial" w:cs="Arial"/>
          <w:sz w:val="24"/>
          <w:szCs w:val="24"/>
        </w:rPr>
        <w:lastRenderedPageBreak/>
        <w:t>CO</w:t>
      </w:r>
      <w:r>
        <w:rPr>
          <w:rFonts w:ascii="Arial" w:eastAsia="Arial" w:hAnsi="Arial" w:cs="Arial"/>
          <w:sz w:val="24"/>
          <w:szCs w:val="24"/>
          <w:vertAlign w:val="subscript"/>
        </w:rPr>
        <w:t>3</w:t>
      </w:r>
      <w:r>
        <w:rPr>
          <w:rFonts w:ascii="Arial" w:eastAsia="Arial" w:hAnsi="Arial" w:cs="Arial"/>
          <w:sz w:val="24"/>
          <w:szCs w:val="24"/>
        </w:rPr>
        <w:t>²</w:t>
      </w:r>
      <w:r>
        <w:rPr>
          <w:rFonts w:ascii="Cambria Math" w:eastAsia="Cambria Math" w:hAnsi="Cambria Math" w:cs="Cambria Math"/>
          <w:sz w:val="24"/>
          <w:szCs w:val="24"/>
        </w:rPr>
        <w:t>⁻</w:t>
      </w:r>
      <w:r>
        <w:rPr>
          <w:rFonts w:ascii="Arial" w:eastAsia="Arial" w:hAnsi="Arial" w:cs="Arial"/>
          <w:sz w:val="24"/>
          <w:szCs w:val="24"/>
        </w:rPr>
        <w:t>, SO</w:t>
      </w:r>
      <w:r>
        <w:rPr>
          <w:rFonts w:ascii="Cambria Math" w:eastAsia="Cambria Math" w:hAnsi="Cambria Math" w:cs="Cambria Math"/>
          <w:sz w:val="24"/>
          <w:szCs w:val="24"/>
        </w:rPr>
        <w:t>₄</w:t>
      </w:r>
      <w:r>
        <w:rPr>
          <w:rFonts w:ascii="Arial" w:eastAsia="Arial" w:hAnsi="Arial" w:cs="Arial"/>
          <w:sz w:val="24"/>
          <w:szCs w:val="24"/>
        </w:rPr>
        <w:t>²</w:t>
      </w:r>
      <w:r>
        <w:rPr>
          <w:rFonts w:ascii="Cambria Math" w:eastAsia="Cambria Math" w:hAnsi="Cambria Math" w:cs="Cambria Math"/>
          <w:sz w:val="24"/>
          <w:szCs w:val="24"/>
        </w:rPr>
        <w:t>⁻</w:t>
      </w:r>
      <w:r>
        <w:rPr>
          <w:rFonts w:ascii="Arial" w:eastAsia="Arial" w:hAnsi="Arial" w:cs="Arial"/>
          <w:sz w:val="24"/>
          <w:szCs w:val="24"/>
        </w:rPr>
        <w:t>, Cl</w:t>
      </w:r>
      <w:r>
        <w:rPr>
          <w:rFonts w:ascii="Cambria Math" w:eastAsia="Cambria Math" w:hAnsi="Cambria Math" w:cs="Cambria Math"/>
          <w:sz w:val="24"/>
          <w:szCs w:val="24"/>
        </w:rPr>
        <w:t>⁻</w:t>
      </w:r>
      <w:r>
        <w:rPr>
          <w:rFonts w:ascii="Arial" w:eastAsia="Arial" w:hAnsi="Arial" w:cs="Arial"/>
          <w:sz w:val="24"/>
          <w:szCs w:val="24"/>
        </w:rPr>
        <w:t xml:space="preserve">).  The left and right triangles reflect cation and anion dominance, respectively, while the middle diamond integrates both to define the overall </w:t>
      </w:r>
      <w:proofErr w:type="spellStart"/>
      <w:r>
        <w:rPr>
          <w:rFonts w:ascii="Arial" w:eastAsia="Arial" w:hAnsi="Arial" w:cs="Arial"/>
          <w:sz w:val="24"/>
          <w:szCs w:val="24"/>
        </w:rPr>
        <w:t>hydrochemical</w:t>
      </w:r>
      <w:proofErr w:type="spellEnd"/>
      <w:r>
        <w:rPr>
          <w:rFonts w:ascii="Arial" w:eastAsia="Arial" w:hAnsi="Arial" w:cs="Arial"/>
          <w:sz w:val="24"/>
          <w:szCs w:val="24"/>
        </w:rPr>
        <w:t xml:space="preserve"> facies and demonstrate general groundwater chemistry properties (Gao et al., 2020b). Using a Pip</w:t>
      </w:r>
      <w:r>
        <w:rPr>
          <w:rFonts w:ascii="Arial" w:eastAsia="Arial" w:hAnsi="Arial" w:cs="Arial"/>
          <w:sz w:val="24"/>
          <w:szCs w:val="24"/>
        </w:rPr>
        <w:t xml:space="preserve">er diagram, the classification of water kinds was visually illustrated in </w:t>
      </w:r>
      <w:r>
        <w:rPr>
          <w:rFonts w:ascii="Arial" w:eastAsia="Arial" w:hAnsi="Arial" w:cs="Arial"/>
          <w:b/>
          <w:sz w:val="24"/>
          <w:szCs w:val="24"/>
        </w:rPr>
        <w:t>Figure 4</w:t>
      </w:r>
      <w:r>
        <w:rPr>
          <w:rFonts w:ascii="Arial" w:eastAsia="Arial" w:hAnsi="Arial" w:cs="Arial"/>
          <w:sz w:val="24"/>
          <w:szCs w:val="24"/>
        </w:rPr>
        <w:t xml:space="preserve">. Groundwater in </w:t>
      </w:r>
      <w:proofErr w:type="spellStart"/>
      <w:r>
        <w:rPr>
          <w:rFonts w:ascii="Arial" w:eastAsia="Arial" w:hAnsi="Arial" w:cs="Arial"/>
          <w:sz w:val="24"/>
          <w:szCs w:val="24"/>
        </w:rPr>
        <w:t>Banaskantha</w:t>
      </w:r>
      <w:proofErr w:type="spellEnd"/>
      <w:r>
        <w:rPr>
          <w:rFonts w:ascii="Arial" w:eastAsia="Arial" w:hAnsi="Arial" w:cs="Arial"/>
          <w:sz w:val="24"/>
          <w:szCs w:val="24"/>
        </w:rPr>
        <w:t xml:space="preserve"> shows four major facies: Ca–Mg–Cl–SO</w:t>
      </w:r>
      <w:r>
        <w:rPr>
          <w:rFonts w:ascii="Cambria Math" w:eastAsia="Cambria Math" w:hAnsi="Cambria Math" w:cs="Cambria Math"/>
          <w:sz w:val="24"/>
          <w:szCs w:val="24"/>
        </w:rPr>
        <w:t>₄</w:t>
      </w:r>
      <w:r>
        <w:rPr>
          <w:rFonts w:ascii="Arial" w:eastAsia="Arial" w:hAnsi="Arial" w:cs="Arial"/>
          <w:sz w:val="24"/>
          <w:szCs w:val="24"/>
        </w:rPr>
        <w:t>, Na–K–Cl–SO</w:t>
      </w:r>
      <w:r>
        <w:rPr>
          <w:rFonts w:ascii="Cambria Math" w:eastAsia="Cambria Math" w:hAnsi="Cambria Math" w:cs="Cambria Math"/>
          <w:sz w:val="24"/>
          <w:szCs w:val="24"/>
        </w:rPr>
        <w:t>₄</w:t>
      </w:r>
      <w:r>
        <w:rPr>
          <w:rFonts w:ascii="Arial" w:eastAsia="Arial" w:hAnsi="Arial" w:cs="Arial"/>
          <w:sz w:val="24"/>
          <w:szCs w:val="24"/>
        </w:rPr>
        <w:t>, Na–K–HCO</w:t>
      </w:r>
      <w:r>
        <w:rPr>
          <w:rFonts w:ascii="Cambria Math" w:eastAsia="Cambria Math" w:hAnsi="Cambria Math" w:cs="Cambria Math"/>
          <w:sz w:val="24"/>
          <w:szCs w:val="24"/>
        </w:rPr>
        <w:t>₃</w:t>
      </w:r>
      <w:r>
        <w:rPr>
          <w:rFonts w:ascii="Arial" w:eastAsia="Arial" w:hAnsi="Arial" w:cs="Arial"/>
          <w:sz w:val="24"/>
          <w:szCs w:val="24"/>
        </w:rPr>
        <w:t>, and Ca–Mg–HCO</w:t>
      </w:r>
      <w:r>
        <w:rPr>
          <w:rFonts w:ascii="Cambria Math" w:eastAsia="Cambria Math" w:hAnsi="Cambria Math" w:cs="Cambria Math"/>
          <w:sz w:val="24"/>
          <w:szCs w:val="24"/>
        </w:rPr>
        <w:t>₃</w:t>
      </w:r>
      <w:r>
        <w:rPr>
          <w:rFonts w:ascii="Arial" w:eastAsia="Arial" w:hAnsi="Arial" w:cs="Arial"/>
          <w:sz w:val="24"/>
          <w:szCs w:val="24"/>
        </w:rPr>
        <w:t xml:space="preserve">. Recharge signatures arise from carbonate and silicate weathering, </w:t>
      </w:r>
      <w:r>
        <w:rPr>
          <w:rFonts w:ascii="Arial" w:eastAsia="Arial" w:hAnsi="Arial" w:cs="Arial"/>
          <w:sz w:val="24"/>
          <w:szCs w:val="24"/>
        </w:rPr>
        <w:t>with Na–K–HCO</w:t>
      </w:r>
      <w:r>
        <w:rPr>
          <w:rFonts w:ascii="Cambria Math" w:eastAsia="Cambria Math" w:hAnsi="Cambria Math" w:cs="Cambria Math"/>
          <w:sz w:val="24"/>
          <w:szCs w:val="24"/>
        </w:rPr>
        <w:t>₃</w:t>
      </w:r>
      <w:r>
        <w:rPr>
          <w:rFonts w:ascii="Arial" w:eastAsia="Arial" w:hAnsi="Arial" w:cs="Arial"/>
          <w:sz w:val="24"/>
          <w:szCs w:val="24"/>
        </w:rPr>
        <w:t xml:space="preserve"> indicating localised high-quality recharge. The dominance of Na–Cl and Na–SO</w:t>
      </w:r>
      <w:r>
        <w:rPr>
          <w:rFonts w:ascii="Cambria Math" w:eastAsia="Cambria Math" w:hAnsi="Cambria Math" w:cs="Cambria Math"/>
          <w:sz w:val="24"/>
          <w:szCs w:val="24"/>
        </w:rPr>
        <w:t>₄</w:t>
      </w:r>
      <w:r>
        <w:rPr>
          <w:rFonts w:ascii="Arial" w:eastAsia="Arial" w:hAnsi="Arial" w:cs="Arial"/>
          <w:sz w:val="24"/>
          <w:szCs w:val="24"/>
        </w:rPr>
        <w:t xml:space="preserve"> facies reflects cation exchange, evaporation, and </w:t>
      </w:r>
      <w:proofErr w:type="spellStart"/>
      <w:r>
        <w:rPr>
          <w:rFonts w:ascii="Arial" w:eastAsia="Arial" w:hAnsi="Arial" w:cs="Arial"/>
          <w:sz w:val="24"/>
          <w:szCs w:val="24"/>
        </w:rPr>
        <w:t>salinisation</w:t>
      </w:r>
      <w:proofErr w:type="spellEnd"/>
      <w:r>
        <w:rPr>
          <w:rFonts w:ascii="Arial" w:eastAsia="Arial" w:hAnsi="Arial" w:cs="Arial"/>
          <w:sz w:val="24"/>
          <w:szCs w:val="24"/>
        </w:rPr>
        <w:t xml:space="preserve"> processes. Fertiliser use and irrigation return flow further increase salinity and sulphate levels. </w:t>
      </w:r>
      <w:r>
        <w:rPr>
          <w:rFonts w:ascii="Arial" w:eastAsia="Arial" w:hAnsi="Arial" w:cs="Arial"/>
          <w:sz w:val="24"/>
          <w:szCs w:val="24"/>
        </w:rPr>
        <w:t>Ca–Mg–HCO</w:t>
      </w:r>
      <w:r>
        <w:rPr>
          <w:rFonts w:ascii="Cambria Math" w:eastAsia="Cambria Math" w:hAnsi="Cambria Math" w:cs="Cambria Math"/>
          <w:sz w:val="24"/>
          <w:szCs w:val="24"/>
        </w:rPr>
        <w:t>₃</w:t>
      </w:r>
      <w:r>
        <w:rPr>
          <w:rFonts w:ascii="Arial" w:eastAsia="Arial" w:hAnsi="Arial" w:cs="Arial"/>
          <w:sz w:val="24"/>
          <w:szCs w:val="24"/>
        </w:rPr>
        <w:t xml:space="preserve"> waters are suitable for irrigation and drinking. However, Na–Cl and Ca–Mg–SO</w:t>
      </w:r>
      <w:r>
        <w:rPr>
          <w:rFonts w:ascii="Cambria Math" w:eastAsia="Cambria Math" w:hAnsi="Cambria Math" w:cs="Cambria Math"/>
          <w:sz w:val="24"/>
          <w:szCs w:val="24"/>
        </w:rPr>
        <w:t>₄</w:t>
      </w:r>
      <w:r>
        <w:rPr>
          <w:rFonts w:ascii="Arial" w:eastAsia="Arial" w:hAnsi="Arial" w:cs="Arial"/>
          <w:sz w:val="24"/>
          <w:szCs w:val="24"/>
        </w:rPr>
        <w:t xml:space="preserve"> waters pose issues related to hardness and salinity, requiring treatment before use. Overall, the chemistry reflects a blend of natural geochemical processes and human</w:t>
      </w:r>
      <w:r>
        <w:rPr>
          <w:rFonts w:ascii="Arial" w:eastAsia="Arial" w:hAnsi="Arial" w:cs="Arial"/>
          <w:sz w:val="24"/>
          <w:szCs w:val="24"/>
        </w:rPr>
        <w:t xml:space="preserve"> influences.</w:t>
      </w:r>
      <w:r>
        <w:rPr>
          <w:rFonts w:ascii="Arial" w:eastAsia="Arial" w:hAnsi="Arial" w:cs="Arial"/>
          <w:noProof/>
          <w:sz w:val="24"/>
          <w:szCs w:val="24"/>
        </w:rPr>
        <w:drawing>
          <wp:inline distT="0" distB="0" distL="0" distR="0" wp14:anchorId="60C729D6" wp14:editId="539CECD4">
            <wp:extent cx="5731510" cy="4027805"/>
            <wp:effectExtent l="0" t="0" r="0" b="0"/>
            <wp:docPr id="20836335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731510" cy="4027805"/>
                    </a:xfrm>
                    <a:prstGeom prst="rect">
                      <a:avLst/>
                    </a:prstGeom>
                    <a:ln/>
                  </pic:spPr>
                </pic:pic>
              </a:graphicData>
            </a:graphic>
          </wp:inline>
        </w:drawing>
      </w:r>
    </w:p>
    <w:p w14:paraId="45D7B016" w14:textId="77777777" w:rsidR="004609F0" w:rsidRDefault="00BC7B8C">
      <w:pPr>
        <w:spacing w:line="240" w:lineRule="auto"/>
        <w:jc w:val="center"/>
        <w:rPr>
          <w:rFonts w:ascii="Arial" w:eastAsia="Arial" w:hAnsi="Arial" w:cs="Arial"/>
          <w:sz w:val="24"/>
          <w:szCs w:val="24"/>
        </w:rPr>
      </w:pPr>
      <w:r>
        <w:rPr>
          <w:rFonts w:ascii="Arial" w:eastAsia="Arial" w:hAnsi="Arial" w:cs="Arial"/>
          <w:b/>
          <w:sz w:val="24"/>
          <w:szCs w:val="24"/>
        </w:rPr>
        <w:t>Figure 4:</w:t>
      </w:r>
      <w:r>
        <w:rPr>
          <w:rFonts w:ascii="Arial" w:eastAsia="Arial" w:hAnsi="Arial" w:cs="Arial"/>
          <w:sz w:val="24"/>
          <w:szCs w:val="24"/>
        </w:rPr>
        <w:t xml:space="preserve"> </w:t>
      </w:r>
      <w:proofErr w:type="spellStart"/>
      <w:r>
        <w:rPr>
          <w:rFonts w:ascii="Arial" w:eastAsia="Arial" w:hAnsi="Arial" w:cs="Arial"/>
          <w:sz w:val="24"/>
          <w:szCs w:val="24"/>
        </w:rPr>
        <w:t>Hydrochemical</w:t>
      </w:r>
      <w:proofErr w:type="spellEnd"/>
      <w:r>
        <w:rPr>
          <w:rFonts w:ascii="Arial" w:eastAsia="Arial" w:hAnsi="Arial" w:cs="Arial"/>
          <w:sz w:val="24"/>
          <w:szCs w:val="24"/>
        </w:rPr>
        <w:t xml:space="preserve"> facies of groundwater in the study area.</w:t>
      </w:r>
    </w:p>
    <w:p w14:paraId="7E8B11A2" w14:textId="77777777" w:rsidR="004609F0" w:rsidRDefault="004609F0">
      <w:pPr>
        <w:spacing w:line="240" w:lineRule="auto"/>
        <w:ind w:firstLine="720"/>
        <w:jc w:val="both"/>
        <w:rPr>
          <w:rFonts w:ascii="Arial" w:eastAsia="Arial" w:hAnsi="Arial" w:cs="Arial"/>
          <w:sz w:val="24"/>
          <w:szCs w:val="24"/>
        </w:rPr>
      </w:pPr>
    </w:p>
    <w:p w14:paraId="3830654B" w14:textId="77777777" w:rsidR="004609F0" w:rsidRDefault="00BC7B8C">
      <w:pPr>
        <w:spacing w:line="240" w:lineRule="auto"/>
        <w:jc w:val="center"/>
        <w:rPr>
          <w:rFonts w:ascii="Arial" w:eastAsia="Arial" w:hAnsi="Arial" w:cs="Arial"/>
          <w:sz w:val="24"/>
          <w:szCs w:val="24"/>
        </w:rPr>
      </w:pPr>
      <w:bookmarkStart w:id="6" w:name="_heading=h.hcs94vacb93i" w:colFirst="0" w:colLast="0"/>
      <w:bookmarkEnd w:id="6"/>
      <w:r>
        <w:rPr>
          <w:rFonts w:ascii="Arial" w:eastAsia="Arial" w:hAnsi="Arial" w:cs="Arial"/>
          <w:noProof/>
          <w:sz w:val="24"/>
          <w:szCs w:val="24"/>
        </w:rPr>
        <w:lastRenderedPageBreak/>
        <w:drawing>
          <wp:inline distT="0" distB="0" distL="0" distR="0" wp14:anchorId="4636650B" wp14:editId="2FCF43A5">
            <wp:extent cx="5466456" cy="3074806"/>
            <wp:effectExtent l="0" t="0" r="0" b="0"/>
            <wp:docPr id="20836335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466456" cy="3074806"/>
                    </a:xfrm>
                    <a:prstGeom prst="rect">
                      <a:avLst/>
                    </a:prstGeom>
                    <a:ln/>
                  </pic:spPr>
                </pic:pic>
              </a:graphicData>
            </a:graphic>
          </wp:inline>
        </w:drawing>
      </w:r>
    </w:p>
    <w:p w14:paraId="33AAC863" w14:textId="77777777" w:rsidR="004609F0" w:rsidRDefault="00BC7B8C">
      <w:pPr>
        <w:spacing w:line="240" w:lineRule="auto"/>
        <w:jc w:val="center"/>
        <w:rPr>
          <w:rFonts w:ascii="Arial" w:eastAsia="Arial" w:hAnsi="Arial" w:cs="Arial"/>
          <w:sz w:val="24"/>
          <w:szCs w:val="24"/>
        </w:rPr>
      </w:pPr>
      <w:r>
        <w:rPr>
          <w:rFonts w:ascii="Arial" w:eastAsia="Arial" w:hAnsi="Arial" w:cs="Arial"/>
          <w:b/>
          <w:sz w:val="24"/>
          <w:szCs w:val="24"/>
        </w:rPr>
        <w:t>Figure 5:</w:t>
      </w:r>
      <w:r>
        <w:rPr>
          <w:rFonts w:ascii="Arial" w:eastAsia="Arial" w:hAnsi="Arial" w:cs="Arial"/>
          <w:sz w:val="24"/>
          <w:szCs w:val="24"/>
        </w:rPr>
        <w:t xml:space="preserve"> </w:t>
      </w:r>
      <w:proofErr w:type="spellStart"/>
      <w:r>
        <w:rPr>
          <w:rFonts w:ascii="Arial" w:eastAsia="Arial" w:hAnsi="Arial" w:cs="Arial"/>
          <w:sz w:val="24"/>
          <w:szCs w:val="24"/>
        </w:rPr>
        <w:t>Durov</w:t>
      </w:r>
      <w:proofErr w:type="spellEnd"/>
      <w:r>
        <w:rPr>
          <w:rFonts w:ascii="Arial" w:eastAsia="Arial" w:hAnsi="Arial" w:cs="Arial"/>
          <w:sz w:val="24"/>
          <w:szCs w:val="24"/>
        </w:rPr>
        <w:t xml:space="preserve"> diagram of the groundwater samples of </w:t>
      </w:r>
      <w:r>
        <w:rPr>
          <w:rFonts w:ascii="Arial" w:eastAsia="Arial" w:hAnsi="Arial" w:cs="Arial"/>
          <w:sz w:val="24"/>
          <w:szCs w:val="24"/>
          <w:highlight w:val="yellow"/>
        </w:rPr>
        <w:t>the</w:t>
      </w:r>
      <w:r>
        <w:rPr>
          <w:rFonts w:ascii="Arial" w:eastAsia="Arial" w:hAnsi="Arial" w:cs="Arial"/>
          <w:sz w:val="24"/>
          <w:szCs w:val="24"/>
        </w:rPr>
        <w:t xml:space="preserve"> Vegetation study area.</w:t>
      </w:r>
    </w:p>
    <w:p w14:paraId="39D64526" w14:textId="77777777" w:rsidR="004609F0" w:rsidRDefault="00BC7B8C">
      <w:pPr>
        <w:spacing w:line="240" w:lineRule="auto"/>
        <w:ind w:firstLine="720"/>
        <w:jc w:val="both"/>
        <w:rPr>
          <w:rFonts w:ascii="Arial" w:eastAsia="Arial" w:hAnsi="Arial" w:cs="Arial"/>
          <w:sz w:val="24"/>
          <w:szCs w:val="24"/>
        </w:rPr>
      </w:pPr>
      <w:r>
        <w:rPr>
          <w:rFonts w:ascii="Arial" w:eastAsia="Arial" w:hAnsi="Arial" w:cs="Arial"/>
          <w:sz w:val="24"/>
          <w:szCs w:val="24"/>
        </w:rPr>
        <w:t xml:space="preserve">One popular technique for describing the chemistry of groundwater is the </w:t>
      </w:r>
      <w:proofErr w:type="spellStart"/>
      <w:r>
        <w:rPr>
          <w:rFonts w:ascii="Arial" w:eastAsia="Arial" w:hAnsi="Arial" w:cs="Arial"/>
          <w:sz w:val="24"/>
          <w:szCs w:val="24"/>
        </w:rPr>
        <w:t>Durov</w:t>
      </w:r>
      <w:proofErr w:type="spellEnd"/>
      <w:r>
        <w:rPr>
          <w:rFonts w:ascii="Arial" w:eastAsia="Arial" w:hAnsi="Arial" w:cs="Arial"/>
          <w:sz w:val="24"/>
          <w:szCs w:val="24"/>
        </w:rPr>
        <w:t xml:space="preserve"> plot. In contrast to the Piper diagram, the </w:t>
      </w:r>
      <w:proofErr w:type="spellStart"/>
      <w:r>
        <w:rPr>
          <w:rFonts w:ascii="Arial" w:eastAsia="Arial" w:hAnsi="Arial" w:cs="Arial"/>
          <w:sz w:val="24"/>
          <w:szCs w:val="24"/>
        </w:rPr>
        <w:t>Durov</w:t>
      </w:r>
      <w:proofErr w:type="spellEnd"/>
      <w:r>
        <w:rPr>
          <w:rFonts w:ascii="Arial" w:eastAsia="Arial" w:hAnsi="Arial" w:cs="Arial"/>
          <w:sz w:val="24"/>
          <w:szCs w:val="24"/>
        </w:rPr>
        <w:t xml:space="preserve"> plot allows for a more thorough understanding of </w:t>
      </w:r>
      <w:proofErr w:type="spellStart"/>
      <w:r>
        <w:rPr>
          <w:rFonts w:ascii="Arial" w:eastAsia="Arial" w:hAnsi="Arial" w:cs="Arial"/>
          <w:sz w:val="24"/>
          <w:szCs w:val="24"/>
        </w:rPr>
        <w:t>hydrochemical</w:t>
      </w:r>
      <w:proofErr w:type="spellEnd"/>
      <w:r>
        <w:rPr>
          <w:rFonts w:ascii="Arial" w:eastAsia="Arial" w:hAnsi="Arial" w:cs="Arial"/>
          <w:sz w:val="24"/>
          <w:szCs w:val="24"/>
        </w:rPr>
        <w:t xml:space="preserve"> characteristics by simultaneously representing the pH and TDS le</w:t>
      </w:r>
      <w:r>
        <w:rPr>
          <w:rFonts w:ascii="Arial" w:eastAsia="Arial" w:hAnsi="Arial" w:cs="Arial"/>
          <w:sz w:val="24"/>
          <w:szCs w:val="24"/>
        </w:rPr>
        <w:t xml:space="preserve">vels of water samples in addition to the </w:t>
      </w:r>
      <w:proofErr w:type="spellStart"/>
      <w:r>
        <w:rPr>
          <w:rFonts w:ascii="Arial" w:eastAsia="Arial" w:hAnsi="Arial" w:cs="Arial"/>
          <w:sz w:val="24"/>
          <w:szCs w:val="24"/>
        </w:rPr>
        <w:t>hydrochemical</w:t>
      </w:r>
      <w:proofErr w:type="spellEnd"/>
      <w:r>
        <w:rPr>
          <w:rFonts w:ascii="Arial" w:eastAsia="Arial" w:hAnsi="Arial" w:cs="Arial"/>
          <w:sz w:val="24"/>
          <w:szCs w:val="24"/>
        </w:rPr>
        <w:t xml:space="preserve"> type (Wu et al., 2024). The groundwater in </w:t>
      </w:r>
      <w:proofErr w:type="spellStart"/>
      <w:r>
        <w:rPr>
          <w:rFonts w:ascii="Arial" w:eastAsia="Arial" w:hAnsi="Arial" w:cs="Arial"/>
          <w:sz w:val="24"/>
          <w:szCs w:val="24"/>
        </w:rPr>
        <w:t>Banaskantha's</w:t>
      </w:r>
      <w:proofErr w:type="spellEnd"/>
      <w:r>
        <w:rPr>
          <w:rFonts w:ascii="Arial" w:eastAsia="Arial" w:hAnsi="Arial" w:cs="Arial"/>
          <w:sz w:val="24"/>
          <w:szCs w:val="24"/>
        </w:rPr>
        <w:t xml:space="preserve"> </w:t>
      </w:r>
      <w:proofErr w:type="spellStart"/>
      <w:r>
        <w:rPr>
          <w:rFonts w:ascii="Arial" w:eastAsia="Arial" w:hAnsi="Arial" w:cs="Arial"/>
          <w:sz w:val="24"/>
          <w:szCs w:val="24"/>
        </w:rPr>
        <w:t>Durov</w:t>
      </w:r>
      <w:proofErr w:type="spellEnd"/>
      <w:r>
        <w:rPr>
          <w:rFonts w:ascii="Arial" w:eastAsia="Arial" w:hAnsi="Arial" w:cs="Arial"/>
          <w:sz w:val="24"/>
          <w:szCs w:val="24"/>
        </w:rPr>
        <w:t xml:space="preserve"> diagram </w:t>
      </w:r>
      <w:r>
        <w:rPr>
          <w:rFonts w:ascii="Arial" w:eastAsia="Arial" w:hAnsi="Arial" w:cs="Arial"/>
          <w:b/>
          <w:sz w:val="24"/>
          <w:szCs w:val="24"/>
        </w:rPr>
        <w:t>(Figure 5)</w:t>
      </w:r>
      <w:r>
        <w:rPr>
          <w:rFonts w:ascii="Arial" w:eastAsia="Arial" w:hAnsi="Arial" w:cs="Arial"/>
          <w:sz w:val="24"/>
          <w:szCs w:val="24"/>
        </w:rPr>
        <w:t xml:space="preserve"> exhibits a broad distribution of samples across various </w:t>
      </w:r>
      <w:proofErr w:type="spellStart"/>
      <w:r>
        <w:rPr>
          <w:rFonts w:ascii="Arial" w:eastAsia="Arial" w:hAnsi="Arial" w:cs="Arial"/>
          <w:sz w:val="24"/>
          <w:szCs w:val="24"/>
        </w:rPr>
        <w:t>hydrochemical</w:t>
      </w:r>
      <w:proofErr w:type="spellEnd"/>
      <w:r>
        <w:rPr>
          <w:rFonts w:ascii="Arial" w:eastAsia="Arial" w:hAnsi="Arial" w:cs="Arial"/>
          <w:sz w:val="24"/>
          <w:szCs w:val="24"/>
        </w:rPr>
        <w:t xml:space="preserve"> fields, indicating a range of water types and geo</w:t>
      </w:r>
      <w:r>
        <w:rPr>
          <w:rFonts w:ascii="Arial" w:eastAsia="Arial" w:hAnsi="Arial" w:cs="Arial"/>
          <w:sz w:val="24"/>
          <w:szCs w:val="24"/>
        </w:rPr>
        <w:t>chemical processes. Indicating carbonate and dolomite weathering during recharge, the majority of groundwater samples are found in the Ca–HCO</w:t>
      </w:r>
      <w:r>
        <w:rPr>
          <w:rFonts w:ascii="Cambria Math" w:eastAsia="Cambria Math" w:hAnsi="Cambria Math" w:cs="Cambria Math"/>
          <w:sz w:val="24"/>
          <w:szCs w:val="24"/>
        </w:rPr>
        <w:t>₃</w:t>
      </w:r>
      <w:r>
        <w:rPr>
          <w:rFonts w:ascii="Arial" w:eastAsia="Arial" w:hAnsi="Arial" w:cs="Arial"/>
          <w:sz w:val="24"/>
          <w:szCs w:val="24"/>
        </w:rPr>
        <w:t xml:space="preserve"> and Mg–HCO</w:t>
      </w:r>
      <w:r>
        <w:rPr>
          <w:rFonts w:ascii="Cambria Math" w:eastAsia="Cambria Math" w:hAnsi="Cambria Math" w:cs="Cambria Math"/>
          <w:sz w:val="24"/>
          <w:szCs w:val="24"/>
        </w:rPr>
        <w:t>₃</w:t>
      </w:r>
      <w:r>
        <w:rPr>
          <w:rFonts w:ascii="Arial" w:eastAsia="Arial" w:hAnsi="Arial" w:cs="Arial"/>
          <w:sz w:val="24"/>
          <w:szCs w:val="24"/>
        </w:rPr>
        <w:t xml:space="preserve"> facies. While the Na–HCO</w:t>
      </w:r>
      <w:r>
        <w:rPr>
          <w:rFonts w:ascii="Cambria Math" w:eastAsia="Cambria Math" w:hAnsi="Cambria Math" w:cs="Cambria Math"/>
          <w:sz w:val="24"/>
          <w:szCs w:val="24"/>
        </w:rPr>
        <w:t>₃</w:t>
      </w:r>
      <w:r>
        <w:rPr>
          <w:rFonts w:ascii="Arial" w:eastAsia="Arial" w:hAnsi="Arial" w:cs="Arial"/>
          <w:sz w:val="24"/>
          <w:szCs w:val="24"/>
        </w:rPr>
        <w:t xml:space="preserve"> and Na–Cl facies indicate ion exchange and salinity, the mixed waters in ce</w:t>
      </w:r>
      <w:r>
        <w:rPr>
          <w:rFonts w:ascii="Arial" w:eastAsia="Arial" w:hAnsi="Arial" w:cs="Arial"/>
          <w:sz w:val="24"/>
          <w:szCs w:val="24"/>
        </w:rPr>
        <w:t>ntral fields reflect transitional conditions.  The less prevalent Cl–Ca and SO</w:t>
      </w:r>
      <w:r>
        <w:rPr>
          <w:rFonts w:ascii="Cambria Math" w:eastAsia="Cambria Math" w:hAnsi="Cambria Math" w:cs="Cambria Math"/>
          <w:sz w:val="24"/>
          <w:szCs w:val="24"/>
        </w:rPr>
        <w:t>₄</w:t>
      </w:r>
      <w:r>
        <w:rPr>
          <w:rFonts w:ascii="Arial" w:eastAsia="Arial" w:hAnsi="Arial" w:cs="Arial"/>
          <w:sz w:val="24"/>
          <w:szCs w:val="24"/>
        </w:rPr>
        <w:t xml:space="preserve">–Na types indicate irrigation return flow, evaporation, and dissolution of evaporites.  Although conductivity frequently surpasses 2000 </w:t>
      </w:r>
      <w:proofErr w:type="spellStart"/>
      <w:r>
        <w:rPr>
          <w:rFonts w:ascii="Arial" w:eastAsia="Arial" w:hAnsi="Arial" w:cs="Arial"/>
          <w:sz w:val="24"/>
          <w:szCs w:val="24"/>
        </w:rPr>
        <w:t>μS</w:t>
      </w:r>
      <w:proofErr w:type="spellEnd"/>
      <w:r>
        <w:rPr>
          <w:rFonts w:ascii="Arial" w:eastAsia="Arial" w:hAnsi="Arial" w:cs="Arial"/>
          <w:sz w:val="24"/>
          <w:szCs w:val="24"/>
        </w:rPr>
        <w:t>/cm, indicating high salinity, groundwa</w:t>
      </w:r>
      <w:r>
        <w:rPr>
          <w:rFonts w:ascii="Arial" w:eastAsia="Arial" w:hAnsi="Arial" w:cs="Arial"/>
          <w:sz w:val="24"/>
          <w:szCs w:val="24"/>
        </w:rPr>
        <w:t xml:space="preserve">ter is primarily neutral to alkaline (pH 7–9).  The transition from fresh bicarbonate recharge waters to mineralised and saline facies influenced by human activity and geochemical processes is confirmed by Piper and </w:t>
      </w:r>
      <w:proofErr w:type="spellStart"/>
      <w:r>
        <w:rPr>
          <w:rFonts w:ascii="Arial" w:eastAsia="Arial" w:hAnsi="Arial" w:cs="Arial"/>
          <w:sz w:val="24"/>
          <w:szCs w:val="24"/>
        </w:rPr>
        <w:t>Durov</w:t>
      </w:r>
      <w:proofErr w:type="spellEnd"/>
      <w:r>
        <w:rPr>
          <w:rFonts w:ascii="Arial" w:eastAsia="Arial" w:hAnsi="Arial" w:cs="Arial"/>
          <w:sz w:val="24"/>
          <w:szCs w:val="24"/>
        </w:rPr>
        <w:t xml:space="preserve"> diagrams. </w:t>
      </w:r>
    </w:p>
    <w:p w14:paraId="6C278BB5" w14:textId="77777777" w:rsidR="004609F0" w:rsidRDefault="00BC7B8C">
      <w:pPr>
        <w:spacing w:line="240" w:lineRule="auto"/>
        <w:jc w:val="both"/>
        <w:rPr>
          <w:rFonts w:ascii="Arial" w:eastAsia="Arial" w:hAnsi="Arial" w:cs="Arial"/>
          <w:b/>
          <w:sz w:val="24"/>
          <w:szCs w:val="24"/>
        </w:rPr>
      </w:pPr>
      <w:r>
        <w:rPr>
          <w:rFonts w:ascii="Arial" w:eastAsia="Arial" w:hAnsi="Arial" w:cs="Arial"/>
          <w:b/>
          <w:sz w:val="24"/>
          <w:szCs w:val="24"/>
        </w:rPr>
        <w:t>6. Conclusion</w:t>
      </w:r>
    </w:p>
    <w:p w14:paraId="442794D7" w14:textId="77777777" w:rsidR="004609F0" w:rsidRDefault="00BC7B8C">
      <w:pPr>
        <w:spacing w:line="240" w:lineRule="auto"/>
        <w:ind w:firstLine="720"/>
        <w:jc w:val="both"/>
        <w:rPr>
          <w:rFonts w:ascii="Arial" w:eastAsia="Arial" w:hAnsi="Arial" w:cs="Arial"/>
          <w:sz w:val="24"/>
          <w:szCs w:val="24"/>
        </w:rPr>
      </w:pPr>
      <w:r>
        <w:rPr>
          <w:rFonts w:ascii="Arial" w:eastAsia="Arial" w:hAnsi="Arial" w:cs="Arial"/>
          <w:sz w:val="24"/>
          <w:szCs w:val="24"/>
        </w:rPr>
        <w:t>In the co</w:t>
      </w:r>
      <w:r>
        <w:rPr>
          <w:rFonts w:ascii="Arial" w:eastAsia="Arial" w:hAnsi="Arial" w:cs="Arial"/>
          <w:sz w:val="24"/>
          <w:szCs w:val="24"/>
        </w:rPr>
        <w:t xml:space="preserve">ntext of the detailed hydrogeochemical assessment, the current study records a crucial disparity between groundwater quality and quantity for irrigation in </w:t>
      </w:r>
      <w:proofErr w:type="spellStart"/>
      <w:r>
        <w:rPr>
          <w:rFonts w:ascii="Arial" w:eastAsia="Arial" w:hAnsi="Arial" w:cs="Arial"/>
          <w:sz w:val="24"/>
          <w:szCs w:val="24"/>
        </w:rPr>
        <w:t>Banaskantha's</w:t>
      </w:r>
      <w:proofErr w:type="spellEnd"/>
      <w:r>
        <w:rPr>
          <w:rFonts w:ascii="Arial" w:eastAsia="Arial" w:hAnsi="Arial" w:cs="Arial"/>
          <w:sz w:val="24"/>
          <w:szCs w:val="24"/>
        </w:rPr>
        <w:t xml:space="preserve"> vegetation belt. Low </w:t>
      </w:r>
      <w:proofErr w:type="spellStart"/>
      <w:r>
        <w:rPr>
          <w:rFonts w:ascii="Arial" w:eastAsia="Arial" w:hAnsi="Arial" w:cs="Arial"/>
          <w:sz w:val="24"/>
          <w:szCs w:val="24"/>
        </w:rPr>
        <w:t>sodicity</w:t>
      </w:r>
      <w:proofErr w:type="spellEnd"/>
      <w:r>
        <w:rPr>
          <w:rFonts w:ascii="Arial" w:eastAsia="Arial" w:hAnsi="Arial" w:cs="Arial"/>
          <w:sz w:val="24"/>
          <w:szCs w:val="24"/>
        </w:rPr>
        <w:t xml:space="preserve"> hazard cannot ignore the reality that high salinity, har</w:t>
      </w:r>
      <w:r>
        <w:rPr>
          <w:rFonts w:ascii="Arial" w:eastAsia="Arial" w:hAnsi="Arial" w:cs="Arial"/>
          <w:sz w:val="24"/>
          <w:szCs w:val="24"/>
        </w:rPr>
        <w:t>dness, and magnesium pose long-standing risks to soil productivity and crop yields. The Irrigation Water Quality Index (IWQI) points towards extensive limitations and only moderately suggests safety in samples. Spatial mapping again highlights the heteroge</w:t>
      </w:r>
      <w:r>
        <w:rPr>
          <w:rFonts w:ascii="Arial" w:eastAsia="Arial" w:hAnsi="Arial" w:cs="Arial"/>
          <w:sz w:val="24"/>
          <w:szCs w:val="24"/>
        </w:rPr>
        <w:t>neity of water quality, necessitating site-specific interventions. Use of sustainable groundwater—through crop selection, soil amendment, and blended irrigation—seems essential to ensure agricultural sustainability. This research not only fills an importan</w:t>
      </w:r>
      <w:r>
        <w:rPr>
          <w:rFonts w:ascii="Arial" w:eastAsia="Arial" w:hAnsi="Arial" w:cs="Arial"/>
          <w:sz w:val="24"/>
          <w:szCs w:val="24"/>
        </w:rPr>
        <w:t>t data gap but also offers strategic foundations for water management and policy formulation in semi-arid Gujarat, keeping informed decisions in mind.</w:t>
      </w:r>
    </w:p>
    <w:p w14:paraId="3D85E023" w14:textId="77777777" w:rsidR="004609F0" w:rsidRDefault="00BC7B8C">
      <w:pPr>
        <w:spacing w:after="0" w:line="240" w:lineRule="auto"/>
        <w:jc w:val="both"/>
        <w:rPr>
          <w:rFonts w:ascii="Arial" w:eastAsia="Arial" w:hAnsi="Arial" w:cs="Arial"/>
          <w:sz w:val="24"/>
          <w:szCs w:val="24"/>
        </w:rPr>
      </w:pPr>
      <w:r>
        <w:rPr>
          <w:rFonts w:ascii="Arial" w:eastAsia="Arial" w:hAnsi="Arial" w:cs="Arial"/>
          <w:sz w:val="24"/>
          <w:szCs w:val="24"/>
        </w:rPr>
        <w:lastRenderedPageBreak/>
        <w:t>Author(s) hereby declares that NO generative AI technologies such as Large Language Models (</w:t>
      </w:r>
      <w:proofErr w:type="spellStart"/>
      <w:r>
        <w:rPr>
          <w:rFonts w:ascii="Arial" w:eastAsia="Arial" w:hAnsi="Arial" w:cs="Arial"/>
          <w:sz w:val="24"/>
          <w:szCs w:val="24"/>
        </w:rPr>
        <w:t>ChatGPT</w:t>
      </w:r>
      <w:proofErr w:type="spellEnd"/>
      <w:r>
        <w:rPr>
          <w:rFonts w:ascii="Arial" w:eastAsia="Arial" w:hAnsi="Arial" w:cs="Arial"/>
          <w:sz w:val="24"/>
          <w:szCs w:val="24"/>
        </w:rPr>
        <w:t>, COPI</w:t>
      </w:r>
      <w:r>
        <w:rPr>
          <w:rFonts w:ascii="Arial" w:eastAsia="Arial" w:hAnsi="Arial" w:cs="Arial"/>
          <w:sz w:val="24"/>
          <w:szCs w:val="24"/>
        </w:rPr>
        <w:t xml:space="preserve">LOT, etc) and text-to-image generators have been used during the writing or editing of this manuscript. </w:t>
      </w:r>
    </w:p>
    <w:p w14:paraId="53F464FF" w14:textId="77777777" w:rsidR="004609F0" w:rsidRDefault="00BC7B8C">
      <w:pPr>
        <w:rPr>
          <w:highlight w:val="yellow"/>
        </w:rPr>
      </w:pPr>
      <w:r>
        <w:rPr>
          <w:highlight w:val="yellow"/>
        </w:rPr>
        <w:t>Disclaimer (Artificial intelligence)</w:t>
      </w:r>
    </w:p>
    <w:p w14:paraId="61D37303" w14:textId="08A877F7" w:rsidR="004609F0" w:rsidRDefault="00BC7B8C">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COPILOT, etc.)</w:t>
      </w:r>
      <w:r>
        <w:rPr>
          <w:highlight w:val="yellow"/>
        </w:rPr>
        <w:t xml:space="preserve"> and text-to-image generators have been used during the writing or editing of this manuscript. </w:t>
      </w:r>
      <w:r w:rsidR="00C36AB9">
        <w:rPr>
          <w:highlight w:val="yellow"/>
        </w:rPr>
        <w:t>\</w:t>
      </w:r>
    </w:p>
    <w:p w14:paraId="420EE744" w14:textId="50CAFFCE" w:rsidR="00C36AB9" w:rsidRDefault="00C36AB9">
      <w:pPr>
        <w:rPr>
          <w:highlight w:val="yellow"/>
        </w:rPr>
      </w:pPr>
    </w:p>
    <w:p w14:paraId="09DAA109" w14:textId="77777777" w:rsidR="00C36AB9" w:rsidRDefault="00C36AB9" w:rsidP="00C36AB9">
      <w:pPr>
        <w:spacing w:before="240" w:after="240" w:line="240" w:lineRule="auto"/>
        <w:jc w:val="both"/>
        <w:rPr>
          <w:rFonts w:ascii="Arial" w:eastAsia="Arial" w:hAnsi="Arial" w:cs="Arial"/>
          <w:i/>
          <w:sz w:val="24"/>
          <w:szCs w:val="24"/>
        </w:rPr>
      </w:pPr>
      <w:r>
        <w:rPr>
          <w:rFonts w:ascii="Arial" w:eastAsia="Arial" w:hAnsi="Arial" w:cs="Arial"/>
          <w:i/>
          <w:sz w:val="24"/>
          <w:szCs w:val="24"/>
        </w:rPr>
        <w:t>Authors’ Contributions</w:t>
      </w:r>
    </w:p>
    <w:p w14:paraId="23608B19" w14:textId="77777777" w:rsidR="00C36AB9" w:rsidRDefault="00C36AB9" w:rsidP="00C36AB9">
      <w:pPr>
        <w:spacing w:before="240" w:after="240" w:line="240" w:lineRule="auto"/>
        <w:jc w:val="both"/>
        <w:rPr>
          <w:rFonts w:ascii="Arial" w:eastAsia="Arial" w:hAnsi="Arial" w:cs="Arial"/>
          <w:i/>
          <w:sz w:val="24"/>
          <w:szCs w:val="24"/>
        </w:rPr>
      </w:pPr>
      <w:r>
        <w:rPr>
          <w:rFonts w:ascii="Arial" w:eastAsia="Arial" w:hAnsi="Arial" w:cs="Arial"/>
          <w:i/>
          <w:sz w:val="24"/>
          <w:szCs w:val="24"/>
        </w:rPr>
        <w:t>This work was carried out in collaboration among all authors. All authors read and approved the final manuscript.</w:t>
      </w:r>
    </w:p>
    <w:p w14:paraId="16C47574" w14:textId="77777777" w:rsidR="00C36AB9" w:rsidRDefault="00C36AB9">
      <w:pPr>
        <w:rPr>
          <w:highlight w:val="yellow"/>
        </w:rPr>
      </w:pPr>
    </w:p>
    <w:p w14:paraId="07F014E8" w14:textId="77777777" w:rsidR="004609F0" w:rsidRDefault="004609F0">
      <w:pPr>
        <w:spacing w:line="240" w:lineRule="auto"/>
        <w:jc w:val="both"/>
        <w:rPr>
          <w:rFonts w:ascii="Arial" w:eastAsia="Arial" w:hAnsi="Arial" w:cs="Arial"/>
          <w:sz w:val="24"/>
          <w:szCs w:val="24"/>
        </w:rPr>
      </w:pPr>
      <w:bookmarkStart w:id="7" w:name="_heading=h.em59pdbwr8xp" w:colFirst="0" w:colLast="0"/>
      <w:bookmarkEnd w:id="7"/>
    </w:p>
    <w:p w14:paraId="205EC174" w14:textId="77777777" w:rsidR="004609F0" w:rsidRDefault="00BC7B8C">
      <w:pPr>
        <w:spacing w:line="240" w:lineRule="auto"/>
        <w:rPr>
          <w:rFonts w:ascii="Arial" w:eastAsia="Arial" w:hAnsi="Arial" w:cs="Arial"/>
          <w:sz w:val="24"/>
          <w:szCs w:val="24"/>
        </w:rPr>
      </w:pPr>
      <w:r>
        <w:rPr>
          <w:rFonts w:ascii="Arial" w:eastAsia="Arial" w:hAnsi="Arial" w:cs="Arial"/>
          <w:b/>
          <w:sz w:val="24"/>
          <w:szCs w:val="24"/>
        </w:rPr>
        <w:t>6. References</w:t>
      </w:r>
      <w:r>
        <w:rPr>
          <w:noProof/>
        </w:rPr>
        <mc:AlternateContent>
          <mc:Choice Requires="wps">
            <w:drawing>
              <wp:anchor distT="0" distB="0" distL="114300" distR="114300" simplePos="0" relativeHeight="251655680" behindDoc="0" locked="0" layoutInCell="1" hidden="0" allowOverlap="1" wp14:anchorId="3D62D2F4" wp14:editId="1343B575">
                <wp:simplePos x="0" y="0"/>
                <wp:positionH relativeFrom="column">
                  <wp:posOffset>7992227</wp:posOffset>
                </wp:positionH>
                <wp:positionV relativeFrom="paragraph">
                  <wp:posOffset>344153</wp:posOffset>
                </wp:positionV>
                <wp:extent cx="249756" cy="239629"/>
                <wp:effectExtent l="0" t="0" r="0" b="0"/>
                <wp:wrapNone/>
                <wp:docPr id="2083633506" name="Rectangle 2083633506"/>
                <wp:cNvGraphicFramePr/>
                <a:graphic xmlns:a="http://schemas.openxmlformats.org/drawingml/2006/main">
                  <a:graphicData uri="http://schemas.microsoft.com/office/word/2010/wordprocessingShape">
                    <wps:wsp>
                      <wps:cNvSpPr/>
                      <wps:spPr>
                        <a:xfrm>
                          <a:off x="5225885" y="3664948"/>
                          <a:ext cx="240231" cy="230104"/>
                        </a:xfrm>
                        <a:prstGeom prst="rect">
                          <a:avLst/>
                        </a:prstGeom>
                        <a:solidFill>
                          <a:schemeClr val="lt1"/>
                        </a:solidFill>
                        <a:ln>
                          <a:noFill/>
                        </a:ln>
                      </wps:spPr>
                      <wps:txbx>
                        <w:txbxContent>
                          <w:p w14:paraId="79E8255E" w14:textId="77777777" w:rsidR="004609F0" w:rsidRDefault="00BC7B8C">
                            <w:pPr>
                              <w:spacing w:line="258" w:lineRule="auto"/>
                              <w:jc w:val="center"/>
                              <w:textDirection w:val="btLr"/>
                            </w:pPr>
                            <w:r>
                              <w:rPr>
                                <w:b/>
                                <w:color w:val="EE0000"/>
                              </w:rPr>
                              <w:t>D</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D62D2F4" id="Rectangle 2083633506" o:spid="_x0000_s1026" style="position:absolute;margin-left:629.3pt;margin-top:27.1pt;width:19.65pt;height:18.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" fillcolor="white [3201]" stroked="f">
                <v:textbox inset="2.53958mm,1.2694mm,2.53958mm,1.2694mm">
                  <w:txbxContent>
                    <w:p w14:paraId="79E8255E" w14:textId="77777777" w:rsidR="004609F0" w:rsidRDefault="00000000">
                      <w:pPr>
                        <w:spacing w:line="258" w:lineRule="auto"/>
                        <w:jc w:val="center"/>
                        <w:textDirection w:val="btLr"/>
                      </w:pPr>
                      <w:r>
                        <w:rPr>
                          <w:b/>
                          <w:color w:val="EE0000"/>
                        </w:rPr>
                        <w:t>D</w:t>
                      </w:r>
                    </w:p>
                  </w:txbxContent>
                </v:textbox>
              </v:rect>
            </w:pict>
          </mc:Fallback>
        </mc:AlternateContent>
      </w:r>
      <w:r>
        <w:rPr>
          <w:noProof/>
        </w:rPr>
        <mc:AlternateContent>
          <mc:Choice Requires="wps">
            <w:drawing>
              <wp:anchor distT="0" distB="0" distL="114300" distR="114300" simplePos="0" relativeHeight="251656704" behindDoc="0" locked="0" layoutInCell="1" hidden="0" allowOverlap="1" wp14:anchorId="279502AD" wp14:editId="1A947107">
                <wp:simplePos x="0" y="0"/>
                <wp:positionH relativeFrom="column">
                  <wp:posOffset>8105631</wp:posOffset>
                </wp:positionH>
                <wp:positionV relativeFrom="paragraph">
                  <wp:posOffset>2493732</wp:posOffset>
                </wp:positionV>
                <wp:extent cx="281668" cy="259897"/>
                <wp:effectExtent l="0" t="0" r="0" b="0"/>
                <wp:wrapNone/>
                <wp:docPr id="2083633507" name="Rectangle 2083633507"/>
                <wp:cNvGraphicFramePr/>
                <a:graphic xmlns:a="http://schemas.openxmlformats.org/drawingml/2006/main">
                  <a:graphicData uri="http://schemas.microsoft.com/office/word/2010/wordprocessingShape">
                    <wps:wsp>
                      <wps:cNvSpPr/>
                      <wps:spPr>
                        <a:xfrm>
                          <a:off x="5209929" y="3654814"/>
                          <a:ext cx="272143" cy="250372"/>
                        </a:xfrm>
                        <a:prstGeom prst="rect">
                          <a:avLst/>
                        </a:prstGeom>
                        <a:solidFill>
                          <a:schemeClr val="lt1"/>
                        </a:solidFill>
                        <a:ln>
                          <a:noFill/>
                        </a:ln>
                      </wps:spPr>
                      <wps:txbx>
                        <w:txbxContent>
                          <w:p w14:paraId="2CEB4EF7" w14:textId="77777777" w:rsidR="004609F0" w:rsidRDefault="00BC7B8C">
                            <w:pPr>
                              <w:spacing w:line="258" w:lineRule="auto"/>
                              <w:jc w:val="center"/>
                              <w:textDirection w:val="btLr"/>
                            </w:pPr>
                            <w:r>
                              <w:rPr>
                                <w:b/>
                                <w:color w:val="EE0000"/>
                              </w:rPr>
                              <w:t>H</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9502AD" id="Rectangle 2083633507" o:spid="_x0000_s1027" style="position:absolute;margin-left:638.25pt;margin-top:196.35pt;width:22.2pt;height:20.4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" fillcolor="white [3201]" stroked="f">
                <v:textbox inset="2.53958mm,1.2694mm,2.53958mm,1.2694mm">
                  <w:txbxContent>
                    <w:p w14:paraId="2CEB4EF7" w14:textId="77777777" w:rsidR="004609F0" w:rsidRDefault="00000000">
                      <w:pPr>
                        <w:spacing w:line="258" w:lineRule="auto"/>
                        <w:jc w:val="center"/>
                        <w:textDirection w:val="btLr"/>
                      </w:pPr>
                      <w:r>
                        <w:rPr>
                          <w:b/>
                          <w:color w:val="EE0000"/>
                        </w:rPr>
                        <w:t>H</w:t>
                      </w:r>
                    </w:p>
                  </w:txbxContent>
                </v:textbox>
              </v:rect>
            </w:pict>
          </mc:Fallback>
        </mc:AlternateContent>
      </w:r>
    </w:p>
    <w:p w14:paraId="6E304951"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Abbasnia</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Alimohammadi</w:t>
      </w:r>
      <w:proofErr w:type="spellEnd"/>
      <w:r>
        <w:rPr>
          <w:rFonts w:ascii="Arial" w:eastAsia="Arial" w:hAnsi="Arial" w:cs="Arial"/>
          <w:color w:val="000000"/>
          <w:sz w:val="24"/>
          <w:szCs w:val="24"/>
        </w:rPr>
        <w:t xml:space="preserve">, M., </w:t>
      </w:r>
      <w:proofErr w:type="spellStart"/>
      <w:r>
        <w:rPr>
          <w:rFonts w:ascii="Arial" w:eastAsia="Arial" w:hAnsi="Arial" w:cs="Arial"/>
          <w:color w:val="000000"/>
          <w:sz w:val="24"/>
          <w:szCs w:val="24"/>
        </w:rPr>
        <w:t>Mahvi</w:t>
      </w:r>
      <w:proofErr w:type="spellEnd"/>
      <w:r>
        <w:rPr>
          <w:rFonts w:ascii="Arial" w:eastAsia="Arial" w:hAnsi="Arial" w:cs="Arial"/>
          <w:color w:val="000000"/>
          <w:sz w:val="24"/>
          <w:szCs w:val="24"/>
        </w:rPr>
        <w:t xml:space="preserve">, A.H., </w:t>
      </w:r>
      <w:proofErr w:type="spellStart"/>
      <w:r>
        <w:rPr>
          <w:rFonts w:ascii="Arial" w:eastAsia="Arial" w:hAnsi="Arial" w:cs="Arial"/>
          <w:color w:val="000000"/>
          <w:sz w:val="24"/>
          <w:szCs w:val="24"/>
        </w:rPr>
        <w:t>Nabizadeh</w:t>
      </w:r>
      <w:proofErr w:type="spellEnd"/>
      <w:r>
        <w:rPr>
          <w:rFonts w:ascii="Arial" w:eastAsia="Arial" w:hAnsi="Arial" w:cs="Arial"/>
          <w:color w:val="000000"/>
          <w:sz w:val="24"/>
          <w:szCs w:val="24"/>
        </w:rPr>
        <w:t xml:space="preserve">, R., </w:t>
      </w:r>
      <w:proofErr w:type="spellStart"/>
      <w:r>
        <w:rPr>
          <w:rFonts w:ascii="Arial" w:eastAsia="Arial" w:hAnsi="Arial" w:cs="Arial"/>
          <w:color w:val="000000"/>
          <w:sz w:val="24"/>
          <w:szCs w:val="24"/>
        </w:rPr>
        <w:t>Yousefi</w:t>
      </w:r>
      <w:proofErr w:type="spellEnd"/>
      <w:r>
        <w:rPr>
          <w:rFonts w:ascii="Arial" w:eastAsia="Arial" w:hAnsi="Arial" w:cs="Arial"/>
          <w:color w:val="000000"/>
          <w:sz w:val="24"/>
          <w:szCs w:val="24"/>
        </w:rPr>
        <w:t xml:space="preserve">, M., </w:t>
      </w:r>
      <w:proofErr w:type="spellStart"/>
      <w:r>
        <w:rPr>
          <w:rFonts w:ascii="Arial" w:eastAsia="Arial" w:hAnsi="Arial" w:cs="Arial"/>
          <w:color w:val="000000"/>
          <w:sz w:val="24"/>
          <w:szCs w:val="24"/>
        </w:rPr>
        <w:t>Mohammadi</w:t>
      </w:r>
      <w:proofErr w:type="spellEnd"/>
      <w:r>
        <w:rPr>
          <w:rFonts w:ascii="Arial" w:eastAsia="Arial" w:hAnsi="Arial" w:cs="Arial"/>
          <w:color w:val="000000"/>
          <w:sz w:val="24"/>
          <w:szCs w:val="24"/>
        </w:rPr>
        <w:t xml:space="preserve">, A.A., </w:t>
      </w:r>
      <w:proofErr w:type="spellStart"/>
      <w:r>
        <w:rPr>
          <w:rFonts w:ascii="Arial" w:eastAsia="Arial" w:hAnsi="Arial" w:cs="Arial"/>
          <w:color w:val="000000"/>
          <w:sz w:val="24"/>
          <w:szCs w:val="24"/>
        </w:rPr>
        <w:t>Pasalari</w:t>
      </w:r>
      <w:proofErr w:type="spellEnd"/>
      <w:r>
        <w:rPr>
          <w:rFonts w:ascii="Arial" w:eastAsia="Arial" w:hAnsi="Arial" w:cs="Arial"/>
          <w:color w:val="000000"/>
          <w:sz w:val="24"/>
          <w:szCs w:val="24"/>
        </w:rPr>
        <w:t xml:space="preserve">, H., </w:t>
      </w:r>
      <w:proofErr w:type="spellStart"/>
      <w:r>
        <w:rPr>
          <w:rFonts w:ascii="Arial" w:eastAsia="Arial" w:hAnsi="Arial" w:cs="Arial"/>
          <w:color w:val="000000"/>
          <w:sz w:val="24"/>
          <w:szCs w:val="24"/>
        </w:rPr>
        <w:t>Mirzabeigi</w:t>
      </w:r>
      <w:proofErr w:type="spellEnd"/>
      <w:r>
        <w:rPr>
          <w:rFonts w:ascii="Arial" w:eastAsia="Arial" w:hAnsi="Arial" w:cs="Arial"/>
          <w:color w:val="000000"/>
          <w:sz w:val="24"/>
          <w:szCs w:val="24"/>
        </w:rPr>
        <w:t xml:space="preserve">, M., 2018a. </w:t>
      </w:r>
      <w:r>
        <w:rPr>
          <w:rFonts w:ascii="Arial" w:eastAsia="Arial" w:hAnsi="Arial" w:cs="Arial"/>
          <w:color w:val="000000"/>
          <w:sz w:val="24"/>
          <w:szCs w:val="24"/>
        </w:rPr>
        <w:t xml:space="preserve">Assessment of groundwater quality and evaluation of scaling and corrosiveness potential of drinking water samples in villages of </w:t>
      </w:r>
      <w:proofErr w:type="spellStart"/>
      <w:r>
        <w:rPr>
          <w:rFonts w:ascii="Arial" w:eastAsia="Arial" w:hAnsi="Arial" w:cs="Arial"/>
          <w:color w:val="000000"/>
          <w:sz w:val="24"/>
          <w:szCs w:val="24"/>
        </w:rPr>
        <w:t>Chabahr</w:t>
      </w:r>
      <w:proofErr w:type="spellEnd"/>
      <w:r>
        <w:rPr>
          <w:rFonts w:ascii="Arial" w:eastAsia="Arial" w:hAnsi="Arial" w:cs="Arial"/>
          <w:color w:val="000000"/>
          <w:sz w:val="24"/>
          <w:szCs w:val="24"/>
        </w:rPr>
        <w:t xml:space="preserve"> city, </w:t>
      </w:r>
      <w:proofErr w:type="spellStart"/>
      <w:r>
        <w:rPr>
          <w:rFonts w:ascii="Arial" w:eastAsia="Arial" w:hAnsi="Arial" w:cs="Arial"/>
          <w:color w:val="000000"/>
          <w:sz w:val="24"/>
          <w:szCs w:val="24"/>
        </w:rPr>
        <w:t>Sistan</w:t>
      </w:r>
      <w:proofErr w:type="spellEnd"/>
      <w:r>
        <w:rPr>
          <w:rFonts w:ascii="Arial" w:eastAsia="Arial" w:hAnsi="Arial" w:cs="Arial"/>
          <w:color w:val="000000"/>
          <w:sz w:val="24"/>
          <w:szCs w:val="24"/>
        </w:rPr>
        <w:t xml:space="preserve"> and Baluchistan province in Iran. Data in Brief 16, 182–192. https://doi.org/10.1016/j.dib.2017.11.003</w:t>
      </w:r>
    </w:p>
    <w:p w14:paraId="4D79A1E2"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Abb</w:t>
      </w:r>
      <w:r>
        <w:rPr>
          <w:rFonts w:ascii="Arial" w:eastAsia="Arial" w:hAnsi="Arial" w:cs="Arial"/>
          <w:color w:val="000000"/>
          <w:sz w:val="24"/>
          <w:szCs w:val="24"/>
        </w:rPr>
        <w:t>asnia</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Radfard</w:t>
      </w:r>
      <w:proofErr w:type="spellEnd"/>
      <w:r>
        <w:rPr>
          <w:rFonts w:ascii="Arial" w:eastAsia="Arial" w:hAnsi="Arial" w:cs="Arial"/>
          <w:color w:val="000000"/>
          <w:sz w:val="24"/>
          <w:szCs w:val="24"/>
        </w:rPr>
        <w:t xml:space="preserve">, M., </w:t>
      </w:r>
      <w:proofErr w:type="spellStart"/>
      <w:r>
        <w:rPr>
          <w:rFonts w:ascii="Arial" w:eastAsia="Arial" w:hAnsi="Arial" w:cs="Arial"/>
          <w:color w:val="000000"/>
          <w:sz w:val="24"/>
          <w:szCs w:val="24"/>
        </w:rPr>
        <w:t>Mahvi</w:t>
      </w:r>
      <w:proofErr w:type="spellEnd"/>
      <w:r>
        <w:rPr>
          <w:rFonts w:ascii="Arial" w:eastAsia="Arial" w:hAnsi="Arial" w:cs="Arial"/>
          <w:color w:val="000000"/>
          <w:sz w:val="24"/>
          <w:szCs w:val="24"/>
        </w:rPr>
        <w:t xml:space="preserve">, A.H., </w:t>
      </w:r>
      <w:proofErr w:type="spellStart"/>
      <w:r>
        <w:rPr>
          <w:rFonts w:ascii="Arial" w:eastAsia="Arial" w:hAnsi="Arial" w:cs="Arial"/>
          <w:color w:val="000000"/>
          <w:sz w:val="24"/>
          <w:szCs w:val="24"/>
        </w:rPr>
        <w:t>Nabizadeh</w:t>
      </w:r>
      <w:proofErr w:type="spellEnd"/>
      <w:r>
        <w:rPr>
          <w:rFonts w:ascii="Arial" w:eastAsia="Arial" w:hAnsi="Arial" w:cs="Arial"/>
          <w:color w:val="000000"/>
          <w:sz w:val="24"/>
          <w:szCs w:val="24"/>
        </w:rPr>
        <w:t xml:space="preserve">, R., </w:t>
      </w:r>
      <w:proofErr w:type="spellStart"/>
      <w:r>
        <w:rPr>
          <w:rFonts w:ascii="Arial" w:eastAsia="Arial" w:hAnsi="Arial" w:cs="Arial"/>
          <w:color w:val="000000"/>
          <w:sz w:val="24"/>
          <w:szCs w:val="24"/>
        </w:rPr>
        <w:t>Yousefi</w:t>
      </w:r>
      <w:proofErr w:type="spellEnd"/>
      <w:r>
        <w:rPr>
          <w:rFonts w:ascii="Arial" w:eastAsia="Arial" w:hAnsi="Arial" w:cs="Arial"/>
          <w:color w:val="000000"/>
          <w:sz w:val="24"/>
          <w:szCs w:val="24"/>
        </w:rPr>
        <w:t xml:space="preserve">, M., Soleimani, H., </w:t>
      </w:r>
      <w:proofErr w:type="spellStart"/>
      <w:r>
        <w:rPr>
          <w:rFonts w:ascii="Arial" w:eastAsia="Arial" w:hAnsi="Arial" w:cs="Arial"/>
          <w:color w:val="000000"/>
          <w:sz w:val="24"/>
          <w:szCs w:val="24"/>
        </w:rPr>
        <w:t>Alimohammadi</w:t>
      </w:r>
      <w:proofErr w:type="spellEnd"/>
      <w:r>
        <w:rPr>
          <w:rFonts w:ascii="Arial" w:eastAsia="Arial" w:hAnsi="Arial" w:cs="Arial"/>
          <w:color w:val="000000"/>
          <w:sz w:val="24"/>
          <w:szCs w:val="24"/>
        </w:rPr>
        <w:t xml:space="preserve">, M., 2018b. Groundwater quality assessment for irrigation purposes based on irrigation water quality index and its zoning with GIS in the villages of Chabahar, </w:t>
      </w:r>
      <w:proofErr w:type="spellStart"/>
      <w:r>
        <w:rPr>
          <w:rFonts w:ascii="Arial" w:eastAsia="Arial" w:hAnsi="Arial" w:cs="Arial"/>
          <w:color w:val="000000"/>
          <w:sz w:val="24"/>
          <w:szCs w:val="24"/>
        </w:rPr>
        <w:t>Sis</w:t>
      </w:r>
      <w:r>
        <w:rPr>
          <w:rFonts w:ascii="Arial" w:eastAsia="Arial" w:hAnsi="Arial" w:cs="Arial"/>
          <w:color w:val="000000"/>
          <w:sz w:val="24"/>
          <w:szCs w:val="24"/>
        </w:rPr>
        <w:t>tan</w:t>
      </w:r>
      <w:proofErr w:type="spellEnd"/>
      <w:r>
        <w:rPr>
          <w:rFonts w:ascii="Arial" w:eastAsia="Arial" w:hAnsi="Arial" w:cs="Arial"/>
          <w:color w:val="000000"/>
          <w:sz w:val="24"/>
          <w:szCs w:val="24"/>
        </w:rPr>
        <w:t xml:space="preserve"> and Baluchistan, Iran. Data in Brief 19, 623–631. https://doi.org/10.1016/j.dib.2018.05.061</w:t>
      </w:r>
    </w:p>
    <w:p w14:paraId="4E4445E0"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Ahmed, M.T., Hasan, M.Y., Monir, M.U., Biswas, B.K., </w:t>
      </w:r>
      <w:proofErr w:type="spellStart"/>
      <w:r>
        <w:rPr>
          <w:rFonts w:ascii="Arial" w:eastAsia="Arial" w:hAnsi="Arial" w:cs="Arial"/>
          <w:color w:val="000000"/>
          <w:sz w:val="24"/>
          <w:szCs w:val="24"/>
        </w:rPr>
        <w:t>Quamruzzaman</w:t>
      </w:r>
      <w:proofErr w:type="spellEnd"/>
      <w:r>
        <w:rPr>
          <w:rFonts w:ascii="Arial" w:eastAsia="Arial" w:hAnsi="Arial" w:cs="Arial"/>
          <w:color w:val="000000"/>
          <w:sz w:val="24"/>
          <w:szCs w:val="24"/>
        </w:rPr>
        <w:t>, C., Junaid, M., Samad, M.A., Rahman, M.M., 2021. Evaluation of groundwater quality and its su</w:t>
      </w:r>
      <w:r>
        <w:rPr>
          <w:rFonts w:ascii="Arial" w:eastAsia="Arial" w:hAnsi="Arial" w:cs="Arial"/>
          <w:color w:val="000000"/>
          <w:sz w:val="24"/>
          <w:szCs w:val="24"/>
        </w:rPr>
        <w:t xml:space="preserve">itability by applying the geospatial and IWQI techniques for irrigation purposes in the southwestern coastal plain of Bangladesh. Arab J </w:t>
      </w:r>
      <w:proofErr w:type="spellStart"/>
      <w:r>
        <w:rPr>
          <w:rFonts w:ascii="Arial" w:eastAsia="Arial" w:hAnsi="Arial" w:cs="Arial"/>
          <w:color w:val="000000"/>
          <w:sz w:val="24"/>
          <w:szCs w:val="24"/>
        </w:rPr>
        <w:t>Geosci</w:t>
      </w:r>
      <w:proofErr w:type="spellEnd"/>
      <w:r>
        <w:rPr>
          <w:rFonts w:ascii="Arial" w:eastAsia="Arial" w:hAnsi="Arial" w:cs="Arial"/>
          <w:color w:val="000000"/>
          <w:sz w:val="24"/>
          <w:szCs w:val="24"/>
        </w:rPr>
        <w:t xml:space="preserve"> 14, 233. https://doi.org/10.1007/s12517-021-06510-y</w:t>
      </w:r>
    </w:p>
    <w:p w14:paraId="2C3975FF"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sz w:val="24"/>
          <w:szCs w:val="24"/>
        </w:rPr>
      </w:pPr>
      <w:r>
        <w:rPr>
          <w:rFonts w:ascii="Arial" w:eastAsia="Arial" w:hAnsi="Arial" w:cs="Arial"/>
          <w:color w:val="000000"/>
          <w:sz w:val="24"/>
          <w:szCs w:val="24"/>
        </w:rPr>
        <w:t xml:space="preserve">Ait Said, B., </w:t>
      </w:r>
      <w:proofErr w:type="spellStart"/>
      <w:r>
        <w:rPr>
          <w:rFonts w:ascii="Arial" w:eastAsia="Arial" w:hAnsi="Arial" w:cs="Arial"/>
          <w:color w:val="000000"/>
          <w:sz w:val="24"/>
          <w:szCs w:val="24"/>
        </w:rPr>
        <w:t>Mili</w:t>
      </w:r>
      <w:proofErr w:type="spellEnd"/>
      <w:r>
        <w:rPr>
          <w:rFonts w:ascii="Arial" w:eastAsia="Arial" w:hAnsi="Arial" w:cs="Arial"/>
          <w:color w:val="000000"/>
          <w:sz w:val="24"/>
          <w:szCs w:val="24"/>
        </w:rPr>
        <w:t xml:space="preserve">, E.-M., El </w:t>
      </w:r>
      <w:proofErr w:type="spellStart"/>
      <w:r>
        <w:rPr>
          <w:rFonts w:ascii="Arial" w:eastAsia="Arial" w:hAnsi="Arial" w:cs="Arial"/>
          <w:color w:val="000000"/>
          <w:sz w:val="24"/>
          <w:szCs w:val="24"/>
        </w:rPr>
        <w:t>Faleh</w:t>
      </w:r>
      <w:proofErr w:type="spellEnd"/>
      <w:r>
        <w:rPr>
          <w:rFonts w:ascii="Arial" w:eastAsia="Arial" w:hAnsi="Arial" w:cs="Arial"/>
          <w:color w:val="000000"/>
          <w:sz w:val="24"/>
          <w:szCs w:val="24"/>
        </w:rPr>
        <w:t xml:space="preserve">, E.M., </w:t>
      </w:r>
      <w:proofErr w:type="spellStart"/>
      <w:r>
        <w:rPr>
          <w:rFonts w:ascii="Arial" w:eastAsia="Arial" w:hAnsi="Arial" w:cs="Arial"/>
          <w:color w:val="000000"/>
          <w:sz w:val="24"/>
          <w:szCs w:val="24"/>
        </w:rPr>
        <w:t>Mehdaoui</w:t>
      </w:r>
      <w:proofErr w:type="spellEnd"/>
      <w:r>
        <w:rPr>
          <w:rFonts w:ascii="Arial" w:eastAsia="Arial" w:hAnsi="Arial" w:cs="Arial"/>
          <w:color w:val="000000"/>
          <w:sz w:val="24"/>
          <w:szCs w:val="24"/>
        </w:rPr>
        <w:t xml:space="preserve">, R., </w:t>
      </w:r>
      <w:proofErr w:type="spellStart"/>
      <w:r>
        <w:rPr>
          <w:rFonts w:ascii="Arial" w:eastAsia="Arial" w:hAnsi="Arial" w:cs="Arial"/>
          <w:color w:val="000000"/>
          <w:sz w:val="24"/>
          <w:szCs w:val="24"/>
        </w:rPr>
        <w:t>Mah</w:t>
      </w:r>
      <w:r>
        <w:rPr>
          <w:rFonts w:ascii="Arial" w:eastAsia="Arial" w:hAnsi="Arial" w:cs="Arial"/>
          <w:color w:val="000000"/>
          <w:sz w:val="24"/>
          <w:szCs w:val="24"/>
        </w:rPr>
        <w:t>boub</w:t>
      </w:r>
      <w:proofErr w:type="spellEnd"/>
      <w:r>
        <w:rPr>
          <w:rFonts w:ascii="Arial" w:eastAsia="Arial" w:hAnsi="Arial" w:cs="Arial"/>
          <w:color w:val="000000"/>
          <w:sz w:val="24"/>
          <w:szCs w:val="24"/>
        </w:rPr>
        <w:t xml:space="preserve">, A., Hamid, F.E., </w:t>
      </w:r>
      <w:proofErr w:type="spellStart"/>
      <w:r>
        <w:rPr>
          <w:rFonts w:ascii="Arial" w:eastAsia="Arial" w:hAnsi="Arial" w:cs="Arial"/>
          <w:color w:val="000000"/>
          <w:sz w:val="24"/>
          <w:szCs w:val="24"/>
        </w:rPr>
        <w:t>Tlemcani</w:t>
      </w:r>
      <w:proofErr w:type="spellEnd"/>
      <w:r>
        <w:rPr>
          <w:rFonts w:ascii="Arial" w:eastAsia="Arial" w:hAnsi="Arial" w:cs="Arial"/>
          <w:color w:val="000000"/>
          <w:sz w:val="24"/>
          <w:szCs w:val="24"/>
        </w:rPr>
        <w:t xml:space="preserve">, J., El Fakir, R., 2023. </w:t>
      </w:r>
      <w:proofErr w:type="spellStart"/>
      <w:r>
        <w:rPr>
          <w:rFonts w:ascii="Arial" w:eastAsia="Arial" w:hAnsi="Arial" w:cs="Arial"/>
          <w:color w:val="000000"/>
          <w:sz w:val="24"/>
          <w:szCs w:val="24"/>
        </w:rPr>
        <w:t>Hydrochemical</w:t>
      </w:r>
      <w:proofErr w:type="spellEnd"/>
      <w:r>
        <w:rPr>
          <w:rFonts w:ascii="Arial" w:eastAsia="Arial" w:hAnsi="Arial" w:cs="Arial"/>
          <w:color w:val="000000"/>
          <w:sz w:val="24"/>
          <w:szCs w:val="24"/>
        </w:rPr>
        <w:t xml:space="preserve"> evolution and groundwater quality assessment of the </w:t>
      </w:r>
      <w:proofErr w:type="spellStart"/>
      <w:r>
        <w:rPr>
          <w:rFonts w:ascii="Arial" w:eastAsia="Arial" w:hAnsi="Arial" w:cs="Arial"/>
          <w:color w:val="000000"/>
          <w:sz w:val="24"/>
          <w:szCs w:val="24"/>
        </w:rPr>
        <w:t>Tinejdad-Touroug</w:t>
      </w:r>
      <w:proofErr w:type="spellEnd"/>
      <w:r>
        <w:rPr>
          <w:rFonts w:ascii="Arial" w:eastAsia="Arial" w:hAnsi="Arial" w:cs="Arial"/>
          <w:color w:val="000000"/>
          <w:sz w:val="24"/>
          <w:szCs w:val="24"/>
        </w:rPr>
        <w:t xml:space="preserve"> quaternary aquifer, South-East Morocco. Front. Ecol. </w:t>
      </w:r>
      <w:proofErr w:type="spellStart"/>
      <w:r>
        <w:rPr>
          <w:rFonts w:ascii="Arial" w:eastAsia="Arial" w:hAnsi="Arial" w:cs="Arial"/>
          <w:color w:val="000000"/>
          <w:sz w:val="24"/>
          <w:szCs w:val="24"/>
        </w:rPr>
        <w:t>Evol</w:t>
      </w:r>
      <w:proofErr w:type="spellEnd"/>
      <w:r>
        <w:rPr>
          <w:rFonts w:ascii="Arial" w:eastAsia="Arial" w:hAnsi="Arial" w:cs="Arial"/>
          <w:color w:val="000000"/>
          <w:sz w:val="24"/>
          <w:szCs w:val="24"/>
        </w:rPr>
        <w:t xml:space="preserve">. 11, 1201748. </w:t>
      </w:r>
      <w:hyperlink r:id="rId12">
        <w:r>
          <w:rPr>
            <w:rFonts w:ascii="Arial" w:eastAsia="Arial" w:hAnsi="Arial" w:cs="Arial"/>
            <w:color w:val="1155CC"/>
            <w:sz w:val="24"/>
            <w:szCs w:val="24"/>
            <w:u w:val="single"/>
          </w:rPr>
          <w:t>https://doi.org/10.3389/fevo.2023.1201748</w:t>
        </w:r>
      </w:hyperlink>
    </w:p>
    <w:p w14:paraId="33708663"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sz w:val="24"/>
          <w:szCs w:val="24"/>
          <w:highlight w:val="yellow"/>
        </w:rPr>
      </w:pPr>
      <w:proofErr w:type="spellStart"/>
      <w:r>
        <w:rPr>
          <w:rFonts w:ascii="Arial" w:eastAsia="Arial" w:hAnsi="Arial" w:cs="Arial"/>
          <w:sz w:val="24"/>
          <w:szCs w:val="24"/>
          <w:highlight w:val="yellow"/>
        </w:rPr>
        <w:t>Alao</w:t>
      </w:r>
      <w:proofErr w:type="spellEnd"/>
      <w:r>
        <w:rPr>
          <w:rFonts w:ascii="Arial" w:eastAsia="Arial" w:hAnsi="Arial" w:cs="Arial"/>
          <w:sz w:val="24"/>
          <w:szCs w:val="24"/>
          <w:highlight w:val="yellow"/>
        </w:rPr>
        <w:t>, J. O. (2023). Impacts of open dumpsite leachates on soil and groundwater quality. Groundwater for sustainable development, 20, 100877.</w:t>
      </w:r>
    </w:p>
    <w:p w14:paraId="7EE05A21"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sz w:val="24"/>
          <w:szCs w:val="24"/>
          <w:highlight w:val="yellow"/>
        </w:rPr>
      </w:pPr>
      <w:proofErr w:type="spellStart"/>
      <w:r>
        <w:rPr>
          <w:rFonts w:ascii="Arial" w:eastAsia="Arial" w:hAnsi="Arial" w:cs="Arial"/>
          <w:sz w:val="24"/>
          <w:szCs w:val="24"/>
          <w:highlight w:val="yellow"/>
        </w:rPr>
        <w:t>Alao</w:t>
      </w:r>
      <w:proofErr w:type="spellEnd"/>
      <w:r>
        <w:rPr>
          <w:rFonts w:ascii="Arial" w:eastAsia="Arial" w:hAnsi="Arial" w:cs="Arial"/>
          <w:sz w:val="24"/>
          <w:szCs w:val="24"/>
          <w:highlight w:val="yellow"/>
        </w:rPr>
        <w:t>, J. O. (2024). Determination of the geophysical sig</w:t>
      </w:r>
      <w:r>
        <w:rPr>
          <w:rFonts w:ascii="Arial" w:eastAsia="Arial" w:hAnsi="Arial" w:cs="Arial"/>
          <w:sz w:val="24"/>
          <w:szCs w:val="24"/>
          <w:highlight w:val="yellow"/>
        </w:rPr>
        <w:t>nature of soft-clay and hard lateritic soils and the implications on geotechnical works using electrical resistivity imaging. Results in Earth Sciences, 2, 100025.</w:t>
      </w:r>
    </w:p>
    <w:p w14:paraId="7FEE9FD7"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sz w:val="24"/>
          <w:szCs w:val="24"/>
        </w:rPr>
      </w:pPr>
      <w:proofErr w:type="spellStart"/>
      <w:r>
        <w:rPr>
          <w:rFonts w:ascii="Arial" w:eastAsia="Arial" w:hAnsi="Arial" w:cs="Arial"/>
          <w:sz w:val="24"/>
          <w:szCs w:val="24"/>
          <w:highlight w:val="yellow"/>
        </w:rPr>
        <w:lastRenderedPageBreak/>
        <w:t>Alao</w:t>
      </w:r>
      <w:proofErr w:type="spellEnd"/>
      <w:r>
        <w:rPr>
          <w:rFonts w:ascii="Arial" w:eastAsia="Arial" w:hAnsi="Arial" w:cs="Arial"/>
          <w:sz w:val="24"/>
          <w:szCs w:val="24"/>
          <w:highlight w:val="yellow"/>
        </w:rPr>
        <w:t>, J. O. (2025). The evolving roles of geophysics in environmental assessment, monitoring</w:t>
      </w:r>
      <w:r>
        <w:rPr>
          <w:rFonts w:ascii="Arial" w:eastAsia="Arial" w:hAnsi="Arial" w:cs="Arial"/>
          <w:sz w:val="24"/>
          <w:szCs w:val="24"/>
          <w:highlight w:val="yellow"/>
        </w:rPr>
        <w:t>, and management of landfill leachate contaminant plumes: An overview. Case Studies in Chemical and Environmental Engineering, 101124</w:t>
      </w:r>
      <w:r>
        <w:rPr>
          <w:rFonts w:ascii="Arial" w:eastAsia="Arial" w:hAnsi="Arial" w:cs="Arial"/>
          <w:sz w:val="24"/>
          <w:szCs w:val="24"/>
        </w:rPr>
        <w:t>.</w:t>
      </w:r>
    </w:p>
    <w:p w14:paraId="0077050D"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sz w:val="24"/>
          <w:szCs w:val="24"/>
          <w:highlight w:val="yellow"/>
        </w:rPr>
      </w:pPr>
      <w:proofErr w:type="spellStart"/>
      <w:r>
        <w:rPr>
          <w:rFonts w:ascii="Arial" w:eastAsia="Arial" w:hAnsi="Arial" w:cs="Arial"/>
          <w:sz w:val="24"/>
          <w:szCs w:val="24"/>
          <w:highlight w:val="yellow"/>
        </w:rPr>
        <w:t>Alao</w:t>
      </w:r>
      <w:proofErr w:type="spellEnd"/>
      <w:r>
        <w:rPr>
          <w:rFonts w:ascii="Arial" w:eastAsia="Arial" w:hAnsi="Arial" w:cs="Arial"/>
          <w:sz w:val="24"/>
          <w:szCs w:val="24"/>
          <w:highlight w:val="yellow"/>
        </w:rPr>
        <w:t>, J. O. (2025). The factors influencing the landfill leachate plume contaminants in soils, surface and groundwater an</w:t>
      </w:r>
      <w:r>
        <w:rPr>
          <w:rFonts w:ascii="Arial" w:eastAsia="Arial" w:hAnsi="Arial" w:cs="Arial"/>
          <w:sz w:val="24"/>
          <w:szCs w:val="24"/>
          <w:highlight w:val="yellow"/>
        </w:rPr>
        <w:t>d associated health risks: A geophysical and geochemical view. Public Health and Environment, 1(1), 20-43.</w:t>
      </w:r>
    </w:p>
    <w:p w14:paraId="710986A2"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sz w:val="24"/>
          <w:szCs w:val="24"/>
          <w:highlight w:val="yellow"/>
        </w:rPr>
      </w:pPr>
      <w:proofErr w:type="spellStart"/>
      <w:r>
        <w:rPr>
          <w:rFonts w:ascii="Arial" w:eastAsia="Arial" w:hAnsi="Arial" w:cs="Arial"/>
          <w:sz w:val="24"/>
          <w:szCs w:val="24"/>
          <w:highlight w:val="yellow"/>
        </w:rPr>
        <w:t>Alao</w:t>
      </w:r>
      <w:proofErr w:type="spellEnd"/>
      <w:r>
        <w:rPr>
          <w:rFonts w:ascii="Arial" w:eastAsia="Arial" w:hAnsi="Arial" w:cs="Arial"/>
          <w:sz w:val="24"/>
          <w:szCs w:val="24"/>
          <w:highlight w:val="yellow"/>
        </w:rPr>
        <w:t xml:space="preserve">, J. O., &amp; Abubakar, F. (2025). Groundwater exploration, management strategies and sustainability: Geophysical approaches. Geosystems and </w:t>
      </w:r>
      <w:proofErr w:type="spellStart"/>
      <w:r>
        <w:rPr>
          <w:rFonts w:ascii="Arial" w:eastAsia="Arial" w:hAnsi="Arial" w:cs="Arial"/>
          <w:sz w:val="24"/>
          <w:szCs w:val="24"/>
          <w:highlight w:val="yellow"/>
        </w:rPr>
        <w:t>Geoenvi</w:t>
      </w:r>
      <w:r>
        <w:rPr>
          <w:rFonts w:ascii="Arial" w:eastAsia="Arial" w:hAnsi="Arial" w:cs="Arial"/>
          <w:sz w:val="24"/>
          <w:szCs w:val="24"/>
          <w:highlight w:val="yellow"/>
        </w:rPr>
        <w:t>ronment</w:t>
      </w:r>
      <w:proofErr w:type="spellEnd"/>
      <w:r>
        <w:rPr>
          <w:rFonts w:ascii="Arial" w:eastAsia="Arial" w:hAnsi="Arial" w:cs="Arial"/>
          <w:sz w:val="24"/>
          <w:szCs w:val="24"/>
          <w:highlight w:val="yellow"/>
        </w:rPr>
        <w:t>, 100395.</w:t>
      </w:r>
    </w:p>
    <w:p w14:paraId="157ED690"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sz w:val="24"/>
          <w:szCs w:val="24"/>
          <w:highlight w:val="yellow"/>
        </w:rPr>
      </w:pPr>
      <w:r>
        <w:rPr>
          <w:rFonts w:ascii="Arial" w:eastAsia="Arial" w:hAnsi="Arial" w:cs="Arial"/>
          <w:sz w:val="24"/>
          <w:szCs w:val="24"/>
          <w:highlight w:val="yellow"/>
        </w:rPr>
        <w:t xml:space="preserve">Ali, G., </w:t>
      </w:r>
      <w:proofErr w:type="spellStart"/>
      <w:r>
        <w:rPr>
          <w:rFonts w:ascii="Arial" w:eastAsia="Arial" w:hAnsi="Arial" w:cs="Arial"/>
          <w:sz w:val="24"/>
          <w:szCs w:val="24"/>
          <w:highlight w:val="yellow"/>
        </w:rPr>
        <w:t>Chaudharı</w:t>
      </w:r>
      <w:proofErr w:type="spellEnd"/>
      <w:r>
        <w:rPr>
          <w:rFonts w:ascii="Arial" w:eastAsia="Arial" w:hAnsi="Arial" w:cs="Arial"/>
          <w:sz w:val="24"/>
          <w:szCs w:val="24"/>
          <w:highlight w:val="yellow"/>
        </w:rPr>
        <w:t xml:space="preserve">, M., Shah, P., &amp; </w:t>
      </w:r>
      <w:proofErr w:type="spellStart"/>
      <w:r>
        <w:rPr>
          <w:rFonts w:ascii="Arial" w:eastAsia="Arial" w:hAnsi="Arial" w:cs="Arial"/>
          <w:sz w:val="24"/>
          <w:szCs w:val="24"/>
          <w:highlight w:val="yellow"/>
        </w:rPr>
        <w:t>Shrivastav</w:t>
      </w:r>
      <w:proofErr w:type="spellEnd"/>
      <w:r>
        <w:rPr>
          <w:rFonts w:ascii="Arial" w:eastAsia="Arial" w:hAnsi="Arial" w:cs="Arial"/>
          <w:sz w:val="24"/>
          <w:szCs w:val="24"/>
          <w:highlight w:val="yellow"/>
        </w:rPr>
        <w:t xml:space="preserve">, P. (2024). Temporal changes in water quality in </w:t>
      </w:r>
      <w:proofErr w:type="spellStart"/>
      <w:r>
        <w:rPr>
          <w:rFonts w:ascii="Arial" w:eastAsia="Arial" w:hAnsi="Arial" w:cs="Arial"/>
          <w:sz w:val="24"/>
          <w:szCs w:val="24"/>
          <w:highlight w:val="yellow"/>
        </w:rPr>
        <w:t>Leh</w:t>
      </w:r>
      <w:proofErr w:type="spellEnd"/>
      <w:r>
        <w:rPr>
          <w:rFonts w:ascii="Arial" w:eastAsia="Arial" w:hAnsi="Arial" w:cs="Arial"/>
          <w:sz w:val="24"/>
          <w:szCs w:val="24"/>
          <w:highlight w:val="yellow"/>
        </w:rPr>
        <w:t xml:space="preserve"> Ladakh region: Impact of urbanization. Environmental Research and Technology, 7(4), 637-664. https://doi.org/10.35208/ert.1431710</w:t>
      </w:r>
    </w:p>
    <w:p w14:paraId="3DFA0BEF"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sz w:val="24"/>
          <w:szCs w:val="24"/>
          <w:highlight w:val="yellow"/>
        </w:rPr>
      </w:pPr>
      <w:r>
        <w:rPr>
          <w:rFonts w:ascii="Arial" w:eastAsia="Arial" w:hAnsi="Arial" w:cs="Arial"/>
          <w:sz w:val="24"/>
          <w:szCs w:val="24"/>
          <w:highlight w:val="yellow"/>
        </w:rPr>
        <w:t xml:space="preserve">Ali, G., </w:t>
      </w:r>
      <w:r>
        <w:rPr>
          <w:rFonts w:ascii="Arial" w:eastAsia="Arial" w:hAnsi="Arial" w:cs="Arial"/>
          <w:sz w:val="24"/>
          <w:szCs w:val="24"/>
          <w:highlight w:val="yellow"/>
        </w:rPr>
        <w:t xml:space="preserve">Chaudhari, M. P., Syed, S., </w:t>
      </w:r>
      <w:proofErr w:type="spellStart"/>
      <w:r>
        <w:rPr>
          <w:rFonts w:ascii="Arial" w:eastAsia="Arial" w:hAnsi="Arial" w:cs="Arial"/>
          <w:sz w:val="24"/>
          <w:szCs w:val="24"/>
          <w:highlight w:val="yellow"/>
        </w:rPr>
        <w:t>Rajpurohit</w:t>
      </w:r>
      <w:proofErr w:type="spellEnd"/>
      <w:r>
        <w:rPr>
          <w:rFonts w:ascii="Arial" w:eastAsia="Arial" w:hAnsi="Arial" w:cs="Arial"/>
          <w:sz w:val="24"/>
          <w:szCs w:val="24"/>
          <w:highlight w:val="yellow"/>
        </w:rPr>
        <w:t xml:space="preserve">, D., </w:t>
      </w:r>
      <w:proofErr w:type="spellStart"/>
      <w:r>
        <w:rPr>
          <w:rFonts w:ascii="Arial" w:eastAsia="Arial" w:hAnsi="Arial" w:cs="Arial"/>
          <w:sz w:val="24"/>
          <w:szCs w:val="24"/>
          <w:highlight w:val="yellow"/>
        </w:rPr>
        <w:t>Sanyal</w:t>
      </w:r>
      <w:proofErr w:type="spellEnd"/>
      <w:r>
        <w:rPr>
          <w:rFonts w:ascii="Arial" w:eastAsia="Arial" w:hAnsi="Arial" w:cs="Arial"/>
          <w:sz w:val="24"/>
          <w:szCs w:val="24"/>
          <w:highlight w:val="yellow"/>
        </w:rPr>
        <w:t xml:space="preserve">, M., &amp; </w:t>
      </w:r>
      <w:proofErr w:type="spellStart"/>
      <w:r>
        <w:rPr>
          <w:rFonts w:ascii="Arial" w:eastAsia="Arial" w:hAnsi="Arial" w:cs="Arial"/>
          <w:sz w:val="24"/>
          <w:szCs w:val="24"/>
          <w:highlight w:val="yellow"/>
        </w:rPr>
        <w:t>Shrivastav</w:t>
      </w:r>
      <w:proofErr w:type="spellEnd"/>
      <w:r>
        <w:rPr>
          <w:rFonts w:ascii="Arial" w:eastAsia="Arial" w:hAnsi="Arial" w:cs="Arial"/>
          <w:sz w:val="24"/>
          <w:szCs w:val="24"/>
          <w:highlight w:val="yellow"/>
        </w:rPr>
        <w:t>, P. S. (2025). Hydrogeochemical investigation and water quality assessment of the Indus River in the semiarid region of Ladakh, India. Marine Pollution Bulletin, 211, 117413. https://doi.</w:t>
      </w:r>
      <w:r>
        <w:rPr>
          <w:rFonts w:ascii="Arial" w:eastAsia="Arial" w:hAnsi="Arial" w:cs="Arial"/>
          <w:sz w:val="24"/>
          <w:szCs w:val="24"/>
          <w:highlight w:val="yellow"/>
        </w:rPr>
        <w:t>org/10.1016/j.marpolbul.2024.117413</w:t>
      </w:r>
    </w:p>
    <w:p w14:paraId="3CA89D73"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Al-</w:t>
      </w:r>
      <w:proofErr w:type="spellStart"/>
      <w:r>
        <w:rPr>
          <w:rFonts w:ascii="Arial" w:eastAsia="Arial" w:hAnsi="Arial" w:cs="Arial"/>
          <w:color w:val="000000"/>
          <w:sz w:val="24"/>
          <w:szCs w:val="24"/>
        </w:rPr>
        <w:t>Shammiri</w:t>
      </w:r>
      <w:proofErr w:type="spellEnd"/>
      <w:r>
        <w:rPr>
          <w:rFonts w:ascii="Arial" w:eastAsia="Arial" w:hAnsi="Arial" w:cs="Arial"/>
          <w:color w:val="000000"/>
          <w:sz w:val="24"/>
          <w:szCs w:val="24"/>
        </w:rPr>
        <w:t>, M., Al-</w:t>
      </w:r>
      <w:proofErr w:type="spellStart"/>
      <w:r>
        <w:rPr>
          <w:rFonts w:ascii="Arial" w:eastAsia="Arial" w:hAnsi="Arial" w:cs="Arial"/>
          <w:color w:val="000000"/>
          <w:sz w:val="24"/>
          <w:szCs w:val="24"/>
        </w:rPr>
        <w:t>Saffar</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Bohamad</w:t>
      </w:r>
      <w:proofErr w:type="spellEnd"/>
      <w:r>
        <w:rPr>
          <w:rFonts w:ascii="Arial" w:eastAsia="Arial" w:hAnsi="Arial" w:cs="Arial"/>
          <w:color w:val="000000"/>
          <w:sz w:val="24"/>
          <w:szCs w:val="24"/>
        </w:rPr>
        <w:t>, S., Ahmed, M., 2005. Waste water quality and reuse in irrigation in Kuwait using microfiltration technology in treatment. Desalination 185, 213–225. https://doi.org/10.1016/j.desa</w:t>
      </w:r>
      <w:r>
        <w:rPr>
          <w:rFonts w:ascii="Arial" w:eastAsia="Arial" w:hAnsi="Arial" w:cs="Arial"/>
          <w:color w:val="000000"/>
          <w:sz w:val="24"/>
          <w:szCs w:val="24"/>
        </w:rPr>
        <w:t>l.2005.02.078</w:t>
      </w:r>
    </w:p>
    <w:p w14:paraId="2BAD2583"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APHA (2017). Standard Methods for the Examination of Water and Wastewater (23rd ed.). Washington DC: American Public Health Association.</w:t>
      </w:r>
    </w:p>
    <w:p w14:paraId="2C84D92C"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Aravinthasamy</w:t>
      </w:r>
      <w:proofErr w:type="spellEnd"/>
      <w:r>
        <w:rPr>
          <w:rFonts w:ascii="Arial" w:eastAsia="Arial" w:hAnsi="Arial" w:cs="Arial"/>
          <w:color w:val="000000"/>
          <w:sz w:val="24"/>
          <w:szCs w:val="24"/>
        </w:rPr>
        <w:t xml:space="preserve">, P., Karunanidhi, D., </w:t>
      </w:r>
      <w:proofErr w:type="spellStart"/>
      <w:r>
        <w:rPr>
          <w:rFonts w:ascii="Arial" w:eastAsia="Arial" w:hAnsi="Arial" w:cs="Arial"/>
          <w:color w:val="000000"/>
          <w:sz w:val="24"/>
          <w:szCs w:val="24"/>
        </w:rPr>
        <w:t>Subba</w:t>
      </w:r>
      <w:proofErr w:type="spellEnd"/>
      <w:r>
        <w:rPr>
          <w:rFonts w:ascii="Arial" w:eastAsia="Arial" w:hAnsi="Arial" w:cs="Arial"/>
          <w:color w:val="000000"/>
          <w:sz w:val="24"/>
          <w:szCs w:val="24"/>
        </w:rPr>
        <w:t xml:space="preserve"> Rao, N., Subramani, T., </w:t>
      </w:r>
      <w:proofErr w:type="spellStart"/>
      <w:r>
        <w:rPr>
          <w:rFonts w:ascii="Arial" w:eastAsia="Arial" w:hAnsi="Arial" w:cs="Arial"/>
          <w:color w:val="000000"/>
          <w:sz w:val="24"/>
          <w:szCs w:val="24"/>
        </w:rPr>
        <w:t>Srinivasamoorthy</w:t>
      </w:r>
      <w:proofErr w:type="spellEnd"/>
      <w:r>
        <w:rPr>
          <w:rFonts w:ascii="Arial" w:eastAsia="Arial" w:hAnsi="Arial" w:cs="Arial"/>
          <w:color w:val="000000"/>
          <w:sz w:val="24"/>
          <w:szCs w:val="24"/>
        </w:rPr>
        <w:t xml:space="preserve">, K., 2020. Irrigation </w:t>
      </w:r>
      <w:r>
        <w:rPr>
          <w:rFonts w:ascii="Arial" w:eastAsia="Arial" w:hAnsi="Arial" w:cs="Arial"/>
          <w:color w:val="000000"/>
          <w:sz w:val="24"/>
          <w:szCs w:val="24"/>
        </w:rPr>
        <w:t xml:space="preserve">risk assessment of groundwater in a non-perennial river basin of South India: implication from irrigation water quality index (IWQI) and geographical information system (GIS) approaches. Arab J </w:t>
      </w:r>
      <w:proofErr w:type="spellStart"/>
      <w:r>
        <w:rPr>
          <w:rFonts w:ascii="Arial" w:eastAsia="Arial" w:hAnsi="Arial" w:cs="Arial"/>
          <w:color w:val="000000"/>
          <w:sz w:val="24"/>
          <w:szCs w:val="24"/>
        </w:rPr>
        <w:t>Geosci</w:t>
      </w:r>
      <w:proofErr w:type="spellEnd"/>
      <w:r>
        <w:rPr>
          <w:rFonts w:ascii="Arial" w:eastAsia="Arial" w:hAnsi="Arial" w:cs="Arial"/>
          <w:color w:val="000000"/>
          <w:sz w:val="24"/>
          <w:szCs w:val="24"/>
        </w:rPr>
        <w:t xml:space="preserve"> 13, 1125. https://doi.org/10.1007/s12517-020-06103-1</w:t>
      </w:r>
    </w:p>
    <w:p w14:paraId="7F8C4ADE"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As</w:t>
      </w:r>
      <w:r>
        <w:rPr>
          <w:rFonts w:ascii="Arial" w:eastAsia="Arial" w:hAnsi="Arial" w:cs="Arial"/>
          <w:color w:val="000000"/>
          <w:sz w:val="24"/>
          <w:szCs w:val="24"/>
        </w:rPr>
        <w:t>adi</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Isazadeh</w:t>
      </w:r>
      <w:proofErr w:type="spellEnd"/>
      <w:r>
        <w:rPr>
          <w:rFonts w:ascii="Arial" w:eastAsia="Arial" w:hAnsi="Arial" w:cs="Arial"/>
          <w:color w:val="000000"/>
          <w:sz w:val="24"/>
          <w:szCs w:val="24"/>
        </w:rPr>
        <w:t xml:space="preserve">, M., </w:t>
      </w:r>
      <w:proofErr w:type="spellStart"/>
      <w:r>
        <w:rPr>
          <w:rFonts w:ascii="Arial" w:eastAsia="Arial" w:hAnsi="Arial" w:cs="Arial"/>
          <w:color w:val="000000"/>
          <w:sz w:val="24"/>
          <w:szCs w:val="24"/>
        </w:rPr>
        <w:t>Samadianfard</w:t>
      </w:r>
      <w:proofErr w:type="spellEnd"/>
      <w:r>
        <w:rPr>
          <w:rFonts w:ascii="Arial" w:eastAsia="Arial" w:hAnsi="Arial" w:cs="Arial"/>
          <w:color w:val="000000"/>
          <w:sz w:val="24"/>
          <w:szCs w:val="24"/>
        </w:rPr>
        <w:t xml:space="preserve">, S., Ramli, M.F., </w:t>
      </w:r>
      <w:proofErr w:type="spellStart"/>
      <w:r>
        <w:rPr>
          <w:rFonts w:ascii="Arial" w:eastAsia="Arial" w:hAnsi="Arial" w:cs="Arial"/>
          <w:color w:val="000000"/>
          <w:sz w:val="24"/>
          <w:szCs w:val="24"/>
        </w:rPr>
        <w:t>Mosavi</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Nabipour</w:t>
      </w:r>
      <w:proofErr w:type="spellEnd"/>
      <w:r>
        <w:rPr>
          <w:rFonts w:ascii="Arial" w:eastAsia="Arial" w:hAnsi="Arial" w:cs="Arial"/>
          <w:color w:val="000000"/>
          <w:sz w:val="24"/>
          <w:szCs w:val="24"/>
        </w:rPr>
        <w:t xml:space="preserve">, N., </w:t>
      </w:r>
      <w:proofErr w:type="spellStart"/>
      <w:r>
        <w:rPr>
          <w:rFonts w:ascii="Arial" w:eastAsia="Arial" w:hAnsi="Arial" w:cs="Arial"/>
          <w:color w:val="000000"/>
          <w:sz w:val="24"/>
          <w:szCs w:val="24"/>
        </w:rPr>
        <w:t>Shamshirband</w:t>
      </w:r>
      <w:proofErr w:type="spellEnd"/>
      <w:r>
        <w:rPr>
          <w:rFonts w:ascii="Arial" w:eastAsia="Arial" w:hAnsi="Arial" w:cs="Arial"/>
          <w:color w:val="000000"/>
          <w:sz w:val="24"/>
          <w:szCs w:val="24"/>
        </w:rPr>
        <w:t xml:space="preserve">, S., </w:t>
      </w:r>
      <w:proofErr w:type="spellStart"/>
      <w:r>
        <w:rPr>
          <w:rFonts w:ascii="Arial" w:eastAsia="Arial" w:hAnsi="Arial" w:cs="Arial"/>
          <w:color w:val="000000"/>
          <w:sz w:val="24"/>
          <w:szCs w:val="24"/>
        </w:rPr>
        <w:t>Hajnal</w:t>
      </w:r>
      <w:proofErr w:type="spellEnd"/>
      <w:r>
        <w:rPr>
          <w:rFonts w:ascii="Arial" w:eastAsia="Arial" w:hAnsi="Arial" w:cs="Arial"/>
          <w:color w:val="000000"/>
          <w:sz w:val="24"/>
          <w:szCs w:val="24"/>
        </w:rPr>
        <w:t>, E., Chau, K.-W., 2019. Groundwater Quality Assessment for Sustainable Drinking and Irrigation. Sustainability 12, 177. https://doi.org/10.3390/su12010</w:t>
      </w:r>
      <w:r>
        <w:rPr>
          <w:rFonts w:ascii="Arial" w:eastAsia="Arial" w:hAnsi="Arial" w:cs="Arial"/>
          <w:color w:val="000000"/>
          <w:sz w:val="24"/>
          <w:szCs w:val="24"/>
        </w:rPr>
        <w:t>177</w:t>
      </w:r>
    </w:p>
    <w:p w14:paraId="44211757"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Batarseh</w:t>
      </w:r>
      <w:proofErr w:type="spellEnd"/>
      <w:r>
        <w:rPr>
          <w:rFonts w:ascii="Arial" w:eastAsia="Arial" w:hAnsi="Arial" w:cs="Arial"/>
          <w:color w:val="000000"/>
          <w:sz w:val="24"/>
          <w:szCs w:val="24"/>
        </w:rPr>
        <w:t xml:space="preserve">, M., </w:t>
      </w:r>
      <w:proofErr w:type="spellStart"/>
      <w:r>
        <w:rPr>
          <w:rFonts w:ascii="Arial" w:eastAsia="Arial" w:hAnsi="Arial" w:cs="Arial"/>
          <w:color w:val="000000"/>
          <w:sz w:val="24"/>
          <w:szCs w:val="24"/>
        </w:rPr>
        <w:t>Imreizeeq</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Tilev</w:t>
      </w:r>
      <w:proofErr w:type="spellEnd"/>
      <w:r>
        <w:rPr>
          <w:rFonts w:ascii="Arial" w:eastAsia="Arial" w:hAnsi="Arial" w:cs="Arial"/>
          <w:color w:val="000000"/>
          <w:sz w:val="24"/>
          <w:szCs w:val="24"/>
        </w:rPr>
        <w:t xml:space="preserve">, S., Al </w:t>
      </w:r>
      <w:proofErr w:type="spellStart"/>
      <w:r>
        <w:rPr>
          <w:rFonts w:ascii="Arial" w:eastAsia="Arial" w:hAnsi="Arial" w:cs="Arial"/>
          <w:color w:val="000000"/>
          <w:sz w:val="24"/>
          <w:szCs w:val="24"/>
        </w:rPr>
        <w:t>Alaween</w:t>
      </w:r>
      <w:proofErr w:type="spellEnd"/>
      <w:r>
        <w:rPr>
          <w:rFonts w:ascii="Arial" w:eastAsia="Arial" w:hAnsi="Arial" w:cs="Arial"/>
          <w:color w:val="000000"/>
          <w:sz w:val="24"/>
          <w:szCs w:val="24"/>
        </w:rPr>
        <w:t xml:space="preserve">, M., Suleiman, W., Al </w:t>
      </w:r>
      <w:proofErr w:type="spellStart"/>
      <w:r>
        <w:rPr>
          <w:rFonts w:ascii="Arial" w:eastAsia="Arial" w:hAnsi="Arial" w:cs="Arial"/>
          <w:color w:val="000000"/>
          <w:sz w:val="24"/>
          <w:szCs w:val="24"/>
        </w:rPr>
        <w:t>Remeithi</w:t>
      </w:r>
      <w:proofErr w:type="spellEnd"/>
      <w:r>
        <w:rPr>
          <w:rFonts w:ascii="Arial" w:eastAsia="Arial" w:hAnsi="Arial" w:cs="Arial"/>
          <w:color w:val="000000"/>
          <w:sz w:val="24"/>
          <w:szCs w:val="24"/>
        </w:rPr>
        <w:t xml:space="preserve">, A.M., Al Tamimi, M.K., Al </w:t>
      </w:r>
      <w:proofErr w:type="spellStart"/>
      <w:r>
        <w:rPr>
          <w:rFonts w:ascii="Arial" w:eastAsia="Arial" w:hAnsi="Arial" w:cs="Arial"/>
          <w:color w:val="000000"/>
          <w:sz w:val="24"/>
          <w:szCs w:val="24"/>
        </w:rPr>
        <w:t>Alawneh</w:t>
      </w:r>
      <w:proofErr w:type="spellEnd"/>
      <w:r>
        <w:rPr>
          <w:rFonts w:ascii="Arial" w:eastAsia="Arial" w:hAnsi="Arial" w:cs="Arial"/>
          <w:color w:val="000000"/>
          <w:sz w:val="24"/>
          <w:szCs w:val="24"/>
        </w:rPr>
        <w:t>, M., 2021. Assessment of groundwater quality for irrigation in the arid regions using irrigation water quality index (IWQI) and GIS-Zon</w:t>
      </w:r>
      <w:r>
        <w:rPr>
          <w:rFonts w:ascii="Arial" w:eastAsia="Arial" w:hAnsi="Arial" w:cs="Arial"/>
          <w:color w:val="000000"/>
          <w:sz w:val="24"/>
          <w:szCs w:val="24"/>
        </w:rPr>
        <w:t>ing maps: Case study from Abu Dhabi Emirate, UAE. Groundwater for Sustainable Development 14, 100611. https://doi.org/10.1016/j.gsd.2021.100611</w:t>
      </w:r>
    </w:p>
    <w:p w14:paraId="448945A3"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BIS (2012). Indian standard drinking water specifications, IS 10500:1991, edition 2.2.</w:t>
      </w:r>
    </w:p>
    <w:p w14:paraId="614160AB"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Bouteraa</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Mebarki</w:t>
      </w:r>
      <w:proofErr w:type="spellEnd"/>
      <w:r>
        <w:rPr>
          <w:rFonts w:ascii="Arial" w:eastAsia="Arial" w:hAnsi="Arial" w:cs="Arial"/>
          <w:color w:val="000000"/>
          <w:sz w:val="24"/>
          <w:szCs w:val="24"/>
        </w:rPr>
        <w:t>, A.</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Bouaicha</w:t>
      </w:r>
      <w:proofErr w:type="spellEnd"/>
      <w:r>
        <w:rPr>
          <w:rFonts w:ascii="Arial" w:eastAsia="Arial" w:hAnsi="Arial" w:cs="Arial"/>
          <w:color w:val="000000"/>
          <w:sz w:val="24"/>
          <w:szCs w:val="24"/>
        </w:rPr>
        <w:t xml:space="preserve">, F., </w:t>
      </w:r>
      <w:proofErr w:type="spellStart"/>
      <w:r>
        <w:rPr>
          <w:rFonts w:ascii="Arial" w:eastAsia="Arial" w:hAnsi="Arial" w:cs="Arial"/>
          <w:color w:val="000000"/>
          <w:sz w:val="24"/>
          <w:szCs w:val="24"/>
        </w:rPr>
        <w:t>Nouaceur</w:t>
      </w:r>
      <w:proofErr w:type="spellEnd"/>
      <w:r>
        <w:rPr>
          <w:rFonts w:ascii="Arial" w:eastAsia="Arial" w:hAnsi="Arial" w:cs="Arial"/>
          <w:color w:val="000000"/>
          <w:sz w:val="24"/>
          <w:szCs w:val="24"/>
        </w:rPr>
        <w:t xml:space="preserve">, Z., </w:t>
      </w:r>
      <w:proofErr w:type="spellStart"/>
      <w:r>
        <w:rPr>
          <w:rFonts w:ascii="Arial" w:eastAsia="Arial" w:hAnsi="Arial" w:cs="Arial"/>
          <w:color w:val="000000"/>
          <w:sz w:val="24"/>
          <w:szCs w:val="24"/>
        </w:rPr>
        <w:t>Laignel</w:t>
      </w:r>
      <w:proofErr w:type="spellEnd"/>
      <w:r>
        <w:rPr>
          <w:rFonts w:ascii="Arial" w:eastAsia="Arial" w:hAnsi="Arial" w:cs="Arial"/>
          <w:color w:val="000000"/>
          <w:sz w:val="24"/>
          <w:szCs w:val="24"/>
        </w:rPr>
        <w:t xml:space="preserve">, B., 2019. Groundwater quality assessment using multivariate analysis, geostatistical </w:t>
      </w:r>
      <w:proofErr w:type="spellStart"/>
      <w:r>
        <w:rPr>
          <w:rFonts w:ascii="Arial" w:eastAsia="Arial" w:hAnsi="Arial" w:cs="Arial"/>
          <w:color w:val="000000"/>
          <w:sz w:val="24"/>
          <w:szCs w:val="24"/>
        </w:rPr>
        <w:t>modeling</w:t>
      </w:r>
      <w:proofErr w:type="spellEnd"/>
      <w:r>
        <w:rPr>
          <w:rFonts w:ascii="Arial" w:eastAsia="Arial" w:hAnsi="Arial" w:cs="Arial"/>
          <w:color w:val="000000"/>
          <w:sz w:val="24"/>
          <w:szCs w:val="24"/>
        </w:rPr>
        <w:t xml:space="preserve">, and water quality index (WQI): a case of study in the </w:t>
      </w:r>
      <w:proofErr w:type="spellStart"/>
      <w:r>
        <w:rPr>
          <w:rFonts w:ascii="Arial" w:eastAsia="Arial" w:hAnsi="Arial" w:cs="Arial"/>
          <w:color w:val="000000"/>
          <w:sz w:val="24"/>
          <w:szCs w:val="24"/>
        </w:rPr>
        <w:t>Boumerzoug</w:t>
      </w:r>
      <w:proofErr w:type="spellEnd"/>
      <w:r>
        <w:rPr>
          <w:rFonts w:ascii="Arial" w:eastAsia="Arial" w:hAnsi="Arial" w:cs="Arial"/>
          <w:color w:val="000000"/>
          <w:sz w:val="24"/>
          <w:szCs w:val="24"/>
        </w:rPr>
        <w:t xml:space="preserve">-El </w:t>
      </w:r>
      <w:proofErr w:type="spellStart"/>
      <w:r>
        <w:rPr>
          <w:rFonts w:ascii="Arial" w:eastAsia="Arial" w:hAnsi="Arial" w:cs="Arial"/>
          <w:color w:val="000000"/>
          <w:sz w:val="24"/>
          <w:szCs w:val="24"/>
        </w:rPr>
        <w:t>Khroub</w:t>
      </w:r>
      <w:proofErr w:type="spellEnd"/>
      <w:r>
        <w:rPr>
          <w:rFonts w:ascii="Arial" w:eastAsia="Arial" w:hAnsi="Arial" w:cs="Arial"/>
          <w:color w:val="000000"/>
          <w:sz w:val="24"/>
          <w:szCs w:val="24"/>
        </w:rPr>
        <w:t xml:space="preserve"> valley </w:t>
      </w:r>
      <w:r>
        <w:rPr>
          <w:rFonts w:ascii="Arial" w:eastAsia="Arial" w:hAnsi="Arial" w:cs="Arial"/>
          <w:color w:val="000000"/>
          <w:sz w:val="24"/>
          <w:szCs w:val="24"/>
        </w:rPr>
        <w:lastRenderedPageBreak/>
        <w:t xml:space="preserve">of Northeast Algeria. Acta </w:t>
      </w:r>
      <w:proofErr w:type="spellStart"/>
      <w:r>
        <w:rPr>
          <w:rFonts w:ascii="Arial" w:eastAsia="Arial" w:hAnsi="Arial" w:cs="Arial"/>
          <w:color w:val="000000"/>
          <w:sz w:val="24"/>
          <w:szCs w:val="24"/>
        </w:rPr>
        <w:t>Geochim</w:t>
      </w:r>
      <w:proofErr w:type="spellEnd"/>
      <w:r>
        <w:rPr>
          <w:rFonts w:ascii="Arial" w:eastAsia="Arial" w:hAnsi="Arial" w:cs="Arial"/>
          <w:color w:val="000000"/>
          <w:sz w:val="24"/>
          <w:szCs w:val="24"/>
        </w:rPr>
        <w:t xml:space="preserve"> 38, 7</w:t>
      </w:r>
      <w:r>
        <w:rPr>
          <w:rFonts w:ascii="Arial" w:eastAsia="Arial" w:hAnsi="Arial" w:cs="Arial"/>
          <w:color w:val="000000"/>
          <w:sz w:val="24"/>
          <w:szCs w:val="24"/>
        </w:rPr>
        <w:t>96–814. https://doi.org/10.1007/s11631-019-00329-x</w:t>
      </w:r>
    </w:p>
    <w:p w14:paraId="242673E3"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Chaudhari, M.P., George, A., </w:t>
      </w:r>
      <w:proofErr w:type="spellStart"/>
      <w:r>
        <w:rPr>
          <w:rFonts w:ascii="Arial" w:eastAsia="Arial" w:hAnsi="Arial" w:cs="Arial"/>
          <w:color w:val="000000"/>
          <w:sz w:val="24"/>
          <w:szCs w:val="24"/>
        </w:rPr>
        <w:t>Sanyal</w:t>
      </w:r>
      <w:proofErr w:type="spellEnd"/>
      <w:r>
        <w:rPr>
          <w:rFonts w:ascii="Arial" w:eastAsia="Arial" w:hAnsi="Arial" w:cs="Arial"/>
          <w:color w:val="000000"/>
          <w:sz w:val="24"/>
          <w:szCs w:val="24"/>
        </w:rPr>
        <w:t xml:space="preserve">, M., </w:t>
      </w:r>
      <w:proofErr w:type="spellStart"/>
      <w:r>
        <w:rPr>
          <w:rFonts w:ascii="Arial" w:eastAsia="Arial" w:hAnsi="Arial" w:cs="Arial"/>
          <w:color w:val="000000"/>
          <w:sz w:val="24"/>
          <w:szCs w:val="24"/>
        </w:rPr>
        <w:t>Shrivastav</w:t>
      </w:r>
      <w:proofErr w:type="spellEnd"/>
      <w:r>
        <w:rPr>
          <w:rFonts w:ascii="Arial" w:eastAsia="Arial" w:hAnsi="Arial" w:cs="Arial"/>
          <w:color w:val="000000"/>
          <w:sz w:val="24"/>
          <w:szCs w:val="24"/>
        </w:rPr>
        <w:t>, P.S., 2024. Hydrochemistry and groundwater quality assessment of Gujarat, India: A compendious review. Physics and Chemistry of the Earth, Parts A/B/C 1</w:t>
      </w:r>
      <w:r>
        <w:rPr>
          <w:rFonts w:ascii="Arial" w:eastAsia="Arial" w:hAnsi="Arial" w:cs="Arial"/>
          <w:color w:val="000000"/>
          <w:sz w:val="24"/>
          <w:szCs w:val="24"/>
        </w:rPr>
        <w:t xml:space="preserve">35, 103635. </w:t>
      </w:r>
      <w:hyperlink r:id="rId13">
        <w:r>
          <w:rPr>
            <w:rFonts w:ascii="Arial" w:eastAsia="Arial" w:hAnsi="Arial" w:cs="Arial"/>
            <w:color w:val="1155CC"/>
            <w:sz w:val="24"/>
            <w:szCs w:val="24"/>
            <w:u w:val="single"/>
          </w:rPr>
          <w:t>https://doi.org/10.1016/j.pce.2024.103635</w:t>
        </w:r>
      </w:hyperlink>
    </w:p>
    <w:p w14:paraId="7238974A"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sz w:val="24"/>
          <w:szCs w:val="24"/>
        </w:rPr>
      </w:pPr>
      <w:proofErr w:type="spellStart"/>
      <w:r>
        <w:rPr>
          <w:rFonts w:ascii="Arial" w:eastAsia="Arial" w:hAnsi="Arial" w:cs="Arial"/>
          <w:sz w:val="24"/>
          <w:szCs w:val="24"/>
          <w:highlight w:val="yellow"/>
        </w:rPr>
        <w:t>Dahanayake</w:t>
      </w:r>
      <w:proofErr w:type="spellEnd"/>
      <w:r>
        <w:rPr>
          <w:rFonts w:ascii="Arial" w:eastAsia="Arial" w:hAnsi="Arial" w:cs="Arial"/>
          <w:sz w:val="24"/>
          <w:szCs w:val="24"/>
          <w:highlight w:val="yellow"/>
        </w:rPr>
        <w:t xml:space="preserve">, A. C., Webb, J. A., Greet, J., &amp; Brookes, J. D. (2024). How do plants reduce erosion? An Eco Evidence assessment. Plant Ecology, </w:t>
      </w:r>
      <w:r>
        <w:rPr>
          <w:rFonts w:ascii="Arial" w:eastAsia="Arial" w:hAnsi="Arial" w:cs="Arial"/>
          <w:sz w:val="24"/>
          <w:szCs w:val="24"/>
          <w:highlight w:val="yellow"/>
        </w:rPr>
        <w:t>225(6), 593-604</w:t>
      </w:r>
      <w:r>
        <w:rPr>
          <w:rFonts w:ascii="Arial" w:eastAsia="Arial" w:hAnsi="Arial" w:cs="Arial"/>
          <w:sz w:val="24"/>
          <w:szCs w:val="24"/>
        </w:rPr>
        <w:t>.</w:t>
      </w:r>
    </w:p>
    <w:p w14:paraId="0010EB32"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Etteieb</w:t>
      </w:r>
      <w:proofErr w:type="spellEnd"/>
      <w:r>
        <w:rPr>
          <w:rFonts w:ascii="Arial" w:eastAsia="Arial" w:hAnsi="Arial" w:cs="Arial"/>
          <w:color w:val="000000"/>
          <w:sz w:val="24"/>
          <w:szCs w:val="24"/>
        </w:rPr>
        <w:t xml:space="preserve">, S., </w:t>
      </w:r>
      <w:proofErr w:type="spellStart"/>
      <w:r>
        <w:rPr>
          <w:rFonts w:ascii="Arial" w:eastAsia="Arial" w:hAnsi="Arial" w:cs="Arial"/>
          <w:color w:val="000000"/>
          <w:sz w:val="24"/>
          <w:szCs w:val="24"/>
        </w:rPr>
        <w:t>Cherif</w:t>
      </w:r>
      <w:proofErr w:type="spellEnd"/>
      <w:r>
        <w:rPr>
          <w:rFonts w:ascii="Arial" w:eastAsia="Arial" w:hAnsi="Arial" w:cs="Arial"/>
          <w:color w:val="000000"/>
          <w:sz w:val="24"/>
          <w:szCs w:val="24"/>
        </w:rPr>
        <w:t xml:space="preserve">, S., </w:t>
      </w:r>
      <w:proofErr w:type="spellStart"/>
      <w:r>
        <w:rPr>
          <w:rFonts w:ascii="Arial" w:eastAsia="Arial" w:hAnsi="Arial" w:cs="Arial"/>
          <w:color w:val="000000"/>
          <w:sz w:val="24"/>
          <w:szCs w:val="24"/>
        </w:rPr>
        <w:t>Tarhouni</w:t>
      </w:r>
      <w:proofErr w:type="spellEnd"/>
      <w:r>
        <w:rPr>
          <w:rFonts w:ascii="Arial" w:eastAsia="Arial" w:hAnsi="Arial" w:cs="Arial"/>
          <w:color w:val="000000"/>
          <w:sz w:val="24"/>
          <w:szCs w:val="24"/>
        </w:rPr>
        <w:t xml:space="preserve">, J., 2017. </w:t>
      </w:r>
      <w:proofErr w:type="spellStart"/>
      <w:r>
        <w:rPr>
          <w:rFonts w:ascii="Arial" w:eastAsia="Arial" w:hAnsi="Arial" w:cs="Arial"/>
          <w:color w:val="000000"/>
          <w:sz w:val="24"/>
          <w:szCs w:val="24"/>
        </w:rPr>
        <w:t>Hydrochemical</w:t>
      </w:r>
      <w:proofErr w:type="spellEnd"/>
      <w:r>
        <w:rPr>
          <w:rFonts w:ascii="Arial" w:eastAsia="Arial" w:hAnsi="Arial" w:cs="Arial"/>
          <w:color w:val="000000"/>
          <w:sz w:val="24"/>
          <w:szCs w:val="24"/>
        </w:rPr>
        <w:t xml:space="preserve"> assessment of water quality for irrigation: a case study of the </w:t>
      </w:r>
      <w:proofErr w:type="spellStart"/>
      <w:r>
        <w:rPr>
          <w:rFonts w:ascii="Arial" w:eastAsia="Arial" w:hAnsi="Arial" w:cs="Arial"/>
          <w:color w:val="000000"/>
          <w:sz w:val="24"/>
          <w:szCs w:val="24"/>
        </w:rPr>
        <w:t>Medjerda</w:t>
      </w:r>
      <w:proofErr w:type="spellEnd"/>
      <w:r>
        <w:rPr>
          <w:rFonts w:ascii="Arial" w:eastAsia="Arial" w:hAnsi="Arial" w:cs="Arial"/>
          <w:color w:val="000000"/>
          <w:sz w:val="24"/>
          <w:szCs w:val="24"/>
        </w:rPr>
        <w:t xml:space="preserve"> River in Tunisia. </w:t>
      </w:r>
      <w:proofErr w:type="spellStart"/>
      <w:r>
        <w:rPr>
          <w:rFonts w:ascii="Arial" w:eastAsia="Arial" w:hAnsi="Arial" w:cs="Arial"/>
          <w:color w:val="000000"/>
          <w:sz w:val="24"/>
          <w:szCs w:val="24"/>
        </w:rPr>
        <w:t>Appl</w:t>
      </w:r>
      <w:proofErr w:type="spellEnd"/>
      <w:r>
        <w:rPr>
          <w:rFonts w:ascii="Arial" w:eastAsia="Arial" w:hAnsi="Arial" w:cs="Arial"/>
          <w:color w:val="000000"/>
          <w:sz w:val="24"/>
          <w:szCs w:val="24"/>
        </w:rPr>
        <w:t xml:space="preserve"> Water Sci 7, 469–480. https://doi.org/10.1007/s13201-015-0265-3</w:t>
      </w:r>
    </w:p>
    <w:p w14:paraId="241B93A4"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Gao, Y., Qian, H., R</w:t>
      </w:r>
      <w:r>
        <w:rPr>
          <w:rFonts w:ascii="Arial" w:eastAsia="Arial" w:hAnsi="Arial" w:cs="Arial"/>
          <w:color w:val="000000"/>
          <w:sz w:val="24"/>
          <w:szCs w:val="24"/>
        </w:rPr>
        <w:t>en, W., Wang, H., Liu, F., Yang, F., 2020a. Hydrogeochemical characterization and quality assessment of groundwater based on integrated-weight water quality index in a concentrated urban area. Journal of Cleaner Production 260, 121006. https://doi.org/10.1</w:t>
      </w:r>
      <w:r>
        <w:rPr>
          <w:rFonts w:ascii="Arial" w:eastAsia="Arial" w:hAnsi="Arial" w:cs="Arial"/>
          <w:color w:val="000000"/>
          <w:sz w:val="24"/>
          <w:szCs w:val="24"/>
        </w:rPr>
        <w:t>016/j.jclepro.2020.121006</w:t>
      </w:r>
    </w:p>
    <w:p w14:paraId="50FBB014"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Gao, Y., Qian, H., Ren, W., Wang, H., Liu, F., Yang, F., 2020b. Hydrogeochemical characterization and quality assessment of groundwater based on integrated-weight water quality index in a concentrated urban area. Journal of </w:t>
      </w:r>
      <w:r>
        <w:rPr>
          <w:rFonts w:ascii="Arial" w:eastAsia="Arial" w:hAnsi="Arial" w:cs="Arial"/>
          <w:color w:val="000000"/>
          <w:sz w:val="24"/>
          <w:szCs w:val="24"/>
        </w:rPr>
        <w:t>Cleaner Production 260, 121006. https://doi.org/10.1016/j.jclepro.2020.121006</w:t>
      </w:r>
    </w:p>
    <w:p w14:paraId="629ECAE7"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Ghazaryan, K., Movsesyan, H., </w:t>
      </w:r>
      <w:proofErr w:type="spellStart"/>
      <w:r>
        <w:rPr>
          <w:rFonts w:ascii="Arial" w:eastAsia="Arial" w:hAnsi="Arial" w:cs="Arial"/>
          <w:color w:val="000000"/>
          <w:sz w:val="24"/>
          <w:szCs w:val="24"/>
        </w:rPr>
        <w:t>Gevorgyan</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Minkina</w:t>
      </w:r>
      <w:proofErr w:type="spellEnd"/>
      <w:r>
        <w:rPr>
          <w:rFonts w:ascii="Arial" w:eastAsia="Arial" w:hAnsi="Arial" w:cs="Arial"/>
          <w:color w:val="000000"/>
          <w:sz w:val="24"/>
          <w:szCs w:val="24"/>
        </w:rPr>
        <w:t xml:space="preserve">, T., </w:t>
      </w:r>
      <w:proofErr w:type="spellStart"/>
      <w:r>
        <w:rPr>
          <w:rFonts w:ascii="Arial" w:eastAsia="Arial" w:hAnsi="Arial" w:cs="Arial"/>
          <w:color w:val="000000"/>
          <w:sz w:val="24"/>
          <w:szCs w:val="24"/>
        </w:rPr>
        <w:t>Sushkova</w:t>
      </w:r>
      <w:proofErr w:type="spellEnd"/>
      <w:r>
        <w:rPr>
          <w:rFonts w:ascii="Arial" w:eastAsia="Arial" w:hAnsi="Arial" w:cs="Arial"/>
          <w:color w:val="000000"/>
          <w:sz w:val="24"/>
          <w:szCs w:val="24"/>
        </w:rPr>
        <w:t xml:space="preserve">, S., Rajput, V., </w:t>
      </w:r>
      <w:proofErr w:type="spellStart"/>
      <w:r>
        <w:rPr>
          <w:rFonts w:ascii="Arial" w:eastAsia="Arial" w:hAnsi="Arial" w:cs="Arial"/>
          <w:color w:val="000000"/>
          <w:sz w:val="24"/>
          <w:szCs w:val="24"/>
        </w:rPr>
        <w:t>Mandzhieva</w:t>
      </w:r>
      <w:proofErr w:type="spellEnd"/>
      <w:r>
        <w:rPr>
          <w:rFonts w:ascii="Arial" w:eastAsia="Arial" w:hAnsi="Arial" w:cs="Arial"/>
          <w:color w:val="000000"/>
          <w:sz w:val="24"/>
          <w:szCs w:val="24"/>
        </w:rPr>
        <w:t xml:space="preserve">, S., 2020a. Comparative </w:t>
      </w:r>
      <w:proofErr w:type="spellStart"/>
      <w:r>
        <w:rPr>
          <w:rFonts w:ascii="Arial" w:eastAsia="Arial" w:hAnsi="Arial" w:cs="Arial"/>
          <w:color w:val="000000"/>
          <w:sz w:val="24"/>
          <w:szCs w:val="24"/>
        </w:rPr>
        <w:t>hydrochemical</w:t>
      </w:r>
      <w:proofErr w:type="spellEnd"/>
      <w:r>
        <w:rPr>
          <w:rFonts w:ascii="Arial" w:eastAsia="Arial" w:hAnsi="Arial" w:cs="Arial"/>
          <w:color w:val="000000"/>
          <w:sz w:val="24"/>
          <w:szCs w:val="24"/>
        </w:rPr>
        <w:t xml:space="preserve"> assessment of groundwater quality from differ</w:t>
      </w:r>
      <w:r>
        <w:rPr>
          <w:rFonts w:ascii="Arial" w:eastAsia="Arial" w:hAnsi="Arial" w:cs="Arial"/>
          <w:color w:val="000000"/>
          <w:sz w:val="24"/>
          <w:szCs w:val="24"/>
        </w:rPr>
        <w:t xml:space="preserve">ent aquifers for irrigation purposes using IWQI: A case-study from </w:t>
      </w:r>
      <w:proofErr w:type="spellStart"/>
      <w:r>
        <w:rPr>
          <w:rFonts w:ascii="Arial" w:eastAsia="Arial" w:hAnsi="Arial" w:cs="Arial"/>
          <w:color w:val="000000"/>
          <w:sz w:val="24"/>
          <w:szCs w:val="24"/>
        </w:rPr>
        <w:t>Masis</w:t>
      </w:r>
      <w:proofErr w:type="spellEnd"/>
      <w:r>
        <w:rPr>
          <w:rFonts w:ascii="Arial" w:eastAsia="Arial" w:hAnsi="Arial" w:cs="Arial"/>
          <w:color w:val="000000"/>
          <w:sz w:val="24"/>
          <w:szCs w:val="24"/>
        </w:rPr>
        <w:t xml:space="preserve"> province in Armenia. Groundwater for Sustainable Development 11, 100459. https://doi.org/10.1016/j.gsd.2020.100459</w:t>
      </w:r>
    </w:p>
    <w:p w14:paraId="00DADF61"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Ghazaryan, K., Movsesyan, H., </w:t>
      </w:r>
      <w:proofErr w:type="spellStart"/>
      <w:r>
        <w:rPr>
          <w:rFonts w:ascii="Arial" w:eastAsia="Arial" w:hAnsi="Arial" w:cs="Arial"/>
          <w:color w:val="000000"/>
          <w:sz w:val="24"/>
          <w:szCs w:val="24"/>
        </w:rPr>
        <w:t>Gevorgyan</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Minkina</w:t>
      </w:r>
      <w:proofErr w:type="spellEnd"/>
      <w:r>
        <w:rPr>
          <w:rFonts w:ascii="Arial" w:eastAsia="Arial" w:hAnsi="Arial" w:cs="Arial"/>
          <w:color w:val="000000"/>
          <w:sz w:val="24"/>
          <w:szCs w:val="24"/>
        </w:rPr>
        <w:t xml:space="preserve">, T., </w:t>
      </w:r>
      <w:proofErr w:type="spellStart"/>
      <w:r>
        <w:rPr>
          <w:rFonts w:ascii="Arial" w:eastAsia="Arial" w:hAnsi="Arial" w:cs="Arial"/>
          <w:color w:val="000000"/>
          <w:sz w:val="24"/>
          <w:szCs w:val="24"/>
        </w:rPr>
        <w:t>Sushkova</w:t>
      </w:r>
      <w:proofErr w:type="spellEnd"/>
      <w:r>
        <w:rPr>
          <w:rFonts w:ascii="Arial" w:eastAsia="Arial" w:hAnsi="Arial" w:cs="Arial"/>
          <w:color w:val="000000"/>
          <w:sz w:val="24"/>
          <w:szCs w:val="24"/>
        </w:rPr>
        <w:t xml:space="preserve">, </w:t>
      </w:r>
      <w:r>
        <w:rPr>
          <w:rFonts w:ascii="Arial" w:eastAsia="Arial" w:hAnsi="Arial" w:cs="Arial"/>
          <w:color w:val="000000"/>
          <w:sz w:val="24"/>
          <w:szCs w:val="24"/>
        </w:rPr>
        <w:t xml:space="preserve">S., Rajput, V., </w:t>
      </w:r>
      <w:proofErr w:type="spellStart"/>
      <w:r>
        <w:rPr>
          <w:rFonts w:ascii="Arial" w:eastAsia="Arial" w:hAnsi="Arial" w:cs="Arial"/>
          <w:color w:val="000000"/>
          <w:sz w:val="24"/>
          <w:szCs w:val="24"/>
        </w:rPr>
        <w:t>Mandzhieva</w:t>
      </w:r>
      <w:proofErr w:type="spellEnd"/>
      <w:r>
        <w:rPr>
          <w:rFonts w:ascii="Arial" w:eastAsia="Arial" w:hAnsi="Arial" w:cs="Arial"/>
          <w:color w:val="000000"/>
          <w:sz w:val="24"/>
          <w:szCs w:val="24"/>
        </w:rPr>
        <w:t xml:space="preserve">, S., 2020b. Comparative </w:t>
      </w:r>
      <w:proofErr w:type="spellStart"/>
      <w:r>
        <w:rPr>
          <w:rFonts w:ascii="Arial" w:eastAsia="Arial" w:hAnsi="Arial" w:cs="Arial"/>
          <w:color w:val="000000"/>
          <w:sz w:val="24"/>
          <w:szCs w:val="24"/>
        </w:rPr>
        <w:t>hydrochemical</w:t>
      </w:r>
      <w:proofErr w:type="spellEnd"/>
      <w:r>
        <w:rPr>
          <w:rFonts w:ascii="Arial" w:eastAsia="Arial" w:hAnsi="Arial" w:cs="Arial"/>
          <w:color w:val="000000"/>
          <w:sz w:val="24"/>
          <w:szCs w:val="24"/>
        </w:rPr>
        <w:t xml:space="preserve"> assessment of groundwater quality from different aquifers for irrigation purposes using IWQI: A case-study from </w:t>
      </w:r>
      <w:proofErr w:type="spellStart"/>
      <w:r>
        <w:rPr>
          <w:rFonts w:ascii="Arial" w:eastAsia="Arial" w:hAnsi="Arial" w:cs="Arial"/>
          <w:color w:val="000000"/>
          <w:sz w:val="24"/>
          <w:szCs w:val="24"/>
        </w:rPr>
        <w:t>Masis</w:t>
      </w:r>
      <w:proofErr w:type="spellEnd"/>
      <w:r>
        <w:rPr>
          <w:rFonts w:ascii="Arial" w:eastAsia="Arial" w:hAnsi="Arial" w:cs="Arial"/>
          <w:color w:val="000000"/>
          <w:sz w:val="24"/>
          <w:szCs w:val="24"/>
        </w:rPr>
        <w:t xml:space="preserve"> province in Armenia. Groundwater for Sustainable Development 11, 100459. </w:t>
      </w:r>
      <w:r>
        <w:rPr>
          <w:rFonts w:ascii="Arial" w:eastAsia="Arial" w:hAnsi="Arial" w:cs="Arial"/>
          <w:color w:val="000000"/>
          <w:sz w:val="24"/>
          <w:szCs w:val="24"/>
        </w:rPr>
        <w:t>https://doi.org/10.1016/j.gsd.2020.100459</w:t>
      </w:r>
    </w:p>
    <w:p w14:paraId="67B84F72"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Ghosh, A., </w:t>
      </w:r>
      <w:proofErr w:type="spellStart"/>
      <w:r>
        <w:rPr>
          <w:rFonts w:ascii="Arial" w:eastAsia="Arial" w:hAnsi="Arial" w:cs="Arial"/>
          <w:color w:val="000000"/>
          <w:sz w:val="24"/>
          <w:szCs w:val="24"/>
        </w:rPr>
        <w:t>Bera</w:t>
      </w:r>
      <w:proofErr w:type="spellEnd"/>
      <w:r>
        <w:rPr>
          <w:rFonts w:ascii="Arial" w:eastAsia="Arial" w:hAnsi="Arial" w:cs="Arial"/>
          <w:color w:val="000000"/>
          <w:sz w:val="24"/>
          <w:szCs w:val="24"/>
        </w:rPr>
        <w:t>, B., 2023. Hydrogeochemical assessment of groundwater quality for drinking and irrigation applying groundwater quality index (GWQI) and irrigation water quality index (IWQI). Groundwater for Sustain</w:t>
      </w:r>
      <w:r>
        <w:rPr>
          <w:rFonts w:ascii="Arial" w:eastAsia="Arial" w:hAnsi="Arial" w:cs="Arial"/>
          <w:color w:val="000000"/>
          <w:sz w:val="24"/>
          <w:szCs w:val="24"/>
        </w:rPr>
        <w:t>able Development 22, 100958. https://doi.org/10.1016/j.gsd.2023.100958</w:t>
      </w:r>
    </w:p>
    <w:p w14:paraId="24CCC5FF"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Ghoto</w:t>
      </w:r>
      <w:proofErr w:type="spellEnd"/>
      <w:r>
        <w:rPr>
          <w:rFonts w:ascii="Arial" w:eastAsia="Arial" w:hAnsi="Arial" w:cs="Arial"/>
          <w:color w:val="000000"/>
          <w:sz w:val="24"/>
          <w:szCs w:val="24"/>
        </w:rPr>
        <w:t xml:space="preserve">, S.M., Abbasi, </w:t>
      </w:r>
      <w:proofErr w:type="spellStart"/>
      <w:r>
        <w:rPr>
          <w:rFonts w:ascii="Arial" w:eastAsia="Arial" w:hAnsi="Arial" w:cs="Arial"/>
          <w:color w:val="000000"/>
          <w:sz w:val="24"/>
          <w:szCs w:val="24"/>
        </w:rPr>
        <w:t>Dr.H</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Memon</w:t>
      </w:r>
      <w:proofErr w:type="spellEnd"/>
      <w:r>
        <w:rPr>
          <w:rFonts w:ascii="Arial" w:eastAsia="Arial" w:hAnsi="Arial" w:cs="Arial"/>
          <w:color w:val="000000"/>
          <w:sz w:val="24"/>
          <w:szCs w:val="24"/>
        </w:rPr>
        <w:t xml:space="preserve">, S.A., </w:t>
      </w:r>
      <w:proofErr w:type="spellStart"/>
      <w:r>
        <w:rPr>
          <w:rFonts w:ascii="Arial" w:eastAsia="Arial" w:hAnsi="Arial" w:cs="Arial"/>
          <w:color w:val="000000"/>
          <w:sz w:val="24"/>
          <w:szCs w:val="24"/>
        </w:rPr>
        <w:t>Brohi</w:t>
      </w:r>
      <w:proofErr w:type="spellEnd"/>
      <w:r>
        <w:rPr>
          <w:rFonts w:ascii="Arial" w:eastAsia="Arial" w:hAnsi="Arial" w:cs="Arial"/>
          <w:color w:val="000000"/>
          <w:sz w:val="24"/>
          <w:szCs w:val="24"/>
        </w:rPr>
        <w:t xml:space="preserve">, K.M., </w:t>
      </w:r>
      <w:proofErr w:type="spellStart"/>
      <w:r>
        <w:rPr>
          <w:rFonts w:ascii="Arial" w:eastAsia="Arial" w:hAnsi="Arial" w:cs="Arial"/>
          <w:color w:val="000000"/>
          <w:sz w:val="24"/>
          <w:szCs w:val="24"/>
        </w:rPr>
        <w:t>Chhachhar</w:t>
      </w:r>
      <w:proofErr w:type="spellEnd"/>
      <w:r>
        <w:rPr>
          <w:rFonts w:ascii="Arial" w:eastAsia="Arial" w:hAnsi="Arial" w:cs="Arial"/>
          <w:color w:val="000000"/>
          <w:sz w:val="24"/>
          <w:szCs w:val="24"/>
        </w:rPr>
        <w:t xml:space="preserve">, R., </w:t>
      </w:r>
      <w:proofErr w:type="spellStart"/>
      <w:r>
        <w:rPr>
          <w:rFonts w:ascii="Arial" w:eastAsia="Arial" w:hAnsi="Arial" w:cs="Arial"/>
          <w:color w:val="000000"/>
          <w:sz w:val="24"/>
          <w:szCs w:val="24"/>
        </w:rPr>
        <w:t>Ghanghlo</w:t>
      </w:r>
      <w:proofErr w:type="spellEnd"/>
      <w:r>
        <w:rPr>
          <w:rFonts w:ascii="Arial" w:eastAsia="Arial" w:hAnsi="Arial" w:cs="Arial"/>
          <w:color w:val="000000"/>
          <w:sz w:val="24"/>
          <w:szCs w:val="24"/>
        </w:rPr>
        <w:t xml:space="preserve">, A.A., </w:t>
      </w:r>
      <w:proofErr w:type="spellStart"/>
      <w:r>
        <w:rPr>
          <w:rFonts w:ascii="Arial" w:eastAsia="Arial" w:hAnsi="Arial" w:cs="Arial"/>
          <w:color w:val="000000"/>
          <w:sz w:val="24"/>
          <w:szCs w:val="24"/>
        </w:rPr>
        <w:t>Tunio</w:t>
      </w:r>
      <w:proofErr w:type="spellEnd"/>
      <w:r>
        <w:rPr>
          <w:rFonts w:ascii="Arial" w:eastAsia="Arial" w:hAnsi="Arial" w:cs="Arial"/>
          <w:color w:val="000000"/>
          <w:sz w:val="24"/>
          <w:szCs w:val="24"/>
        </w:rPr>
        <w:t xml:space="preserve">, I.A., 2025. Multivariate </w:t>
      </w:r>
      <w:proofErr w:type="spellStart"/>
      <w:r>
        <w:rPr>
          <w:rFonts w:ascii="Arial" w:eastAsia="Arial" w:hAnsi="Arial" w:cs="Arial"/>
          <w:color w:val="000000"/>
          <w:sz w:val="24"/>
          <w:szCs w:val="24"/>
        </w:rPr>
        <w:t>hydrochemical</w:t>
      </w:r>
      <w:proofErr w:type="spellEnd"/>
      <w:r>
        <w:rPr>
          <w:rFonts w:ascii="Arial" w:eastAsia="Arial" w:hAnsi="Arial" w:cs="Arial"/>
          <w:color w:val="000000"/>
          <w:sz w:val="24"/>
          <w:szCs w:val="24"/>
        </w:rPr>
        <w:t xml:space="preserve"> assessment of groundwater quality for irrigation purpo</w:t>
      </w:r>
      <w:r>
        <w:rPr>
          <w:rFonts w:ascii="Arial" w:eastAsia="Arial" w:hAnsi="Arial" w:cs="Arial"/>
          <w:color w:val="000000"/>
          <w:sz w:val="24"/>
          <w:szCs w:val="24"/>
        </w:rPr>
        <w:t>ses and identifying soil interaction effects and dynamics of NDVI and urban development in alluvial region. Environmental Advances 19, 100621. https://doi.org/10.1016/j.envadv.2025.100621</w:t>
      </w:r>
    </w:p>
    <w:p w14:paraId="5ED4970F"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Gowd</w:t>
      </w:r>
      <w:proofErr w:type="spellEnd"/>
      <w:r>
        <w:rPr>
          <w:rFonts w:ascii="Arial" w:eastAsia="Arial" w:hAnsi="Arial" w:cs="Arial"/>
          <w:color w:val="000000"/>
          <w:sz w:val="24"/>
          <w:szCs w:val="24"/>
        </w:rPr>
        <w:t>, S.S., 2005. Assessment of groundwater quality for drinking and</w:t>
      </w:r>
      <w:r>
        <w:rPr>
          <w:rFonts w:ascii="Arial" w:eastAsia="Arial" w:hAnsi="Arial" w:cs="Arial"/>
          <w:color w:val="000000"/>
          <w:sz w:val="24"/>
          <w:szCs w:val="24"/>
        </w:rPr>
        <w:t xml:space="preserve"> irrigation purposes: a case study of </w:t>
      </w:r>
      <w:proofErr w:type="spellStart"/>
      <w:r>
        <w:rPr>
          <w:rFonts w:ascii="Arial" w:eastAsia="Arial" w:hAnsi="Arial" w:cs="Arial"/>
          <w:color w:val="000000"/>
          <w:sz w:val="24"/>
          <w:szCs w:val="24"/>
        </w:rPr>
        <w:t>Peddavanka</w:t>
      </w:r>
      <w:proofErr w:type="spellEnd"/>
      <w:r>
        <w:rPr>
          <w:rFonts w:ascii="Arial" w:eastAsia="Arial" w:hAnsi="Arial" w:cs="Arial"/>
          <w:color w:val="000000"/>
          <w:sz w:val="24"/>
          <w:szCs w:val="24"/>
        </w:rPr>
        <w:t xml:space="preserve"> watershed, Anantapur District, Andhra </w:t>
      </w:r>
      <w:r>
        <w:rPr>
          <w:rFonts w:ascii="Arial" w:eastAsia="Arial" w:hAnsi="Arial" w:cs="Arial"/>
          <w:color w:val="000000"/>
          <w:sz w:val="24"/>
          <w:szCs w:val="24"/>
        </w:rPr>
        <w:lastRenderedPageBreak/>
        <w:t xml:space="preserve">Pradesh, India. Environ </w:t>
      </w:r>
      <w:proofErr w:type="spellStart"/>
      <w:r>
        <w:rPr>
          <w:rFonts w:ascii="Arial" w:eastAsia="Arial" w:hAnsi="Arial" w:cs="Arial"/>
          <w:color w:val="000000"/>
          <w:sz w:val="24"/>
          <w:szCs w:val="24"/>
        </w:rPr>
        <w:t>Geol</w:t>
      </w:r>
      <w:proofErr w:type="spellEnd"/>
      <w:r>
        <w:rPr>
          <w:rFonts w:ascii="Arial" w:eastAsia="Arial" w:hAnsi="Arial" w:cs="Arial"/>
          <w:color w:val="000000"/>
          <w:sz w:val="24"/>
          <w:szCs w:val="24"/>
        </w:rPr>
        <w:t xml:space="preserve"> 48, 702–712. https://doi.org/10.1007/s00254-005-0009-z</w:t>
      </w:r>
    </w:p>
    <w:p w14:paraId="1CB408F9"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Groundwater Brochure </w:t>
      </w:r>
      <w:proofErr w:type="spellStart"/>
      <w:r>
        <w:rPr>
          <w:rFonts w:ascii="Arial" w:eastAsia="Arial" w:hAnsi="Arial" w:cs="Arial"/>
          <w:color w:val="000000"/>
          <w:sz w:val="24"/>
          <w:szCs w:val="24"/>
        </w:rPr>
        <w:t>Banaskantha</w:t>
      </w:r>
      <w:proofErr w:type="spellEnd"/>
      <w:r>
        <w:rPr>
          <w:rFonts w:ascii="Arial" w:eastAsia="Arial" w:hAnsi="Arial" w:cs="Arial"/>
          <w:color w:val="000000"/>
          <w:sz w:val="24"/>
          <w:szCs w:val="24"/>
        </w:rPr>
        <w:t xml:space="preserve"> District, Gujarat. </w:t>
      </w:r>
    </w:p>
    <w:p w14:paraId="41C8E8DC"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Hassen, I., </w:t>
      </w:r>
      <w:proofErr w:type="spellStart"/>
      <w:r>
        <w:rPr>
          <w:rFonts w:ascii="Arial" w:eastAsia="Arial" w:hAnsi="Arial" w:cs="Arial"/>
          <w:color w:val="000000"/>
          <w:sz w:val="24"/>
          <w:szCs w:val="24"/>
        </w:rPr>
        <w:t>Hamzaoui-Azaza</w:t>
      </w:r>
      <w:proofErr w:type="spellEnd"/>
      <w:r>
        <w:rPr>
          <w:rFonts w:ascii="Arial" w:eastAsia="Arial" w:hAnsi="Arial" w:cs="Arial"/>
          <w:color w:val="000000"/>
          <w:sz w:val="24"/>
          <w:szCs w:val="24"/>
        </w:rPr>
        <w:t xml:space="preserve">, F., </w:t>
      </w:r>
      <w:proofErr w:type="spellStart"/>
      <w:r>
        <w:rPr>
          <w:rFonts w:ascii="Arial" w:eastAsia="Arial" w:hAnsi="Arial" w:cs="Arial"/>
          <w:color w:val="000000"/>
          <w:sz w:val="24"/>
          <w:szCs w:val="24"/>
        </w:rPr>
        <w:t>Bouhlila</w:t>
      </w:r>
      <w:proofErr w:type="spellEnd"/>
      <w:r>
        <w:rPr>
          <w:rFonts w:ascii="Arial" w:eastAsia="Arial" w:hAnsi="Arial" w:cs="Arial"/>
          <w:color w:val="000000"/>
          <w:sz w:val="24"/>
          <w:szCs w:val="24"/>
        </w:rPr>
        <w:t xml:space="preserve">, R., 2016. Application of multivariate statistical analysis and </w:t>
      </w:r>
      <w:proofErr w:type="spellStart"/>
      <w:r>
        <w:rPr>
          <w:rFonts w:ascii="Arial" w:eastAsia="Arial" w:hAnsi="Arial" w:cs="Arial"/>
          <w:color w:val="000000"/>
          <w:sz w:val="24"/>
          <w:szCs w:val="24"/>
        </w:rPr>
        <w:t>hydrochemical</w:t>
      </w:r>
      <w:proofErr w:type="spellEnd"/>
      <w:r>
        <w:rPr>
          <w:rFonts w:ascii="Arial" w:eastAsia="Arial" w:hAnsi="Arial" w:cs="Arial"/>
          <w:color w:val="000000"/>
          <w:sz w:val="24"/>
          <w:szCs w:val="24"/>
        </w:rPr>
        <w:t xml:space="preserve"> and isotopic investigations for evaluation of groundwater quality and its suitability for drinking and agriculture purposes: case of </w:t>
      </w:r>
      <w:proofErr w:type="spellStart"/>
      <w:r>
        <w:rPr>
          <w:rFonts w:ascii="Arial" w:eastAsia="Arial" w:hAnsi="Arial" w:cs="Arial"/>
          <w:color w:val="000000"/>
          <w:sz w:val="24"/>
          <w:szCs w:val="24"/>
        </w:rPr>
        <w:t>Oum</w:t>
      </w:r>
      <w:proofErr w:type="spellEnd"/>
      <w:r>
        <w:rPr>
          <w:rFonts w:ascii="Arial" w:eastAsia="Arial" w:hAnsi="Arial" w:cs="Arial"/>
          <w:color w:val="000000"/>
          <w:sz w:val="24"/>
          <w:szCs w:val="24"/>
        </w:rPr>
        <w:t xml:space="preserve"> Ali-</w:t>
      </w:r>
      <w:proofErr w:type="spellStart"/>
      <w:r>
        <w:rPr>
          <w:rFonts w:ascii="Arial" w:eastAsia="Arial" w:hAnsi="Arial" w:cs="Arial"/>
          <w:color w:val="000000"/>
          <w:sz w:val="24"/>
          <w:szCs w:val="24"/>
        </w:rPr>
        <w:t>Thelepte</w:t>
      </w:r>
      <w:proofErr w:type="spellEnd"/>
      <w:r>
        <w:rPr>
          <w:rFonts w:ascii="Arial" w:eastAsia="Arial" w:hAnsi="Arial" w:cs="Arial"/>
          <w:color w:val="000000"/>
          <w:sz w:val="24"/>
          <w:szCs w:val="24"/>
        </w:rPr>
        <w:t xml:space="preserve"> aquifer, central Tu</w:t>
      </w:r>
      <w:r>
        <w:rPr>
          <w:rFonts w:ascii="Arial" w:eastAsia="Arial" w:hAnsi="Arial" w:cs="Arial"/>
          <w:color w:val="000000"/>
          <w:sz w:val="24"/>
          <w:szCs w:val="24"/>
        </w:rPr>
        <w:t xml:space="preserve">nisia. Environ </w:t>
      </w:r>
      <w:proofErr w:type="spellStart"/>
      <w:r>
        <w:rPr>
          <w:rFonts w:ascii="Arial" w:eastAsia="Arial" w:hAnsi="Arial" w:cs="Arial"/>
          <w:color w:val="000000"/>
          <w:sz w:val="24"/>
          <w:szCs w:val="24"/>
        </w:rPr>
        <w:t>Monit</w:t>
      </w:r>
      <w:proofErr w:type="spellEnd"/>
      <w:r>
        <w:rPr>
          <w:rFonts w:ascii="Arial" w:eastAsia="Arial" w:hAnsi="Arial" w:cs="Arial"/>
          <w:color w:val="000000"/>
          <w:sz w:val="24"/>
          <w:szCs w:val="24"/>
        </w:rPr>
        <w:t xml:space="preserve"> Assess 188, 135. https://doi.org/10.1007/s10661-016-5124-7</w:t>
      </w:r>
    </w:p>
    <w:p w14:paraId="539A26CC"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Hosseinifard</w:t>
      </w:r>
      <w:proofErr w:type="spellEnd"/>
      <w:r>
        <w:rPr>
          <w:rFonts w:ascii="Arial" w:eastAsia="Arial" w:hAnsi="Arial" w:cs="Arial"/>
          <w:color w:val="000000"/>
          <w:sz w:val="24"/>
          <w:szCs w:val="24"/>
        </w:rPr>
        <w:t xml:space="preserve">, S.J., Mirzaei </w:t>
      </w:r>
      <w:proofErr w:type="spellStart"/>
      <w:r>
        <w:rPr>
          <w:rFonts w:ascii="Arial" w:eastAsia="Arial" w:hAnsi="Arial" w:cs="Arial"/>
          <w:color w:val="000000"/>
          <w:sz w:val="24"/>
          <w:szCs w:val="24"/>
        </w:rPr>
        <w:t>Aminiyan</w:t>
      </w:r>
      <w:proofErr w:type="spellEnd"/>
      <w:r>
        <w:rPr>
          <w:rFonts w:ascii="Arial" w:eastAsia="Arial" w:hAnsi="Arial" w:cs="Arial"/>
          <w:color w:val="000000"/>
          <w:sz w:val="24"/>
          <w:szCs w:val="24"/>
        </w:rPr>
        <w:t xml:space="preserve">, M., 2015. </w:t>
      </w:r>
      <w:proofErr w:type="spellStart"/>
      <w:r>
        <w:rPr>
          <w:rFonts w:ascii="Arial" w:eastAsia="Arial" w:hAnsi="Arial" w:cs="Arial"/>
          <w:color w:val="000000"/>
          <w:sz w:val="24"/>
          <w:szCs w:val="24"/>
        </w:rPr>
        <w:t>Hydrochemical</w:t>
      </w:r>
      <w:proofErr w:type="spellEnd"/>
      <w:r>
        <w:rPr>
          <w:rFonts w:ascii="Arial" w:eastAsia="Arial" w:hAnsi="Arial" w:cs="Arial"/>
          <w:color w:val="000000"/>
          <w:sz w:val="24"/>
          <w:szCs w:val="24"/>
        </w:rPr>
        <w:t xml:space="preserve"> Characterization of Groundwater Quality for Drinking and Agricultural Purposes: A Case Study in </w:t>
      </w:r>
      <w:proofErr w:type="spellStart"/>
      <w:r>
        <w:rPr>
          <w:rFonts w:ascii="Arial" w:eastAsia="Arial" w:hAnsi="Arial" w:cs="Arial"/>
          <w:color w:val="000000"/>
          <w:sz w:val="24"/>
          <w:szCs w:val="24"/>
        </w:rPr>
        <w:t>Rafsanjan</w:t>
      </w:r>
      <w:proofErr w:type="spellEnd"/>
      <w:r>
        <w:rPr>
          <w:rFonts w:ascii="Arial" w:eastAsia="Arial" w:hAnsi="Arial" w:cs="Arial"/>
          <w:color w:val="000000"/>
          <w:sz w:val="24"/>
          <w:szCs w:val="24"/>
        </w:rPr>
        <w:t xml:space="preserve"> Plain, I</w:t>
      </w:r>
      <w:r>
        <w:rPr>
          <w:rFonts w:ascii="Arial" w:eastAsia="Arial" w:hAnsi="Arial" w:cs="Arial"/>
          <w:color w:val="000000"/>
          <w:sz w:val="24"/>
          <w:szCs w:val="24"/>
        </w:rPr>
        <w:t>ran. Water Qual Expo Health 7, 531–544. https://doi.org/10.1007/s12403-015-0169-3</w:t>
      </w:r>
    </w:p>
    <w:p w14:paraId="5BCF4902"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Jain, C.K., Sharma, S.K., Singh, S., 2018. </w:t>
      </w:r>
      <w:proofErr w:type="spellStart"/>
      <w:r>
        <w:rPr>
          <w:rFonts w:ascii="Arial" w:eastAsia="Arial" w:hAnsi="Arial" w:cs="Arial"/>
          <w:color w:val="000000"/>
          <w:sz w:val="24"/>
          <w:szCs w:val="24"/>
        </w:rPr>
        <w:t>Physico</w:t>
      </w:r>
      <w:proofErr w:type="spellEnd"/>
      <w:r>
        <w:rPr>
          <w:rFonts w:ascii="Arial" w:eastAsia="Arial" w:hAnsi="Arial" w:cs="Arial"/>
          <w:color w:val="000000"/>
          <w:sz w:val="24"/>
          <w:szCs w:val="24"/>
        </w:rPr>
        <w:t xml:space="preserve">-chemical characteristics and hydrogeological mechanisms in groundwater with special reference to arsenic contamination in </w:t>
      </w:r>
      <w:proofErr w:type="spellStart"/>
      <w:r>
        <w:rPr>
          <w:rFonts w:ascii="Arial" w:eastAsia="Arial" w:hAnsi="Arial" w:cs="Arial"/>
          <w:color w:val="000000"/>
          <w:sz w:val="24"/>
          <w:szCs w:val="24"/>
        </w:rPr>
        <w:t>B</w:t>
      </w:r>
      <w:r>
        <w:rPr>
          <w:rFonts w:ascii="Arial" w:eastAsia="Arial" w:hAnsi="Arial" w:cs="Arial"/>
          <w:color w:val="000000"/>
          <w:sz w:val="24"/>
          <w:szCs w:val="24"/>
        </w:rPr>
        <w:t>arpeta</w:t>
      </w:r>
      <w:proofErr w:type="spellEnd"/>
      <w:r>
        <w:rPr>
          <w:rFonts w:ascii="Arial" w:eastAsia="Arial" w:hAnsi="Arial" w:cs="Arial"/>
          <w:color w:val="000000"/>
          <w:sz w:val="24"/>
          <w:szCs w:val="24"/>
        </w:rPr>
        <w:t xml:space="preserve"> District, Assam (India). Environ </w:t>
      </w:r>
      <w:proofErr w:type="spellStart"/>
      <w:r>
        <w:rPr>
          <w:rFonts w:ascii="Arial" w:eastAsia="Arial" w:hAnsi="Arial" w:cs="Arial"/>
          <w:color w:val="000000"/>
          <w:sz w:val="24"/>
          <w:szCs w:val="24"/>
        </w:rPr>
        <w:t>Monit</w:t>
      </w:r>
      <w:proofErr w:type="spellEnd"/>
      <w:r>
        <w:rPr>
          <w:rFonts w:ascii="Arial" w:eastAsia="Arial" w:hAnsi="Arial" w:cs="Arial"/>
          <w:color w:val="000000"/>
          <w:sz w:val="24"/>
          <w:szCs w:val="24"/>
        </w:rPr>
        <w:t xml:space="preserve"> Assess 190, 417. https://doi.org/10.1007/s10661-018-6781-5</w:t>
      </w:r>
    </w:p>
    <w:p w14:paraId="3A30B6F5"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Kanji, S., Das, S., </w:t>
      </w:r>
      <w:proofErr w:type="spellStart"/>
      <w:r>
        <w:rPr>
          <w:rFonts w:ascii="Arial" w:eastAsia="Arial" w:hAnsi="Arial" w:cs="Arial"/>
          <w:color w:val="000000"/>
          <w:sz w:val="24"/>
          <w:szCs w:val="24"/>
        </w:rPr>
        <w:t>Rajak</w:t>
      </w:r>
      <w:proofErr w:type="spellEnd"/>
      <w:r>
        <w:rPr>
          <w:rFonts w:ascii="Arial" w:eastAsia="Arial" w:hAnsi="Arial" w:cs="Arial"/>
          <w:color w:val="000000"/>
          <w:sz w:val="24"/>
          <w:szCs w:val="24"/>
        </w:rPr>
        <w:t xml:space="preserve">, C., 2025. A comparative </w:t>
      </w:r>
      <w:proofErr w:type="spellStart"/>
      <w:r>
        <w:rPr>
          <w:rFonts w:ascii="Arial" w:eastAsia="Arial" w:hAnsi="Arial" w:cs="Arial"/>
          <w:color w:val="000000"/>
          <w:sz w:val="24"/>
          <w:szCs w:val="24"/>
        </w:rPr>
        <w:t>hydrochemical</w:t>
      </w:r>
      <w:proofErr w:type="spellEnd"/>
      <w:r>
        <w:rPr>
          <w:rFonts w:ascii="Arial" w:eastAsia="Arial" w:hAnsi="Arial" w:cs="Arial"/>
          <w:color w:val="000000"/>
          <w:sz w:val="24"/>
          <w:szCs w:val="24"/>
        </w:rPr>
        <w:t xml:space="preserve"> assessment of groundwater quality for drinking and irrigation purposes using different</w:t>
      </w:r>
      <w:r>
        <w:rPr>
          <w:rFonts w:ascii="Arial" w:eastAsia="Arial" w:hAnsi="Arial" w:cs="Arial"/>
          <w:color w:val="000000"/>
          <w:sz w:val="24"/>
          <w:szCs w:val="24"/>
        </w:rPr>
        <w:t xml:space="preserve"> statistical and ML models in lower </w:t>
      </w:r>
      <w:proofErr w:type="spellStart"/>
      <w:r>
        <w:rPr>
          <w:rFonts w:ascii="Arial" w:eastAsia="Arial" w:hAnsi="Arial" w:cs="Arial"/>
          <w:color w:val="000000"/>
          <w:sz w:val="24"/>
          <w:szCs w:val="24"/>
        </w:rPr>
        <w:t>gangetic</w:t>
      </w:r>
      <w:proofErr w:type="spellEnd"/>
      <w:r>
        <w:rPr>
          <w:rFonts w:ascii="Arial" w:eastAsia="Arial" w:hAnsi="Arial" w:cs="Arial"/>
          <w:color w:val="000000"/>
          <w:sz w:val="24"/>
          <w:szCs w:val="24"/>
        </w:rPr>
        <w:t xml:space="preserve"> alluvial plain, eastern India. Chemosphere 372, 144074. https://doi.org/10.1016/j.chemosphere.2025.144074</w:t>
      </w:r>
    </w:p>
    <w:p w14:paraId="79E797B0" w14:textId="77777777" w:rsidR="004609F0" w:rsidRDefault="00BC7B8C">
      <w:pPr>
        <w:spacing w:after="240" w:line="240" w:lineRule="auto"/>
        <w:ind w:left="709" w:hanging="709"/>
        <w:rPr>
          <w:rFonts w:ascii="Arial" w:eastAsia="Arial" w:hAnsi="Arial" w:cs="Arial"/>
          <w:sz w:val="24"/>
          <w:szCs w:val="24"/>
        </w:rPr>
      </w:pPr>
      <w:proofErr w:type="spellStart"/>
      <w:r>
        <w:rPr>
          <w:rFonts w:ascii="Arial" w:eastAsia="Arial" w:hAnsi="Arial" w:cs="Arial"/>
          <w:sz w:val="24"/>
          <w:szCs w:val="24"/>
        </w:rPr>
        <w:t>Lesch</w:t>
      </w:r>
      <w:proofErr w:type="spellEnd"/>
      <w:r>
        <w:rPr>
          <w:rFonts w:ascii="Arial" w:eastAsia="Arial" w:hAnsi="Arial" w:cs="Arial"/>
          <w:sz w:val="24"/>
          <w:szCs w:val="24"/>
        </w:rPr>
        <w:t>, S. M., &amp; Suarez, D. L. (2009). A short note on calculating the adjusted SAR index. Transactions of</w:t>
      </w:r>
      <w:r>
        <w:rPr>
          <w:rFonts w:ascii="Arial" w:eastAsia="Arial" w:hAnsi="Arial" w:cs="Arial"/>
          <w:sz w:val="24"/>
          <w:szCs w:val="24"/>
        </w:rPr>
        <w:t xml:space="preserve"> the ASABE, 52(2), 493-496.</w:t>
      </w:r>
    </w:p>
    <w:p w14:paraId="44B32E1A"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Meireles</w:t>
      </w:r>
      <w:proofErr w:type="spellEnd"/>
      <w:r>
        <w:rPr>
          <w:rFonts w:ascii="Arial" w:eastAsia="Arial" w:hAnsi="Arial" w:cs="Arial"/>
          <w:color w:val="000000"/>
          <w:sz w:val="24"/>
          <w:szCs w:val="24"/>
        </w:rPr>
        <w:t xml:space="preserve">, A.C.M., Andrade, E.M.D., </w:t>
      </w:r>
      <w:proofErr w:type="spellStart"/>
      <w:r>
        <w:rPr>
          <w:rFonts w:ascii="Arial" w:eastAsia="Arial" w:hAnsi="Arial" w:cs="Arial"/>
          <w:color w:val="000000"/>
          <w:sz w:val="24"/>
          <w:szCs w:val="24"/>
        </w:rPr>
        <w:t>Chaves</w:t>
      </w:r>
      <w:proofErr w:type="spellEnd"/>
      <w:r>
        <w:rPr>
          <w:rFonts w:ascii="Arial" w:eastAsia="Arial" w:hAnsi="Arial" w:cs="Arial"/>
          <w:color w:val="000000"/>
          <w:sz w:val="24"/>
          <w:szCs w:val="24"/>
        </w:rPr>
        <w:t xml:space="preserve">, L.C.G., </w:t>
      </w:r>
      <w:proofErr w:type="spellStart"/>
      <w:r>
        <w:rPr>
          <w:rFonts w:ascii="Arial" w:eastAsia="Arial" w:hAnsi="Arial" w:cs="Arial"/>
          <w:color w:val="000000"/>
          <w:sz w:val="24"/>
          <w:szCs w:val="24"/>
        </w:rPr>
        <w:t>Frischkorn</w:t>
      </w:r>
      <w:proofErr w:type="spellEnd"/>
      <w:r>
        <w:rPr>
          <w:rFonts w:ascii="Arial" w:eastAsia="Arial" w:hAnsi="Arial" w:cs="Arial"/>
          <w:color w:val="000000"/>
          <w:sz w:val="24"/>
          <w:szCs w:val="24"/>
        </w:rPr>
        <w:t xml:space="preserve">, H., Crisostomo, L.A., 2010. A new proposal of the classification of irrigation water. Rev. </w:t>
      </w:r>
      <w:proofErr w:type="spellStart"/>
      <w:r>
        <w:rPr>
          <w:rFonts w:ascii="Arial" w:eastAsia="Arial" w:hAnsi="Arial" w:cs="Arial"/>
          <w:color w:val="000000"/>
          <w:sz w:val="24"/>
          <w:szCs w:val="24"/>
        </w:rPr>
        <w:t>Ciênc</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Agron</w:t>
      </w:r>
      <w:proofErr w:type="spellEnd"/>
      <w:r>
        <w:rPr>
          <w:rFonts w:ascii="Arial" w:eastAsia="Arial" w:hAnsi="Arial" w:cs="Arial"/>
          <w:color w:val="000000"/>
          <w:sz w:val="24"/>
          <w:szCs w:val="24"/>
        </w:rPr>
        <w:t>. 41, 349–357. https://doi.org/10.1590/S1806-66902010000300005</w:t>
      </w:r>
    </w:p>
    <w:p w14:paraId="28FC7C54"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Nijesh</w:t>
      </w:r>
      <w:proofErr w:type="spellEnd"/>
      <w:r>
        <w:rPr>
          <w:rFonts w:ascii="Arial" w:eastAsia="Arial" w:hAnsi="Arial" w:cs="Arial"/>
          <w:color w:val="000000"/>
          <w:sz w:val="24"/>
          <w:szCs w:val="24"/>
        </w:rPr>
        <w:t xml:space="preserve">, P., </w:t>
      </w:r>
      <w:proofErr w:type="spellStart"/>
      <w:r>
        <w:rPr>
          <w:rFonts w:ascii="Arial" w:eastAsia="Arial" w:hAnsi="Arial" w:cs="Arial"/>
          <w:color w:val="000000"/>
          <w:sz w:val="24"/>
          <w:szCs w:val="24"/>
        </w:rPr>
        <w:t>Akpataku</w:t>
      </w:r>
      <w:proofErr w:type="spellEnd"/>
      <w:r>
        <w:rPr>
          <w:rFonts w:ascii="Arial" w:eastAsia="Arial" w:hAnsi="Arial" w:cs="Arial"/>
          <w:color w:val="000000"/>
          <w:sz w:val="24"/>
          <w:szCs w:val="24"/>
        </w:rPr>
        <w:t xml:space="preserve">, K.V., Patel, A., Rai, P., Rai, S.P., 2021. Spatial variability of </w:t>
      </w:r>
      <w:proofErr w:type="spellStart"/>
      <w:r>
        <w:rPr>
          <w:rFonts w:ascii="Arial" w:eastAsia="Arial" w:hAnsi="Arial" w:cs="Arial"/>
          <w:color w:val="000000"/>
          <w:sz w:val="24"/>
          <w:szCs w:val="24"/>
        </w:rPr>
        <w:t>hydrochemical</w:t>
      </w:r>
      <w:proofErr w:type="spellEnd"/>
      <w:r>
        <w:rPr>
          <w:rFonts w:ascii="Arial" w:eastAsia="Arial" w:hAnsi="Arial" w:cs="Arial"/>
          <w:color w:val="000000"/>
          <w:sz w:val="24"/>
          <w:szCs w:val="24"/>
        </w:rPr>
        <w:t xml:space="preserve"> characteristics and appraisal of water quality in stressed phreatic aquifer of Upper Ganga Plain, Uttar Pradesh, India. Environ Earth Sci 80, 185. </w:t>
      </w:r>
      <w:hyperlink r:id="rId14">
        <w:r>
          <w:rPr>
            <w:rFonts w:ascii="Arial" w:eastAsia="Arial" w:hAnsi="Arial" w:cs="Arial"/>
            <w:color w:val="1155CC"/>
            <w:sz w:val="24"/>
            <w:szCs w:val="24"/>
            <w:u w:val="single"/>
          </w:rPr>
          <w:t>https://doi.org/10.1007/s12665-021-09410-2</w:t>
        </w:r>
      </w:hyperlink>
    </w:p>
    <w:p w14:paraId="793A7708"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sz w:val="24"/>
          <w:szCs w:val="24"/>
          <w:highlight w:val="yellow"/>
        </w:rPr>
      </w:pPr>
      <w:proofErr w:type="spellStart"/>
      <w:r>
        <w:rPr>
          <w:rFonts w:ascii="Arial" w:eastAsia="Arial" w:hAnsi="Arial" w:cs="Arial"/>
          <w:sz w:val="24"/>
          <w:szCs w:val="24"/>
          <w:highlight w:val="yellow"/>
        </w:rPr>
        <w:t>Omeiza</w:t>
      </w:r>
      <w:proofErr w:type="spellEnd"/>
      <w:r>
        <w:rPr>
          <w:rFonts w:ascii="Arial" w:eastAsia="Arial" w:hAnsi="Arial" w:cs="Arial"/>
          <w:sz w:val="24"/>
          <w:szCs w:val="24"/>
          <w:highlight w:val="yellow"/>
        </w:rPr>
        <w:t xml:space="preserve">, J. A., &amp; </w:t>
      </w:r>
      <w:proofErr w:type="spellStart"/>
      <w:r>
        <w:rPr>
          <w:rFonts w:ascii="Arial" w:eastAsia="Arial" w:hAnsi="Arial" w:cs="Arial"/>
          <w:sz w:val="24"/>
          <w:szCs w:val="24"/>
          <w:highlight w:val="yellow"/>
        </w:rPr>
        <w:t>Dary</w:t>
      </w:r>
      <w:proofErr w:type="spellEnd"/>
      <w:r>
        <w:rPr>
          <w:rFonts w:ascii="Arial" w:eastAsia="Arial" w:hAnsi="Arial" w:cs="Arial"/>
          <w:sz w:val="24"/>
          <w:szCs w:val="24"/>
          <w:highlight w:val="yellow"/>
        </w:rPr>
        <w:t xml:space="preserve">, M. D. (2018). Aquifer vulnerability to surface contamination: a case of the new millennium city, Kaduna, Kaduna State Nigeria. World J </w:t>
      </w:r>
      <w:proofErr w:type="spellStart"/>
      <w:r>
        <w:rPr>
          <w:rFonts w:ascii="Arial" w:eastAsia="Arial" w:hAnsi="Arial" w:cs="Arial"/>
          <w:sz w:val="24"/>
          <w:szCs w:val="24"/>
          <w:highlight w:val="yellow"/>
        </w:rPr>
        <w:t>Appl</w:t>
      </w:r>
      <w:proofErr w:type="spellEnd"/>
      <w:r>
        <w:rPr>
          <w:rFonts w:ascii="Arial" w:eastAsia="Arial" w:hAnsi="Arial" w:cs="Arial"/>
          <w:sz w:val="24"/>
          <w:szCs w:val="24"/>
          <w:highlight w:val="yellow"/>
        </w:rPr>
        <w:t xml:space="preserve"> Phys, 3(1), 1-</w:t>
      </w:r>
      <w:proofErr w:type="gramStart"/>
      <w:r>
        <w:rPr>
          <w:rFonts w:ascii="Arial" w:eastAsia="Arial" w:hAnsi="Arial" w:cs="Arial"/>
          <w:sz w:val="24"/>
          <w:szCs w:val="24"/>
          <w:highlight w:val="yellow"/>
        </w:rPr>
        <w:t>12 .</w:t>
      </w:r>
      <w:proofErr w:type="gramEnd"/>
      <w:r>
        <w:rPr>
          <w:rFonts w:ascii="Arial" w:eastAsia="Arial" w:hAnsi="Arial" w:cs="Arial"/>
          <w:sz w:val="24"/>
          <w:szCs w:val="24"/>
          <w:highlight w:val="yellow"/>
        </w:rPr>
        <w:t xml:space="preserve"> </w:t>
      </w:r>
      <w:hyperlink r:id="rId15">
        <w:r>
          <w:rPr>
            <w:rFonts w:ascii="Arial" w:eastAsia="Arial" w:hAnsi="Arial" w:cs="Arial"/>
            <w:color w:val="1155CC"/>
            <w:sz w:val="24"/>
            <w:szCs w:val="24"/>
            <w:highlight w:val="yellow"/>
            <w:u w:val="single"/>
          </w:rPr>
          <w:t>https://doi.</w:t>
        </w:r>
        <w:r>
          <w:rPr>
            <w:rFonts w:ascii="Arial" w:eastAsia="Arial" w:hAnsi="Arial" w:cs="Arial"/>
            <w:color w:val="1155CC"/>
            <w:sz w:val="24"/>
            <w:szCs w:val="24"/>
            <w:highlight w:val="yellow"/>
            <w:u w:val="single"/>
          </w:rPr>
          <w:t>org/</w:t>
        </w:r>
      </w:hyperlink>
      <w:r>
        <w:rPr>
          <w:rFonts w:ascii="Arial" w:eastAsia="Arial" w:hAnsi="Arial" w:cs="Arial"/>
          <w:sz w:val="24"/>
          <w:szCs w:val="24"/>
          <w:highlight w:val="yellow"/>
        </w:rPr>
        <w:t>10.11648/j.wjap.20180301.11</w:t>
      </w:r>
    </w:p>
    <w:p w14:paraId="52F569E9"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sz w:val="24"/>
          <w:szCs w:val="24"/>
          <w:highlight w:val="yellow"/>
        </w:rPr>
      </w:pPr>
      <w:proofErr w:type="spellStart"/>
      <w:r>
        <w:rPr>
          <w:rFonts w:ascii="Arial" w:eastAsia="Arial" w:hAnsi="Arial" w:cs="Arial"/>
          <w:sz w:val="24"/>
          <w:szCs w:val="24"/>
          <w:highlight w:val="yellow"/>
        </w:rPr>
        <w:t>Omeiza</w:t>
      </w:r>
      <w:proofErr w:type="spellEnd"/>
      <w:r>
        <w:rPr>
          <w:rFonts w:ascii="Arial" w:eastAsia="Arial" w:hAnsi="Arial" w:cs="Arial"/>
          <w:sz w:val="24"/>
          <w:szCs w:val="24"/>
          <w:highlight w:val="yellow"/>
        </w:rPr>
        <w:t xml:space="preserve">, A. J., Adeniyi, L. H., &amp; </w:t>
      </w:r>
      <w:proofErr w:type="spellStart"/>
      <w:r>
        <w:rPr>
          <w:rFonts w:ascii="Arial" w:eastAsia="Arial" w:hAnsi="Arial" w:cs="Arial"/>
          <w:sz w:val="24"/>
          <w:szCs w:val="24"/>
          <w:highlight w:val="yellow"/>
        </w:rPr>
        <w:t>Shettima</w:t>
      </w:r>
      <w:proofErr w:type="spellEnd"/>
      <w:r>
        <w:rPr>
          <w:rFonts w:ascii="Arial" w:eastAsia="Arial" w:hAnsi="Arial" w:cs="Arial"/>
          <w:sz w:val="24"/>
          <w:szCs w:val="24"/>
          <w:highlight w:val="yellow"/>
        </w:rPr>
        <w:t xml:space="preserve">, N. M. (2023). Investigation of groundwater vulnerability to open dumpsites and its potential risk using electrical resistivity and water analysis. </w:t>
      </w:r>
      <w:proofErr w:type="spellStart"/>
      <w:r>
        <w:rPr>
          <w:rFonts w:ascii="Arial" w:eastAsia="Arial" w:hAnsi="Arial" w:cs="Arial"/>
          <w:sz w:val="24"/>
          <w:szCs w:val="24"/>
          <w:highlight w:val="yellow"/>
        </w:rPr>
        <w:t>Heliyon</w:t>
      </w:r>
      <w:proofErr w:type="spellEnd"/>
      <w:r>
        <w:rPr>
          <w:rFonts w:ascii="Arial" w:eastAsia="Arial" w:hAnsi="Arial" w:cs="Arial"/>
          <w:sz w:val="24"/>
          <w:szCs w:val="24"/>
          <w:highlight w:val="yellow"/>
        </w:rPr>
        <w:t>, 9(2). https://doi.org/10.</w:t>
      </w:r>
      <w:r>
        <w:rPr>
          <w:rFonts w:ascii="Arial" w:eastAsia="Arial" w:hAnsi="Arial" w:cs="Arial"/>
          <w:sz w:val="24"/>
          <w:szCs w:val="24"/>
          <w:highlight w:val="yellow"/>
        </w:rPr>
        <w:t>1016/j.heliyon.2023.e13265</w:t>
      </w:r>
    </w:p>
    <w:p w14:paraId="2BED012A"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Paternoster, M., </w:t>
      </w:r>
      <w:proofErr w:type="spellStart"/>
      <w:r>
        <w:rPr>
          <w:rFonts w:ascii="Arial" w:eastAsia="Arial" w:hAnsi="Arial" w:cs="Arial"/>
          <w:color w:val="000000"/>
          <w:sz w:val="24"/>
          <w:szCs w:val="24"/>
        </w:rPr>
        <w:t>Buccione</w:t>
      </w:r>
      <w:proofErr w:type="spellEnd"/>
      <w:r>
        <w:rPr>
          <w:rFonts w:ascii="Arial" w:eastAsia="Arial" w:hAnsi="Arial" w:cs="Arial"/>
          <w:color w:val="000000"/>
          <w:sz w:val="24"/>
          <w:szCs w:val="24"/>
        </w:rPr>
        <w:t xml:space="preserve">, R., </w:t>
      </w:r>
      <w:proofErr w:type="spellStart"/>
      <w:r>
        <w:rPr>
          <w:rFonts w:ascii="Arial" w:eastAsia="Arial" w:hAnsi="Arial" w:cs="Arial"/>
          <w:color w:val="000000"/>
          <w:sz w:val="24"/>
          <w:szCs w:val="24"/>
        </w:rPr>
        <w:t>Canora</w:t>
      </w:r>
      <w:proofErr w:type="spellEnd"/>
      <w:r>
        <w:rPr>
          <w:rFonts w:ascii="Arial" w:eastAsia="Arial" w:hAnsi="Arial" w:cs="Arial"/>
          <w:color w:val="000000"/>
          <w:sz w:val="24"/>
          <w:szCs w:val="24"/>
        </w:rPr>
        <w:t xml:space="preserve">, F., </w:t>
      </w:r>
      <w:proofErr w:type="spellStart"/>
      <w:r>
        <w:rPr>
          <w:rFonts w:ascii="Arial" w:eastAsia="Arial" w:hAnsi="Arial" w:cs="Arial"/>
          <w:color w:val="000000"/>
          <w:sz w:val="24"/>
          <w:szCs w:val="24"/>
        </w:rPr>
        <w:t>Buttitta</w:t>
      </w:r>
      <w:proofErr w:type="spellEnd"/>
      <w:r>
        <w:rPr>
          <w:rFonts w:ascii="Arial" w:eastAsia="Arial" w:hAnsi="Arial" w:cs="Arial"/>
          <w:color w:val="000000"/>
          <w:sz w:val="24"/>
          <w:szCs w:val="24"/>
        </w:rPr>
        <w:t xml:space="preserve">, D., </w:t>
      </w:r>
      <w:proofErr w:type="spellStart"/>
      <w:r>
        <w:rPr>
          <w:rFonts w:ascii="Arial" w:eastAsia="Arial" w:hAnsi="Arial" w:cs="Arial"/>
          <w:color w:val="000000"/>
          <w:sz w:val="24"/>
          <w:szCs w:val="24"/>
        </w:rPr>
        <w:t>Panebianco</w:t>
      </w:r>
      <w:proofErr w:type="spellEnd"/>
      <w:r>
        <w:rPr>
          <w:rFonts w:ascii="Arial" w:eastAsia="Arial" w:hAnsi="Arial" w:cs="Arial"/>
          <w:color w:val="000000"/>
          <w:sz w:val="24"/>
          <w:szCs w:val="24"/>
        </w:rPr>
        <w:t xml:space="preserve">, S., Rizzo, G., </w:t>
      </w:r>
      <w:proofErr w:type="spellStart"/>
      <w:r>
        <w:rPr>
          <w:rFonts w:ascii="Arial" w:eastAsia="Arial" w:hAnsi="Arial" w:cs="Arial"/>
          <w:color w:val="000000"/>
          <w:sz w:val="24"/>
          <w:szCs w:val="24"/>
        </w:rPr>
        <w:t>Sinisi</w:t>
      </w:r>
      <w:proofErr w:type="spellEnd"/>
      <w:r>
        <w:rPr>
          <w:rFonts w:ascii="Arial" w:eastAsia="Arial" w:hAnsi="Arial" w:cs="Arial"/>
          <w:color w:val="000000"/>
          <w:sz w:val="24"/>
          <w:szCs w:val="24"/>
        </w:rPr>
        <w:t xml:space="preserve">, R., Summa, V., </w:t>
      </w:r>
      <w:proofErr w:type="spellStart"/>
      <w:r>
        <w:rPr>
          <w:rFonts w:ascii="Arial" w:eastAsia="Arial" w:hAnsi="Arial" w:cs="Arial"/>
          <w:color w:val="000000"/>
          <w:sz w:val="24"/>
          <w:szCs w:val="24"/>
        </w:rPr>
        <w:t>Mongelli</w:t>
      </w:r>
      <w:proofErr w:type="spellEnd"/>
      <w:r>
        <w:rPr>
          <w:rFonts w:ascii="Arial" w:eastAsia="Arial" w:hAnsi="Arial" w:cs="Arial"/>
          <w:color w:val="000000"/>
          <w:sz w:val="24"/>
          <w:szCs w:val="24"/>
        </w:rPr>
        <w:t xml:space="preserve">, G., 2021. </w:t>
      </w:r>
      <w:proofErr w:type="spellStart"/>
      <w:r>
        <w:rPr>
          <w:rFonts w:ascii="Arial" w:eastAsia="Arial" w:hAnsi="Arial" w:cs="Arial"/>
          <w:color w:val="000000"/>
          <w:sz w:val="24"/>
          <w:szCs w:val="24"/>
        </w:rPr>
        <w:t>Hydrogeochemistry</w:t>
      </w:r>
      <w:proofErr w:type="spellEnd"/>
      <w:r>
        <w:rPr>
          <w:rFonts w:ascii="Arial" w:eastAsia="Arial" w:hAnsi="Arial" w:cs="Arial"/>
          <w:color w:val="000000"/>
          <w:sz w:val="24"/>
          <w:szCs w:val="24"/>
        </w:rPr>
        <w:t xml:space="preserve"> and Groundwater Quality Assessment in the High Agri Valley (Southern Italy). Geoflui</w:t>
      </w:r>
      <w:r>
        <w:rPr>
          <w:rFonts w:ascii="Arial" w:eastAsia="Arial" w:hAnsi="Arial" w:cs="Arial"/>
          <w:color w:val="000000"/>
          <w:sz w:val="24"/>
          <w:szCs w:val="24"/>
        </w:rPr>
        <w:t>ds 2021, 1–15. https://doi.org/10.1155/2021/6664164</w:t>
      </w:r>
    </w:p>
    <w:p w14:paraId="3E5262DA"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Prakash, I., Gupta, K.S., Dey, A., Singh, P.K., </w:t>
      </w:r>
      <w:proofErr w:type="spellStart"/>
      <w:r>
        <w:rPr>
          <w:rFonts w:ascii="Arial" w:eastAsia="Arial" w:hAnsi="Arial" w:cs="Arial"/>
          <w:color w:val="000000"/>
          <w:sz w:val="24"/>
          <w:szCs w:val="24"/>
        </w:rPr>
        <w:t>Dhote</w:t>
      </w:r>
      <w:proofErr w:type="spellEnd"/>
      <w:r>
        <w:rPr>
          <w:rFonts w:ascii="Arial" w:eastAsia="Arial" w:hAnsi="Arial" w:cs="Arial"/>
          <w:color w:val="000000"/>
          <w:sz w:val="24"/>
          <w:szCs w:val="24"/>
        </w:rPr>
        <w:t xml:space="preserve">, P., Basheer, H.S., </w:t>
      </w:r>
      <w:proofErr w:type="spellStart"/>
      <w:r>
        <w:rPr>
          <w:rFonts w:ascii="Arial" w:eastAsia="Arial" w:hAnsi="Arial" w:cs="Arial"/>
          <w:color w:val="000000"/>
          <w:sz w:val="24"/>
          <w:szCs w:val="24"/>
        </w:rPr>
        <w:t>Daliya</w:t>
      </w:r>
      <w:proofErr w:type="spellEnd"/>
      <w:r>
        <w:rPr>
          <w:rFonts w:ascii="Arial" w:eastAsia="Arial" w:hAnsi="Arial" w:cs="Arial"/>
          <w:color w:val="000000"/>
          <w:sz w:val="24"/>
          <w:szCs w:val="24"/>
        </w:rPr>
        <w:t xml:space="preserve">, A., Modi, V.S., 2012. Geology and Mineral Resources of Gujarat, Daman and Diu. Geological Society of India, Miscellaneous </w:t>
      </w:r>
      <w:r>
        <w:rPr>
          <w:rFonts w:ascii="Arial" w:eastAsia="Arial" w:hAnsi="Arial" w:cs="Arial"/>
          <w:color w:val="000000"/>
          <w:sz w:val="24"/>
          <w:szCs w:val="24"/>
        </w:rPr>
        <w:t>Publication (30 Part 14)</w:t>
      </w:r>
    </w:p>
    <w:p w14:paraId="79A720AE"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Ramesh, K., </w:t>
      </w:r>
      <w:proofErr w:type="spellStart"/>
      <w:r>
        <w:rPr>
          <w:rFonts w:ascii="Arial" w:eastAsia="Arial" w:hAnsi="Arial" w:cs="Arial"/>
          <w:color w:val="000000"/>
          <w:sz w:val="24"/>
          <w:szCs w:val="24"/>
        </w:rPr>
        <w:t>Elango</w:t>
      </w:r>
      <w:proofErr w:type="spellEnd"/>
      <w:r>
        <w:rPr>
          <w:rFonts w:ascii="Arial" w:eastAsia="Arial" w:hAnsi="Arial" w:cs="Arial"/>
          <w:color w:val="000000"/>
          <w:sz w:val="24"/>
          <w:szCs w:val="24"/>
        </w:rPr>
        <w:t xml:space="preserve">, L., 2012. Groundwater quality and its suitability for domestic and agricultural use in </w:t>
      </w:r>
      <w:proofErr w:type="spellStart"/>
      <w:r>
        <w:rPr>
          <w:rFonts w:ascii="Arial" w:eastAsia="Arial" w:hAnsi="Arial" w:cs="Arial"/>
          <w:color w:val="000000"/>
          <w:sz w:val="24"/>
          <w:szCs w:val="24"/>
        </w:rPr>
        <w:t>Tondiar</w:t>
      </w:r>
      <w:proofErr w:type="spellEnd"/>
      <w:r>
        <w:rPr>
          <w:rFonts w:ascii="Arial" w:eastAsia="Arial" w:hAnsi="Arial" w:cs="Arial"/>
          <w:color w:val="000000"/>
          <w:sz w:val="24"/>
          <w:szCs w:val="24"/>
        </w:rPr>
        <w:t xml:space="preserve"> river basin, Tamil Nadu, India. Environ </w:t>
      </w:r>
      <w:proofErr w:type="spellStart"/>
      <w:r>
        <w:rPr>
          <w:rFonts w:ascii="Arial" w:eastAsia="Arial" w:hAnsi="Arial" w:cs="Arial"/>
          <w:color w:val="000000"/>
          <w:sz w:val="24"/>
          <w:szCs w:val="24"/>
        </w:rPr>
        <w:t>Monit</w:t>
      </w:r>
      <w:proofErr w:type="spellEnd"/>
      <w:r>
        <w:rPr>
          <w:rFonts w:ascii="Arial" w:eastAsia="Arial" w:hAnsi="Arial" w:cs="Arial"/>
          <w:color w:val="000000"/>
          <w:sz w:val="24"/>
          <w:szCs w:val="24"/>
        </w:rPr>
        <w:t xml:space="preserve"> Assess 184, 3887–3899. https://doi.org/10.1007/s10661-011-2231-3</w:t>
      </w:r>
    </w:p>
    <w:p w14:paraId="1B9DAB19"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Rao, </w:t>
      </w:r>
      <w:r>
        <w:rPr>
          <w:rFonts w:ascii="Arial" w:eastAsia="Arial" w:hAnsi="Arial" w:cs="Arial"/>
          <w:color w:val="000000"/>
          <w:sz w:val="24"/>
          <w:szCs w:val="24"/>
        </w:rPr>
        <w:t xml:space="preserve">G., Lu, C., </w:t>
      </w:r>
      <w:proofErr w:type="spellStart"/>
      <w:r>
        <w:rPr>
          <w:rFonts w:ascii="Arial" w:eastAsia="Arial" w:hAnsi="Arial" w:cs="Arial"/>
          <w:color w:val="000000"/>
          <w:sz w:val="24"/>
          <w:szCs w:val="24"/>
        </w:rPr>
        <w:t>Su</w:t>
      </w:r>
      <w:proofErr w:type="spellEnd"/>
      <w:r>
        <w:rPr>
          <w:rFonts w:ascii="Arial" w:eastAsia="Arial" w:hAnsi="Arial" w:cs="Arial"/>
          <w:color w:val="000000"/>
          <w:sz w:val="24"/>
          <w:szCs w:val="24"/>
        </w:rPr>
        <w:t>, F., 2007. Sorption of divalent metal ions from aqueous solution by carbon nanotubes: A review. Separation and Purification Technology 58, 224–231. https://doi.org/10.1016/j.seppur.2006.12.006</w:t>
      </w:r>
    </w:p>
    <w:p w14:paraId="0AB9A98A"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Rawat, K.S., Singh, S.K., Gautam, S.K., 2018. </w:t>
      </w:r>
      <w:r>
        <w:rPr>
          <w:rFonts w:ascii="Arial" w:eastAsia="Arial" w:hAnsi="Arial" w:cs="Arial"/>
          <w:color w:val="000000"/>
          <w:sz w:val="24"/>
          <w:szCs w:val="24"/>
        </w:rPr>
        <w:t xml:space="preserve">Assessment of groundwater quality for irrigation use: a peninsular case study. </w:t>
      </w:r>
      <w:proofErr w:type="spellStart"/>
      <w:r>
        <w:rPr>
          <w:rFonts w:ascii="Arial" w:eastAsia="Arial" w:hAnsi="Arial" w:cs="Arial"/>
          <w:color w:val="000000"/>
          <w:sz w:val="24"/>
          <w:szCs w:val="24"/>
        </w:rPr>
        <w:t>Appl</w:t>
      </w:r>
      <w:proofErr w:type="spellEnd"/>
      <w:r>
        <w:rPr>
          <w:rFonts w:ascii="Arial" w:eastAsia="Arial" w:hAnsi="Arial" w:cs="Arial"/>
          <w:color w:val="000000"/>
          <w:sz w:val="24"/>
          <w:szCs w:val="24"/>
        </w:rPr>
        <w:t xml:space="preserve"> Water Sci 8, 233. https://doi.org/10.1007/s13201-018-0866-8</w:t>
      </w:r>
    </w:p>
    <w:p w14:paraId="0FA9C33D"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Şener</w:t>
      </w:r>
      <w:proofErr w:type="spellEnd"/>
      <w:r>
        <w:rPr>
          <w:rFonts w:ascii="Arial" w:eastAsia="Arial" w:hAnsi="Arial" w:cs="Arial"/>
          <w:color w:val="000000"/>
          <w:sz w:val="24"/>
          <w:szCs w:val="24"/>
        </w:rPr>
        <w:t xml:space="preserve">, Ş., </w:t>
      </w:r>
      <w:proofErr w:type="spellStart"/>
      <w:r>
        <w:rPr>
          <w:rFonts w:ascii="Arial" w:eastAsia="Arial" w:hAnsi="Arial" w:cs="Arial"/>
          <w:color w:val="000000"/>
          <w:sz w:val="24"/>
          <w:szCs w:val="24"/>
        </w:rPr>
        <w:t>Varol</w:t>
      </w:r>
      <w:proofErr w:type="spellEnd"/>
      <w:r>
        <w:rPr>
          <w:rFonts w:ascii="Arial" w:eastAsia="Arial" w:hAnsi="Arial" w:cs="Arial"/>
          <w:color w:val="000000"/>
          <w:sz w:val="24"/>
          <w:szCs w:val="24"/>
        </w:rPr>
        <w:t xml:space="preserve">, S., </w:t>
      </w:r>
      <w:proofErr w:type="spellStart"/>
      <w:r>
        <w:rPr>
          <w:rFonts w:ascii="Arial" w:eastAsia="Arial" w:hAnsi="Arial" w:cs="Arial"/>
          <w:color w:val="000000"/>
          <w:sz w:val="24"/>
          <w:szCs w:val="24"/>
        </w:rPr>
        <w:t>Şener</w:t>
      </w:r>
      <w:proofErr w:type="spellEnd"/>
      <w:r>
        <w:rPr>
          <w:rFonts w:ascii="Arial" w:eastAsia="Arial" w:hAnsi="Arial" w:cs="Arial"/>
          <w:color w:val="000000"/>
          <w:sz w:val="24"/>
          <w:szCs w:val="24"/>
        </w:rPr>
        <w:t>, E., 2021. Evaluation of sustainable groundwater utilization using index methods (WQ</w:t>
      </w:r>
      <w:r>
        <w:rPr>
          <w:rFonts w:ascii="Arial" w:eastAsia="Arial" w:hAnsi="Arial" w:cs="Arial"/>
          <w:color w:val="000000"/>
          <w:sz w:val="24"/>
          <w:szCs w:val="24"/>
        </w:rPr>
        <w:t xml:space="preserve">I and IWQI), multivariate analysis, and GIS: the case of </w:t>
      </w:r>
      <w:proofErr w:type="spellStart"/>
      <w:r>
        <w:rPr>
          <w:rFonts w:ascii="Arial" w:eastAsia="Arial" w:hAnsi="Arial" w:cs="Arial"/>
          <w:color w:val="000000"/>
          <w:sz w:val="24"/>
          <w:szCs w:val="24"/>
        </w:rPr>
        <w:t>Akşehir</w:t>
      </w:r>
      <w:proofErr w:type="spellEnd"/>
      <w:r>
        <w:rPr>
          <w:rFonts w:ascii="Arial" w:eastAsia="Arial" w:hAnsi="Arial" w:cs="Arial"/>
          <w:color w:val="000000"/>
          <w:sz w:val="24"/>
          <w:szCs w:val="24"/>
        </w:rPr>
        <w:t xml:space="preserve"> District (Konya/Turkey). Environ Sci </w:t>
      </w:r>
      <w:proofErr w:type="spellStart"/>
      <w:r>
        <w:rPr>
          <w:rFonts w:ascii="Arial" w:eastAsia="Arial" w:hAnsi="Arial" w:cs="Arial"/>
          <w:color w:val="000000"/>
          <w:sz w:val="24"/>
          <w:szCs w:val="24"/>
        </w:rPr>
        <w:t>Pollut</w:t>
      </w:r>
      <w:proofErr w:type="spellEnd"/>
      <w:r>
        <w:rPr>
          <w:rFonts w:ascii="Arial" w:eastAsia="Arial" w:hAnsi="Arial" w:cs="Arial"/>
          <w:color w:val="000000"/>
          <w:sz w:val="24"/>
          <w:szCs w:val="24"/>
        </w:rPr>
        <w:t xml:space="preserve"> Res 28, 47991–48010. https://doi.org/10.1007/s11356-021-14106-y</w:t>
      </w:r>
    </w:p>
    <w:p w14:paraId="7EB3C629"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Srinivasamoorthy</w:t>
      </w:r>
      <w:proofErr w:type="spellEnd"/>
      <w:r>
        <w:rPr>
          <w:rFonts w:ascii="Arial" w:eastAsia="Arial" w:hAnsi="Arial" w:cs="Arial"/>
          <w:color w:val="000000"/>
          <w:sz w:val="24"/>
          <w:szCs w:val="24"/>
        </w:rPr>
        <w:t xml:space="preserve">, K., Gopinath, M., Chidambaram, S., </w:t>
      </w:r>
      <w:proofErr w:type="spellStart"/>
      <w:r>
        <w:rPr>
          <w:rFonts w:ascii="Arial" w:eastAsia="Arial" w:hAnsi="Arial" w:cs="Arial"/>
          <w:color w:val="000000"/>
          <w:sz w:val="24"/>
          <w:szCs w:val="24"/>
        </w:rPr>
        <w:t>Vasanthavigar</w:t>
      </w:r>
      <w:proofErr w:type="spellEnd"/>
      <w:r>
        <w:rPr>
          <w:rFonts w:ascii="Arial" w:eastAsia="Arial" w:hAnsi="Arial" w:cs="Arial"/>
          <w:color w:val="000000"/>
          <w:sz w:val="24"/>
          <w:szCs w:val="24"/>
        </w:rPr>
        <w:t xml:space="preserve">, M., </w:t>
      </w:r>
      <w:proofErr w:type="spellStart"/>
      <w:r>
        <w:rPr>
          <w:rFonts w:ascii="Arial" w:eastAsia="Arial" w:hAnsi="Arial" w:cs="Arial"/>
          <w:color w:val="000000"/>
          <w:sz w:val="24"/>
          <w:szCs w:val="24"/>
        </w:rPr>
        <w:t>Sarma</w:t>
      </w:r>
      <w:proofErr w:type="spellEnd"/>
      <w:r>
        <w:rPr>
          <w:rFonts w:ascii="Arial" w:eastAsia="Arial" w:hAnsi="Arial" w:cs="Arial"/>
          <w:color w:val="000000"/>
          <w:sz w:val="24"/>
          <w:szCs w:val="24"/>
        </w:rPr>
        <w:t>, V.S.</w:t>
      </w:r>
      <w:r>
        <w:rPr>
          <w:rFonts w:ascii="Arial" w:eastAsia="Arial" w:hAnsi="Arial" w:cs="Arial"/>
          <w:color w:val="000000"/>
          <w:sz w:val="24"/>
          <w:szCs w:val="24"/>
        </w:rPr>
        <w:t xml:space="preserve">, 2014. </w:t>
      </w:r>
      <w:proofErr w:type="spellStart"/>
      <w:r>
        <w:rPr>
          <w:rFonts w:ascii="Arial" w:eastAsia="Arial" w:hAnsi="Arial" w:cs="Arial"/>
          <w:color w:val="000000"/>
          <w:sz w:val="24"/>
          <w:szCs w:val="24"/>
        </w:rPr>
        <w:t>Hydrochemical</w:t>
      </w:r>
      <w:proofErr w:type="spellEnd"/>
      <w:r>
        <w:rPr>
          <w:rFonts w:ascii="Arial" w:eastAsia="Arial" w:hAnsi="Arial" w:cs="Arial"/>
          <w:color w:val="000000"/>
          <w:sz w:val="24"/>
          <w:szCs w:val="24"/>
        </w:rPr>
        <w:t xml:space="preserve"> characterization and quality appraisal of groundwater from </w:t>
      </w:r>
      <w:proofErr w:type="spellStart"/>
      <w:r>
        <w:rPr>
          <w:rFonts w:ascii="Arial" w:eastAsia="Arial" w:hAnsi="Arial" w:cs="Arial"/>
          <w:color w:val="000000"/>
          <w:sz w:val="24"/>
          <w:szCs w:val="24"/>
        </w:rPr>
        <w:t>Pungar</w:t>
      </w:r>
      <w:proofErr w:type="spellEnd"/>
      <w:r>
        <w:rPr>
          <w:rFonts w:ascii="Arial" w:eastAsia="Arial" w:hAnsi="Arial" w:cs="Arial"/>
          <w:color w:val="000000"/>
          <w:sz w:val="24"/>
          <w:szCs w:val="24"/>
        </w:rPr>
        <w:t xml:space="preserve"> sub basin, </w:t>
      </w:r>
      <w:proofErr w:type="spellStart"/>
      <w:r>
        <w:rPr>
          <w:rFonts w:ascii="Arial" w:eastAsia="Arial" w:hAnsi="Arial" w:cs="Arial"/>
          <w:color w:val="000000"/>
          <w:sz w:val="24"/>
          <w:szCs w:val="24"/>
        </w:rPr>
        <w:t>Tamilnadu</w:t>
      </w:r>
      <w:proofErr w:type="spellEnd"/>
      <w:r>
        <w:rPr>
          <w:rFonts w:ascii="Arial" w:eastAsia="Arial" w:hAnsi="Arial" w:cs="Arial"/>
          <w:color w:val="000000"/>
          <w:sz w:val="24"/>
          <w:szCs w:val="24"/>
        </w:rPr>
        <w:t>, India. Journal of King Saud University - Science 26, 37–52. https://doi.org/10.1016/j.jksus.2013.08.001</w:t>
      </w:r>
    </w:p>
    <w:p w14:paraId="51C60C47"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Tiwari, A.K., Singh, P.K., Singh, A.K., De</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Maio</w:t>
      </w:r>
      <w:proofErr w:type="spellEnd"/>
      <w:r>
        <w:rPr>
          <w:rFonts w:ascii="Arial" w:eastAsia="Arial" w:hAnsi="Arial" w:cs="Arial"/>
          <w:color w:val="000000"/>
          <w:sz w:val="24"/>
          <w:szCs w:val="24"/>
        </w:rPr>
        <w:t xml:space="preserve">, M., 2016. Estimation of Heavy Metal Contamination in Groundwater and Development of a Heavy Metal Pollution Index by Using GIS Technique. Bull Environ </w:t>
      </w:r>
      <w:proofErr w:type="spellStart"/>
      <w:r>
        <w:rPr>
          <w:rFonts w:ascii="Arial" w:eastAsia="Arial" w:hAnsi="Arial" w:cs="Arial"/>
          <w:color w:val="000000"/>
          <w:sz w:val="24"/>
          <w:szCs w:val="24"/>
        </w:rPr>
        <w:t>Contam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Toxicol</w:t>
      </w:r>
      <w:proofErr w:type="spellEnd"/>
      <w:r>
        <w:rPr>
          <w:rFonts w:ascii="Arial" w:eastAsia="Arial" w:hAnsi="Arial" w:cs="Arial"/>
          <w:color w:val="000000"/>
          <w:sz w:val="24"/>
          <w:szCs w:val="24"/>
        </w:rPr>
        <w:t xml:space="preserve"> 96, 508–515. https://doi.org/10.1007/s00128-016-1750-6</w:t>
      </w:r>
    </w:p>
    <w:p w14:paraId="35D1E386"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Vaiphei</w:t>
      </w:r>
      <w:proofErr w:type="spellEnd"/>
      <w:r>
        <w:rPr>
          <w:rFonts w:ascii="Arial" w:eastAsia="Arial" w:hAnsi="Arial" w:cs="Arial"/>
          <w:color w:val="000000"/>
          <w:sz w:val="24"/>
          <w:szCs w:val="24"/>
        </w:rPr>
        <w:t xml:space="preserve">, S.P., </w:t>
      </w:r>
      <w:proofErr w:type="spellStart"/>
      <w:r>
        <w:rPr>
          <w:rFonts w:ascii="Arial" w:eastAsia="Arial" w:hAnsi="Arial" w:cs="Arial"/>
          <w:color w:val="000000"/>
          <w:sz w:val="24"/>
          <w:szCs w:val="24"/>
        </w:rPr>
        <w:t>Kurakalva</w:t>
      </w:r>
      <w:proofErr w:type="spellEnd"/>
      <w:r>
        <w:rPr>
          <w:rFonts w:ascii="Arial" w:eastAsia="Arial" w:hAnsi="Arial" w:cs="Arial"/>
          <w:color w:val="000000"/>
          <w:sz w:val="24"/>
          <w:szCs w:val="24"/>
        </w:rPr>
        <w:t>, R.</w:t>
      </w:r>
      <w:r>
        <w:rPr>
          <w:rFonts w:ascii="Arial" w:eastAsia="Arial" w:hAnsi="Arial" w:cs="Arial"/>
          <w:color w:val="000000"/>
          <w:sz w:val="24"/>
          <w:szCs w:val="24"/>
        </w:rPr>
        <w:t xml:space="preserve">M., </w:t>
      </w:r>
      <w:proofErr w:type="spellStart"/>
      <w:r>
        <w:rPr>
          <w:rFonts w:ascii="Arial" w:eastAsia="Arial" w:hAnsi="Arial" w:cs="Arial"/>
          <w:color w:val="000000"/>
          <w:sz w:val="24"/>
          <w:szCs w:val="24"/>
        </w:rPr>
        <w:t>Sahadevan</w:t>
      </w:r>
      <w:proofErr w:type="spellEnd"/>
      <w:r>
        <w:rPr>
          <w:rFonts w:ascii="Arial" w:eastAsia="Arial" w:hAnsi="Arial" w:cs="Arial"/>
          <w:color w:val="000000"/>
          <w:sz w:val="24"/>
          <w:szCs w:val="24"/>
        </w:rPr>
        <w:t xml:space="preserve">, D.K., 2020. Water quality index and GIS-based technique for assessment of groundwater quality in </w:t>
      </w:r>
      <w:proofErr w:type="spellStart"/>
      <w:r>
        <w:rPr>
          <w:rFonts w:ascii="Arial" w:eastAsia="Arial" w:hAnsi="Arial" w:cs="Arial"/>
          <w:color w:val="000000"/>
          <w:sz w:val="24"/>
          <w:szCs w:val="24"/>
        </w:rPr>
        <w:t>Wanaparthy</w:t>
      </w:r>
      <w:proofErr w:type="spellEnd"/>
      <w:r>
        <w:rPr>
          <w:rFonts w:ascii="Arial" w:eastAsia="Arial" w:hAnsi="Arial" w:cs="Arial"/>
          <w:color w:val="000000"/>
          <w:sz w:val="24"/>
          <w:szCs w:val="24"/>
        </w:rPr>
        <w:t xml:space="preserve"> watershed, Telangana, India. Environ Sci </w:t>
      </w:r>
      <w:proofErr w:type="spellStart"/>
      <w:r>
        <w:rPr>
          <w:rFonts w:ascii="Arial" w:eastAsia="Arial" w:hAnsi="Arial" w:cs="Arial"/>
          <w:color w:val="000000"/>
          <w:sz w:val="24"/>
          <w:szCs w:val="24"/>
        </w:rPr>
        <w:t>Pollut</w:t>
      </w:r>
      <w:proofErr w:type="spellEnd"/>
      <w:r>
        <w:rPr>
          <w:rFonts w:ascii="Arial" w:eastAsia="Arial" w:hAnsi="Arial" w:cs="Arial"/>
          <w:color w:val="000000"/>
          <w:sz w:val="24"/>
          <w:szCs w:val="24"/>
        </w:rPr>
        <w:t xml:space="preserve"> Res 27, 45041–45062. https://doi.org/10.1007/s11356-020-10345-7</w:t>
      </w:r>
    </w:p>
    <w:p w14:paraId="50125C74"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Wang, Y., Li, R., Wu,</w:t>
      </w:r>
      <w:r>
        <w:rPr>
          <w:rFonts w:ascii="Arial" w:eastAsia="Arial" w:hAnsi="Arial" w:cs="Arial"/>
          <w:color w:val="000000"/>
          <w:sz w:val="24"/>
          <w:szCs w:val="24"/>
        </w:rPr>
        <w:t xml:space="preserve"> X., Yan, Y., Wei, C., Luo, M., Xiao, Y., Zhang, Y., 2023. Evaluation of Groundwater Quality for Drinking and Irrigation Purposes Using GIS-Based IWQI, EWQI and HHR Model. Water 15, 2233. https://doi.org/10.3390/w15122233</w:t>
      </w:r>
    </w:p>
    <w:p w14:paraId="6B71A0A2"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WHO (2017). Guidelines for drinkin</w:t>
      </w:r>
      <w:r>
        <w:rPr>
          <w:rFonts w:ascii="Arial" w:eastAsia="Arial" w:hAnsi="Arial" w:cs="Arial"/>
          <w:color w:val="000000"/>
          <w:sz w:val="24"/>
          <w:szCs w:val="24"/>
        </w:rPr>
        <w:t>g water quality. World Health Organization, Geneva, 1, 53–73.</w:t>
      </w:r>
    </w:p>
    <w:p w14:paraId="012C6689"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Wu, D., Li, B., Li, Y., Li, Q., Sheng, C., Liu, J., Wang, M., Min, Y., Feng, J., Zhang, Y., Yu, J., 2024. Characterization of Groundwater Hydrochemistry and Temporal Dynamics of Water Quality in</w:t>
      </w:r>
      <w:r>
        <w:rPr>
          <w:rFonts w:ascii="Arial" w:eastAsia="Arial" w:hAnsi="Arial" w:cs="Arial"/>
          <w:color w:val="000000"/>
          <w:sz w:val="24"/>
          <w:szCs w:val="24"/>
        </w:rPr>
        <w:t xml:space="preserve"> the Northern </w:t>
      </w:r>
      <w:proofErr w:type="spellStart"/>
      <w:r>
        <w:rPr>
          <w:rFonts w:ascii="Arial" w:eastAsia="Arial" w:hAnsi="Arial" w:cs="Arial"/>
          <w:color w:val="000000"/>
          <w:sz w:val="24"/>
          <w:szCs w:val="24"/>
        </w:rPr>
        <w:t>Baiquan</w:t>
      </w:r>
      <w:proofErr w:type="spellEnd"/>
      <w:r>
        <w:rPr>
          <w:rFonts w:ascii="Arial" w:eastAsia="Arial" w:hAnsi="Arial" w:cs="Arial"/>
          <w:color w:val="000000"/>
          <w:sz w:val="24"/>
          <w:szCs w:val="24"/>
        </w:rPr>
        <w:t xml:space="preserve"> Spring Basin. Water 16, 2519. https://doi.org/10.3390/w16172519</w:t>
      </w:r>
    </w:p>
    <w:p w14:paraId="1F6636AA"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Xu, P., Feng, W., Qian, H., Zhang, Q., 2019. Hydrogeochemical Characterization and Irrigation Quality Assessment of Shallow Groundwater in the Central-Western </w:t>
      </w:r>
      <w:proofErr w:type="spellStart"/>
      <w:r>
        <w:rPr>
          <w:rFonts w:ascii="Arial" w:eastAsia="Arial" w:hAnsi="Arial" w:cs="Arial"/>
          <w:color w:val="000000"/>
          <w:sz w:val="24"/>
          <w:szCs w:val="24"/>
        </w:rPr>
        <w:lastRenderedPageBreak/>
        <w:t>Guanzhong</w:t>
      </w:r>
      <w:proofErr w:type="spellEnd"/>
      <w:r>
        <w:rPr>
          <w:rFonts w:ascii="Arial" w:eastAsia="Arial" w:hAnsi="Arial" w:cs="Arial"/>
          <w:color w:val="000000"/>
          <w:sz w:val="24"/>
          <w:szCs w:val="24"/>
        </w:rPr>
        <w:t xml:space="preserve"> B</w:t>
      </w:r>
      <w:r>
        <w:rPr>
          <w:rFonts w:ascii="Arial" w:eastAsia="Arial" w:hAnsi="Arial" w:cs="Arial"/>
          <w:color w:val="000000"/>
          <w:sz w:val="24"/>
          <w:szCs w:val="24"/>
        </w:rPr>
        <w:t>asin, China. IJERPH 16, 1492. https://doi.org/10.3390/ijerph16091492</w:t>
      </w:r>
    </w:p>
    <w:p w14:paraId="2F4BE7A2"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Yifru</w:t>
      </w:r>
      <w:proofErr w:type="spellEnd"/>
      <w:r>
        <w:rPr>
          <w:rFonts w:ascii="Arial" w:eastAsia="Arial" w:hAnsi="Arial" w:cs="Arial"/>
          <w:color w:val="000000"/>
          <w:sz w:val="24"/>
          <w:szCs w:val="24"/>
        </w:rPr>
        <w:t xml:space="preserve">, B.A., Lee, S., </w:t>
      </w:r>
      <w:proofErr w:type="spellStart"/>
      <w:r>
        <w:rPr>
          <w:rFonts w:ascii="Arial" w:eastAsia="Arial" w:hAnsi="Arial" w:cs="Arial"/>
          <w:color w:val="000000"/>
          <w:sz w:val="24"/>
          <w:szCs w:val="24"/>
        </w:rPr>
        <w:t>Bak</w:t>
      </w:r>
      <w:proofErr w:type="spellEnd"/>
      <w:r>
        <w:rPr>
          <w:rFonts w:ascii="Arial" w:eastAsia="Arial" w:hAnsi="Arial" w:cs="Arial"/>
          <w:color w:val="000000"/>
          <w:sz w:val="24"/>
          <w:szCs w:val="24"/>
        </w:rPr>
        <w:t>, S., Bae, J.H., Shin, H., Lim, K.J., 2024. Estimating exploitable groundwater for agricultural use under environmental flow constraints using an integrated SWAT-</w:t>
      </w:r>
      <w:r>
        <w:rPr>
          <w:rFonts w:ascii="Arial" w:eastAsia="Arial" w:hAnsi="Arial" w:cs="Arial"/>
          <w:color w:val="000000"/>
          <w:sz w:val="24"/>
          <w:szCs w:val="24"/>
        </w:rPr>
        <w:t>MODFLOW model. Agricultural Water Management 303, 109024. https://doi.org/10.1016/j.agwat.2024.109024</w:t>
      </w:r>
    </w:p>
    <w:p w14:paraId="0E0208F6"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r>
        <w:rPr>
          <w:rFonts w:ascii="Arial" w:eastAsia="Arial" w:hAnsi="Arial" w:cs="Arial"/>
          <w:color w:val="000000"/>
          <w:sz w:val="24"/>
          <w:szCs w:val="24"/>
        </w:rPr>
        <w:t>Zhang, Q., Qian, H., Xu, P., Hou, K., Yang, F., 2021. Groundwater quality assessment using a new integrated-weight water quality index (IWQI) and driver a</w:t>
      </w:r>
      <w:r>
        <w:rPr>
          <w:rFonts w:ascii="Arial" w:eastAsia="Arial" w:hAnsi="Arial" w:cs="Arial"/>
          <w:color w:val="000000"/>
          <w:sz w:val="24"/>
          <w:szCs w:val="24"/>
        </w:rPr>
        <w:t xml:space="preserve">nalysis in the </w:t>
      </w:r>
      <w:proofErr w:type="spellStart"/>
      <w:r>
        <w:rPr>
          <w:rFonts w:ascii="Arial" w:eastAsia="Arial" w:hAnsi="Arial" w:cs="Arial"/>
          <w:color w:val="000000"/>
          <w:sz w:val="24"/>
          <w:szCs w:val="24"/>
        </w:rPr>
        <w:t>Jiaokou</w:t>
      </w:r>
      <w:proofErr w:type="spellEnd"/>
      <w:r>
        <w:rPr>
          <w:rFonts w:ascii="Arial" w:eastAsia="Arial" w:hAnsi="Arial" w:cs="Arial"/>
          <w:color w:val="000000"/>
          <w:sz w:val="24"/>
          <w:szCs w:val="24"/>
        </w:rPr>
        <w:t xml:space="preserve"> Irrigation District, China. Ecotoxicology and Environmental Safety 212, 111992. https://doi.org/10.1016/j.ecoenv.2021.111992</w:t>
      </w:r>
    </w:p>
    <w:p w14:paraId="7F1E6BB1" w14:textId="77777777" w:rsidR="004609F0" w:rsidRDefault="00BC7B8C">
      <w:pPr>
        <w:pBdr>
          <w:top w:val="nil"/>
          <w:left w:val="nil"/>
          <w:bottom w:val="nil"/>
          <w:right w:val="nil"/>
          <w:between w:val="nil"/>
        </w:pBdr>
        <w:spacing w:after="240" w:line="240" w:lineRule="auto"/>
        <w:ind w:left="720" w:hanging="720"/>
        <w:jc w:val="both"/>
        <w:rPr>
          <w:rFonts w:ascii="Arial" w:eastAsia="Arial" w:hAnsi="Arial" w:cs="Arial"/>
          <w:color w:val="000000"/>
          <w:sz w:val="24"/>
          <w:szCs w:val="24"/>
        </w:rPr>
      </w:pPr>
      <w:proofErr w:type="spellStart"/>
      <w:r>
        <w:rPr>
          <w:rFonts w:ascii="Arial" w:eastAsia="Arial" w:hAnsi="Arial" w:cs="Arial"/>
          <w:color w:val="000000"/>
          <w:sz w:val="24"/>
          <w:szCs w:val="24"/>
        </w:rPr>
        <w:t>Zolekar</w:t>
      </w:r>
      <w:proofErr w:type="spellEnd"/>
      <w:r>
        <w:rPr>
          <w:rFonts w:ascii="Arial" w:eastAsia="Arial" w:hAnsi="Arial" w:cs="Arial"/>
          <w:color w:val="000000"/>
          <w:sz w:val="24"/>
          <w:szCs w:val="24"/>
        </w:rPr>
        <w:t xml:space="preserve">, R.B., </w:t>
      </w:r>
      <w:proofErr w:type="spellStart"/>
      <w:r>
        <w:rPr>
          <w:rFonts w:ascii="Arial" w:eastAsia="Arial" w:hAnsi="Arial" w:cs="Arial"/>
          <w:color w:val="000000"/>
          <w:sz w:val="24"/>
          <w:szCs w:val="24"/>
        </w:rPr>
        <w:t>Todmal</w:t>
      </w:r>
      <w:proofErr w:type="spellEnd"/>
      <w:r>
        <w:rPr>
          <w:rFonts w:ascii="Arial" w:eastAsia="Arial" w:hAnsi="Arial" w:cs="Arial"/>
          <w:color w:val="000000"/>
          <w:sz w:val="24"/>
          <w:szCs w:val="24"/>
        </w:rPr>
        <w:t xml:space="preserve">, R.S., Bhagat, V.S., </w:t>
      </w:r>
      <w:proofErr w:type="spellStart"/>
      <w:r>
        <w:rPr>
          <w:rFonts w:ascii="Arial" w:eastAsia="Arial" w:hAnsi="Arial" w:cs="Arial"/>
          <w:color w:val="000000"/>
          <w:sz w:val="24"/>
          <w:szCs w:val="24"/>
        </w:rPr>
        <w:t>Bhailume</w:t>
      </w:r>
      <w:proofErr w:type="spellEnd"/>
      <w:r>
        <w:rPr>
          <w:rFonts w:ascii="Arial" w:eastAsia="Arial" w:hAnsi="Arial" w:cs="Arial"/>
          <w:color w:val="000000"/>
          <w:sz w:val="24"/>
          <w:szCs w:val="24"/>
        </w:rPr>
        <w:t xml:space="preserve">, S.A., </w:t>
      </w:r>
      <w:proofErr w:type="spellStart"/>
      <w:r>
        <w:rPr>
          <w:rFonts w:ascii="Arial" w:eastAsia="Arial" w:hAnsi="Arial" w:cs="Arial"/>
          <w:color w:val="000000"/>
          <w:sz w:val="24"/>
          <w:szCs w:val="24"/>
        </w:rPr>
        <w:t>Korade</w:t>
      </w:r>
      <w:proofErr w:type="spellEnd"/>
      <w:r>
        <w:rPr>
          <w:rFonts w:ascii="Arial" w:eastAsia="Arial" w:hAnsi="Arial" w:cs="Arial"/>
          <w:color w:val="000000"/>
          <w:sz w:val="24"/>
          <w:szCs w:val="24"/>
        </w:rPr>
        <w:t>, M.S., Das, S., 2021. Hydro-chemical chara</w:t>
      </w:r>
      <w:r>
        <w:rPr>
          <w:rFonts w:ascii="Arial" w:eastAsia="Arial" w:hAnsi="Arial" w:cs="Arial"/>
          <w:color w:val="000000"/>
          <w:sz w:val="24"/>
          <w:szCs w:val="24"/>
        </w:rPr>
        <w:t>cterization and geospatial analysis of groundwater for drinking and agricultural usage in Nashik district in Maharashtra, India. Environ Dev Sustain 23, 4433–4452. https://doi.org/10.1007/s10668-020-00782-2</w:t>
      </w:r>
    </w:p>
    <w:p w14:paraId="4D164ED6" w14:textId="77777777" w:rsidR="004609F0" w:rsidRDefault="004609F0">
      <w:pPr>
        <w:spacing w:after="240" w:line="240" w:lineRule="auto"/>
        <w:jc w:val="both"/>
        <w:rPr>
          <w:rFonts w:ascii="Arial" w:eastAsia="Arial" w:hAnsi="Arial" w:cs="Arial"/>
          <w:sz w:val="24"/>
          <w:szCs w:val="24"/>
        </w:rPr>
      </w:pPr>
    </w:p>
    <w:sectPr w:rsidR="004609F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AF42C" w14:textId="77777777" w:rsidR="00BC7B8C" w:rsidRDefault="00BC7B8C">
      <w:pPr>
        <w:spacing w:after="0" w:line="240" w:lineRule="auto"/>
      </w:pPr>
      <w:r>
        <w:separator/>
      </w:r>
    </w:p>
  </w:endnote>
  <w:endnote w:type="continuationSeparator" w:id="0">
    <w:p w14:paraId="6FD0DA51" w14:textId="77777777" w:rsidR="00BC7B8C" w:rsidRDefault="00BC7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8897E18A-5783-414B-9AE0-0820A0155D91}"/>
    <w:embedBold r:id="rId2" w:fontKey="{C1E8BE80-CB49-48AD-8E8F-FA04CC6A3B43}"/>
    <w:embedItalic r:id="rId3" w:fontKey="{AAA7CED9-838F-47A7-8E80-9B0719454104}"/>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4" w:fontKey="{A33DE211-AFFD-416C-850E-DDA16D26EA0F}"/>
  </w:font>
  <w:font w:name="Latha">
    <w:panose1 w:val="02000400000000000000"/>
    <w:charset w:val="00"/>
    <w:family w:val="swiss"/>
    <w:pitch w:val="variable"/>
    <w:sig w:usb0="00100003" w:usb1="00000000" w:usb2="00000000" w:usb3="00000000" w:csb0="00000001" w:csb1="00000000"/>
    <w:embedRegular r:id="rId5" w:fontKey="{65DA2682-09B9-474D-A60F-7208418ECE84}"/>
    <w:embedItalic r:id="rId6" w:fontKey="{BE20E7D3-EC6C-43B6-A16E-83569716A203}"/>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D2A862B8-2406-4A55-96F6-2FDDA0BC14D9}"/>
    <w:embedBold r:id="rId8" w:fontKey="{19D32216-7876-4347-89C4-8A03645559B2}"/>
    <w:embedItalic r:id="rId9" w:fontKey="{76F330E2-7522-4C6E-89AF-4872142C62FD}"/>
  </w:font>
  <w:font w:name="Arial Unicode MS">
    <w:altName w:val="Arial"/>
    <w:panose1 w:val="020B0604020202020204"/>
    <w:charset w:val="80"/>
    <w:family w:val="swiss"/>
    <w:pitch w:val="variable"/>
    <w:sig w:usb0="F7FFAFFF" w:usb1="E9DFFFFF" w:usb2="0000003F" w:usb3="00000000" w:csb0="003F01FF" w:csb1="00000000"/>
    <w:embedRegular r:id="rId10" w:subsetted="1" w:fontKey="{D71BC45B-1444-409F-A4B9-C2010EE619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1DC45" w14:textId="77777777" w:rsidR="004609F0" w:rsidRDefault="004609F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831F9" w14:textId="77777777" w:rsidR="004609F0" w:rsidRDefault="004609F0">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00E14" w14:textId="77777777" w:rsidR="004609F0" w:rsidRDefault="004609F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67571" w14:textId="77777777" w:rsidR="00BC7B8C" w:rsidRDefault="00BC7B8C">
      <w:pPr>
        <w:spacing w:after="0" w:line="240" w:lineRule="auto"/>
      </w:pPr>
      <w:r>
        <w:separator/>
      </w:r>
    </w:p>
  </w:footnote>
  <w:footnote w:type="continuationSeparator" w:id="0">
    <w:p w14:paraId="30495E1A" w14:textId="77777777" w:rsidR="00BC7B8C" w:rsidRDefault="00BC7B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3FE8F" w14:textId="77777777" w:rsidR="004609F0" w:rsidRDefault="00BC7B8C">
    <w:pPr>
      <w:pBdr>
        <w:top w:val="nil"/>
        <w:left w:val="nil"/>
        <w:bottom w:val="nil"/>
        <w:right w:val="nil"/>
        <w:between w:val="nil"/>
      </w:pBdr>
      <w:tabs>
        <w:tab w:val="center" w:pos="4680"/>
        <w:tab w:val="right" w:pos="9360"/>
      </w:tabs>
      <w:spacing w:after="0" w:line="240" w:lineRule="auto"/>
      <w:rPr>
        <w:color w:val="000000"/>
      </w:rPr>
    </w:pPr>
    <w:r>
      <w:rPr>
        <w:color w:val="000000"/>
      </w:rPr>
      <w:pict w14:anchorId="3335B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8pt;height:100.4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669CF" w14:textId="77777777" w:rsidR="004609F0" w:rsidRDefault="00BC7B8C">
    <w:pPr>
      <w:pBdr>
        <w:top w:val="nil"/>
        <w:left w:val="nil"/>
        <w:bottom w:val="nil"/>
        <w:right w:val="nil"/>
        <w:between w:val="nil"/>
      </w:pBdr>
      <w:tabs>
        <w:tab w:val="center" w:pos="4680"/>
        <w:tab w:val="right" w:pos="9360"/>
      </w:tabs>
      <w:spacing w:after="0" w:line="240" w:lineRule="auto"/>
      <w:rPr>
        <w:color w:val="000000"/>
      </w:rPr>
    </w:pPr>
    <w:r>
      <w:rPr>
        <w:color w:val="000000"/>
      </w:rPr>
      <w:pict w14:anchorId="2F138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8pt;height:100.4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F475C" w14:textId="77777777" w:rsidR="004609F0" w:rsidRDefault="00BC7B8C">
    <w:pPr>
      <w:pBdr>
        <w:top w:val="nil"/>
        <w:left w:val="nil"/>
        <w:bottom w:val="nil"/>
        <w:right w:val="nil"/>
        <w:between w:val="nil"/>
      </w:pBdr>
      <w:tabs>
        <w:tab w:val="center" w:pos="4680"/>
        <w:tab w:val="right" w:pos="9360"/>
      </w:tabs>
      <w:spacing w:after="0" w:line="240" w:lineRule="auto"/>
      <w:rPr>
        <w:color w:val="000000"/>
      </w:rPr>
    </w:pPr>
    <w:r>
      <w:rPr>
        <w:color w:val="000000"/>
      </w:rPr>
      <w:pict w14:anchorId="1B1B1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8pt;height:100.4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9F0"/>
    <w:rsid w:val="004609F0"/>
    <w:rsid w:val="006A0557"/>
    <w:rsid w:val="007F49C6"/>
    <w:rsid w:val="00BC7B8C"/>
    <w:rsid w:val="00C36AB9"/>
    <w:rsid w:val="00DD3DA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0BB5F2"/>
  <w15:docId w15:val="{63FFFD88-BFFE-49DB-919B-FAB95E584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107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07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07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4107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07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107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07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07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07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07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07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072C"/>
    <w:rPr>
      <w:rFonts w:eastAsiaTheme="majorEastAsia" w:cstheme="majorBidi"/>
      <w:color w:val="272727" w:themeColor="text1" w:themeTint="D8"/>
    </w:rPr>
  </w:style>
  <w:style w:type="character" w:customStyle="1" w:styleId="TitleChar">
    <w:name w:val="Title Char"/>
    <w:basedOn w:val="DefaultParagraphFont"/>
    <w:link w:val="Title"/>
    <w:uiPriority w:val="10"/>
    <w:rsid w:val="0041072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107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072C"/>
    <w:pPr>
      <w:spacing w:before="160"/>
      <w:jc w:val="center"/>
    </w:pPr>
    <w:rPr>
      <w:i/>
      <w:iCs/>
      <w:color w:val="404040" w:themeColor="text1" w:themeTint="BF"/>
    </w:rPr>
  </w:style>
  <w:style w:type="character" w:customStyle="1" w:styleId="QuoteChar">
    <w:name w:val="Quote Char"/>
    <w:basedOn w:val="DefaultParagraphFont"/>
    <w:link w:val="Quote"/>
    <w:uiPriority w:val="29"/>
    <w:rsid w:val="0041072C"/>
    <w:rPr>
      <w:rFonts w:cs="Latha"/>
      <w:i/>
      <w:iCs/>
      <w:color w:val="404040" w:themeColor="text1" w:themeTint="BF"/>
    </w:rPr>
  </w:style>
  <w:style w:type="paragraph" w:styleId="ListParagraph">
    <w:name w:val="List Paragraph"/>
    <w:basedOn w:val="Normal"/>
    <w:uiPriority w:val="34"/>
    <w:qFormat/>
    <w:rsid w:val="0041072C"/>
    <w:pPr>
      <w:ind w:left="720"/>
      <w:contextualSpacing/>
    </w:pPr>
  </w:style>
  <w:style w:type="character" w:styleId="IntenseEmphasis">
    <w:name w:val="Intense Emphasis"/>
    <w:basedOn w:val="DefaultParagraphFont"/>
    <w:uiPriority w:val="21"/>
    <w:qFormat/>
    <w:rsid w:val="0041072C"/>
    <w:rPr>
      <w:i/>
      <w:iCs/>
      <w:color w:val="2F5496" w:themeColor="accent1" w:themeShade="BF"/>
    </w:rPr>
  </w:style>
  <w:style w:type="paragraph" w:styleId="IntenseQuote">
    <w:name w:val="Intense Quote"/>
    <w:basedOn w:val="Normal"/>
    <w:next w:val="Normal"/>
    <w:link w:val="IntenseQuoteChar"/>
    <w:uiPriority w:val="30"/>
    <w:qFormat/>
    <w:rsid w:val="004107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072C"/>
    <w:rPr>
      <w:rFonts w:cs="Latha"/>
      <w:i/>
      <w:iCs/>
      <w:color w:val="2F5496" w:themeColor="accent1" w:themeShade="BF"/>
    </w:rPr>
  </w:style>
  <w:style w:type="character" w:styleId="IntenseReference">
    <w:name w:val="Intense Reference"/>
    <w:basedOn w:val="DefaultParagraphFont"/>
    <w:uiPriority w:val="32"/>
    <w:qFormat/>
    <w:rsid w:val="0041072C"/>
    <w:rPr>
      <w:b/>
      <w:bCs/>
      <w:smallCaps/>
      <w:color w:val="2F5496" w:themeColor="accent1" w:themeShade="BF"/>
      <w:spacing w:val="5"/>
    </w:rPr>
  </w:style>
  <w:style w:type="paragraph" w:styleId="Bibliography">
    <w:name w:val="Bibliography"/>
    <w:basedOn w:val="Normal"/>
    <w:next w:val="Normal"/>
    <w:uiPriority w:val="37"/>
    <w:unhideWhenUsed/>
    <w:rsid w:val="0041072C"/>
    <w:pPr>
      <w:spacing w:after="0" w:line="240" w:lineRule="auto"/>
      <w:ind w:left="720" w:hanging="720"/>
    </w:pPr>
  </w:style>
  <w:style w:type="table" w:styleId="TableGrid">
    <w:name w:val="Table Grid"/>
    <w:basedOn w:val="TableNormal"/>
    <w:uiPriority w:val="39"/>
    <w:rsid w:val="00410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107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41072C"/>
    <w:pPr>
      <w:spacing w:after="0" w:line="240" w:lineRule="auto"/>
    </w:pPr>
  </w:style>
  <w:style w:type="character" w:styleId="Hyperlink">
    <w:name w:val="Hyperlink"/>
    <w:basedOn w:val="DefaultParagraphFont"/>
    <w:uiPriority w:val="99"/>
    <w:unhideWhenUsed/>
    <w:rsid w:val="00354D95"/>
    <w:rPr>
      <w:color w:val="0563C1" w:themeColor="hyperlink"/>
      <w:u w:val="single"/>
    </w:rPr>
  </w:style>
  <w:style w:type="character" w:styleId="UnresolvedMention">
    <w:name w:val="Unresolved Mention"/>
    <w:basedOn w:val="DefaultParagraphFont"/>
    <w:uiPriority w:val="99"/>
    <w:semiHidden/>
    <w:unhideWhenUsed/>
    <w:rsid w:val="00354D95"/>
    <w:rPr>
      <w:color w:val="605E5C"/>
      <w:shd w:val="clear" w:color="auto" w:fill="E1DFDD"/>
    </w:rPr>
  </w:style>
  <w:style w:type="paragraph" w:styleId="NormalWeb">
    <w:name w:val="Normal (Web)"/>
    <w:basedOn w:val="Normal"/>
    <w:uiPriority w:val="99"/>
    <w:semiHidden/>
    <w:unhideWhenUsed/>
    <w:rsid w:val="00AD018A"/>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577F52"/>
  </w:style>
  <w:style w:type="paragraph" w:styleId="Header">
    <w:name w:val="header"/>
    <w:basedOn w:val="Normal"/>
    <w:link w:val="HeaderChar"/>
    <w:uiPriority w:val="99"/>
    <w:unhideWhenUsed/>
    <w:rsid w:val="004B3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4D8"/>
    <w:rPr>
      <w:rFonts w:cs="Latha"/>
    </w:rPr>
  </w:style>
  <w:style w:type="paragraph" w:styleId="Footer">
    <w:name w:val="footer"/>
    <w:basedOn w:val="Normal"/>
    <w:link w:val="FooterChar"/>
    <w:uiPriority w:val="99"/>
    <w:unhideWhenUsed/>
    <w:rsid w:val="004B3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4D8"/>
    <w:rPr>
      <w:rFonts w:cs="Latha"/>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pce.2024.103635"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3389/fevo.2023.1201748"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007/s12665-021-09410-2" TargetMode="Externa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7/s12665-021-09410-2"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vxvEiaeqomLA/glrAlXOphtYDQ==">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OaC40OHUwcmJvdTl5eDcyDmgud3BlMnBudXMyZXJiMg5oLjN0MjVmNDlldGZ4NDIOaC54ZmhyaWpkcHdsNmwyDmguZ3dlcXloeXhqdGRxMg5oLmhjczk0dmFjYjkzaTIOaC5lbTU5cGRid3I4eHA4AHIhMUN2UnVhVE14VHpiRTJEYVp3b3Y3VDQtc3lhQmFtQm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8735</Words>
  <Characters>49792</Characters>
  <Application>Microsoft Office Word</Application>
  <DocSecurity>0</DocSecurity>
  <Lines>414</Lines>
  <Paragraphs>116</Paragraphs>
  <ScaleCrop>false</ScaleCrop>
  <Company/>
  <LinksUpToDate>false</LinksUpToDate>
  <CharactersWithSpaces>58411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ChaudharI</dc:creator>
  <cp:lastModifiedBy>SDI 1186</cp:lastModifiedBy>
  <cp:revision>3</cp:revision>
  <dcterms:created xsi:type="dcterms:W3CDTF">2025-09-28T10:43:00Z</dcterms:created>
  <dcterms:modified xsi:type="dcterms:W3CDTF">2025-10-03T08:55:00Z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53c60ad0-7d68-4d1c-9069-a0736611dfe0</vt:lpwstr>
  </property>
  <property fmtid="{D5CDD505-2E9C-101B-9397-08002B2CF9AE}" pid="3" name="ZOTERO_PREF_1">
    <vt:lpwstr>&lt;data data-version="3" zotero-version="7.0.16"&gt;&lt;session id="ZmE7umnt"/&gt;&lt;style id="http://www.zotero.org/styles/elsevier-harvard" hasBibliography="1" bibliographyStyleHasBeenSet="1"/&gt;&lt;prefs&gt;&lt;pref name="fieldType" value="Field"/&gt;&lt;/prefs&gt;&lt;/data&gt;</vt:lpwstr>
  </property>
</Properties>
</file>