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Default="00DD2DDA" w:rsidP="005F5920">
      <w:pPr>
        <w:pStyle w:val="Author"/>
        <w:spacing w:line="240" w:lineRule="auto"/>
        <w:jc w:val="left"/>
        <w:rPr>
          <w:rFonts w:ascii="Arial" w:hAnsi="Arial" w:cs="Arial"/>
          <w:bCs/>
          <w:iCs/>
          <w:kern w:val="28"/>
          <w:sz w:val="36"/>
        </w:rPr>
      </w:pPr>
      <w:r w:rsidRPr="00DD2DDA">
        <w:rPr>
          <w:rFonts w:ascii="Arial" w:hAnsi="Arial" w:cs="Arial"/>
          <w:bCs/>
          <w:iCs/>
          <w:kern w:val="28"/>
          <w:sz w:val="36"/>
        </w:rPr>
        <w:t xml:space="preserve">Impact of Varying Sulfur and Zinc </w:t>
      </w:r>
      <w:r w:rsidR="000439AB">
        <w:rPr>
          <w:rFonts w:ascii="Arial" w:hAnsi="Arial" w:cs="Arial"/>
          <w:bCs/>
          <w:iCs/>
          <w:kern w:val="28"/>
          <w:sz w:val="36"/>
        </w:rPr>
        <w:t>Levels on Linseed Growth, Yield</w:t>
      </w:r>
      <w:r w:rsidRPr="00DD2DDA">
        <w:rPr>
          <w:rFonts w:ascii="Arial" w:hAnsi="Arial" w:cs="Arial"/>
          <w:bCs/>
          <w:iCs/>
          <w:kern w:val="28"/>
          <w:sz w:val="36"/>
        </w:rPr>
        <w:t xml:space="preserve"> and Soil Properties in Eastern India</w:t>
      </w:r>
    </w:p>
    <w:p w:rsidR="002C57D2" w:rsidRPr="00FB3A86" w:rsidRDefault="002C57D2" w:rsidP="00441B6F">
      <w:pPr>
        <w:pStyle w:val="Affiliation"/>
        <w:spacing w:after="0" w:line="240" w:lineRule="auto"/>
        <w:jc w:val="both"/>
        <w:rPr>
          <w:rFonts w:ascii="Arial" w:hAnsi="Arial" w:cs="Arial"/>
        </w:rPr>
      </w:pPr>
    </w:p>
    <w:p w:rsidR="00B01FCD" w:rsidRPr="00FB3A86" w:rsidRDefault="002A7A29" w:rsidP="00441B6F">
      <w:pPr>
        <w:pStyle w:val="Copyright"/>
        <w:spacing w:after="0" w:line="240" w:lineRule="auto"/>
        <w:jc w:val="both"/>
        <w:rPr>
          <w:rFonts w:ascii="Arial" w:hAnsi="Arial" w:cs="Arial"/>
        </w:rPr>
        <w:sectPr w:rsidR="00B01FCD" w:rsidRPr="00FB3A86" w:rsidSect="007875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fa-IR"/>
        </w:rPr>
      </w:r>
      <w:r>
        <w:rPr>
          <w:rFonts w:ascii="Arial" w:hAnsi="Arial" w:cs="Arial"/>
          <w:noProof/>
          <w:lang w:bidi="fa-IR"/>
        </w:rPr>
        <w:pict>
          <v:shapetype id="_x0000_t32" coordsize="21600,21600" o:spt="32" o:oned="t" path="m,l21600,21600e" filled="f">
            <v:path arrowok="t" fillok="f" o:connecttype="none"/>
            <o:lock v:ext="edit" shapetype="t"/>
          </v:shapetype>
          <v:shape id="AutoShape 2" o:spid="_x0000_s1031"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wrap anchorx="pag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rsidTr="001E44FE">
        <w:tc>
          <w:tcPr>
            <w:tcW w:w="9576" w:type="dxa"/>
            <w:shd w:val="clear" w:color="auto" w:fill="F2F2F2"/>
          </w:tcPr>
          <w:p w:rsidR="00505F06" w:rsidRPr="00BA1B01" w:rsidRDefault="00DD2DDA" w:rsidP="000439AB">
            <w:pPr>
              <w:pStyle w:val="Body"/>
              <w:spacing w:after="0"/>
              <w:rPr>
                <w:rFonts w:ascii="Arial" w:eastAsia="Calibri" w:hAnsi="Arial" w:cs="Arial"/>
                <w:szCs w:val="22"/>
              </w:rPr>
            </w:pPr>
            <w:r w:rsidRPr="00DD2DDA">
              <w:rPr>
                <w:rFonts w:ascii="Arial" w:eastAsia="Calibri" w:hAnsi="Arial" w:cs="Arial"/>
                <w:szCs w:val="22"/>
              </w:rPr>
              <w:t xml:space="preserve">A field experiment was conducted </w:t>
            </w:r>
            <w:r w:rsidR="0049653F" w:rsidRPr="00DD2DDA">
              <w:rPr>
                <w:rFonts w:ascii="Arial" w:eastAsia="Calibri" w:hAnsi="Arial" w:cs="Arial"/>
                <w:szCs w:val="22"/>
              </w:rPr>
              <w:t xml:space="preserve">during </w:t>
            </w:r>
            <w:proofErr w:type="spellStart"/>
            <w:r w:rsidR="0049653F" w:rsidRPr="0049653F">
              <w:rPr>
                <w:rFonts w:ascii="Arial" w:eastAsia="Calibri" w:hAnsi="Arial" w:cs="Arial"/>
                <w:i/>
                <w:szCs w:val="22"/>
              </w:rPr>
              <w:t>rabi</w:t>
            </w:r>
            <w:proofErr w:type="spellEnd"/>
            <w:r w:rsidR="0049653F" w:rsidRPr="00DD2DDA">
              <w:rPr>
                <w:rFonts w:ascii="Arial" w:eastAsia="Calibri" w:hAnsi="Arial" w:cs="Arial"/>
                <w:szCs w:val="22"/>
              </w:rPr>
              <w:t xml:space="preserve"> 2021-22 </w:t>
            </w:r>
            <w:r>
              <w:rPr>
                <w:rFonts w:ascii="Arial" w:eastAsia="Calibri" w:hAnsi="Arial" w:cs="Arial"/>
                <w:szCs w:val="22"/>
              </w:rPr>
              <w:t xml:space="preserve">at </w:t>
            </w:r>
            <w:r w:rsidRPr="00DD2DDA">
              <w:rPr>
                <w:rFonts w:ascii="Arial" w:eastAsia="Calibri" w:hAnsi="Arial" w:cs="Arial"/>
                <w:szCs w:val="22"/>
              </w:rPr>
              <w:t xml:space="preserve">Bhola </w:t>
            </w:r>
            <w:proofErr w:type="spellStart"/>
            <w:r w:rsidRPr="00DD2DDA">
              <w:rPr>
                <w:rFonts w:ascii="Arial" w:eastAsia="Calibri" w:hAnsi="Arial" w:cs="Arial"/>
                <w:szCs w:val="22"/>
              </w:rPr>
              <w:t>Paswan</w:t>
            </w:r>
            <w:proofErr w:type="spellEnd"/>
            <w:r w:rsidRPr="00DD2DDA">
              <w:rPr>
                <w:rFonts w:ascii="Arial" w:eastAsia="Calibri" w:hAnsi="Arial" w:cs="Arial"/>
                <w:szCs w:val="22"/>
              </w:rPr>
              <w:t xml:space="preserve"> Shastri Agricultural </w:t>
            </w:r>
            <w:r w:rsidR="0049653F">
              <w:rPr>
                <w:rFonts w:ascii="Arial" w:eastAsia="Calibri" w:hAnsi="Arial" w:cs="Arial"/>
                <w:szCs w:val="22"/>
              </w:rPr>
              <w:t xml:space="preserve">College Farm in </w:t>
            </w:r>
            <w:proofErr w:type="spellStart"/>
            <w:r w:rsidR="0049653F">
              <w:rPr>
                <w:rFonts w:ascii="Arial" w:eastAsia="Calibri" w:hAnsi="Arial" w:cs="Arial"/>
                <w:szCs w:val="22"/>
              </w:rPr>
              <w:t>Purnea</w:t>
            </w:r>
            <w:proofErr w:type="spellEnd"/>
            <w:r w:rsidR="0049653F">
              <w:rPr>
                <w:rFonts w:ascii="Arial" w:eastAsia="Calibri" w:hAnsi="Arial" w:cs="Arial"/>
                <w:szCs w:val="22"/>
              </w:rPr>
              <w:t xml:space="preserve">, Bihar </w:t>
            </w:r>
            <w:r w:rsidRPr="00DD2DDA">
              <w:rPr>
                <w:rFonts w:ascii="Arial" w:eastAsia="Calibri" w:hAnsi="Arial" w:cs="Arial"/>
                <w:szCs w:val="22"/>
              </w:rPr>
              <w:t xml:space="preserve">to investigate the effects of different levels of sulfur (0, 20, 40, and 60 kg/ha) and zinc (0, 5, and 10 kg/ha) on the </w:t>
            </w:r>
            <w:r w:rsidR="0049653F">
              <w:rPr>
                <w:rFonts w:ascii="Arial" w:eastAsia="Calibri" w:hAnsi="Arial" w:cs="Arial"/>
                <w:szCs w:val="22"/>
              </w:rPr>
              <w:t>growth, yield along with</w:t>
            </w:r>
            <w:r w:rsidRPr="00DD2DDA">
              <w:rPr>
                <w:rFonts w:ascii="Arial" w:eastAsia="Calibri" w:hAnsi="Arial" w:cs="Arial"/>
                <w:szCs w:val="22"/>
              </w:rPr>
              <w:t xml:space="preserve"> </w:t>
            </w:r>
            <w:r w:rsidR="0049653F">
              <w:rPr>
                <w:rFonts w:ascii="Arial" w:eastAsia="Calibri" w:hAnsi="Arial" w:cs="Arial"/>
                <w:szCs w:val="22"/>
              </w:rPr>
              <w:t xml:space="preserve">sulfur and zinc </w:t>
            </w:r>
            <w:r w:rsidR="0049653F" w:rsidRPr="00DD2DDA">
              <w:rPr>
                <w:rFonts w:ascii="Arial" w:eastAsia="Calibri" w:hAnsi="Arial" w:cs="Arial"/>
                <w:szCs w:val="22"/>
              </w:rPr>
              <w:t xml:space="preserve">uptake </w:t>
            </w:r>
            <w:r w:rsidR="0049653F">
              <w:rPr>
                <w:rFonts w:ascii="Arial" w:eastAsia="Calibri" w:hAnsi="Arial" w:cs="Arial"/>
                <w:szCs w:val="22"/>
              </w:rPr>
              <w:t xml:space="preserve">in </w:t>
            </w:r>
            <w:r w:rsidRPr="00DD2DDA">
              <w:rPr>
                <w:rFonts w:ascii="Arial" w:eastAsia="Calibri" w:hAnsi="Arial" w:cs="Arial"/>
                <w:szCs w:val="22"/>
              </w:rPr>
              <w:t>linseed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usitatissimum</w:t>
            </w:r>
            <w:proofErr w:type="spellEnd"/>
            <w:r w:rsidRPr="00DD2DDA">
              <w:rPr>
                <w:rFonts w:ascii="Arial" w:eastAsia="Calibri" w:hAnsi="Arial" w:cs="Arial"/>
                <w:szCs w:val="22"/>
              </w:rPr>
              <w:t xml:space="preserve"> L.) season. The soil was characterized as sandy loam with neutral pH, low organic carbon and available nitrogen, medium available phosphorus and potassium, and deficiencies in available sulfur and zinc. The treatments were arranged in a factorial randomized block design with three replicates. The </w:t>
            </w:r>
            <w:r w:rsidR="000439AB">
              <w:rPr>
                <w:rFonts w:ascii="Arial" w:eastAsia="Calibri" w:hAnsi="Arial" w:cs="Arial"/>
                <w:szCs w:val="22"/>
              </w:rPr>
              <w:t>result indicated that application</w:t>
            </w:r>
            <w:r w:rsidRPr="00DD2DDA">
              <w:rPr>
                <w:rFonts w:ascii="Arial" w:eastAsia="Calibri" w:hAnsi="Arial" w:cs="Arial"/>
                <w:szCs w:val="22"/>
              </w:rPr>
              <w:t xml:space="preserve"> of sulfur </w:t>
            </w:r>
            <w:r w:rsidR="00F711AB">
              <w:rPr>
                <w:rFonts w:ascii="Arial" w:eastAsia="Calibri" w:hAnsi="Arial" w:cs="Arial"/>
                <w:szCs w:val="22"/>
              </w:rPr>
              <w:t>at 40 and</w:t>
            </w:r>
            <w:r w:rsidRPr="00DD2DDA">
              <w:rPr>
                <w:rFonts w:ascii="Arial" w:eastAsia="Calibri" w:hAnsi="Arial" w:cs="Arial"/>
                <w:szCs w:val="22"/>
              </w:rPr>
              <w:t xml:space="preserve"> 60 kg/ha </w:t>
            </w:r>
            <w:r w:rsidR="00F711AB">
              <w:rPr>
                <w:rFonts w:ascii="Arial" w:eastAsia="Calibri" w:hAnsi="Arial" w:cs="Arial"/>
                <w:szCs w:val="22"/>
              </w:rPr>
              <w:t xml:space="preserve">observed </w:t>
            </w:r>
            <w:proofErr w:type="spellStart"/>
            <w:r w:rsidR="00F711AB">
              <w:rPr>
                <w:rFonts w:ascii="Arial" w:eastAsia="Calibri" w:hAnsi="Arial" w:cs="Arial"/>
                <w:szCs w:val="22"/>
              </w:rPr>
              <w:t>non significant</w:t>
            </w:r>
            <w:proofErr w:type="spellEnd"/>
            <w:r w:rsidR="00F711AB">
              <w:rPr>
                <w:rFonts w:ascii="Arial" w:eastAsia="Calibri" w:hAnsi="Arial" w:cs="Arial"/>
                <w:szCs w:val="22"/>
              </w:rPr>
              <w:t xml:space="preserve"> differ</w:t>
            </w:r>
            <w:r w:rsidR="000439AB">
              <w:rPr>
                <w:rFonts w:ascii="Arial" w:eastAsia="Calibri" w:hAnsi="Arial" w:cs="Arial"/>
                <w:szCs w:val="22"/>
              </w:rPr>
              <w:t>ence</w:t>
            </w:r>
            <w:r w:rsidR="00F711AB">
              <w:rPr>
                <w:rFonts w:ascii="Arial" w:eastAsia="Calibri" w:hAnsi="Arial" w:cs="Arial"/>
                <w:szCs w:val="22"/>
              </w:rPr>
              <w:t xml:space="preserve"> in seed and </w:t>
            </w:r>
            <w:proofErr w:type="spellStart"/>
            <w:r w:rsidR="00F711AB">
              <w:rPr>
                <w:rFonts w:ascii="Arial" w:eastAsia="Calibri" w:hAnsi="Arial" w:cs="Arial"/>
                <w:szCs w:val="22"/>
              </w:rPr>
              <w:t>stover</w:t>
            </w:r>
            <w:proofErr w:type="spellEnd"/>
            <w:r w:rsidR="00F711AB">
              <w:rPr>
                <w:rFonts w:ascii="Arial" w:eastAsia="Calibri" w:hAnsi="Arial" w:cs="Arial"/>
                <w:szCs w:val="22"/>
              </w:rPr>
              <w:t xml:space="preserve"> yield</w:t>
            </w:r>
            <w:r w:rsidR="00F711AB" w:rsidRPr="00DD2DDA">
              <w:rPr>
                <w:rFonts w:ascii="Arial" w:eastAsia="Calibri" w:hAnsi="Arial" w:cs="Arial"/>
                <w:szCs w:val="22"/>
              </w:rPr>
              <w:t>.</w:t>
            </w:r>
            <w:r w:rsidR="00F711AB">
              <w:rPr>
                <w:rFonts w:ascii="Arial" w:eastAsia="Calibri" w:hAnsi="Arial" w:cs="Arial"/>
                <w:szCs w:val="22"/>
              </w:rPr>
              <w:t xml:space="preserve"> However,</w:t>
            </w:r>
            <w:r w:rsidRPr="00DD2DDA">
              <w:rPr>
                <w:rFonts w:ascii="Arial" w:eastAsia="Calibri" w:hAnsi="Arial" w:cs="Arial"/>
                <w:szCs w:val="22"/>
              </w:rPr>
              <w:t xml:space="preserve"> Zinc application at 10 kg/ha </w:t>
            </w:r>
            <w:r w:rsidR="00F711AB">
              <w:rPr>
                <w:rFonts w:ascii="Arial" w:eastAsia="Calibri" w:hAnsi="Arial" w:cs="Arial"/>
                <w:szCs w:val="22"/>
              </w:rPr>
              <w:t xml:space="preserve">recorded significantly </w:t>
            </w:r>
            <w:r w:rsidR="000439AB">
              <w:rPr>
                <w:rFonts w:ascii="Arial" w:eastAsia="Calibri" w:hAnsi="Arial" w:cs="Arial"/>
                <w:szCs w:val="22"/>
              </w:rPr>
              <w:t xml:space="preserve">higher </w:t>
            </w:r>
            <w:proofErr w:type="spellStart"/>
            <w:r w:rsidR="000439AB">
              <w:rPr>
                <w:rFonts w:ascii="Arial" w:eastAsia="Calibri" w:hAnsi="Arial" w:cs="Arial"/>
                <w:szCs w:val="22"/>
              </w:rPr>
              <w:t>stover</w:t>
            </w:r>
            <w:proofErr w:type="spellEnd"/>
            <w:r w:rsidR="000439AB">
              <w:rPr>
                <w:rFonts w:ascii="Arial" w:eastAsia="Calibri" w:hAnsi="Arial" w:cs="Arial"/>
                <w:szCs w:val="22"/>
              </w:rPr>
              <w:t xml:space="preserve"> yields</w:t>
            </w:r>
            <w:r w:rsidRPr="00DD2DDA">
              <w:rPr>
                <w:rFonts w:ascii="Arial" w:eastAsia="Calibri" w:hAnsi="Arial" w:cs="Arial"/>
                <w:szCs w:val="22"/>
              </w:rPr>
              <w:t xml:space="preserve"> </w:t>
            </w:r>
            <w:r w:rsidR="00F711AB">
              <w:rPr>
                <w:rFonts w:ascii="Arial" w:eastAsia="Calibri" w:hAnsi="Arial" w:cs="Arial"/>
                <w:szCs w:val="22"/>
              </w:rPr>
              <w:t>only as compared to 5kg Zn/ha</w:t>
            </w:r>
            <w:r w:rsidRPr="00DD2DDA">
              <w:rPr>
                <w:rFonts w:ascii="Arial" w:eastAsia="Calibri" w:hAnsi="Arial" w:cs="Arial"/>
                <w:szCs w:val="22"/>
              </w:rPr>
              <w:t xml:space="preserve">. The oil content </w:t>
            </w:r>
            <w:r w:rsidR="003A55FB">
              <w:rPr>
                <w:rFonts w:ascii="Arial" w:eastAsia="Calibri" w:hAnsi="Arial" w:cs="Arial"/>
                <w:szCs w:val="22"/>
              </w:rPr>
              <w:t xml:space="preserve">in seed </w:t>
            </w:r>
            <w:r w:rsidRPr="00DD2DDA">
              <w:rPr>
                <w:rFonts w:ascii="Arial" w:eastAsia="Calibri" w:hAnsi="Arial" w:cs="Arial"/>
                <w:szCs w:val="22"/>
              </w:rPr>
              <w:t xml:space="preserve">was the </w:t>
            </w:r>
            <w:r w:rsidR="003A55FB">
              <w:rPr>
                <w:rFonts w:ascii="Arial" w:eastAsia="Calibri" w:hAnsi="Arial" w:cs="Arial"/>
                <w:szCs w:val="22"/>
              </w:rPr>
              <w:t>non significant</w:t>
            </w:r>
            <w:r w:rsidR="00053245">
              <w:rPr>
                <w:rFonts w:ascii="Arial" w:eastAsia="Calibri" w:hAnsi="Arial" w:cs="Arial"/>
                <w:szCs w:val="22"/>
              </w:rPr>
              <w:t xml:space="preserve"> </w:t>
            </w:r>
            <w:r w:rsidR="000439AB">
              <w:rPr>
                <w:rFonts w:ascii="Arial" w:eastAsia="Calibri" w:hAnsi="Arial" w:cs="Arial"/>
                <w:szCs w:val="22"/>
              </w:rPr>
              <w:t xml:space="preserve">among 60 kg </w:t>
            </w:r>
            <w:r w:rsidR="00053245">
              <w:rPr>
                <w:rFonts w:ascii="Arial" w:eastAsia="Calibri" w:hAnsi="Arial" w:cs="Arial"/>
                <w:szCs w:val="22"/>
              </w:rPr>
              <w:t>S/</w:t>
            </w:r>
            <w:proofErr w:type="gramStart"/>
            <w:r w:rsidR="00053245">
              <w:rPr>
                <w:rFonts w:ascii="Arial" w:eastAsia="Calibri" w:hAnsi="Arial" w:cs="Arial"/>
                <w:szCs w:val="22"/>
              </w:rPr>
              <w:t>ha  and</w:t>
            </w:r>
            <w:proofErr w:type="gramEnd"/>
            <w:r w:rsidR="00053245">
              <w:rPr>
                <w:rFonts w:ascii="Arial" w:eastAsia="Calibri" w:hAnsi="Arial" w:cs="Arial"/>
                <w:szCs w:val="22"/>
              </w:rPr>
              <w:t xml:space="preserve"> 10 kg Zn/ha as well as</w:t>
            </w:r>
            <w:r w:rsidRPr="00DD2DDA">
              <w:rPr>
                <w:rFonts w:ascii="Arial" w:eastAsia="Calibri" w:hAnsi="Arial" w:cs="Arial"/>
                <w:szCs w:val="22"/>
              </w:rPr>
              <w:t xml:space="preserve"> the </w:t>
            </w:r>
            <w:r w:rsidR="003A55FB">
              <w:rPr>
                <w:rFonts w:ascii="Arial" w:eastAsia="Calibri" w:hAnsi="Arial" w:cs="Arial"/>
                <w:szCs w:val="22"/>
              </w:rPr>
              <w:t>4</w:t>
            </w:r>
            <w:r w:rsidRPr="00DD2DDA">
              <w:rPr>
                <w:rFonts w:ascii="Arial" w:eastAsia="Calibri" w:hAnsi="Arial" w:cs="Arial"/>
                <w:szCs w:val="22"/>
              </w:rPr>
              <w:t xml:space="preserve">0 kg S/ha and </w:t>
            </w:r>
            <w:r w:rsidR="003A55FB">
              <w:rPr>
                <w:rFonts w:ascii="Arial" w:eastAsia="Calibri" w:hAnsi="Arial" w:cs="Arial"/>
                <w:szCs w:val="22"/>
              </w:rPr>
              <w:t>5</w:t>
            </w:r>
            <w:r w:rsidRPr="00DD2DDA">
              <w:rPr>
                <w:rFonts w:ascii="Arial" w:eastAsia="Calibri" w:hAnsi="Arial" w:cs="Arial"/>
                <w:szCs w:val="22"/>
              </w:rPr>
              <w:t xml:space="preserve"> kg Zn/ha treatments</w:t>
            </w:r>
            <w:r w:rsidR="00247C11">
              <w:rPr>
                <w:rFonts w:ascii="Arial" w:eastAsia="Calibri" w:hAnsi="Arial" w:cs="Arial"/>
                <w:szCs w:val="22"/>
              </w:rPr>
              <w:t xml:space="preserve">. </w:t>
            </w:r>
            <w:r w:rsidRPr="00DD2DDA">
              <w:rPr>
                <w:rFonts w:ascii="Arial" w:eastAsia="Calibri" w:hAnsi="Arial" w:cs="Arial"/>
                <w:szCs w:val="22"/>
              </w:rPr>
              <w:t xml:space="preserve">Sulfur and zinc uptake </w:t>
            </w:r>
            <w:r w:rsidR="00247C11">
              <w:rPr>
                <w:rFonts w:ascii="Arial" w:eastAsia="Calibri" w:hAnsi="Arial" w:cs="Arial"/>
                <w:szCs w:val="22"/>
              </w:rPr>
              <w:t>at</w:t>
            </w:r>
            <w:r w:rsidRPr="00DD2DDA">
              <w:rPr>
                <w:rFonts w:ascii="Arial" w:eastAsia="Calibri" w:hAnsi="Arial" w:cs="Arial"/>
                <w:szCs w:val="22"/>
              </w:rPr>
              <w:t xml:space="preserve"> 90 days after sowing and harve</w:t>
            </w:r>
            <w:r w:rsidR="00A56D9B">
              <w:rPr>
                <w:rFonts w:ascii="Arial" w:eastAsia="Calibri" w:hAnsi="Arial" w:cs="Arial"/>
                <w:szCs w:val="22"/>
              </w:rPr>
              <w:t>st was significantly higher</w:t>
            </w:r>
            <w:r w:rsidR="00247C11">
              <w:rPr>
                <w:rFonts w:ascii="Arial" w:eastAsia="Calibri" w:hAnsi="Arial" w:cs="Arial"/>
                <w:szCs w:val="22"/>
              </w:rPr>
              <w:t xml:space="preserve"> with </w:t>
            </w:r>
            <w:r w:rsidRPr="00DD2DDA">
              <w:rPr>
                <w:rFonts w:ascii="Arial" w:eastAsia="Calibri" w:hAnsi="Arial" w:cs="Arial"/>
                <w:szCs w:val="22"/>
              </w:rPr>
              <w:t>60 kg S/ha and 10 kg Zn/ha</w:t>
            </w:r>
            <w:r w:rsidR="00A56D9B">
              <w:rPr>
                <w:rFonts w:ascii="Arial" w:eastAsia="Calibri" w:hAnsi="Arial" w:cs="Arial"/>
                <w:szCs w:val="22"/>
              </w:rPr>
              <w:t xml:space="preserve"> </w:t>
            </w:r>
            <w:r w:rsidR="00247C11">
              <w:rPr>
                <w:rFonts w:ascii="Arial" w:eastAsia="Calibri" w:hAnsi="Arial" w:cs="Arial"/>
                <w:szCs w:val="22"/>
              </w:rPr>
              <w:t>and statistically at par with</w:t>
            </w:r>
            <w:r w:rsidR="00A56D9B">
              <w:rPr>
                <w:rFonts w:ascii="Arial" w:eastAsia="Calibri" w:hAnsi="Arial" w:cs="Arial"/>
                <w:szCs w:val="22"/>
              </w:rPr>
              <w:t xml:space="preserve"> 4</w:t>
            </w:r>
            <w:r w:rsidR="00A56D9B" w:rsidRPr="00DD2DDA">
              <w:rPr>
                <w:rFonts w:ascii="Arial" w:eastAsia="Calibri" w:hAnsi="Arial" w:cs="Arial"/>
                <w:szCs w:val="22"/>
              </w:rPr>
              <w:t xml:space="preserve">0 kg S/ha and </w:t>
            </w:r>
            <w:r w:rsidR="00A56D9B">
              <w:rPr>
                <w:rFonts w:ascii="Arial" w:eastAsia="Calibri" w:hAnsi="Arial" w:cs="Arial"/>
                <w:szCs w:val="22"/>
              </w:rPr>
              <w:t>5</w:t>
            </w:r>
            <w:r w:rsidR="00A56D9B" w:rsidRPr="00DD2DDA">
              <w:rPr>
                <w:rFonts w:ascii="Arial" w:eastAsia="Calibri" w:hAnsi="Arial" w:cs="Arial"/>
                <w:szCs w:val="22"/>
              </w:rPr>
              <w:t xml:space="preserve"> kg Zn/ha</w:t>
            </w:r>
            <w:r w:rsidRPr="00DD2DDA">
              <w:rPr>
                <w:rFonts w:ascii="Arial" w:eastAsia="Calibri" w:hAnsi="Arial" w:cs="Arial"/>
                <w:szCs w:val="22"/>
              </w:rPr>
              <w:t xml:space="preserve">, respectively. Soil properties such as pH, </w:t>
            </w:r>
            <w:proofErr w:type="gramStart"/>
            <w:r w:rsidR="00CB6BA3">
              <w:rPr>
                <w:rFonts w:ascii="Arial" w:eastAsia="Calibri" w:hAnsi="Arial" w:cs="Arial"/>
                <w:szCs w:val="22"/>
              </w:rPr>
              <w:t>EC  and</w:t>
            </w:r>
            <w:proofErr w:type="gramEnd"/>
            <w:r w:rsidR="00CB6BA3">
              <w:rPr>
                <w:rFonts w:ascii="Arial" w:eastAsia="Calibri" w:hAnsi="Arial" w:cs="Arial"/>
                <w:szCs w:val="22"/>
              </w:rPr>
              <w:t xml:space="preserve"> OC% </w:t>
            </w:r>
            <w:r w:rsidRPr="00DD2DDA">
              <w:rPr>
                <w:rFonts w:ascii="Arial" w:eastAsia="Calibri" w:hAnsi="Arial" w:cs="Arial"/>
                <w:szCs w:val="22"/>
              </w:rPr>
              <w:t xml:space="preserve">remained unaffected. </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sidRPr="0059336B">
        <w:rPr>
          <w:rFonts w:ascii="Arial" w:hAnsi="Arial" w:cs="Arial"/>
          <w:b/>
          <w:i/>
        </w:rPr>
        <w:t>Keywords</w:t>
      </w:r>
      <w:r>
        <w:rPr>
          <w:rFonts w:ascii="Arial" w:hAnsi="Arial" w:cs="Arial"/>
          <w:i/>
        </w:rPr>
        <w:t xml:space="preserve">: </w:t>
      </w:r>
      <w:r w:rsidR="00DD2DDA" w:rsidRPr="00DD2DDA">
        <w:rPr>
          <w:rFonts w:ascii="Arial" w:hAnsi="Arial" w:cs="Arial"/>
          <w:i/>
        </w:rPr>
        <w:t>Linseed, Sulfur, Zinc, Yield, Nutrient uptake, Soil properties</w:t>
      </w:r>
      <w:r w:rsidR="00B43925">
        <w:rPr>
          <w:rFonts w:ascii="Arial" w:hAnsi="Arial" w:cs="Arial"/>
          <w:i/>
        </w:rPr>
        <w:t xml:space="preserve">, </w:t>
      </w:r>
      <w:r w:rsidR="00DD2DDA" w:rsidRPr="00DD2DDA">
        <w:rPr>
          <w:rFonts w:ascii="Arial" w:hAnsi="Arial" w:cs="Arial"/>
          <w:i/>
        </w:rPr>
        <w:t xml:space="preserve">Oil content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59336B"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DD2DDA" w:rsidRPr="00DD2DDA" w:rsidRDefault="00DD2DDA" w:rsidP="0059336B">
      <w:pPr>
        <w:pStyle w:val="Body"/>
        <w:spacing w:after="0" w:line="360" w:lineRule="auto"/>
        <w:ind w:firstLine="720"/>
        <w:rPr>
          <w:rFonts w:ascii="Arial" w:eastAsia="Calibri" w:hAnsi="Arial" w:cs="Arial"/>
          <w:szCs w:val="22"/>
        </w:rPr>
      </w:pPr>
      <w:r w:rsidRPr="00DD2DDA">
        <w:rPr>
          <w:rFonts w:ascii="Arial" w:eastAsia="Calibri" w:hAnsi="Arial" w:cs="Arial"/>
          <w:szCs w:val="22"/>
        </w:rPr>
        <w:t xml:space="preserve">Linseed, or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usitatissimum</w:t>
      </w:r>
      <w:r w:rsidRPr="00DD2DDA">
        <w:rPr>
          <w:rFonts w:ascii="Arial" w:eastAsia="Calibri" w:hAnsi="Arial" w:cs="Arial"/>
          <w:szCs w:val="22"/>
        </w:rPr>
        <w:t>L</w:t>
      </w:r>
      <w:proofErr w:type="spellEnd"/>
      <w:r w:rsidRPr="00DD2DDA">
        <w:rPr>
          <w:rFonts w:ascii="Arial" w:eastAsia="Calibri" w:hAnsi="Arial" w:cs="Arial"/>
          <w:szCs w:val="22"/>
        </w:rPr>
        <w:t xml:space="preserve">., is a </w:t>
      </w:r>
      <w:proofErr w:type="spellStart"/>
      <w:r w:rsidRPr="0059336B">
        <w:rPr>
          <w:rFonts w:ascii="Arial" w:eastAsia="Calibri" w:hAnsi="Arial" w:cs="Arial"/>
          <w:i/>
          <w:szCs w:val="22"/>
        </w:rPr>
        <w:t>rabi</w:t>
      </w:r>
      <w:proofErr w:type="spellEnd"/>
      <w:r w:rsidRPr="00DD2DDA">
        <w:rPr>
          <w:rFonts w:ascii="Arial" w:eastAsia="Calibri" w:hAnsi="Arial" w:cs="Arial"/>
          <w:szCs w:val="22"/>
        </w:rPr>
        <w:t xml:space="preserve"> oilseed and fiber crop belonging to the </w:t>
      </w:r>
      <w:proofErr w:type="spellStart"/>
      <w:r w:rsidRPr="00DD2DDA">
        <w:rPr>
          <w:rFonts w:ascii="Arial" w:eastAsia="Calibri" w:hAnsi="Arial" w:cs="Arial"/>
          <w:szCs w:val="22"/>
        </w:rPr>
        <w:t>Linaceae</w:t>
      </w:r>
      <w:proofErr w:type="spellEnd"/>
      <w:r w:rsidRPr="00DD2DDA">
        <w:rPr>
          <w:rFonts w:ascii="Arial" w:eastAsia="Calibri" w:hAnsi="Arial" w:cs="Arial"/>
          <w:szCs w:val="22"/>
        </w:rPr>
        <w:t xml:space="preserve"> family. It is grown for its seeds and fibers, which are essential for linen production (</w:t>
      </w:r>
      <w:proofErr w:type="spellStart"/>
      <w:r w:rsidRPr="00DD2DDA">
        <w:rPr>
          <w:rFonts w:ascii="Arial" w:eastAsia="Calibri" w:hAnsi="Arial" w:cs="Arial"/>
          <w:szCs w:val="22"/>
        </w:rPr>
        <w:t>Iab</w:t>
      </w:r>
      <w:proofErr w:type="spellEnd"/>
      <w:r w:rsidRPr="00DD2DDA">
        <w:rPr>
          <w:rFonts w:ascii="Arial" w:eastAsia="Calibri" w:hAnsi="Arial" w:cs="Arial"/>
          <w:szCs w:val="22"/>
        </w:rPr>
        <w:t xml:space="preserve"> </w:t>
      </w:r>
      <w:r w:rsidRPr="000439AB">
        <w:rPr>
          <w:rFonts w:ascii="Arial" w:eastAsia="Calibri" w:hAnsi="Arial" w:cs="Arial"/>
          <w:i/>
          <w:szCs w:val="22"/>
        </w:rPr>
        <w:t>et al</w:t>
      </w:r>
      <w:r w:rsidRPr="000439AB">
        <w:rPr>
          <w:rFonts w:ascii="Arial" w:eastAsia="Calibri" w:hAnsi="Arial" w:cs="Arial"/>
          <w:szCs w:val="22"/>
        </w:rPr>
        <w:t>., 2024</w:t>
      </w:r>
      <w:r w:rsidRPr="00DD2DDA">
        <w:rPr>
          <w:rFonts w:ascii="Arial" w:eastAsia="Calibri" w:hAnsi="Arial" w:cs="Arial"/>
          <w:szCs w:val="22"/>
        </w:rPr>
        <w:t>).The seeds contain high oil content, varying from 33% to 47% among the different varieties. This oil is not only suitable for consumption but is also used in the manufacture of paints, varnishes, printing ink, oil cloth, soap, and waterproof materials. Flaxseed contains 33-45% edible oil and 24% crude protein, making it a valuable herbal source of Omega-3 and Omega-6 fatty acids, which are highly beneficial for health. However, linseed productivity in Bihar is relatively low at 540 kg/ha compared to the potential demonstrated in frontline trials. There is significant potential to boost linseed productivity under irrigated conditions through effective input management and balanced fertilizer application. Recently, sulfur deficiency has become more pronounced, mainly because of the extensive use of high-yield crop varieties in multiple cropping systems and the continuous application of fertilizers, insecticides, and fungicides that lack sulfur, leading to sulfur depletion in soils. Sulfur deficiency significantly impairs plant growth, particularly leaf development (</w:t>
      </w:r>
      <w:proofErr w:type="spellStart"/>
      <w:r w:rsidRPr="00DD2DDA">
        <w:rPr>
          <w:rFonts w:ascii="Arial" w:eastAsia="Calibri" w:hAnsi="Arial" w:cs="Arial"/>
          <w:szCs w:val="22"/>
        </w:rPr>
        <w:t>Henriet</w:t>
      </w:r>
      <w:proofErr w:type="spellEnd"/>
      <w:r w:rsidRPr="00DD2DDA">
        <w:rPr>
          <w:rFonts w:ascii="Arial" w:eastAsia="Calibri" w:hAnsi="Arial" w:cs="Arial"/>
          <w:szCs w:val="22"/>
        </w:rPr>
        <w:t xml:space="preserve"> </w:t>
      </w:r>
      <w:r w:rsidRPr="0059336B">
        <w:rPr>
          <w:rFonts w:ascii="Arial" w:eastAsia="Calibri" w:hAnsi="Arial" w:cs="Arial"/>
          <w:i/>
          <w:szCs w:val="22"/>
        </w:rPr>
        <w:t>et al</w:t>
      </w:r>
      <w:r w:rsidRPr="00DD2DDA">
        <w:rPr>
          <w:rFonts w:ascii="Arial" w:eastAsia="Calibri" w:hAnsi="Arial" w:cs="Arial"/>
          <w:szCs w:val="22"/>
        </w:rPr>
        <w:t xml:space="preserve">., 2019; </w:t>
      </w:r>
      <w:proofErr w:type="spellStart"/>
      <w:r w:rsidRPr="00DD2DDA">
        <w:rPr>
          <w:rFonts w:ascii="Arial" w:eastAsia="Calibri" w:hAnsi="Arial" w:cs="Arial"/>
          <w:szCs w:val="22"/>
        </w:rPr>
        <w:t>Ranadev</w:t>
      </w:r>
      <w:proofErr w:type="spellEnd"/>
      <w:r w:rsidRPr="00DD2DDA">
        <w:rPr>
          <w:rFonts w:ascii="Arial" w:eastAsia="Calibri" w:hAnsi="Arial" w:cs="Arial"/>
          <w:szCs w:val="22"/>
        </w:rPr>
        <w:t xml:space="preserve"> </w:t>
      </w:r>
      <w:r w:rsidRPr="0059336B">
        <w:rPr>
          <w:rFonts w:ascii="Arial" w:eastAsia="Calibri" w:hAnsi="Arial" w:cs="Arial"/>
          <w:i/>
          <w:szCs w:val="22"/>
        </w:rPr>
        <w:t>et al</w:t>
      </w:r>
      <w:r w:rsidRPr="00DD2DDA">
        <w:rPr>
          <w:rFonts w:ascii="Arial" w:eastAsia="Calibri" w:hAnsi="Arial" w:cs="Arial"/>
          <w:szCs w:val="22"/>
        </w:rPr>
        <w:t xml:space="preserve">., 2023; Shukla </w:t>
      </w:r>
      <w:r w:rsidRPr="0059336B">
        <w:rPr>
          <w:rFonts w:ascii="Arial" w:eastAsia="Calibri" w:hAnsi="Arial" w:cs="Arial"/>
          <w:i/>
          <w:szCs w:val="22"/>
        </w:rPr>
        <w:t>et al</w:t>
      </w:r>
      <w:r w:rsidRPr="00DD2DDA">
        <w:rPr>
          <w:rFonts w:ascii="Arial" w:eastAsia="Calibri" w:hAnsi="Arial" w:cs="Arial"/>
          <w:szCs w:val="22"/>
        </w:rPr>
        <w:t>., 2021</w:t>
      </w:r>
      <w:r w:rsidR="0061354C" w:rsidRPr="0061354C">
        <w:rPr>
          <w:rFonts w:ascii="Arial" w:eastAsia="Calibri" w:hAnsi="Arial" w:cs="Arial"/>
          <w:szCs w:val="22"/>
          <w:vertAlign w:val="superscript"/>
        </w:rPr>
        <w:t>a</w:t>
      </w:r>
      <w:r w:rsidRPr="00DD2DDA">
        <w:rPr>
          <w:rFonts w:ascii="Arial" w:eastAsia="Calibri" w:hAnsi="Arial" w:cs="Arial"/>
          <w:szCs w:val="22"/>
        </w:rPr>
        <w:t xml:space="preserve">). Sulfur is crucial for synthesizing sulfur-containing amino acids, such as cystine, cysteine, and </w:t>
      </w:r>
      <w:r w:rsidRPr="00DD2DDA">
        <w:rPr>
          <w:rFonts w:ascii="Arial" w:eastAsia="Calibri" w:hAnsi="Arial" w:cs="Arial"/>
          <w:szCs w:val="22"/>
        </w:rPr>
        <w:lastRenderedPageBreak/>
        <w:t xml:space="preserve">methionine. Soils with high sand content typically have low levels of native organic matter and remain dry for most of the year, reducing the microbial activity needed to release sulfur from organic matter and making them more prone to deficiency than soils with medium or heavy textures (Zhou </w:t>
      </w:r>
      <w:r w:rsidRPr="0059336B">
        <w:rPr>
          <w:rFonts w:ascii="Arial" w:eastAsia="Calibri" w:hAnsi="Arial" w:cs="Arial"/>
          <w:i/>
          <w:szCs w:val="22"/>
        </w:rPr>
        <w:t>et al</w:t>
      </w:r>
      <w:r w:rsidRPr="00DD2DDA">
        <w:rPr>
          <w:rFonts w:ascii="Arial" w:eastAsia="Calibri" w:hAnsi="Arial" w:cs="Arial"/>
          <w:szCs w:val="22"/>
        </w:rPr>
        <w:t>., 2024). Sulfur exists in various oxidation states and undergoes significant transformations through chemical and microbiological processes in the soil, making it available to plants (</w:t>
      </w:r>
      <w:proofErr w:type="spellStart"/>
      <w:r w:rsidRPr="00DD2DDA">
        <w:rPr>
          <w:rFonts w:ascii="Arial" w:eastAsia="Calibri" w:hAnsi="Arial" w:cs="Arial"/>
          <w:szCs w:val="22"/>
        </w:rPr>
        <w:t>Potarzycki</w:t>
      </w:r>
      <w:proofErr w:type="spellEnd"/>
      <w:r w:rsidRPr="00DD2DDA">
        <w:rPr>
          <w:rFonts w:ascii="Arial" w:eastAsia="Calibri" w:hAnsi="Arial" w:cs="Arial"/>
          <w:szCs w:val="22"/>
        </w:rPr>
        <w:t xml:space="preserve"> &amp; Wendel, 2023). The behavior of sulfur in soil is closely linked to the soil's physical and chemical properties, as well as the types of crops grown on it. </w:t>
      </w:r>
    </w:p>
    <w:p w:rsidR="00B01FCD" w:rsidRDefault="00DD2DDA" w:rsidP="0059336B">
      <w:pPr>
        <w:pStyle w:val="Body"/>
        <w:spacing w:after="0" w:line="360" w:lineRule="auto"/>
        <w:rPr>
          <w:rFonts w:ascii="Arial" w:hAnsi="Arial" w:cs="Arial"/>
        </w:rPr>
      </w:pPr>
      <w:r w:rsidRPr="00DD2DDA">
        <w:rPr>
          <w:rFonts w:ascii="Arial" w:eastAsia="Calibri" w:hAnsi="Arial" w:cs="Arial"/>
          <w:szCs w:val="22"/>
        </w:rPr>
        <w:t xml:space="preserve">Shukla </w:t>
      </w:r>
      <w:r w:rsidRPr="00DD2DDA">
        <w:rPr>
          <w:rFonts w:ascii="Arial" w:eastAsia="Calibri" w:hAnsi="Arial" w:cs="Arial"/>
          <w:i/>
          <w:szCs w:val="22"/>
        </w:rPr>
        <w:t>et al.</w:t>
      </w:r>
      <w:r w:rsidRPr="00DD2DDA">
        <w:rPr>
          <w:rFonts w:ascii="Arial" w:eastAsia="Calibri" w:hAnsi="Arial" w:cs="Arial"/>
          <w:szCs w:val="22"/>
        </w:rPr>
        <w:t xml:space="preserve"> (2021</w:t>
      </w:r>
      <w:r w:rsidR="0061354C" w:rsidRPr="0061354C">
        <w:rPr>
          <w:rFonts w:ascii="Arial" w:eastAsia="Calibri" w:hAnsi="Arial" w:cs="Arial"/>
          <w:szCs w:val="22"/>
          <w:vertAlign w:val="superscript"/>
        </w:rPr>
        <w:t>b</w:t>
      </w:r>
      <w:r w:rsidRPr="00DD2DDA">
        <w:rPr>
          <w:rFonts w:ascii="Arial" w:eastAsia="Calibri" w:hAnsi="Arial" w:cs="Arial"/>
          <w:szCs w:val="22"/>
        </w:rPr>
        <w:t xml:space="preserve">) report that approximately 51.2% of Indian soil is deficient in available zinc, with more than half of Bihar's soil lacking this essential nutrient. Zinc is vital for crop growth and quality and acts as a key catalytic component of numerous enzymes, including alkaline phosphatase, carbonic anhydrase, Cu-Zn superoxide dismutase, and alcohol dehydrogenase. Furthermore, zinc is crucial for nitrogen metabolism and the synthesis of various biomolecules, such as proteins, lipids, and auxins, and it plays a significant role in the metabolism </w:t>
      </w:r>
      <w:r w:rsidR="001111B7">
        <w:rPr>
          <w:rFonts w:ascii="Arial" w:eastAsia="Calibri" w:hAnsi="Arial" w:cs="Arial"/>
          <w:szCs w:val="22"/>
        </w:rPr>
        <w:t>of plant nucleic acids (</w:t>
      </w:r>
      <w:proofErr w:type="spellStart"/>
      <w:r w:rsidR="001111B7">
        <w:rPr>
          <w:rFonts w:ascii="Arial" w:eastAsia="Calibri" w:hAnsi="Arial" w:cs="Arial"/>
          <w:szCs w:val="22"/>
        </w:rPr>
        <w:t>Kishore</w:t>
      </w:r>
      <w:r w:rsidRPr="00DD2DDA">
        <w:rPr>
          <w:rFonts w:ascii="Arial" w:eastAsia="Calibri" w:hAnsi="Arial" w:cs="Arial"/>
          <w:szCs w:val="22"/>
        </w:rPr>
        <w:t>kumar</w:t>
      </w:r>
      <w:proofErr w:type="spellEnd"/>
      <w:r w:rsidRPr="00DD2DDA">
        <w:rPr>
          <w:rFonts w:ascii="Arial" w:eastAsia="Calibri" w:hAnsi="Arial" w:cs="Arial"/>
          <w:szCs w:val="22"/>
        </w:rPr>
        <w:t xml:space="preserve"> </w:t>
      </w:r>
      <w:r w:rsidRPr="001111B7">
        <w:rPr>
          <w:rFonts w:ascii="Arial" w:eastAsia="Calibri" w:hAnsi="Arial" w:cs="Arial"/>
          <w:i/>
          <w:szCs w:val="22"/>
        </w:rPr>
        <w:t>et al</w:t>
      </w:r>
      <w:r w:rsidRPr="00DD2DDA">
        <w:rPr>
          <w:rFonts w:ascii="Arial" w:eastAsia="Calibri" w:hAnsi="Arial" w:cs="Arial"/>
          <w:szCs w:val="22"/>
        </w:rPr>
        <w:t xml:space="preserve">., 2019; Tariq </w:t>
      </w:r>
      <w:r w:rsidRPr="001111B7">
        <w:rPr>
          <w:rFonts w:ascii="Arial" w:eastAsia="Calibri" w:hAnsi="Arial" w:cs="Arial"/>
          <w:i/>
          <w:szCs w:val="22"/>
        </w:rPr>
        <w:t>et al</w:t>
      </w:r>
      <w:r w:rsidRPr="00DD2DDA">
        <w:rPr>
          <w:rFonts w:ascii="Arial" w:eastAsia="Calibri" w:hAnsi="Arial" w:cs="Arial"/>
          <w:szCs w:val="22"/>
        </w:rPr>
        <w:t>., 2023). Zinc deficiency in plants initially manifests in the lower leaves, causing interveinal chlorosis, stunted growth, and eventually leaf necrosis. In this area of study, our research gaps, including a lack of comprehensive investigations into how different dose of applying sulfur and zinc, such as foliar spraying or soil application, affect linseed nutrient uptake efficiency. Additionally, there is a lack of studies examining the economic viability of various sulfur and Zn application rates across different agroclimatic zones. Furthermore, research on the potential environmental consequences of prolonged sulfur and zinc use in linseed cultivation is scarce. Consequently, the application of sulfur and zinc is crucial for maximizing the linseed yield. In response, a study titled “Stud</w:t>
      </w:r>
      <w:r w:rsidR="00A33814">
        <w:rPr>
          <w:rFonts w:ascii="Arial" w:eastAsia="Calibri" w:hAnsi="Arial" w:cs="Arial"/>
          <w:szCs w:val="22"/>
        </w:rPr>
        <w:t>ies on different levels of Sulf</w:t>
      </w:r>
      <w:r w:rsidRPr="00DD2DDA">
        <w:rPr>
          <w:rFonts w:ascii="Arial" w:eastAsia="Calibri" w:hAnsi="Arial" w:cs="Arial"/>
          <w:szCs w:val="22"/>
        </w:rPr>
        <w:t>ur and Zinc on productivity of Linseed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usitattissimum</w:t>
      </w:r>
      <w:proofErr w:type="spellEnd"/>
      <w:r w:rsidRPr="00DD2DDA">
        <w:rPr>
          <w:rFonts w:ascii="Arial" w:eastAsia="Calibri" w:hAnsi="Arial" w:cs="Arial"/>
          <w:szCs w:val="22"/>
        </w:rPr>
        <w:t xml:space="preserve"> L.) in </w:t>
      </w:r>
      <w:proofErr w:type="spellStart"/>
      <w:r w:rsidRPr="00DD2DDA">
        <w:rPr>
          <w:rFonts w:ascii="Arial" w:eastAsia="Calibri" w:hAnsi="Arial" w:cs="Arial"/>
          <w:szCs w:val="22"/>
        </w:rPr>
        <w:t>Purnea</w:t>
      </w:r>
      <w:proofErr w:type="spellEnd"/>
      <w:r w:rsidRPr="00DD2DDA">
        <w:rPr>
          <w:rFonts w:ascii="Arial" w:eastAsia="Calibri" w:hAnsi="Arial" w:cs="Arial"/>
          <w:szCs w:val="22"/>
        </w:rPr>
        <w:t>, Bihar” was launched. This study aimed to explore the impact of varying sulfur and zinc levels on linseed productivity and oil content and assess the crop response and nutrient uptake of linseed grown under different sulfur and zinc conditions.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7532AE" w:rsidRDefault="00DD2DDA" w:rsidP="0059336B">
      <w:pPr>
        <w:pStyle w:val="Body"/>
        <w:spacing w:after="0" w:line="360" w:lineRule="auto"/>
        <w:rPr>
          <w:rFonts w:ascii="Arial" w:hAnsi="Arial" w:cs="Arial"/>
        </w:rPr>
      </w:pPr>
      <w:r w:rsidRPr="00DD2DDA">
        <w:rPr>
          <w:rFonts w:ascii="Arial" w:hAnsi="Arial" w:cs="Arial"/>
        </w:rPr>
        <w:t xml:space="preserve">A field experiment was conducted at the Bhola </w:t>
      </w:r>
      <w:proofErr w:type="spellStart"/>
      <w:r w:rsidRPr="00DD2DDA">
        <w:rPr>
          <w:rFonts w:ascii="Arial" w:hAnsi="Arial" w:cs="Arial"/>
        </w:rPr>
        <w:t>Paswan</w:t>
      </w:r>
      <w:proofErr w:type="spellEnd"/>
      <w:r w:rsidRPr="00DD2DDA">
        <w:rPr>
          <w:rFonts w:ascii="Arial" w:hAnsi="Arial" w:cs="Arial"/>
        </w:rPr>
        <w:t xml:space="preserve"> Shastri Agricultural College Farm in </w:t>
      </w:r>
      <w:proofErr w:type="spellStart"/>
      <w:r w:rsidRPr="00DD2DDA">
        <w:rPr>
          <w:rFonts w:ascii="Arial" w:hAnsi="Arial" w:cs="Arial"/>
        </w:rPr>
        <w:t>Purnea</w:t>
      </w:r>
      <w:proofErr w:type="spellEnd"/>
      <w:r w:rsidRPr="00DD2DDA">
        <w:rPr>
          <w:rFonts w:ascii="Arial" w:hAnsi="Arial" w:cs="Arial"/>
        </w:rPr>
        <w:t xml:space="preserve">, Bihar during the </w:t>
      </w:r>
      <w:proofErr w:type="spellStart"/>
      <w:r w:rsidRPr="00DD2DDA">
        <w:rPr>
          <w:rFonts w:ascii="Arial" w:hAnsi="Arial" w:cs="Arial"/>
        </w:rPr>
        <w:t>rabi</w:t>
      </w:r>
      <w:proofErr w:type="spellEnd"/>
      <w:r w:rsidRPr="00DD2DDA">
        <w:rPr>
          <w:rFonts w:ascii="Arial" w:hAnsi="Arial" w:cs="Arial"/>
        </w:rPr>
        <w:t xml:space="preserve"> season of 2021-22. This site is located at 25</w:t>
      </w:r>
      <w:r w:rsidRPr="0059336B">
        <w:rPr>
          <w:rFonts w:ascii="Arial" w:hAnsi="Arial" w:cs="Arial"/>
          <w:vertAlign w:val="superscript"/>
        </w:rPr>
        <w:t>0</w:t>
      </w:r>
      <w:r w:rsidRPr="00DD2DDA">
        <w:rPr>
          <w:rFonts w:ascii="Arial" w:hAnsi="Arial" w:cs="Arial"/>
        </w:rPr>
        <w:t xml:space="preserve"> 13' 80" </w:t>
      </w:r>
      <w:proofErr w:type="gramStart"/>
      <w:r w:rsidRPr="00DD2DDA">
        <w:rPr>
          <w:rFonts w:ascii="Arial" w:hAnsi="Arial" w:cs="Arial"/>
        </w:rPr>
        <w:t>N</w:t>
      </w:r>
      <w:r w:rsidR="00570434">
        <w:rPr>
          <w:rFonts w:ascii="Arial" w:hAnsi="Arial" w:cs="Arial"/>
        </w:rPr>
        <w:t xml:space="preserve"> </w:t>
      </w:r>
      <w:r w:rsidRPr="00DD2DDA">
        <w:rPr>
          <w:rFonts w:ascii="Arial" w:hAnsi="Arial" w:cs="Arial"/>
        </w:rPr>
        <w:t xml:space="preserve"> latitude</w:t>
      </w:r>
      <w:proofErr w:type="gramEnd"/>
      <w:r w:rsidRPr="00DD2DDA">
        <w:rPr>
          <w:rFonts w:ascii="Arial" w:hAnsi="Arial" w:cs="Arial"/>
        </w:rPr>
        <w:t>, 86</w:t>
      </w:r>
      <w:r w:rsidRPr="0059336B">
        <w:rPr>
          <w:rFonts w:ascii="Arial" w:hAnsi="Arial" w:cs="Arial"/>
          <w:vertAlign w:val="superscript"/>
        </w:rPr>
        <w:t>0</w:t>
      </w:r>
      <w:r w:rsidRPr="00DD2DDA">
        <w:rPr>
          <w:rFonts w:ascii="Arial" w:hAnsi="Arial" w:cs="Arial"/>
        </w:rPr>
        <w:t xml:space="preserve"> 59' 06" E longitude,</w:t>
      </w:r>
      <w:r w:rsidR="001B2402">
        <w:rPr>
          <w:rFonts w:ascii="Arial" w:hAnsi="Arial" w:cs="Arial"/>
        </w:rPr>
        <w:t xml:space="preserve"> and an elevation of 42.0 meter</w:t>
      </w:r>
      <w:r w:rsidRPr="00DD2DDA">
        <w:rPr>
          <w:rFonts w:ascii="Arial" w:hAnsi="Arial" w:cs="Arial"/>
        </w:rPr>
        <w:t xml:space="preserve"> above sea level in Bihar's </w:t>
      </w:r>
      <w:proofErr w:type="spellStart"/>
      <w:r w:rsidRPr="00DD2DDA">
        <w:rPr>
          <w:rFonts w:ascii="Arial" w:hAnsi="Arial" w:cs="Arial"/>
        </w:rPr>
        <w:t>Kosi</w:t>
      </w:r>
      <w:proofErr w:type="spellEnd"/>
      <w:r w:rsidRPr="00DD2DDA">
        <w:rPr>
          <w:rFonts w:ascii="Arial" w:hAnsi="Arial" w:cs="Arial"/>
        </w:rPr>
        <w:t xml:space="preserve"> region. The soil </w:t>
      </w:r>
      <w:proofErr w:type="gramStart"/>
      <w:r w:rsidR="007532AE">
        <w:rPr>
          <w:rFonts w:ascii="Arial" w:hAnsi="Arial" w:cs="Arial"/>
        </w:rPr>
        <w:t>type  of</w:t>
      </w:r>
      <w:proofErr w:type="gramEnd"/>
      <w:r w:rsidR="007532AE">
        <w:rPr>
          <w:rFonts w:ascii="Arial" w:hAnsi="Arial" w:cs="Arial"/>
        </w:rPr>
        <w:t xml:space="preserve"> site is sandy loam texture with </w:t>
      </w:r>
      <w:r w:rsidRPr="00DD2DDA">
        <w:rPr>
          <w:rFonts w:ascii="Arial" w:hAnsi="Arial" w:cs="Arial"/>
        </w:rPr>
        <w:t xml:space="preserve">neutral pH, low organic carbon (0.35%), and available nitrogen (189 kg/ha), </w:t>
      </w:r>
      <w:r w:rsidR="007532AE">
        <w:rPr>
          <w:rFonts w:ascii="Arial" w:hAnsi="Arial" w:cs="Arial"/>
        </w:rPr>
        <w:t xml:space="preserve">along </w:t>
      </w:r>
      <w:r w:rsidRPr="00DD2DDA">
        <w:rPr>
          <w:rFonts w:ascii="Arial" w:hAnsi="Arial" w:cs="Arial"/>
        </w:rPr>
        <w:t xml:space="preserve">with medium levels of available phosphorus (43.60 kg/ha) and potassium (148.60 kg/ha), as well as available sulfur (10.80 </w:t>
      </w:r>
      <w:r w:rsidRPr="00DD2DDA">
        <w:rPr>
          <w:rFonts w:ascii="Arial" w:hAnsi="Arial" w:cs="Arial"/>
        </w:rPr>
        <w:lastRenderedPageBreak/>
        <w:t>mg/kg)</w:t>
      </w:r>
      <w:r w:rsidR="001B2402">
        <w:rPr>
          <w:rFonts w:ascii="Arial" w:hAnsi="Arial" w:cs="Arial"/>
        </w:rPr>
        <w:t xml:space="preserve"> and zinc (0.41 mg/kg). The</w:t>
      </w:r>
      <w:r w:rsidRPr="00DD2DDA">
        <w:rPr>
          <w:rFonts w:ascii="Arial" w:hAnsi="Arial" w:cs="Arial"/>
        </w:rPr>
        <w:t xml:space="preserve"> treatments </w:t>
      </w:r>
      <w:r w:rsidR="001B2402">
        <w:rPr>
          <w:rFonts w:ascii="Arial" w:hAnsi="Arial" w:cs="Arial"/>
        </w:rPr>
        <w:t xml:space="preserve">comprising </w:t>
      </w:r>
      <w:r w:rsidR="002C743C">
        <w:rPr>
          <w:rFonts w:ascii="Arial" w:hAnsi="Arial" w:cs="Arial"/>
        </w:rPr>
        <w:t>of</w:t>
      </w:r>
      <w:r w:rsidRPr="00DD2DDA">
        <w:rPr>
          <w:rFonts w:ascii="Arial" w:hAnsi="Arial" w:cs="Arial"/>
        </w:rPr>
        <w:t xml:space="preserve"> four </w:t>
      </w:r>
      <w:r w:rsidR="002C743C">
        <w:rPr>
          <w:rFonts w:ascii="Arial" w:hAnsi="Arial" w:cs="Arial"/>
        </w:rPr>
        <w:t xml:space="preserve">levels of </w:t>
      </w:r>
      <w:r w:rsidRPr="00DD2DDA">
        <w:rPr>
          <w:rFonts w:ascii="Arial" w:hAnsi="Arial" w:cs="Arial"/>
        </w:rPr>
        <w:t>sulfur levels (0, 15, 30, and 45 kg ha</w:t>
      </w:r>
      <w:r w:rsidRPr="00355F22">
        <w:rPr>
          <w:rFonts w:ascii="Arial" w:hAnsi="Arial" w:cs="Arial"/>
          <w:vertAlign w:val="superscript"/>
        </w:rPr>
        <w:t>-1</w:t>
      </w:r>
      <w:r w:rsidRPr="00DD2DDA">
        <w:rPr>
          <w:rFonts w:ascii="Arial" w:hAnsi="Arial" w:cs="Arial"/>
        </w:rPr>
        <w:t xml:space="preserve">) and three </w:t>
      </w:r>
      <w:r w:rsidR="002C743C" w:rsidRPr="00DD2DDA">
        <w:rPr>
          <w:rFonts w:ascii="Arial" w:hAnsi="Arial" w:cs="Arial"/>
        </w:rPr>
        <w:t xml:space="preserve">levels </w:t>
      </w:r>
      <w:r w:rsidR="002C743C">
        <w:rPr>
          <w:rFonts w:ascii="Arial" w:hAnsi="Arial" w:cs="Arial"/>
        </w:rPr>
        <w:t xml:space="preserve">of </w:t>
      </w:r>
      <w:r w:rsidRPr="00DD2DDA">
        <w:rPr>
          <w:rFonts w:ascii="Arial" w:hAnsi="Arial" w:cs="Arial"/>
        </w:rPr>
        <w:t>zinc (0, 5, and 10 kg ha</w:t>
      </w:r>
      <w:r w:rsidRPr="00355F22">
        <w:rPr>
          <w:rFonts w:ascii="Arial" w:hAnsi="Arial" w:cs="Arial"/>
          <w:vertAlign w:val="superscript"/>
        </w:rPr>
        <w:t>-1</w:t>
      </w:r>
      <w:r w:rsidRPr="00DD2DDA">
        <w:rPr>
          <w:rFonts w:ascii="Arial" w:hAnsi="Arial" w:cs="Arial"/>
        </w:rPr>
        <w:t>), arranged in a Factorial Randomized Block Design with three replications. Uniform application of nitrogen, phosphorus, and potash was carried out at 80 kg N + 30 kg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+ 20 kg K</w:t>
      </w:r>
      <w:r w:rsidRPr="00355F22">
        <w:rPr>
          <w:rFonts w:ascii="Arial" w:hAnsi="Arial" w:cs="Arial"/>
          <w:vertAlign w:val="subscript"/>
        </w:rPr>
        <w:t>2</w:t>
      </w:r>
      <w:r w:rsidRPr="00DD2DDA">
        <w:rPr>
          <w:rFonts w:ascii="Arial" w:hAnsi="Arial" w:cs="Arial"/>
        </w:rPr>
        <w:t xml:space="preserve">O/ha across all treatment plots using </w:t>
      </w:r>
      <w:r w:rsidR="002C743C" w:rsidRPr="00DD2DDA">
        <w:rPr>
          <w:rFonts w:ascii="Arial" w:hAnsi="Arial" w:cs="Arial"/>
        </w:rPr>
        <w:t>urea</w:t>
      </w:r>
      <w:r w:rsidR="002C743C">
        <w:rPr>
          <w:rFonts w:ascii="Arial" w:hAnsi="Arial" w:cs="Arial"/>
        </w:rPr>
        <w:t xml:space="preserve">, DAP </w:t>
      </w:r>
      <w:r w:rsidRPr="00DD2DDA">
        <w:rPr>
          <w:rFonts w:ascii="Arial" w:hAnsi="Arial" w:cs="Arial"/>
        </w:rPr>
        <w:t>and MOP fertilizers, respectively. Half of the nitrogen, along with the full doses of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and K</w:t>
      </w:r>
      <w:r w:rsidRPr="00355F22">
        <w:rPr>
          <w:rFonts w:ascii="Arial" w:hAnsi="Arial" w:cs="Arial"/>
          <w:vertAlign w:val="subscript"/>
        </w:rPr>
        <w:t>2</w:t>
      </w:r>
      <w:r w:rsidRPr="00DD2DDA">
        <w:rPr>
          <w:rFonts w:ascii="Arial" w:hAnsi="Arial" w:cs="Arial"/>
        </w:rPr>
        <w:t>O, was incorporated into the soil before sowing, whereas the remaining nitrogen was applied at the flowering stage. Sulfur was applied according to the treatment using bentonite sulfur granular fertilizer (90% S), and zinc was administered as zinc sulphate monohydrate (33% Zn) per the treatment. The linseed variety "</w:t>
      </w:r>
      <w:proofErr w:type="spellStart"/>
      <w:r w:rsidRPr="00DD2DDA">
        <w:rPr>
          <w:rFonts w:ascii="Arial" w:hAnsi="Arial" w:cs="Arial"/>
        </w:rPr>
        <w:t>Sabour</w:t>
      </w:r>
      <w:proofErr w:type="spellEnd"/>
      <w:r w:rsidRPr="00DD2DDA">
        <w:rPr>
          <w:rFonts w:ascii="Arial" w:hAnsi="Arial" w:cs="Arial"/>
        </w:rPr>
        <w:t xml:space="preserve"> Tisi-1" was sown at 25 kg seed ha</w:t>
      </w:r>
      <w:r w:rsidRPr="0059336B">
        <w:rPr>
          <w:rFonts w:ascii="Arial" w:hAnsi="Arial" w:cs="Arial"/>
          <w:vertAlign w:val="superscript"/>
        </w:rPr>
        <w:t>-1</w:t>
      </w:r>
      <w:r w:rsidRPr="00DD2DDA">
        <w:rPr>
          <w:rFonts w:ascii="Arial" w:hAnsi="Arial" w:cs="Arial"/>
        </w:rPr>
        <w:t xml:space="preserve">. The seeds were </w:t>
      </w:r>
      <w:r w:rsidR="007532AE">
        <w:rPr>
          <w:rFonts w:ascii="Arial" w:hAnsi="Arial" w:cs="Arial"/>
        </w:rPr>
        <w:t>sown</w:t>
      </w:r>
      <w:r w:rsidRPr="00DD2DDA">
        <w:rPr>
          <w:rFonts w:ascii="Arial" w:hAnsi="Arial" w:cs="Arial"/>
        </w:rPr>
        <w:t xml:space="preserve"> on November 13, 2021, in furrows 3 cm deep and spaced 30 cm apart using a hoe for manual drilling. </w:t>
      </w:r>
    </w:p>
    <w:p w:rsidR="00C072AF" w:rsidRDefault="00DD2DDA" w:rsidP="0059336B">
      <w:pPr>
        <w:pStyle w:val="Body"/>
        <w:spacing w:after="0" w:line="360" w:lineRule="auto"/>
        <w:rPr>
          <w:rFonts w:ascii="Arial" w:hAnsi="Arial" w:cs="Arial"/>
        </w:rPr>
      </w:pPr>
      <w:r w:rsidRPr="00DD2DDA">
        <w:rPr>
          <w:rFonts w:ascii="Arial" w:hAnsi="Arial" w:cs="Arial"/>
        </w:rPr>
        <w:t>Plant samples were coll</w:t>
      </w:r>
      <w:r w:rsidR="00834E7C">
        <w:rPr>
          <w:rFonts w:ascii="Arial" w:hAnsi="Arial" w:cs="Arial"/>
        </w:rPr>
        <w:t>ected from</w:t>
      </w:r>
      <w:r w:rsidRPr="00DD2DDA">
        <w:rPr>
          <w:rFonts w:ascii="Arial" w:hAnsi="Arial" w:cs="Arial"/>
        </w:rPr>
        <w:t xml:space="preserve"> each plo</w:t>
      </w:r>
      <w:r w:rsidR="00834E7C">
        <w:rPr>
          <w:rFonts w:ascii="Arial" w:hAnsi="Arial" w:cs="Arial"/>
        </w:rPr>
        <w:t xml:space="preserve">t </w:t>
      </w:r>
      <w:r w:rsidRPr="00DD2DDA">
        <w:rPr>
          <w:rFonts w:ascii="Arial" w:hAnsi="Arial" w:cs="Arial"/>
        </w:rPr>
        <w:t xml:space="preserve">were dried in a hot air oven at 60 ±5 °C </w:t>
      </w:r>
      <w:r w:rsidR="00834E7C">
        <w:rPr>
          <w:rFonts w:ascii="Arial" w:hAnsi="Arial" w:cs="Arial"/>
        </w:rPr>
        <w:t xml:space="preserve">and used </w:t>
      </w:r>
      <w:r w:rsidRPr="00DD2DDA">
        <w:rPr>
          <w:rFonts w:ascii="Arial" w:hAnsi="Arial" w:cs="Arial"/>
        </w:rPr>
        <w:t>for further analysis. Plant samples were digested in a 5:1 diacid mixture (H</w:t>
      </w:r>
      <w:r w:rsidRPr="0059336B">
        <w:rPr>
          <w:rFonts w:ascii="Arial" w:hAnsi="Arial" w:cs="Arial"/>
          <w:vertAlign w:val="subscript"/>
        </w:rPr>
        <w:t>2</w:t>
      </w:r>
      <w:r w:rsidRPr="00DD2DDA">
        <w:rPr>
          <w:rFonts w:ascii="Arial" w:hAnsi="Arial" w:cs="Arial"/>
        </w:rPr>
        <w:t>SO</w:t>
      </w:r>
      <w:r w:rsidRPr="0059336B">
        <w:rPr>
          <w:rFonts w:ascii="Arial" w:hAnsi="Arial" w:cs="Arial"/>
          <w:vertAlign w:val="subscript"/>
        </w:rPr>
        <w:t>4</w:t>
      </w:r>
      <w:r w:rsidRPr="00DD2DDA">
        <w:rPr>
          <w:rFonts w:ascii="Arial" w:hAnsi="Arial" w:cs="Arial"/>
        </w:rPr>
        <w:t>: HClO</w:t>
      </w:r>
      <w:r w:rsidRPr="0059336B">
        <w:rPr>
          <w:rFonts w:ascii="Arial" w:hAnsi="Arial" w:cs="Arial"/>
          <w:vertAlign w:val="subscript"/>
        </w:rPr>
        <w:t>4</w:t>
      </w:r>
      <w:r w:rsidRPr="00DD2DDA">
        <w:rPr>
          <w:rFonts w:ascii="Arial" w:hAnsi="Arial" w:cs="Arial"/>
        </w:rPr>
        <w:t>)</w:t>
      </w:r>
      <w:r w:rsidR="00834E7C">
        <w:rPr>
          <w:rFonts w:ascii="Arial" w:hAnsi="Arial" w:cs="Arial"/>
        </w:rPr>
        <w:t xml:space="preserve"> </w:t>
      </w:r>
      <w:proofErr w:type="gramStart"/>
      <w:r w:rsidR="00834E7C">
        <w:rPr>
          <w:rFonts w:ascii="Arial" w:hAnsi="Arial" w:cs="Arial"/>
        </w:rPr>
        <w:t xml:space="preserve">and  </w:t>
      </w:r>
      <w:proofErr w:type="spellStart"/>
      <w:r w:rsidR="00834E7C">
        <w:rPr>
          <w:rFonts w:ascii="Arial" w:hAnsi="Arial" w:cs="Arial"/>
        </w:rPr>
        <w:t>sulphur</w:t>
      </w:r>
      <w:proofErr w:type="spellEnd"/>
      <w:proofErr w:type="gramEnd"/>
      <w:r w:rsidR="00834E7C">
        <w:rPr>
          <w:rFonts w:ascii="Arial" w:hAnsi="Arial" w:cs="Arial"/>
        </w:rPr>
        <w:t xml:space="preserve"> and  zinc were  determined by </w:t>
      </w:r>
      <w:proofErr w:type="spellStart"/>
      <w:r w:rsidR="00834E7C">
        <w:rPr>
          <w:rFonts w:ascii="Arial" w:hAnsi="Arial" w:cs="Arial"/>
        </w:rPr>
        <w:t>turidimetric</w:t>
      </w:r>
      <w:proofErr w:type="spellEnd"/>
      <w:r w:rsidR="00834E7C">
        <w:rPr>
          <w:rFonts w:ascii="Arial" w:hAnsi="Arial" w:cs="Arial"/>
        </w:rPr>
        <w:t xml:space="preserve"> method </w:t>
      </w:r>
      <w:r w:rsidR="00834E7C" w:rsidRPr="00DD2DDA">
        <w:rPr>
          <w:rFonts w:ascii="Arial" w:hAnsi="Arial" w:cs="Arial"/>
        </w:rPr>
        <w:t>(</w:t>
      </w:r>
      <w:proofErr w:type="spellStart"/>
      <w:r w:rsidR="00834E7C" w:rsidRPr="00DD2DDA">
        <w:rPr>
          <w:rFonts w:ascii="Arial" w:hAnsi="Arial" w:cs="Arial"/>
        </w:rPr>
        <w:t>Chesnin</w:t>
      </w:r>
      <w:proofErr w:type="spellEnd"/>
      <w:r w:rsidR="00834E7C" w:rsidRPr="00DD2DDA">
        <w:rPr>
          <w:rFonts w:ascii="Arial" w:hAnsi="Arial" w:cs="Arial"/>
        </w:rPr>
        <w:t xml:space="preserve"> and </w:t>
      </w:r>
      <w:proofErr w:type="spellStart"/>
      <w:r w:rsidR="00834E7C" w:rsidRPr="00DD2DDA">
        <w:rPr>
          <w:rFonts w:ascii="Arial" w:hAnsi="Arial" w:cs="Arial"/>
        </w:rPr>
        <w:t>Yein</w:t>
      </w:r>
      <w:proofErr w:type="spellEnd"/>
      <w:r w:rsidR="00834E7C" w:rsidRPr="00DD2DDA">
        <w:rPr>
          <w:rFonts w:ascii="Arial" w:hAnsi="Arial" w:cs="Arial"/>
        </w:rPr>
        <w:t>, 1951)</w:t>
      </w:r>
      <w:r w:rsidR="00834E7C">
        <w:rPr>
          <w:rFonts w:ascii="Arial" w:hAnsi="Arial" w:cs="Arial"/>
        </w:rPr>
        <w:t xml:space="preserve"> and atomic  absorption spectrophotometer, respectively</w:t>
      </w:r>
      <w:r w:rsidRPr="00DD2DDA">
        <w:rPr>
          <w:rFonts w:ascii="Arial" w:hAnsi="Arial" w:cs="Arial"/>
        </w:rPr>
        <w:t xml:space="preserve">. The </w:t>
      </w:r>
      <w:r w:rsidR="00B746D3">
        <w:rPr>
          <w:rFonts w:ascii="Arial" w:hAnsi="Arial" w:cs="Arial"/>
        </w:rPr>
        <w:t xml:space="preserve">oil content of the seed </w:t>
      </w:r>
      <w:r w:rsidRPr="00DD2DDA">
        <w:rPr>
          <w:rFonts w:ascii="Arial" w:hAnsi="Arial" w:cs="Arial"/>
        </w:rPr>
        <w:t>was determined using Soxhlet extraction with petroleum ether as the solvent. The following equation was used to calculate the oil content (</w:t>
      </w:r>
      <w:proofErr w:type="spellStart"/>
      <w:r w:rsidRPr="00DD2DDA">
        <w:rPr>
          <w:rFonts w:ascii="Arial" w:hAnsi="Arial" w:cs="Arial"/>
        </w:rPr>
        <w:t>Niu</w:t>
      </w:r>
      <w:proofErr w:type="spellEnd"/>
      <w:r w:rsidRPr="00DD2DDA">
        <w:rPr>
          <w:rFonts w:ascii="Arial" w:hAnsi="Arial" w:cs="Arial"/>
        </w:rPr>
        <w:t xml:space="preserve"> </w:t>
      </w:r>
      <w:r w:rsidRPr="00355F22">
        <w:rPr>
          <w:rFonts w:ascii="Arial" w:hAnsi="Arial" w:cs="Arial"/>
          <w:i/>
        </w:rPr>
        <w:t>et al.</w:t>
      </w:r>
      <w:r w:rsidR="002E0A84">
        <w:rPr>
          <w:rFonts w:ascii="Arial" w:hAnsi="Arial" w:cs="Arial"/>
        </w:rPr>
        <w:t>, 2014).</w:t>
      </w:r>
    </w:p>
    <w:p w:rsidR="002E0A84" w:rsidRDefault="002E0A84" w:rsidP="00B746D3">
      <w:pPr>
        <w:pStyle w:val="Body"/>
        <w:spacing w:after="0" w:line="360" w:lineRule="auto"/>
        <w:ind w:left="1440" w:firstLine="720"/>
        <w:rPr>
          <w:rFonts w:ascii="Arial" w:hAnsi="Arial" w:cs="Arial"/>
        </w:rPr>
      </w:pPr>
      <w:r>
        <w:rPr>
          <w:rFonts w:ascii="Arial" w:hAnsi="Arial" w:cs="Arial"/>
        </w:rPr>
        <w:t>Oil yield (</w:t>
      </w:r>
      <w:proofErr w:type="gramStart"/>
      <w:r>
        <w:rPr>
          <w:rFonts w:ascii="Arial" w:hAnsi="Arial" w:cs="Arial"/>
        </w:rPr>
        <w:t>%)=</w:t>
      </w:r>
      <w:proofErr w:type="gramEnd"/>
      <w:r>
        <w:rPr>
          <w:rFonts w:ascii="Arial" w:hAnsi="Arial" w:cs="Arial"/>
        </w:rPr>
        <w:t xml:space="preserve"> (W</w:t>
      </w:r>
      <w:r w:rsidRPr="002E0A84">
        <w:rPr>
          <w:rFonts w:ascii="Arial" w:hAnsi="Arial" w:cs="Arial"/>
          <w:vertAlign w:val="subscript"/>
        </w:rPr>
        <w:t>1</w:t>
      </w:r>
      <w:r>
        <w:rPr>
          <w:rFonts w:ascii="Arial" w:hAnsi="Arial" w:cs="Arial"/>
        </w:rPr>
        <w:t>/W</w:t>
      </w:r>
      <w:r w:rsidRPr="002E0A84">
        <w:rPr>
          <w:rFonts w:ascii="Arial" w:hAnsi="Arial" w:cs="Arial"/>
          <w:vertAlign w:val="subscript"/>
        </w:rPr>
        <w:t>2</w:t>
      </w:r>
      <w:r>
        <w:rPr>
          <w:rFonts w:ascii="Arial" w:hAnsi="Arial" w:cs="Arial"/>
        </w:rPr>
        <w:t>) x 100</w:t>
      </w:r>
    </w:p>
    <w:p w:rsidR="002E0A84" w:rsidRDefault="002E0A84" w:rsidP="0059336B">
      <w:pPr>
        <w:pStyle w:val="Body"/>
        <w:spacing w:after="0" w:line="360" w:lineRule="auto"/>
        <w:rPr>
          <w:rFonts w:ascii="Arial" w:hAnsi="Arial" w:cs="Arial"/>
        </w:rPr>
      </w:pPr>
      <w:r>
        <w:rPr>
          <w:rFonts w:ascii="Arial" w:hAnsi="Arial" w:cs="Arial"/>
        </w:rPr>
        <w:tab/>
        <w:t>Where, W</w:t>
      </w:r>
      <w:r w:rsidRPr="002E0A84">
        <w:rPr>
          <w:rFonts w:ascii="Arial" w:hAnsi="Arial" w:cs="Arial"/>
          <w:vertAlign w:val="subscript"/>
        </w:rPr>
        <w:t>1</w:t>
      </w:r>
      <w:r>
        <w:rPr>
          <w:rFonts w:ascii="Arial" w:hAnsi="Arial" w:cs="Arial"/>
          <w:vertAlign w:val="subscript"/>
        </w:rPr>
        <w:t xml:space="preserve"> </w:t>
      </w:r>
      <w:r w:rsidR="00B746D3" w:rsidRPr="002E0A84">
        <w:rPr>
          <w:rFonts w:ascii="Arial" w:hAnsi="Arial" w:cs="Arial"/>
        </w:rPr>
        <w:t>=</w:t>
      </w:r>
      <w:r w:rsidR="00B746D3">
        <w:rPr>
          <w:rFonts w:ascii="Arial" w:hAnsi="Arial" w:cs="Arial"/>
        </w:rPr>
        <w:t xml:space="preserve"> Weight </w:t>
      </w:r>
      <w:r w:rsidR="00232B10">
        <w:rPr>
          <w:rFonts w:ascii="Arial" w:hAnsi="Arial" w:cs="Arial"/>
        </w:rPr>
        <w:t>of extracted</w:t>
      </w:r>
      <w:r w:rsidR="00B746D3">
        <w:rPr>
          <w:rFonts w:ascii="Arial" w:hAnsi="Arial" w:cs="Arial"/>
        </w:rPr>
        <w:t xml:space="preserve"> oil</w:t>
      </w:r>
      <w:r w:rsidR="00232B10">
        <w:rPr>
          <w:rFonts w:ascii="Arial" w:hAnsi="Arial" w:cs="Arial"/>
        </w:rPr>
        <w:t xml:space="preserve"> from sample</w:t>
      </w:r>
      <w:r w:rsidR="00B746D3">
        <w:rPr>
          <w:rFonts w:ascii="Arial" w:hAnsi="Arial" w:cs="Arial"/>
        </w:rPr>
        <w:t xml:space="preserve"> (g)</w:t>
      </w:r>
      <w:r>
        <w:rPr>
          <w:rFonts w:ascii="Arial" w:hAnsi="Arial" w:cs="Arial"/>
        </w:rPr>
        <w:t xml:space="preserve"> </w:t>
      </w:r>
    </w:p>
    <w:p w:rsidR="002E0A84" w:rsidRDefault="002E0A84" w:rsidP="002E0A84">
      <w:pPr>
        <w:pStyle w:val="Body"/>
        <w:spacing w:after="0" w:line="360" w:lineRule="auto"/>
        <w:ind w:left="720" w:firstLine="720"/>
        <w:rPr>
          <w:rFonts w:ascii="Arial" w:hAnsi="Arial" w:cs="Arial"/>
        </w:rPr>
      </w:pPr>
      <w:r>
        <w:rPr>
          <w:rFonts w:ascii="Arial" w:hAnsi="Arial" w:cs="Arial"/>
        </w:rPr>
        <w:t>W</w:t>
      </w:r>
      <w:r w:rsidRPr="002E0A84">
        <w:rPr>
          <w:rFonts w:ascii="Arial" w:hAnsi="Arial" w:cs="Arial"/>
          <w:vertAlign w:val="subscript"/>
        </w:rPr>
        <w:t>2</w:t>
      </w:r>
      <w:r w:rsidR="00B746D3" w:rsidRPr="002E0A84">
        <w:rPr>
          <w:rFonts w:ascii="Arial" w:hAnsi="Arial" w:cs="Arial"/>
        </w:rPr>
        <w:t>=</w:t>
      </w:r>
      <w:r w:rsidR="00B746D3">
        <w:rPr>
          <w:rFonts w:ascii="Arial" w:hAnsi="Arial" w:cs="Arial"/>
        </w:rPr>
        <w:t xml:space="preserve"> Initial</w:t>
      </w:r>
      <w:r>
        <w:rPr>
          <w:rFonts w:ascii="Arial" w:hAnsi="Arial" w:cs="Arial"/>
        </w:rPr>
        <w:t xml:space="preserve"> </w:t>
      </w:r>
      <w:r w:rsidR="00B746D3">
        <w:rPr>
          <w:rFonts w:ascii="Arial" w:hAnsi="Arial" w:cs="Arial"/>
        </w:rPr>
        <w:t>sample weight (g)</w:t>
      </w:r>
      <w:r>
        <w:rPr>
          <w:rFonts w:ascii="Arial" w:hAnsi="Arial" w:cs="Arial"/>
        </w:rPr>
        <w:t xml:space="preserve">  </w:t>
      </w:r>
    </w:p>
    <w:p w:rsidR="00A03B96" w:rsidRDefault="00DD2DDA" w:rsidP="0059336B">
      <w:pPr>
        <w:pStyle w:val="Body"/>
        <w:spacing w:after="0" w:line="360" w:lineRule="auto"/>
        <w:rPr>
          <w:rFonts w:ascii="Arial" w:hAnsi="Arial" w:cs="Arial"/>
        </w:rPr>
      </w:pPr>
      <w:r w:rsidRPr="00DD2DDA">
        <w:rPr>
          <w:rFonts w:ascii="Arial" w:hAnsi="Arial" w:cs="Arial"/>
        </w:rPr>
        <w:t xml:space="preserve">Soil samples were taken from 0-15 cm </w:t>
      </w:r>
      <w:r w:rsidR="00232B10" w:rsidRPr="00DD2DDA">
        <w:rPr>
          <w:rFonts w:ascii="Arial" w:hAnsi="Arial" w:cs="Arial"/>
        </w:rPr>
        <w:t xml:space="preserve">depth </w:t>
      </w:r>
      <w:r w:rsidRPr="00DD2DDA">
        <w:rPr>
          <w:rFonts w:ascii="Arial" w:hAnsi="Arial" w:cs="Arial"/>
        </w:rPr>
        <w:t xml:space="preserve">analyze </w:t>
      </w:r>
      <w:r w:rsidR="00232B10">
        <w:rPr>
          <w:rFonts w:ascii="Arial" w:hAnsi="Arial" w:cs="Arial"/>
        </w:rPr>
        <w:t xml:space="preserve">for soil properties such as </w:t>
      </w:r>
      <w:r w:rsidRPr="00DD2DDA">
        <w:rPr>
          <w:rFonts w:ascii="Arial" w:hAnsi="Arial" w:cs="Arial"/>
        </w:rPr>
        <w:t>pH, EC, organic carbon, available N, P, K</w:t>
      </w:r>
      <w:r w:rsidR="00232B10">
        <w:rPr>
          <w:rFonts w:ascii="Arial" w:hAnsi="Arial" w:cs="Arial"/>
        </w:rPr>
        <w:t xml:space="preserve">  </w:t>
      </w:r>
      <w:r w:rsidRPr="00DD2DDA">
        <w:rPr>
          <w:rFonts w:ascii="Arial" w:hAnsi="Arial" w:cs="Arial"/>
        </w:rPr>
        <w:t xml:space="preserve">and DTPA-Zn. Soil organic carbon </w:t>
      </w:r>
      <w:r w:rsidR="007532AE" w:rsidRPr="00DD2DDA">
        <w:rPr>
          <w:rFonts w:ascii="Arial" w:hAnsi="Arial" w:cs="Arial"/>
        </w:rPr>
        <w:t>was</w:t>
      </w:r>
      <w:r w:rsidR="007532AE">
        <w:rPr>
          <w:rFonts w:ascii="Arial" w:hAnsi="Arial" w:cs="Arial"/>
        </w:rPr>
        <w:t xml:space="preserve"> </w:t>
      </w:r>
      <w:r w:rsidR="00232B10">
        <w:rPr>
          <w:rFonts w:ascii="Arial" w:hAnsi="Arial" w:cs="Arial"/>
        </w:rPr>
        <w:t>determined by</w:t>
      </w:r>
      <w:r w:rsidRPr="00DD2DDA">
        <w:rPr>
          <w:rFonts w:ascii="Arial" w:hAnsi="Arial" w:cs="Arial"/>
        </w:rPr>
        <w:t xml:space="preserve"> Walkley and Black method (1934), phosphorus </w:t>
      </w:r>
      <w:r w:rsidR="00232B10">
        <w:rPr>
          <w:rFonts w:ascii="Arial" w:hAnsi="Arial" w:cs="Arial"/>
        </w:rPr>
        <w:t>by</w:t>
      </w:r>
      <w:r w:rsidRPr="00DD2DDA">
        <w:rPr>
          <w:rFonts w:ascii="Arial" w:hAnsi="Arial" w:cs="Arial"/>
        </w:rPr>
        <w:t xml:space="preserve"> Olsen method (Olsen </w:t>
      </w:r>
      <w:r w:rsidRPr="00355F22">
        <w:rPr>
          <w:rFonts w:ascii="Arial" w:hAnsi="Arial" w:cs="Arial"/>
          <w:i/>
        </w:rPr>
        <w:t>et al</w:t>
      </w:r>
      <w:r w:rsidRPr="00DD2DDA">
        <w:rPr>
          <w:rFonts w:ascii="Arial" w:hAnsi="Arial" w:cs="Arial"/>
        </w:rPr>
        <w:t xml:space="preserve">., 1954), and potassium </w:t>
      </w:r>
      <w:r w:rsidR="00232B10">
        <w:rPr>
          <w:rFonts w:ascii="Arial" w:hAnsi="Arial" w:cs="Arial"/>
        </w:rPr>
        <w:t>by</w:t>
      </w:r>
      <w:r w:rsidRPr="00DD2DDA">
        <w:rPr>
          <w:rFonts w:ascii="Arial" w:hAnsi="Arial" w:cs="Arial"/>
        </w:rPr>
        <w:t xml:space="preserve"> flame photometer (</w:t>
      </w:r>
      <w:proofErr w:type="spellStart"/>
      <w:r w:rsidRPr="00DD2DDA">
        <w:rPr>
          <w:rFonts w:ascii="Arial" w:hAnsi="Arial" w:cs="Arial"/>
        </w:rPr>
        <w:t>Hanway</w:t>
      </w:r>
      <w:proofErr w:type="spellEnd"/>
      <w:r w:rsidRPr="00DD2DDA">
        <w:rPr>
          <w:rFonts w:ascii="Arial" w:hAnsi="Arial" w:cs="Arial"/>
        </w:rPr>
        <w:t xml:space="preserve"> and </w:t>
      </w:r>
      <w:proofErr w:type="spellStart"/>
      <w:r w:rsidRPr="00DD2DDA">
        <w:rPr>
          <w:rFonts w:ascii="Arial" w:hAnsi="Arial" w:cs="Arial"/>
        </w:rPr>
        <w:t>Heidel</w:t>
      </w:r>
      <w:proofErr w:type="spellEnd"/>
      <w:r w:rsidRPr="00DD2DDA">
        <w:rPr>
          <w:rFonts w:ascii="Arial" w:hAnsi="Arial" w:cs="Arial"/>
        </w:rPr>
        <w:t>, 1952). DTPA-zinc was estimated by Lindsay and Norvell (1978) using an Atomic Absorption Spectrophotometer.</w:t>
      </w:r>
      <w:r w:rsidR="00232B10">
        <w:rPr>
          <w:rFonts w:ascii="Arial" w:hAnsi="Arial" w:cs="Arial"/>
        </w:rPr>
        <w:t xml:space="preserve"> </w:t>
      </w:r>
      <w:r w:rsidR="00426B4C">
        <w:rPr>
          <w:rFonts w:ascii="Arial" w:hAnsi="Arial" w:cs="Arial"/>
        </w:rPr>
        <w:t xml:space="preserve">The data collected from experiment were subjected to statistical analysis as described by Gomez </w:t>
      </w:r>
      <w:proofErr w:type="gramStart"/>
      <w:r w:rsidR="00426B4C">
        <w:rPr>
          <w:rFonts w:ascii="Arial" w:hAnsi="Arial" w:cs="Arial"/>
        </w:rPr>
        <w:t>and  Gomez</w:t>
      </w:r>
      <w:proofErr w:type="gramEnd"/>
      <w:r w:rsidR="00426B4C">
        <w:rPr>
          <w:rFonts w:ascii="Arial" w:hAnsi="Arial" w:cs="Arial"/>
        </w:rPr>
        <w:t xml:space="preserve"> (1984) tested at 5% level of significance to interpret the  significant  difference.</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Effect on yield and oil content</w:t>
      </w:r>
    </w:p>
    <w:p w:rsidR="00F87604" w:rsidRDefault="00A74E71" w:rsidP="00CB6BA3">
      <w:pPr>
        <w:pStyle w:val="Body"/>
        <w:spacing w:line="360" w:lineRule="auto"/>
        <w:rPr>
          <w:rFonts w:ascii="Arial" w:hAnsi="Arial" w:cs="Arial"/>
        </w:rPr>
      </w:pPr>
      <w:r w:rsidRPr="00A74E71">
        <w:rPr>
          <w:rFonts w:ascii="Arial" w:hAnsi="Arial" w:cs="Arial"/>
        </w:rPr>
        <w:t xml:space="preserve">The application of sulfur at levels up to 60 kg/ha led to a notable increase in both seed and </w:t>
      </w:r>
      <w:proofErr w:type="spellStart"/>
      <w:r w:rsidRPr="00A74E71">
        <w:rPr>
          <w:rFonts w:ascii="Arial" w:hAnsi="Arial" w:cs="Arial"/>
        </w:rPr>
        <w:t>stover</w:t>
      </w:r>
      <w:proofErr w:type="spellEnd"/>
      <w:r w:rsidRPr="00A74E71">
        <w:rPr>
          <w:rFonts w:ascii="Arial" w:hAnsi="Arial" w:cs="Arial"/>
        </w:rPr>
        <w:t xml:space="preserve"> yields compared to the control, although </w:t>
      </w:r>
      <w:r w:rsidR="000242C9">
        <w:rPr>
          <w:rFonts w:ascii="Arial" w:hAnsi="Arial" w:cs="Arial"/>
        </w:rPr>
        <w:t>both</w:t>
      </w:r>
      <w:r w:rsidR="00AF33CA">
        <w:rPr>
          <w:rFonts w:ascii="Arial" w:hAnsi="Arial" w:cs="Arial"/>
        </w:rPr>
        <w:t xml:space="preserve"> the yield were statistically </w:t>
      </w:r>
      <w:r w:rsidR="002954C1">
        <w:rPr>
          <w:rFonts w:ascii="Arial" w:hAnsi="Arial" w:cs="Arial"/>
        </w:rPr>
        <w:t>at par</w:t>
      </w:r>
      <w:r w:rsidR="000242C9">
        <w:rPr>
          <w:rFonts w:ascii="Arial" w:hAnsi="Arial" w:cs="Arial"/>
        </w:rPr>
        <w:t xml:space="preserve"> to</w:t>
      </w:r>
      <w:r w:rsidRPr="00A74E71">
        <w:rPr>
          <w:rFonts w:ascii="Arial" w:hAnsi="Arial" w:cs="Arial"/>
        </w:rPr>
        <w:t xml:space="preserve"> 40 kg S/ha (Table1). Specifically, seed yields increased by 17.9%, 13.6%, and 9.7% with the application of 60, 40, and 20 kg S/ha, respectively, compared with the control. This enhancement in seed yield is likely due to the vital role of sulfur in various physiological </w:t>
      </w:r>
      <w:r w:rsidRPr="00A74E71">
        <w:rPr>
          <w:rFonts w:ascii="Arial" w:hAnsi="Arial" w:cs="Arial"/>
        </w:rPr>
        <w:lastRenderedPageBreak/>
        <w:t>functions, including the formation of co-enzyme A, biotin, thymine, vitamin B1, and glutathione, which are essential for growth and yield. Additionally, sulfur nutrition supp</w:t>
      </w:r>
      <w:r w:rsidR="002954C1">
        <w:rPr>
          <w:rFonts w:ascii="Arial" w:hAnsi="Arial" w:cs="Arial"/>
        </w:rPr>
        <w:t>orts cell division,</w:t>
      </w:r>
      <w:r w:rsidRPr="00A74E71">
        <w:rPr>
          <w:rFonts w:ascii="Arial" w:hAnsi="Arial" w:cs="Arial"/>
        </w:rPr>
        <w:t xml:space="preserve"> expansion an</w:t>
      </w:r>
      <w:r w:rsidR="002954C1">
        <w:rPr>
          <w:rFonts w:ascii="Arial" w:hAnsi="Arial" w:cs="Arial"/>
        </w:rPr>
        <w:t>d boosts chlorophyll production</w:t>
      </w:r>
      <w:r w:rsidRPr="00A74E71">
        <w:rPr>
          <w:rFonts w:ascii="Arial" w:hAnsi="Arial" w:cs="Arial"/>
        </w:rPr>
        <w:t xml:space="preserve"> resulting in deep green leaves and improved dry matter distribution compared to plants lacking sulfur. These results are consistent with findings of </w:t>
      </w:r>
      <w:proofErr w:type="spellStart"/>
      <w:r w:rsidRPr="00A74E71">
        <w:rPr>
          <w:rFonts w:ascii="Arial" w:hAnsi="Arial" w:cs="Arial"/>
        </w:rPr>
        <w:t>Mehriya</w:t>
      </w:r>
      <w:proofErr w:type="spellEnd"/>
      <w:r w:rsidRPr="00A74E71">
        <w:rPr>
          <w:rFonts w:ascii="Arial" w:hAnsi="Arial" w:cs="Arial"/>
        </w:rPr>
        <w:t xml:space="preserve"> and </w:t>
      </w:r>
      <w:proofErr w:type="spellStart"/>
      <w:r w:rsidRPr="00A74E71">
        <w:rPr>
          <w:rFonts w:ascii="Arial" w:hAnsi="Arial" w:cs="Arial"/>
        </w:rPr>
        <w:t>Khangarot’s</w:t>
      </w:r>
      <w:proofErr w:type="spellEnd"/>
      <w:r w:rsidRPr="00A74E71">
        <w:rPr>
          <w:rFonts w:ascii="Arial" w:hAnsi="Arial" w:cs="Arial"/>
        </w:rPr>
        <w:t xml:space="preserve"> (2000). Optimal vegetative growth and yield in mustard crops were achieved with the application of 60 kg S/ha (</w:t>
      </w:r>
      <w:proofErr w:type="spellStart"/>
      <w:r w:rsidRPr="00A74E71">
        <w:rPr>
          <w:rFonts w:ascii="Arial" w:hAnsi="Arial" w:cs="Arial"/>
        </w:rPr>
        <w:t>Sipai</w:t>
      </w:r>
      <w:proofErr w:type="spellEnd"/>
      <w:r w:rsidRPr="00A74E71">
        <w:rPr>
          <w:rFonts w:ascii="Arial" w:hAnsi="Arial" w:cs="Arial"/>
        </w:rPr>
        <w:t xml:space="preserve"> </w:t>
      </w:r>
      <w:r w:rsidRPr="00A74E71">
        <w:rPr>
          <w:rFonts w:ascii="Arial" w:hAnsi="Arial" w:cs="Arial"/>
          <w:i/>
        </w:rPr>
        <w:t>et al.</w:t>
      </w:r>
      <w:r w:rsidRPr="00A74E71">
        <w:rPr>
          <w:rFonts w:ascii="Arial" w:hAnsi="Arial" w:cs="Arial"/>
        </w:rPr>
        <w:t xml:space="preserve">, 2015). </w:t>
      </w:r>
    </w:p>
    <w:p w:rsidR="00A74E71" w:rsidRPr="008A256F" w:rsidRDefault="00A74E71" w:rsidP="00A74E71">
      <w:pPr>
        <w:spacing w:line="360" w:lineRule="auto"/>
        <w:rPr>
          <w:rFonts w:ascii="Arial" w:hAnsi="Arial" w:cs="Arial"/>
          <w:b/>
          <w:color w:val="000000" w:themeColor="text1"/>
          <w:spacing w:val="6"/>
          <w:u w:val="single"/>
        </w:rPr>
      </w:pPr>
      <w:r w:rsidRPr="008A256F">
        <w:rPr>
          <w:rFonts w:ascii="Arial" w:hAnsi="Arial" w:cs="Arial"/>
          <w:b/>
          <w:color w:val="000000" w:themeColor="text1"/>
        </w:rPr>
        <w:t>Table 1: Effect on yield (q/ha) and oil content (%) in linseed</w:t>
      </w:r>
    </w:p>
    <w:tbl>
      <w:tblPr>
        <w:tblW w:w="5000" w:type="pct"/>
        <w:tblLook w:val="04A0" w:firstRow="1" w:lastRow="0" w:firstColumn="1" w:lastColumn="0" w:noHBand="0" w:noVBand="1"/>
      </w:tblPr>
      <w:tblGrid>
        <w:gridCol w:w="1792"/>
        <w:gridCol w:w="2222"/>
        <w:gridCol w:w="1921"/>
        <w:gridCol w:w="2483"/>
      </w:tblGrid>
      <w:tr w:rsidR="00A74E71" w:rsidRPr="008A256F" w:rsidTr="004D6A5A">
        <w:trPr>
          <w:trHeight w:val="243"/>
        </w:trPr>
        <w:tc>
          <w:tcPr>
            <w:tcW w:w="1064" w:type="pct"/>
            <w:vMerge w:val="restart"/>
            <w:tcBorders>
              <w:top w:val="single" w:sz="4" w:space="0" w:color="auto"/>
              <w:bottom w:val="single" w:sz="4" w:space="0" w:color="auto"/>
            </w:tcBorders>
            <w:noWrap/>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Treatment</w:t>
            </w:r>
          </w:p>
        </w:tc>
        <w:tc>
          <w:tcPr>
            <w:tcW w:w="2461" w:type="pct"/>
            <w:gridSpan w:val="2"/>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 xml:space="preserve">Yield </w:t>
            </w:r>
            <w:r w:rsidRPr="008A256F">
              <w:rPr>
                <w:rFonts w:ascii="Arial" w:hAnsi="Arial" w:cs="Arial"/>
                <w:b/>
                <w:color w:val="000000" w:themeColor="text1"/>
              </w:rPr>
              <w:t>(q/ha)</w:t>
            </w:r>
          </w:p>
        </w:tc>
        <w:tc>
          <w:tcPr>
            <w:tcW w:w="1475" w:type="pct"/>
            <w:vMerge w:val="restar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Oil content</w:t>
            </w:r>
          </w:p>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w:t>
            </w:r>
          </w:p>
        </w:tc>
      </w:tr>
      <w:tr w:rsidR="00A74E71" w:rsidRPr="008A256F" w:rsidTr="004D6A5A">
        <w:trPr>
          <w:trHeight w:val="243"/>
        </w:trPr>
        <w:tc>
          <w:tcPr>
            <w:tcW w:w="1064" w:type="pct"/>
            <w:vMerge/>
            <w:tcBorders>
              <w:top w:val="single" w:sz="4" w:space="0" w:color="auto"/>
              <w:bottom w:val="single" w:sz="4" w:space="0" w:color="auto"/>
            </w:tcBorders>
            <w:noWrap/>
            <w:vAlign w:val="bottom"/>
          </w:tcPr>
          <w:p w:rsidR="00A74E71" w:rsidRPr="008A256F" w:rsidRDefault="00A74E71" w:rsidP="004D6A5A">
            <w:pPr>
              <w:jc w:val="both"/>
              <w:rPr>
                <w:rFonts w:ascii="Arial" w:hAnsi="Arial" w:cs="Arial"/>
                <w:b/>
                <w:bCs/>
                <w:color w:val="000000" w:themeColor="text1"/>
              </w:rPr>
            </w:pPr>
          </w:p>
        </w:tc>
        <w:tc>
          <w:tcPr>
            <w:tcW w:w="1320" w:type="pc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Grain</w:t>
            </w:r>
          </w:p>
        </w:tc>
        <w:tc>
          <w:tcPr>
            <w:tcW w:w="1141" w:type="pc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Stover</w:t>
            </w:r>
          </w:p>
        </w:tc>
        <w:tc>
          <w:tcPr>
            <w:tcW w:w="1475" w:type="pct"/>
            <w:vMerge/>
            <w:tcBorders>
              <w:top w:val="single" w:sz="4" w:space="0" w:color="auto"/>
              <w:bottom w:val="single" w:sz="4" w:space="0" w:color="auto"/>
            </w:tcBorders>
            <w:vAlign w:val="bottom"/>
          </w:tcPr>
          <w:p w:rsidR="00A74E71" w:rsidRPr="008A256F" w:rsidRDefault="00A74E71" w:rsidP="004D6A5A">
            <w:pPr>
              <w:jc w:val="both"/>
              <w:rPr>
                <w:rFonts w:ascii="Arial" w:hAnsi="Arial" w:cs="Arial"/>
                <w:b/>
                <w:bCs/>
                <w:color w:val="000000" w:themeColor="text1"/>
              </w:rPr>
            </w:pPr>
          </w:p>
        </w:tc>
      </w:tr>
      <w:tr w:rsidR="00A74E71" w:rsidRPr="008A256F" w:rsidTr="004D6A5A">
        <w:trPr>
          <w:trHeight w:val="243"/>
        </w:trPr>
        <w:tc>
          <w:tcPr>
            <w:tcW w:w="1064" w:type="pct"/>
            <w:tcBorders>
              <w:top w:val="single" w:sz="4" w:space="0" w:color="auto"/>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8.53</w:t>
            </w:r>
          </w:p>
        </w:tc>
        <w:tc>
          <w:tcPr>
            <w:tcW w:w="1141"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30.47</w:t>
            </w:r>
          </w:p>
        </w:tc>
        <w:tc>
          <w:tcPr>
            <w:tcW w:w="1475"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31.61</w:t>
            </w:r>
          </w:p>
        </w:tc>
      </w:tr>
      <w:tr w:rsidR="00A74E71" w:rsidRPr="008A256F" w:rsidTr="004D6A5A">
        <w:trPr>
          <w:trHeight w:val="243"/>
        </w:trPr>
        <w:tc>
          <w:tcPr>
            <w:tcW w:w="1064" w:type="pct"/>
            <w:noWrap/>
            <w:vAlign w:val="center"/>
            <w:hideMark/>
          </w:tcPr>
          <w:p w:rsidR="00A74E71" w:rsidRPr="008A256F" w:rsidRDefault="00A33814" w:rsidP="004D6A5A">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320"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9.36</w:t>
            </w:r>
          </w:p>
        </w:tc>
        <w:tc>
          <w:tcPr>
            <w:tcW w:w="1141"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34.95</w:t>
            </w:r>
          </w:p>
        </w:tc>
        <w:tc>
          <w:tcPr>
            <w:tcW w:w="1475"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34.11</w:t>
            </w:r>
          </w:p>
        </w:tc>
      </w:tr>
      <w:tr w:rsidR="00A74E71" w:rsidRPr="008A256F" w:rsidTr="004D6A5A">
        <w:trPr>
          <w:trHeight w:val="243"/>
        </w:trPr>
        <w:tc>
          <w:tcPr>
            <w:tcW w:w="1064" w:type="pct"/>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320"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9.69</w:t>
            </w:r>
          </w:p>
        </w:tc>
        <w:tc>
          <w:tcPr>
            <w:tcW w:w="1141"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35.26</w:t>
            </w:r>
          </w:p>
        </w:tc>
        <w:tc>
          <w:tcPr>
            <w:tcW w:w="1475"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36.84</w:t>
            </w:r>
          </w:p>
        </w:tc>
      </w:tr>
      <w:tr w:rsidR="00A74E71" w:rsidRPr="008A256F" w:rsidTr="004D6A5A">
        <w:trPr>
          <w:trHeight w:val="243"/>
        </w:trPr>
        <w:tc>
          <w:tcPr>
            <w:tcW w:w="1064" w:type="pct"/>
            <w:tcBorders>
              <w:bottom w:val="single" w:sz="4" w:space="0" w:color="auto"/>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320"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10.05</w:t>
            </w:r>
          </w:p>
        </w:tc>
        <w:tc>
          <w:tcPr>
            <w:tcW w:w="1141"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35.72</w:t>
            </w:r>
          </w:p>
        </w:tc>
        <w:tc>
          <w:tcPr>
            <w:tcW w:w="1475"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36.98</w:t>
            </w:r>
          </w:p>
        </w:tc>
      </w:tr>
      <w:tr w:rsidR="00A74E71" w:rsidRPr="008A256F" w:rsidTr="004D6A5A">
        <w:trPr>
          <w:trHeight w:val="243"/>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bCs/>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0.14</w:t>
            </w:r>
          </w:p>
        </w:tc>
        <w:tc>
          <w:tcPr>
            <w:tcW w:w="1141"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0.52</w:t>
            </w:r>
          </w:p>
        </w:tc>
        <w:tc>
          <w:tcPr>
            <w:tcW w:w="1475"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0.39</w:t>
            </w:r>
          </w:p>
        </w:tc>
      </w:tr>
      <w:tr w:rsidR="00A74E71" w:rsidRPr="008A256F" w:rsidTr="004D6A5A">
        <w:trPr>
          <w:trHeight w:val="243"/>
        </w:trPr>
        <w:tc>
          <w:tcPr>
            <w:tcW w:w="1064" w:type="pct"/>
            <w:tcBorders>
              <w:bottom w:val="single" w:sz="4" w:space="0" w:color="auto"/>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0.42</w:t>
            </w:r>
          </w:p>
        </w:tc>
        <w:tc>
          <w:tcPr>
            <w:tcW w:w="1141"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1.54</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1.14</w:t>
            </w:r>
          </w:p>
        </w:tc>
      </w:tr>
      <w:tr w:rsidR="00A74E71" w:rsidRPr="008A256F" w:rsidTr="004D6A5A">
        <w:trPr>
          <w:trHeight w:val="243"/>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8.81</w:t>
            </w:r>
          </w:p>
        </w:tc>
        <w:tc>
          <w:tcPr>
            <w:tcW w:w="1141"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31.63</w:t>
            </w:r>
          </w:p>
        </w:tc>
        <w:tc>
          <w:tcPr>
            <w:tcW w:w="1475"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33.83</w:t>
            </w:r>
          </w:p>
        </w:tc>
      </w:tr>
      <w:tr w:rsidR="00A74E71" w:rsidRPr="008A256F" w:rsidTr="004D6A5A">
        <w:trPr>
          <w:trHeight w:val="243"/>
        </w:trPr>
        <w:tc>
          <w:tcPr>
            <w:tcW w:w="1064" w:type="pct"/>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320"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9.53</w:t>
            </w:r>
          </w:p>
        </w:tc>
        <w:tc>
          <w:tcPr>
            <w:tcW w:w="1141"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34.62</w:t>
            </w:r>
          </w:p>
        </w:tc>
        <w:tc>
          <w:tcPr>
            <w:tcW w:w="1475"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35.12</w:t>
            </w:r>
          </w:p>
        </w:tc>
      </w:tr>
      <w:tr w:rsidR="00A74E71" w:rsidRPr="008A256F" w:rsidTr="004D6A5A">
        <w:trPr>
          <w:trHeight w:val="243"/>
        </w:trPr>
        <w:tc>
          <w:tcPr>
            <w:tcW w:w="1064" w:type="pct"/>
            <w:tcBorders>
              <w:bottom w:val="single" w:sz="4" w:space="0" w:color="auto"/>
            </w:tcBorders>
            <w:noWrap/>
            <w:vAlign w:val="bottom"/>
            <w:hideMark/>
          </w:tcPr>
          <w:p w:rsidR="00A74E71" w:rsidRPr="008A256F" w:rsidRDefault="00A74E71" w:rsidP="00A74E71">
            <w:pPr>
              <w:jc w:val="both"/>
              <w:rPr>
                <w:rFonts w:ascii="Arial" w:hAnsi="Arial" w:cs="Arial"/>
                <w:bCs/>
                <w:color w:val="000000" w:themeColor="text1"/>
              </w:rPr>
            </w:pPr>
            <w:r w:rsidRPr="008A256F">
              <w:rPr>
                <w:rFonts w:ascii="Arial" w:hAnsi="Arial" w:cs="Arial"/>
                <w:bCs/>
                <w:color w:val="000000" w:themeColor="text1"/>
              </w:rPr>
              <w:t>Zinc 10kg/ha</w:t>
            </w:r>
          </w:p>
        </w:tc>
        <w:tc>
          <w:tcPr>
            <w:tcW w:w="1320"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9.88</w:t>
            </w:r>
          </w:p>
        </w:tc>
        <w:tc>
          <w:tcPr>
            <w:tcW w:w="1141"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36.05</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35.70</w:t>
            </w:r>
          </w:p>
        </w:tc>
      </w:tr>
      <w:tr w:rsidR="00A74E71" w:rsidRPr="008A256F" w:rsidTr="004D6A5A">
        <w:trPr>
          <w:trHeight w:val="243"/>
        </w:trPr>
        <w:tc>
          <w:tcPr>
            <w:tcW w:w="1064" w:type="pct"/>
            <w:tcBorders>
              <w:top w:val="single" w:sz="4" w:space="0" w:color="auto"/>
            </w:tcBorders>
            <w:noWrap/>
            <w:vAlign w:val="center"/>
            <w:hideMark/>
          </w:tcPr>
          <w:p w:rsidR="00A74E71" w:rsidRPr="008A256F" w:rsidRDefault="00A74E71" w:rsidP="004D6A5A">
            <w:pPr>
              <w:rPr>
                <w:rFonts w:ascii="Arial" w:hAnsi="Arial" w:cs="Arial"/>
                <w:bCs/>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141"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0.45</w:t>
            </w:r>
          </w:p>
        </w:tc>
        <w:tc>
          <w:tcPr>
            <w:tcW w:w="1475"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rsidTr="008A256F">
        <w:trPr>
          <w:trHeight w:val="66"/>
        </w:trPr>
        <w:tc>
          <w:tcPr>
            <w:tcW w:w="1064" w:type="pct"/>
            <w:tcBorders>
              <w:bottom w:val="single" w:sz="4" w:space="0" w:color="auto"/>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c>
          <w:tcPr>
            <w:tcW w:w="1141"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1.33</w:t>
            </w:r>
          </w:p>
        </w:tc>
        <w:tc>
          <w:tcPr>
            <w:tcW w:w="1475"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0.99</w:t>
            </w:r>
          </w:p>
        </w:tc>
      </w:tr>
      <w:tr w:rsidR="00A74E71" w:rsidRPr="008A256F" w:rsidTr="004D6A5A">
        <w:trPr>
          <w:trHeight w:val="243"/>
        </w:trPr>
        <w:tc>
          <w:tcPr>
            <w:tcW w:w="5000" w:type="pct"/>
            <w:gridSpan w:val="4"/>
            <w:tcBorders>
              <w:top w:val="single" w:sz="4" w:space="0" w:color="auto"/>
              <w:bottom w:val="single" w:sz="4" w:space="0" w:color="auto"/>
            </w:tcBorders>
            <w:noWrap/>
            <w:vAlign w:val="bottom"/>
            <w:hideMark/>
          </w:tcPr>
          <w:p w:rsidR="00A74E71" w:rsidRPr="008A256F" w:rsidRDefault="00A74E71" w:rsidP="008A256F">
            <w:pPr>
              <w:jc w:val="center"/>
              <w:rPr>
                <w:rFonts w:ascii="Arial" w:hAnsi="Arial" w:cs="Arial"/>
                <w:bCs/>
                <w:color w:val="000000" w:themeColor="text1"/>
              </w:rPr>
            </w:pPr>
            <w:r w:rsidRPr="008A256F">
              <w:rPr>
                <w:rFonts w:ascii="Arial" w:hAnsi="Arial" w:cs="Arial"/>
                <w:bCs/>
                <w:color w:val="000000" w:themeColor="text1"/>
              </w:rPr>
              <w:t>S</w:t>
            </w:r>
            <w:r w:rsidR="008A256F" w:rsidRPr="008A256F">
              <w:rPr>
                <w:rFonts w:ascii="Arial" w:hAnsi="Arial" w:cs="Arial"/>
                <w:bCs/>
                <w:color w:val="000000" w:themeColor="text1"/>
              </w:rPr>
              <w:t xml:space="preserve"> x </w:t>
            </w:r>
            <w:r w:rsidRPr="008A256F">
              <w:rPr>
                <w:rFonts w:ascii="Arial" w:hAnsi="Arial" w:cs="Arial"/>
                <w:bCs/>
                <w:color w:val="000000" w:themeColor="text1"/>
              </w:rPr>
              <w:t>Zn</w:t>
            </w:r>
          </w:p>
        </w:tc>
      </w:tr>
      <w:tr w:rsidR="00A74E71" w:rsidRPr="008A256F" w:rsidTr="004D6A5A">
        <w:trPr>
          <w:trHeight w:val="191"/>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tcPr>
          <w:p w:rsidR="00A74E71" w:rsidRPr="008A256F" w:rsidRDefault="008A256F" w:rsidP="008A256F">
            <w:pPr>
              <w:tabs>
                <w:tab w:val="center" w:pos="1001"/>
                <w:tab w:val="right" w:pos="2002"/>
              </w:tabs>
              <w:rPr>
                <w:rFonts w:ascii="Arial" w:hAnsi="Arial" w:cs="Arial"/>
                <w:color w:val="000000" w:themeColor="text1"/>
              </w:rPr>
            </w:pPr>
            <w:r w:rsidRPr="008A256F">
              <w:rPr>
                <w:rFonts w:ascii="Arial" w:hAnsi="Arial" w:cs="Arial"/>
                <w:color w:val="000000" w:themeColor="text1"/>
              </w:rPr>
              <w:tab/>
            </w:r>
            <w:r w:rsidR="00A74E71" w:rsidRPr="008A256F">
              <w:rPr>
                <w:rFonts w:ascii="Arial" w:hAnsi="Arial" w:cs="Arial"/>
                <w:color w:val="000000" w:themeColor="text1"/>
              </w:rPr>
              <w:t>0.25</w:t>
            </w:r>
            <w:r w:rsidRPr="008A256F">
              <w:rPr>
                <w:rFonts w:ascii="Arial" w:hAnsi="Arial" w:cs="Arial"/>
                <w:color w:val="000000" w:themeColor="text1"/>
              </w:rPr>
              <w:tab/>
            </w:r>
          </w:p>
        </w:tc>
        <w:tc>
          <w:tcPr>
            <w:tcW w:w="1141" w:type="pct"/>
            <w:tcBorders>
              <w:top w:val="single" w:sz="4" w:space="0" w:color="auto"/>
            </w:tcBorders>
          </w:tcPr>
          <w:p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0.91</w:t>
            </w:r>
          </w:p>
        </w:tc>
        <w:tc>
          <w:tcPr>
            <w:tcW w:w="1475" w:type="pct"/>
            <w:tcBorders>
              <w:top w:val="single" w:sz="4" w:space="0" w:color="auto"/>
            </w:tcBorders>
            <w:vAlign w:val="bottom"/>
          </w:tcPr>
          <w:p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0.68</w:t>
            </w:r>
          </w:p>
        </w:tc>
      </w:tr>
      <w:tr w:rsidR="00A74E71" w:rsidRPr="008A256F" w:rsidTr="004D6A5A">
        <w:trPr>
          <w:trHeight w:val="106"/>
        </w:trPr>
        <w:tc>
          <w:tcPr>
            <w:tcW w:w="1064" w:type="pct"/>
            <w:tcBorders>
              <w:bottom w:val="single" w:sz="4" w:space="0" w:color="auto"/>
            </w:tcBorders>
            <w:noWrap/>
            <w:vAlign w:val="bottom"/>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0.73</w:t>
            </w:r>
          </w:p>
        </w:tc>
        <w:tc>
          <w:tcPr>
            <w:tcW w:w="1141" w:type="pct"/>
            <w:tcBorders>
              <w:bottom w:val="single" w:sz="4" w:space="0" w:color="auto"/>
            </w:tcBorders>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2.67</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1.98</w:t>
            </w:r>
          </w:p>
        </w:tc>
      </w:tr>
    </w:tbl>
    <w:p w:rsidR="00A33814" w:rsidRDefault="00A33814" w:rsidP="008A256F">
      <w:pPr>
        <w:pStyle w:val="Body"/>
        <w:tabs>
          <w:tab w:val="left" w:pos="3076"/>
        </w:tabs>
        <w:rPr>
          <w:rFonts w:ascii="Arial" w:hAnsi="Arial" w:cs="Arial"/>
        </w:rPr>
      </w:pPr>
    </w:p>
    <w:p w:rsidR="00A74E71" w:rsidRDefault="00A33814" w:rsidP="00A33814">
      <w:pPr>
        <w:pStyle w:val="Body"/>
        <w:tabs>
          <w:tab w:val="left" w:pos="3076"/>
        </w:tabs>
        <w:spacing w:line="360" w:lineRule="auto"/>
        <w:rPr>
          <w:rFonts w:ascii="Arial" w:hAnsi="Arial" w:cs="Arial"/>
        </w:rPr>
      </w:pPr>
      <w:r w:rsidRPr="00A74E71">
        <w:rPr>
          <w:rFonts w:ascii="Arial" w:hAnsi="Arial" w:cs="Arial"/>
        </w:rPr>
        <w:t xml:space="preserve">In terms of zinc application, 10 kg/ha resulted in the highest seed and </w:t>
      </w:r>
      <w:proofErr w:type="spellStart"/>
      <w:r w:rsidRPr="00A74E71">
        <w:rPr>
          <w:rFonts w:ascii="Arial" w:hAnsi="Arial" w:cs="Arial"/>
        </w:rPr>
        <w:t>stover</w:t>
      </w:r>
      <w:proofErr w:type="spellEnd"/>
      <w:r w:rsidRPr="00A74E71">
        <w:rPr>
          <w:rFonts w:ascii="Arial" w:hAnsi="Arial" w:cs="Arial"/>
        </w:rPr>
        <w:t xml:space="preserve"> yield for linseed, with a sign</w:t>
      </w:r>
      <w:r w:rsidR="000242C9">
        <w:rPr>
          <w:rFonts w:ascii="Arial" w:hAnsi="Arial" w:cs="Arial"/>
        </w:rPr>
        <w:t>ificant difference when compared with</w:t>
      </w:r>
      <w:r w:rsidRPr="00A74E71">
        <w:rPr>
          <w:rFonts w:ascii="Arial" w:hAnsi="Arial" w:cs="Arial"/>
        </w:rPr>
        <w:t xml:space="preserve"> no-zinc treatment. However, </w:t>
      </w:r>
      <w:r w:rsidR="00410085">
        <w:rPr>
          <w:rFonts w:ascii="Arial" w:hAnsi="Arial" w:cs="Arial"/>
        </w:rPr>
        <w:t xml:space="preserve">this treatment </w:t>
      </w:r>
      <w:r w:rsidR="00B06166">
        <w:rPr>
          <w:rFonts w:ascii="Arial" w:hAnsi="Arial" w:cs="Arial"/>
        </w:rPr>
        <w:t xml:space="preserve">was produced </w:t>
      </w:r>
      <w:proofErr w:type="gramStart"/>
      <w:r w:rsidR="00B06166">
        <w:rPr>
          <w:rFonts w:ascii="Arial" w:hAnsi="Arial" w:cs="Arial"/>
        </w:rPr>
        <w:t>no</w:t>
      </w:r>
      <w:r w:rsidR="002954C1">
        <w:rPr>
          <w:rFonts w:ascii="Arial" w:hAnsi="Arial" w:cs="Arial"/>
        </w:rPr>
        <w:t>n</w:t>
      </w:r>
      <w:r w:rsidR="00410085">
        <w:rPr>
          <w:rFonts w:ascii="Arial" w:hAnsi="Arial" w:cs="Arial"/>
        </w:rPr>
        <w:t xml:space="preserve"> </w:t>
      </w:r>
      <w:r w:rsidR="00410085" w:rsidRPr="00A74E71">
        <w:rPr>
          <w:rFonts w:ascii="Arial" w:hAnsi="Arial" w:cs="Arial"/>
        </w:rPr>
        <w:t>comparable</w:t>
      </w:r>
      <w:proofErr w:type="gramEnd"/>
      <w:r w:rsidR="00410085" w:rsidRPr="00A74E71">
        <w:rPr>
          <w:rFonts w:ascii="Arial" w:hAnsi="Arial" w:cs="Arial"/>
        </w:rPr>
        <w:t xml:space="preserve"> </w:t>
      </w:r>
      <w:r w:rsidRPr="00A74E71">
        <w:rPr>
          <w:rFonts w:ascii="Arial" w:hAnsi="Arial" w:cs="Arial"/>
        </w:rPr>
        <w:t xml:space="preserve">seed yield with 5 kg/ha zinc application. This could be attributed to the role of zinc in the biosynthesis of indole acetic acid, a growth hormone, and its involvement in the initiation of primordial for productive parts and the partitioning of photosynthesis. Similar findings were reported by Mishra </w:t>
      </w:r>
      <w:r w:rsidRPr="00A74E71">
        <w:rPr>
          <w:rFonts w:ascii="Arial" w:hAnsi="Arial" w:cs="Arial"/>
          <w:i/>
        </w:rPr>
        <w:t>et al</w:t>
      </w:r>
      <w:r w:rsidRPr="00A74E71">
        <w:rPr>
          <w:rFonts w:ascii="Arial" w:hAnsi="Arial" w:cs="Arial"/>
        </w:rPr>
        <w:t xml:space="preserve">. (2016), Kaur </w:t>
      </w:r>
      <w:r w:rsidRPr="00A74E71">
        <w:rPr>
          <w:rFonts w:ascii="Arial" w:hAnsi="Arial" w:cs="Arial"/>
          <w:i/>
        </w:rPr>
        <w:t>et al</w:t>
      </w:r>
      <w:r w:rsidRPr="00A74E71">
        <w:rPr>
          <w:rFonts w:ascii="Arial" w:hAnsi="Arial" w:cs="Arial"/>
        </w:rPr>
        <w:t xml:space="preserve">. (2017), and Nawaz </w:t>
      </w:r>
      <w:r w:rsidRPr="00A74E71">
        <w:rPr>
          <w:rFonts w:ascii="Arial" w:hAnsi="Arial" w:cs="Arial"/>
          <w:i/>
        </w:rPr>
        <w:t>et al</w:t>
      </w:r>
      <w:r w:rsidRPr="00A74E71">
        <w:rPr>
          <w:rFonts w:ascii="Arial" w:hAnsi="Arial" w:cs="Arial"/>
        </w:rPr>
        <w:t>. (2012). The response to Zn increased with higher Zn levels, but diminished when Zn levels exceeded 5 kg/ha in mustard (</w:t>
      </w:r>
      <w:proofErr w:type="spellStart"/>
      <w:r w:rsidRPr="00A74E71">
        <w:rPr>
          <w:rFonts w:ascii="Arial" w:hAnsi="Arial" w:cs="Arial"/>
        </w:rPr>
        <w:t>Jat</w:t>
      </w:r>
      <w:proofErr w:type="spellEnd"/>
      <w:r w:rsidR="00416FFB">
        <w:rPr>
          <w:rFonts w:ascii="Arial" w:hAnsi="Arial" w:cs="Arial"/>
        </w:rPr>
        <w:t xml:space="preserve"> and </w:t>
      </w:r>
      <w:proofErr w:type="spellStart"/>
      <w:r w:rsidR="00416FFB">
        <w:rPr>
          <w:rFonts w:ascii="Arial" w:hAnsi="Arial" w:cs="Arial"/>
        </w:rPr>
        <w:t>Mehara</w:t>
      </w:r>
      <w:proofErr w:type="spellEnd"/>
      <w:r w:rsidR="00416FFB">
        <w:rPr>
          <w:rFonts w:ascii="Arial" w:hAnsi="Arial" w:cs="Arial"/>
        </w:rPr>
        <w:t xml:space="preserve">, 2007). </w:t>
      </w:r>
      <w:r w:rsidR="00931D3A">
        <w:t xml:space="preserve">Interaction between </w:t>
      </w:r>
      <w:proofErr w:type="spellStart"/>
      <w:r w:rsidR="00931D3A">
        <w:t>sulphur</w:t>
      </w:r>
      <w:proofErr w:type="spellEnd"/>
      <w:r w:rsidR="00931D3A">
        <w:t xml:space="preserve"> and zinc application with respect to seed yield of lin</w:t>
      </w:r>
      <w:r w:rsidR="00270238">
        <w:t xml:space="preserve">seed was </w:t>
      </w:r>
      <w:proofErr w:type="gramStart"/>
      <w:r w:rsidR="00270238">
        <w:t>significant</w:t>
      </w:r>
      <w:r w:rsidR="0054726B">
        <w:t xml:space="preserve">  (</w:t>
      </w:r>
      <w:proofErr w:type="gramEnd"/>
      <w:r w:rsidR="0054726B">
        <w:t>Fig 1)</w:t>
      </w:r>
      <w:r w:rsidR="00931D3A">
        <w:t xml:space="preserve">. Comparing </w:t>
      </w:r>
      <w:proofErr w:type="spellStart"/>
      <w:r w:rsidR="00931D3A">
        <w:t>sulphur</w:t>
      </w:r>
      <w:proofErr w:type="spellEnd"/>
      <w:r w:rsidR="00931D3A">
        <w:t xml:space="preserve"> levels at same or different zinc levels revealed that all </w:t>
      </w:r>
      <w:proofErr w:type="spellStart"/>
      <w:r w:rsidR="00931D3A">
        <w:t>sulphur</w:t>
      </w:r>
      <w:proofErr w:type="spellEnd"/>
      <w:r w:rsidR="00931D3A">
        <w:t xml:space="preserve"> levels behaved alike under zinc 5 and 10 kg/ha. Under no zinc application, </w:t>
      </w:r>
      <w:proofErr w:type="spellStart"/>
      <w:r w:rsidR="00931D3A">
        <w:t>sulphur</w:t>
      </w:r>
      <w:proofErr w:type="spellEnd"/>
      <w:r w:rsidR="00931D3A">
        <w:t xml:space="preserve"> 40kg/ha; being at par with 60kg S/ha, exhibited significantly higher seed yield than that of 20kg S/ha. Under 5 and 10 kg zinc /ha, </w:t>
      </w:r>
      <w:proofErr w:type="spellStart"/>
      <w:r w:rsidR="00931D3A">
        <w:t>sulphur</w:t>
      </w:r>
      <w:proofErr w:type="spellEnd"/>
      <w:r w:rsidR="00931D3A">
        <w:t xml:space="preserve"> 40 kg/ha was being at par with 60 kg S/ha, but both was statistically non-significant to application of 20 kg S/ha along with 5 kg Zn/ha only.</w:t>
      </w:r>
      <w:r w:rsidR="00EA23BD">
        <w:rPr>
          <w:rFonts w:ascii="Arial" w:hAnsi="Arial" w:cs="Arial"/>
        </w:rPr>
        <w:t xml:space="preserve">  </w:t>
      </w:r>
      <w:r w:rsidR="00B06166">
        <w:rPr>
          <w:rFonts w:ascii="Arial" w:hAnsi="Arial" w:cs="Arial"/>
        </w:rPr>
        <w:t>Application of</w:t>
      </w:r>
      <w:r w:rsidR="00416FFB">
        <w:rPr>
          <w:rFonts w:ascii="Arial" w:hAnsi="Arial" w:cs="Arial"/>
        </w:rPr>
        <w:t xml:space="preserve"> </w:t>
      </w:r>
      <w:r w:rsidR="00416FFB" w:rsidRPr="00A74E71">
        <w:rPr>
          <w:rFonts w:ascii="Arial" w:hAnsi="Arial" w:cs="Arial"/>
        </w:rPr>
        <w:t>60 kg S/ha</w:t>
      </w:r>
      <w:r w:rsidR="00416FFB">
        <w:rPr>
          <w:rFonts w:ascii="Arial" w:hAnsi="Arial" w:cs="Arial"/>
        </w:rPr>
        <w:t xml:space="preserve"> in linseed </w:t>
      </w:r>
      <w:proofErr w:type="gramStart"/>
      <w:r w:rsidR="00416FFB">
        <w:rPr>
          <w:rFonts w:ascii="Arial" w:hAnsi="Arial" w:cs="Arial"/>
        </w:rPr>
        <w:t xml:space="preserve">obtained  </w:t>
      </w:r>
      <w:proofErr w:type="spellStart"/>
      <w:r w:rsidR="00416FFB">
        <w:rPr>
          <w:rFonts w:ascii="Arial" w:hAnsi="Arial" w:cs="Arial"/>
        </w:rPr>
        <w:t>non</w:t>
      </w:r>
      <w:proofErr w:type="gramEnd"/>
      <w:r w:rsidR="00416FFB">
        <w:rPr>
          <w:rFonts w:ascii="Arial" w:hAnsi="Arial" w:cs="Arial"/>
        </w:rPr>
        <w:t xml:space="preserve"> significant</w:t>
      </w:r>
      <w:proofErr w:type="spellEnd"/>
      <w:r w:rsidR="00416FFB">
        <w:rPr>
          <w:rFonts w:ascii="Arial" w:hAnsi="Arial" w:cs="Arial"/>
        </w:rPr>
        <w:t xml:space="preserve">  difference</w:t>
      </w:r>
      <w:r w:rsidR="003A55FB">
        <w:rPr>
          <w:rFonts w:ascii="Arial" w:hAnsi="Arial" w:cs="Arial"/>
        </w:rPr>
        <w:t xml:space="preserve">  in oil content with  </w:t>
      </w:r>
      <w:r w:rsidR="003A55FB">
        <w:rPr>
          <w:rFonts w:ascii="Arial" w:hAnsi="Arial" w:cs="Arial"/>
        </w:rPr>
        <w:lastRenderedPageBreak/>
        <w:t xml:space="preserve">40 kg   S/ha </w:t>
      </w:r>
      <w:r w:rsidR="00416FFB">
        <w:rPr>
          <w:rFonts w:ascii="Arial" w:hAnsi="Arial" w:cs="Arial"/>
        </w:rPr>
        <w:t xml:space="preserve">but  both treatments were </w:t>
      </w:r>
      <w:r w:rsidRPr="00A74E71">
        <w:rPr>
          <w:rFonts w:ascii="Arial" w:hAnsi="Arial" w:cs="Arial"/>
        </w:rPr>
        <w:t>significantly exceeding that of the control and 20 kg S/ha treatments. This increase in oil content may be due to the presence of sulfur-containing compounds</w:t>
      </w:r>
      <w:r w:rsidR="00C92D4A">
        <w:rPr>
          <w:rFonts w:ascii="Arial" w:hAnsi="Arial" w:cs="Arial"/>
        </w:rPr>
        <w:t xml:space="preserve"> </w:t>
      </w:r>
      <w:r w:rsidRPr="00A74E71">
        <w:rPr>
          <w:rFonts w:ascii="Arial" w:hAnsi="Arial" w:cs="Arial"/>
        </w:rPr>
        <w:t xml:space="preserve">which are integral to the oil composition. Applying 10 kg/ha Zn to the soil resulted in the highest oil content, which was significantly higher than that of the control, but like that of 5 kg Zn/ha. This may be because zinc is involved in the formation of </w:t>
      </w:r>
      <w:r>
        <w:rPr>
          <w:rFonts w:ascii="Arial" w:hAnsi="Arial" w:cs="Arial"/>
        </w:rPr>
        <w:t xml:space="preserve">phosphor </w:t>
      </w:r>
      <w:r w:rsidRPr="00A74E71">
        <w:rPr>
          <w:rFonts w:ascii="Arial" w:hAnsi="Arial" w:cs="Arial"/>
        </w:rPr>
        <w:t>diester bonds and contributes to a higher seed yield. Deo and Khandelwal (2009) found that increasing Zn levels significantly enhances oil content in mustard seeds up to 5 kg/ha of zinc application.</w:t>
      </w:r>
    </w:p>
    <w:p w:rsidR="00EA23BD" w:rsidRPr="008A256F" w:rsidRDefault="002A7A29" w:rsidP="00EA23BD">
      <w:pPr>
        <w:pStyle w:val="Body"/>
        <w:tabs>
          <w:tab w:val="left" w:pos="3076"/>
        </w:tabs>
        <w:spacing w:line="360" w:lineRule="auto"/>
        <w:jc w:val="center"/>
        <w:rPr>
          <w:rFonts w:ascii="Arial" w:hAnsi="Arial" w:cs="Arial"/>
        </w:rPr>
      </w:pPr>
      <w:r>
        <w:rPr>
          <w:rFonts w:ascii="Arial" w:hAnsi="Arial" w:cs="Arial"/>
          <w:b/>
          <w:bCs/>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157.8pt;margin-top:197.85pt;width:68.5pt;height:18.7pt;z-index:251661312;mso-height-percent:200;mso-height-percent:200;mso-width-relative:margin;mso-height-relative:margin" stroked="f">
            <v:textbox style="mso-fit-shape-to-text:t">
              <w:txbxContent>
                <w:p w:rsidR="00EA23BD" w:rsidRPr="00EA23BD" w:rsidRDefault="00EA23BD">
                  <w:pPr>
                    <w:rPr>
                      <w:rFonts w:ascii="Arial" w:hAnsi="Arial" w:cs="Arial"/>
                      <w:b/>
                    </w:rPr>
                  </w:pPr>
                  <w:r>
                    <w:rPr>
                      <w:rFonts w:ascii="Arial" w:hAnsi="Arial" w:cs="Arial"/>
                      <w:b/>
                    </w:rPr>
                    <w:t xml:space="preserve">Treatment </w:t>
                  </w:r>
                </w:p>
              </w:txbxContent>
            </v:textbox>
          </v:shape>
        </w:pict>
      </w:r>
      <w:r>
        <w:rPr>
          <w:rFonts w:ascii="Arial" w:hAnsi="Arial" w:cs="Arial"/>
          <w:b/>
          <w:bCs/>
          <w:noProof/>
          <w:sz w:val="22"/>
          <w:szCs w:val="22"/>
          <w:lang w:eastAsia="zh-TW"/>
        </w:rPr>
        <w:pict>
          <v:shape id="_x0000_s1028" type="#_x0000_t202" style="position:absolute;left:0;text-align:left;margin-left:22.2pt;margin-top:216.55pt;width:366.5pt;height:19.45pt;z-index:251660288;mso-height-percent:200;mso-height-percent:200;mso-width-relative:margin;mso-height-relative:margin" stroked="f">
            <v:textbox style="mso-fit-shape-to-text:t">
              <w:txbxContent>
                <w:p w:rsidR="00EA23BD" w:rsidRPr="00EA23BD" w:rsidRDefault="00EA23BD">
                  <w:pPr>
                    <w:rPr>
                      <w:rFonts w:ascii="Arial" w:hAnsi="Arial" w:cs="Arial"/>
                      <w:b/>
                    </w:rPr>
                  </w:pPr>
                  <w:r w:rsidRPr="00EA23BD">
                    <w:rPr>
                      <w:rFonts w:ascii="Arial" w:hAnsi="Arial" w:cs="Arial"/>
                      <w:b/>
                    </w:rPr>
                    <w:t>Fig1: Interaction effect of sulfur and zinc on seed yield (q/ha) of linseed</w:t>
                  </w:r>
                </w:p>
              </w:txbxContent>
            </v:textbox>
          </v:shape>
        </w:pict>
      </w:r>
      <w:r>
        <w:rPr>
          <w:rFonts w:ascii="Arial" w:hAnsi="Arial" w:cs="Arial"/>
          <w:b/>
          <w:bCs/>
          <w:noProof/>
          <w:sz w:val="22"/>
          <w:szCs w:val="22"/>
        </w:rPr>
        <w:pict>
          <v:shape id="_x0000_s1030" type="#_x0000_t202" style="position:absolute;left:0;text-align:left;margin-left:-13.75pt;margin-top:26.5pt;width:28.75pt;height:121.65pt;z-index:251662336;mso-width-relative:margin;mso-height-relative:margin" stroked="f">
            <v:textbox style="layout-flow:vertical;mso-layout-flow-alt:bottom-to-top">
              <w:txbxContent>
                <w:p w:rsidR="00EA23BD" w:rsidRPr="00EA23BD" w:rsidRDefault="00EA23BD" w:rsidP="00EA23BD">
                  <w:pPr>
                    <w:jc w:val="center"/>
                    <w:rPr>
                      <w:rFonts w:ascii="Arial" w:hAnsi="Arial" w:cs="Arial"/>
                      <w:b/>
                    </w:rPr>
                  </w:pPr>
                  <w:r>
                    <w:rPr>
                      <w:rFonts w:ascii="Arial" w:hAnsi="Arial" w:cs="Arial"/>
                      <w:b/>
                    </w:rPr>
                    <w:t>Seed yield (q/ha)</w:t>
                  </w:r>
                </w:p>
              </w:txbxContent>
            </v:textbox>
          </v:shape>
        </w:pict>
      </w:r>
      <w:r w:rsidR="00EA23BD" w:rsidRPr="00EA23BD">
        <w:rPr>
          <w:rFonts w:ascii="Arial" w:hAnsi="Arial" w:cs="Arial"/>
          <w:noProof/>
        </w:rPr>
        <w:drawing>
          <wp:inline distT="0" distB="0" distL="0" distR="0">
            <wp:extent cx="4808220" cy="25628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23BD" w:rsidRDefault="00EA23BD" w:rsidP="00355F22">
      <w:pPr>
        <w:pStyle w:val="Body"/>
        <w:spacing w:after="0" w:line="360" w:lineRule="auto"/>
        <w:rPr>
          <w:rFonts w:ascii="Arial" w:hAnsi="Arial" w:cs="Arial"/>
          <w:b/>
          <w:bCs/>
          <w:sz w:val="22"/>
          <w:szCs w:val="22"/>
        </w:rPr>
      </w:pPr>
    </w:p>
    <w:p w:rsidR="00EA23BD" w:rsidRPr="00A74E71" w:rsidRDefault="00A33814" w:rsidP="00355F22">
      <w:pPr>
        <w:pStyle w:val="Body"/>
        <w:spacing w:after="0" w:line="360" w:lineRule="auto"/>
        <w:rPr>
          <w:rFonts w:ascii="Arial" w:hAnsi="Arial" w:cs="Arial"/>
          <w:b/>
          <w:bCs/>
          <w:sz w:val="22"/>
          <w:szCs w:val="22"/>
        </w:rPr>
      </w:pPr>
      <w:r>
        <w:rPr>
          <w:rFonts w:ascii="Arial" w:hAnsi="Arial" w:cs="Arial"/>
          <w:b/>
          <w:bCs/>
          <w:sz w:val="22"/>
          <w:szCs w:val="22"/>
        </w:rPr>
        <w:t>Effect on Sulf</w:t>
      </w:r>
      <w:r w:rsidR="00A74E71" w:rsidRPr="00A74E71">
        <w:rPr>
          <w:rFonts w:ascii="Arial" w:hAnsi="Arial" w:cs="Arial"/>
          <w:b/>
          <w:bCs/>
          <w:sz w:val="22"/>
          <w:szCs w:val="22"/>
        </w:rPr>
        <w:t>ur and Zinc uptake</w:t>
      </w:r>
    </w:p>
    <w:p w:rsidR="00A74E71" w:rsidRDefault="00A74E71" w:rsidP="00C64127">
      <w:pPr>
        <w:pStyle w:val="Body"/>
        <w:spacing w:line="360" w:lineRule="auto"/>
        <w:ind w:firstLine="720"/>
        <w:rPr>
          <w:rFonts w:ascii="Arial" w:hAnsi="Arial" w:cs="Arial"/>
        </w:rPr>
      </w:pPr>
      <w:r w:rsidRPr="00A74E71">
        <w:rPr>
          <w:rFonts w:ascii="Arial" w:hAnsi="Arial" w:cs="Arial"/>
        </w:rPr>
        <w:t>At 90 days after sowing (DAS) and during the harvest period, the absorption of sulfur and zinc was significantly influenced by different levels of sulfur application</w:t>
      </w:r>
      <w:r w:rsidR="00787503">
        <w:rPr>
          <w:rFonts w:ascii="Arial" w:hAnsi="Arial" w:cs="Arial"/>
        </w:rPr>
        <w:t xml:space="preserve"> (Table 2)</w:t>
      </w:r>
      <w:r w:rsidRPr="00A74E71">
        <w:rPr>
          <w:rFonts w:ascii="Arial" w:hAnsi="Arial" w:cs="Arial"/>
        </w:rPr>
        <w:t>.</w:t>
      </w:r>
      <w:r w:rsidR="001D51E4" w:rsidRPr="001D51E4">
        <w:rPr>
          <w:rFonts w:ascii="Arial" w:hAnsi="Arial" w:cs="Arial"/>
        </w:rPr>
        <w:t xml:space="preserve"> </w:t>
      </w:r>
      <w:r w:rsidR="001D51E4" w:rsidRPr="00A74E71">
        <w:rPr>
          <w:rFonts w:ascii="Arial" w:hAnsi="Arial" w:cs="Arial"/>
        </w:rPr>
        <w:t xml:space="preserve">The maximum uptake of these nutrients was observed at a sulfur application rate of 60 kg S/ha, which was statistically different from the </w:t>
      </w:r>
      <w:bookmarkStart w:id="0" w:name="_GoBack"/>
      <w:bookmarkEnd w:id="0"/>
      <w:r w:rsidR="001D51E4" w:rsidRPr="00A74E71">
        <w:rPr>
          <w:rFonts w:ascii="Arial" w:hAnsi="Arial" w:cs="Arial"/>
        </w:rPr>
        <w:t xml:space="preserve">other sulfur levels, except for zinc uptake at 40 kg/ha of </w:t>
      </w:r>
      <w:proofErr w:type="gramStart"/>
      <w:r w:rsidR="001D51E4" w:rsidRPr="00A74E71">
        <w:rPr>
          <w:rFonts w:ascii="Arial" w:hAnsi="Arial" w:cs="Arial"/>
        </w:rPr>
        <w:t>sulfur</w:t>
      </w:r>
      <w:r w:rsidR="001D51E4">
        <w:rPr>
          <w:rFonts w:ascii="Arial" w:hAnsi="Arial" w:cs="Arial"/>
        </w:rPr>
        <w:t xml:space="preserve">  during</w:t>
      </w:r>
      <w:proofErr w:type="gramEnd"/>
      <w:r w:rsidR="001D51E4">
        <w:rPr>
          <w:rFonts w:ascii="Arial" w:hAnsi="Arial" w:cs="Arial"/>
        </w:rPr>
        <w:t xml:space="preserve">  90 DAS. N</w:t>
      </w:r>
      <w:r w:rsidR="001D51E4" w:rsidRPr="00A74E71">
        <w:rPr>
          <w:rFonts w:ascii="Arial" w:hAnsi="Arial" w:cs="Arial"/>
        </w:rPr>
        <w:t xml:space="preserve">otable differences in sulfur and zinc uptake at harvest were associated with sulfur application in crops. This is likely due to the increased availability of sulfur at higher application rates and the dilution effect of zinc (Dixit </w:t>
      </w:r>
      <w:r w:rsidR="001D51E4" w:rsidRPr="00A74E71">
        <w:rPr>
          <w:rFonts w:ascii="Arial" w:hAnsi="Arial" w:cs="Arial"/>
          <w:i/>
        </w:rPr>
        <w:t>et al</w:t>
      </w:r>
      <w:r w:rsidR="001D51E4" w:rsidRPr="00A74E71">
        <w:rPr>
          <w:rFonts w:ascii="Arial" w:hAnsi="Arial" w:cs="Arial"/>
        </w:rPr>
        <w:t xml:space="preserve">. 2012; Verma </w:t>
      </w:r>
      <w:r w:rsidR="001D51E4" w:rsidRPr="00A74E71">
        <w:rPr>
          <w:rFonts w:ascii="Arial" w:hAnsi="Arial" w:cs="Arial"/>
          <w:i/>
        </w:rPr>
        <w:t>et al</w:t>
      </w:r>
      <w:r w:rsidR="001D51E4" w:rsidRPr="00A74E71">
        <w:rPr>
          <w:rFonts w:ascii="Arial" w:hAnsi="Arial" w:cs="Arial"/>
        </w:rPr>
        <w:t xml:space="preserve">. 2012; </w:t>
      </w:r>
      <w:proofErr w:type="spellStart"/>
      <w:r w:rsidR="001D51E4" w:rsidRPr="00A74E71">
        <w:rPr>
          <w:rFonts w:ascii="Arial" w:hAnsi="Arial" w:cs="Arial"/>
        </w:rPr>
        <w:t>Zizala</w:t>
      </w:r>
      <w:proofErr w:type="spellEnd"/>
      <w:r w:rsidR="001D51E4" w:rsidRPr="00A74E71">
        <w:rPr>
          <w:rFonts w:ascii="Arial" w:hAnsi="Arial" w:cs="Arial"/>
        </w:rPr>
        <w:t xml:space="preserve"> </w:t>
      </w:r>
      <w:r w:rsidR="001D51E4" w:rsidRPr="00A74E71">
        <w:rPr>
          <w:rFonts w:ascii="Arial" w:hAnsi="Arial" w:cs="Arial"/>
          <w:i/>
        </w:rPr>
        <w:t>et al</w:t>
      </w:r>
      <w:r w:rsidR="001D51E4" w:rsidRPr="00A74E71">
        <w:rPr>
          <w:rFonts w:ascii="Arial" w:hAnsi="Arial" w:cs="Arial"/>
        </w:rPr>
        <w:t xml:space="preserve">. 2008). Chauhan (1998) also discovered that higher sulfur concentrations in grains and </w:t>
      </w:r>
      <w:proofErr w:type="spellStart"/>
      <w:r w:rsidR="001D51E4" w:rsidRPr="00A74E71">
        <w:rPr>
          <w:rFonts w:ascii="Arial" w:hAnsi="Arial" w:cs="Arial"/>
        </w:rPr>
        <w:t>stover</w:t>
      </w:r>
      <w:proofErr w:type="spellEnd"/>
      <w:r w:rsidR="001D51E4" w:rsidRPr="00A74E71">
        <w:rPr>
          <w:rFonts w:ascii="Arial" w:hAnsi="Arial" w:cs="Arial"/>
        </w:rPr>
        <w:t xml:space="preserve"> resulted from enhanced partitioning and translocation linked to sulfur application in oilseed crops. Applying zinc at a rate of 10 kg/ha led to </w:t>
      </w:r>
      <w:r w:rsidR="001D51E4">
        <w:rPr>
          <w:rFonts w:ascii="Arial" w:hAnsi="Arial" w:cs="Arial"/>
        </w:rPr>
        <w:t>maximum</w:t>
      </w:r>
      <w:r w:rsidR="001D51E4" w:rsidRPr="00A74E71">
        <w:rPr>
          <w:rFonts w:ascii="Arial" w:hAnsi="Arial" w:cs="Arial"/>
        </w:rPr>
        <w:t xml:space="preserve"> uptake </w:t>
      </w:r>
      <w:r w:rsidR="001D51E4">
        <w:rPr>
          <w:rFonts w:ascii="Arial" w:hAnsi="Arial" w:cs="Arial"/>
        </w:rPr>
        <w:t xml:space="preserve">of </w:t>
      </w:r>
      <w:r w:rsidR="001D51E4" w:rsidRPr="00A74E71">
        <w:rPr>
          <w:rFonts w:ascii="Arial" w:hAnsi="Arial" w:cs="Arial"/>
        </w:rPr>
        <w:t>sulfur and zinc at 90 DAS and harvest; however, the</w:t>
      </w:r>
      <w:r w:rsidR="001D51E4">
        <w:rPr>
          <w:rFonts w:ascii="Arial" w:hAnsi="Arial" w:cs="Arial"/>
        </w:rPr>
        <w:t>ir</w:t>
      </w:r>
      <w:r w:rsidR="001D51E4" w:rsidRPr="00A74E71">
        <w:rPr>
          <w:rFonts w:ascii="Arial" w:hAnsi="Arial" w:cs="Arial"/>
        </w:rPr>
        <w:t xml:space="preserve"> difference was </w:t>
      </w:r>
      <w:r w:rsidR="001D51E4">
        <w:rPr>
          <w:rFonts w:ascii="Arial" w:hAnsi="Arial" w:cs="Arial"/>
        </w:rPr>
        <w:t xml:space="preserve">statistically </w:t>
      </w:r>
      <w:r w:rsidR="001D51E4" w:rsidRPr="00A74E71">
        <w:rPr>
          <w:rFonts w:ascii="Arial" w:hAnsi="Arial" w:cs="Arial"/>
        </w:rPr>
        <w:t xml:space="preserve">significant </w:t>
      </w:r>
      <w:r w:rsidR="001D51E4">
        <w:rPr>
          <w:rFonts w:ascii="Arial" w:hAnsi="Arial" w:cs="Arial"/>
        </w:rPr>
        <w:t xml:space="preserve">as </w:t>
      </w:r>
      <w:r w:rsidR="001D51E4" w:rsidRPr="00A74E71">
        <w:rPr>
          <w:rFonts w:ascii="Arial" w:hAnsi="Arial" w:cs="Arial"/>
        </w:rPr>
        <w:t xml:space="preserve">compared to 5 kg Zn/ha, except for zinc uptake at </w:t>
      </w:r>
      <w:r w:rsidR="001D51E4">
        <w:rPr>
          <w:rFonts w:ascii="Arial" w:hAnsi="Arial" w:cs="Arial"/>
        </w:rPr>
        <w:t>90DAS</w:t>
      </w:r>
      <w:r w:rsidR="001D51E4" w:rsidRPr="00A74E71">
        <w:rPr>
          <w:rFonts w:ascii="Arial" w:hAnsi="Arial" w:cs="Arial"/>
        </w:rPr>
        <w:t xml:space="preserve">. This increase in uptake may </w:t>
      </w:r>
      <w:r w:rsidR="001D51E4" w:rsidRPr="00A74E71">
        <w:rPr>
          <w:rFonts w:ascii="Arial" w:hAnsi="Arial" w:cs="Arial"/>
        </w:rPr>
        <w:lastRenderedPageBreak/>
        <w:t xml:space="preserve">be attributed to vigorous vegetative growth and higher nutrient concentrations. Seed and </w:t>
      </w:r>
      <w:proofErr w:type="spellStart"/>
      <w:r w:rsidR="001D51E4" w:rsidRPr="00A74E71">
        <w:rPr>
          <w:rFonts w:ascii="Arial" w:hAnsi="Arial" w:cs="Arial"/>
        </w:rPr>
        <w:t>stover</w:t>
      </w:r>
      <w:proofErr w:type="spellEnd"/>
      <w:r w:rsidR="001D51E4" w:rsidRPr="00A74E71">
        <w:rPr>
          <w:rFonts w:ascii="Arial" w:hAnsi="Arial" w:cs="Arial"/>
        </w:rPr>
        <w:t xml:space="preserve"> yields could be crucial factors in determining nutrient uptake. These findings are consistent with those of Verma </w:t>
      </w:r>
      <w:r w:rsidR="001D51E4" w:rsidRPr="00A74E71">
        <w:rPr>
          <w:rFonts w:ascii="Arial" w:hAnsi="Arial" w:cs="Arial"/>
          <w:i/>
        </w:rPr>
        <w:t>et al</w:t>
      </w:r>
      <w:r w:rsidR="001D51E4" w:rsidRPr="00A74E71">
        <w:rPr>
          <w:rFonts w:ascii="Arial" w:hAnsi="Arial" w:cs="Arial"/>
        </w:rPr>
        <w:t xml:space="preserve">. (2012) and </w:t>
      </w:r>
      <w:proofErr w:type="spellStart"/>
      <w:r w:rsidR="001D51E4" w:rsidRPr="00A74E71">
        <w:rPr>
          <w:rFonts w:ascii="Arial" w:hAnsi="Arial" w:cs="Arial"/>
        </w:rPr>
        <w:t>Zizala</w:t>
      </w:r>
      <w:proofErr w:type="spellEnd"/>
      <w:r w:rsidR="001D51E4" w:rsidRPr="00A74E71">
        <w:rPr>
          <w:rFonts w:ascii="Arial" w:hAnsi="Arial" w:cs="Arial"/>
        </w:rPr>
        <w:t xml:space="preserve"> </w:t>
      </w:r>
      <w:r w:rsidR="001D51E4" w:rsidRPr="00A74E71">
        <w:rPr>
          <w:rFonts w:ascii="Arial" w:hAnsi="Arial" w:cs="Arial"/>
          <w:i/>
        </w:rPr>
        <w:t>et al</w:t>
      </w:r>
      <w:r w:rsidR="001D51E4" w:rsidRPr="00A74E71">
        <w:rPr>
          <w:rFonts w:ascii="Arial" w:hAnsi="Arial" w:cs="Arial"/>
        </w:rPr>
        <w:t>. (2008), who reported greater sulfur uptake by grains (up to 7.5 kg Zn/ha) in mustard compared to 5 kg Zn/ha.</w:t>
      </w:r>
      <w:r w:rsidR="001D51E4">
        <w:rPr>
          <w:rFonts w:ascii="Arial" w:hAnsi="Arial" w:cs="Arial"/>
        </w:rPr>
        <w:t xml:space="preserve">  </w:t>
      </w:r>
      <w:r w:rsidR="001D51E4" w:rsidRPr="00A74E71">
        <w:rPr>
          <w:rFonts w:ascii="Arial" w:hAnsi="Arial" w:cs="Arial"/>
        </w:rPr>
        <w:t>Zinc application at e</w:t>
      </w:r>
      <w:r w:rsidR="001D51E4">
        <w:rPr>
          <w:rFonts w:ascii="Arial" w:hAnsi="Arial" w:cs="Arial"/>
        </w:rPr>
        <w:t xml:space="preserve">ither 5 or 10 kg/ha resulted </w:t>
      </w:r>
      <w:r w:rsidR="001D51E4" w:rsidRPr="00A74E71">
        <w:rPr>
          <w:rFonts w:ascii="Arial" w:hAnsi="Arial" w:cs="Arial"/>
        </w:rPr>
        <w:t>sign</w:t>
      </w:r>
      <w:r w:rsidR="001D51E4">
        <w:rPr>
          <w:rFonts w:ascii="Arial" w:hAnsi="Arial" w:cs="Arial"/>
        </w:rPr>
        <w:t>ificantly higher sulfur</w:t>
      </w:r>
      <w:r w:rsidR="001D51E4" w:rsidRPr="00A74E71">
        <w:rPr>
          <w:rFonts w:ascii="Arial" w:hAnsi="Arial" w:cs="Arial"/>
        </w:rPr>
        <w:t xml:space="preserve"> uptake by linseeds than in the control. </w:t>
      </w:r>
      <w:r w:rsidR="001D51E4">
        <w:rPr>
          <w:rFonts w:ascii="Arial" w:hAnsi="Arial" w:cs="Arial"/>
        </w:rPr>
        <w:t xml:space="preserve"> However zinc </w:t>
      </w:r>
      <w:proofErr w:type="gramStart"/>
      <w:r w:rsidR="001D51E4">
        <w:rPr>
          <w:rFonts w:ascii="Arial" w:hAnsi="Arial" w:cs="Arial"/>
        </w:rPr>
        <w:t>uptake  at</w:t>
      </w:r>
      <w:proofErr w:type="gramEnd"/>
      <w:r w:rsidR="001D51E4">
        <w:rPr>
          <w:rFonts w:ascii="Arial" w:hAnsi="Arial" w:cs="Arial"/>
        </w:rPr>
        <w:t xml:space="preserve"> harvest stage was significant with 5 and 10 kg Zn application  </w:t>
      </w:r>
      <w:r w:rsidR="001D51E4" w:rsidRPr="00A74E71">
        <w:rPr>
          <w:rFonts w:ascii="Arial" w:hAnsi="Arial" w:cs="Arial"/>
        </w:rPr>
        <w:t>This could be due to the increased availability of sulfur and Z</w:t>
      </w:r>
      <w:r w:rsidR="001D51E4">
        <w:rPr>
          <w:rFonts w:ascii="Arial" w:hAnsi="Arial" w:cs="Arial"/>
        </w:rPr>
        <w:t>i</w:t>
      </w:r>
      <w:r w:rsidR="001D51E4" w:rsidRPr="00A74E71">
        <w:rPr>
          <w:rFonts w:ascii="Arial" w:hAnsi="Arial" w:cs="Arial"/>
        </w:rPr>
        <w:t>n</w:t>
      </w:r>
      <w:r w:rsidR="001D51E4">
        <w:rPr>
          <w:rFonts w:ascii="Arial" w:hAnsi="Arial" w:cs="Arial"/>
        </w:rPr>
        <w:t>c</w:t>
      </w:r>
      <w:r w:rsidR="001D51E4" w:rsidRPr="00A74E71">
        <w:rPr>
          <w:rFonts w:ascii="Arial" w:hAnsi="Arial" w:cs="Arial"/>
        </w:rPr>
        <w:t xml:space="preserve"> to plants, which enhances water absorption and nutrient utilization for optimal growth and development, leading to a higher </w:t>
      </w:r>
      <w:proofErr w:type="spellStart"/>
      <w:r w:rsidR="001D51E4" w:rsidRPr="00A74E71">
        <w:rPr>
          <w:rFonts w:ascii="Arial" w:hAnsi="Arial" w:cs="Arial"/>
        </w:rPr>
        <w:t>stover</w:t>
      </w:r>
      <w:proofErr w:type="spellEnd"/>
      <w:r w:rsidR="001D51E4" w:rsidRPr="00A74E71">
        <w:rPr>
          <w:rFonts w:ascii="Arial" w:hAnsi="Arial" w:cs="Arial"/>
        </w:rPr>
        <w:t xml:space="preserve"> yield (</w:t>
      </w:r>
      <w:proofErr w:type="spellStart"/>
      <w:r w:rsidR="001D51E4" w:rsidRPr="00A74E71">
        <w:rPr>
          <w:rFonts w:ascii="Arial" w:hAnsi="Arial" w:cs="Arial"/>
        </w:rPr>
        <w:t>Maharudra</w:t>
      </w:r>
      <w:proofErr w:type="spellEnd"/>
      <w:r w:rsidR="001D51E4" w:rsidRPr="00A74E71">
        <w:rPr>
          <w:rFonts w:ascii="Arial" w:hAnsi="Arial" w:cs="Arial"/>
        </w:rPr>
        <w:t>, 2020).</w:t>
      </w:r>
      <w:r w:rsidRPr="00A74E71">
        <w:rPr>
          <w:rFonts w:ascii="Arial" w:hAnsi="Arial" w:cs="Arial"/>
        </w:rPr>
        <w:t xml:space="preserve"> </w:t>
      </w:r>
    </w:p>
    <w:p w:rsidR="00A74E71" w:rsidRPr="008A256F" w:rsidRDefault="00A33814" w:rsidP="00A74E71">
      <w:pPr>
        <w:spacing w:line="360" w:lineRule="auto"/>
        <w:jc w:val="both"/>
        <w:rPr>
          <w:rFonts w:ascii="Arial" w:hAnsi="Arial" w:cs="Arial"/>
          <w:b/>
          <w:color w:val="000000" w:themeColor="text1"/>
        </w:rPr>
      </w:pPr>
      <w:r>
        <w:rPr>
          <w:rFonts w:ascii="Arial" w:hAnsi="Arial" w:cs="Arial"/>
          <w:b/>
          <w:color w:val="000000" w:themeColor="text1"/>
        </w:rPr>
        <w:t>Table 2: Effect of sulf</w:t>
      </w:r>
      <w:r w:rsidR="00A74E71" w:rsidRPr="008A256F">
        <w:rPr>
          <w:rFonts w:ascii="Arial" w:hAnsi="Arial" w:cs="Arial"/>
          <w:b/>
          <w:color w:val="000000" w:themeColor="text1"/>
        </w:rPr>
        <w:t xml:space="preserve">ur and zinc application on nutrient uptake at different growth stages in linseed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80"/>
        <w:gridCol w:w="1682"/>
        <w:gridCol w:w="1682"/>
        <w:gridCol w:w="1682"/>
      </w:tblGrid>
      <w:tr w:rsidR="00A74E71" w:rsidRPr="008A256F" w:rsidTr="00A74E71">
        <w:trPr>
          <w:trHeight w:val="228"/>
        </w:trPr>
        <w:tc>
          <w:tcPr>
            <w:tcW w:w="1005" w:type="pct"/>
            <w:vMerge w:val="restart"/>
            <w:tcBorders>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Treatment</w:t>
            </w:r>
          </w:p>
        </w:tc>
        <w:tc>
          <w:tcPr>
            <w:tcW w:w="3995" w:type="pct"/>
            <w:gridSpan w:val="4"/>
            <w:tcBorders>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Nutrient Uptake (kg/ha)</w:t>
            </w:r>
          </w:p>
        </w:tc>
      </w:tr>
      <w:tr w:rsidR="00A74E71" w:rsidRPr="008A256F" w:rsidTr="00A74E71">
        <w:trPr>
          <w:trHeight w:val="248"/>
        </w:trPr>
        <w:tc>
          <w:tcPr>
            <w:tcW w:w="1005" w:type="pct"/>
            <w:vMerge/>
            <w:tcBorders>
              <w:top w:val="single" w:sz="4" w:space="0" w:color="auto"/>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p>
        </w:tc>
        <w:tc>
          <w:tcPr>
            <w:tcW w:w="1997" w:type="pct"/>
            <w:gridSpan w:val="2"/>
            <w:tcBorders>
              <w:top w:val="single" w:sz="4" w:space="0" w:color="auto"/>
              <w:left w:val="nil"/>
              <w:bottom w:val="single" w:sz="4" w:space="0" w:color="auto"/>
              <w:right w:val="nil"/>
            </w:tcBorders>
            <w:vAlign w:val="center"/>
          </w:tcPr>
          <w:p w:rsidR="00A74E71" w:rsidRPr="008A256F" w:rsidRDefault="00A33814" w:rsidP="004D6A5A">
            <w:pPr>
              <w:jc w:val="center"/>
              <w:rPr>
                <w:rFonts w:ascii="Arial" w:hAnsi="Arial" w:cs="Arial"/>
                <w:b/>
                <w:color w:val="000000" w:themeColor="text1"/>
              </w:rPr>
            </w:pPr>
            <w:r>
              <w:rPr>
                <w:rFonts w:ascii="Arial" w:hAnsi="Arial" w:cs="Arial"/>
                <w:b/>
                <w:color w:val="000000" w:themeColor="text1"/>
              </w:rPr>
              <w:t>Sulf</w:t>
            </w:r>
            <w:r w:rsidR="00A74E71" w:rsidRPr="008A256F">
              <w:rPr>
                <w:rFonts w:ascii="Arial" w:hAnsi="Arial" w:cs="Arial"/>
                <w:b/>
                <w:color w:val="000000" w:themeColor="text1"/>
              </w:rPr>
              <w:t>ur</w:t>
            </w:r>
          </w:p>
        </w:tc>
        <w:tc>
          <w:tcPr>
            <w:tcW w:w="1998" w:type="pct"/>
            <w:gridSpan w:val="2"/>
            <w:tcBorders>
              <w:top w:val="single" w:sz="4" w:space="0" w:color="auto"/>
              <w:left w:val="nil"/>
              <w:bottom w:val="single" w:sz="4" w:space="0" w:color="auto"/>
              <w:right w:val="nil"/>
            </w:tcBorders>
            <w:vAlign w:val="center"/>
          </w:tcPr>
          <w:p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Zinc</w:t>
            </w:r>
          </w:p>
        </w:tc>
      </w:tr>
      <w:tr w:rsidR="00A74E71" w:rsidRPr="008A256F" w:rsidTr="00A74E71">
        <w:trPr>
          <w:trHeight w:val="125"/>
        </w:trPr>
        <w:tc>
          <w:tcPr>
            <w:tcW w:w="1005" w:type="pct"/>
            <w:vMerge/>
            <w:tcBorders>
              <w:top w:val="single" w:sz="4" w:space="0" w:color="auto"/>
              <w:left w:val="nil"/>
              <w:bottom w:val="single" w:sz="4" w:space="0" w:color="auto"/>
              <w:right w:val="nil"/>
            </w:tcBorders>
            <w:noWrap/>
            <w:vAlign w:val="center"/>
          </w:tcPr>
          <w:p w:rsidR="00A74E71" w:rsidRPr="008A256F" w:rsidRDefault="00A74E71" w:rsidP="004D6A5A">
            <w:pPr>
              <w:jc w:val="center"/>
              <w:rPr>
                <w:rFonts w:ascii="Arial" w:hAnsi="Arial" w:cs="Arial"/>
                <w:b/>
                <w:bCs/>
                <w:color w:val="000000" w:themeColor="text1"/>
              </w:rPr>
            </w:pPr>
          </w:p>
        </w:tc>
        <w:tc>
          <w:tcPr>
            <w:tcW w:w="998"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r>
      <w:tr w:rsidR="00A74E71" w:rsidRPr="008A256F" w:rsidTr="00A74E71">
        <w:trPr>
          <w:trHeight w:val="269"/>
        </w:trPr>
        <w:tc>
          <w:tcPr>
            <w:tcW w:w="1005" w:type="pct"/>
            <w:tcBorders>
              <w:top w:val="single" w:sz="4" w:space="0" w:color="auto"/>
              <w:left w:val="nil"/>
              <w:bottom w:val="nil"/>
              <w:right w:val="nil"/>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6.09</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9.38</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180.31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611.54</w:t>
            </w:r>
          </w:p>
        </w:tc>
      </w:tr>
      <w:tr w:rsidR="00A74E71" w:rsidRPr="008A256F" w:rsidTr="008A256F">
        <w:trPr>
          <w:trHeight w:val="66"/>
        </w:trPr>
        <w:tc>
          <w:tcPr>
            <w:tcW w:w="1005" w:type="pct"/>
            <w:tcBorders>
              <w:top w:val="nil"/>
              <w:left w:val="nil"/>
              <w:bottom w:val="nil"/>
              <w:right w:val="nil"/>
            </w:tcBorders>
            <w:noWrap/>
            <w:vAlign w:val="center"/>
            <w:hideMark/>
          </w:tcPr>
          <w:p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6.30</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11.14</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194.50</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728.56</w:t>
            </w:r>
          </w:p>
        </w:tc>
      </w:tr>
      <w:tr w:rsidR="00A74E71" w:rsidRPr="008A256F" w:rsidTr="008A256F">
        <w:trPr>
          <w:trHeight w:val="66"/>
        </w:trPr>
        <w:tc>
          <w:tcPr>
            <w:tcW w:w="1005" w:type="pct"/>
            <w:tcBorders>
              <w:top w:val="nil"/>
              <w:left w:val="nil"/>
              <w:bottom w:val="nil"/>
              <w:right w:val="nil"/>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6.52</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11.71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208.33</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768.19</w:t>
            </w:r>
          </w:p>
        </w:tc>
      </w:tr>
      <w:tr w:rsidR="00A74E71" w:rsidRPr="008A256F" w:rsidTr="008A256F">
        <w:trPr>
          <w:trHeight w:val="66"/>
        </w:trPr>
        <w:tc>
          <w:tcPr>
            <w:tcW w:w="1005" w:type="pct"/>
            <w:tcBorders>
              <w:top w:val="nil"/>
              <w:left w:val="nil"/>
              <w:bottom w:val="single" w:sz="4" w:space="0" w:color="auto"/>
              <w:right w:val="nil"/>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6.73</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12.30</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212.32</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816.15</w:t>
            </w:r>
          </w:p>
        </w:tc>
      </w:tr>
      <w:tr w:rsidR="00A74E71" w:rsidRPr="008A256F" w:rsidTr="008A256F">
        <w:trPr>
          <w:trHeight w:val="167"/>
        </w:trPr>
        <w:tc>
          <w:tcPr>
            <w:tcW w:w="1005" w:type="pct"/>
            <w:tcBorders>
              <w:top w:val="single" w:sz="4" w:space="0" w:color="auto"/>
              <w:left w:val="nil"/>
              <w:bottom w:val="nil"/>
              <w:right w:val="nil"/>
            </w:tcBorders>
            <w:noWrap/>
            <w:vAlign w:val="center"/>
            <w:hideMark/>
          </w:tcPr>
          <w:p w:rsidR="00A74E71" w:rsidRPr="008A256F" w:rsidRDefault="00A74E71" w:rsidP="004D6A5A">
            <w:pPr>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0.02</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0.17</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1.84</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10.03</w:t>
            </w:r>
          </w:p>
        </w:tc>
      </w:tr>
      <w:tr w:rsidR="00A74E71" w:rsidRPr="008A256F" w:rsidTr="008A256F">
        <w:trPr>
          <w:trHeight w:val="223"/>
        </w:trPr>
        <w:tc>
          <w:tcPr>
            <w:tcW w:w="1005" w:type="pct"/>
            <w:tcBorders>
              <w:top w:val="nil"/>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0.05</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0.49</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5.41</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29.42</w:t>
            </w:r>
          </w:p>
        </w:tc>
      </w:tr>
      <w:tr w:rsidR="00A74E71" w:rsidRPr="008A256F" w:rsidTr="008A256F">
        <w:trPr>
          <w:trHeight w:val="56"/>
        </w:trPr>
        <w:tc>
          <w:tcPr>
            <w:tcW w:w="1005" w:type="pct"/>
            <w:tcBorders>
              <w:top w:val="single" w:sz="4" w:space="0" w:color="auto"/>
              <w:left w:val="nil"/>
              <w:bottom w:val="nil"/>
              <w:right w:val="nil"/>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6.25</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9.90</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187.22</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643.34</w:t>
            </w:r>
          </w:p>
        </w:tc>
      </w:tr>
      <w:tr w:rsidR="00A74E71" w:rsidRPr="008A256F" w:rsidTr="008A256F">
        <w:trPr>
          <w:trHeight w:val="66"/>
        </w:trPr>
        <w:tc>
          <w:tcPr>
            <w:tcW w:w="1005" w:type="pct"/>
            <w:tcBorders>
              <w:top w:val="nil"/>
              <w:left w:val="nil"/>
              <w:bottom w:val="nil"/>
              <w:right w:val="nil"/>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11.33</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203.76</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742.99</w:t>
            </w:r>
          </w:p>
        </w:tc>
      </w:tr>
      <w:tr w:rsidR="00A74E71" w:rsidRPr="008A256F" w:rsidTr="008A256F">
        <w:trPr>
          <w:trHeight w:val="66"/>
        </w:trPr>
        <w:tc>
          <w:tcPr>
            <w:tcW w:w="1005" w:type="pct"/>
            <w:tcBorders>
              <w:top w:val="nil"/>
              <w:left w:val="nil"/>
              <w:bottom w:val="single" w:sz="4" w:space="0" w:color="auto"/>
              <w:right w:val="nil"/>
            </w:tcBorders>
            <w:noWrap/>
            <w:vAlign w:val="bottom"/>
            <w:hideMark/>
          </w:tcPr>
          <w:p w:rsidR="00A74E71" w:rsidRPr="008A256F" w:rsidRDefault="001B317C" w:rsidP="004D6A5A">
            <w:pPr>
              <w:jc w:val="both"/>
              <w:rPr>
                <w:rFonts w:ascii="Arial" w:hAnsi="Arial" w:cs="Arial"/>
                <w:bCs/>
                <w:color w:val="000000" w:themeColor="text1"/>
              </w:rPr>
            </w:pPr>
            <w:r>
              <w:rPr>
                <w:rFonts w:ascii="Arial" w:hAnsi="Arial" w:cs="Arial"/>
                <w:bCs/>
                <w:color w:val="000000" w:themeColor="text1"/>
              </w:rPr>
              <w:t>Zinc 10</w:t>
            </w:r>
            <w:r w:rsidR="00A74E71" w:rsidRPr="008A256F">
              <w:rPr>
                <w:rFonts w:ascii="Arial" w:hAnsi="Arial" w:cs="Arial"/>
                <w:bCs/>
                <w:color w:val="000000" w:themeColor="text1"/>
              </w:rPr>
              <w:t>kg/ha</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6.67</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12.17</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205.62</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807.00</w:t>
            </w:r>
          </w:p>
        </w:tc>
      </w:tr>
      <w:tr w:rsidR="00A74E71" w:rsidRPr="008A256F" w:rsidTr="008A256F">
        <w:trPr>
          <w:trHeight w:val="56"/>
        </w:trPr>
        <w:tc>
          <w:tcPr>
            <w:tcW w:w="1005" w:type="pct"/>
            <w:tcBorders>
              <w:left w:val="nil"/>
              <w:bottom w:val="nil"/>
              <w:right w:val="nil"/>
            </w:tcBorders>
            <w:noWrap/>
            <w:vAlign w:val="center"/>
            <w:hideMark/>
          </w:tcPr>
          <w:p w:rsidR="00A74E71" w:rsidRPr="008A256F" w:rsidRDefault="00A74E71" w:rsidP="004D6A5A">
            <w:pPr>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0.14</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1.60</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8.69</w:t>
            </w:r>
          </w:p>
        </w:tc>
      </w:tr>
      <w:tr w:rsidR="00A74E71" w:rsidRPr="008A256F" w:rsidTr="008A256F">
        <w:trPr>
          <w:trHeight w:val="66"/>
        </w:trPr>
        <w:tc>
          <w:tcPr>
            <w:tcW w:w="1005" w:type="pct"/>
            <w:tcBorders>
              <w:top w:val="nil"/>
              <w:left w:val="nil"/>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0.04</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0.42</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4.68</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25.47</w:t>
            </w:r>
          </w:p>
        </w:tc>
      </w:tr>
      <w:tr w:rsidR="00A74E71" w:rsidRPr="008A256F" w:rsidTr="008A256F">
        <w:trPr>
          <w:trHeight w:val="56"/>
        </w:trPr>
        <w:tc>
          <w:tcPr>
            <w:tcW w:w="5000" w:type="pct"/>
            <w:gridSpan w:val="5"/>
            <w:tcBorders>
              <w:left w:val="nil"/>
              <w:bottom w:val="single" w:sz="4" w:space="0" w:color="auto"/>
              <w:right w:val="nil"/>
            </w:tcBorders>
          </w:tcPr>
          <w:p w:rsidR="00A74E71" w:rsidRPr="008A256F" w:rsidRDefault="008A256F" w:rsidP="008A256F">
            <w:pPr>
              <w:tabs>
                <w:tab w:val="left" w:pos="3203"/>
                <w:tab w:val="center" w:pos="4104"/>
              </w:tabs>
              <w:rPr>
                <w:rFonts w:ascii="Arial" w:hAnsi="Arial" w:cs="Arial"/>
                <w:bCs/>
                <w:color w:val="000000" w:themeColor="text1"/>
              </w:rPr>
            </w:pPr>
            <w:r w:rsidRPr="008A256F">
              <w:rPr>
                <w:rFonts w:ascii="Arial" w:hAnsi="Arial" w:cs="Arial"/>
                <w:bCs/>
                <w:color w:val="000000" w:themeColor="text1"/>
              </w:rPr>
              <w:tab/>
            </w:r>
            <w:r w:rsidRPr="008A256F">
              <w:rPr>
                <w:rFonts w:ascii="Arial" w:hAnsi="Arial" w:cs="Arial"/>
                <w:bCs/>
                <w:color w:val="000000" w:themeColor="text1"/>
              </w:rPr>
              <w:tab/>
            </w:r>
            <w:proofErr w:type="spellStart"/>
            <w:r w:rsidR="00A74E71" w:rsidRPr="008A256F">
              <w:rPr>
                <w:rFonts w:ascii="Arial" w:hAnsi="Arial" w:cs="Arial"/>
                <w:bCs/>
                <w:color w:val="000000" w:themeColor="text1"/>
              </w:rPr>
              <w:t>SXZn</w:t>
            </w:r>
            <w:proofErr w:type="spellEnd"/>
          </w:p>
        </w:tc>
      </w:tr>
      <w:tr w:rsidR="00A74E71" w:rsidRPr="008A256F" w:rsidTr="008A256F">
        <w:trPr>
          <w:trHeight w:val="56"/>
        </w:trPr>
        <w:tc>
          <w:tcPr>
            <w:tcW w:w="1005" w:type="pct"/>
            <w:tcBorders>
              <w:left w:val="nil"/>
              <w:bottom w:val="nil"/>
              <w:right w:val="nil"/>
            </w:tcBorders>
            <w:noWrap/>
            <w:vAlign w:val="bottom"/>
            <w:hideMark/>
          </w:tcPr>
          <w:p w:rsidR="00A74E71" w:rsidRPr="008A256F" w:rsidRDefault="00A74E71" w:rsidP="004D6A5A">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left w:val="nil"/>
              <w:bottom w:val="nil"/>
              <w:right w:val="nil"/>
            </w:tcBorders>
            <w:vAlign w:val="bottom"/>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0.03</w:t>
            </w:r>
          </w:p>
        </w:tc>
        <w:tc>
          <w:tcPr>
            <w:tcW w:w="999" w:type="pct"/>
            <w:tcBorders>
              <w:left w:val="nil"/>
              <w:bottom w:val="nil"/>
              <w:right w:val="nil"/>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0.29</w:t>
            </w:r>
          </w:p>
        </w:tc>
        <w:tc>
          <w:tcPr>
            <w:tcW w:w="999" w:type="pct"/>
            <w:tcBorders>
              <w:left w:val="nil"/>
              <w:bottom w:val="nil"/>
              <w:right w:val="nil"/>
            </w:tcBorders>
            <w:vAlign w:val="center"/>
          </w:tcPr>
          <w:p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3.19</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17.37</w:t>
            </w:r>
          </w:p>
        </w:tc>
      </w:tr>
      <w:tr w:rsidR="00A74E71" w:rsidRPr="008A256F" w:rsidTr="008A256F">
        <w:trPr>
          <w:trHeight w:val="66"/>
        </w:trPr>
        <w:tc>
          <w:tcPr>
            <w:tcW w:w="1005" w:type="pct"/>
            <w:tcBorders>
              <w:top w:val="nil"/>
              <w:left w:val="nil"/>
              <w:right w:val="nil"/>
            </w:tcBorders>
            <w:noWrap/>
            <w:vAlign w:val="bottom"/>
          </w:tcPr>
          <w:p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bottom"/>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999" w:type="pct"/>
            <w:tcBorders>
              <w:top w:val="nil"/>
              <w:left w:val="nil"/>
              <w:right w:val="nil"/>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0.85</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9.37</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50.95</w:t>
            </w:r>
          </w:p>
        </w:tc>
      </w:tr>
    </w:tbl>
    <w:p w:rsidR="00787503" w:rsidRDefault="00787503" w:rsidP="001D51E4">
      <w:pPr>
        <w:pStyle w:val="Body"/>
        <w:spacing w:line="360" w:lineRule="auto"/>
        <w:rPr>
          <w:rFonts w:ascii="Arial" w:hAnsi="Arial" w:cs="Arial"/>
        </w:rPr>
      </w:pPr>
    </w:p>
    <w:p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 xml:space="preserve">Effect on soil properties </w:t>
      </w:r>
    </w:p>
    <w:p w:rsidR="002E26F9" w:rsidRDefault="002E26F9" w:rsidP="00732CC6">
      <w:pPr>
        <w:pStyle w:val="Body"/>
        <w:spacing w:line="360" w:lineRule="auto"/>
        <w:ind w:firstLine="720"/>
        <w:rPr>
          <w:rFonts w:ascii="Arial" w:hAnsi="Arial" w:cs="Arial"/>
        </w:rPr>
      </w:pPr>
      <w:r w:rsidRPr="00A74E71">
        <w:rPr>
          <w:rFonts w:ascii="Arial" w:hAnsi="Arial" w:cs="Arial"/>
          <w:b/>
          <w:bCs/>
        </w:rPr>
        <w:t> </w:t>
      </w:r>
      <w:r w:rsidR="00732CC6" w:rsidRPr="00A74E71">
        <w:rPr>
          <w:rFonts w:ascii="Arial" w:hAnsi="Arial" w:cs="Arial"/>
        </w:rPr>
        <w:t xml:space="preserve">The addition of sulfur and zinc to linseed did not have a notable impact on the electrical conductivity or organic carbon levels of the soil. The highest pH level in the soil was recorded when neither sulfur nor Zinc was added. As the sulfur application increased from 20 to 60 kg/ha, there was a numerical decline in soil </w:t>
      </w:r>
      <w:proofErr w:type="spellStart"/>
      <w:r w:rsidR="00732CC6" w:rsidRPr="00A74E71">
        <w:rPr>
          <w:rFonts w:ascii="Arial" w:hAnsi="Arial" w:cs="Arial"/>
        </w:rPr>
        <w:t>pH.</w:t>
      </w:r>
      <w:proofErr w:type="spellEnd"/>
      <w:r w:rsidR="00732CC6" w:rsidRPr="00A74E71">
        <w:rPr>
          <w:rFonts w:ascii="Arial" w:hAnsi="Arial" w:cs="Arial"/>
        </w:rPr>
        <w:t xml:space="preserve"> This drop in pH is due to the conversion of sulfur compounds into sulfate, which reduces the soil </w:t>
      </w:r>
      <w:proofErr w:type="spellStart"/>
      <w:r w:rsidR="00732CC6" w:rsidRPr="00A74E71">
        <w:rPr>
          <w:rFonts w:ascii="Arial" w:hAnsi="Arial" w:cs="Arial"/>
        </w:rPr>
        <w:t>pH.</w:t>
      </w:r>
      <w:proofErr w:type="spellEnd"/>
      <w:r w:rsidR="00732CC6" w:rsidRPr="00A74E71">
        <w:rPr>
          <w:rFonts w:ascii="Arial" w:hAnsi="Arial" w:cs="Arial"/>
        </w:rPr>
        <w:t xml:space="preserve"> Jamal </w:t>
      </w:r>
      <w:r w:rsidR="00732CC6" w:rsidRPr="00A74E71">
        <w:rPr>
          <w:rFonts w:ascii="Arial" w:hAnsi="Arial" w:cs="Arial"/>
          <w:i/>
        </w:rPr>
        <w:t>et al</w:t>
      </w:r>
      <w:r w:rsidR="00732CC6" w:rsidRPr="00A74E71">
        <w:rPr>
          <w:rFonts w:ascii="Arial" w:hAnsi="Arial" w:cs="Arial"/>
        </w:rPr>
        <w:t xml:space="preserve">. (2010) also observed a decrease in soil pH with the use of fertilizers containing sulfur. </w:t>
      </w:r>
    </w:p>
    <w:p w:rsidR="001D51E4" w:rsidRDefault="001D51E4" w:rsidP="001D51E4">
      <w:pPr>
        <w:ind w:left="1276" w:hanging="1276"/>
        <w:jc w:val="both"/>
        <w:rPr>
          <w:rFonts w:ascii="Arial" w:hAnsi="Arial" w:cs="Arial"/>
          <w:b/>
          <w:bCs/>
          <w:color w:val="000000" w:themeColor="text1"/>
        </w:rPr>
      </w:pPr>
      <w:r w:rsidRPr="008A256F">
        <w:rPr>
          <w:rFonts w:ascii="Arial" w:hAnsi="Arial" w:cs="Arial"/>
          <w:b/>
          <w:bCs/>
          <w:color w:val="000000" w:themeColor="text1"/>
        </w:rPr>
        <w:t>Table 3: Soil properties as influenced by application of sul</w:t>
      </w:r>
      <w:r>
        <w:rPr>
          <w:rFonts w:ascii="Arial" w:hAnsi="Arial" w:cs="Arial"/>
          <w:b/>
          <w:bCs/>
          <w:color w:val="000000" w:themeColor="text1"/>
        </w:rPr>
        <w:t>f</w:t>
      </w:r>
      <w:r w:rsidRPr="008A256F">
        <w:rPr>
          <w:rFonts w:ascii="Arial" w:hAnsi="Arial" w:cs="Arial"/>
          <w:b/>
          <w:bCs/>
          <w:color w:val="000000" w:themeColor="text1"/>
        </w:rPr>
        <w:t>ur and zinc in linseed</w:t>
      </w:r>
    </w:p>
    <w:p w:rsidR="001D51E4" w:rsidRPr="008A256F" w:rsidRDefault="001D51E4" w:rsidP="001D51E4">
      <w:pPr>
        <w:ind w:left="1276" w:hanging="1276"/>
        <w:jc w:val="both"/>
        <w:rPr>
          <w:rFonts w:ascii="Arial" w:hAnsi="Arial" w:cs="Arial"/>
          <w:b/>
          <w:bCs/>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2"/>
        <w:gridCol w:w="1820"/>
        <w:gridCol w:w="236"/>
        <w:gridCol w:w="1608"/>
        <w:gridCol w:w="450"/>
        <w:gridCol w:w="2052"/>
      </w:tblGrid>
      <w:tr w:rsidR="001D51E4" w:rsidRPr="008A256F" w:rsidTr="00714724">
        <w:trPr>
          <w:trHeight w:val="260"/>
        </w:trPr>
        <w:tc>
          <w:tcPr>
            <w:tcW w:w="1338" w:type="pct"/>
            <w:vMerge w:val="restart"/>
            <w:tcBorders>
              <w:top w:val="single" w:sz="4" w:space="0" w:color="auto"/>
              <w:left w:val="nil"/>
            </w:tcBorders>
            <w:noWrap/>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5"/>
            <w:tcBorders>
              <w:top w:val="single" w:sz="4" w:space="0" w:color="auto"/>
              <w:bottom w:val="single" w:sz="4" w:space="0" w:color="auto"/>
              <w:right w:val="nil"/>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1D51E4" w:rsidRPr="008A256F" w:rsidTr="00714724">
        <w:trPr>
          <w:trHeight w:val="260"/>
        </w:trPr>
        <w:tc>
          <w:tcPr>
            <w:tcW w:w="1338" w:type="pct"/>
            <w:vMerge/>
            <w:tcBorders>
              <w:left w:val="nil"/>
              <w:bottom w:val="single" w:sz="4" w:space="0" w:color="auto"/>
            </w:tcBorders>
            <w:noWrap/>
            <w:vAlign w:val="bottom"/>
          </w:tcPr>
          <w:p w:rsidR="001D51E4" w:rsidRPr="008A256F" w:rsidRDefault="001D51E4" w:rsidP="00714724">
            <w:pPr>
              <w:jc w:val="both"/>
              <w:rPr>
                <w:rFonts w:ascii="Arial" w:hAnsi="Arial" w:cs="Arial"/>
                <w:b/>
                <w:bCs/>
                <w:color w:val="000000" w:themeColor="text1"/>
              </w:rPr>
            </w:pPr>
          </w:p>
        </w:tc>
        <w:tc>
          <w:tcPr>
            <w:tcW w:w="1081" w:type="pct"/>
            <w:tcBorders>
              <w:top w:val="single" w:sz="4" w:space="0" w:color="auto"/>
              <w:bottom w:val="single" w:sz="4" w:space="0" w:color="auto"/>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pH</w:t>
            </w:r>
          </w:p>
        </w:tc>
        <w:tc>
          <w:tcPr>
            <w:tcW w:w="1095" w:type="pct"/>
            <w:gridSpan w:val="2"/>
            <w:tcBorders>
              <w:top w:val="single" w:sz="4" w:space="0" w:color="auto"/>
              <w:bottom w:val="single" w:sz="4" w:space="0" w:color="auto"/>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EC (</w:t>
            </w:r>
            <w:proofErr w:type="spellStart"/>
            <w:r w:rsidRPr="008A256F">
              <w:rPr>
                <w:rFonts w:ascii="Arial" w:hAnsi="Arial" w:cs="Arial"/>
                <w:b/>
                <w:bCs/>
                <w:color w:val="000000" w:themeColor="text1"/>
              </w:rPr>
              <w:t>dS</w:t>
            </w:r>
            <w:proofErr w:type="spellEnd"/>
            <w:r w:rsidRPr="008A256F">
              <w:rPr>
                <w:rFonts w:ascii="Arial" w:hAnsi="Arial" w:cs="Arial"/>
                <w:b/>
                <w:bCs/>
                <w:color w:val="000000" w:themeColor="text1"/>
              </w:rPr>
              <w:t>/m)</w:t>
            </w:r>
          </w:p>
        </w:tc>
        <w:tc>
          <w:tcPr>
            <w:tcW w:w="1486" w:type="pct"/>
            <w:gridSpan w:val="2"/>
            <w:tcBorders>
              <w:top w:val="single" w:sz="4" w:space="0" w:color="auto"/>
              <w:bottom w:val="single" w:sz="4" w:space="0" w:color="auto"/>
              <w:right w:val="nil"/>
            </w:tcBorders>
            <w:vAlign w:val="bottom"/>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1D51E4" w:rsidRPr="008A256F" w:rsidTr="00714724">
        <w:trPr>
          <w:trHeight w:val="219"/>
        </w:trPr>
        <w:tc>
          <w:tcPr>
            <w:tcW w:w="1338" w:type="pct"/>
            <w:tcBorders>
              <w:top w:val="single" w:sz="4" w:space="0" w:color="auto"/>
              <w:left w:val="nil"/>
              <w:bottom w:val="nil"/>
            </w:tcBorders>
            <w:noWrap/>
            <w:vAlign w:val="center"/>
            <w:hideMark/>
          </w:tcPr>
          <w:p w:rsidR="001D51E4" w:rsidRPr="008A256F" w:rsidRDefault="001D51E4" w:rsidP="00714724">
            <w:pPr>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6.59</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0.34</w:t>
            </w:r>
          </w:p>
        </w:tc>
      </w:tr>
      <w:tr w:rsidR="001D51E4" w:rsidRPr="008A256F" w:rsidTr="00714724">
        <w:trPr>
          <w:trHeight w:val="263"/>
        </w:trPr>
        <w:tc>
          <w:tcPr>
            <w:tcW w:w="1338" w:type="pct"/>
            <w:tcBorders>
              <w:top w:val="nil"/>
              <w:left w:val="nil"/>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20kg/ha</w:t>
            </w:r>
          </w:p>
        </w:tc>
        <w:tc>
          <w:tcPr>
            <w:tcW w:w="1081" w:type="pct"/>
            <w:tcBorders>
              <w:top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6.55</w:t>
            </w:r>
          </w:p>
        </w:tc>
        <w:tc>
          <w:tcPr>
            <w:tcW w:w="1095" w:type="pct"/>
            <w:gridSpan w:val="2"/>
            <w:tcBorders>
              <w:top w:val="nil"/>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top w:val="nil"/>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0.35</w:t>
            </w:r>
          </w:p>
        </w:tc>
      </w:tr>
      <w:tr w:rsidR="001D51E4" w:rsidRPr="008A256F" w:rsidTr="00714724">
        <w:trPr>
          <w:trHeight w:val="283"/>
        </w:trPr>
        <w:tc>
          <w:tcPr>
            <w:tcW w:w="1338" w:type="pct"/>
            <w:tcBorders>
              <w:left w:val="nil"/>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40kg/ha</w:t>
            </w:r>
          </w:p>
        </w:tc>
        <w:tc>
          <w:tcPr>
            <w:tcW w:w="1081" w:type="pct"/>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0.36</w:t>
            </w:r>
          </w:p>
        </w:tc>
      </w:tr>
      <w:tr w:rsidR="001D51E4" w:rsidRPr="008A256F" w:rsidTr="00714724">
        <w:trPr>
          <w:trHeight w:val="285"/>
        </w:trPr>
        <w:tc>
          <w:tcPr>
            <w:tcW w:w="1338" w:type="pct"/>
            <w:tcBorders>
              <w:left w:val="nil"/>
              <w:bottom w:val="single" w:sz="4" w:space="0" w:color="auto"/>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60kg/ha</w:t>
            </w:r>
          </w:p>
        </w:tc>
        <w:tc>
          <w:tcPr>
            <w:tcW w:w="1081" w:type="pct"/>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6.50</w:t>
            </w:r>
          </w:p>
        </w:tc>
        <w:tc>
          <w:tcPr>
            <w:tcW w:w="1095" w:type="pct"/>
            <w:gridSpan w:val="2"/>
            <w:tcBorders>
              <w:bottom w:val="single" w:sz="4" w:space="0" w:color="auto"/>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bottom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0.36</w:t>
            </w:r>
          </w:p>
        </w:tc>
      </w:tr>
      <w:tr w:rsidR="001D51E4" w:rsidRPr="008A256F" w:rsidTr="00714724">
        <w:trPr>
          <w:trHeight w:val="99"/>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0.09</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0.003</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0.01</w:t>
            </w:r>
          </w:p>
        </w:tc>
      </w:tr>
      <w:tr w:rsidR="001D51E4" w:rsidRPr="008A256F" w:rsidTr="00714724">
        <w:trPr>
          <w:trHeight w:val="260"/>
        </w:trPr>
        <w:tc>
          <w:tcPr>
            <w:tcW w:w="1338" w:type="pct"/>
            <w:tcBorders>
              <w:top w:val="nil"/>
              <w:left w:val="nil"/>
              <w:bottom w:val="single" w:sz="4" w:space="0" w:color="auto"/>
            </w:tcBorders>
            <w:noWrap/>
            <w:vAlign w:val="bottom"/>
            <w:hideMark/>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r w:rsidR="001D51E4" w:rsidRPr="008A256F" w:rsidTr="00714724">
        <w:trPr>
          <w:trHeight w:val="260"/>
        </w:trPr>
        <w:tc>
          <w:tcPr>
            <w:tcW w:w="1338" w:type="pct"/>
            <w:tcBorders>
              <w:top w:val="single" w:sz="4" w:space="0" w:color="auto"/>
              <w:left w:val="nil"/>
            </w:tcBorders>
            <w:noWrap/>
            <w:vAlign w:val="bottom"/>
            <w:hideMark/>
          </w:tcPr>
          <w:p w:rsidR="001D51E4" w:rsidRPr="008A256F" w:rsidRDefault="001D51E4" w:rsidP="00714724">
            <w:pPr>
              <w:jc w:val="both"/>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6.56</w:t>
            </w:r>
          </w:p>
        </w:tc>
        <w:tc>
          <w:tcPr>
            <w:tcW w:w="1095" w:type="pct"/>
            <w:gridSpan w:val="2"/>
            <w:tcBorders>
              <w:top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top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0.34</w:t>
            </w:r>
          </w:p>
        </w:tc>
      </w:tr>
      <w:tr w:rsidR="001D51E4" w:rsidRPr="008A256F" w:rsidTr="00714724">
        <w:trPr>
          <w:trHeight w:val="260"/>
        </w:trPr>
        <w:tc>
          <w:tcPr>
            <w:tcW w:w="1338" w:type="pct"/>
            <w:tcBorders>
              <w:left w:val="nil"/>
            </w:tcBorders>
            <w:noWrap/>
            <w:vAlign w:val="bottom"/>
            <w:hideMark/>
          </w:tcPr>
          <w:p w:rsidR="001D51E4" w:rsidRPr="008A256F" w:rsidRDefault="001D51E4" w:rsidP="00714724">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0.35</w:t>
            </w:r>
          </w:p>
        </w:tc>
      </w:tr>
      <w:tr w:rsidR="001D51E4" w:rsidRPr="008A256F" w:rsidTr="00714724">
        <w:trPr>
          <w:trHeight w:val="260"/>
        </w:trPr>
        <w:tc>
          <w:tcPr>
            <w:tcW w:w="1338" w:type="pct"/>
            <w:tcBorders>
              <w:left w:val="nil"/>
              <w:bottom w:val="single" w:sz="4" w:space="0" w:color="auto"/>
            </w:tcBorders>
            <w:noWrap/>
            <w:vAlign w:val="bottom"/>
            <w:hideMark/>
          </w:tcPr>
          <w:p w:rsidR="001D51E4" w:rsidRPr="008A256F" w:rsidRDefault="001D51E4" w:rsidP="00714724">
            <w:pPr>
              <w:jc w:val="both"/>
              <w:rPr>
                <w:rFonts w:ascii="Arial" w:hAnsi="Arial" w:cs="Arial"/>
                <w:bCs/>
                <w:color w:val="000000" w:themeColor="text1"/>
              </w:rPr>
            </w:pPr>
            <w:r>
              <w:rPr>
                <w:rFonts w:ascii="Arial" w:hAnsi="Arial" w:cs="Arial"/>
                <w:bCs/>
                <w:color w:val="000000" w:themeColor="text1"/>
              </w:rPr>
              <w:t>Zinc 10</w:t>
            </w:r>
            <w:r w:rsidRPr="008A256F">
              <w:rPr>
                <w:rFonts w:ascii="Arial" w:hAnsi="Arial" w:cs="Arial"/>
                <w:bCs/>
                <w:color w:val="000000" w:themeColor="text1"/>
              </w:rPr>
              <w:t>kg/ha</w:t>
            </w:r>
          </w:p>
        </w:tc>
        <w:tc>
          <w:tcPr>
            <w:tcW w:w="1081" w:type="pct"/>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6.53</w:t>
            </w:r>
          </w:p>
        </w:tc>
        <w:tc>
          <w:tcPr>
            <w:tcW w:w="1095" w:type="pct"/>
            <w:gridSpan w:val="2"/>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0.11</w:t>
            </w:r>
          </w:p>
        </w:tc>
        <w:tc>
          <w:tcPr>
            <w:tcW w:w="1486" w:type="pct"/>
            <w:gridSpan w:val="2"/>
            <w:tcBorders>
              <w:bottom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0.37</w:t>
            </w:r>
          </w:p>
        </w:tc>
      </w:tr>
      <w:tr w:rsidR="001D51E4" w:rsidRPr="008A256F" w:rsidTr="00714724">
        <w:trPr>
          <w:trHeight w:val="260"/>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0.08</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0.001</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0.01</w:t>
            </w:r>
          </w:p>
        </w:tc>
      </w:tr>
      <w:tr w:rsidR="001D51E4" w:rsidRPr="008A256F" w:rsidTr="00714724">
        <w:trPr>
          <w:trHeight w:val="260"/>
        </w:trPr>
        <w:tc>
          <w:tcPr>
            <w:tcW w:w="1338" w:type="pct"/>
            <w:tcBorders>
              <w:top w:val="nil"/>
              <w:left w:val="nil"/>
              <w:bottom w:val="single" w:sz="4" w:space="0" w:color="auto"/>
            </w:tcBorders>
            <w:noWrap/>
            <w:vAlign w:val="bottom"/>
            <w:hideMark/>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r w:rsidR="001D51E4" w:rsidRPr="008A256F" w:rsidTr="00714724">
        <w:trPr>
          <w:trHeight w:val="260"/>
        </w:trPr>
        <w:tc>
          <w:tcPr>
            <w:tcW w:w="5000" w:type="pct"/>
            <w:gridSpan w:val="6"/>
            <w:tcBorders>
              <w:top w:val="single" w:sz="4" w:space="0" w:color="auto"/>
              <w:left w:val="nil"/>
              <w:bottom w:val="single" w:sz="4" w:space="0" w:color="auto"/>
              <w:right w:val="nil"/>
            </w:tcBorders>
            <w:noWrap/>
            <w:vAlign w:val="center"/>
            <w:hideMark/>
          </w:tcPr>
          <w:p w:rsidR="001D51E4" w:rsidRPr="008A256F" w:rsidRDefault="001D51E4" w:rsidP="00714724">
            <w:pPr>
              <w:jc w:val="center"/>
              <w:rPr>
                <w:rFonts w:ascii="Arial" w:hAnsi="Arial" w:cs="Arial"/>
                <w:b/>
                <w:bCs/>
                <w:color w:val="000000" w:themeColor="text1"/>
              </w:rPr>
            </w:pPr>
            <w:proofErr w:type="spellStart"/>
            <w:r w:rsidRPr="008A256F">
              <w:rPr>
                <w:rFonts w:ascii="Arial" w:hAnsi="Arial" w:cs="Arial"/>
                <w:b/>
                <w:bCs/>
                <w:color w:val="000000" w:themeColor="text1"/>
              </w:rPr>
              <w:t>SXZn</w:t>
            </w:r>
            <w:proofErr w:type="spellEnd"/>
          </w:p>
        </w:tc>
      </w:tr>
      <w:tr w:rsidR="001D51E4" w:rsidRPr="008A256F" w:rsidTr="00714724">
        <w:trPr>
          <w:trHeight w:val="250"/>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221" w:type="pct"/>
            <w:gridSpan w:val="2"/>
            <w:tcBorders>
              <w:top w:val="single" w:sz="4" w:space="0" w:color="auto"/>
              <w:bottom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0.15</w:t>
            </w:r>
          </w:p>
        </w:tc>
        <w:tc>
          <w:tcPr>
            <w:tcW w:w="1222" w:type="pct"/>
            <w:gridSpan w:val="2"/>
            <w:tcBorders>
              <w:top w:val="single" w:sz="4" w:space="0" w:color="auto"/>
              <w:bottom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0.00</w:t>
            </w:r>
          </w:p>
        </w:tc>
        <w:tc>
          <w:tcPr>
            <w:tcW w:w="1220" w:type="pct"/>
            <w:tcBorders>
              <w:top w:val="single" w:sz="4" w:space="0" w:color="auto"/>
              <w:bottom w:val="nil"/>
              <w:right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0.01</w:t>
            </w:r>
          </w:p>
        </w:tc>
      </w:tr>
      <w:tr w:rsidR="001D51E4" w:rsidRPr="008A256F" w:rsidTr="00714724">
        <w:trPr>
          <w:trHeight w:val="250"/>
        </w:trPr>
        <w:tc>
          <w:tcPr>
            <w:tcW w:w="1338" w:type="pct"/>
            <w:tcBorders>
              <w:top w:val="nil"/>
              <w:left w:val="nil"/>
              <w:bottom w:val="single" w:sz="4" w:space="0" w:color="auto"/>
            </w:tcBorders>
            <w:noWrap/>
            <w:vAlign w:val="bottom"/>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222"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220" w:type="pct"/>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bl>
    <w:p w:rsidR="002E26F9" w:rsidRDefault="002E26F9">
      <w:pPr>
        <w:rPr>
          <w:rFonts w:ascii="Arial" w:hAnsi="Arial" w:cs="Arial"/>
          <w:b/>
          <w:bCs/>
        </w:rPr>
      </w:pPr>
    </w:p>
    <w:p w:rsidR="002E26F9" w:rsidRDefault="002E26F9" w:rsidP="002E26F9">
      <w:pPr>
        <w:pStyle w:val="Body"/>
        <w:rPr>
          <w:rFonts w:ascii="Arial" w:hAnsi="Arial" w:cs="Arial"/>
          <w:b/>
          <w:bCs/>
          <w:sz w:val="22"/>
          <w:szCs w:val="22"/>
        </w:rPr>
      </w:pPr>
      <w:r w:rsidRPr="002E26F9">
        <w:rPr>
          <w:rFonts w:ascii="Arial" w:hAnsi="Arial" w:cs="Arial"/>
          <w:b/>
          <w:bCs/>
          <w:sz w:val="22"/>
          <w:szCs w:val="22"/>
        </w:rPr>
        <w:t>Effect on soil nutrient</w:t>
      </w:r>
    </w:p>
    <w:p w:rsidR="001D51E4" w:rsidRPr="00B203E7" w:rsidRDefault="00201A42" w:rsidP="001D51E4">
      <w:pPr>
        <w:pStyle w:val="Body"/>
        <w:spacing w:line="360" w:lineRule="auto"/>
        <w:ind w:firstLine="720"/>
        <w:rPr>
          <w:rFonts w:ascii="Arial" w:hAnsi="Arial" w:cs="Arial"/>
        </w:rPr>
      </w:pPr>
      <w:r w:rsidRPr="00A74E71">
        <w:rPr>
          <w:rFonts w:ascii="Arial" w:hAnsi="Arial" w:cs="Arial"/>
        </w:rPr>
        <w:t>Available nitrogen</w:t>
      </w:r>
      <w:r>
        <w:rPr>
          <w:rFonts w:ascii="Arial" w:hAnsi="Arial" w:cs="Arial"/>
        </w:rPr>
        <w:t>,</w:t>
      </w:r>
      <w:r w:rsidRPr="00A74E71">
        <w:rPr>
          <w:rFonts w:ascii="Arial" w:hAnsi="Arial" w:cs="Arial"/>
        </w:rPr>
        <w:t xml:space="preserve"> phosphorus </w:t>
      </w:r>
      <w:r>
        <w:rPr>
          <w:rFonts w:ascii="Arial" w:hAnsi="Arial" w:cs="Arial"/>
        </w:rPr>
        <w:t xml:space="preserve">and </w:t>
      </w:r>
      <w:r w:rsidRPr="00A74E71">
        <w:rPr>
          <w:rFonts w:ascii="Arial" w:hAnsi="Arial" w:cs="Arial"/>
        </w:rPr>
        <w:t xml:space="preserve">potassium in the soil were not significantly affected by sulfur and zinc application. </w:t>
      </w:r>
      <w:r>
        <w:rPr>
          <w:rFonts w:ascii="Arial" w:hAnsi="Arial" w:cs="Arial"/>
        </w:rPr>
        <w:t xml:space="preserve">Numerically maximum </w:t>
      </w:r>
      <w:r w:rsidRPr="00A74E71">
        <w:rPr>
          <w:rFonts w:ascii="Arial" w:hAnsi="Arial" w:cs="Arial"/>
        </w:rPr>
        <w:t>available nitrogen content of the soil</w:t>
      </w:r>
      <w:r>
        <w:rPr>
          <w:rFonts w:ascii="Arial" w:hAnsi="Arial" w:cs="Arial"/>
        </w:rPr>
        <w:t xml:space="preserve"> </w:t>
      </w:r>
      <w:r w:rsidRPr="00A74E71">
        <w:rPr>
          <w:rFonts w:ascii="Arial" w:hAnsi="Arial" w:cs="Arial"/>
        </w:rPr>
        <w:t>increased with higher sulfur</w:t>
      </w:r>
      <w:r w:rsidR="00C92B57">
        <w:rPr>
          <w:rFonts w:ascii="Arial" w:hAnsi="Arial" w:cs="Arial"/>
        </w:rPr>
        <w:t xml:space="preserve"> and z</w:t>
      </w:r>
      <w:r>
        <w:rPr>
          <w:rFonts w:ascii="Arial" w:hAnsi="Arial" w:cs="Arial"/>
        </w:rPr>
        <w:t xml:space="preserve">inc </w:t>
      </w:r>
      <w:r w:rsidRPr="00A74E71">
        <w:rPr>
          <w:rFonts w:ascii="Arial" w:hAnsi="Arial" w:cs="Arial"/>
        </w:rPr>
        <w:t>levels</w:t>
      </w:r>
      <w:r>
        <w:rPr>
          <w:rFonts w:ascii="Arial" w:hAnsi="Arial" w:cs="Arial"/>
        </w:rPr>
        <w:t xml:space="preserve">, which may </w:t>
      </w:r>
      <w:r w:rsidRPr="00A74E71">
        <w:rPr>
          <w:rFonts w:ascii="Arial" w:hAnsi="Arial" w:cs="Arial"/>
        </w:rPr>
        <w:t>because of</w:t>
      </w:r>
      <w:r w:rsidRPr="005B6AB0">
        <w:rPr>
          <w:rFonts w:ascii="Arial" w:hAnsi="Arial" w:cs="Arial"/>
        </w:rPr>
        <w:t xml:space="preserve"> </w:t>
      </w:r>
      <w:r w:rsidRPr="00A74E71">
        <w:rPr>
          <w:rFonts w:ascii="Arial" w:hAnsi="Arial" w:cs="Arial"/>
        </w:rPr>
        <w:t>increased secretion of metabolites and growth-promoting substances</w:t>
      </w:r>
      <w:r>
        <w:rPr>
          <w:rFonts w:ascii="Arial" w:hAnsi="Arial" w:cs="Arial"/>
        </w:rPr>
        <w:t xml:space="preserve">. </w:t>
      </w:r>
      <w:r w:rsidRPr="00A74E71">
        <w:rPr>
          <w:rFonts w:ascii="Arial" w:hAnsi="Arial" w:cs="Arial"/>
        </w:rPr>
        <w:t xml:space="preserve">The lowest phosphorus </w:t>
      </w:r>
      <w:r>
        <w:rPr>
          <w:rFonts w:ascii="Arial" w:hAnsi="Arial" w:cs="Arial"/>
        </w:rPr>
        <w:t>content</w:t>
      </w:r>
      <w:r w:rsidRPr="00A74E71">
        <w:rPr>
          <w:rFonts w:ascii="Arial" w:hAnsi="Arial" w:cs="Arial"/>
        </w:rPr>
        <w:t xml:space="preserve"> in the soil was noted at 10 kg/ha of Zn application, likely due to the antagonistic relationship between phosphorus and Zinc. According to </w:t>
      </w:r>
      <w:proofErr w:type="spellStart"/>
      <w:r w:rsidRPr="00A74E71">
        <w:rPr>
          <w:rFonts w:ascii="Arial" w:hAnsi="Arial" w:cs="Arial"/>
        </w:rPr>
        <w:t>Maharudra</w:t>
      </w:r>
      <w:proofErr w:type="spellEnd"/>
      <w:r w:rsidRPr="00A74E71">
        <w:rPr>
          <w:rFonts w:ascii="Arial" w:hAnsi="Arial" w:cs="Arial"/>
        </w:rPr>
        <w:t xml:space="preserve"> (2020), </w:t>
      </w:r>
      <w:r w:rsidRPr="00C92B57">
        <w:rPr>
          <w:rFonts w:ascii="Arial" w:hAnsi="Arial" w:cs="Arial"/>
        </w:rPr>
        <w:t>zinc application improves available nitrogen in the soil through mineralization and fosteri</w:t>
      </w:r>
      <w:r w:rsidRPr="00A74E71">
        <w:rPr>
          <w:rFonts w:ascii="Arial" w:hAnsi="Arial" w:cs="Arial"/>
        </w:rPr>
        <w:t xml:space="preserve">ng positive zinc-nitrogen interactions. </w:t>
      </w:r>
      <w:r w:rsidR="00C92B57">
        <w:rPr>
          <w:rFonts w:ascii="Arial" w:hAnsi="Arial" w:cs="Arial"/>
        </w:rPr>
        <w:t>He  also  observed that i</w:t>
      </w:r>
      <w:r w:rsidRPr="00A74E71">
        <w:rPr>
          <w:rFonts w:ascii="Arial" w:hAnsi="Arial" w:cs="Arial"/>
        </w:rPr>
        <w:t xml:space="preserve">ncreasing sulfur levels </w:t>
      </w:r>
      <w:r>
        <w:rPr>
          <w:rFonts w:ascii="Arial" w:hAnsi="Arial" w:cs="Arial"/>
        </w:rPr>
        <w:t xml:space="preserve">also </w:t>
      </w:r>
      <w:r w:rsidRPr="00A74E71">
        <w:rPr>
          <w:rFonts w:ascii="Arial" w:hAnsi="Arial" w:cs="Arial"/>
        </w:rPr>
        <w:t>encourages root growth, which expands the rhizosphere and improves phosp</w:t>
      </w:r>
      <w:r>
        <w:rPr>
          <w:rFonts w:ascii="Arial" w:hAnsi="Arial" w:cs="Arial"/>
        </w:rPr>
        <w:t xml:space="preserve">horus availability in the soil </w:t>
      </w:r>
      <w:r w:rsidRPr="00A74E71">
        <w:rPr>
          <w:rFonts w:ascii="Arial" w:hAnsi="Arial" w:cs="Arial"/>
        </w:rPr>
        <w:t>resulted from the solubilization of native and applied phosphorus, as carbonic acid.</w:t>
      </w:r>
      <w:r w:rsidR="001D51E4">
        <w:rPr>
          <w:rFonts w:ascii="Arial" w:hAnsi="Arial" w:cs="Arial"/>
        </w:rPr>
        <w:t xml:space="preserve">  </w:t>
      </w:r>
      <w:r w:rsidR="001D51E4" w:rsidRPr="00A74E71">
        <w:rPr>
          <w:rFonts w:ascii="Arial" w:hAnsi="Arial" w:cs="Arial"/>
        </w:rPr>
        <w:t xml:space="preserve">The use of 40 kg S/ha </w:t>
      </w:r>
      <w:r w:rsidR="001D51E4">
        <w:rPr>
          <w:rFonts w:ascii="Arial" w:hAnsi="Arial" w:cs="Arial"/>
        </w:rPr>
        <w:t>significantly</w:t>
      </w:r>
      <w:r w:rsidR="001D51E4" w:rsidRPr="00A74E71">
        <w:rPr>
          <w:rFonts w:ascii="Arial" w:hAnsi="Arial" w:cs="Arial"/>
        </w:rPr>
        <w:t xml:space="preserve"> enhanced zinc </w:t>
      </w:r>
      <w:r w:rsidR="001D51E4">
        <w:rPr>
          <w:rFonts w:ascii="Arial" w:hAnsi="Arial" w:cs="Arial"/>
        </w:rPr>
        <w:t>content in soil as</w:t>
      </w:r>
      <w:r w:rsidR="001D51E4" w:rsidRPr="00A74E71">
        <w:rPr>
          <w:rFonts w:ascii="Arial" w:hAnsi="Arial" w:cs="Arial"/>
        </w:rPr>
        <w:t xml:space="preserve"> compared to 20 kg S /ha and the control. The effect of applying 40 kg/ha sulfur was</w:t>
      </w:r>
      <w:r w:rsidR="001D51E4">
        <w:rPr>
          <w:rFonts w:ascii="Arial" w:hAnsi="Arial" w:cs="Arial"/>
        </w:rPr>
        <w:t xml:space="preserve"> statistically similar to</w:t>
      </w:r>
      <w:r w:rsidR="001D51E4" w:rsidRPr="00A74E71">
        <w:rPr>
          <w:rFonts w:ascii="Arial" w:hAnsi="Arial" w:cs="Arial"/>
        </w:rPr>
        <w:t xml:space="preserve"> that of 60 kg/ha</w:t>
      </w:r>
      <w:r w:rsidR="001D51E4">
        <w:rPr>
          <w:rFonts w:ascii="Arial" w:hAnsi="Arial" w:cs="Arial"/>
        </w:rPr>
        <w:t xml:space="preserve"> (Table 4)</w:t>
      </w:r>
      <w:r w:rsidR="001D51E4" w:rsidRPr="00A74E71">
        <w:rPr>
          <w:rFonts w:ascii="Arial" w:hAnsi="Arial" w:cs="Arial"/>
        </w:rPr>
        <w:t xml:space="preserve">. Zinc applied at a rate of 10 kg/ha was significantly more effective than the other treatments. </w:t>
      </w:r>
      <w:r w:rsidR="001D51E4">
        <w:rPr>
          <w:rFonts w:ascii="Arial" w:hAnsi="Arial" w:cs="Arial"/>
        </w:rPr>
        <w:t>The addition of zinc fertilizer also affected zinc levels in the soil</w:t>
      </w:r>
      <w:r w:rsidR="001D51E4" w:rsidRPr="00A74E71">
        <w:rPr>
          <w:rFonts w:ascii="Arial" w:hAnsi="Arial" w:cs="Arial"/>
        </w:rPr>
        <w:t xml:space="preserve">. </w:t>
      </w:r>
      <w:r w:rsidR="001D51E4" w:rsidRPr="00B203E7">
        <w:rPr>
          <w:rFonts w:ascii="Arial" w:hAnsi="Arial" w:cs="Arial"/>
        </w:rPr>
        <w:t xml:space="preserve">The synergistic  effect of zinc and  sulfur  which  may  cause better  utilization of nutrients for its root development under low initial status of available Zn  in  experimental soil.  </w:t>
      </w:r>
      <w:proofErr w:type="gramStart"/>
      <w:r w:rsidR="001D51E4" w:rsidRPr="00B203E7">
        <w:rPr>
          <w:rFonts w:ascii="Arial" w:hAnsi="Arial" w:cs="Arial"/>
        </w:rPr>
        <w:t>Upadhyay  (</w:t>
      </w:r>
      <w:proofErr w:type="gramEnd"/>
      <w:r w:rsidR="001D51E4" w:rsidRPr="00B203E7">
        <w:rPr>
          <w:rFonts w:ascii="Arial" w:hAnsi="Arial" w:cs="Arial"/>
        </w:rPr>
        <w:t xml:space="preserve">2013)  who have shown  that nature of sulfur and zinc interaction depends on their rate of application and soil status.  </w:t>
      </w:r>
    </w:p>
    <w:p w:rsidR="001D51E4" w:rsidRPr="002E26F9" w:rsidRDefault="001D51E4" w:rsidP="00201A42">
      <w:pPr>
        <w:pStyle w:val="Body"/>
        <w:spacing w:line="360" w:lineRule="auto"/>
        <w:ind w:firstLine="720"/>
        <w:rPr>
          <w:rFonts w:ascii="Arial" w:hAnsi="Arial" w:cs="Arial"/>
          <w:b/>
          <w:bCs/>
          <w:sz w:val="22"/>
          <w:szCs w:val="22"/>
        </w:rPr>
      </w:pPr>
    </w:p>
    <w:p w:rsidR="002E26F9" w:rsidRPr="008A256F" w:rsidRDefault="002E26F9" w:rsidP="002E26F9">
      <w:pPr>
        <w:ind w:left="1276" w:hanging="1276"/>
        <w:jc w:val="both"/>
        <w:rPr>
          <w:rFonts w:ascii="Arial" w:hAnsi="Arial" w:cs="Arial"/>
          <w:b/>
          <w:bCs/>
          <w:color w:val="000000" w:themeColor="text1"/>
        </w:rPr>
      </w:pPr>
      <w:r w:rsidRPr="00B86316">
        <w:rPr>
          <w:rFonts w:ascii="Arial" w:hAnsi="Arial" w:cs="Arial"/>
          <w:b/>
          <w:bCs/>
          <w:color w:val="000000" w:themeColor="text1"/>
        </w:rPr>
        <w:t xml:space="preserve">Table 4: Available of nutrients in soils as influenced by </w:t>
      </w:r>
      <w:proofErr w:type="spellStart"/>
      <w:r w:rsidRPr="00B86316">
        <w:rPr>
          <w:rFonts w:ascii="Arial" w:hAnsi="Arial" w:cs="Arial"/>
          <w:b/>
          <w:bCs/>
          <w:color w:val="000000" w:themeColor="text1"/>
        </w:rPr>
        <w:t>sulphur</w:t>
      </w:r>
      <w:proofErr w:type="spellEnd"/>
      <w:r w:rsidRPr="00B86316">
        <w:rPr>
          <w:rFonts w:ascii="Arial" w:hAnsi="Arial" w:cs="Arial"/>
          <w:b/>
          <w:bCs/>
          <w:color w:val="000000" w:themeColor="text1"/>
        </w:rPr>
        <w:t xml:space="preserve"> and zinc after harvest of linseed</w:t>
      </w:r>
    </w:p>
    <w:tbl>
      <w:tblPr>
        <w:tblW w:w="502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594"/>
        <w:gridCol w:w="1591"/>
        <w:gridCol w:w="6"/>
        <w:gridCol w:w="1586"/>
        <w:gridCol w:w="8"/>
        <w:gridCol w:w="1557"/>
        <w:gridCol w:w="25"/>
        <w:gridCol w:w="12"/>
      </w:tblGrid>
      <w:tr w:rsidR="002E26F9" w:rsidRPr="008A256F" w:rsidTr="00997E97">
        <w:trPr>
          <w:gridAfter w:val="2"/>
          <w:wAfter w:w="22" w:type="pct"/>
          <w:trHeight w:val="56"/>
        </w:trPr>
        <w:tc>
          <w:tcPr>
            <w:tcW w:w="1228" w:type="pct"/>
            <w:vMerge w:val="restart"/>
            <w:tcBorders>
              <w:top w:val="single" w:sz="4" w:space="0" w:color="auto"/>
              <w:left w:val="nil"/>
            </w:tcBorders>
            <w:noWrap/>
          </w:tcPr>
          <w:p w:rsidR="002E26F9" w:rsidRPr="008A256F" w:rsidRDefault="002E26F9" w:rsidP="00C53DBC">
            <w:pPr>
              <w:jc w:val="both"/>
              <w:rPr>
                <w:rFonts w:ascii="Arial" w:hAnsi="Arial" w:cs="Arial"/>
                <w:b/>
                <w:bCs/>
                <w:color w:val="000000" w:themeColor="text1"/>
              </w:rPr>
            </w:pPr>
            <w:r w:rsidRPr="008A256F">
              <w:rPr>
                <w:rFonts w:ascii="Arial" w:hAnsi="Arial" w:cs="Arial"/>
                <w:b/>
                <w:bCs/>
                <w:color w:val="000000" w:themeColor="text1"/>
              </w:rPr>
              <w:lastRenderedPageBreak/>
              <w:t>Treatment</w:t>
            </w:r>
          </w:p>
        </w:tc>
        <w:tc>
          <w:tcPr>
            <w:tcW w:w="3750" w:type="pct"/>
            <w:gridSpan w:val="6"/>
            <w:tcBorders>
              <w:top w:val="single" w:sz="4" w:space="0" w:color="auto"/>
              <w:bottom w:val="single" w:sz="4" w:space="0" w:color="auto"/>
              <w:right w:val="nil"/>
            </w:tcBorders>
          </w:tcPr>
          <w:p w:rsidR="002E26F9" w:rsidRPr="008A256F" w:rsidRDefault="002E26F9" w:rsidP="00C53DBC">
            <w:pPr>
              <w:jc w:val="center"/>
              <w:rPr>
                <w:rFonts w:ascii="Arial" w:hAnsi="Arial" w:cs="Arial"/>
                <w:b/>
                <w:bCs/>
                <w:color w:val="000000" w:themeColor="text1"/>
              </w:rPr>
            </w:pPr>
            <w:r w:rsidRPr="00B73E0E">
              <w:rPr>
                <w:rFonts w:ascii="Arial" w:hAnsi="Arial" w:cs="Arial"/>
                <w:b/>
                <w:bCs/>
                <w:color w:val="000000" w:themeColor="text1"/>
              </w:rPr>
              <w:t>Soil nutrient (kg/ha)</w:t>
            </w:r>
          </w:p>
        </w:tc>
      </w:tr>
      <w:tr w:rsidR="00732CC6" w:rsidRPr="008A256F" w:rsidTr="00732CC6">
        <w:trPr>
          <w:gridAfter w:val="1"/>
          <w:wAfter w:w="10" w:type="pct"/>
          <w:trHeight w:val="56"/>
        </w:trPr>
        <w:tc>
          <w:tcPr>
            <w:tcW w:w="1228" w:type="pct"/>
            <w:vMerge/>
            <w:tcBorders>
              <w:left w:val="nil"/>
              <w:bottom w:val="single" w:sz="4" w:space="0" w:color="auto"/>
            </w:tcBorders>
            <w:noWrap/>
            <w:vAlign w:val="bottom"/>
          </w:tcPr>
          <w:p w:rsidR="00732CC6" w:rsidRPr="008A256F" w:rsidRDefault="00732CC6" w:rsidP="00C53DBC">
            <w:pPr>
              <w:jc w:val="both"/>
              <w:rPr>
                <w:rFonts w:ascii="Arial" w:hAnsi="Arial" w:cs="Arial"/>
                <w:b/>
                <w:bCs/>
                <w:color w:val="000000" w:themeColor="text1"/>
              </w:rPr>
            </w:pPr>
          </w:p>
        </w:tc>
        <w:tc>
          <w:tcPr>
            <w:tcW w:w="940" w:type="pct"/>
            <w:tcBorders>
              <w:top w:val="single" w:sz="4" w:space="0" w:color="auto"/>
              <w:bottom w:val="single" w:sz="4" w:space="0" w:color="auto"/>
              <w:right w:val="nil"/>
            </w:tcBorders>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N</w:t>
            </w:r>
          </w:p>
        </w:tc>
        <w:tc>
          <w:tcPr>
            <w:tcW w:w="941" w:type="pct"/>
            <w:tcBorders>
              <w:top w:val="single" w:sz="4" w:space="0" w:color="auto"/>
              <w:left w:val="nil"/>
              <w:bottom w:val="single" w:sz="4" w:space="0" w:color="auto"/>
            </w:tcBorders>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P</w:t>
            </w:r>
            <w:r w:rsidRPr="00B86316">
              <w:rPr>
                <w:rFonts w:ascii="Arial" w:hAnsi="Arial" w:cs="Arial"/>
                <w:b/>
                <w:bCs/>
                <w:color w:val="000000" w:themeColor="text1"/>
                <w:vertAlign w:val="subscript"/>
              </w:rPr>
              <w:t>2</w:t>
            </w:r>
            <w:r w:rsidRPr="00B86316">
              <w:rPr>
                <w:rFonts w:ascii="Arial" w:hAnsi="Arial" w:cs="Arial"/>
                <w:b/>
                <w:bCs/>
                <w:color w:val="000000" w:themeColor="text1"/>
              </w:rPr>
              <w:t>O</w:t>
            </w:r>
            <w:r w:rsidRPr="00B86316">
              <w:rPr>
                <w:rFonts w:ascii="Arial" w:hAnsi="Arial" w:cs="Arial"/>
                <w:b/>
                <w:bCs/>
                <w:color w:val="000000" w:themeColor="text1"/>
                <w:vertAlign w:val="subscript"/>
              </w:rPr>
              <w:t>5</w:t>
            </w:r>
          </w:p>
        </w:tc>
        <w:tc>
          <w:tcPr>
            <w:tcW w:w="940" w:type="pct"/>
            <w:gridSpan w:val="2"/>
            <w:tcBorders>
              <w:top w:val="single" w:sz="4" w:space="0" w:color="auto"/>
              <w:bottom w:val="single" w:sz="4" w:space="0" w:color="auto"/>
            </w:tcBorders>
            <w:vAlign w:val="bottom"/>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K</w:t>
            </w:r>
            <w:r w:rsidRPr="00B86316">
              <w:rPr>
                <w:rFonts w:ascii="Arial" w:hAnsi="Arial" w:cs="Arial"/>
                <w:b/>
                <w:bCs/>
                <w:color w:val="000000" w:themeColor="text1"/>
                <w:vertAlign w:val="subscript"/>
              </w:rPr>
              <w:t>2</w:t>
            </w:r>
            <w:r w:rsidRPr="00B86316">
              <w:rPr>
                <w:rFonts w:ascii="Arial" w:hAnsi="Arial" w:cs="Arial"/>
                <w:b/>
                <w:bCs/>
                <w:color w:val="000000" w:themeColor="text1"/>
              </w:rPr>
              <w:t>O</w:t>
            </w:r>
          </w:p>
        </w:tc>
        <w:tc>
          <w:tcPr>
            <w:tcW w:w="941" w:type="pct"/>
            <w:gridSpan w:val="3"/>
            <w:tcBorders>
              <w:top w:val="single" w:sz="4" w:space="0" w:color="auto"/>
              <w:bottom w:val="single" w:sz="4" w:space="0" w:color="auto"/>
              <w:right w:val="nil"/>
            </w:tcBorders>
          </w:tcPr>
          <w:p w:rsidR="00732CC6" w:rsidRPr="00B86316" w:rsidRDefault="00732CC6" w:rsidP="00997E97">
            <w:pPr>
              <w:jc w:val="center"/>
              <w:rPr>
                <w:rFonts w:ascii="Arial" w:hAnsi="Arial" w:cs="Arial"/>
                <w:b/>
                <w:bCs/>
                <w:color w:val="000000" w:themeColor="text1"/>
              </w:rPr>
            </w:pPr>
            <w:r w:rsidRPr="00B86316">
              <w:rPr>
                <w:rFonts w:ascii="Arial" w:hAnsi="Arial" w:cs="Arial"/>
                <w:b/>
                <w:bCs/>
                <w:color w:val="000000" w:themeColor="text1"/>
              </w:rPr>
              <w:t>DTPA-Zn</w:t>
            </w:r>
          </w:p>
        </w:tc>
      </w:tr>
      <w:tr w:rsidR="00732CC6" w:rsidRPr="008A256F" w:rsidTr="00732CC6">
        <w:trPr>
          <w:gridAfter w:val="1"/>
          <w:wAfter w:w="10" w:type="pct"/>
          <w:trHeight w:val="56"/>
        </w:trPr>
        <w:tc>
          <w:tcPr>
            <w:tcW w:w="1228" w:type="pct"/>
            <w:tcBorders>
              <w:top w:val="single" w:sz="4" w:space="0" w:color="auto"/>
              <w:left w:val="nil"/>
              <w:bottom w:val="nil"/>
            </w:tcBorders>
            <w:noWrap/>
            <w:vAlign w:val="center"/>
            <w:hideMark/>
          </w:tcPr>
          <w:p w:rsidR="00732CC6" w:rsidRPr="008A256F" w:rsidRDefault="00732CC6" w:rsidP="00C53DBC">
            <w:pPr>
              <w:rPr>
                <w:rFonts w:ascii="Arial" w:hAnsi="Arial" w:cs="Arial"/>
                <w:bCs/>
                <w:color w:val="000000" w:themeColor="text1"/>
              </w:rPr>
            </w:pPr>
            <w:r w:rsidRPr="008A256F">
              <w:rPr>
                <w:rFonts w:ascii="Arial" w:hAnsi="Arial" w:cs="Arial"/>
                <w:bCs/>
                <w:color w:val="000000" w:themeColor="text1"/>
              </w:rPr>
              <w:t>Control</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169.5</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41.83</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146.16</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0.42</w:t>
            </w:r>
          </w:p>
        </w:tc>
      </w:tr>
      <w:tr w:rsidR="00732CC6" w:rsidRPr="008A256F" w:rsidTr="00732CC6">
        <w:trPr>
          <w:gridAfter w:val="1"/>
          <w:wAfter w:w="10" w:type="pct"/>
          <w:trHeight w:val="66"/>
        </w:trPr>
        <w:tc>
          <w:tcPr>
            <w:tcW w:w="1228" w:type="pct"/>
            <w:tcBorders>
              <w:top w:val="nil"/>
              <w:left w:val="nil"/>
            </w:tcBorders>
            <w:noWrap/>
            <w:vAlign w:val="center"/>
            <w:hideMark/>
          </w:tcPr>
          <w:p w:rsidR="00732CC6" w:rsidRPr="008A256F" w:rsidRDefault="00732CC6" w:rsidP="00C53DBC">
            <w:pPr>
              <w:rPr>
                <w:rFonts w:ascii="Arial" w:hAnsi="Arial" w:cs="Arial"/>
                <w:bCs/>
                <w:color w:val="000000" w:themeColor="text1"/>
              </w:rPr>
            </w:pPr>
            <w:r w:rsidRPr="008A256F">
              <w:rPr>
                <w:rFonts w:ascii="Arial" w:hAnsi="Arial" w:cs="Arial"/>
                <w:bCs/>
                <w:color w:val="000000" w:themeColor="text1"/>
              </w:rPr>
              <w:t>Sul</w:t>
            </w:r>
            <w:r>
              <w:rPr>
                <w:rFonts w:ascii="Arial" w:hAnsi="Arial" w:cs="Arial"/>
                <w:bCs/>
                <w:color w:val="000000" w:themeColor="text1"/>
              </w:rPr>
              <w:t>f</w:t>
            </w:r>
            <w:r w:rsidRPr="008A256F">
              <w:rPr>
                <w:rFonts w:ascii="Arial" w:hAnsi="Arial" w:cs="Arial"/>
                <w:bCs/>
                <w:color w:val="000000" w:themeColor="text1"/>
              </w:rPr>
              <w:t>ur 20kg/ha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177.8</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43.06</w:t>
            </w:r>
          </w:p>
        </w:tc>
        <w:tc>
          <w:tcPr>
            <w:tcW w:w="940" w:type="pct"/>
            <w:gridSpan w:val="2"/>
            <w:tcBorders>
              <w:top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146.37</w:t>
            </w:r>
          </w:p>
        </w:tc>
        <w:tc>
          <w:tcPr>
            <w:tcW w:w="941" w:type="pct"/>
            <w:gridSpan w:val="3"/>
            <w:tcBorders>
              <w:top w:val="nil"/>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66"/>
        </w:trPr>
        <w:tc>
          <w:tcPr>
            <w:tcW w:w="1228" w:type="pct"/>
            <w:tcBorders>
              <w:left w:val="nil"/>
            </w:tcBorders>
            <w:noWrap/>
            <w:vAlign w:val="center"/>
            <w:hideMark/>
          </w:tcPr>
          <w:p w:rsidR="00732CC6" w:rsidRPr="008A256F" w:rsidRDefault="00732CC6" w:rsidP="00C53DBC">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40kg/ha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175.9</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44.87</w:t>
            </w:r>
          </w:p>
        </w:tc>
        <w:tc>
          <w:tcPr>
            <w:tcW w:w="940" w:type="pct"/>
            <w:gridSpan w:val="2"/>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149.56</w:t>
            </w:r>
          </w:p>
        </w:tc>
        <w:tc>
          <w:tcPr>
            <w:tcW w:w="941" w:type="pct"/>
            <w:gridSpan w:val="3"/>
            <w:tcBorders>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0.47</w:t>
            </w:r>
          </w:p>
        </w:tc>
      </w:tr>
      <w:tr w:rsidR="00732CC6" w:rsidRPr="008A256F" w:rsidTr="00732CC6">
        <w:trPr>
          <w:gridAfter w:val="1"/>
          <w:wAfter w:w="10" w:type="pct"/>
          <w:trHeight w:val="66"/>
        </w:trPr>
        <w:tc>
          <w:tcPr>
            <w:tcW w:w="1228" w:type="pct"/>
            <w:tcBorders>
              <w:left w:val="nil"/>
              <w:bottom w:val="single" w:sz="4" w:space="0" w:color="auto"/>
            </w:tcBorders>
            <w:noWrap/>
            <w:vAlign w:val="center"/>
            <w:hideMark/>
          </w:tcPr>
          <w:p w:rsidR="00732CC6" w:rsidRPr="008A256F" w:rsidRDefault="00732CC6" w:rsidP="00C53DBC">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60kg/ha</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178.1</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44.82</w:t>
            </w:r>
          </w:p>
        </w:tc>
        <w:tc>
          <w:tcPr>
            <w:tcW w:w="940" w:type="pct"/>
            <w:gridSpan w:val="2"/>
            <w:tcBorders>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146.45</w:t>
            </w:r>
          </w:p>
        </w:tc>
        <w:tc>
          <w:tcPr>
            <w:tcW w:w="941" w:type="pct"/>
            <w:gridSpan w:val="3"/>
            <w:tcBorders>
              <w:bottom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0.46</w:t>
            </w:r>
          </w:p>
        </w:tc>
      </w:tr>
      <w:tr w:rsidR="00732CC6" w:rsidRPr="008A256F" w:rsidTr="00732CC6">
        <w:trPr>
          <w:gridAfter w:val="1"/>
          <w:wAfter w:w="10" w:type="pct"/>
          <w:trHeight w:val="99"/>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5.4</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1.35</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4.44</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gridAfter w:val="1"/>
          <w:wAfter w:w="10" w:type="pct"/>
          <w:trHeight w:val="260"/>
        </w:trPr>
        <w:tc>
          <w:tcPr>
            <w:tcW w:w="1228" w:type="pct"/>
            <w:tcBorders>
              <w:top w:val="nil"/>
              <w:left w:val="nil"/>
              <w:bottom w:val="single" w:sz="4" w:space="0" w:color="auto"/>
            </w:tcBorders>
            <w:noWrap/>
            <w:vAlign w:val="bottom"/>
            <w:hideMark/>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0" w:type="pct"/>
            <w:gridSpan w:val="2"/>
            <w:tcBorders>
              <w:top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0.02</w:t>
            </w:r>
          </w:p>
        </w:tc>
      </w:tr>
      <w:tr w:rsidR="00732CC6" w:rsidRPr="008A256F" w:rsidTr="00732CC6">
        <w:trPr>
          <w:gridAfter w:val="1"/>
          <w:wAfter w:w="10" w:type="pct"/>
          <w:trHeight w:val="260"/>
        </w:trPr>
        <w:tc>
          <w:tcPr>
            <w:tcW w:w="1228" w:type="pct"/>
            <w:tcBorders>
              <w:top w:val="single" w:sz="4" w:space="0" w:color="auto"/>
              <w:left w:val="nil"/>
            </w:tcBorders>
            <w:noWrap/>
            <w:vAlign w:val="bottom"/>
            <w:hideMark/>
          </w:tcPr>
          <w:p w:rsidR="00732CC6" w:rsidRPr="008A256F" w:rsidRDefault="00732CC6" w:rsidP="00C53DBC">
            <w:pPr>
              <w:jc w:val="both"/>
              <w:rPr>
                <w:rFonts w:ascii="Arial" w:hAnsi="Arial" w:cs="Arial"/>
                <w:bCs/>
                <w:color w:val="000000" w:themeColor="text1"/>
              </w:rPr>
            </w:pPr>
            <w:r w:rsidRPr="008A256F">
              <w:rPr>
                <w:rFonts w:ascii="Arial" w:hAnsi="Arial" w:cs="Arial"/>
                <w:bCs/>
                <w:color w:val="000000" w:themeColor="text1"/>
              </w:rPr>
              <w:t>Control</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168.30</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44.87</w:t>
            </w:r>
          </w:p>
        </w:tc>
        <w:tc>
          <w:tcPr>
            <w:tcW w:w="940" w:type="pct"/>
            <w:gridSpan w:val="2"/>
            <w:tcBorders>
              <w:top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145.53</w:t>
            </w:r>
          </w:p>
        </w:tc>
        <w:tc>
          <w:tcPr>
            <w:tcW w:w="941" w:type="pct"/>
            <w:gridSpan w:val="3"/>
            <w:tcBorders>
              <w:top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66"/>
        </w:trPr>
        <w:tc>
          <w:tcPr>
            <w:tcW w:w="1228" w:type="pct"/>
            <w:tcBorders>
              <w:left w:val="nil"/>
            </w:tcBorders>
            <w:noWrap/>
            <w:vAlign w:val="bottom"/>
            <w:hideMark/>
          </w:tcPr>
          <w:p w:rsidR="00732CC6" w:rsidRPr="008A256F" w:rsidRDefault="00732CC6" w:rsidP="00C53DBC">
            <w:pPr>
              <w:jc w:val="both"/>
              <w:rPr>
                <w:rFonts w:ascii="Arial" w:hAnsi="Arial" w:cs="Arial"/>
                <w:bCs/>
                <w:color w:val="000000" w:themeColor="text1"/>
              </w:rPr>
            </w:pPr>
            <w:r w:rsidRPr="008A256F">
              <w:rPr>
                <w:rFonts w:ascii="Arial" w:hAnsi="Arial" w:cs="Arial"/>
                <w:bCs/>
                <w:color w:val="000000" w:themeColor="text1"/>
              </w:rPr>
              <w:t>Zinc 5kg/ha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172.79</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43.53</w:t>
            </w:r>
          </w:p>
        </w:tc>
        <w:tc>
          <w:tcPr>
            <w:tcW w:w="940" w:type="pct"/>
            <w:gridSpan w:val="2"/>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148.89</w:t>
            </w:r>
          </w:p>
        </w:tc>
        <w:tc>
          <w:tcPr>
            <w:tcW w:w="941" w:type="pct"/>
            <w:gridSpan w:val="3"/>
            <w:tcBorders>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260"/>
        </w:trPr>
        <w:tc>
          <w:tcPr>
            <w:tcW w:w="1228" w:type="pct"/>
            <w:tcBorders>
              <w:left w:val="nil"/>
              <w:bottom w:val="single" w:sz="4" w:space="0" w:color="auto"/>
            </w:tcBorders>
            <w:noWrap/>
            <w:vAlign w:val="bottom"/>
            <w:hideMark/>
          </w:tcPr>
          <w:p w:rsidR="00732CC6" w:rsidRPr="008A256F" w:rsidRDefault="00732CC6" w:rsidP="00C53DBC">
            <w:pPr>
              <w:jc w:val="both"/>
              <w:rPr>
                <w:rFonts w:ascii="Arial" w:hAnsi="Arial" w:cs="Arial"/>
                <w:bCs/>
                <w:color w:val="000000" w:themeColor="text1"/>
              </w:rPr>
            </w:pPr>
            <w:r>
              <w:rPr>
                <w:rFonts w:ascii="Arial" w:hAnsi="Arial" w:cs="Arial"/>
                <w:bCs/>
                <w:color w:val="000000" w:themeColor="text1"/>
              </w:rPr>
              <w:t>Zinc 10</w:t>
            </w:r>
            <w:r w:rsidRPr="008A256F">
              <w:rPr>
                <w:rFonts w:ascii="Arial" w:hAnsi="Arial" w:cs="Arial"/>
                <w:bCs/>
                <w:color w:val="000000" w:themeColor="text1"/>
              </w:rPr>
              <w:t>kg/ha</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184.84</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42.53</w:t>
            </w:r>
          </w:p>
        </w:tc>
        <w:tc>
          <w:tcPr>
            <w:tcW w:w="940" w:type="pct"/>
            <w:gridSpan w:val="2"/>
            <w:tcBorders>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147.59</w:t>
            </w:r>
          </w:p>
        </w:tc>
        <w:tc>
          <w:tcPr>
            <w:tcW w:w="941" w:type="pct"/>
            <w:gridSpan w:val="3"/>
            <w:tcBorders>
              <w:bottom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w:t>
            </w:r>
            <w:r>
              <w:rPr>
                <w:rFonts w:ascii="Arial" w:hAnsi="Arial" w:cs="Arial"/>
                <w:color w:val="000000" w:themeColor="text1"/>
              </w:rPr>
              <w:t>7</w:t>
            </w:r>
          </w:p>
        </w:tc>
      </w:tr>
      <w:tr w:rsidR="00732CC6" w:rsidRPr="008A256F" w:rsidTr="00732CC6">
        <w:trPr>
          <w:gridAfter w:val="1"/>
          <w:wAfter w:w="10" w:type="pct"/>
          <w:trHeight w:val="56"/>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4.71</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1.17</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3.84</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gridAfter w:val="1"/>
          <w:wAfter w:w="10" w:type="pct"/>
          <w:trHeight w:val="260"/>
        </w:trPr>
        <w:tc>
          <w:tcPr>
            <w:tcW w:w="1228" w:type="pct"/>
            <w:tcBorders>
              <w:top w:val="nil"/>
              <w:left w:val="nil"/>
              <w:bottom w:val="single" w:sz="4" w:space="0" w:color="auto"/>
            </w:tcBorders>
            <w:noWrap/>
            <w:vAlign w:val="bottom"/>
            <w:hideMark/>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0" w:type="pct"/>
            <w:gridSpan w:val="2"/>
            <w:tcBorders>
              <w:top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0.02</w:t>
            </w:r>
          </w:p>
        </w:tc>
      </w:tr>
      <w:tr w:rsidR="002E26F9" w:rsidRPr="008A256F" w:rsidTr="00997E97">
        <w:trPr>
          <w:gridAfter w:val="2"/>
          <w:wAfter w:w="22" w:type="pct"/>
          <w:trHeight w:val="260"/>
        </w:trPr>
        <w:tc>
          <w:tcPr>
            <w:tcW w:w="4978" w:type="pct"/>
            <w:gridSpan w:val="7"/>
            <w:tcBorders>
              <w:top w:val="single" w:sz="4" w:space="0" w:color="auto"/>
              <w:left w:val="nil"/>
              <w:bottom w:val="single" w:sz="4" w:space="0" w:color="auto"/>
              <w:right w:val="nil"/>
            </w:tcBorders>
            <w:noWrap/>
            <w:vAlign w:val="center"/>
            <w:hideMark/>
          </w:tcPr>
          <w:p w:rsidR="002E26F9" w:rsidRPr="008A256F" w:rsidRDefault="002E26F9" w:rsidP="00C53DBC">
            <w:pPr>
              <w:jc w:val="center"/>
              <w:rPr>
                <w:rFonts w:ascii="Arial" w:hAnsi="Arial" w:cs="Arial"/>
                <w:b/>
                <w:bCs/>
                <w:color w:val="000000" w:themeColor="text1"/>
              </w:rPr>
            </w:pPr>
            <w:proofErr w:type="spellStart"/>
            <w:r w:rsidRPr="008A256F">
              <w:rPr>
                <w:rFonts w:ascii="Arial" w:hAnsi="Arial" w:cs="Arial"/>
                <w:b/>
                <w:bCs/>
                <w:color w:val="000000" w:themeColor="text1"/>
              </w:rPr>
              <w:t>SXZn</w:t>
            </w:r>
            <w:proofErr w:type="spellEnd"/>
          </w:p>
        </w:tc>
      </w:tr>
      <w:tr w:rsidR="00732CC6" w:rsidRPr="008A256F" w:rsidTr="00732CC6">
        <w:trPr>
          <w:trHeight w:val="56"/>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3"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9.42</w:t>
            </w:r>
          </w:p>
        </w:tc>
        <w:tc>
          <w:tcPr>
            <w:tcW w:w="943" w:type="pct"/>
            <w:gridSpan w:val="2"/>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2.34</w:t>
            </w:r>
          </w:p>
        </w:tc>
        <w:tc>
          <w:tcPr>
            <w:tcW w:w="943"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7.69</w:t>
            </w:r>
          </w:p>
        </w:tc>
        <w:tc>
          <w:tcPr>
            <w:tcW w:w="943"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trHeight w:val="250"/>
        </w:trPr>
        <w:tc>
          <w:tcPr>
            <w:tcW w:w="1228" w:type="pct"/>
            <w:tcBorders>
              <w:top w:val="nil"/>
              <w:left w:val="nil"/>
              <w:bottom w:val="single" w:sz="4" w:space="0" w:color="auto"/>
            </w:tcBorders>
            <w:noWrap/>
            <w:vAlign w:val="bottom"/>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3" w:type="pct"/>
            <w:tcBorders>
              <w:top w:val="nil"/>
              <w:bottom w:val="single" w:sz="4" w:space="0" w:color="auto"/>
              <w:right w:val="nil"/>
            </w:tcBorders>
            <w:vAlign w:val="center"/>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NS</w:t>
            </w:r>
          </w:p>
        </w:tc>
        <w:tc>
          <w:tcPr>
            <w:tcW w:w="943" w:type="pct"/>
            <w:gridSpan w:val="2"/>
            <w:tcBorders>
              <w:top w:val="nil"/>
              <w:left w:val="nil"/>
              <w:bottom w:val="single" w:sz="4" w:space="0" w:color="auto"/>
            </w:tcBorders>
            <w:vAlign w:val="center"/>
          </w:tcPr>
          <w:p w:rsidR="00732CC6" w:rsidRPr="00B86316" w:rsidRDefault="00732CC6" w:rsidP="00C53DBC">
            <w:pPr>
              <w:jc w:val="center"/>
              <w:rPr>
                <w:rFonts w:ascii="Arial" w:hAnsi="Arial" w:cs="Arial"/>
                <w:b/>
                <w:bCs/>
                <w:color w:val="000000" w:themeColor="text1"/>
              </w:rPr>
            </w:pPr>
            <w:r>
              <w:rPr>
                <w:rFonts w:ascii="Arial" w:hAnsi="Arial" w:cs="Arial"/>
                <w:b/>
                <w:bCs/>
                <w:color w:val="000000" w:themeColor="text1"/>
              </w:rPr>
              <w:t>NS</w:t>
            </w:r>
          </w:p>
        </w:tc>
        <w:tc>
          <w:tcPr>
            <w:tcW w:w="943" w:type="pct"/>
            <w:gridSpan w:val="2"/>
            <w:tcBorders>
              <w:top w:val="nil"/>
              <w:bottom w:val="single" w:sz="4" w:space="0" w:color="auto"/>
            </w:tcBorders>
            <w:vAlign w:val="center"/>
          </w:tcPr>
          <w:p w:rsidR="00732CC6" w:rsidRPr="00B86316" w:rsidRDefault="00732CC6" w:rsidP="00C53DBC">
            <w:pPr>
              <w:jc w:val="center"/>
              <w:rPr>
                <w:rFonts w:ascii="Arial" w:hAnsi="Arial" w:cs="Arial"/>
                <w:b/>
                <w:bCs/>
                <w:color w:val="000000" w:themeColor="text1"/>
              </w:rPr>
            </w:pPr>
            <w:r>
              <w:rPr>
                <w:rFonts w:ascii="Arial" w:hAnsi="Arial" w:cs="Arial"/>
                <w:b/>
                <w:bCs/>
                <w:color w:val="000000" w:themeColor="text1"/>
              </w:rPr>
              <w:t>NS</w:t>
            </w:r>
          </w:p>
        </w:tc>
        <w:tc>
          <w:tcPr>
            <w:tcW w:w="943"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NS</w:t>
            </w:r>
          </w:p>
        </w:tc>
      </w:tr>
    </w:tbl>
    <w:p w:rsidR="00787503" w:rsidRDefault="00787503" w:rsidP="00441B6F">
      <w:pPr>
        <w:pStyle w:val="Body"/>
        <w:spacing w:after="0"/>
        <w:rPr>
          <w:rFonts w:ascii="Arial" w:hAnsi="Arial" w:cs="Arial"/>
        </w:rPr>
      </w:pPr>
    </w:p>
    <w:p w:rsidR="00B01FCD" w:rsidRPr="008A256F" w:rsidRDefault="00000F8F" w:rsidP="00441B6F">
      <w:pPr>
        <w:pStyle w:val="ConcHead"/>
        <w:spacing w:after="0"/>
        <w:jc w:val="both"/>
        <w:rPr>
          <w:rFonts w:ascii="Arial" w:hAnsi="Arial" w:cs="Arial"/>
        </w:rPr>
      </w:pPr>
      <w:r>
        <w:rPr>
          <w:rFonts w:ascii="Arial" w:hAnsi="Arial" w:cs="Arial"/>
        </w:rPr>
        <w:t xml:space="preserve">4. </w:t>
      </w:r>
      <w:r w:rsidR="00B01FCD" w:rsidRPr="008A256F">
        <w:rPr>
          <w:rFonts w:ascii="Arial" w:hAnsi="Arial" w:cs="Arial"/>
        </w:rPr>
        <w:t>Conclusion</w:t>
      </w:r>
    </w:p>
    <w:p w:rsidR="00B01FCD" w:rsidRDefault="00570434" w:rsidP="0059336B">
      <w:pPr>
        <w:pStyle w:val="Body"/>
        <w:spacing w:line="360" w:lineRule="auto"/>
        <w:ind w:firstLine="720"/>
        <w:rPr>
          <w:rFonts w:ascii="Arial" w:hAnsi="Arial" w:cs="Arial"/>
        </w:rPr>
      </w:pPr>
      <w:r>
        <w:rPr>
          <w:rFonts w:ascii="Arial" w:hAnsi="Arial" w:cs="Arial"/>
        </w:rPr>
        <w:t xml:space="preserve">According to  results obtained, </w:t>
      </w:r>
      <w:r w:rsidR="00D51C9D" w:rsidRPr="008A256F">
        <w:rPr>
          <w:rFonts w:ascii="Arial" w:hAnsi="Arial" w:cs="Arial"/>
        </w:rPr>
        <w:t xml:space="preserve"> It may concluded that application of sulfur up to 40 kg/ha significantly increased seed and </w:t>
      </w:r>
      <w:proofErr w:type="spellStart"/>
      <w:r w:rsidR="00D51C9D" w:rsidRPr="008A256F">
        <w:rPr>
          <w:rFonts w:ascii="Arial" w:hAnsi="Arial" w:cs="Arial"/>
        </w:rPr>
        <w:t>stover</w:t>
      </w:r>
      <w:proofErr w:type="spellEnd"/>
      <w:r w:rsidR="00D51C9D" w:rsidRPr="008A256F">
        <w:rPr>
          <w:rFonts w:ascii="Arial" w:hAnsi="Arial" w:cs="Arial"/>
        </w:rPr>
        <w:t xml:space="preserve"> yields, however it was statistically at with the highest yield that obtained  at 60 kg S/ha. Zinc application at 10 kg/ha resulted in the highest seed and </w:t>
      </w:r>
      <w:proofErr w:type="spellStart"/>
      <w:r w:rsidR="00D51C9D" w:rsidRPr="008A256F">
        <w:rPr>
          <w:rFonts w:ascii="Arial" w:hAnsi="Arial" w:cs="Arial"/>
        </w:rPr>
        <w:t>stover</w:t>
      </w:r>
      <w:proofErr w:type="spellEnd"/>
      <w:r w:rsidR="00D51C9D" w:rsidRPr="008A256F">
        <w:rPr>
          <w:rFonts w:ascii="Arial" w:hAnsi="Arial" w:cs="Arial"/>
        </w:rPr>
        <w:t xml:space="preserve"> yields and statistically similar to 5 kg Zn/ha. The oil content was the highest in the 60 kg S/ha and 10 kg Zn/ha treatments. Sulfur and zinc by plants was significantly influenced by sulfur and </w:t>
      </w:r>
      <w:r w:rsidR="00D51C9D" w:rsidRPr="00A33814">
        <w:rPr>
          <w:rFonts w:ascii="Arial" w:hAnsi="Arial" w:cs="Arial"/>
        </w:rPr>
        <w:t xml:space="preserve">zinc application rates, with the highest uptake observed at 60 kg S/ha and 10 kg Zn/ha, respectively. Soil properties, such as pH, available nitrogen, and available sulfur and zinc, were affected by the treatments, whereas other properties remained unaffected. </w:t>
      </w:r>
      <w:proofErr w:type="gramStart"/>
      <w:r w:rsidR="00D51C9D" w:rsidRPr="00A33814">
        <w:rPr>
          <w:rFonts w:ascii="Arial" w:hAnsi="Arial" w:cs="Arial"/>
        </w:rPr>
        <w:t>Thus</w:t>
      </w:r>
      <w:proofErr w:type="gramEnd"/>
      <w:r w:rsidR="00D51C9D" w:rsidRPr="00A33814">
        <w:rPr>
          <w:rFonts w:ascii="Arial" w:hAnsi="Arial" w:cs="Arial"/>
        </w:rPr>
        <w:t xml:space="preserve"> application of sulfur up to 40 kg/ha with zinc at 5 kg/ha can improve linseed productivity and oil content, while the highest nutrient uptake was observed at 60 kg S/ha and 10 kg Zn/ha.</w:t>
      </w:r>
    </w:p>
    <w:p w:rsidR="002F1424" w:rsidRDefault="002F1424" w:rsidP="0059336B">
      <w:pPr>
        <w:pStyle w:val="Body"/>
        <w:spacing w:line="360" w:lineRule="auto"/>
        <w:ind w:firstLine="720"/>
        <w:rPr>
          <w:rFonts w:ascii="Arial" w:hAnsi="Arial" w:cs="Arial"/>
        </w:rPr>
      </w:pPr>
    </w:p>
    <w:p w:rsidR="002F1424" w:rsidRPr="00174B62" w:rsidRDefault="002F1424" w:rsidP="002F1424">
      <w:pPr>
        <w:rPr>
          <w:b/>
        </w:rPr>
      </w:pPr>
      <w:r w:rsidRPr="00174B62">
        <w:rPr>
          <w:b/>
        </w:rPr>
        <w:t>Disclaimer (Artificial intelligence)</w:t>
      </w:r>
    </w:p>
    <w:p w:rsidR="002F1424" w:rsidRDefault="002F1424" w:rsidP="002F1424">
      <w:r>
        <w:t xml:space="preserve">Option 1: </w:t>
      </w:r>
    </w:p>
    <w:p w:rsidR="002F1424" w:rsidRDefault="002F1424" w:rsidP="002F142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F1424" w:rsidRDefault="002F1424" w:rsidP="002F1424">
      <w:r>
        <w:t xml:space="preserve">Option 2: </w:t>
      </w:r>
    </w:p>
    <w:p w:rsidR="002F1424" w:rsidRDefault="002F1424" w:rsidP="002F142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1424" w:rsidRDefault="002F1424" w:rsidP="002F1424">
      <w:r>
        <w:t>Details of the AI usage are given below:</w:t>
      </w:r>
    </w:p>
    <w:p w:rsidR="002F1424" w:rsidRDefault="002F1424" w:rsidP="002F1424">
      <w:r>
        <w:t>1.</w:t>
      </w:r>
    </w:p>
    <w:p w:rsidR="002F1424" w:rsidRDefault="002F1424" w:rsidP="002F1424">
      <w:r>
        <w:t>2.</w:t>
      </w:r>
    </w:p>
    <w:p w:rsidR="002F1424" w:rsidRPr="00D047BB" w:rsidRDefault="002F1424" w:rsidP="002F1424">
      <w:r>
        <w:t>3.</w:t>
      </w:r>
    </w:p>
    <w:p w:rsidR="002F1424" w:rsidRPr="0063354D" w:rsidRDefault="002F1424" w:rsidP="002F1424"/>
    <w:p w:rsidR="002F1424" w:rsidRPr="00F7241A" w:rsidRDefault="002F1424" w:rsidP="002F1424"/>
    <w:p w:rsidR="002F1424" w:rsidRPr="00A33814" w:rsidRDefault="002F1424" w:rsidP="0059336B">
      <w:pPr>
        <w:pStyle w:val="Body"/>
        <w:spacing w:line="360" w:lineRule="auto"/>
        <w:ind w:firstLine="720"/>
        <w:rPr>
          <w:rFonts w:ascii="Arial" w:hAnsi="Arial" w:cs="Arial"/>
        </w:rPr>
      </w:pPr>
    </w:p>
    <w:p w:rsidR="000E26A9" w:rsidRPr="00A33814" w:rsidRDefault="000E26A9" w:rsidP="000E26A9">
      <w:pPr>
        <w:pStyle w:val="ReferHead"/>
        <w:spacing w:after="0"/>
        <w:jc w:val="both"/>
        <w:rPr>
          <w:rFonts w:ascii="Arial" w:hAnsi="Arial" w:cs="Arial"/>
        </w:rPr>
      </w:pPr>
      <w:r w:rsidRPr="00A33814">
        <w:rPr>
          <w:rFonts w:ascii="Arial" w:hAnsi="Arial" w:cs="Arial"/>
        </w:rPr>
        <w:t>References</w:t>
      </w:r>
    </w:p>
    <w:p w:rsidR="000E26A9" w:rsidRPr="00A33814" w:rsidRDefault="000E26A9" w:rsidP="00441B6F">
      <w:pPr>
        <w:pStyle w:val="Body"/>
        <w:spacing w:after="0"/>
        <w:rPr>
          <w:lang w:val="en-GB"/>
        </w:rPr>
      </w:pP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Chauhan, R.S. (1998). Response of </w:t>
      </w:r>
      <w:proofErr w:type="spellStart"/>
      <w:r w:rsidRPr="00A33814">
        <w:rPr>
          <w:rFonts w:ascii="Arial" w:hAnsi="Arial" w:cs="Arial"/>
        </w:rPr>
        <w:t>taramira</w:t>
      </w:r>
      <w:proofErr w:type="spellEnd"/>
      <w:r w:rsidRPr="00A33814">
        <w:rPr>
          <w:rFonts w:ascii="Arial" w:hAnsi="Arial" w:cs="Arial"/>
        </w:rPr>
        <w:t xml:space="preserve"> (</w:t>
      </w:r>
      <w:proofErr w:type="spellStart"/>
      <w:r w:rsidRPr="00A33814">
        <w:rPr>
          <w:rFonts w:ascii="Arial" w:hAnsi="Arial" w:cs="Arial"/>
          <w:i/>
        </w:rPr>
        <w:t>Eruca</w:t>
      </w:r>
      <w:proofErr w:type="spellEnd"/>
      <w:r w:rsidRPr="00A33814">
        <w:rPr>
          <w:rFonts w:ascii="Arial" w:hAnsi="Arial" w:cs="Arial"/>
          <w:i/>
        </w:rPr>
        <w:t xml:space="preserve"> sativa</w:t>
      </w:r>
      <w:r w:rsidRPr="00A33814">
        <w:rPr>
          <w:rFonts w:ascii="Arial" w:hAnsi="Arial" w:cs="Arial"/>
        </w:rPr>
        <w:t xml:space="preserve"> L.) to phosphorus and </w:t>
      </w:r>
      <w:proofErr w:type="spellStart"/>
      <w:r w:rsidRPr="00A33814">
        <w:rPr>
          <w:rFonts w:ascii="Arial" w:hAnsi="Arial" w:cs="Arial"/>
        </w:rPr>
        <w:t>sulphur</w:t>
      </w:r>
      <w:proofErr w:type="spellEnd"/>
      <w:r w:rsidRPr="00A33814">
        <w:rPr>
          <w:rFonts w:ascii="Arial" w:hAnsi="Arial" w:cs="Arial"/>
        </w:rPr>
        <w:t xml:space="preserve"> levels on </w:t>
      </w:r>
      <w:proofErr w:type="spellStart"/>
      <w:r w:rsidRPr="00A33814">
        <w:rPr>
          <w:rFonts w:ascii="Arial" w:hAnsi="Arial" w:cs="Arial"/>
        </w:rPr>
        <w:t>Entisols</w:t>
      </w:r>
      <w:proofErr w:type="spellEnd"/>
      <w:r w:rsidRPr="00A33814">
        <w:rPr>
          <w:rFonts w:ascii="Arial" w:hAnsi="Arial" w:cs="Arial"/>
        </w:rPr>
        <w:t xml:space="preserve"> of </w:t>
      </w:r>
      <w:proofErr w:type="spellStart"/>
      <w:r w:rsidRPr="00A33814">
        <w:rPr>
          <w:rFonts w:ascii="Arial" w:hAnsi="Arial" w:cs="Arial"/>
        </w:rPr>
        <w:t>Jobner</w:t>
      </w:r>
      <w:proofErr w:type="spellEnd"/>
      <w:r w:rsidRPr="00A33814">
        <w:rPr>
          <w:rFonts w:ascii="Arial" w:hAnsi="Arial" w:cs="Arial"/>
        </w:rPr>
        <w:t xml:space="preserve">. </w:t>
      </w:r>
      <w:proofErr w:type="gramStart"/>
      <w:r w:rsidRPr="00A33814">
        <w:rPr>
          <w:rFonts w:ascii="Arial" w:hAnsi="Arial" w:cs="Arial"/>
        </w:rPr>
        <w:t>M.Sc.(</w:t>
      </w:r>
      <w:proofErr w:type="gramEnd"/>
      <w:r w:rsidRPr="00A33814">
        <w:rPr>
          <w:rFonts w:ascii="Arial" w:hAnsi="Arial" w:cs="Arial"/>
        </w:rPr>
        <w:t>Ag.) Thesis, R.A.U., Bikaner.</w:t>
      </w:r>
    </w:p>
    <w:p w:rsidR="000E26A9" w:rsidRDefault="000E26A9" w:rsidP="000B1864">
      <w:pPr>
        <w:spacing w:line="360" w:lineRule="auto"/>
        <w:ind w:left="720" w:hanging="720"/>
        <w:jc w:val="both"/>
        <w:rPr>
          <w:rFonts w:ascii="Arial" w:hAnsi="Arial" w:cs="Arial"/>
        </w:rPr>
      </w:pPr>
      <w:r w:rsidRPr="00A33814">
        <w:rPr>
          <w:rFonts w:ascii="Arial" w:hAnsi="Arial" w:cs="Arial"/>
        </w:rPr>
        <w:t>Deo, C., &amp; Khandelwal, R.B. (2009). Effect of Zn and P on yield, nutrient uptake and oil content of mustard grown on the gypsum treated sodic soil. Journal of the Indian Society of Soil Science, 57, 66-70.</w:t>
      </w:r>
    </w:p>
    <w:p w:rsidR="001D51E4" w:rsidRPr="00A33814" w:rsidRDefault="001D51E4" w:rsidP="000B1864">
      <w:pPr>
        <w:spacing w:line="360" w:lineRule="auto"/>
        <w:ind w:left="720" w:hanging="720"/>
        <w:jc w:val="both"/>
        <w:rPr>
          <w:rFonts w:ascii="Arial" w:hAnsi="Arial" w:cs="Arial"/>
          <w:lang w:val="en-IN"/>
        </w:rPr>
      </w:pPr>
      <w:r>
        <w:rPr>
          <w:rFonts w:ascii="Arial" w:hAnsi="Arial" w:cs="Arial"/>
        </w:rPr>
        <w:t xml:space="preserve">Gomez, K.A.  and </w:t>
      </w:r>
      <w:proofErr w:type="gramStart"/>
      <w:r>
        <w:rPr>
          <w:rFonts w:ascii="Arial" w:hAnsi="Arial" w:cs="Arial"/>
        </w:rPr>
        <w:t>Gomez,  A.A.</w:t>
      </w:r>
      <w:proofErr w:type="gramEnd"/>
      <w:r>
        <w:rPr>
          <w:rFonts w:ascii="Arial" w:hAnsi="Arial" w:cs="Arial"/>
        </w:rPr>
        <w:t xml:space="preserve"> Statistical Procedure for Agricultural Research. An International   Rice Research Institute Book. Willy Inter Science Publication: 1984, p 160 </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Hanway</w:t>
      </w:r>
      <w:proofErr w:type="spellEnd"/>
      <w:r w:rsidRPr="00A33814">
        <w:rPr>
          <w:rFonts w:ascii="Arial" w:hAnsi="Arial" w:cs="Arial"/>
        </w:rPr>
        <w:t xml:space="preserve">, J. J., &amp; </w:t>
      </w:r>
      <w:proofErr w:type="spellStart"/>
      <w:r w:rsidRPr="00A33814">
        <w:rPr>
          <w:rFonts w:ascii="Arial" w:hAnsi="Arial" w:cs="Arial"/>
        </w:rPr>
        <w:t>Heidel</w:t>
      </w:r>
      <w:proofErr w:type="spellEnd"/>
      <w:r w:rsidRPr="00A33814">
        <w:rPr>
          <w:rFonts w:ascii="Arial" w:hAnsi="Arial" w:cs="Arial"/>
        </w:rPr>
        <w:t>, H. (1952). Soil analysis methods as used in lower State College Soil Testing Laboratory. Iowa Agriculture, 57, 1-31.</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Henriet</w:t>
      </w:r>
      <w:proofErr w:type="spellEnd"/>
      <w:r w:rsidRPr="00A33814">
        <w:rPr>
          <w:rFonts w:ascii="Arial" w:hAnsi="Arial" w:cs="Arial"/>
        </w:rPr>
        <w:t xml:space="preserve">, C., </w:t>
      </w:r>
      <w:proofErr w:type="spellStart"/>
      <w:r w:rsidRPr="00A33814">
        <w:rPr>
          <w:rFonts w:ascii="Arial" w:hAnsi="Arial" w:cs="Arial"/>
        </w:rPr>
        <w:t>Térézol</w:t>
      </w:r>
      <w:proofErr w:type="spellEnd"/>
      <w:r w:rsidRPr="00A33814">
        <w:rPr>
          <w:rFonts w:ascii="Arial" w:hAnsi="Arial" w:cs="Arial"/>
        </w:rPr>
        <w:t>, M., Combes-</w:t>
      </w:r>
      <w:proofErr w:type="spellStart"/>
      <w:r w:rsidRPr="00A33814">
        <w:rPr>
          <w:rFonts w:ascii="Arial" w:hAnsi="Arial" w:cs="Arial"/>
        </w:rPr>
        <w:t>Soia</w:t>
      </w:r>
      <w:proofErr w:type="spellEnd"/>
      <w:r w:rsidRPr="00A33814">
        <w:rPr>
          <w:rFonts w:ascii="Arial" w:hAnsi="Arial" w:cs="Arial"/>
        </w:rPr>
        <w:t xml:space="preserve">, L., Gallardo, K., </w:t>
      </w:r>
      <w:proofErr w:type="spellStart"/>
      <w:r w:rsidRPr="00A33814">
        <w:rPr>
          <w:rFonts w:ascii="Arial" w:hAnsi="Arial" w:cs="Arial"/>
        </w:rPr>
        <w:t>Kilandamoko</w:t>
      </w:r>
      <w:proofErr w:type="spellEnd"/>
      <w:r w:rsidRPr="00A33814">
        <w:rPr>
          <w:rFonts w:ascii="Arial" w:hAnsi="Arial" w:cs="Arial"/>
        </w:rPr>
        <w:t xml:space="preserve">, A., </w:t>
      </w:r>
      <w:proofErr w:type="spellStart"/>
      <w:r w:rsidRPr="00A33814">
        <w:rPr>
          <w:rFonts w:ascii="Arial" w:hAnsi="Arial" w:cs="Arial"/>
        </w:rPr>
        <w:t>Aimé</w:t>
      </w:r>
      <w:proofErr w:type="spellEnd"/>
      <w:r w:rsidRPr="00A33814">
        <w:rPr>
          <w:rFonts w:ascii="Arial" w:hAnsi="Arial" w:cs="Arial"/>
        </w:rPr>
        <w:t xml:space="preserve">, D., Serre, R.-F., </w:t>
      </w:r>
      <w:proofErr w:type="spellStart"/>
      <w:r w:rsidRPr="00A33814">
        <w:rPr>
          <w:rFonts w:ascii="Arial" w:hAnsi="Arial" w:cs="Arial"/>
        </w:rPr>
        <w:t>Labas</w:t>
      </w:r>
      <w:proofErr w:type="spellEnd"/>
      <w:r w:rsidRPr="00A33814">
        <w:rPr>
          <w:rFonts w:ascii="Arial" w:hAnsi="Arial" w:cs="Arial"/>
        </w:rPr>
        <w:t xml:space="preserve">, V., </w:t>
      </w:r>
      <w:proofErr w:type="spellStart"/>
      <w:r w:rsidRPr="00A33814">
        <w:rPr>
          <w:rFonts w:ascii="Arial" w:hAnsi="Arial" w:cs="Arial"/>
        </w:rPr>
        <w:t>Rossin</w:t>
      </w:r>
      <w:proofErr w:type="spellEnd"/>
      <w:r w:rsidRPr="00A33814">
        <w:rPr>
          <w:rFonts w:ascii="Arial" w:hAnsi="Arial" w:cs="Arial"/>
        </w:rPr>
        <w:t xml:space="preserve">, N., </w:t>
      </w:r>
      <w:proofErr w:type="spellStart"/>
      <w:r w:rsidRPr="00A33814">
        <w:rPr>
          <w:rFonts w:ascii="Arial" w:hAnsi="Arial" w:cs="Arial"/>
        </w:rPr>
        <w:t>Kreplak</w:t>
      </w:r>
      <w:proofErr w:type="spellEnd"/>
      <w:r w:rsidRPr="00A33814">
        <w:rPr>
          <w:rFonts w:ascii="Arial" w:hAnsi="Arial" w:cs="Arial"/>
        </w:rPr>
        <w:t xml:space="preserve">, J., Prudent, M., &amp; </w:t>
      </w:r>
      <w:proofErr w:type="spellStart"/>
      <w:r w:rsidRPr="00A33814">
        <w:rPr>
          <w:rFonts w:ascii="Arial" w:hAnsi="Arial" w:cs="Arial"/>
        </w:rPr>
        <w:t>Vernoud</w:t>
      </w:r>
      <w:proofErr w:type="spellEnd"/>
      <w:r w:rsidRPr="00A33814">
        <w:rPr>
          <w:rFonts w:ascii="Arial" w:hAnsi="Arial" w:cs="Arial"/>
        </w:rPr>
        <w:t xml:space="preserve">, V. (2019). Water stress combined with sulfur deficiency in pea affects yield components but mitigates the effect of deficiency on seed globulin composition. Journal of Experimental Botany, 70(16), 4287–4304. </w:t>
      </w:r>
      <w:hyperlink r:id="rId15" w:history="1">
        <w:r w:rsidRPr="00A33814">
          <w:rPr>
            <w:rStyle w:val="Hyperlink"/>
            <w:rFonts w:ascii="Arial" w:hAnsi="Arial" w:cs="Arial"/>
            <w:color w:val="auto"/>
          </w:rPr>
          <w:t>https://doi.org/10.1093/jxb/erz114</w:t>
        </w:r>
      </w:hyperlink>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Iab</w:t>
      </w:r>
      <w:proofErr w:type="spellEnd"/>
      <w:r w:rsidRPr="00A33814">
        <w:rPr>
          <w:rFonts w:ascii="Arial" w:hAnsi="Arial" w:cs="Arial"/>
        </w:rPr>
        <w:t xml:space="preserve">, M., Kadam, G., </w:t>
      </w:r>
      <w:proofErr w:type="spellStart"/>
      <w:r w:rsidRPr="00A33814">
        <w:rPr>
          <w:rFonts w:ascii="Arial" w:hAnsi="Arial" w:cs="Arial"/>
        </w:rPr>
        <w:t>Pawar</w:t>
      </w:r>
      <w:proofErr w:type="spellEnd"/>
      <w:r w:rsidRPr="00A33814">
        <w:rPr>
          <w:rFonts w:ascii="Arial" w:hAnsi="Arial" w:cs="Arial"/>
        </w:rPr>
        <w:t>, A., &amp;</w:t>
      </w:r>
      <w:proofErr w:type="spellStart"/>
      <w:r w:rsidRPr="00A33814">
        <w:rPr>
          <w:rFonts w:ascii="Arial" w:hAnsi="Arial" w:cs="Arial"/>
        </w:rPr>
        <w:t>Halge</w:t>
      </w:r>
      <w:proofErr w:type="spellEnd"/>
      <w:r w:rsidRPr="00A33814">
        <w:rPr>
          <w:rFonts w:ascii="Arial" w:hAnsi="Arial" w:cs="Arial"/>
        </w:rPr>
        <w:t>, S. (2024). Response of nutrient levels on yield and economics of linseed (</w:t>
      </w:r>
      <w:proofErr w:type="spellStart"/>
      <w:r w:rsidRPr="00A33814">
        <w:rPr>
          <w:rFonts w:ascii="Arial" w:hAnsi="Arial" w:cs="Arial"/>
        </w:rPr>
        <w:t>Linum</w:t>
      </w:r>
      <w:proofErr w:type="spellEnd"/>
      <w:r w:rsidRPr="00A33814">
        <w:rPr>
          <w:rFonts w:ascii="Arial" w:hAnsi="Arial" w:cs="Arial"/>
        </w:rPr>
        <w:t xml:space="preserve"> </w:t>
      </w:r>
      <w:proofErr w:type="spellStart"/>
      <w:r w:rsidRPr="00A33814">
        <w:rPr>
          <w:rFonts w:ascii="Arial" w:hAnsi="Arial" w:cs="Arial"/>
        </w:rPr>
        <w:t>usitatissimum</w:t>
      </w:r>
      <w:proofErr w:type="spellEnd"/>
      <w:r w:rsidRPr="00A33814">
        <w:rPr>
          <w:rFonts w:ascii="Arial" w:hAnsi="Arial" w:cs="Arial"/>
        </w:rPr>
        <w:t xml:space="preserve"> L.). International Journal of Advanced Biochemistry Research, 8(7S), 697–700. </w:t>
      </w:r>
      <w:hyperlink r:id="rId16" w:history="1">
        <w:r w:rsidRPr="00A33814">
          <w:rPr>
            <w:rStyle w:val="Hyperlink"/>
            <w:rFonts w:ascii="Arial" w:hAnsi="Arial" w:cs="Arial"/>
            <w:color w:val="auto"/>
          </w:rPr>
          <w:t>https://doi.org/10.33545/26174693. 2024.v8.i7si.1620</w:t>
        </w:r>
      </w:hyperlink>
    </w:p>
    <w:p w:rsidR="000E26A9" w:rsidRPr="00A33814" w:rsidRDefault="000E26A9" w:rsidP="006B1106">
      <w:pPr>
        <w:spacing w:line="360" w:lineRule="auto"/>
        <w:ind w:left="900" w:hanging="900"/>
        <w:jc w:val="both"/>
        <w:rPr>
          <w:rFonts w:ascii="Arial" w:hAnsi="Arial" w:cs="Arial"/>
        </w:rPr>
      </w:pPr>
      <w:r w:rsidRPr="00A33814">
        <w:rPr>
          <w:rFonts w:ascii="Arial" w:hAnsi="Arial" w:cs="Arial"/>
        </w:rPr>
        <w:t xml:space="preserve">Jamal, A., Moon, Y.S., &amp; </w:t>
      </w:r>
      <w:proofErr w:type="spellStart"/>
      <w:r w:rsidRPr="00A33814">
        <w:rPr>
          <w:rFonts w:ascii="Arial" w:hAnsi="Arial" w:cs="Arial"/>
        </w:rPr>
        <w:t>Abdin</w:t>
      </w:r>
      <w:proofErr w:type="spellEnd"/>
      <w:r w:rsidRPr="00A33814">
        <w:rPr>
          <w:rFonts w:ascii="Arial" w:hAnsi="Arial" w:cs="Arial"/>
        </w:rPr>
        <w:t>, Z.M. (2010). Sulphur-a general overview and interaction with nitrogen. Australian Journal of Crop Science, 4(7), 523-529.</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Jat</w:t>
      </w:r>
      <w:proofErr w:type="spellEnd"/>
      <w:r w:rsidRPr="00A33814">
        <w:rPr>
          <w:rFonts w:ascii="Arial" w:hAnsi="Arial" w:cs="Arial"/>
        </w:rPr>
        <w:t xml:space="preserve">, </w:t>
      </w:r>
      <w:proofErr w:type="gramStart"/>
      <w:r w:rsidRPr="00A33814">
        <w:rPr>
          <w:rFonts w:ascii="Arial" w:hAnsi="Arial" w:cs="Arial"/>
        </w:rPr>
        <w:t>J.R.,&amp;</w:t>
      </w:r>
      <w:proofErr w:type="gramEnd"/>
      <w:r w:rsidRPr="00A33814">
        <w:rPr>
          <w:rFonts w:ascii="Arial" w:hAnsi="Arial" w:cs="Arial"/>
        </w:rPr>
        <w:t xml:space="preserve"> </w:t>
      </w:r>
      <w:proofErr w:type="spellStart"/>
      <w:r w:rsidRPr="00A33814">
        <w:rPr>
          <w:rFonts w:ascii="Arial" w:hAnsi="Arial" w:cs="Arial"/>
        </w:rPr>
        <w:t>Mehara</w:t>
      </w:r>
      <w:proofErr w:type="spellEnd"/>
      <w:r w:rsidRPr="00A33814">
        <w:rPr>
          <w:rFonts w:ascii="Arial" w:hAnsi="Arial" w:cs="Arial"/>
        </w:rPr>
        <w:t xml:space="preserve">, R.K. (2007). Effect of </w:t>
      </w:r>
      <w:proofErr w:type="spellStart"/>
      <w:r w:rsidRPr="00A33814">
        <w:rPr>
          <w:rFonts w:ascii="Arial" w:hAnsi="Arial" w:cs="Arial"/>
        </w:rPr>
        <w:t>sulphur</w:t>
      </w:r>
      <w:proofErr w:type="spellEnd"/>
      <w:r w:rsidRPr="00A33814">
        <w:rPr>
          <w:rFonts w:ascii="Arial" w:hAnsi="Arial" w:cs="Arial"/>
        </w:rPr>
        <w:t xml:space="preserve"> and zinc on yield, micronutrient content in and uptake by mustard on </w:t>
      </w:r>
      <w:proofErr w:type="spellStart"/>
      <w:r w:rsidRPr="00A33814">
        <w:rPr>
          <w:rFonts w:ascii="Arial" w:hAnsi="Arial" w:cs="Arial"/>
        </w:rPr>
        <w:t>Haplustepts</w:t>
      </w:r>
      <w:proofErr w:type="spellEnd"/>
      <w:r w:rsidRPr="00A33814">
        <w:rPr>
          <w:rFonts w:ascii="Arial" w:hAnsi="Arial" w:cs="Arial"/>
        </w:rPr>
        <w:t>. Journal of Indian Society Soil Science, 55, 190-195.</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Kaur, S., Gupta, M., Bharat, R., &amp; Sharma, V. (2017). Effect of zinc and boron on yield, nutrient uptake and economics of mustard (</w:t>
      </w:r>
      <w:r w:rsidRPr="00A33814">
        <w:rPr>
          <w:rFonts w:ascii="Arial" w:hAnsi="Arial" w:cs="Arial"/>
          <w:i/>
        </w:rPr>
        <w:t xml:space="preserve">Brassica </w:t>
      </w:r>
      <w:proofErr w:type="spellStart"/>
      <w:r w:rsidRPr="00A33814">
        <w:rPr>
          <w:rFonts w:ascii="Arial" w:hAnsi="Arial" w:cs="Arial"/>
          <w:i/>
        </w:rPr>
        <w:t>junceae</w:t>
      </w:r>
      <w:proofErr w:type="spellEnd"/>
      <w:r w:rsidRPr="00A33814">
        <w:rPr>
          <w:rFonts w:ascii="Arial" w:hAnsi="Arial" w:cs="Arial"/>
        </w:rPr>
        <w:t xml:space="preserve"> L.) in mustard- maize cropping sequence. </w:t>
      </w:r>
      <w:r w:rsidRPr="00A33814">
        <w:rPr>
          <w:rFonts w:ascii="Arial" w:hAnsi="Arial" w:cs="Arial"/>
          <w:bCs/>
        </w:rPr>
        <w:t>Bangladesh</w:t>
      </w:r>
      <w:r w:rsidRPr="00A33814">
        <w:rPr>
          <w:rFonts w:ascii="Arial" w:hAnsi="Arial" w:cs="Arial"/>
        </w:rPr>
        <w:t> Journal of Botany, </w:t>
      </w:r>
      <w:r w:rsidRPr="00A33814">
        <w:rPr>
          <w:rFonts w:ascii="Arial" w:hAnsi="Arial" w:cs="Arial"/>
          <w:bCs/>
        </w:rPr>
        <w:t>46</w:t>
      </w:r>
      <w:r w:rsidRPr="00A33814">
        <w:rPr>
          <w:rFonts w:ascii="Arial" w:hAnsi="Arial" w:cs="Arial"/>
        </w:rPr>
        <w:t>(</w:t>
      </w:r>
      <w:r w:rsidRPr="00A33814">
        <w:rPr>
          <w:rFonts w:ascii="Arial" w:hAnsi="Arial" w:cs="Arial"/>
          <w:bCs/>
        </w:rPr>
        <w:t>2</w:t>
      </w:r>
      <w:r w:rsidRPr="00A33814">
        <w:rPr>
          <w:rFonts w:ascii="Arial" w:hAnsi="Arial" w:cs="Arial"/>
        </w:rPr>
        <w:t xml:space="preserve">), </w:t>
      </w:r>
      <w:r w:rsidRPr="00A33814">
        <w:rPr>
          <w:rFonts w:ascii="Arial" w:hAnsi="Arial" w:cs="Arial"/>
          <w:bCs/>
        </w:rPr>
        <w:t>817-821.</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Kishorekumar</w:t>
      </w:r>
      <w:proofErr w:type="spellEnd"/>
      <w:r w:rsidRPr="00A33814">
        <w:rPr>
          <w:rFonts w:ascii="Arial" w:hAnsi="Arial" w:cs="Arial"/>
        </w:rPr>
        <w:t xml:space="preserve">, R., </w:t>
      </w:r>
      <w:proofErr w:type="spellStart"/>
      <w:r w:rsidRPr="00A33814">
        <w:rPr>
          <w:rFonts w:ascii="Arial" w:hAnsi="Arial" w:cs="Arial"/>
        </w:rPr>
        <w:t>Wany</w:t>
      </w:r>
      <w:proofErr w:type="spellEnd"/>
      <w:r w:rsidRPr="00A33814">
        <w:rPr>
          <w:rFonts w:ascii="Arial" w:hAnsi="Arial" w:cs="Arial"/>
        </w:rPr>
        <w:t xml:space="preserve">, A., Gupta, K. J., &amp; </w:t>
      </w:r>
      <w:proofErr w:type="spellStart"/>
      <w:r w:rsidRPr="00A33814">
        <w:rPr>
          <w:rFonts w:ascii="Arial" w:hAnsi="Arial" w:cs="Arial"/>
        </w:rPr>
        <w:t>Bulle</w:t>
      </w:r>
      <w:proofErr w:type="spellEnd"/>
      <w:r w:rsidRPr="00A33814">
        <w:rPr>
          <w:rFonts w:ascii="Arial" w:hAnsi="Arial" w:cs="Arial"/>
        </w:rPr>
        <w:t xml:space="preserve">, M. (2019). An Overview of Important Enzymes Involved in Nitrogen Assimilation of Plants. Methods in Molecular Biology (Clifton, N.J.), 2057, 1–13. </w:t>
      </w:r>
      <w:hyperlink r:id="rId17" w:history="1">
        <w:r w:rsidRPr="00A33814">
          <w:rPr>
            <w:rStyle w:val="Hyperlink"/>
            <w:rFonts w:ascii="Arial" w:hAnsi="Arial" w:cs="Arial"/>
            <w:color w:val="auto"/>
          </w:rPr>
          <w:t>https://doi.org/10.1007/978-1-4939-9790-9_1</w:t>
        </w:r>
      </w:hyperlink>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lastRenderedPageBreak/>
        <w:t>Lindsay, W.L., &amp; Norvell, W. (1978). Development of a DTPA soil test for zinc, iron, manganese, and copper. </w:t>
      </w:r>
      <w:r w:rsidRPr="00A33814">
        <w:rPr>
          <w:rFonts w:ascii="Arial" w:hAnsi="Arial" w:cs="Arial"/>
          <w:iCs/>
        </w:rPr>
        <w:t>Soil Science society of America Journal, 42</w:t>
      </w:r>
      <w:r w:rsidRPr="00A33814">
        <w:rPr>
          <w:rFonts w:ascii="Arial" w:hAnsi="Arial" w:cs="Arial"/>
        </w:rPr>
        <w:t>(3), 421-428.</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Maharudra</w:t>
      </w:r>
      <w:proofErr w:type="spellEnd"/>
      <w:r w:rsidRPr="00A33814">
        <w:rPr>
          <w:rFonts w:ascii="Arial" w:hAnsi="Arial" w:cs="Arial"/>
        </w:rPr>
        <w:t xml:space="preserve">, G.P. (2020). Influence of </w:t>
      </w:r>
      <w:proofErr w:type="spellStart"/>
      <w:r w:rsidRPr="00A33814">
        <w:rPr>
          <w:rFonts w:ascii="Arial" w:hAnsi="Arial" w:cs="Arial"/>
        </w:rPr>
        <w:t>sulphur</w:t>
      </w:r>
      <w:proofErr w:type="spellEnd"/>
      <w:r w:rsidRPr="00A33814">
        <w:rPr>
          <w:rFonts w:ascii="Arial" w:hAnsi="Arial" w:cs="Arial"/>
        </w:rPr>
        <w:t xml:space="preserve"> and zinc levels on growth, soil nutrient dynamics, yield and quality of Sesame (</w:t>
      </w:r>
      <w:r w:rsidRPr="00A33814">
        <w:rPr>
          <w:rFonts w:ascii="Arial" w:hAnsi="Arial" w:cs="Arial"/>
          <w:i/>
        </w:rPr>
        <w:t xml:space="preserve">Sesamum </w:t>
      </w:r>
      <w:proofErr w:type="spellStart"/>
      <w:r w:rsidRPr="00A33814">
        <w:rPr>
          <w:rFonts w:ascii="Arial" w:hAnsi="Arial" w:cs="Arial"/>
          <w:i/>
        </w:rPr>
        <w:t>indicum</w:t>
      </w:r>
      <w:proofErr w:type="spellEnd"/>
      <w:r w:rsidRPr="00A33814">
        <w:rPr>
          <w:rFonts w:ascii="Arial" w:hAnsi="Arial" w:cs="Arial"/>
        </w:rPr>
        <w:t xml:space="preserve"> L.) in </w:t>
      </w:r>
      <w:proofErr w:type="spellStart"/>
      <w:r w:rsidRPr="00A33814">
        <w:rPr>
          <w:rFonts w:ascii="Arial" w:hAnsi="Arial" w:cs="Arial"/>
        </w:rPr>
        <w:t>Inceptisol</w:t>
      </w:r>
      <w:proofErr w:type="spellEnd"/>
      <w:r w:rsidRPr="00A33814">
        <w:rPr>
          <w:rFonts w:ascii="Arial" w:hAnsi="Arial" w:cs="Arial"/>
        </w:rPr>
        <w:t>, (pp29-64). M.Sc. Thesis.</w:t>
      </w:r>
    </w:p>
    <w:p w:rsidR="000E26A9" w:rsidRPr="00A33814" w:rsidRDefault="000E26A9" w:rsidP="0061354C">
      <w:pPr>
        <w:spacing w:line="360" w:lineRule="auto"/>
        <w:ind w:left="900" w:hanging="900"/>
        <w:jc w:val="both"/>
        <w:rPr>
          <w:rFonts w:ascii="Arial" w:hAnsi="Arial" w:cs="Arial"/>
        </w:rPr>
      </w:pPr>
      <w:proofErr w:type="spellStart"/>
      <w:r w:rsidRPr="00A33814">
        <w:rPr>
          <w:rFonts w:ascii="Arial" w:hAnsi="Arial" w:cs="Arial"/>
        </w:rPr>
        <w:t>Maharudra</w:t>
      </w:r>
      <w:proofErr w:type="spellEnd"/>
      <w:r w:rsidRPr="00A33814">
        <w:rPr>
          <w:rFonts w:ascii="Arial" w:hAnsi="Arial" w:cs="Arial"/>
        </w:rPr>
        <w:t xml:space="preserve">, G.P. (2020). Influence of </w:t>
      </w:r>
      <w:proofErr w:type="spellStart"/>
      <w:r w:rsidRPr="00A33814">
        <w:rPr>
          <w:rFonts w:ascii="Arial" w:hAnsi="Arial" w:cs="Arial"/>
        </w:rPr>
        <w:t>sulphur</w:t>
      </w:r>
      <w:proofErr w:type="spellEnd"/>
      <w:r w:rsidRPr="00A33814">
        <w:rPr>
          <w:rFonts w:ascii="Arial" w:hAnsi="Arial" w:cs="Arial"/>
        </w:rPr>
        <w:t xml:space="preserve"> and zinc levels on growth, soil nutrient dynamics, yield and quality of Sesame (</w:t>
      </w:r>
      <w:r w:rsidRPr="00A33814">
        <w:rPr>
          <w:rFonts w:ascii="Arial" w:hAnsi="Arial" w:cs="Arial"/>
          <w:i/>
        </w:rPr>
        <w:t xml:space="preserve">Sesamum </w:t>
      </w:r>
      <w:proofErr w:type="spellStart"/>
      <w:r w:rsidRPr="00A33814">
        <w:rPr>
          <w:rFonts w:ascii="Arial" w:hAnsi="Arial" w:cs="Arial"/>
          <w:i/>
        </w:rPr>
        <w:t>indicum</w:t>
      </w:r>
      <w:proofErr w:type="spellEnd"/>
      <w:r w:rsidRPr="00A33814">
        <w:rPr>
          <w:rFonts w:ascii="Arial" w:hAnsi="Arial" w:cs="Arial"/>
        </w:rPr>
        <w:t xml:space="preserve"> L.) in </w:t>
      </w:r>
      <w:proofErr w:type="spellStart"/>
      <w:r w:rsidRPr="00A33814">
        <w:rPr>
          <w:rFonts w:ascii="Arial" w:hAnsi="Arial" w:cs="Arial"/>
        </w:rPr>
        <w:t>Inceptisol</w:t>
      </w:r>
      <w:proofErr w:type="spellEnd"/>
      <w:r w:rsidRPr="00A33814">
        <w:rPr>
          <w:rFonts w:ascii="Arial" w:hAnsi="Arial" w:cs="Arial"/>
        </w:rPr>
        <w:t xml:space="preserve">, pp 29-64. M.Sc. Thesis IARI </w:t>
      </w:r>
    </w:p>
    <w:p w:rsidR="000E26A9" w:rsidRPr="00A33814" w:rsidRDefault="000E26A9" w:rsidP="006718E0">
      <w:pPr>
        <w:spacing w:line="360" w:lineRule="auto"/>
        <w:ind w:left="720" w:hanging="720"/>
        <w:jc w:val="both"/>
        <w:rPr>
          <w:rFonts w:ascii="Arial" w:hAnsi="Arial" w:cs="Arial"/>
        </w:rPr>
      </w:pPr>
      <w:proofErr w:type="spellStart"/>
      <w:r w:rsidRPr="00A33814">
        <w:rPr>
          <w:rFonts w:ascii="Arial" w:hAnsi="Arial" w:cs="Arial"/>
        </w:rPr>
        <w:t>Mehriya</w:t>
      </w:r>
      <w:proofErr w:type="spellEnd"/>
      <w:r w:rsidRPr="00A33814">
        <w:rPr>
          <w:rFonts w:ascii="Arial" w:hAnsi="Arial" w:cs="Arial"/>
        </w:rPr>
        <w:t xml:space="preserve">, </w:t>
      </w:r>
      <w:proofErr w:type="gramStart"/>
      <w:r w:rsidRPr="00A33814">
        <w:rPr>
          <w:rFonts w:ascii="Arial" w:hAnsi="Arial" w:cs="Arial"/>
        </w:rPr>
        <w:t>M.L.,&amp;</w:t>
      </w:r>
      <w:proofErr w:type="gramEnd"/>
      <w:r w:rsidRPr="00A33814">
        <w:rPr>
          <w:rFonts w:ascii="Arial" w:hAnsi="Arial" w:cs="Arial"/>
        </w:rPr>
        <w:t xml:space="preserve"> </w:t>
      </w:r>
      <w:proofErr w:type="spellStart"/>
      <w:r w:rsidRPr="00A33814">
        <w:rPr>
          <w:rFonts w:ascii="Arial" w:hAnsi="Arial" w:cs="Arial"/>
        </w:rPr>
        <w:t>Khangarot</w:t>
      </w:r>
      <w:proofErr w:type="spellEnd"/>
      <w:r w:rsidRPr="00A33814">
        <w:rPr>
          <w:rFonts w:ascii="Arial" w:hAnsi="Arial" w:cs="Arial"/>
        </w:rPr>
        <w:t xml:space="preserve">, S.S. (2000). Response of mustard (Brassica </w:t>
      </w:r>
      <w:proofErr w:type="spellStart"/>
      <w:r w:rsidRPr="00A33814">
        <w:rPr>
          <w:rFonts w:ascii="Arial" w:hAnsi="Arial" w:cs="Arial"/>
        </w:rPr>
        <w:t>juncea</w:t>
      </w:r>
      <w:proofErr w:type="spellEnd"/>
      <w:r w:rsidRPr="00A33814">
        <w:rPr>
          <w:rFonts w:ascii="Arial" w:hAnsi="Arial" w:cs="Arial"/>
        </w:rPr>
        <w:t xml:space="preserve"> L. </w:t>
      </w:r>
      <w:proofErr w:type="spellStart"/>
      <w:r w:rsidRPr="00A33814">
        <w:rPr>
          <w:rFonts w:ascii="Arial" w:hAnsi="Arial" w:cs="Arial"/>
        </w:rPr>
        <w:t>Czern</w:t>
      </w:r>
      <w:proofErr w:type="spellEnd"/>
      <w:r w:rsidRPr="00A33814">
        <w:rPr>
          <w:rFonts w:ascii="Arial" w:hAnsi="Arial" w:cs="Arial"/>
        </w:rPr>
        <w:t xml:space="preserve"> and </w:t>
      </w:r>
      <w:proofErr w:type="spellStart"/>
      <w:r w:rsidRPr="00A33814">
        <w:rPr>
          <w:rFonts w:ascii="Arial" w:hAnsi="Arial" w:cs="Arial"/>
        </w:rPr>
        <w:t>Coss</w:t>
      </w:r>
      <w:proofErr w:type="spellEnd"/>
      <w:r w:rsidRPr="00A33814">
        <w:rPr>
          <w:rFonts w:ascii="Arial" w:hAnsi="Arial" w:cs="Arial"/>
        </w:rPr>
        <w:t xml:space="preserve">) to </w:t>
      </w:r>
      <w:proofErr w:type="spellStart"/>
      <w:r w:rsidRPr="00A33814">
        <w:rPr>
          <w:rFonts w:ascii="Arial" w:hAnsi="Arial" w:cs="Arial"/>
        </w:rPr>
        <w:t>sulphur</w:t>
      </w:r>
      <w:proofErr w:type="spellEnd"/>
      <w:r w:rsidRPr="00A33814">
        <w:rPr>
          <w:rFonts w:ascii="Arial" w:hAnsi="Arial" w:cs="Arial"/>
        </w:rPr>
        <w:t xml:space="preserve"> and growth regulators. Annals of Arid Zone, 39 (1</w:t>
      </w:r>
      <w:proofErr w:type="gramStart"/>
      <w:r w:rsidRPr="00A33814">
        <w:rPr>
          <w:rFonts w:ascii="Arial" w:hAnsi="Arial" w:cs="Arial"/>
        </w:rPr>
        <w:t>),  81</w:t>
      </w:r>
      <w:proofErr w:type="gramEnd"/>
      <w:r w:rsidRPr="00A33814">
        <w:rPr>
          <w:rFonts w:ascii="Arial" w:hAnsi="Arial" w:cs="Arial"/>
        </w:rPr>
        <w:t>-82.</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Mishra, U.S., Rajesh, D., &amp; Mishra, R.S. (2016). Effect of </w:t>
      </w:r>
      <w:proofErr w:type="spellStart"/>
      <w:r w:rsidRPr="00A33814">
        <w:rPr>
          <w:rFonts w:ascii="Arial" w:hAnsi="Arial" w:cs="Arial"/>
        </w:rPr>
        <w:t>sulphur</w:t>
      </w:r>
      <w:proofErr w:type="spellEnd"/>
      <w:r w:rsidRPr="00A33814">
        <w:rPr>
          <w:rFonts w:ascii="Arial" w:hAnsi="Arial" w:cs="Arial"/>
        </w:rPr>
        <w:t xml:space="preserve"> and zinc on growth and yield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under rainfed condition. Journal of Natural Resource and Development, 11(2),47-53.</w:t>
      </w:r>
    </w:p>
    <w:p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Nawaz, N., Nawaz, M.S., Cheema, N.M., &amp; Khan, M.A. (2012). Zinc and iron application to optimize seed yield of mustard. Pakistan Journal of Agricultural Resource, 25(1): 28-33.</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Niu</w:t>
      </w:r>
      <w:proofErr w:type="spellEnd"/>
      <w:r w:rsidRPr="00A33814">
        <w:rPr>
          <w:rFonts w:ascii="Arial" w:hAnsi="Arial" w:cs="Arial"/>
        </w:rPr>
        <w:t xml:space="preserve">, L., Li, J., Chen, M.S., &amp; Xu, Z.F. (2014). Determination of oil contents in Sacha </w:t>
      </w:r>
      <w:proofErr w:type="spellStart"/>
      <w:r w:rsidRPr="00A33814">
        <w:rPr>
          <w:rFonts w:ascii="Arial" w:hAnsi="Arial" w:cs="Arial"/>
        </w:rPr>
        <w:t>inchi</w:t>
      </w:r>
      <w:proofErr w:type="spellEnd"/>
      <w:r w:rsidRPr="00A33814">
        <w:rPr>
          <w:rFonts w:ascii="Arial" w:hAnsi="Arial" w:cs="Arial"/>
        </w:rPr>
        <w:t xml:space="preserve"> (</w:t>
      </w:r>
      <w:proofErr w:type="spellStart"/>
      <w:r w:rsidRPr="00A33814">
        <w:rPr>
          <w:rFonts w:ascii="Arial" w:hAnsi="Arial" w:cs="Arial"/>
        </w:rPr>
        <w:t>Plukenetiavolubilis</w:t>
      </w:r>
      <w:proofErr w:type="spellEnd"/>
      <w:r w:rsidRPr="00A33814">
        <w:rPr>
          <w:rFonts w:ascii="Arial" w:hAnsi="Arial" w:cs="Arial"/>
        </w:rPr>
        <w:t>) seeds at different developmental stages by two methods: Soxhlet extraction and time-domain nuclear magnetic resonance. </w:t>
      </w:r>
      <w:r w:rsidRPr="00A33814">
        <w:rPr>
          <w:rFonts w:ascii="Arial" w:hAnsi="Arial" w:cs="Arial"/>
          <w:iCs/>
        </w:rPr>
        <w:t>Industrial Crops and Products, 56,</w:t>
      </w:r>
      <w:r w:rsidRPr="00A33814">
        <w:rPr>
          <w:rFonts w:ascii="Arial" w:hAnsi="Arial" w:cs="Arial"/>
        </w:rPr>
        <w:t xml:space="preserve"> 187-190.</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Olsen, S.R., Col, C.V., Watanabe, F.S., &amp; Dean, L.A. (1954). Estimation of available phosphorus in soil by extraction with sodium bicarbonate. Circular U.S. Department of Agriculture, 939.</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Potarzycki</w:t>
      </w:r>
      <w:proofErr w:type="spellEnd"/>
      <w:r w:rsidRPr="00A33814">
        <w:rPr>
          <w:rFonts w:ascii="Arial" w:hAnsi="Arial" w:cs="Arial"/>
        </w:rPr>
        <w:t xml:space="preserve">, J., &amp; Wendel, J. (2023). The Effect of Sulfur Carriers on Nitrogen Use Efficiency in Potatoes—A Case Study. Agronomy, 13(10), 2470. </w:t>
      </w:r>
      <w:hyperlink r:id="rId18" w:history="1">
        <w:r w:rsidRPr="00A33814">
          <w:rPr>
            <w:rStyle w:val="Hyperlink"/>
            <w:rFonts w:ascii="Arial" w:hAnsi="Arial" w:cs="Arial"/>
            <w:color w:val="auto"/>
          </w:rPr>
          <w:t>https://doi.org/10.3390/ agronomy13102470</w:t>
        </w:r>
      </w:hyperlink>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Ranadev</w:t>
      </w:r>
      <w:proofErr w:type="spellEnd"/>
      <w:r w:rsidRPr="00A33814">
        <w:rPr>
          <w:rFonts w:ascii="Arial" w:hAnsi="Arial" w:cs="Arial"/>
        </w:rPr>
        <w:t xml:space="preserve">, P., </w:t>
      </w:r>
      <w:proofErr w:type="spellStart"/>
      <w:r w:rsidRPr="00A33814">
        <w:rPr>
          <w:rFonts w:ascii="Arial" w:hAnsi="Arial" w:cs="Arial"/>
        </w:rPr>
        <w:t>Revanna</w:t>
      </w:r>
      <w:proofErr w:type="spellEnd"/>
      <w:r w:rsidRPr="00A33814">
        <w:rPr>
          <w:rFonts w:ascii="Arial" w:hAnsi="Arial" w:cs="Arial"/>
        </w:rPr>
        <w:t xml:space="preserve">, A., Shinde, A. H., &amp; </w:t>
      </w:r>
      <w:proofErr w:type="spellStart"/>
      <w:r w:rsidRPr="00A33814">
        <w:rPr>
          <w:rFonts w:ascii="Arial" w:hAnsi="Arial" w:cs="Arial"/>
        </w:rPr>
        <w:t>Bagyaraj</w:t>
      </w:r>
      <w:proofErr w:type="spellEnd"/>
      <w:r w:rsidRPr="00A33814">
        <w:rPr>
          <w:rFonts w:ascii="Arial" w:hAnsi="Arial" w:cs="Arial"/>
        </w:rPr>
        <w:t xml:space="preserve">, D. J. (2023). Sulfur oxidizing bacteria in agro ecosystem and its role in plant productivity-a review. Journal of Applied Microbiology, 134(8). </w:t>
      </w:r>
      <w:hyperlink r:id="rId19" w:history="1">
        <w:r w:rsidRPr="00A33814">
          <w:rPr>
            <w:rStyle w:val="Hyperlink"/>
            <w:rFonts w:ascii="Arial" w:hAnsi="Arial" w:cs="Arial"/>
            <w:color w:val="auto"/>
          </w:rPr>
          <w:t>https://doi.org/10.1093/jambio/lxad161</w:t>
        </w:r>
      </w:hyperlink>
    </w:p>
    <w:p w:rsidR="000E26A9" w:rsidRPr="00A33814" w:rsidRDefault="000E26A9" w:rsidP="00DD2DDA">
      <w:pPr>
        <w:spacing w:line="360" w:lineRule="auto"/>
        <w:ind w:left="900" w:hanging="900"/>
        <w:jc w:val="both"/>
        <w:rPr>
          <w:rFonts w:ascii="Arial" w:hAnsi="Arial" w:cs="Arial"/>
        </w:rPr>
      </w:pPr>
      <w:r w:rsidRPr="00A33814">
        <w:rPr>
          <w:rFonts w:ascii="Arial" w:hAnsi="Arial" w:cs="Arial"/>
        </w:rPr>
        <w:t>Shukla, A. K., Patra, A. K., Green, A., Rao, C. S., Das, S., Behera, S. K., Singh, A. K., Chaudhari, S. K., &amp; Prakash, C. (2021</w:t>
      </w:r>
      <w:r w:rsidRPr="00A33814">
        <w:rPr>
          <w:rFonts w:ascii="Arial" w:hAnsi="Arial" w:cs="Arial"/>
          <w:vertAlign w:val="superscript"/>
        </w:rPr>
        <w:t>a</w:t>
      </w:r>
      <w:r w:rsidRPr="00A33814">
        <w:rPr>
          <w:rFonts w:ascii="Arial" w:hAnsi="Arial" w:cs="Arial"/>
        </w:rPr>
        <w:t xml:space="preserve">). Assessing Multi-Micronutrients Deficiency in Agricultural Soils of India. Sustainability, 13(16), 9136. </w:t>
      </w:r>
      <w:hyperlink r:id="rId20" w:history="1">
        <w:r w:rsidRPr="00A33814">
          <w:rPr>
            <w:rStyle w:val="Hyperlink"/>
            <w:rFonts w:ascii="Arial" w:hAnsi="Arial" w:cs="Arial"/>
            <w:color w:val="auto"/>
          </w:rPr>
          <w:t>https://doi.org/10.3390/su13169136</w:t>
        </w:r>
      </w:hyperlink>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Shukla, A.K., Behera, S.K., Prakash, C., Tripathi, A., Patra, A.K., Dwivedi, B.S., &amp; Singh, A.K. (2021</w:t>
      </w:r>
      <w:r w:rsidRPr="00A33814">
        <w:rPr>
          <w:rFonts w:ascii="Arial" w:hAnsi="Arial" w:cs="Arial"/>
          <w:vertAlign w:val="superscript"/>
        </w:rPr>
        <w:t>b</w:t>
      </w:r>
      <w:r w:rsidRPr="00A33814">
        <w:rPr>
          <w:rFonts w:ascii="Arial" w:hAnsi="Arial" w:cs="Arial"/>
        </w:rPr>
        <w:t xml:space="preserve">). Deficiency of </w:t>
      </w:r>
      <w:proofErr w:type="spellStart"/>
      <w:r w:rsidRPr="00A33814">
        <w:rPr>
          <w:rFonts w:ascii="Arial" w:hAnsi="Arial" w:cs="Arial"/>
        </w:rPr>
        <w:t>phyto</w:t>
      </w:r>
      <w:proofErr w:type="spellEnd"/>
      <w:r w:rsidRPr="00A33814">
        <w:rPr>
          <w:rFonts w:ascii="Arial" w:hAnsi="Arial" w:cs="Arial"/>
        </w:rPr>
        <w:t xml:space="preserve">-available </w:t>
      </w:r>
      <w:proofErr w:type="spellStart"/>
      <w:r w:rsidRPr="00A33814">
        <w:rPr>
          <w:rFonts w:ascii="Arial" w:hAnsi="Arial" w:cs="Arial"/>
        </w:rPr>
        <w:t>sulphur</w:t>
      </w:r>
      <w:proofErr w:type="spellEnd"/>
      <w:r w:rsidRPr="00A33814">
        <w:rPr>
          <w:rFonts w:ascii="Arial" w:hAnsi="Arial" w:cs="Arial"/>
        </w:rPr>
        <w:t>, zinc, boron, iron, copper and manganese in soils of India. </w:t>
      </w:r>
      <w:r w:rsidRPr="00A33814">
        <w:rPr>
          <w:rFonts w:ascii="Arial" w:hAnsi="Arial" w:cs="Arial"/>
          <w:iCs/>
        </w:rPr>
        <w:t>Scientific Reports, 11</w:t>
      </w:r>
      <w:r w:rsidRPr="00A33814">
        <w:rPr>
          <w:rFonts w:ascii="Arial" w:hAnsi="Arial" w:cs="Arial"/>
        </w:rPr>
        <w:t>(1), 1-13.</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lastRenderedPageBreak/>
        <w:t>Sipai</w:t>
      </w:r>
      <w:proofErr w:type="spellEnd"/>
      <w:r w:rsidRPr="00A33814">
        <w:rPr>
          <w:rFonts w:ascii="Arial" w:hAnsi="Arial" w:cs="Arial"/>
        </w:rPr>
        <w:t xml:space="preserve">, A.H., Patel, J.J., &amp; Patel, N.I. (2015). Effect of </w:t>
      </w:r>
      <w:proofErr w:type="spellStart"/>
      <w:r w:rsidRPr="00A33814">
        <w:rPr>
          <w:rFonts w:ascii="Arial" w:hAnsi="Arial" w:cs="Arial"/>
        </w:rPr>
        <w:t>sulphur</w:t>
      </w:r>
      <w:proofErr w:type="spellEnd"/>
      <w:r w:rsidRPr="00A33814">
        <w:rPr>
          <w:rFonts w:ascii="Arial" w:hAnsi="Arial" w:cs="Arial"/>
        </w:rPr>
        <w:t xml:space="preserve"> and zinc with and without FYM on yield and yield attributes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w:t>
      </w:r>
      <w:proofErr w:type="spellStart"/>
      <w:r w:rsidRPr="00A33814">
        <w:rPr>
          <w:rFonts w:ascii="Arial" w:hAnsi="Arial" w:cs="Arial"/>
        </w:rPr>
        <w:t>Czernamd</w:t>
      </w:r>
      <w:proofErr w:type="spellEnd"/>
      <w:r w:rsidRPr="00A33814">
        <w:rPr>
          <w:rFonts w:ascii="Arial" w:hAnsi="Arial" w:cs="Arial"/>
        </w:rPr>
        <w:t xml:space="preserve"> </w:t>
      </w:r>
      <w:proofErr w:type="spellStart"/>
      <w:r w:rsidRPr="00A33814">
        <w:rPr>
          <w:rFonts w:ascii="Arial" w:hAnsi="Arial" w:cs="Arial"/>
        </w:rPr>
        <w:t>Coss</w:t>
      </w:r>
      <w:proofErr w:type="spellEnd"/>
      <w:r w:rsidRPr="00A33814">
        <w:rPr>
          <w:rFonts w:ascii="Arial" w:hAnsi="Arial" w:cs="Arial"/>
        </w:rPr>
        <w:t>] grown on light textured soil of Kachchh. Asian Journal of Soil Science, 10 (2</w:t>
      </w:r>
      <w:proofErr w:type="gramStart"/>
      <w:r w:rsidRPr="00A33814">
        <w:rPr>
          <w:rFonts w:ascii="Arial" w:hAnsi="Arial" w:cs="Arial"/>
        </w:rPr>
        <w:t>),  191</w:t>
      </w:r>
      <w:proofErr w:type="gramEnd"/>
      <w:r w:rsidRPr="00A33814">
        <w:rPr>
          <w:rFonts w:ascii="Arial" w:hAnsi="Arial" w:cs="Arial"/>
        </w:rPr>
        <w:t xml:space="preserve">-200. </w:t>
      </w:r>
    </w:p>
    <w:p w:rsidR="000E26A9" w:rsidRDefault="000E26A9" w:rsidP="00DD2DDA">
      <w:pPr>
        <w:spacing w:line="360" w:lineRule="auto"/>
        <w:ind w:left="900" w:hanging="900"/>
        <w:jc w:val="both"/>
      </w:pPr>
      <w:r w:rsidRPr="00A33814">
        <w:rPr>
          <w:rFonts w:ascii="Arial" w:hAnsi="Arial" w:cs="Arial"/>
        </w:rPr>
        <w:t xml:space="preserve">Tariq, A., Zhang, Z., Murtaza, G., Zeng, F., Ahmed, Z., Sadia, S., </w:t>
      </w:r>
      <w:proofErr w:type="spellStart"/>
      <w:r w:rsidRPr="00A33814">
        <w:rPr>
          <w:rFonts w:ascii="Arial" w:hAnsi="Arial" w:cs="Arial"/>
        </w:rPr>
        <w:t>Ismoilov</w:t>
      </w:r>
      <w:proofErr w:type="spellEnd"/>
      <w:r w:rsidRPr="00A33814">
        <w:rPr>
          <w:rFonts w:ascii="Arial" w:hAnsi="Arial" w:cs="Arial"/>
        </w:rPr>
        <w:t xml:space="preserve">, K., Ullah, A., &amp; Graciano, C. (2023). Regulation of Metabolites by Nutrients in Plants. 1–18. </w:t>
      </w:r>
      <w:hyperlink r:id="rId21" w:history="1">
        <w:r w:rsidRPr="00A33814">
          <w:rPr>
            <w:rStyle w:val="Hyperlink"/>
            <w:rFonts w:ascii="Arial" w:hAnsi="Arial" w:cs="Arial"/>
            <w:color w:val="auto"/>
          </w:rPr>
          <w:t>https://doi.org/10.1002/9781119803041.ch1</w:t>
        </w:r>
      </w:hyperlink>
    </w:p>
    <w:p w:rsidR="00B203E7" w:rsidRPr="00A33814" w:rsidRDefault="00B203E7" w:rsidP="00DD2DDA">
      <w:pPr>
        <w:spacing w:line="360" w:lineRule="auto"/>
        <w:ind w:left="900" w:hanging="900"/>
        <w:jc w:val="both"/>
        <w:rPr>
          <w:rFonts w:ascii="Arial" w:hAnsi="Arial" w:cs="Arial"/>
        </w:rPr>
      </w:pPr>
      <w:r>
        <w:t>Upadhyay</w:t>
      </w:r>
      <w:r w:rsidR="00C92B57">
        <w:t>, A.K</w:t>
      </w:r>
      <w:r>
        <w:t>.  (2013)</w:t>
      </w:r>
      <w:r w:rsidR="00C92B57">
        <w:t>. Effect of</w:t>
      </w:r>
      <w:r>
        <w:t xml:space="preserve"> </w:t>
      </w:r>
      <w:proofErr w:type="spellStart"/>
      <w:r>
        <w:t>sulphur</w:t>
      </w:r>
      <w:proofErr w:type="spellEnd"/>
      <w:r>
        <w:t xml:space="preserve"> and zinc nutrition on yield uptake of nutrients </w:t>
      </w:r>
      <w:r w:rsidR="00C92B57">
        <w:t>and quality</w:t>
      </w:r>
      <w:r>
        <w:t xml:space="preserve"> of lentil in alluvial soil.  </w:t>
      </w:r>
      <w:r w:rsidR="00C92B57">
        <w:t>Annals of Plant and S</w:t>
      </w:r>
      <w:r>
        <w:t>oil Research</w:t>
      </w:r>
      <w:r w:rsidR="00C92B57">
        <w:t>, 15(2):160</w:t>
      </w:r>
      <w:r w:rsidR="00C92B57" w:rsidRPr="00A33814">
        <w:rPr>
          <w:rFonts w:ascii="Arial" w:hAnsi="Arial" w:cs="Arial"/>
        </w:rPr>
        <w:t>–1</w:t>
      </w:r>
      <w:r w:rsidR="00C92B57">
        <w:rPr>
          <w:rFonts w:ascii="Arial" w:hAnsi="Arial" w:cs="Arial"/>
        </w:rPr>
        <w:t>63.</w:t>
      </w:r>
    </w:p>
    <w:p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 xml:space="preserve">Verma, C.K., Prasad, K., &amp; Yadav, D.D. (2012). Studies on response of </w:t>
      </w:r>
      <w:proofErr w:type="spellStart"/>
      <w:r w:rsidRPr="00A33814">
        <w:rPr>
          <w:rFonts w:ascii="Arial" w:hAnsi="Arial" w:cs="Arial"/>
        </w:rPr>
        <w:t>sulphur</w:t>
      </w:r>
      <w:proofErr w:type="spellEnd"/>
      <w:r w:rsidRPr="00A33814">
        <w:rPr>
          <w:rFonts w:ascii="Arial" w:hAnsi="Arial" w:cs="Arial"/>
        </w:rPr>
        <w:t>, zinc and boron levels on yield, economics, and nutrients uptake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Crop Resource, 44 (1/2), 75-78.</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Verma, V., Maurya, C.L., </w:t>
      </w:r>
      <w:proofErr w:type="spellStart"/>
      <w:r w:rsidRPr="00A33814">
        <w:rPr>
          <w:rFonts w:ascii="Arial" w:hAnsi="Arial" w:cs="Arial"/>
        </w:rPr>
        <w:t>Tomar</w:t>
      </w:r>
      <w:proofErr w:type="spellEnd"/>
      <w:r w:rsidRPr="00A33814">
        <w:rPr>
          <w:rFonts w:ascii="Arial" w:hAnsi="Arial" w:cs="Arial"/>
        </w:rPr>
        <w:t xml:space="preserve">, S., &amp; Singh R. (2018). Effect of different level of zinc and </w:t>
      </w:r>
      <w:proofErr w:type="spellStart"/>
      <w:r w:rsidRPr="00A33814">
        <w:rPr>
          <w:rFonts w:ascii="Arial" w:hAnsi="Arial" w:cs="Arial"/>
        </w:rPr>
        <w:t>sulphur</w:t>
      </w:r>
      <w:proofErr w:type="spellEnd"/>
      <w:r w:rsidRPr="00A33814">
        <w:rPr>
          <w:rFonts w:ascii="Arial" w:hAnsi="Arial" w:cs="Arial"/>
        </w:rPr>
        <w:t xml:space="preserve"> on morpho-physiological parameter of Indian mustard. International Journal of Current Microbiology and Applied Sciences, 7 (7), 2059-2073.</w:t>
      </w:r>
    </w:p>
    <w:p w:rsidR="000E26A9" w:rsidRPr="00A33814" w:rsidRDefault="000E26A9" w:rsidP="006B1106">
      <w:pPr>
        <w:spacing w:line="360" w:lineRule="auto"/>
        <w:ind w:left="720" w:hanging="720"/>
        <w:jc w:val="both"/>
        <w:rPr>
          <w:rFonts w:ascii="Arial" w:hAnsi="Arial" w:cs="Arial"/>
        </w:rPr>
      </w:pPr>
      <w:r w:rsidRPr="00A33814">
        <w:rPr>
          <w:rFonts w:ascii="Arial" w:hAnsi="Arial" w:cs="Arial"/>
        </w:rPr>
        <w:t xml:space="preserve">Walkley, </w:t>
      </w:r>
      <w:proofErr w:type="gramStart"/>
      <w:r w:rsidRPr="00A33814">
        <w:rPr>
          <w:rFonts w:ascii="Arial" w:hAnsi="Arial" w:cs="Arial"/>
        </w:rPr>
        <w:t>A.J.,&amp;</w:t>
      </w:r>
      <w:proofErr w:type="gramEnd"/>
      <w:r w:rsidRPr="00A33814">
        <w:rPr>
          <w:rFonts w:ascii="Arial" w:hAnsi="Arial" w:cs="Arial"/>
        </w:rPr>
        <w:t xml:space="preserve"> Black, I.A. (1934). Estimation of soil organic carbon by the chromic and titration method. Soil Science, 37, 29-38.</w:t>
      </w:r>
    </w:p>
    <w:p w:rsidR="000E26A9" w:rsidRPr="00A33814" w:rsidRDefault="000E26A9" w:rsidP="00DD2DDA">
      <w:pPr>
        <w:spacing w:line="360" w:lineRule="auto"/>
        <w:ind w:left="900" w:hanging="900"/>
        <w:jc w:val="both"/>
      </w:pPr>
      <w:r w:rsidRPr="00A33814">
        <w:rPr>
          <w:rFonts w:ascii="Arial" w:hAnsi="Arial" w:cs="Arial"/>
        </w:rPr>
        <w:t xml:space="preserve">Zhou, J., Zhang, H., Huang, Y., Jiao, S., Zheng, X., Lu, W., Jiang, W., &amp; Bai, X. (2024). Impact of Sulfur Deficiency and Excess on the Growth and Development of Soybean Seedlings. International Journal of Molecular Sciences, 25(20), 11253. </w:t>
      </w:r>
      <w:hyperlink r:id="rId22" w:history="1">
        <w:r w:rsidRPr="00A33814">
          <w:rPr>
            <w:rStyle w:val="Hyperlink"/>
            <w:rFonts w:ascii="Arial" w:hAnsi="Arial" w:cs="Arial"/>
            <w:color w:val="auto"/>
          </w:rPr>
          <w:t>https://doi.org/10.3390/ijms252011253</w:t>
        </w:r>
      </w:hyperlink>
    </w:p>
    <w:p w:rsidR="0061354C" w:rsidRPr="008A256F" w:rsidRDefault="000E26A9" w:rsidP="00732CC6">
      <w:pPr>
        <w:tabs>
          <w:tab w:val="left" w:pos="1728"/>
        </w:tabs>
        <w:spacing w:line="360" w:lineRule="auto"/>
        <w:ind w:left="720" w:hanging="720"/>
        <w:jc w:val="both"/>
        <w:rPr>
          <w:rFonts w:ascii="Arial" w:hAnsi="Arial" w:cs="Arial"/>
        </w:rPr>
        <w:sectPr w:rsidR="0061354C" w:rsidRPr="008A256F" w:rsidSect="00787503">
          <w:headerReference w:type="even" r:id="rId23"/>
          <w:headerReference w:type="default" r:id="rId24"/>
          <w:footerReference w:type="default" r:id="rId25"/>
          <w:headerReference w:type="first" r:id="rId26"/>
          <w:type w:val="continuous"/>
          <w:pgSz w:w="12240" w:h="15840"/>
          <w:pgMar w:top="1440" w:right="2019" w:bottom="2019" w:left="2019" w:header="720" w:footer="1123" w:gutter="0"/>
          <w:cols w:space="720"/>
          <w:docGrid w:linePitch="272"/>
        </w:sectPr>
      </w:pPr>
      <w:proofErr w:type="spellStart"/>
      <w:r w:rsidRPr="00A33814">
        <w:rPr>
          <w:rFonts w:ascii="Arial" w:hAnsi="Arial" w:cs="Arial"/>
        </w:rPr>
        <w:t>Zizala</w:t>
      </w:r>
      <w:proofErr w:type="spellEnd"/>
      <w:r w:rsidRPr="00A33814">
        <w:rPr>
          <w:rFonts w:ascii="Arial" w:hAnsi="Arial" w:cs="Arial"/>
        </w:rPr>
        <w:t xml:space="preserve">, V.J., Jadhav, N.B., &amp; </w:t>
      </w:r>
      <w:proofErr w:type="spellStart"/>
      <w:r w:rsidRPr="00A33814">
        <w:rPr>
          <w:rFonts w:ascii="Arial" w:hAnsi="Arial" w:cs="Arial"/>
        </w:rPr>
        <w:t>Gorfad</w:t>
      </w:r>
      <w:proofErr w:type="spellEnd"/>
      <w:r w:rsidRPr="00A33814">
        <w:rPr>
          <w:rFonts w:ascii="Arial" w:hAnsi="Arial" w:cs="Arial"/>
        </w:rPr>
        <w:t xml:space="preserve">, P.S. (2008). Effect of </w:t>
      </w:r>
      <w:proofErr w:type="spellStart"/>
      <w:r w:rsidRPr="00A33814">
        <w:rPr>
          <w:rFonts w:ascii="Arial" w:hAnsi="Arial" w:cs="Arial"/>
        </w:rPr>
        <w:t>sulphur</w:t>
      </w:r>
      <w:proofErr w:type="spellEnd"/>
      <w:r w:rsidRPr="00A33814">
        <w:rPr>
          <w:rFonts w:ascii="Arial" w:hAnsi="Arial" w:cs="Arial"/>
        </w:rPr>
        <w:t xml:space="preserve"> and zinc on yield, quality, and its concentration on mustard. Asian Journal </w:t>
      </w:r>
      <w:r w:rsidR="00732CC6">
        <w:rPr>
          <w:rFonts w:ascii="Arial" w:hAnsi="Arial" w:cs="Arial"/>
        </w:rPr>
        <w:t>of Soil Science, 3 (1), 173</w:t>
      </w:r>
    </w:p>
    <w:p w:rsidR="00B01FCD" w:rsidRPr="00FB3A86" w:rsidRDefault="00B01FCD" w:rsidP="008A256F">
      <w:pPr>
        <w:pStyle w:val="Appendix"/>
        <w:spacing w:after="0"/>
        <w:jc w:val="both"/>
        <w:rPr>
          <w:rFonts w:ascii="Arial" w:hAnsi="Arial" w:cs="Arial"/>
          <w:b w:val="0"/>
        </w:rPr>
      </w:pPr>
    </w:p>
    <w:sectPr w:rsidR="00B01FCD" w:rsidRPr="00FB3A86" w:rsidSect="007875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A29" w:rsidRDefault="002A7A29" w:rsidP="00C37E61">
      <w:r>
        <w:separator/>
      </w:r>
    </w:p>
  </w:endnote>
  <w:endnote w:type="continuationSeparator" w:id="0">
    <w:p w:rsidR="002A7A29" w:rsidRDefault="002A7A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B7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B73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642AFC" w:rsidRDefault="00B73E0E" w:rsidP="00642A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C37E61" w:rsidRDefault="00B73E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A29" w:rsidRDefault="002A7A29" w:rsidP="00C37E61">
      <w:r>
        <w:separator/>
      </w:r>
    </w:p>
  </w:footnote>
  <w:footnote w:type="continuationSeparator" w:id="0">
    <w:p w:rsidR="002A7A29" w:rsidRDefault="002A7A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2A7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2A7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296529" w:rsidRDefault="002A7A2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73E0E" w:rsidRPr="00296529" w:rsidRDefault="00B73E0E" w:rsidP="00296529">
    <w:pPr>
      <w:ind w:left="4320"/>
      <w:rPr>
        <w:rFonts w:ascii="Times New Roman" w:eastAsia="Calibri" w:hAnsi="Times New Roman"/>
        <w:i/>
        <w:sz w:val="18"/>
        <w:szCs w:val="22"/>
      </w:rPr>
    </w:pPr>
    <w:r>
      <w:rPr>
        <w:rFonts w:ascii="Times New Roman" w:eastAsia="Calibri" w:hAnsi="Times New Roman"/>
        <w:i/>
        <w:sz w:val="18"/>
        <w:szCs w:val="22"/>
      </w:rPr>
      <w:t>.</w:t>
    </w:r>
  </w:p>
  <w:p w:rsidR="00B73E0E" w:rsidRPr="00296529" w:rsidRDefault="00B73E0E" w:rsidP="00296529">
    <w:pPr>
      <w:jc w:val="center"/>
      <w:rPr>
        <w:rFonts w:ascii="Times New Roman" w:eastAsia="Calibri" w:hAnsi="Times New Roman"/>
        <w:i/>
        <w:sz w:val="18"/>
        <w:szCs w:val="22"/>
      </w:rPr>
    </w:pPr>
    <w:r>
      <w:rPr>
        <w:rFonts w:ascii="Times New Roman" w:eastAsia="Calibri" w:hAnsi="Times New Roman"/>
        <w:i/>
        <w:sz w:val="18"/>
        <w:szCs w:val="22"/>
      </w:rPr>
      <w:t>.</w:t>
    </w:r>
  </w:p>
  <w:p w:rsidR="00B73E0E" w:rsidRPr="00296529" w:rsidRDefault="00B73E0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73E0E" w:rsidRDefault="00B73E0E" w:rsidP="00296529">
    <w:pPr>
      <w:jc w:val="center"/>
      <w:rPr>
        <w:rFonts w:ascii="Times New Roman" w:eastAsia="Calibri" w:hAnsi="Times New Roman"/>
        <w:i/>
        <w:sz w:val="18"/>
        <w:szCs w:val="22"/>
      </w:rPr>
    </w:pPr>
  </w:p>
  <w:p w:rsidR="00B73E0E" w:rsidRDefault="00B73E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73E0E" w:rsidRDefault="00B73E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2A7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2A7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2A7A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2C9"/>
    <w:rsid w:val="00030174"/>
    <w:rsid w:val="000439AB"/>
    <w:rsid w:val="0004579C"/>
    <w:rsid w:val="00053245"/>
    <w:rsid w:val="000672D3"/>
    <w:rsid w:val="000771DF"/>
    <w:rsid w:val="000A47FA"/>
    <w:rsid w:val="000A65D3"/>
    <w:rsid w:val="000B1864"/>
    <w:rsid w:val="000B1E33"/>
    <w:rsid w:val="000D13B3"/>
    <w:rsid w:val="000D689F"/>
    <w:rsid w:val="000E26A9"/>
    <w:rsid w:val="000E7B7B"/>
    <w:rsid w:val="000E7D62"/>
    <w:rsid w:val="000F76AC"/>
    <w:rsid w:val="00103357"/>
    <w:rsid w:val="001111B7"/>
    <w:rsid w:val="00123C9F"/>
    <w:rsid w:val="00126190"/>
    <w:rsid w:val="00126760"/>
    <w:rsid w:val="00130F17"/>
    <w:rsid w:val="001320BF"/>
    <w:rsid w:val="00163BC4"/>
    <w:rsid w:val="00174B62"/>
    <w:rsid w:val="00191062"/>
    <w:rsid w:val="00192B72"/>
    <w:rsid w:val="001A29D8"/>
    <w:rsid w:val="001A5CAA"/>
    <w:rsid w:val="001B0427"/>
    <w:rsid w:val="001B2402"/>
    <w:rsid w:val="001B317C"/>
    <w:rsid w:val="001D3A51"/>
    <w:rsid w:val="001D51E4"/>
    <w:rsid w:val="001E10D2"/>
    <w:rsid w:val="001E25B4"/>
    <w:rsid w:val="001E44FE"/>
    <w:rsid w:val="00200595"/>
    <w:rsid w:val="00201A42"/>
    <w:rsid w:val="00204835"/>
    <w:rsid w:val="00231920"/>
    <w:rsid w:val="0023195C"/>
    <w:rsid w:val="00232B10"/>
    <w:rsid w:val="0024282C"/>
    <w:rsid w:val="002460DC"/>
    <w:rsid w:val="00247C11"/>
    <w:rsid w:val="00250985"/>
    <w:rsid w:val="002556F6"/>
    <w:rsid w:val="00267A96"/>
    <w:rsid w:val="00270238"/>
    <w:rsid w:val="00283105"/>
    <w:rsid w:val="00284C4C"/>
    <w:rsid w:val="00287E68"/>
    <w:rsid w:val="002954C1"/>
    <w:rsid w:val="00296529"/>
    <w:rsid w:val="002A23B7"/>
    <w:rsid w:val="002A2734"/>
    <w:rsid w:val="002A5317"/>
    <w:rsid w:val="002A7A29"/>
    <w:rsid w:val="002B0F5C"/>
    <w:rsid w:val="002B27FB"/>
    <w:rsid w:val="002B685A"/>
    <w:rsid w:val="002C577D"/>
    <w:rsid w:val="002C57D2"/>
    <w:rsid w:val="002C743C"/>
    <w:rsid w:val="002E0A84"/>
    <w:rsid w:val="002E0D56"/>
    <w:rsid w:val="002E26F9"/>
    <w:rsid w:val="002F1424"/>
    <w:rsid w:val="00315186"/>
    <w:rsid w:val="0033343E"/>
    <w:rsid w:val="003512C2"/>
    <w:rsid w:val="00355F22"/>
    <w:rsid w:val="00371FB6"/>
    <w:rsid w:val="003763C1"/>
    <w:rsid w:val="00376BBE"/>
    <w:rsid w:val="0039224F"/>
    <w:rsid w:val="003A43A4"/>
    <w:rsid w:val="003A55FB"/>
    <w:rsid w:val="003A7E18"/>
    <w:rsid w:val="003C4C86"/>
    <w:rsid w:val="003C6258"/>
    <w:rsid w:val="003D072E"/>
    <w:rsid w:val="003E2311"/>
    <w:rsid w:val="003E2904"/>
    <w:rsid w:val="00401927"/>
    <w:rsid w:val="00410085"/>
    <w:rsid w:val="0041027F"/>
    <w:rsid w:val="00412475"/>
    <w:rsid w:val="00416FFB"/>
    <w:rsid w:val="00423789"/>
    <w:rsid w:val="00426B4C"/>
    <w:rsid w:val="00440F43"/>
    <w:rsid w:val="00441B6F"/>
    <w:rsid w:val="00446221"/>
    <w:rsid w:val="00450E62"/>
    <w:rsid w:val="004539DB"/>
    <w:rsid w:val="00471A80"/>
    <w:rsid w:val="0049653F"/>
    <w:rsid w:val="004D305E"/>
    <w:rsid w:val="004D4277"/>
    <w:rsid w:val="004D5CE9"/>
    <w:rsid w:val="004D6A5A"/>
    <w:rsid w:val="004D71F5"/>
    <w:rsid w:val="0050106C"/>
    <w:rsid w:val="00502516"/>
    <w:rsid w:val="00505F06"/>
    <w:rsid w:val="00506828"/>
    <w:rsid w:val="0053056E"/>
    <w:rsid w:val="0054726B"/>
    <w:rsid w:val="00554FDA"/>
    <w:rsid w:val="00570434"/>
    <w:rsid w:val="0059336B"/>
    <w:rsid w:val="005B6AB0"/>
    <w:rsid w:val="005C784C"/>
    <w:rsid w:val="005D17F6"/>
    <w:rsid w:val="005E5539"/>
    <w:rsid w:val="005F5920"/>
    <w:rsid w:val="005F6547"/>
    <w:rsid w:val="00602BF5"/>
    <w:rsid w:val="0061354C"/>
    <w:rsid w:val="00617FDD"/>
    <w:rsid w:val="00633614"/>
    <w:rsid w:val="00633F68"/>
    <w:rsid w:val="00636EB2"/>
    <w:rsid w:val="006375B8"/>
    <w:rsid w:val="00642AFC"/>
    <w:rsid w:val="0066510A"/>
    <w:rsid w:val="006718E0"/>
    <w:rsid w:val="00673F9F"/>
    <w:rsid w:val="00686953"/>
    <w:rsid w:val="00687DEA"/>
    <w:rsid w:val="00687E67"/>
    <w:rsid w:val="006967F7"/>
    <w:rsid w:val="006A250C"/>
    <w:rsid w:val="006B1106"/>
    <w:rsid w:val="006B21D3"/>
    <w:rsid w:val="006B57D0"/>
    <w:rsid w:val="006D30FF"/>
    <w:rsid w:val="006D6940"/>
    <w:rsid w:val="006F11EC"/>
    <w:rsid w:val="006F3031"/>
    <w:rsid w:val="0070082C"/>
    <w:rsid w:val="00732CC6"/>
    <w:rsid w:val="007369E6"/>
    <w:rsid w:val="00740155"/>
    <w:rsid w:val="00746E59"/>
    <w:rsid w:val="007532AE"/>
    <w:rsid w:val="00754C9A"/>
    <w:rsid w:val="0075599A"/>
    <w:rsid w:val="00761D52"/>
    <w:rsid w:val="007661A3"/>
    <w:rsid w:val="00776377"/>
    <w:rsid w:val="0077749E"/>
    <w:rsid w:val="00787503"/>
    <w:rsid w:val="00790ADA"/>
    <w:rsid w:val="0079127C"/>
    <w:rsid w:val="007A7519"/>
    <w:rsid w:val="007D2288"/>
    <w:rsid w:val="007E088F"/>
    <w:rsid w:val="007F5805"/>
    <w:rsid w:val="007F7B32"/>
    <w:rsid w:val="008004CC"/>
    <w:rsid w:val="00804729"/>
    <w:rsid w:val="00804BC2"/>
    <w:rsid w:val="0081431A"/>
    <w:rsid w:val="0083216F"/>
    <w:rsid w:val="00834E7C"/>
    <w:rsid w:val="00860000"/>
    <w:rsid w:val="00863BD3"/>
    <w:rsid w:val="008641ED"/>
    <w:rsid w:val="00866D66"/>
    <w:rsid w:val="008671C6"/>
    <w:rsid w:val="00875803"/>
    <w:rsid w:val="008A256F"/>
    <w:rsid w:val="008B459E"/>
    <w:rsid w:val="008E13AE"/>
    <w:rsid w:val="008E1506"/>
    <w:rsid w:val="008E41FF"/>
    <w:rsid w:val="008E710C"/>
    <w:rsid w:val="008F5FA5"/>
    <w:rsid w:val="008F69D6"/>
    <w:rsid w:val="00902823"/>
    <w:rsid w:val="00915CA6"/>
    <w:rsid w:val="00927834"/>
    <w:rsid w:val="00931D3A"/>
    <w:rsid w:val="009500A6"/>
    <w:rsid w:val="00957C18"/>
    <w:rsid w:val="009659BA"/>
    <w:rsid w:val="00982D80"/>
    <w:rsid w:val="00983040"/>
    <w:rsid w:val="00997E97"/>
    <w:rsid w:val="009B3FB9"/>
    <w:rsid w:val="009B4A53"/>
    <w:rsid w:val="009C2465"/>
    <w:rsid w:val="009C363F"/>
    <w:rsid w:val="009D35A0"/>
    <w:rsid w:val="009D7EB7"/>
    <w:rsid w:val="009E048A"/>
    <w:rsid w:val="009E08E9"/>
    <w:rsid w:val="009E3DB9"/>
    <w:rsid w:val="009E6E35"/>
    <w:rsid w:val="009F0EDA"/>
    <w:rsid w:val="00A03B96"/>
    <w:rsid w:val="00A05B19"/>
    <w:rsid w:val="00A1134E"/>
    <w:rsid w:val="00A207ED"/>
    <w:rsid w:val="00A24E7E"/>
    <w:rsid w:val="00A258C3"/>
    <w:rsid w:val="00A31BDB"/>
    <w:rsid w:val="00A33814"/>
    <w:rsid w:val="00A347C0"/>
    <w:rsid w:val="00A51431"/>
    <w:rsid w:val="00A51803"/>
    <w:rsid w:val="00A539AD"/>
    <w:rsid w:val="00A56D9B"/>
    <w:rsid w:val="00A64DC6"/>
    <w:rsid w:val="00A73B6E"/>
    <w:rsid w:val="00A74E71"/>
    <w:rsid w:val="00A85247"/>
    <w:rsid w:val="00A94063"/>
    <w:rsid w:val="00A95AD4"/>
    <w:rsid w:val="00AA6219"/>
    <w:rsid w:val="00AA74E0"/>
    <w:rsid w:val="00AB703F"/>
    <w:rsid w:val="00AC6BB8"/>
    <w:rsid w:val="00AE008F"/>
    <w:rsid w:val="00AF33CA"/>
    <w:rsid w:val="00B01FCD"/>
    <w:rsid w:val="00B06166"/>
    <w:rsid w:val="00B1776C"/>
    <w:rsid w:val="00B203E7"/>
    <w:rsid w:val="00B43925"/>
    <w:rsid w:val="00B52583"/>
    <w:rsid w:val="00B52896"/>
    <w:rsid w:val="00B73E0E"/>
    <w:rsid w:val="00B746D3"/>
    <w:rsid w:val="00B86316"/>
    <w:rsid w:val="00B87017"/>
    <w:rsid w:val="00B94D20"/>
    <w:rsid w:val="00B95236"/>
    <w:rsid w:val="00B96BD9"/>
    <w:rsid w:val="00BA1B01"/>
    <w:rsid w:val="00BA2641"/>
    <w:rsid w:val="00BB37AA"/>
    <w:rsid w:val="00BC53A0"/>
    <w:rsid w:val="00BE62AD"/>
    <w:rsid w:val="00BF121F"/>
    <w:rsid w:val="00BF1F80"/>
    <w:rsid w:val="00C072AF"/>
    <w:rsid w:val="00C166EF"/>
    <w:rsid w:val="00C17EB0"/>
    <w:rsid w:val="00C27F5F"/>
    <w:rsid w:val="00C30A0F"/>
    <w:rsid w:val="00C37E61"/>
    <w:rsid w:val="00C64127"/>
    <w:rsid w:val="00C70F1B"/>
    <w:rsid w:val="00C71A47"/>
    <w:rsid w:val="00C7464C"/>
    <w:rsid w:val="00C85588"/>
    <w:rsid w:val="00C92B57"/>
    <w:rsid w:val="00C92D4A"/>
    <w:rsid w:val="00CB6BA3"/>
    <w:rsid w:val="00CD6755"/>
    <w:rsid w:val="00CD6856"/>
    <w:rsid w:val="00CE0089"/>
    <w:rsid w:val="00CE793C"/>
    <w:rsid w:val="00CF193C"/>
    <w:rsid w:val="00CF2184"/>
    <w:rsid w:val="00D10E8C"/>
    <w:rsid w:val="00D173F1"/>
    <w:rsid w:val="00D51C9D"/>
    <w:rsid w:val="00D74CB0"/>
    <w:rsid w:val="00D7585F"/>
    <w:rsid w:val="00D8295D"/>
    <w:rsid w:val="00D83D95"/>
    <w:rsid w:val="00DB4465"/>
    <w:rsid w:val="00DC2A65"/>
    <w:rsid w:val="00DD2DDA"/>
    <w:rsid w:val="00DE15F0"/>
    <w:rsid w:val="00DE5663"/>
    <w:rsid w:val="00DE78AA"/>
    <w:rsid w:val="00E053D0"/>
    <w:rsid w:val="00E15994"/>
    <w:rsid w:val="00E3070B"/>
    <w:rsid w:val="00E3114E"/>
    <w:rsid w:val="00E31A70"/>
    <w:rsid w:val="00E35B02"/>
    <w:rsid w:val="00E66496"/>
    <w:rsid w:val="00E66B35"/>
    <w:rsid w:val="00E66E10"/>
    <w:rsid w:val="00E769F6"/>
    <w:rsid w:val="00E8407C"/>
    <w:rsid w:val="00E84F3C"/>
    <w:rsid w:val="00E876E9"/>
    <w:rsid w:val="00EA012C"/>
    <w:rsid w:val="00EA23BD"/>
    <w:rsid w:val="00EB75B4"/>
    <w:rsid w:val="00EC6A55"/>
    <w:rsid w:val="00ED0288"/>
    <w:rsid w:val="00EE52CB"/>
    <w:rsid w:val="00EF581D"/>
    <w:rsid w:val="00EF7FD8"/>
    <w:rsid w:val="00F06F59"/>
    <w:rsid w:val="00F17988"/>
    <w:rsid w:val="00F2043F"/>
    <w:rsid w:val="00F469F0"/>
    <w:rsid w:val="00F53273"/>
    <w:rsid w:val="00F711AB"/>
    <w:rsid w:val="00F755E4"/>
    <w:rsid w:val="00F77D02"/>
    <w:rsid w:val="00F87604"/>
    <w:rsid w:val="00FA7F76"/>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7827A1ED"/>
  <w15:docId w15:val="{2335CBED-F700-4A43-9AF7-7840CAC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FA7F76"/>
    <w:rPr>
      <w:color w:val="605E5C"/>
      <w:shd w:val="clear" w:color="auto" w:fill="E1DFDD"/>
    </w:rPr>
  </w:style>
  <w:style w:type="paragraph" w:styleId="ListParagraph">
    <w:name w:val="List Paragraph"/>
    <w:basedOn w:val="Normal"/>
    <w:uiPriority w:val="34"/>
    <w:qFormat/>
    <w:rsid w:val="007A7519"/>
    <w:pPr>
      <w:ind w:left="720"/>
      <w:contextualSpacing/>
    </w:pPr>
  </w:style>
  <w:style w:type="paragraph" w:styleId="CommentSubject">
    <w:name w:val="annotation subject"/>
    <w:basedOn w:val="CommentText"/>
    <w:next w:val="CommentText"/>
    <w:link w:val="CommentSubjectChar"/>
    <w:semiHidden/>
    <w:unhideWhenUsed/>
    <w:rsid w:val="003D072E"/>
    <w:rPr>
      <w:rFonts w:ascii="Helvetica" w:hAnsi="Helvetica"/>
      <w:b/>
      <w:bCs/>
      <w:lang w:val="en-US" w:eastAsia="en-US"/>
    </w:rPr>
  </w:style>
  <w:style w:type="character" w:customStyle="1" w:styleId="CommentSubjectChar">
    <w:name w:val="Comment Subject Char"/>
    <w:basedOn w:val="CommentTextChar"/>
    <w:link w:val="CommentSubject"/>
    <w:semiHidden/>
    <w:rsid w:val="003D072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897388">
      <w:bodyDiv w:val="1"/>
      <w:marLeft w:val="0"/>
      <w:marRight w:val="0"/>
      <w:marTop w:val="0"/>
      <w:marBottom w:val="0"/>
      <w:divBdr>
        <w:top w:val="none" w:sz="0" w:space="0" w:color="auto"/>
        <w:left w:val="none" w:sz="0" w:space="0" w:color="auto"/>
        <w:bottom w:val="none" w:sz="0" w:space="0" w:color="auto"/>
        <w:right w:val="none" w:sz="0" w:space="0" w:color="auto"/>
      </w:divBdr>
      <w:divsChild>
        <w:div w:id="2098208598">
          <w:marLeft w:val="0"/>
          <w:marRight w:val="0"/>
          <w:marTop w:val="0"/>
          <w:marBottom w:val="47"/>
          <w:divBdr>
            <w:top w:val="none" w:sz="0" w:space="0" w:color="auto"/>
            <w:left w:val="none" w:sz="0" w:space="0" w:color="auto"/>
            <w:bottom w:val="none" w:sz="0" w:space="0" w:color="auto"/>
            <w:right w:val="none" w:sz="0" w:space="0" w:color="auto"/>
          </w:divBdr>
        </w:div>
        <w:div w:id="1121876974">
          <w:marLeft w:val="0"/>
          <w:marRight w:val="0"/>
          <w:marTop w:val="94"/>
          <w:marBottom w:val="94"/>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20agronomy1310247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02/9781119803041.ch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1-4939-9790-9_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3545/26174693.%202024.v8.i7si.1620" TargetMode="External"/><Relationship Id="rId20" Type="http://schemas.openxmlformats.org/officeDocument/2006/relationships/hyperlink" Target="https://doi.org/10.3390/su13169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93/jxb/erz11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93/jambio/lxad1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ijms25201125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Sheet1!$B$2</c:f>
              <c:strCache>
                <c:ptCount val="1"/>
                <c:pt idx="0">
                  <c:v>Seed Yield (q/ka)</c:v>
                </c:pt>
              </c:strCache>
            </c:strRef>
          </c:tx>
          <c:spPr>
            <a:solidFill>
              <a:schemeClr val="tx1"/>
            </a:solidFill>
          </c:spPr>
          <c:invertIfNegative val="0"/>
          <c:dLbls>
            <c:spPr>
              <a:noFill/>
              <a:ln>
                <a:noFill/>
              </a:ln>
              <a:effectLst/>
            </c:spPr>
            <c:txPr>
              <a:bodyPr/>
              <a:lstStyle/>
              <a:p>
                <a:pPr>
                  <a:defRPr baseline="0">
                    <a:latin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Sheet1!$A$3:$A$14</c:f>
              <c:strCache>
                <c:ptCount val="12"/>
                <c:pt idx="0">
                  <c:v>S0Zn0</c:v>
                </c:pt>
                <c:pt idx="1">
                  <c:v>S0Zn5</c:v>
                </c:pt>
                <c:pt idx="2">
                  <c:v>S0Zn10</c:v>
                </c:pt>
                <c:pt idx="3">
                  <c:v>S20Zn0</c:v>
                </c:pt>
                <c:pt idx="4">
                  <c:v>S20Zn5</c:v>
                </c:pt>
                <c:pt idx="5">
                  <c:v>S20Zn10</c:v>
                </c:pt>
                <c:pt idx="6">
                  <c:v>S40Zn0</c:v>
                </c:pt>
                <c:pt idx="7">
                  <c:v>S40Zn5</c:v>
                </c:pt>
                <c:pt idx="8">
                  <c:v>S40Zn10</c:v>
                </c:pt>
                <c:pt idx="9">
                  <c:v>S60Zn0</c:v>
                </c:pt>
                <c:pt idx="10">
                  <c:v>S60Zn5</c:v>
                </c:pt>
                <c:pt idx="11">
                  <c:v>S60Zn10</c:v>
                </c:pt>
              </c:strCache>
            </c:strRef>
          </c:cat>
          <c:val>
            <c:numRef>
              <c:f>Sheet1!$B$3:$B$14</c:f>
              <c:numCache>
                <c:formatCode>General</c:formatCode>
                <c:ptCount val="12"/>
                <c:pt idx="0">
                  <c:v>7.64</c:v>
                </c:pt>
                <c:pt idx="1">
                  <c:v>8.3000000000000007</c:v>
                </c:pt>
                <c:pt idx="2">
                  <c:v>9.65</c:v>
                </c:pt>
                <c:pt idx="3">
                  <c:v>8.74</c:v>
                </c:pt>
                <c:pt idx="4">
                  <c:v>9.65</c:v>
                </c:pt>
                <c:pt idx="5">
                  <c:v>9.68</c:v>
                </c:pt>
                <c:pt idx="6">
                  <c:v>9.48</c:v>
                </c:pt>
                <c:pt idx="7">
                  <c:v>9.85</c:v>
                </c:pt>
                <c:pt idx="8">
                  <c:v>9.73</c:v>
                </c:pt>
                <c:pt idx="9">
                  <c:v>9.3800000000000008</c:v>
                </c:pt>
                <c:pt idx="10">
                  <c:v>10.33</c:v>
                </c:pt>
                <c:pt idx="11">
                  <c:v>10.45</c:v>
                </c:pt>
              </c:numCache>
            </c:numRef>
          </c:val>
          <c:extLst>
            <c:ext xmlns:c16="http://schemas.microsoft.com/office/drawing/2014/chart" uri="{C3380CC4-5D6E-409C-BE32-E72D297353CC}">
              <c16:uniqueId val="{00000000-C365-4C30-B76E-E6D4CB8042F9}"/>
            </c:ext>
          </c:extLst>
        </c:ser>
        <c:dLbls>
          <c:showLegendKey val="0"/>
          <c:showVal val="0"/>
          <c:showCatName val="0"/>
          <c:showSerName val="0"/>
          <c:showPercent val="0"/>
          <c:showBubbleSize val="0"/>
        </c:dLbls>
        <c:gapWidth val="150"/>
        <c:axId val="107963904"/>
        <c:axId val="107965440"/>
      </c:barChart>
      <c:catAx>
        <c:axId val="107963904"/>
        <c:scaling>
          <c:orientation val="minMax"/>
        </c:scaling>
        <c:delete val="0"/>
        <c:axPos val="b"/>
        <c:numFmt formatCode="General" sourceLinked="0"/>
        <c:majorTickMark val="out"/>
        <c:minorTickMark val="none"/>
        <c:tickLblPos val="nextTo"/>
        <c:txPr>
          <a:bodyPr/>
          <a:lstStyle/>
          <a:p>
            <a:pPr>
              <a:defRPr b="1" i="0" baseline="0">
                <a:latin typeface="Arial" pitchFamily="34" charset="0"/>
              </a:defRPr>
            </a:pPr>
            <a:endParaRPr lang="en-US"/>
          </a:p>
        </c:txPr>
        <c:crossAx val="107965440"/>
        <c:crosses val="autoZero"/>
        <c:auto val="1"/>
        <c:lblAlgn val="ctr"/>
        <c:lblOffset val="100"/>
        <c:noMultiLvlLbl val="0"/>
      </c:catAx>
      <c:valAx>
        <c:axId val="107965440"/>
        <c:scaling>
          <c:orientation val="minMax"/>
        </c:scaling>
        <c:delete val="0"/>
        <c:axPos val="l"/>
        <c:numFmt formatCode="General" sourceLinked="1"/>
        <c:majorTickMark val="out"/>
        <c:minorTickMark val="none"/>
        <c:tickLblPos val="nextTo"/>
        <c:txPr>
          <a:bodyPr/>
          <a:lstStyle/>
          <a:p>
            <a:pPr>
              <a:defRPr b="1" i="0" baseline="0">
                <a:latin typeface="Arial" pitchFamily="34" charset="0"/>
              </a:defRPr>
            </a:pPr>
            <a:endParaRPr lang="en-US"/>
          </a:p>
        </c:txPr>
        <c:crossAx val="10796390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8B15-438C-4D79-81A2-A8055C74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1256</TotalTime>
  <Pages>11</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29</cp:revision>
  <cp:lastPrinted>1999-07-06T11:00:00Z</cp:lastPrinted>
  <dcterms:created xsi:type="dcterms:W3CDTF">2025-09-25T18:12:00Z</dcterms:created>
  <dcterms:modified xsi:type="dcterms:W3CDTF">2025-10-06T08:12:00Z</dcterms:modified>
</cp:coreProperties>
</file>