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9EDD" w14:textId="4AF574FF" w:rsidR="008E008F" w:rsidRDefault="006D60E0" w:rsidP="008E008F">
      <w:pPr>
        <w:spacing w:line="360" w:lineRule="auto"/>
        <w:rPr>
          <w:rFonts w:ascii="Times New Roman" w:hAnsi="Times New Roman" w:cs="Times New Roman"/>
          <w:b/>
          <w:iCs/>
          <w:sz w:val="28"/>
          <w:szCs w:val="24"/>
          <w:lang w:val="en-US"/>
        </w:rPr>
      </w:pPr>
      <w:r w:rsidRPr="006D60E0">
        <w:rPr>
          <w:rFonts w:ascii="Times New Roman" w:hAnsi="Times New Roman" w:cs="Times New Roman"/>
          <w:b/>
          <w:iCs/>
          <w:sz w:val="28"/>
          <w:szCs w:val="24"/>
        </w:rPr>
        <w:t xml:space="preserve">Investigating the Utilization of Solid Waste Management Segregated Bins (Plastics, Glass, Compost) </w:t>
      </w:r>
      <w:r>
        <w:rPr>
          <w:rFonts w:ascii="Times New Roman" w:hAnsi="Times New Roman" w:cs="Times New Roman"/>
          <w:b/>
          <w:iCs/>
          <w:sz w:val="28"/>
          <w:szCs w:val="24"/>
        </w:rPr>
        <w:t>a</w:t>
      </w:r>
      <w:r w:rsidRPr="006D60E0">
        <w:rPr>
          <w:rFonts w:ascii="Times New Roman" w:hAnsi="Times New Roman" w:cs="Times New Roman"/>
          <w:b/>
          <w:iCs/>
          <w:sz w:val="28"/>
          <w:szCs w:val="24"/>
        </w:rPr>
        <w:t>t Soweto Market of Lusaka District</w:t>
      </w:r>
      <w:r w:rsidRPr="006D60E0">
        <w:rPr>
          <w:rFonts w:ascii="Times New Roman" w:hAnsi="Times New Roman" w:cs="Times New Roman"/>
          <w:b/>
          <w:iCs/>
          <w:sz w:val="28"/>
          <w:szCs w:val="24"/>
          <w:lang w:val="en-US"/>
        </w:rPr>
        <w:t>, Zambia</w:t>
      </w:r>
    </w:p>
    <w:p w14:paraId="4596433D" w14:textId="77777777" w:rsidR="006D60E0" w:rsidRPr="006D60E0" w:rsidRDefault="006D60E0" w:rsidP="008E008F">
      <w:pPr>
        <w:spacing w:line="360" w:lineRule="auto"/>
        <w:rPr>
          <w:rFonts w:ascii="Times New Roman" w:hAnsi="Times New Roman" w:cs="Times New Roman"/>
          <w:b/>
          <w:iCs/>
          <w:sz w:val="28"/>
          <w:szCs w:val="24"/>
          <w:lang w:val="en-US"/>
        </w:rPr>
      </w:pPr>
    </w:p>
    <w:p w14:paraId="094BE80C" w14:textId="77777777" w:rsidR="008E008F" w:rsidRDefault="008E008F" w:rsidP="00385850">
      <w:pPr>
        <w:spacing w:line="360" w:lineRule="auto"/>
        <w:jc w:val="center"/>
        <w:rPr>
          <w:rFonts w:ascii="Times New Roman" w:hAnsi="Times New Roman" w:cs="Times New Roman"/>
          <w:b/>
          <w:bCs/>
          <w:sz w:val="24"/>
          <w:szCs w:val="24"/>
          <w:lang w:val="en-US"/>
        </w:rPr>
      </w:pPr>
      <w:r w:rsidRPr="002C4DBE">
        <w:rPr>
          <w:rFonts w:ascii="Times New Roman" w:hAnsi="Times New Roman" w:cs="Times New Roman"/>
          <w:b/>
          <w:bCs/>
          <w:sz w:val="24"/>
          <w:szCs w:val="24"/>
          <w:lang w:val="en-US"/>
        </w:rPr>
        <w:t>ABSTRACT</w:t>
      </w:r>
    </w:p>
    <w:p w14:paraId="4011C25E" w14:textId="23F8EEE4" w:rsidR="008E008F" w:rsidRPr="005E6A58" w:rsidRDefault="008E008F" w:rsidP="008E008F">
      <w:pPr>
        <w:spacing w:line="360" w:lineRule="auto"/>
        <w:jc w:val="both"/>
        <w:rPr>
          <w:rFonts w:ascii="Times New Roman" w:hAnsi="Times New Roman" w:cs="Times New Roman"/>
          <w:sz w:val="24"/>
          <w:szCs w:val="24"/>
        </w:rPr>
      </w:pPr>
      <w:r w:rsidRPr="005E6A58">
        <w:rPr>
          <w:rFonts w:ascii="Times New Roman" w:hAnsi="Times New Roman" w:cs="Times New Roman"/>
          <w:sz w:val="24"/>
          <w:szCs w:val="24"/>
        </w:rPr>
        <w:t xml:space="preserve">Solid waste management remains one of the most pressing urban challenges in Zambia, particularly in Lusaka where rapid population growth and urbanization have outpaced service delivery systems. Soweto Market, the largest and busiest trading </w:t>
      </w:r>
      <w:r w:rsidR="00123E4B" w:rsidRPr="005E6A58">
        <w:rPr>
          <w:rFonts w:ascii="Times New Roman" w:hAnsi="Times New Roman" w:cs="Times New Roman"/>
          <w:sz w:val="24"/>
          <w:szCs w:val="24"/>
        </w:rPr>
        <w:t>centre</w:t>
      </w:r>
      <w:r w:rsidRPr="005E6A58">
        <w:rPr>
          <w:rFonts w:ascii="Times New Roman" w:hAnsi="Times New Roman" w:cs="Times New Roman"/>
          <w:sz w:val="24"/>
          <w:szCs w:val="24"/>
        </w:rPr>
        <w:t xml:space="preserve"> in the capital, generates significant amounts of waste daily, yet the utilization of segregated bins for plastics, glass, and compost has remained inconsistent. This study set out to investigate the awareness, attitudes, practices, and institutional measures surrounding the use of segregated solid waste bins in Soweto Market, Lusaka District.</w:t>
      </w:r>
    </w:p>
    <w:p w14:paraId="045A57DC" w14:textId="77777777" w:rsidR="008E008F" w:rsidRPr="005E6A58" w:rsidRDefault="008E008F" w:rsidP="008E008F">
      <w:pPr>
        <w:spacing w:line="360" w:lineRule="auto"/>
        <w:jc w:val="both"/>
        <w:rPr>
          <w:rFonts w:ascii="Times New Roman" w:hAnsi="Times New Roman" w:cs="Times New Roman"/>
          <w:sz w:val="24"/>
          <w:szCs w:val="24"/>
        </w:rPr>
      </w:pPr>
      <w:r w:rsidRPr="005E6A58">
        <w:rPr>
          <w:rFonts w:ascii="Times New Roman" w:hAnsi="Times New Roman" w:cs="Times New Roman"/>
          <w:sz w:val="24"/>
          <w:szCs w:val="24"/>
        </w:rPr>
        <w:t>Data were collected from 246 marketeers through structured questionnaires and from Lusaka City Council (LCC) and market management officials through key informant interviews. The study revealed that awareness of segregated bins was high (96%), but this awareness was mostly informal, gained through peer observation rather than structured sensitization. Despite recognizing the importance of bins for cleanliness and disease prevention, only 22% of traders reported consistent usage, highlighting a clear awareness–practice gap.</w:t>
      </w:r>
    </w:p>
    <w:p w14:paraId="18E93FE2" w14:textId="77777777" w:rsidR="008E008F" w:rsidRPr="005E6A58" w:rsidRDefault="008E008F" w:rsidP="008E008F">
      <w:pPr>
        <w:spacing w:line="360" w:lineRule="auto"/>
        <w:jc w:val="both"/>
        <w:rPr>
          <w:rFonts w:ascii="Times New Roman" w:hAnsi="Times New Roman" w:cs="Times New Roman"/>
          <w:sz w:val="24"/>
          <w:szCs w:val="24"/>
        </w:rPr>
      </w:pPr>
      <w:r w:rsidRPr="005E6A58">
        <w:rPr>
          <w:rFonts w:ascii="Times New Roman" w:hAnsi="Times New Roman" w:cs="Times New Roman"/>
          <w:sz w:val="24"/>
          <w:szCs w:val="24"/>
        </w:rPr>
        <w:t>The findings further showed that attitudes towards waste management were generally positive, but responsibility was often shifted to the LCC, reflecting a dependency mindset. Socioeconomic constraints, such as low income, limited traders’ ability to buy bin liners or pay collection fees, while poor infrastructure and inadequate enforcement weakened compliance. At the institutional level, LCC had established legal and policy frameworks for waste management, but implementation was undermined by funding shortages, inadequate bins and trucks, and poor cooperation from traders.</w:t>
      </w:r>
    </w:p>
    <w:p w14:paraId="474473FA" w14:textId="77777777" w:rsidR="008E008F" w:rsidRPr="005E6A58" w:rsidRDefault="008E008F" w:rsidP="008E008F">
      <w:pPr>
        <w:spacing w:line="360" w:lineRule="auto"/>
        <w:jc w:val="both"/>
        <w:rPr>
          <w:rFonts w:ascii="Times New Roman" w:hAnsi="Times New Roman" w:cs="Times New Roman"/>
          <w:sz w:val="24"/>
          <w:szCs w:val="24"/>
        </w:rPr>
      </w:pPr>
      <w:r w:rsidRPr="005E6A58">
        <w:rPr>
          <w:rFonts w:ascii="Times New Roman" w:hAnsi="Times New Roman" w:cs="Times New Roman"/>
          <w:sz w:val="24"/>
          <w:szCs w:val="24"/>
        </w:rPr>
        <w:t xml:space="preserve">The study concludes that effective solid waste management at Soweto Market requires not only awareness but also strong enforcement, improved infrastructure, and community ownership. </w:t>
      </w:r>
    </w:p>
    <w:p w14:paraId="3751D799" w14:textId="77777777" w:rsidR="00343339" w:rsidRDefault="008E008F" w:rsidP="00557F28">
      <w:pPr>
        <w:spacing w:line="360" w:lineRule="auto"/>
        <w:jc w:val="both"/>
        <w:rPr>
          <w:rFonts w:ascii="Times New Roman" w:hAnsi="Times New Roman" w:cs="Times New Roman"/>
          <w:sz w:val="24"/>
          <w:szCs w:val="24"/>
        </w:rPr>
      </w:pPr>
      <w:r w:rsidRPr="005E6A58">
        <w:rPr>
          <w:rFonts w:ascii="Times New Roman" w:hAnsi="Times New Roman" w:cs="Times New Roman"/>
          <w:b/>
          <w:bCs/>
          <w:sz w:val="24"/>
          <w:szCs w:val="24"/>
        </w:rPr>
        <w:t>Key words:</w:t>
      </w:r>
      <w:r w:rsidRPr="005E6A58">
        <w:rPr>
          <w:rFonts w:ascii="Times New Roman" w:hAnsi="Times New Roman" w:cs="Times New Roman"/>
          <w:sz w:val="24"/>
          <w:szCs w:val="24"/>
        </w:rPr>
        <w:t xml:space="preserve"> Solid waste management, segregated bins, Soweto Market, Lusaka, Zambia.</w:t>
      </w:r>
    </w:p>
    <w:p w14:paraId="2842750C" w14:textId="4589175B" w:rsidR="008E008F" w:rsidRPr="00EB0E7F" w:rsidRDefault="008E008F" w:rsidP="00557F28">
      <w:pPr>
        <w:spacing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lang w:val="en-US"/>
        </w:rPr>
        <w:t xml:space="preserve">                                           </w:t>
      </w:r>
    </w:p>
    <w:p w14:paraId="1C224941" w14:textId="78D68A89" w:rsidR="008E008F" w:rsidRPr="002C4DBE" w:rsidRDefault="008E008F" w:rsidP="008E008F">
      <w:pPr>
        <w:pStyle w:val="Heading2"/>
      </w:pPr>
      <w:bookmarkStart w:id="0" w:name="_Toc209708309"/>
      <w:r w:rsidRPr="002C4DBE">
        <w:lastRenderedPageBreak/>
        <w:t xml:space="preserve">1.1 </w:t>
      </w:r>
      <w:bookmarkEnd w:id="0"/>
      <w:r w:rsidR="00A75789">
        <w:t>Introduction</w:t>
      </w:r>
    </w:p>
    <w:p w14:paraId="6A60F497" w14:textId="77777777" w:rsidR="008E008F" w:rsidRPr="00042B16" w:rsidRDefault="008E008F" w:rsidP="008E008F">
      <w:pPr>
        <w:tabs>
          <w:tab w:val="left" w:pos="2325"/>
        </w:tabs>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Solid waste management refers to the systematic collection, transportation, processing, recycling, and disposal of waste in ways that are environmentally sustainable, socially responsible, and economically viable (</w:t>
      </w:r>
      <w:proofErr w:type="spellStart"/>
      <w:r w:rsidRPr="00042B16">
        <w:rPr>
          <w:rFonts w:ascii="Times New Roman" w:hAnsi="Times New Roman" w:cs="Times New Roman"/>
          <w:sz w:val="24"/>
          <w:szCs w:val="24"/>
        </w:rPr>
        <w:t>Ebekozien</w:t>
      </w:r>
      <w:proofErr w:type="spellEnd"/>
      <w:r w:rsidRPr="00042B16">
        <w:rPr>
          <w:rFonts w:ascii="Times New Roman" w:hAnsi="Times New Roman" w:cs="Times New Roman"/>
          <w:sz w:val="24"/>
          <w:szCs w:val="24"/>
        </w:rPr>
        <w:t xml:space="preserve"> et al., 2024). Globally, the issue of municipal solid waste management has become a pressing concern due to rapid population growth, rising consumption, and increasingly complex waste streams such as food waste, plastics, paper, and packaging (Kwenda et al., 2021). According to projections by </w:t>
      </w:r>
      <w:proofErr w:type="spellStart"/>
      <w:r w:rsidRPr="00042B16">
        <w:rPr>
          <w:rFonts w:ascii="Times New Roman" w:hAnsi="Times New Roman" w:cs="Times New Roman"/>
          <w:sz w:val="24"/>
          <w:szCs w:val="24"/>
        </w:rPr>
        <w:t>Hoornweg</w:t>
      </w:r>
      <w:proofErr w:type="spellEnd"/>
      <w:r w:rsidRPr="00042B16">
        <w:rPr>
          <w:rFonts w:ascii="Times New Roman" w:hAnsi="Times New Roman" w:cs="Times New Roman"/>
          <w:sz w:val="24"/>
          <w:szCs w:val="24"/>
        </w:rPr>
        <w:t xml:space="preserve"> and </w:t>
      </w:r>
      <w:proofErr w:type="spellStart"/>
      <w:r w:rsidRPr="00042B16">
        <w:rPr>
          <w:rFonts w:ascii="Times New Roman" w:hAnsi="Times New Roman" w:cs="Times New Roman"/>
          <w:sz w:val="24"/>
          <w:szCs w:val="24"/>
        </w:rPr>
        <w:t>Bhada</w:t>
      </w:r>
      <w:proofErr w:type="spellEnd"/>
      <w:r w:rsidRPr="00042B16">
        <w:rPr>
          <w:rFonts w:ascii="Times New Roman" w:hAnsi="Times New Roman" w:cs="Times New Roman"/>
          <w:sz w:val="24"/>
          <w:szCs w:val="24"/>
        </w:rPr>
        <w:t>-Tata (2012), the world is expected to generate 2.2 billion tonnes of municipal solid waste annually by 2025. This growth poses a greater challenge for low- and middle-income countries where the cost of solid waste management is estimated to at least double in the next two decades (World Bank, 2020; Kwenda et al., 2022).</w:t>
      </w:r>
    </w:p>
    <w:p w14:paraId="2494249E" w14:textId="77777777" w:rsidR="008E008F" w:rsidRPr="00042B16" w:rsidRDefault="008E008F" w:rsidP="008E008F">
      <w:pPr>
        <w:tabs>
          <w:tab w:val="left" w:pos="2325"/>
        </w:tabs>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Although industrialised nations also struggle with managing waste, the problem is particularly acute in developing countries, which account for nearly 70% of the world’s population. Reports indicate that nine out of ten African cities face serious waste disposal challenges (Kwenda et al., 2022). Some of the major constraints include inadequate service provision, weak recovery systems, high operational costs, and poor disposal methods. Moreover, most waste management systems in Africa are not designed in line with the waste hierarchy, which prioritises reduction, re-use, and recycling. Instead, many cities continue to depend on open dumping and uncontrolled burning of waste, with limited sorting or recovery efforts (</w:t>
      </w:r>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et al., 2016).</w:t>
      </w:r>
    </w:p>
    <w:p w14:paraId="624D7A1E" w14:textId="77777777" w:rsidR="008E008F" w:rsidRPr="00042B16" w:rsidRDefault="008E008F" w:rsidP="008E008F">
      <w:pPr>
        <w:tabs>
          <w:tab w:val="left" w:pos="2325"/>
        </w:tabs>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The state of waste management in developing countries is often shaped by the effectiveness of laws and policies, enforcement mechanisms, funding levels, and waste composition. </w:t>
      </w:r>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et al. (2016:58) describe solid waste management in Africa as “not mainstreamed, poorly funded and always falling below expectation.” In most urban centres, municipal authorities and private providers share responsibility for waste collection, but inefficiencies remain widespread. Waste is often dumped at open sites located on the periphery of cities, where scavenging and burning occur without safety or environmental safeguards. In such contexts, industrial, medical, electronic, and human waste are rarely separated, thereby compounding risks to public health and the environment.</w:t>
      </w:r>
    </w:p>
    <w:p w14:paraId="5152BDFE" w14:textId="77777777" w:rsidR="008E008F" w:rsidRPr="00042B16" w:rsidRDefault="008E008F" w:rsidP="008E008F">
      <w:pPr>
        <w:tabs>
          <w:tab w:val="left" w:pos="2325"/>
        </w:tabs>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In Zambia, particularly in Lusaka, the situation is no different. The city faces significant challenges across the waste management chain</w:t>
      </w:r>
      <w:r>
        <w:rPr>
          <w:rFonts w:ascii="Times New Roman" w:hAnsi="Times New Roman" w:cs="Times New Roman"/>
          <w:sz w:val="24"/>
          <w:szCs w:val="24"/>
        </w:rPr>
        <w:t xml:space="preserve"> </w:t>
      </w:r>
      <w:r w:rsidRPr="00042B16">
        <w:rPr>
          <w:rFonts w:ascii="Times New Roman" w:hAnsi="Times New Roman" w:cs="Times New Roman"/>
          <w:sz w:val="24"/>
          <w:szCs w:val="24"/>
        </w:rPr>
        <w:t xml:space="preserve">from collection and sorting to recycling, transportation, and final disposal (United Nations IRIN, 2008; Chulu, 2017). According to the </w:t>
      </w:r>
      <w:r w:rsidRPr="00042B16">
        <w:rPr>
          <w:rFonts w:ascii="Times New Roman" w:hAnsi="Times New Roman" w:cs="Times New Roman"/>
          <w:sz w:val="24"/>
          <w:szCs w:val="24"/>
        </w:rPr>
        <w:lastRenderedPageBreak/>
        <w:t xml:space="preserve">Central Statistical Office (2015), only 24.8% of household waste in Lusaka was collected in 2014, leaving large amounts uncollected and accumulating in streets and vacant plots, where it is often burned openly. This is despite the Municipal Solid Waste Management Regulations of 2004, which legally require residents to use the council’s waste collection system upon payment of fees. Poor enforcement of these regulations has resulted in waste-related problems such as air, land, and water pollution, </w:t>
      </w:r>
      <w:proofErr w:type="spellStart"/>
      <w:r w:rsidRPr="00042B16">
        <w:rPr>
          <w:rFonts w:ascii="Times New Roman" w:hAnsi="Times New Roman" w:cs="Times New Roman"/>
          <w:sz w:val="24"/>
          <w:szCs w:val="24"/>
        </w:rPr>
        <w:t>w</w:t>
      </w:r>
      <w:r>
        <w:rPr>
          <w:rFonts w:ascii="Times New Roman" w:hAnsi="Times New Roman" w:cs="Times New Roman"/>
          <w:sz w:val="24"/>
          <w:szCs w:val="24"/>
        </w:rPr>
        <w:t>s</w:t>
      </w:r>
      <w:r w:rsidRPr="00042B16">
        <w:rPr>
          <w:rFonts w:ascii="Times New Roman" w:hAnsi="Times New Roman" w:cs="Times New Roman"/>
          <w:sz w:val="24"/>
          <w:szCs w:val="24"/>
        </w:rPr>
        <w:t>hile</w:t>
      </w:r>
      <w:proofErr w:type="spellEnd"/>
      <w:r w:rsidRPr="00042B16">
        <w:rPr>
          <w:rFonts w:ascii="Times New Roman" w:hAnsi="Times New Roman" w:cs="Times New Roman"/>
          <w:sz w:val="24"/>
          <w:szCs w:val="24"/>
        </w:rPr>
        <w:t xml:space="preserve"> also contributing to recurrent outbreaks of diseases such as cholera and dysentery (Kambole, 2002; Mukuka et al., 2025).</w:t>
      </w:r>
      <w:r>
        <w:rPr>
          <w:rFonts w:ascii="Times New Roman" w:hAnsi="Times New Roman" w:cs="Times New Roman"/>
          <w:sz w:val="24"/>
          <w:szCs w:val="24"/>
        </w:rPr>
        <w:t xml:space="preserve"> </w:t>
      </w:r>
    </w:p>
    <w:p w14:paraId="6E4FA518" w14:textId="77777777" w:rsidR="008E008F" w:rsidRDefault="008E008F" w:rsidP="008E008F">
      <w:pPr>
        <w:pStyle w:val="Heading2"/>
        <w:spacing w:line="360" w:lineRule="auto"/>
        <w:rPr>
          <w:rFonts w:cs="Times New Roman"/>
          <w:szCs w:val="24"/>
        </w:rPr>
      </w:pPr>
      <w:bookmarkStart w:id="1" w:name="_Toc209708310"/>
      <w:r w:rsidRPr="002C4DBE">
        <w:rPr>
          <w:rFonts w:cs="Times New Roman"/>
          <w:szCs w:val="24"/>
        </w:rPr>
        <w:t>1.2 Problem Statement</w:t>
      </w:r>
      <w:bookmarkEnd w:id="1"/>
    </w:p>
    <w:p w14:paraId="007D722C"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Despite the existence of the Lusaka City Council Municipal Solid Waste Management Regulations of 2004 and various initiatives aimed at improving waste handling, the reality on the ground remains far from the ideal situation. Only about 25% of household waste in Lusaka is collected, while the rest accumulates in open spaces or is burned, creating major environmental and health hazards (CSO, 2015; Nawa, 2017). Outbreaks of cholera, dysentery, and other diseases continue to recur, showing that current measures are inadequate (Kambole, 2002; Mukuka et al., 2025). If this problem is not effectively addressed, Lusaka risks worsening public health crises, environmental degradation, and unsustainable urban growth. This study contributes to solving the problem by examining how solid waste management strategies are being utilized at Soweto Market, identifying gaps in waste segregation, recycling, and disposal, and generating evidence-based recommendations to strengthen urban waste management practices in Zambia.</w:t>
      </w:r>
    </w:p>
    <w:p w14:paraId="6791BD8D" w14:textId="77777777" w:rsidR="008E008F" w:rsidRDefault="008E008F" w:rsidP="008E008F">
      <w:pPr>
        <w:pStyle w:val="Heading2"/>
        <w:spacing w:line="360" w:lineRule="auto"/>
        <w:rPr>
          <w:rFonts w:cs="Times New Roman"/>
          <w:szCs w:val="24"/>
        </w:rPr>
      </w:pPr>
      <w:bookmarkStart w:id="2" w:name="_Toc209708311"/>
      <w:r w:rsidRPr="002C4DBE">
        <w:rPr>
          <w:rFonts w:cs="Times New Roman"/>
          <w:szCs w:val="24"/>
          <w:lang w:val="en-US"/>
        </w:rPr>
        <w:t xml:space="preserve">1.3 </w:t>
      </w:r>
      <w:r w:rsidRPr="002C4DBE">
        <w:rPr>
          <w:rFonts w:cs="Times New Roman"/>
          <w:szCs w:val="24"/>
        </w:rPr>
        <w:t>Significance of the study</w:t>
      </w:r>
      <w:bookmarkEnd w:id="2"/>
    </w:p>
    <w:p w14:paraId="5D21B392" w14:textId="77777777" w:rsidR="008E008F" w:rsidRPr="003E3A05" w:rsidRDefault="008E008F" w:rsidP="008E008F">
      <w:pPr>
        <w:spacing w:line="360" w:lineRule="auto"/>
        <w:jc w:val="both"/>
        <w:rPr>
          <w:rFonts w:ascii="Times New Roman" w:hAnsi="Times New Roman" w:cs="Times New Roman"/>
          <w:sz w:val="24"/>
          <w:szCs w:val="24"/>
        </w:rPr>
      </w:pPr>
      <w:r w:rsidRPr="003E3A05">
        <w:rPr>
          <w:rFonts w:ascii="Times New Roman" w:hAnsi="Times New Roman" w:cs="Times New Roman"/>
          <w:sz w:val="24"/>
          <w:szCs w:val="24"/>
        </w:rPr>
        <w:t>This study is important because it provides practical information that can help improve waste management services in Lusaka. The findings will be useful to the Lusaka City Council (LCC), the Zambia Environmental Management Agency (ZEMA), non-governmental organizations, private service providers, and market authorities who are directly involved in waste collection and disposal. The report will highlight the main strengths and weaknesses in the current system, as well as opportunities for improvement and risks if changes are not made. This information will support better decision-making, guide service providers in improving their operations, and help policymakers update or replace outdated policies. In addition, the study can serve as a reference for other towns and markets in Zambia facing similar challenges with solid waste management.</w:t>
      </w:r>
    </w:p>
    <w:p w14:paraId="70F2DC2D" w14:textId="77777777" w:rsidR="008E008F" w:rsidRPr="002C4DBE" w:rsidRDefault="008E008F" w:rsidP="008E008F">
      <w:pPr>
        <w:pStyle w:val="Heading2"/>
        <w:spacing w:line="360" w:lineRule="auto"/>
        <w:rPr>
          <w:rFonts w:cs="Times New Roman"/>
          <w:szCs w:val="24"/>
        </w:rPr>
      </w:pPr>
      <w:bookmarkStart w:id="3" w:name="_Toc209708312"/>
      <w:r w:rsidRPr="002C4DBE">
        <w:rPr>
          <w:rFonts w:cs="Times New Roman"/>
          <w:szCs w:val="24"/>
        </w:rPr>
        <w:lastRenderedPageBreak/>
        <w:t>1.4 Scope of the study</w:t>
      </w:r>
      <w:bookmarkEnd w:id="3"/>
    </w:p>
    <w:p w14:paraId="2FF59905" w14:textId="77777777" w:rsidR="008E008F" w:rsidRPr="002C4DBE" w:rsidRDefault="008E008F" w:rsidP="008E008F">
      <w:pPr>
        <w:spacing w:line="360" w:lineRule="auto"/>
        <w:jc w:val="both"/>
        <w:rPr>
          <w:rFonts w:ascii="Times New Roman" w:hAnsi="Times New Roman" w:cs="Times New Roman"/>
          <w:sz w:val="24"/>
          <w:szCs w:val="24"/>
        </w:rPr>
      </w:pPr>
      <w:r w:rsidRPr="002C4DBE">
        <w:rPr>
          <w:rFonts w:ascii="Times New Roman" w:hAnsi="Times New Roman" w:cs="Times New Roman"/>
          <w:sz w:val="24"/>
          <w:szCs w:val="24"/>
        </w:rPr>
        <w:t xml:space="preserve">More significantly, the study </w:t>
      </w:r>
      <w:r w:rsidRPr="002C4DBE">
        <w:rPr>
          <w:rFonts w:ascii="Times New Roman" w:hAnsi="Times New Roman" w:cs="Times New Roman"/>
          <w:sz w:val="24"/>
          <w:szCs w:val="24"/>
          <w:lang w:val="en-US"/>
        </w:rPr>
        <w:t>will be</w:t>
      </w:r>
      <w:r w:rsidRPr="002C4DBE">
        <w:rPr>
          <w:rFonts w:ascii="Times New Roman" w:hAnsi="Times New Roman" w:cs="Times New Roman"/>
          <w:sz w:val="24"/>
          <w:szCs w:val="24"/>
        </w:rPr>
        <w:t xml:space="preserve"> undertaken as part of fulfilment for the award of the master’s in public health.</w:t>
      </w:r>
      <w:r>
        <w:rPr>
          <w:rFonts w:ascii="Times New Roman" w:hAnsi="Times New Roman" w:cs="Times New Roman"/>
          <w:sz w:val="24"/>
          <w:szCs w:val="24"/>
          <w:lang w:val="en-US"/>
        </w:rPr>
        <w:t xml:space="preserve"> </w:t>
      </w:r>
      <w:r w:rsidRPr="002C4DBE">
        <w:rPr>
          <w:rFonts w:ascii="Times New Roman" w:hAnsi="Times New Roman" w:cs="Times New Roman"/>
          <w:sz w:val="24"/>
          <w:szCs w:val="24"/>
        </w:rPr>
        <w:t>Secondly, the study will be conducted to contribute to knowledge on the existing solid waste management system in Zambian market of Lusaka</w:t>
      </w:r>
      <w:r>
        <w:rPr>
          <w:rFonts w:ascii="Times New Roman" w:hAnsi="Times New Roman" w:cs="Times New Roman"/>
          <w:sz w:val="24"/>
          <w:szCs w:val="24"/>
          <w:lang w:val="en-US"/>
        </w:rPr>
        <w:t xml:space="preserve">. </w:t>
      </w:r>
      <w:r w:rsidRPr="002C4DBE">
        <w:rPr>
          <w:rFonts w:ascii="Times New Roman" w:hAnsi="Times New Roman" w:cs="Times New Roman"/>
          <w:sz w:val="24"/>
          <w:szCs w:val="24"/>
        </w:rPr>
        <w:t>Thirdly, the information which was collected could act as an essential contribution to policy for Establishment of Market planners and policy makers in developing solid waste management plans specifically for recycling and climate change to be achieved and educate traders on recycling, reuse, compost of solid waste management strategies.</w:t>
      </w:r>
      <w:r>
        <w:rPr>
          <w:rFonts w:ascii="Times New Roman" w:hAnsi="Times New Roman" w:cs="Times New Roman"/>
          <w:sz w:val="24"/>
          <w:szCs w:val="24"/>
          <w:lang w:val="en-US"/>
        </w:rPr>
        <w:t xml:space="preserve"> </w:t>
      </w:r>
      <w:r w:rsidRPr="002C4DBE">
        <w:rPr>
          <w:rFonts w:ascii="Times New Roman" w:hAnsi="Times New Roman" w:cs="Times New Roman"/>
          <w:sz w:val="24"/>
          <w:szCs w:val="24"/>
        </w:rPr>
        <w:t>And finally, the research was done in order find out the traders’ attitude, utilization, effects and possible solutions for improving solid waste management system in markets regarding recycling of solid waste disposal in Soweto. The study came to light on the trader’s knowledge gap on recycling, reuse, compost of solid waste management.</w:t>
      </w:r>
    </w:p>
    <w:p w14:paraId="7BFC133A" w14:textId="77777777" w:rsidR="008E008F" w:rsidRPr="002C4DBE" w:rsidRDefault="008E008F" w:rsidP="008E008F">
      <w:pPr>
        <w:pStyle w:val="Heading2"/>
      </w:pPr>
      <w:bookmarkStart w:id="4" w:name="_Toc209708313"/>
      <w:r w:rsidRPr="002C4DBE">
        <w:t>1.5   Objectives of the Study</w:t>
      </w:r>
      <w:bookmarkEnd w:id="4"/>
    </w:p>
    <w:p w14:paraId="107AA40A" w14:textId="77777777" w:rsidR="008E008F" w:rsidRPr="002C4DBE" w:rsidRDefault="008E008F" w:rsidP="008E008F">
      <w:pPr>
        <w:pStyle w:val="Heading2"/>
      </w:pPr>
      <w:bookmarkStart w:id="5" w:name="_Toc209708314"/>
      <w:r w:rsidRPr="002C4DBE">
        <w:t>1.5.1 General Objective</w:t>
      </w:r>
      <w:bookmarkEnd w:id="5"/>
    </w:p>
    <w:p w14:paraId="4BF3D2CC" w14:textId="77777777" w:rsidR="008E008F" w:rsidRPr="002C4DBE" w:rsidRDefault="008E008F" w:rsidP="008E008F">
      <w:pPr>
        <w:pStyle w:val="ListParagraph"/>
        <w:spacing w:line="360" w:lineRule="auto"/>
        <w:ind w:left="780"/>
        <w:jc w:val="both"/>
        <w:rPr>
          <w:rFonts w:ascii="Times New Roman" w:eastAsia="Calibri" w:hAnsi="Times New Roman" w:cs="Times New Roman"/>
          <w:sz w:val="24"/>
          <w:szCs w:val="24"/>
        </w:rPr>
      </w:pPr>
      <w:bookmarkStart w:id="6" w:name="_Hlk169548118"/>
      <w:bookmarkStart w:id="7" w:name="_Hlk171853782"/>
      <w:r w:rsidRPr="002C4DBE">
        <w:rPr>
          <w:rFonts w:ascii="Times New Roman" w:eastAsia="Calibri" w:hAnsi="Times New Roman" w:cs="Times New Roman"/>
          <w:sz w:val="24"/>
          <w:szCs w:val="24"/>
        </w:rPr>
        <w:t xml:space="preserve">To </w:t>
      </w:r>
      <w:bookmarkStart w:id="8" w:name="_Hlk205465997"/>
      <w:r w:rsidRPr="002C4DBE">
        <w:rPr>
          <w:rFonts w:ascii="Times New Roman" w:eastAsia="Calibri" w:hAnsi="Times New Roman" w:cs="Times New Roman"/>
          <w:sz w:val="24"/>
          <w:szCs w:val="24"/>
        </w:rPr>
        <w:t>investigate the utilization of solid waste management segregated bins (Plastics, Glass, Compost) at Soweto market of Lusaka district</w:t>
      </w:r>
      <w:bookmarkEnd w:id="6"/>
      <w:r w:rsidRPr="002C4DBE">
        <w:rPr>
          <w:rFonts w:ascii="Times New Roman" w:eastAsia="Calibri" w:hAnsi="Times New Roman" w:cs="Times New Roman"/>
          <w:sz w:val="24"/>
          <w:szCs w:val="24"/>
          <w:lang w:val="en-US"/>
        </w:rPr>
        <w:t xml:space="preserve"> of Zambia</w:t>
      </w:r>
      <w:r w:rsidRPr="002C4DBE">
        <w:rPr>
          <w:rFonts w:ascii="Times New Roman" w:eastAsia="Calibri" w:hAnsi="Times New Roman" w:cs="Times New Roman"/>
          <w:sz w:val="24"/>
          <w:szCs w:val="24"/>
        </w:rPr>
        <w:t>.</w:t>
      </w:r>
    </w:p>
    <w:p w14:paraId="63EABAAB" w14:textId="77777777" w:rsidR="008E008F" w:rsidRPr="002C4DBE" w:rsidRDefault="008E008F" w:rsidP="008E008F">
      <w:pPr>
        <w:pStyle w:val="Heading2"/>
        <w:numPr>
          <w:ilvl w:val="2"/>
          <w:numId w:val="5"/>
        </w:numPr>
        <w:spacing w:line="360" w:lineRule="auto"/>
        <w:rPr>
          <w:rFonts w:cs="Times New Roman"/>
          <w:szCs w:val="24"/>
        </w:rPr>
      </w:pPr>
      <w:bookmarkStart w:id="9" w:name="_Toc209708315"/>
      <w:bookmarkStart w:id="10" w:name="_Ref209708382"/>
      <w:bookmarkStart w:id="11" w:name="_Ref209708383"/>
      <w:bookmarkStart w:id="12" w:name="_Ref209708384"/>
      <w:bookmarkStart w:id="13" w:name="_Ref209708385"/>
      <w:bookmarkStart w:id="14" w:name="_Ref209708386"/>
      <w:bookmarkEnd w:id="7"/>
      <w:bookmarkEnd w:id="8"/>
      <w:r w:rsidRPr="002C4DBE">
        <w:rPr>
          <w:rFonts w:cs="Times New Roman"/>
          <w:szCs w:val="24"/>
        </w:rPr>
        <w:t>Specific objectives.</w:t>
      </w:r>
      <w:bookmarkEnd w:id="9"/>
      <w:bookmarkEnd w:id="10"/>
      <w:bookmarkEnd w:id="11"/>
      <w:bookmarkEnd w:id="12"/>
      <w:bookmarkEnd w:id="13"/>
      <w:bookmarkEnd w:id="14"/>
    </w:p>
    <w:p w14:paraId="3F0814CD" w14:textId="77777777" w:rsidR="008E008F" w:rsidRPr="002C4DBE" w:rsidRDefault="008E008F" w:rsidP="008E008F">
      <w:pPr>
        <w:pStyle w:val="ListParagraph"/>
        <w:numPr>
          <w:ilvl w:val="0"/>
          <w:numId w:val="1"/>
        </w:numPr>
        <w:spacing w:line="360" w:lineRule="auto"/>
        <w:rPr>
          <w:rFonts w:ascii="Times New Roman" w:eastAsia="Calibri" w:hAnsi="Times New Roman" w:cs="Times New Roman"/>
          <w:sz w:val="24"/>
          <w:szCs w:val="24"/>
        </w:rPr>
      </w:pPr>
      <w:bookmarkStart w:id="15" w:name="_Hlk191842849"/>
      <w:bookmarkStart w:id="16" w:name="_Hlk177268222"/>
      <w:r w:rsidRPr="002C4DBE">
        <w:rPr>
          <w:rFonts w:ascii="Times New Roman" w:eastAsia="Calibri" w:hAnsi="Times New Roman" w:cs="Times New Roman"/>
          <w:sz w:val="24"/>
          <w:szCs w:val="24"/>
        </w:rPr>
        <w:t xml:space="preserve">To assess the awareness </w:t>
      </w:r>
      <w:r w:rsidRPr="002C4DBE">
        <w:rPr>
          <w:rFonts w:ascii="Times New Roman" w:eastAsia="Calibri" w:hAnsi="Times New Roman" w:cs="Times New Roman"/>
          <w:sz w:val="24"/>
          <w:szCs w:val="24"/>
          <w:lang w:val="en-US"/>
        </w:rPr>
        <w:t>of</w:t>
      </w:r>
      <w:r w:rsidRPr="002C4DBE">
        <w:rPr>
          <w:rFonts w:ascii="Times New Roman" w:eastAsia="Calibri" w:hAnsi="Times New Roman" w:cs="Times New Roman"/>
          <w:sz w:val="24"/>
          <w:szCs w:val="24"/>
        </w:rPr>
        <w:t xml:space="preserve"> marketeers on the presence of segregated solid waste management bins in the market and </w:t>
      </w:r>
      <w:proofErr w:type="gramStart"/>
      <w:r w:rsidRPr="002C4DBE">
        <w:rPr>
          <w:rFonts w:ascii="Times New Roman" w:eastAsia="Calibri" w:hAnsi="Times New Roman" w:cs="Times New Roman"/>
          <w:sz w:val="24"/>
          <w:szCs w:val="24"/>
        </w:rPr>
        <w:t>there</w:t>
      </w:r>
      <w:proofErr w:type="gramEnd"/>
      <w:r w:rsidRPr="002C4DBE">
        <w:rPr>
          <w:rFonts w:ascii="Times New Roman" w:eastAsia="Calibri" w:hAnsi="Times New Roman" w:cs="Times New Roman"/>
          <w:sz w:val="24"/>
          <w:szCs w:val="24"/>
        </w:rPr>
        <w:t xml:space="preserve"> importance for solid waste management at Soweto market of Lusaka district of Zambia.</w:t>
      </w:r>
    </w:p>
    <w:p w14:paraId="3412DEC8" w14:textId="77777777" w:rsidR="008E008F" w:rsidRPr="002C4DBE" w:rsidRDefault="008E008F" w:rsidP="008E008F">
      <w:pPr>
        <w:pStyle w:val="ListParagraph"/>
        <w:numPr>
          <w:ilvl w:val="0"/>
          <w:numId w:val="1"/>
        </w:numPr>
        <w:spacing w:line="360" w:lineRule="auto"/>
        <w:rPr>
          <w:rFonts w:ascii="Times New Roman" w:eastAsia="Calibri" w:hAnsi="Times New Roman" w:cs="Times New Roman"/>
          <w:sz w:val="24"/>
          <w:szCs w:val="24"/>
        </w:rPr>
      </w:pPr>
      <w:bookmarkStart w:id="17" w:name="_Hlk191931422"/>
      <w:bookmarkEnd w:id="15"/>
      <w:r w:rsidRPr="002C4DBE">
        <w:rPr>
          <w:rFonts w:ascii="Times New Roman" w:eastAsia="Calibri" w:hAnsi="Times New Roman" w:cs="Times New Roman"/>
          <w:sz w:val="24"/>
          <w:szCs w:val="24"/>
        </w:rPr>
        <w:t>To Assess the attitudes and practices of marketeers towards segregated bins solid waste management of Lusaka district of Zambia.</w:t>
      </w:r>
    </w:p>
    <w:p w14:paraId="4BA0331E" w14:textId="77777777" w:rsidR="00907C6A" w:rsidRPr="00907C6A" w:rsidRDefault="008E008F" w:rsidP="008E008F">
      <w:pPr>
        <w:pStyle w:val="ListParagraph"/>
        <w:numPr>
          <w:ilvl w:val="0"/>
          <w:numId w:val="1"/>
        </w:numPr>
        <w:tabs>
          <w:tab w:val="left" w:pos="5980"/>
        </w:tabs>
        <w:spacing w:line="360" w:lineRule="auto"/>
        <w:jc w:val="both"/>
        <w:rPr>
          <w:rFonts w:ascii="Times New Roman" w:hAnsi="Times New Roman" w:cs="Times New Roman"/>
          <w:b/>
          <w:bCs/>
          <w:sz w:val="24"/>
          <w:szCs w:val="24"/>
        </w:rPr>
      </w:pPr>
      <w:bookmarkStart w:id="18" w:name="_Hlk191931710"/>
      <w:bookmarkEnd w:id="17"/>
      <w:r w:rsidRPr="002C4DBE">
        <w:rPr>
          <w:rFonts w:ascii="Times New Roman" w:eastAsia="Calibri" w:hAnsi="Times New Roman" w:cs="Times New Roman"/>
          <w:sz w:val="24"/>
          <w:szCs w:val="24"/>
        </w:rPr>
        <w:t xml:space="preserve">To </w:t>
      </w:r>
      <w:r>
        <w:rPr>
          <w:rFonts w:ascii="Times New Roman" w:eastAsia="Calibri" w:hAnsi="Times New Roman" w:cs="Times New Roman"/>
          <w:sz w:val="24"/>
          <w:szCs w:val="24"/>
        </w:rPr>
        <w:t>Describe</w:t>
      </w:r>
      <w:r w:rsidRPr="002C4DBE">
        <w:rPr>
          <w:rFonts w:ascii="Times New Roman" w:eastAsia="Calibri" w:hAnsi="Times New Roman" w:cs="Times New Roman"/>
          <w:sz w:val="24"/>
          <w:szCs w:val="24"/>
        </w:rPr>
        <w:t xml:space="preserve"> measures that have been put in place by Lusaka City Council and Market Management on Solid waste management towards segregated bins of Lusaka district of Zambia.</w:t>
      </w:r>
      <w:bookmarkStart w:id="19" w:name="_Toc209708317"/>
      <w:bookmarkEnd w:id="16"/>
      <w:bookmarkEnd w:id="18"/>
    </w:p>
    <w:p w14:paraId="34ECDEBE" w14:textId="77777777" w:rsidR="00907C6A" w:rsidRDefault="00907C6A" w:rsidP="00907C6A">
      <w:pPr>
        <w:pStyle w:val="ListParagraph"/>
        <w:tabs>
          <w:tab w:val="left" w:pos="5980"/>
        </w:tabs>
        <w:spacing w:line="360" w:lineRule="auto"/>
        <w:jc w:val="both"/>
        <w:rPr>
          <w:bCs/>
          <w:lang w:val="en-US"/>
        </w:rPr>
      </w:pPr>
    </w:p>
    <w:p w14:paraId="2A551B9B" w14:textId="5BD5D22D" w:rsidR="008E008F" w:rsidRPr="00907C6A" w:rsidRDefault="008E008F" w:rsidP="00907C6A">
      <w:pPr>
        <w:pStyle w:val="ListParagraph"/>
        <w:tabs>
          <w:tab w:val="left" w:pos="5980"/>
        </w:tabs>
        <w:spacing w:line="360" w:lineRule="auto"/>
        <w:jc w:val="both"/>
        <w:rPr>
          <w:rFonts w:ascii="Times New Roman" w:hAnsi="Times New Roman" w:cs="Times New Roman"/>
          <w:b/>
          <w:bCs/>
          <w:sz w:val="36"/>
          <w:szCs w:val="24"/>
        </w:rPr>
      </w:pPr>
      <w:r w:rsidRPr="00907C6A">
        <w:rPr>
          <w:b/>
          <w:bCs/>
          <w:sz w:val="28"/>
          <w:lang w:val="en-US"/>
        </w:rPr>
        <w:t xml:space="preserve"> </w:t>
      </w:r>
      <w:r w:rsidRPr="00907C6A">
        <w:rPr>
          <w:b/>
          <w:sz w:val="28"/>
          <w:lang w:val="en-US"/>
        </w:rPr>
        <w:t>LITERATURE REVIEW</w:t>
      </w:r>
      <w:bookmarkEnd w:id="19"/>
      <w:r w:rsidRPr="00907C6A">
        <w:rPr>
          <w:b/>
          <w:sz w:val="28"/>
          <w:lang w:val="en-US"/>
        </w:rPr>
        <w:t xml:space="preserve"> </w:t>
      </w:r>
    </w:p>
    <w:p w14:paraId="08BEBC4A" w14:textId="319AB431" w:rsidR="008E008F" w:rsidRDefault="008E008F" w:rsidP="008E008F">
      <w:pPr>
        <w:autoSpaceDE w:val="0"/>
        <w:autoSpaceDN w:val="0"/>
        <w:adjustRightInd w:val="0"/>
        <w:spacing w:after="0" w:line="360" w:lineRule="auto"/>
        <w:jc w:val="both"/>
        <w:rPr>
          <w:rFonts w:ascii="Times New Roman" w:hAnsi="Times New Roman" w:cs="Times New Roman"/>
          <w:b/>
          <w:bCs/>
          <w:sz w:val="24"/>
          <w:szCs w:val="24"/>
        </w:rPr>
      </w:pPr>
      <w:r w:rsidRPr="003E3A05">
        <w:rPr>
          <w:rFonts w:ascii="Times New Roman" w:hAnsi="Times New Roman" w:cs="Times New Roman"/>
          <w:b/>
          <w:bCs/>
          <w:sz w:val="24"/>
          <w:szCs w:val="24"/>
        </w:rPr>
        <w:t>2.0 Introduction</w:t>
      </w:r>
    </w:p>
    <w:p w14:paraId="184A293E" w14:textId="77777777" w:rsidR="008E008F" w:rsidRDefault="008E008F" w:rsidP="008E008F">
      <w:pPr>
        <w:autoSpaceDE w:val="0"/>
        <w:autoSpaceDN w:val="0"/>
        <w:adjustRightInd w:val="0"/>
        <w:spacing w:after="0" w:line="360" w:lineRule="auto"/>
        <w:jc w:val="both"/>
        <w:rPr>
          <w:rFonts w:ascii="Times New Roman" w:hAnsi="Times New Roman" w:cs="Times New Roman"/>
          <w:sz w:val="24"/>
          <w:szCs w:val="24"/>
        </w:rPr>
      </w:pPr>
      <w:r w:rsidRPr="003E3A05">
        <w:rPr>
          <w:rFonts w:ascii="Times New Roman" w:hAnsi="Times New Roman" w:cs="Times New Roman"/>
          <w:sz w:val="24"/>
          <w:szCs w:val="24"/>
        </w:rPr>
        <w:t xml:space="preserve">This chapter reviews existing literature on solid waste management with the aim of providing a clear understanding of how the problem has been studied and addressed in different contexts. </w:t>
      </w:r>
      <w:r w:rsidRPr="003E3A05">
        <w:rPr>
          <w:rFonts w:ascii="Times New Roman" w:hAnsi="Times New Roman" w:cs="Times New Roman"/>
          <w:sz w:val="24"/>
          <w:szCs w:val="24"/>
        </w:rPr>
        <w:lastRenderedPageBreak/>
        <w:t>A literature review helps to position the current study within what is already known, highlight gaps in knowledge, and provide a foundation for the research objectives. The review is organized into three main sections. The first section looks at global perspectives on solid waste management, focusing on how different countries have developed systems to deal with waste generation, collection, recycling, and disposal. The second section examines regional experiences, particularly within Africa, where rapid urbanization has intensified waste management challenges. The final section reviews the Zambian context, paying attention to policies, institutional arrangements, and previous research on waste management in Lusaka. Together, these sections provide the background needed to understand the current state of waste management at Soweto Market and why this study is necessary.</w:t>
      </w:r>
    </w:p>
    <w:p w14:paraId="701CF880" w14:textId="77777777" w:rsidR="008E008F" w:rsidRPr="003E3A05" w:rsidRDefault="008E008F" w:rsidP="008E008F">
      <w:pPr>
        <w:autoSpaceDE w:val="0"/>
        <w:autoSpaceDN w:val="0"/>
        <w:adjustRightInd w:val="0"/>
        <w:spacing w:after="0" w:line="360" w:lineRule="auto"/>
        <w:jc w:val="both"/>
        <w:rPr>
          <w:rFonts w:ascii="Times New Roman" w:hAnsi="Times New Roman" w:cs="Times New Roman"/>
          <w:sz w:val="24"/>
          <w:szCs w:val="24"/>
        </w:rPr>
      </w:pPr>
    </w:p>
    <w:p w14:paraId="2276438F" w14:textId="77777777" w:rsidR="008E008F" w:rsidRPr="00EB0E7F" w:rsidRDefault="008E008F" w:rsidP="008E008F">
      <w:pPr>
        <w:rPr>
          <w:rFonts w:ascii="Times New Roman" w:hAnsi="Times New Roman" w:cs="Times New Roman"/>
          <w:b/>
          <w:bCs/>
          <w:sz w:val="24"/>
          <w:szCs w:val="24"/>
          <w:lang w:val="en-US"/>
        </w:rPr>
      </w:pPr>
      <w:r w:rsidRPr="00EB0E7F">
        <w:rPr>
          <w:rFonts w:ascii="Times New Roman" w:hAnsi="Times New Roman" w:cs="Times New Roman"/>
          <w:b/>
          <w:bCs/>
          <w:sz w:val="24"/>
          <w:szCs w:val="24"/>
          <w:lang w:val="en-US"/>
        </w:rPr>
        <w:t xml:space="preserve">2.1 </w:t>
      </w:r>
      <w:bookmarkStart w:id="20" w:name="_Hlk209697524"/>
      <w:r>
        <w:rPr>
          <w:rFonts w:ascii="Times New Roman" w:hAnsi="Times New Roman" w:cs="Times New Roman"/>
          <w:b/>
          <w:bCs/>
          <w:sz w:val="24"/>
          <w:szCs w:val="24"/>
          <w:lang w:val="en-US"/>
        </w:rPr>
        <w:t>Municipal Solid waste management in western Countries</w:t>
      </w:r>
      <w:bookmarkEnd w:id="20"/>
    </w:p>
    <w:p w14:paraId="2E0A7E92" w14:textId="77777777" w:rsidR="008E008F" w:rsidRPr="00042B16" w:rsidRDefault="008E008F" w:rsidP="008E008F">
      <w:pPr>
        <w:spacing w:line="360" w:lineRule="auto"/>
        <w:jc w:val="both"/>
        <w:rPr>
          <w:rFonts w:ascii="Times New Roman" w:eastAsia="Calibri" w:hAnsi="Times New Roman" w:cs="Times New Roman"/>
          <w:sz w:val="24"/>
          <w:szCs w:val="24"/>
        </w:rPr>
      </w:pPr>
      <w:r w:rsidRPr="00042B16">
        <w:rPr>
          <w:rFonts w:ascii="Times New Roman" w:hAnsi="Times New Roman" w:cs="Times New Roman"/>
          <w:sz w:val="24"/>
          <w:szCs w:val="24"/>
        </w:rPr>
        <w:t xml:space="preserve">In Eastern European countries such as Poland, Hungary and the Czech Republic the increase in recycling of urban solid waste </w:t>
      </w:r>
      <w:r w:rsidRPr="00042B16">
        <w:rPr>
          <w:rFonts w:ascii="Times New Roman" w:hAnsi="Times New Roman" w:cs="Times New Roman"/>
          <w:sz w:val="24"/>
          <w:szCs w:val="24"/>
          <w:lang w:val="en-US"/>
        </w:rPr>
        <w:t xml:space="preserve">has been attributed </w:t>
      </w:r>
      <w:r w:rsidRPr="00042B16">
        <w:rPr>
          <w:rFonts w:ascii="Times New Roman" w:hAnsi="Times New Roman" w:cs="Times New Roman"/>
          <w:sz w:val="24"/>
          <w:szCs w:val="24"/>
        </w:rPr>
        <w:t xml:space="preserve">to ecological irresponsibility, particularly among governments, and the deficient recycling infrastructure. </w:t>
      </w:r>
      <w:r w:rsidRPr="00042B16">
        <w:rPr>
          <w:rFonts w:ascii="Times New Roman" w:hAnsi="Times New Roman" w:cs="Times New Roman"/>
          <w:sz w:val="24"/>
          <w:szCs w:val="24"/>
          <w:lang w:val="en-US"/>
        </w:rPr>
        <w:t>A</w:t>
      </w:r>
      <w:r w:rsidRPr="00042B16">
        <w:rPr>
          <w:rFonts w:ascii="Times New Roman" w:hAnsi="Times New Roman" w:cs="Times New Roman"/>
          <w:sz w:val="24"/>
          <w:szCs w:val="24"/>
        </w:rPr>
        <w:t>wareness raising about effects of waste accumulation and personal liability</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as well as administrative reforms (high penalties for illegal dumping and mixed waste collection as well as incentives for waste separation) </w:t>
      </w:r>
      <w:r w:rsidRPr="00042B16">
        <w:rPr>
          <w:rFonts w:ascii="Times New Roman" w:hAnsi="Times New Roman" w:cs="Times New Roman"/>
          <w:sz w:val="24"/>
          <w:szCs w:val="24"/>
          <w:lang w:val="en-US"/>
        </w:rPr>
        <w:t xml:space="preserve">are emphasized </w:t>
      </w:r>
      <w:r w:rsidRPr="00042B16">
        <w:rPr>
          <w:rFonts w:ascii="Times New Roman" w:hAnsi="Times New Roman" w:cs="Times New Roman"/>
          <w:sz w:val="24"/>
          <w:szCs w:val="24"/>
        </w:rPr>
        <w:t>(</w:t>
      </w:r>
      <w:proofErr w:type="spellStart"/>
      <w:r w:rsidRPr="00042B16">
        <w:rPr>
          <w:rFonts w:ascii="Times New Roman" w:hAnsi="Times New Roman" w:cs="Times New Roman"/>
          <w:sz w:val="24"/>
          <w:szCs w:val="24"/>
        </w:rPr>
        <w:t>Gorobets</w:t>
      </w:r>
      <w:proofErr w:type="spellEnd"/>
      <w:r w:rsidRPr="00042B16">
        <w:rPr>
          <w:rFonts w:ascii="Times New Roman" w:hAnsi="Times New Roman" w:cs="Times New Roman"/>
          <w:sz w:val="24"/>
          <w:szCs w:val="24"/>
        </w:rPr>
        <w:t xml:space="preserve"> 2019)</w:t>
      </w:r>
    </w:p>
    <w:p w14:paraId="63A674AA"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The environmental impact of waste disposal practices and particularly inappropriate waste management practices such as burning, stockpiling and disposal into water bodies is pronounced</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w:t>
      </w:r>
      <w:bookmarkStart w:id="21" w:name="_Hlk171263143"/>
      <w:proofErr w:type="spellStart"/>
      <w:r w:rsidRPr="00042B16">
        <w:rPr>
          <w:rFonts w:ascii="Times New Roman" w:hAnsi="Times New Roman" w:cs="Times New Roman"/>
          <w:sz w:val="24"/>
          <w:szCs w:val="24"/>
        </w:rPr>
        <w:t>Wulandhary</w:t>
      </w:r>
      <w:proofErr w:type="spellEnd"/>
      <w:r w:rsidRPr="00042B16">
        <w:rPr>
          <w:rFonts w:ascii="Times New Roman" w:hAnsi="Times New Roman" w:cs="Times New Roman"/>
          <w:sz w:val="24"/>
          <w:szCs w:val="24"/>
        </w:rPr>
        <w:t xml:space="preserve"> et al. 2019).</w:t>
      </w:r>
      <w:bookmarkEnd w:id="21"/>
      <w:r w:rsidRPr="00042B16">
        <w:rPr>
          <w:rFonts w:ascii="Times New Roman" w:hAnsi="Times New Roman" w:cs="Times New Roman"/>
          <w:sz w:val="24"/>
          <w:szCs w:val="24"/>
        </w:rPr>
        <w:t xml:space="preserve"> Some of these practices such as open dumping and indiscriminate waste burning are particularly prevalent in developing countries. An estimated 30-50% of generated waste in developing countries is managed adequately (</w:t>
      </w:r>
      <w:proofErr w:type="spellStart"/>
      <w:r w:rsidRPr="00042B16">
        <w:rPr>
          <w:rFonts w:ascii="Times New Roman" w:hAnsi="Times New Roman" w:cs="Times New Roman"/>
          <w:sz w:val="24"/>
          <w:szCs w:val="24"/>
        </w:rPr>
        <w:t>Teym</w:t>
      </w:r>
      <w:proofErr w:type="spellEnd"/>
      <w:r w:rsidRPr="00042B16">
        <w:rPr>
          <w:rFonts w:ascii="Times New Roman" w:hAnsi="Times New Roman" w:cs="Times New Roman"/>
          <w:sz w:val="24"/>
          <w:szCs w:val="24"/>
        </w:rPr>
        <w:t xml:space="preserve"> 2021). The remainder is burned or discarded in open spaces or unregulated landfills with a detrimental effect on environmental quality (</w:t>
      </w:r>
      <w:proofErr w:type="spellStart"/>
      <w:r w:rsidRPr="00042B16">
        <w:rPr>
          <w:rFonts w:ascii="Times New Roman" w:hAnsi="Times New Roman" w:cs="Times New Roman"/>
          <w:sz w:val="24"/>
          <w:szCs w:val="24"/>
        </w:rPr>
        <w:t>Teym</w:t>
      </w:r>
      <w:proofErr w:type="spellEnd"/>
      <w:r w:rsidRPr="00042B16">
        <w:rPr>
          <w:rFonts w:ascii="Times New Roman" w:hAnsi="Times New Roman" w:cs="Times New Roman"/>
          <w:sz w:val="24"/>
          <w:szCs w:val="24"/>
        </w:rPr>
        <w:t xml:space="preserve"> 2021). Negative consequences include contamination of surface and groundwater as well as soil and air pollution, disease transmission, methane </w:t>
      </w:r>
      <w:proofErr w:type="gramStart"/>
      <w:r w:rsidRPr="00042B16">
        <w:rPr>
          <w:rFonts w:ascii="Times New Roman" w:hAnsi="Times New Roman" w:cs="Times New Roman"/>
          <w:sz w:val="24"/>
          <w:szCs w:val="24"/>
        </w:rPr>
        <w:t>release ,</w:t>
      </w:r>
      <w:proofErr w:type="gramEnd"/>
      <w:r w:rsidRPr="00042B16">
        <w:rPr>
          <w:rFonts w:ascii="Times New Roman" w:hAnsi="Times New Roman" w:cs="Times New Roman"/>
          <w:sz w:val="24"/>
          <w:szCs w:val="24"/>
        </w:rPr>
        <w:t xml:space="preserve"> detrimental aesthetic impact, landscape damage, fire risk, noxious odours, financial costs of cleaning up waterways, reservoirs silting up, decreased plant productivity, deteriorating structures and foundations, and diminished land value (</w:t>
      </w:r>
      <w:proofErr w:type="spellStart"/>
      <w:r w:rsidRPr="00042B16">
        <w:rPr>
          <w:rFonts w:ascii="Times New Roman" w:hAnsi="Times New Roman" w:cs="Times New Roman"/>
          <w:sz w:val="24"/>
          <w:szCs w:val="24"/>
        </w:rPr>
        <w:t>Paghasian</w:t>
      </w:r>
      <w:proofErr w:type="spellEnd"/>
      <w:r w:rsidRPr="00042B16">
        <w:rPr>
          <w:rFonts w:ascii="Times New Roman" w:hAnsi="Times New Roman" w:cs="Times New Roman"/>
          <w:sz w:val="24"/>
          <w:szCs w:val="24"/>
        </w:rPr>
        <w:t xml:space="preserve"> 2017; Sultana et al. 2021). Visual pollution can also result from poor solid waste management. Interestingly, a study in Kuching, Sarawak, Malaysia conducted </w:t>
      </w:r>
      <w:proofErr w:type="gramStart"/>
      <w:r w:rsidRPr="00042B16">
        <w:rPr>
          <w:rFonts w:ascii="Times New Roman" w:hAnsi="Times New Roman" w:cs="Times New Roman"/>
          <w:sz w:val="24"/>
          <w:szCs w:val="24"/>
        </w:rPr>
        <w:t>by  investigated</w:t>
      </w:r>
      <w:proofErr w:type="gramEnd"/>
      <w:r w:rsidRPr="00042B16">
        <w:rPr>
          <w:rFonts w:ascii="Times New Roman" w:hAnsi="Times New Roman" w:cs="Times New Roman"/>
          <w:sz w:val="24"/>
          <w:szCs w:val="24"/>
        </w:rPr>
        <w:t xml:space="preserve"> visual pollution caused by insufficient waste management of waste containers. </w:t>
      </w:r>
    </w:p>
    <w:p w14:paraId="03D67E7F" w14:textId="77777777" w:rsidR="008E008F" w:rsidRPr="00042B16" w:rsidRDefault="008E008F" w:rsidP="008E008F">
      <w:pPr>
        <w:spacing w:line="360" w:lineRule="auto"/>
        <w:jc w:val="both"/>
        <w:rPr>
          <w:rFonts w:ascii="Times New Roman" w:hAnsi="Times New Roman" w:cs="Times New Roman"/>
          <w:sz w:val="24"/>
          <w:szCs w:val="24"/>
          <w:lang w:val="en-US"/>
        </w:rPr>
      </w:pPr>
      <w:r w:rsidRPr="00042B16">
        <w:rPr>
          <w:rFonts w:ascii="Times New Roman" w:hAnsi="Times New Roman" w:cs="Times New Roman"/>
          <w:sz w:val="24"/>
          <w:szCs w:val="24"/>
        </w:rPr>
        <w:lastRenderedPageBreak/>
        <w:t xml:space="preserve">Generally, the increase in municipal solid waste is attributed to rapid urbanisation, population growth, unfettered </w:t>
      </w:r>
      <w:proofErr w:type="gramStart"/>
      <w:r w:rsidRPr="00042B16">
        <w:rPr>
          <w:rFonts w:ascii="Times New Roman" w:hAnsi="Times New Roman" w:cs="Times New Roman"/>
          <w:sz w:val="24"/>
          <w:szCs w:val="24"/>
        </w:rPr>
        <w:t>modernisation,  unrestrained</w:t>
      </w:r>
      <w:proofErr w:type="gramEnd"/>
      <w:r w:rsidRPr="00042B16">
        <w:rPr>
          <w:rFonts w:ascii="Times New Roman" w:hAnsi="Times New Roman" w:cs="Times New Roman"/>
          <w:sz w:val="24"/>
          <w:szCs w:val="24"/>
        </w:rPr>
        <w:t xml:space="preserve"> economic development, mismanaged tourist flow (</w:t>
      </w:r>
      <w:proofErr w:type="spellStart"/>
      <w:r w:rsidRPr="00042B16">
        <w:rPr>
          <w:rFonts w:ascii="Times New Roman" w:hAnsi="Times New Roman" w:cs="Times New Roman"/>
          <w:sz w:val="24"/>
          <w:szCs w:val="24"/>
        </w:rPr>
        <w:t>Malinauskaite</w:t>
      </w:r>
      <w:proofErr w:type="spellEnd"/>
      <w:r w:rsidRPr="00042B16">
        <w:rPr>
          <w:rFonts w:ascii="Times New Roman" w:hAnsi="Times New Roman" w:cs="Times New Roman"/>
          <w:sz w:val="24"/>
          <w:szCs w:val="24"/>
        </w:rPr>
        <w:t xml:space="preserve"> et al 2017; Zambrano-Monserrate et al. 2021), higher living standards, consumerism and improved lifestyles and  influence of GDP, population, urbanisation and the flow of tourists in 173 countries. The authors </w:t>
      </w:r>
      <w:r w:rsidRPr="00042B16">
        <w:rPr>
          <w:rFonts w:ascii="Times New Roman" w:hAnsi="Times New Roman" w:cs="Times New Roman"/>
          <w:sz w:val="24"/>
          <w:szCs w:val="24"/>
          <w:lang w:val="en-US"/>
        </w:rPr>
        <w:t xml:space="preserve">further indicated that gross domestic products </w:t>
      </w:r>
      <w:proofErr w:type="gramStart"/>
      <w:r w:rsidRPr="00042B16">
        <w:rPr>
          <w:rFonts w:ascii="Times New Roman" w:hAnsi="Times New Roman" w:cs="Times New Roman"/>
          <w:sz w:val="24"/>
          <w:szCs w:val="24"/>
        </w:rPr>
        <w:t>increases</w:t>
      </w:r>
      <w:proofErr w:type="gramEnd"/>
      <w:r w:rsidRPr="00042B16">
        <w:rPr>
          <w:rFonts w:ascii="Times New Roman" w:hAnsi="Times New Roman" w:cs="Times New Roman"/>
          <w:sz w:val="24"/>
          <w:szCs w:val="24"/>
        </w:rPr>
        <w:t xml:space="preserve"> municipal solid waste production in high- and upper-middle-income countries and suggest that this finding may be related to high consumption levels, since consumption is a function of income (Zambrano-Monserrate et al. 2021). They also found that population numbers have a higher impact on waste generation in high-income rather than in low-income countries. In particular, the percentage of urban inhabitants affects waste generation in high- and upper-middle-income countries. In addition, the flow of tourists has an impact on waste generation in all countries, although it is higher in high income countries, socio-economic factors that were found to significantly predict solid waste generation were family size, monthly income, education level, gender of the household head and the age of the household head</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w:t>
      </w:r>
      <w:proofErr w:type="spellStart"/>
      <w:r w:rsidRPr="00042B16">
        <w:rPr>
          <w:rFonts w:ascii="Times New Roman" w:hAnsi="Times New Roman" w:cs="Times New Roman"/>
          <w:sz w:val="24"/>
          <w:szCs w:val="24"/>
        </w:rPr>
        <w:t>Malinauskaite</w:t>
      </w:r>
      <w:proofErr w:type="spellEnd"/>
      <w:r w:rsidRPr="00042B16">
        <w:rPr>
          <w:rFonts w:ascii="Times New Roman" w:hAnsi="Times New Roman" w:cs="Times New Roman"/>
          <w:sz w:val="24"/>
          <w:szCs w:val="24"/>
        </w:rPr>
        <w:t xml:space="preserve"> et al 2017; Zambrano-Monserrate et al. 2021)</w:t>
      </w:r>
    </w:p>
    <w:p w14:paraId="56BF6E5B"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In developed countries, food waste is attributed to consumers and connected to their values, behaviours and attitudes</w:t>
      </w:r>
      <w:r w:rsidRPr="00042B16">
        <w:rPr>
          <w:rFonts w:ascii="Times New Roman" w:hAnsi="Times New Roman" w:cs="Times New Roman"/>
          <w:sz w:val="24"/>
          <w:szCs w:val="24"/>
          <w:lang w:val="en-US"/>
        </w:rPr>
        <w:t xml:space="preserve"> and </w:t>
      </w:r>
      <w:r w:rsidRPr="00042B16">
        <w:rPr>
          <w:rFonts w:ascii="Times New Roman" w:hAnsi="Times New Roman" w:cs="Times New Roman"/>
          <w:sz w:val="24"/>
          <w:szCs w:val="24"/>
        </w:rPr>
        <w:t xml:space="preserve">almost two thirds of food waste </w:t>
      </w:r>
      <w:r w:rsidRPr="00042B16">
        <w:rPr>
          <w:rFonts w:ascii="Times New Roman" w:hAnsi="Times New Roman" w:cs="Times New Roman"/>
          <w:sz w:val="24"/>
          <w:szCs w:val="24"/>
          <w:lang w:val="en-US"/>
        </w:rPr>
        <w:t xml:space="preserve">in developed countries </w:t>
      </w:r>
      <w:r w:rsidRPr="00042B16">
        <w:rPr>
          <w:rFonts w:ascii="Times New Roman" w:hAnsi="Times New Roman" w:cs="Times New Roman"/>
          <w:sz w:val="24"/>
          <w:szCs w:val="24"/>
        </w:rPr>
        <w:t>occur at the pre- and post-harvest and processing stages. Agricultural practices, limitations of technology, finances and labour, infrastructural challenges where storage, processing and transport are concerned, and transport are all factors contributing to food waste in this context. Additionally, consumers’ attitudes and behaviours regarding waste generation also play a role</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(Knutsson et al. 2021). Consequently, the perception of solid waste management could significantly relate to waste management behaviour. However, as </w:t>
      </w:r>
      <w:r w:rsidRPr="00042B16">
        <w:rPr>
          <w:rFonts w:ascii="Times New Roman" w:hAnsi="Times New Roman" w:cs="Times New Roman"/>
          <w:sz w:val="24"/>
          <w:szCs w:val="24"/>
          <w:lang w:val="en-US"/>
        </w:rPr>
        <w:t>(</w:t>
      </w:r>
      <w:r w:rsidRPr="00042B16">
        <w:rPr>
          <w:rFonts w:ascii="Times New Roman" w:hAnsi="Times New Roman" w:cs="Times New Roman"/>
          <w:sz w:val="24"/>
          <w:szCs w:val="24"/>
        </w:rPr>
        <w:t>Knutsson et al.</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2021) caution, studies on waste behaviour motivation do not often “capture in-depth, descriptive case-based accounts of citizens’ perceptions of waste management systems, and how such knowledge might be leveraged to facilitate communication and future change in waste management behaviour”.</w:t>
      </w:r>
    </w:p>
    <w:p w14:paraId="08F976F3" w14:textId="77777777" w:rsidR="008E008F"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Waste disposal practices can contribute to environmental and health problems as a result of the emission of harmful gasses and leachates (</w:t>
      </w:r>
      <w:bookmarkStart w:id="22" w:name="_Hlk171262777"/>
      <w:r w:rsidRPr="00042B16">
        <w:rPr>
          <w:rFonts w:ascii="Times New Roman" w:hAnsi="Times New Roman" w:cs="Times New Roman"/>
          <w:sz w:val="24"/>
          <w:szCs w:val="24"/>
        </w:rPr>
        <w:t xml:space="preserve">Akmal and Jamil 2021). </w:t>
      </w:r>
      <w:bookmarkEnd w:id="22"/>
      <w:r w:rsidRPr="00042B16">
        <w:rPr>
          <w:rFonts w:ascii="Times New Roman" w:hAnsi="Times New Roman" w:cs="Times New Roman"/>
          <w:sz w:val="24"/>
          <w:szCs w:val="24"/>
        </w:rPr>
        <w:t xml:space="preserve">Moreover, if harmful objects, such as sharp syringes, razors and blades are not disposed of properly, they pose dire health risks (Akmal and Jamil 2021). Particularly in the era of the COVID 19 pandemic, healthcare waste combined with related infectious waste including tissues, gloves, masks and gauze create new risks and challenges (Khan 2020). Khan (2020) mentions the increase in </w:t>
      </w:r>
      <w:r w:rsidRPr="00042B16">
        <w:rPr>
          <w:rFonts w:ascii="Times New Roman" w:hAnsi="Times New Roman" w:cs="Times New Roman"/>
          <w:sz w:val="24"/>
          <w:szCs w:val="24"/>
        </w:rPr>
        <w:lastRenderedPageBreak/>
        <w:t>mixed waste, more plastic and the challenge with selling reusable items that might transmit the virus, the absence of estimates of the quantity of household hazardous waste generated, increased littering and illegal dumping as well as open burning, inadequate awareness of proper waste management and consequently the need for new legal norms to address the pandemic.</w:t>
      </w:r>
    </w:p>
    <w:p w14:paraId="6554EC3E" w14:textId="77777777" w:rsidR="008E008F" w:rsidRPr="002C4DBE" w:rsidRDefault="008E008F" w:rsidP="008E008F">
      <w:pPr>
        <w:pStyle w:val="Heading2"/>
        <w:spacing w:line="360" w:lineRule="auto"/>
        <w:rPr>
          <w:rFonts w:cs="Times New Roman"/>
          <w:szCs w:val="24"/>
        </w:rPr>
      </w:pPr>
      <w:bookmarkStart w:id="23" w:name="_Toc209708318"/>
      <w:r w:rsidRPr="002C4DBE">
        <w:rPr>
          <w:rFonts w:cs="Times New Roman"/>
          <w:szCs w:val="24"/>
        </w:rPr>
        <w:t xml:space="preserve">2.2 </w:t>
      </w:r>
      <w:r>
        <w:rPr>
          <w:rFonts w:cs="Times New Roman"/>
          <w:szCs w:val="24"/>
        </w:rPr>
        <w:t xml:space="preserve">Municipal solid waste management practices in Sub-Sahara </w:t>
      </w:r>
      <w:proofErr w:type="spellStart"/>
      <w:r>
        <w:rPr>
          <w:rFonts w:cs="Times New Roman"/>
          <w:szCs w:val="24"/>
        </w:rPr>
        <w:t>africa</w:t>
      </w:r>
      <w:bookmarkEnd w:id="23"/>
      <w:proofErr w:type="spellEnd"/>
    </w:p>
    <w:p w14:paraId="05F7E78F"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lang w:val="en-US"/>
        </w:rPr>
        <w:t xml:space="preserve">In </w:t>
      </w:r>
      <w:r w:rsidRPr="00042B16">
        <w:rPr>
          <w:rFonts w:ascii="Times New Roman" w:hAnsi="Times New Roman" w:cs="Times New Roman"/>
          <w:sz w:val="24"/>
          <w:szCs w:val="24"/>
        </w:rPr>
        <w:t>Sub-Saharan Africa does not prioritise the political, economic and cultural processes that impact on solid waste generation and management, but rather concentrates on “waste characteristics, performance description and its and household waste generation behaviour” (Njeru 2006: 1048).</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In terms of municipal solid waste management</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De Morais Vieira and Matheus</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2018), with reference to Ma and </w:t>
      </w:r>
      <w:proofErr w:type="spellStart"/>
      <w:r w:rsidRPr="00042B16">
        <w:rPr>
          <w:rFonts w:ascii="Times New Roman" w:hAnsi="Times New Roman" w:cs="Times New Roman"/>
          <w:sz w:val="24"/>
          <w:szCs w:val="24"/>
        </w:rPr>
        <w:t>Hipel</w:t>
      </w:r>
      <w:proofErr w:type="spellEnd"/>
      <w:r w:rsidRPr="00042B16">
        <w:rPr>
          <w:rFonts w:ascii="Times New Roman" w:hAnsi="Times New Roman" w:cs="Times New Roman"/>
          <w:sz w:val="24"/>
          <w:szCs w:val="24"/>
        </w:rPr>
        <w:t xml:space="preserve"> (2016), note</w:t>
      </w:r>
      <w:r w:rsidRPr="00042B16">
        <w:rPr>
          <w:rFonts w:ascii="Times New Roman" w:hAnsi="Times New Roman" w:cs="Times New Roman"/>
          <w:sz w:val="24"/>
          <w:szCs w:val="24"/>
          <w:lang w:val="en-US"/>
        </w:rPr>
        <w:t>d</w:t>
      </w:r>
      <w:r w:rsidRPr="00042B16">
        <w:rPr>
          <w:rFonts w:ascii="Times New Roman" w:hAnsi="Times New Roman" w:cs="Times New Roman"/>
          <w:sz w:val="24"/>
          <w:szCs w:val="24"/>
        </w:rPr>
        <w:t xml:space="preserve"> that only 0.69% of studies focus on the social aspects. Moreover, few studies target policies, attitudes and behaviours that contribute significantly to waste failures. Africa and Latin America have produced the fewest studies on the social aspects of this phenomenon (De Morais Vieira and Matheus 2018). A broader understanding of waste issues is therefore necessary to understand waste management failures and to understand the way waste affects both urban environments as well as residents</w:t>
      </w:r>
      <w:bookmarkStart w:id="24" w:name="_Hlk171263227"/>
      <w:r w:rsidRPr="00042B16">
        <w:rPr>
          <w:rFonts w:ascii="Times New Roman" w:hAnsi="Times New Roman" w:cs="Times New Roman"/>
          <w:sz w:val="24"/>
          <w:szCs w:val="24"/>
        </w:rPr>
        <w:t>.</w:t>
      </w:r>
      <w:bookmarkEnd w:id="24"/>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This can prove to be challenging, since urban environmental problems in general originate in complex economic, political and cultural processes (Njeru 2006). </w:t>
      </w:r>
    </w:p>
    <w:p w14:paraId="127B150B"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De Morais Vieira and Matheus (2018) also emphasise</w:t>
      </w:r>
      <w:r>
        <w:rPr>
          <w:rFonts w:ascii="Times New Roman" w:hAnsi="Times New Roman" w:cs="Times New Roman"/>
          <w:sz w:val="24"/>
          <w:szCs w:val="24"/>
        </w:rPr>
        <w:t>d</w:t>
      </w:r>
      <w:r w:rsidRPr="00042B16">
        <w:rPr>
          <w:rFonts w:ascii="Times New Roman" w:hAnsi="Times New Roman" w:cs="Times New Roman"/>
          <w:sz w:val="24"/>
          <w:szCs w:val="24"/>
        </w:rPr>
        <w:t xml:space="preserve"> the interrelated nature of municipal solid waste problems which encompass “more than money and equipment; they include social and cultural relations of local society, such as man-woman relationships, education and beliefs” (De Morais Vieira and Matheus 2018: 79). Enhancing the understanding of these complex problems is an important step in the striving for city cleanliness. The maintenance of high levels of cleanliness in public spaces improves environmental public health, which is a significant characteristic of liveable, prosperous </w:t>
      </w:r>
      <w:proofErr w:type="gramStart"/>
      <w:r w:rsidRPr="00042B16">
        <w:rPr>
          <w:rFonts w:ascii="Times New Roman" w:hAnsi="Times New Roman" w:cs="Times New Roman"/>
          <w:sz w:val="24"/>
          <w:szCs w:val="24"/>
        </w:rPr>
        <w:t>cities  (</w:t>
      </w:r>
      <w:bookmarkStart w:id="25" w:name="_Hlk208157456"/>
      <w:proofErr w:type="gramEnd"/>
      <w:r w:rsidRPr="00042B16">
        <w:rPr>
          <w:rFonts w:ascii="Times New Roman" w:hAnsi="Times New Roman" w:cs="Times New Roman"/>
          <w:sz w:val="24"/>
          <w:szCs w:val="24"/>
        </w:rPr>
        <w:t xml:space="preserve">Kirkman and </w:t>
      </w:r>
      <w:proofErr w:type="spellStart"/>
      <w:r w:rsidRPr="00042B16">
        <w:rPr>
          <w:rFonts w:ascii="Times New Roman" w:hAnsi="Times New Roman" w:cs="Times New Roman"/>
          <w:sz w:val="24"/>
          <w:szCs w:val="24"/>
        </w:rPr>
        <w:t>Voulvoulis</w:t>
      </w:r>
      <w:proofErr w:type="spellEnd"/>
      <w:r w:rsidRPr="00042B16">
        <w:rPr>
          <w:rFonts w:ascii="Times New Roman" w:hAnsi="Times New Roman" w:cs="Times New Roman"/>
          <w:sz w:val="24"/>
          <w:szCs w:val="24"/>
        </w:rPr>
        <w:t xml:space="preserve"> 2017; Carmi 2019</w:t>
      </w:r>
      <w:bookmarkEnd w:id="25"/>
      <w:r w:rsidRPr="00042B16">
        <w:rPr>
          <w:rFonts w:ascii="Times New Roman" w:hAnsi="Times New Roman" w:cs="Times New Roman"/>
          <w:sz w:val="24"/>
          <w:szCs w:val="24"/>
        </w:rPr>
        <w:t xml:space="preserve">). </w:t>
      </w:r>
    </w:p>
    <w:p w14:paraId="16E31466"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Understanding societal behaviour in order to reduce and divert waste going to landfills agenda foregrounds the protection of the environment and the preservation of health by promoting proper solid waste management in cities in terms of reducing waste generation and increasing reuse and recycling (</w:t>
      </w:r>
      <w:bookmarkStart w:id="26" w:name="_Hlk171264257"/>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et al. 2016).</w:t>
      </w:r>
      <w:bookmarkEnd w:id="26"/>
      <w:r w:rsidRPr="00042B16">
        <w:rPr>
          <w:rFonts w:ascii="Times New Roman" w:hAnsi="Times New Roman" w:cs="Times New Roman"/>
          <w:sz w:val="24"/>
          <w:szCs w:val="24"/>
        </w:rPr>
        <w:t xml:space="preserve"> </w:t>
      </w:r>
    </w:p>
    <w:p w14:paraId="209258E2"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Proper solid waste management promotes SDG 3 (healthy lives and promotion of wellbeing), SDG 6 (water and sanitation), SDG 13 (dealing with climate change and its impact) and SDG 11 (by increasing the percentage of solid waste regularly collected and well managed</w:t>
      </w:r>
      <w:bookmarkStart w:id="27" w:name="_Hlk204847893"/>
      <w:r w:rsidRPr="00042B16">
        <w:rPr>
          <w:rFonts w:ascii="Times New Roman" w:hAnsi="Times New Roman" w:cs="Times New Roman"/>
          <w:sz w:val="24"/>
          <w:szCs w:val="24"/>
        </w:rPr>
        <w:t>) (</w:t>
      </w:r>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w:t>
      </w:r>
      <w:r w:rsidRPr="00042B16">
        <w:rPr>
          <w:rFonts w:ascii="Times New Roman" w:hAnsi="Times New Roman" w:cs="Times New Roman"/>
          <w:sz w:val="24"/>
          <w:szCs w:val="24"/>
        </w:rPr>
        <w:lastRenderedPageBreak/>
        <w:t xml:space="preserve">et al. 2016). Moreover, as </w:t>
      </w:r>
      <w:proofErr w:type="spellStart"/>
      <w:r w:rsidRPr="00042B16">
        <w:rPr>
          <w:rFonts w:ascii="Times New Roman" w:hAnsi="Times New Roman" w:cs="Times New Roman"/>
          <w:sz w:val="24"/>
          <w:szCs w:val="24"/>
        </w:rPr>
        <w:t>Olukoju</w:t>
      </w:r>
      <w:proofErr w:type="spellEnd"/>
      <w:r w:rsidRPr="00042B16">
        <w:rPr>
          <w:rFonts w:ascii="Times New Roman" w:hAnsi="Times New Roman" w:cs="Times New Roman"/>
          <w:sz w:val="24"/>
          <w:szCs w:val="24"/>
        </w:rPr>
        <w:t xml:space="preserve"> (2018) notes with reference to the work of Marshall and </w:t>
      </w:r>
      <w:proofErr w:type="spellStart"/>
      <w:r w:rsidRPr="00042B16">
        <w:rPr>
          <w:rFonts w:ascii="Times New Roman" w:hAnsi="Times New Roman" w:cs="Times New Roman"/>
          <w:sz w:val="24"/>
          <w:szCs w:val="24"/>
        </w:rPr>
        <w:t>Farahbakhsh</w:t>
      </w:r>
      <w:proofErr w:type="spellEnd"/>
      <w:r w:rsidRPr="00042B16">
        <w:rPr>
          <w:rFonts w:ascii="Times New Roman" w:hAnsi="Times New Roman" w:cs="Times New Roman"/>
          <w:sz w:val="24"/>
          <w:szCs w:val="24"/>
        </w:rPr>
        <w:t xml:space="preserve"> (2013) and </w:t>
      </w:r>
      <w:proofErr w:type="spellStart"/>
      <w:r w:rsidRPr="00042B16">
        <w:rPr>
          <w:rFonts w:ascii="Times New Roman" w:hAnsi="Times New Roman" w:cs="Times New Roman"/>
          <w:sz w:val="24"/>
          <w:szCs w:val="24"/>
        </w:rPr>
        <w:t>Okot-Okumu</w:t>
      </w:r>
      <w:proofErr w:type="spellEnd"/>
      <w:r w:rsidRPr="00042B16">
        <w:rPr>
          <w:rFonts w:ascii="Times New Roman" w:hAnsi="Times New Roman" w:cs="Times New Roman"/>
          <w:sz w:val="24"/>
          <w:szCs w:val="24"/>
        </w:rPr>
        <w:t xml:space="preserve"> (2012), </w:t>
      </w:r>
      <w:bookmarkEnd w:id="27"/>
      <w:r w:rsidRPr="00042B16">
        <w:rPr>
          <w:rFonts w:ascii="Times New Roman" w:hAnsi="Times New Roman" w:cs="Times New Roman"/>
          <w:sz w:val="24"/>
          <w:szCs w:val="24"/>
        </w:rPr>
        <w:t xml:space="preserve">the efficiency and effectiveness of solid waste management serve as a barometer of good governance, as well as a measure to gauge the success of municipal management and urban reforms. The drivers of the research on clean cities do not only entail a survey of perceptions of and attitudes towards waste and waste management, but the identification of best practices to address the complex problems associated with city cleanliness. These best practices also represent good governance and must in turn inspire best practices in the context of South African waste management. This literature review was generated as a response to one of the deliverables indicated in the CSIR funded Clean Cities/Towns Project. The deliverable was unpacked during a workshop of relevant stakeholders in January 2019. The initial results were presented in August 2019. </w:t>
      </w:r>
    </w:p>
    <w:p w14:paraId="2968A90D"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The literature review was updated in the aftermath of the pandemic to also include sources on waste generated during the pandemic and the challenges resulting from containment strategies and personal protective equipment, including face masks and gloves. According to Sarkodie and Owusu (2021), the restriction of commercial activities as well as mobility and manufacturing limitations had a profound influence on waste management. The increase in waste and particularly single-use products and the aftermath of panic buying presented new challenges and placed the spotlight particularly on plastic pollution (Sarkodie and Owusu 2021). The management of waste that poses health risks also necessitated adjustments to waste management processes. </w:t>
      </w:r>
    </w:p>
    <w:p w14:paraId="2F2A0E1F"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A study conducted in Accra, Ghana found most of the respondents viewed children as responsible for waste management, followed by community members, district assembly and private operators  In a recent study in Windsor, Johannesburg 25% of the research participants revealed that they believe that municipal authorities are responsible for effective solid waste management by crafting and developing adequate policies and educating the public to be involved in solid waste management (</w:t>
      </w:r>
      <w:bookmarkStart w:id="28" w:name="_Hlk204847749"/>
      <w:bookmarkStart w:id="29" w:name="_Hlk173956984"/>
      <w:proofErr w:type="spellStart"/>
      <w:r w:rsidRPr="00042B16">
        <w:rPr>
          <w:rFonts w:ascii="Times New Roman" w:hAnsi="Times New Roman" w:cs="Times New Roman"/>
          <w:sz w:val="24"/>
          <w:szCs w:val="24"/>
        </w:rPr>
        <w:t>Kubanza</w:t>
      </w:r>
      <w:proofErr w:type="spellEnd"/>
      <w:r w:rsidRPr="00042B16">
        <w:rPr>
          <w:rFonts w:ascii="Times New Roman" w:hAnsi="Times New Roman" w:cs="Times New Roman"/>
          <w:sz w:val="24"/>
          <w:szCs w:val="24"/>
        </w:rPr>
        <w:t xml:space="preserve"> and </w:t>
      </w:r>
      <w:proofErr w:type="spellStart"/>
      <w:r w:rsidRPr="00042B16">
        <w:rPr>
          <w:rFonts w:ascii="Times New Roman" w:hAnsi="Times New Roman" w:cs="Times New Roman"/>
          <w:sz w:val="24"/>
          <w:szCs w:val="24"/>
        </w:rPr>
        <w:t>Simatele</w:t>
      </w:r>
      <w:proofErr w:type="spellEnd"/>
      <w:r w:rsidRPr="00042B16">
        <w:rPr>
          <w:rFonts w:ascii="Times New Roman" w:hAnsi="Times New Roman" w:cs="Times New Roman"/>
          <w:sz w:val="24"/>
          <w:szCs w:val="24"/>
        </w:rPr>
        <w:t xml:space="preserve"> 2020</w:t>
      </w:r>
      <w:bookmarkEnd w:id="28"/>
      <w:r w:rsidRPr="00042B16">
        <w:rPr>
          <w:rFonts w:ascii="Times New Roman" w:hAnsi="Times New Roman" w:cs="Times New Roman"/>
          <w:sz w:val="24"/>
          <w:szCs w:val="24"/>
        </w:rPr>
        <w:t xml:space="preserve">). </w:t>
      </w:r>
      <w:bookmarkEnd w:id="29"/>
      <w:r w:rsidRPr="00042B16">
        <w:rPr>
          <w:rFonts w:ascii="Times New Roman" w:hAnsi="Times New Roman" w:cs="Times New Roman"/>
          <w:sz w:val="24"/>
          <w:szCs w:val="24"/>
        </w:rPr>
        <w:t>A similar percentage believed households should take responsibility for solid waste management, since they generate the waste (</w:t>
      </w:r>
      <w:proofErr w:type="spellStart"/>
      <w:r w:rsidRPr="00042B16">
        <w:rPr>
          <w:rFonts w:ascii="Times New Roman" w:hAnsi="Times New Roman" w:cs="Times New Roman"/>
          <w:sz w:val="24"/>
          <w:szCs w:val="24"/>
        </w:rPr>
        <w:t>Kubanza</w:t>
      </w:r>
      <w:proofErr w:type="spellEnd"/>
      <w:r w:rsidRPr="00042B16">
        <w:rPr>
          <w:rFonts w:ascii="Times New Roman" w:hAnsi="Times New Roman" w:cs="Times New Roman"/>
          <w:sz w:val="24"/>
          <w:szCs w:val="24"/>
        </w:rPr>
        <w:t xml:space="preserve"> and </w:t>
      </w:r>
      <w:proofErr w:type="spellStart"/>
      <w:r w:rsidRPr="00042B16">
        <w:rPr>
          <w:rFonts w:ascii="Times New Roman" w:hAnsi="Times New Roman" w:cs="Times New Roman"/>
          <w:sz w:val="24"/>
          <w:szCs w:val="24"/>
        </w:rPr>
        <w:t>Simatele</w:t>
      </w:r>
      <w:proofErr w:type="spellEnd"/>
      <w:r w:rsidRPr="00042B16">
        <w:rPr>
          <w:rFonts w:ascii="Times New Roman" w:hAnsi="Times New Roman" w:cs="Times New Roman"/>
          <w:sz w:val="24"/>
          <w:szCs w:val="24"/>
        </w:rPr>
        <w:t xml:space="preserve"> 2020). </w:t>
      </w:r>
    </w:p>
    <w:p w14:paraId="7B6C9027"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Similarly, in a study conducted in the Kingdom of Bahrain, most respondents also viewed the cleanliness of public areas as a responsibility shared between the government and the </w:t>
      </w:r>
      <w:proofErr w:type="gramStart"/>
      <w:r w:rsidRPr="00042B16">
        <w:rPr>
          <w:rFonts w:ascii="Times New Roman" w:hAnsi="Times New Roman" w:cs="Times New Roman"/>
          <w:sz w:val="24"/>
          <w:szCs w:val="24"/>
        </w:rPr>
        <w:t>public  A</w:t>
      </w:r>
      <w:proofErr w:type="gramEnd"/>
      <w:r w:rsidRPr="00042B16">
        <w:rPr>
          <w:rFonts w:ascii="Times New Roman" w:hAnsi="Times New Roman" w:cs="Times New Roman"/>
          <w:sz w:val="24"/>
          <w:szCs w:val="24"/>
        </w:rPr>
        <w:t xml:space="preserve"> study in Abadan, Iran (Babaei et al. 2015) found that women took greater responsibility in terms of the domestic household and there was reasonably effective participation in source </w:t>
      </w:r>
      <w:r w:rsidRPr="00042B16">
        <w:rPr>
          <w:rFonts w:ascii="Times New Roman" w:hAnsi="Times New Roman" w:cs="Times New Roman"/>
          <w:sz w:val="24"/>
          <w:szCs w:val="24"/>
        </w:rPr>
        <w:lastRenderedPageBreak/>
        <w:t xml:space="preserve">separation and recycling. Consequently, one of the recommendations was that training programmes should focus on this group (Babaei et al. 2015). </w:t>
      </w:r>
    </w:p>
    <w:p w14:paraId="0EE320A8"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Understanding societal behaviour in order to reduce and divert waste going to landfills in a study focusing on </w:t>
      </w:r>
      <w:proofErr w:type="spellStart"/>
      <w:r w:rsidRPr="00042B16">
        <w:rPr>
          <w:rFonts w:ascii="Times New Roman" w:hAnsi="Times New Roman" w:cs="Times New Roman"/>
          <w:sz w:val="24"/>
          <w:szCs w:val="24"/>
        </w:rPr>
        <w:t>Wolkinte</w:t>
      </w:r>
      <w:proofErr w:type="spellEnd"/>
      <w:r w:rsidRPr="00042B16">
        <w:rPr>
          <w:rFonts w:ascii="Times New Roman" w:hAnsi="Times New Roman" w:cs="Times New Roman"/>
          <w:sz w:val="24"/>
          <w:szCs w:val="24"/>
        </w:rPr>
        <w:t xml:space="preserve">, Ethiopia, </w:t>
      </w:r>
      <w:proofErr w:type="spellStart"/>
      <w:r w:rsidRPr="00042B16">
        <w:rPr>
          <w:rFonts w:ascii="Times New Roman" w:hAnsi="Times New Roman" w:cs="Times New Roman"/>
          <w:sz w:val="24"/>
          <w:szCs w:val="24"/>
        </w:rPr>
        <w:t>Wassihun</w:t>
      </w:r>
      <w:proofErr w:type="spellEnd"/>
      <w:r w:rsidRPr="00042B16">
        <w:rPr>
          <w:rFonts w:ascii="Times New Roman" w:hAnsi="Times New Roman" w:cs="Times New Roman"/>
          <w:sz w:val="24"/>
          <w:szCs w:val="24"/>
        </w:rPr>
        <w:t xml:space="preserve"> and </w:t>
      </w:r>
      <w:proofErr w:type="spellStart"/>
      <w:r w:rsidRPr="00042B16">
        <w:rPr>
          <w:rFonts w:ascii="Times New Roman" w:hAnsi="Times New Roman" w:cs="Times New Roman"/>
          <w:sz w:val="24"/>
          <w:szCs w:val="24"/>
        </w:rPr>
        <w:t>Gichamo</w:t>
      </w:r>
      <w:proofErr w:type="spellEnd"/>
      <w:r w:rsidRPr="00042B16">
        <w:rPr>
          <w:rFonts w:ascii="Times New Roman" w:hAnsi="Times New Roman" w:cs="Times New Roman"/>
          <w:sz w:val="24"/>
          <w:szCs w:val="24"/>
        </w:rPr>
        <w:t xml:space="preserve"> (2019) note that the failure to take the initiative and accept responsibility for waste management as an expression of environmental citizenship is tied up with divisive identity politics. note that street cleanliness is a shared responsibility of citizens and local authorities. Willingness to volunteer in street cleaning campaigns can be linked to a strong sense of belonging that community members feel in relation to their local public places.</w:t>
      </w:r>
    </w:p>
    <w:p w14:paraId="3A688381"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Consequences of poor solid waste management Waste disposal practices can contribute to environmental and health problems because of the emission of harmful gasses and leachates (Akmal and Jamil 2021). Moreover, if harmful objects, such as sharp syringes, razors and blades are not disposed of properly, they pose dire health risks (Akmal and Jamil 2021). </w:t>
      </w:r>
    </w:p>
    <w:p w14:paraId="5689C7B9"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Particularly in the era of the COVID 19 pandemic, healthcare waste combined with related infectious waste including tissues, gloves, masks and gauze create new risks and challenges (Khan 2020</w:t>
      </w:r>
      <w:bookmarkStart w:id="30" w:name="_Hlk204847442"/>
      <w:r w:rsidRPr="00042B16">
        <w:rPr>
          <w:rFonts w:ascii="Times New Roman" w:hAnsi="Times New Roman" w:cs="Times New Roman"/>
          <w:sz w:val="24"/>
          <w:szCs w:val="24"/>
        </w:rPr>
        <w:t>). Khan (2020</w:t>
      </w:r>
      <w:bookmarkEnd w:id="30"/>
      <w:r w:rsidRPr="00042B16">
        <w:rPr>
          <w:rFonts w:ascii="Times New Roman" w:hAnsi="Times New Roman" w:cs="Times New Roman"/>
          <w:sz w:val="24"/>
          <w:szCs w:val="24"/>
        </w:rPr>
        <w:t xml:space="preserve">) mentions the increase in mixed waste, more plastic and the challenge with selling reusable items that might transmit the virus, the absence of estimates of the quantity of household hazardous waste generated, increased littering and illegal dumping as well as open burning, inadequate awareness of proper waste management and consequently the need for new legal norms to address the pandemic. </w:t>
      </w:r>
    </w:p>
    <w:p w14:paraId="7EBFF891"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In Africa waste management involves huge public health and environmental challenges (</w:t>
      </w:r>
      <w:proofErr w:type="spellStart"/>
      <w:r w:rsidRPr="00042B16">
        <w:rPr>
          <w:rFonts w:ascii="Times New Roman" w:hAnsi="Times New Roman" w:cs="Times New Roman"/>
          <w:sz w:val="24"/>
          <w:szCs w:val="24"/>
        </w:rPr>
        <w:t>Hoornweg</w:t>
      </w:r>
      <w:proofErr w:type="spellEnd"/>
      <w:r w:rsidRPr="00042B16">
        <w:rPr>
          <w:rFonts w:ascii="Times New Roman" w:hAnsi="Times New Roman" w:cs="Times New Roman"/>
          <w:sz w:val="24"/>
          <w:szCs w:val="24"/>
        </w:rPr>
        <w:t xml:space="preserve"> and </w:t>
      </w:r>
      <w:proofErr w:type="spellStart"/>
      <w:r w:rsidRPr="00042B16">
        <w:rPr>
          <w:rFonts w:ascii="Times New Roman" w:hAnsi="Times New Roman" w:cs="Times New Roman"/>
          <w:sz w:val="24"/>
          <w:szCs w:val="24"/>
        </w:rPr>
        <w:t>Bhada</w:t>
      </w:r>
      <w:proofErr w:type="spellEnd"/>
      <w:r w:rsidRPr="00042B16">
        <w:rPr>
          <w:rFonts w:ascii="Times New Roman" w:hAnsi="Times New Roman" w:cs="Times New Roman"/>
          <w:sz w:val="24"/>
          <w:szCs w:val="24"/>
        </w:rPr>
        <w:t xml:space="preserve">-Tata 2012; Omer 2021). </w:t>
      </w:r>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et al. (2016: 60) indicate that the solid waste impacts on health “may range from mild psychological effects to severe morbidity, disability or death”. They identify four health impact categories: (1) infection transmission of bacterial, viral and other organisms causing disease; (2) physical bodily injury that may result from cuts, drowning, blunt trauma, chemical or radiation injuries, leading to skin or inhalation burns to longer-range effects; (3) long-term exposure can cause non-communicable diseases such as cellular damage, cancer or bodily organ injury and damage; and (4) emotional/psychological effects (</w:t>
      </w:r>
      <w:proofErr w:type="spellStart"/>
      <w:r w:rsidRPr="00042B16">
        <w:rPr>
          <w:rFonts w:ascii="Times New Roman" w:hAnsi="Times New Roman" w:cs="Times New Roman"/>
          <w:sz w:val="24"/>
          <w:szCs w:val="24"/>
        </w:rPr>
        <w:t>Ziraba</w:t>
      </w:r>
      <w:proofErr w:type="spellEnd"/>
      <w:r w:rsidRPr="00042B16">
        <w:rPr>
          <w:rFonts w:ascii="Times New Roman" w:hAnsi="Times New Roman" w:cs="Times New Roman"/>
          <w:sz w:val="24"/>
          <w:szCs w:val="24"/>
        </w:rPr>
        <w:t xml:space="preserve"> et al. 2016). </w:t>
      </w:r>
    </w:p>
    <w:p w14:paraId="25AFD640"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 xml:space="preserve">These authors recommend prioritising waste management as a social service with adequate budget allocation, engaging several stakeholders to  Waste RDI Roadmap Grant Funded Research Project Clean cities and towns: Understanding societal behaviour in order to reduce </w:t>
      </w:r>
      <w:r w:rsidRPr="00042B16">
        <w:rPr>
          <w:rFonts w:ascii="Times New Roman" w:hAnsi="Times New Roman" w:cs="Times New Roman"/>
          <w:sz w:val="24"/>
          <w:szCs w:val="24"/>
        </w:rPr>
        <w:lastRenderedPageBreak/>
        <w:t xml:space="preserve">and divert waste going to landfills manage waste and foster a sense of responsibility, mandating the use of protective gear, educating the public on the role of the individual in proper waste management, implementing a comprehensive plan building on best practices in other countries. and encouraging a culture of recycling. </w:t>
      </w:r>
    </w:p>
    <w:p w14:paraId="65BB2D97" w14:textId="77777777" w:rsidR="008E008F" w:rsidRPr="002C4DBE" w:rsidRDefault="008E008F" w:rsidP="008E008F">
      <w:pPr>
        <w:pStyle w:val="Heading2"/>
        <w:spacing w:line="360" w:lineRule="auto"/>
        <w:rPr>
          <w:rFonts w:cs="Times New Roman"/>
          <w:szCs w:val="24"/>
        </w:rPr>
      </w:pPr>
      <w:bookmarkStart w:id="31" w:name="_Toc209708319"/>
      <w:r w:rsidRPr="002C4DBE">
        <w:rPr>
          <w:rFonts w:cs="Times New Roman"/>
          <w:szCs w:val="24"/>
        </w:rPr>
        <w:t xml:space="preserve">2.3 </w:t>
      </w:r>
      <w:r>
        <w:rPr>
          <w:rFonts w:cs="Times New Roman"/>
          <w:szCs w:val="24"/>
        </w:rPr>
        <w:t>Municipal Solid waste management in Zambia -</w:t>
      </w:r>
      <w:bookmarkEnd w:id="31"/>
    </w:p>
    <w:p w14:paraId="58D0D99D"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Lusaka city is currently experiencing serious problems at all stages of solid waste management collection, sorting, recycling, reuse, transportation and disposal of garbage (United Nations Integrated Regional Information Network</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2008 and </w:t>
      </w:r>
      <w:proofErr w:type="spellStart"/>
      <w:r w:rsidRPr="00042B16">
        <w:rPr>
          <w:rFonts w:ascii="Times New Roman" w:hAnsi="Times New Roman" w:cs="Times New Roman"/>
          <w:sz w:val="24"/>
          <w:szCs w:val="24"/>
        </w:rPr>
        <w:t>Chulu</w:t>
      </w:r>
      <w:proofErr w:type="spellEnd"/>
      <w:r w:rsidRPr="00042B16">
        <w:rPr>
          <w:rFonts w:ascii="Times New Roman" w:hAnsi="Times New Roman" w:cs="Times New Roman"/>
          <w:sz w:val="24"/>
          <w:szCs w:val="24"/>
        </w:rPr>
        <w:t>, 2017</w:t>
      </w:r>
      <w:r w:rsidRPr="00042B16">
        <w:rPr>
          <w:rFonts w:ascii="Times New Roman" w:hAnsi="Times New Roman" w:cs="Times New Roman"/>
          <w:sz w:val="24"/>
          <w:szCs w:val="24"/>
          <w:lang w:val="en-US"/>
        </w:rPr>
        <w:t xml:space="preserve">; </w:t>
      </w:r>
      <w:proofErr w:type="spellStart"/>
      <w:r w:rsidRPr="00042B16">
        <w:rPr>
          <w:rFonts w:ascii="Times New Roman" w:hAnsi="Times New Roman" w:cs="Times New Roman"/>
          <w:sz w:val="24"/>
          <w:szCs w:val="24"/>
        </w:rPr>
        <w:t>Ebekozien</w:t>
      </w:r>
      <w:proofErr w:type="spellEnd"/>
      <w:r w:rsidRPr="00042B16">
        <w:rPr>
          <w:rFonts w:ascii="Times New Roman" w:hAnsi="Times New Roman" w:cs="Times New Roman"/>
          <w:sz w:val="24"/>
          <w:szCs w:val="24"/>
        </w:rPr>
        <w:t xml:space="preserve"> et al., 2024)</w:t>
      </w:r>
    </w:p>
    <w:p w14:paraId="5F393B1E"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lang w:val="en-US"/>
        </w:rPr>
        <w:t xml:space="preserve">Locally, there is need to look at </w:t>
      </w:r>
      <w:r w:rsidRPr="00042B16">
        <w:rPr>
          <w:rFonts w:ascii="Times New Roman" w:hAnsi="Times New Roman" w:cs="Times New Roman"/>
          <w:sz w:val="24"/>
          <w:szCs w:val="24"/>
        </w:rPr>
        <w:t>the crucial aspect of all value chain involved solid waste management. Generation of waste, separation, Collection, Recycling, re-use, disposal of waste. Lusaka city alone generates about one million tonnes of waste annually and households are the main generators of waste but recent reports such as those by Nawa (2017) have shown that only half of this is taken to the designated dump site.</w:t>
      </w:r>
    </w:p>
    <w:p w14:paraId="319DDAFF" w14:textId="77777777" w:rsidR="008E008F" w:rsidRPr="00042B16" w:rsidRDefault="008E008F" w:rsidP="008E008F">
      <w:pPr>
        <w:spacing w:line="360" w:lineRule="auto"/>
        <w:jc w:val="both"/>
        <w:rPr>
          <w:rFonts w:ascii="Times New Roman" w:hAnsi="Times New Roman" w:cs="Times New Roman"/>
          <w:sz w:val="24"/>
          <w:szCs w:val="24"/>
          <w:lang w:val="en-US"/>
        </w:rPr>
      </w:pPr>
      <w:r w:rsidRPr="00042B16">
        <w:rPr>
          <w:rFonts w:ascii="Times New Roman" w:hAnsi="Times New Roman" w:cs="Times New Roman"/>
          <w:sz w:val="24"/>
          <w:szCs w:val="24"/>
        </w:rPr>
        <w:t xml:space="preserve">According to the </w:t>
      </w:r>
      <w:r w:rsidRPr="00042B16">
        <w:rPr>
          <w:rFonts w:ascii="Times New Roman" w:hAnsi="Times New Roman" w:cs="Times New Roman"/>
          <w:sz w:val="24"/>
          <w:szCs w:val="24"/>
          <w:lang w:val="en-US"/>
        </w:rPr>
        <w:t>(</w:t>
      </w:r>
      <w:r w:rsidRPr="00042B16">
        <w:rPr>
          <w:rFonts w:ascii="Times New Roman" w:hAnsi="Times New Roman" w:cs="Times New Roman"/>
          <w:sz w:val="24"/>
          <w:szCs w:val="24"/>
        </w:rPr>
        <w:t xml:space="preserve">Central Statistical </w:t>
      </w:r>
      <w:proofErr w:type="gramStart"/>
      <w:r w:rsidRPr="00042B16">
        <w:rPr>
          <w:rFonts w:ascii="Times New Roman" w:hAnsi="Times New Roman" w:cs="Times New Roman"/>
          <w:sz w:val="24"/>
          <w:szCs w:val="24"/>
        </w:rPr>
        <w:t xml:space="preserve">Office </w:t>
      </w:r>
      <w:r w:rsidRPr="00042B16">
        <w:rPr>
          <w:rFonts w:ascii="Times New Roman" w:hAnsi="Times New Roman" w:cs="Times New Roman"/>
          <w:sz w:val="24"/>
          <w:szCs w:val="24"/>
          <w:lang w:val="en-US"/>
        </w:rPr>
        <w:t>,</w:t>
      </w:r>
      <w:proofErr w:type="gramEnd"/>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2015), in 2014, Lusaka had 24.8 percent of household waste collected with uncollected waste accumulating in the streets, vacant lots and is often burned in the open. This is regardless of the Lusaka City Council (Municipal Solid Waste Management) Regulations of 2004, which states that “a waste producer shall use the solid waste management system established by the council where such system is in operation upon payment of a solid waste collection fee (Lusaka City Council (Municipal Solid Waste Management) Regulations of 2004). Poor solid waste management in Lusaka city has led to land, water and air pollution and loss of lives due to outbreak of diseases such as cholera, dysentery and other contagious diseases (Kambole, 2002)</w:t>
      </w:r>
    </w:p>
    <w:p w14:paraId="0FE72E19" w14:textId="77777777" w:rsidR="008E008F" w:rsidRPr="00042B16" w:rsidRDefault="008E008F" w:rsidP="008E008F">
      <w:pPr>
        <w:spacing w:line="360" w:lineRule="auto"/>
        <w:jc w:val="both"/>
        <w:rPr>
          <w:rFonts w:ascii="Times New Roman" w:hAnsi="Times New Roman" w:cs="Times New Roman"/>
          <w:sz w:val="24"/>
          <w:szCs w:val="24"/>
        </w:rPr>
      </w:pPr>
      <w:r w:rsidRPr="00042B16">
        <w:rPr>
          <w:rFonts w:ascii="Times New Roman" w:hAnsi="Times New Roman" w:cs="Times New Roman"/>
          <w:sz w:val="24"/>
          <w:szCs w:val="24"/>
        </w:rPr>
        <w:t>In Lusaka, community-based organizations and NGOs are working to address these challenges through various initiatives aimed at promoting waste reduction, recycling, and sustainable waste management practices (</w:t>
      </w:r>
      <w:bookmarkStart w:id="32" w:name="_Hlk171263569"/>
      <w:r w:rsidRPr="00042B16">
        <w:rPr>
          <w:rFonts w:ascii="Times New Roman" w:hAnsi="Times New Roman" w:cs="Times New Roman"/>
          <w:sz w:val="24"/>
          <w:szCs w:val="24"/>
        </w:rPr>
        <w:t>UN Habitat,2010)</w:t>
      </w:r>
      <w:bookmarkEnd w:id="32"/>
      <w:r w:rsidRPr="00042B16">
        <w:rPr>
          <w:rFonts w:ascii="Times New Roman" w:hAnsi="Times New Roman" w:cs="Times New Roman"/>
          <w:sz w:val="24"/>
          <w:szCs w:val="24"/>
        </w:rPr>
        <w:t>. For instance, some community groups in Lusaka have organized waste collection drives, clean-up campaigns, and recycling projects to reduce littering and improve sanitation in their neighbourhoods.</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These initiatives may involve collecting and recycling plastic waste, producing compost from organic waste, or repurposing waste materials into useful products (DCS,2011).  </w:t>
      </w:r>
    </w:p>
    <w:p w14:paraId="08B6F8F0" w14:textId="1C89C33B" w:rsidR="008E008F" w:rsidRPr="002C4DBE" w:rsidRDefault="008E008F" w:rsidP="00F711F5">
      <w:pPr>
        <w:spacing w:line="360" w:lineRule="auto"/>
        <w:jc w:val="both"/>
        <w:rPr>
          <w:rFonts w:ascii="Times New Roman" w:hAnsi="Times New Roman" w:cs="Times New Roman"/>
          <w:b/>
          <w:bCs/>
          <w:sz w:val="24"/>
          <w:szCs w:val="24"/>
        </w:rPr>
      </w:pPr>
      <w:r w:rsidRPr="00042B16">
        <w:rPr>
          <w:rFonts w:ascii="Times New Roman" w:hAnsi="Times New Roman" w:cs="Times New Roman"/>
          <w:sz w:val="24"/>
          <w:szCs w:val="24"/>
        </w:rPr>
        <w:t xml:space="preserve">The New Soweto Market in Lusaka, Zambia, is a bustling African market located on Lumumba Road. Here, you'll find numerous independent vendors selling a wide variety of items, </w:t>
      </w:r>
      <w:r w:rsidRPr="00042B16">
        <w:rPr>
          <w:rFonts w:ascii="Times New Roman" w:hAnsi="Times New Roman" w:cs="Times New Roman"/>
          <w:sz w:val="24"/>
          <w:szCs w:val="24"/>
        </w:rPr>
        <w:lastRenderedPageBreak/>
        <w:t xml:space="preserve">including fresh vegetables, dried foods like </w:t>
      </w:r>
      <w:proofErr w:type="spellStart"/>
      <w:r w:rsidRPr="00042B16">
        <w:rPr>
          <w:rFonts w:ascii="Times New Roman" w:hAnsi="Times New Roman" w:cs="Times New Roman"/>
          <w:sz w:val="24"/>
          <w:szCs w:val="24"/>
        </w:rPr>
        <w:t>ifinkubala</w:t>
      </w:r>
      <w:proofErr w:type="spellEnd"/>
      <w:r w:rsidRPr="00042B16">
        <w:rPr>
          <w:rFonts w:ascii="Times New Roman" w:hAnsi="Times New Roman" w:cs="Times New Roman"/>
          <w:sz w:val="24"/>
          <w:szCs w:val="24"/>
        </w:rPr>
        <w:t xml:space="preserve"> (caterpillars) and </w:t>
      </w:r>
      <w:proofErr w:type="spellStart"/>
      <w:r w:rsidRPr="00042B16">
        <w:rPr>
          <w:rFonts w:ascii="Times New Roman" w:hAnsi="Times New Roman" w:cs="Times New Roman"/>
          <w:sz w:val="24"/>
          <w:szCs w:val="24"/>
        </w:rPr>
        <w:t>kapenta</w:t>
      </w:r>
      <w:proofErr w:type="spellEnd"/>
      <w:r w:rsidRPr="00042B16">
        <w:rPr>
          <w:rFonts w:ascii="Times New Roman" w:hAnsi="Times New Roman" w:cs="Times New Roman"/>
          <w:sz w:val="24"/>
          <w:szCs w:val="24"/>
        </w:rPr>
        <w:t xml:space="preserve"> (tiny fish), and other traditional Zambian foods in bulk. Bargaining and negotiation are encouraged, as not all sellers display prices. It's a vibrant place where you can immerse yourself in the local culture and find everything you need at affordable prices.</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It has gained prominence as a distribution centre for most of the goods coming into Lusaka especially agricultural commodities from other provinces/towns and from other countries like South Africa, Zimbabwe and Tanzania</w:t>
      </w:r>
      <w:r w:rsidRPr="00042B16">
        <w:rPr>
          <w:rFonts w:ascii="Times New Roman" w:hAnsi="Times New Roman" w:cs="Times New Roman"/>
          <w:sz w:val="24"/>
          <w:szCs w:val="24"/>
          <w:lang w:val="en-US"/>
        </w:rPr>
        <w:t xml:space="preserve"> </w:t>
      </w:r>
      <w:r w:rsidRPr="00042B16">
        <w:rPr>
          <w:rFonts w:ascii="Times New Roman" w:hAnsi="Times New Roman" w:cs="Times New Roman"/>
          <w:sz w:val="24"/>
          <w:szCs w:val="24"/>
        </w:rPr>
        <w:t xml:space="preserve">(DCS,2011). </w:t>
      </w:r>
      <w:r w:rsidRPr="002C4DBE">
        <w:rPr>
          <w:rFonts w:ascii="Times New Roman" w:hAnsi="Times New Roman" w:cs="Times New Roman"/>
          <w:sz w:val="24"/>
          <w:szCs w:val="24"/>
        </w:rPr>
        <w:t xml:space="preserve"> </w:t>
      </w:r>
      <w:bookmarkStart w:id="33" w:name="_Hlk209700406"/>
    </w:p>
    <w:p w14:paraId="6E78CB34" w14:textId="37C3FF14" w:rsidR="008E008F" w:rsidRPr="002C4DBE" w:rsidRDefault="008E008F" w:rsidP="008E008F">
      <w:pPr>
        <w:pStyle w:val="Heading1"/>
      </w:pPr>
      <w:bookmarkStart w:id="34" w:name="_Toc209708320"/>
      <w:bookmarkEnd w:id="33"/>
      <w:r w:rsidRPr="002C4DBE">
        <w:t>METHODOLOGY</w:t>
      </w:r>
      <w:bookmarkEnd w:id="34"/>
    </w:p>
    <w:p w14:paraId="2B1876B0" w14:textId="77777777" w:rsidR="008E008F" w:rsidRPr="0025431B" w:rsidRDefault="008E008F" w:rsidP="008E008F">
      <w:pPr>
        <w:pStyle w:val="Heading2"/>
      </w:pPr>
      <w:bookmarkStart w:id="35" w:name="_Toc209708321"/>
      <w:r w:rsidRPr="0025431B">
        <w:t>3.1 Study Design</w:t>
      </w:r>
      <w:bookmarkEnd w:id="35"/>
    </w:p>
    <w:p w14:paraId="648E0DE2"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This study adopted a cross-sectional descriptive design because it allowed data to be collected at a single point in time from a large group of respondents, making it possible to assess current awareness, attitudes, and practices towards segregated solid waste bins at Soweto Market. The design was chosen as it is cost-effective, less time consuming, and suitable for measuring prevalence of knowledge and practices within a defined population (Singh, 2014). Both quantitative and qualitative approaches were applied to capture measurable data from marketeers and to explore perceptions and experiences in more detail. This mixed approach ensured that the study objectives were comprehensively addressed.</w:t>
      </w:r>
    </w:p>
    <w:p w14:paraId="38B79009" w14:textId="77777777" w:rsidR="008E008F" w:rsidRPr="0025431B" w:rsidRDefault="008E008F" w:rsidP="008E008F">
      <w:pPr>
        <w:pStyle w:val="Heading2"/>
      </w:pPr>
      <w:bookmarkStart w:id="36" w:name="_Toc209708322"/>
      <w:r w:rsidRPr="0025431B">
        <w:t>3.2 Study Site</w:t>
      </w:r>
      <w:bookmarkEnd w:id="36"/>
    </w:p>
    <w:p w14:paraId="751D898D"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The study was conducted at Soweto Market, located along Lumumba Road in the central business district of Lusaka. The market is one of the largest and busiest trading areas in Zambia, with more than 500 traders selling fresh produce, dried foods, clothes, and other merchandise. Soweto was purposively selected because of its high waste generation, visible challenges in waste collection and disposal, and the presence of segregated bins for plastics, glass, and compost. Its accessibility and central role in urban trade made it an ideal setting for assessing utilization of waste management systems.</w:t>
      </w:r>
    </w:p>
    <w:p w14:paraId="0932CFBA" w14:textId="77777777" w:rsidR="008E008F" w:rsidRPr="0025431B" w:rsidRDefault="008E008F" w:rsidP="008E008F">
      <w:pPr>
        <w:pStyle w:val="Heading2"/>
      </w:pPr>
      <w:bookmarkStart w:id="37" w:name="_Toc209708323"/>
      <w:r w:rsidRPr="0025431B">
        <w:t>3.3 Study Population</w:t>
      </w:r>
      <w:bookmarkEnd w:id="37"/>
      <w:r>
        <w:t xml:space="preserve"> </w:t>
      </w:r>
    </w:p>
    <w:p w14:paraId="7D57BC74" w14:textId="77777777" w:rsidR="008E008F" w:rsidRPr="00383DE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The study population included marketeers at Soweto Market who had been trading for at least one year, as well as management staff from the Lusaka City Council (LCC) and Soweto Market. Marketeers with at least one year of experience were targeted because they had observed seasonal waste management trends, including the rainy season when waste problems worsen. Only respondents aged 18 years and above were included to ensure informed consent</w:t>
      </w:r>
    </w:p>
    <w:p w14:paraId="29E59C96"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lastRenderedPageBreak/>
        <w:t>The target population consisted of:</w:t>
      </w:r>
    </w:p>
    <w:p w14:paraId="68B4F670" w14:textId="77777777" w:rsidR="008E008F" w:rsidRPr="0025431B" w:rsidRDefault="008E008F" w:rsidP="008E008F">
      <w:pPr>
        <w:numPr>
          <w:ilvl w:val="0"/>
          <w:numId w:val="42"/>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Marketeers</w:t>
      </w:r>
      <w:r w:rsidRPr="0025431B">
        <w:rPr>
          <w:rFonts w:ascii="Times New Roman" w:eastAsia="Calibri" w:hAnsi="Times New Roman" w:cs="Times New Roman"/>
          <w:bCs/>
          <w:sz w:val="24"/>
          <w:szCs w:val="24"/>
        </w:rPr>
        <w:t xml:space="preserve"> (traders) who generate and dispose of waste daily.</w:t>
      </w:r>
    </w:p>
    <w:p w14:paraId="015F1FA0" w14:textId="77777777" w:rsidR="008E008F" w:rsidRPr="0025431B" w:rsidRDefault="008E008F" w:rsidP="008E008F">
      <w:pPr>
        <w:numPr>
          <w:ilvl w:val="0"/>
          <w:numId w:val="42"/>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LCC officials</w:t>
      </w:r>
      <w:r w:rsidRPr="0025431B">
        <w:rPr>
          <w:rFonts w:ascii="Times New Roman" w:eastAsia="Calibri" w:hAnsi="Times New Roman" w:cs="Times New Roman"/>
          <w:bCs/>
          <w:sz w:val="24"/>
          <w:szCs w:val="24"/>
        </w:rPr>
        <w:t xml:space="preserve"> responsible for policy enforcement and waste collection.</w:t>
      </w:r>
    </w:p>
    <w:p w14:paraId="394CF70C" w14:textId="77777777" w:rsidR="008E008F" w:rsidRPr="0025431B" w:rsidRDefault="008E008F" w:rsidP="008E008F">
      <w:pPr>
        <w:numPr>
          <w:ilvl w:val="0"/>
          <w:numId w:val="42"/>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Market management staff</w:t>
      </w:r>
      <w:r w:rsidRPr="0025431B">
        <w:rPr>
          <w:rFonts w:ascii="Times New Roman" w:eastAsia="Calibri" w:hAnsi="Times New Roman" w:cs="Times New Roman"/>
          <w:bCs/>
          <w:sz w:val="24"/>
          <w:szCs w:val="24"/>
        </w:rPr>
        <w:t xml:space="preserve"> directly involved in maintaining cleanliness and overseeing waste disposal systems.</w:t>
      </w:r>
    </w:p>
    <w:p w14:paraId="58AE4A7F" w14:textId="3CF70004" w:rsidR="008E008F" w:rsidRPr="0025431B" w:rsidRDefault="00F711F5" w:rsidP="008E008F">
      <w:pPr>
        <w:pStyle w:val="Heading2"/>
      </w:pPr>
      <w:bookmarkStart w:id="38" w:name="_Toc209708324"/>
      <w:r w:rsidRPr="0025431B">
        <w:t>3.</w:t>
      </w:r>
      <w:r>
        <w:t>4 Sampling</w:t>
      </w:r>
      <w:r w:rsidR="008E008F" w:rsidRPr="0025431B">
        <w:t xml:space="preserve"> Method</w:t>
      </w:r>
      <w:bookmarkEnd w:id="38"/>
    </w:p>
    <w:p w14:paraId="32FFA680" w14:textId="3338616D" w:rsidR="00C43186"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A systematic random sampling technique was used to select traders from the list provided by Soweto Market management. This method was chosen to reduce bias and give all eligible traders an equal chance of being included. In addition, purposive sampling was used to select two respondents from LCC management and two from Soweto Market management, as these were key informants with expert knowledge on waste management strategies.</w:t>
      </w:r>
    </w:p>
    <w:p w14:paraId="71189A87" w14:textId="6B031E04" w:rsidR="008E008F" w:rsidRPr="002C4DBE" w:rsidRDefault="008E008F" w:rsidP="008E008F">
      <w:pPr>
        <w:spacing w:line="360" w:lineRule="auto"/>
        <w:jc w:val="both"/>
        <w:rPr>
          <w:rFonts w:ascii="Times New Roman" w:hAnsi="Times New Roman" w:cs="Times New Roman"/>
          <w:sz w:val="24"/>
          <w:szCs w:val="24"/>
        </w:rPr>
      </w:pPr>
      <w:r w:rsidRPr="002C4DBE">
        <w:rPr>
          <w:rFonts w:ascii="Times New Roman" w:hAnsi="Times New Roman" w:cs="Times New Roman"/>
          <w:b/>
          <w:bCs/>
          <w:sz w:val="24"/>
          <w:szCs w:val="24"/>
        </w:rPr>
        <w:t xml:space="preserve">    </w:t>
      </w:r>
      <w:r w:rsidRPr="002C4DBE">
        <w:rPr>
          <w:rFonts w:ascii="Times New Roman" w:hAnsi="Times New Roman" w:cs="Times New Roman"/>
          <w:sz w:val="24"/>
          <w:szCs w:val="24"/>
        </w:rPr>
        <w:t>Source :(Researchers own construction 2025).</w:t>
      </w:r>
    </w:p>
    <w:p w14:paraId="5E958064" w14:textId="6C8379E3" w:rsidR="008E008F" w:rsidRPr="00EB0E7F" w:rsidRDefault="008E008F" w:rsidP="008E008F">
      <w:pPr>
        <w:pStyle w:val="Heading2"/>
      </w:pPr>
      <w:bookmarkStart w:id="39" w:name="_Toc209708326"/>
      <w:r w:rsidRPr="00EB0E7F">
        <w:t>3.</w:t>
      </w:r>
      <w:r w:rsidR="000F5C82">
        <w:t>4</w:t>
      </w:r>
      <w:r w:rsidRPr="00EB0E7F">
        <w:t>.1 Sample Size</w:t>
      </w:r>
      <w:bookmarkEnd w:id="39"/>
    </w:p>
    <w:p w14:paraId="286B690D"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The sample size was determined using Cochran’s formula, which is suitable for large populations. With a 95% confidence level (Z = 1.96), an estimated prevalence of 80% (p = 0.8), and a margin of error of 5% (e = 0.05), the calculated sample size was approximately 246 respondents. This sample size ensured adequate precision to represent the study population.</w:t>
      </w:r>
    </w:p>
    <w:p w14:paraId="3BA9E0B4" w14:textId="7FC6ADD9" w:rsidR="008E008F" w:rsidRPr="0025431B" w:rsidRDefault="008E008F" w:rsidP="008E008F">
      <w:pPr>
        <w:pStyle w:val="Heading2"/>
      </w:pPr>
      <w:bookmarkStart w:id="40" w:name="_Toc209708327"/>
      <w:r w:rsidRPr="0025431B">
        <w:t>3.</w:t>
      </w:r>
      <w:r w:rsidR="000F5C82">
        <w:t>4</w:t>
      </w:r>
      <w:r w:rsidRPr="0025431B">
        <w:t>.2 Inclusion and Exclusion Criteria</w:t>
      </w:r>
      <w:bookmarkEnd w:id="40"/>
    </w:p>
    <w:p w14:paraId="7F1E3014" w14:textId="77777777" w:rsidR="008E008F" w:rsidRPr="0025431B" w:rsidRDefault="008E008F" w:rsidP="008E008F">
      <w:pPr>
        <w:numPr>
          <w:ilvl w:val="0"/>
          <w:numId w:val="43"/>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Inclusion:</w:t>
      </w:r>
      <w:r w:rsidRPr="0025431B">
        <w:rPr>
          <w:rFonts w:ascii="Times New Roman" w:eastAsia="Calibri" w:hAnsi="Times New Roman" w:cs="Times New Roman"/>
          <w:bCs/>
          <w:sz w:val="24"/>
          <w:szCs w:val="24"/>
        </w:rPr>
        <w:t xml:space="preserve"> Marketeers trading at Soweto Market for at least one year, aged 18 years or above</w:t>
      </w:r>
      <w:r>
        <w:rPr>
          <w:rFonts w:ascii="Times New Roman" w:eastAsia="Calibri" w:hAnsi="Times New Roman" w:cs="Times New Roman"/>
          <w:bCs/>
          <w:sz w:val="24"/>
          <w:szCs w:val="24"/>
        </w:rPr>
        <w:t xml:space="preserve"> reason for 1 year and above the trader has experience how solid waste is being managed in the market during </w:t>
      </w:r>
      <w:proofErr w:type="spellStart"/>
      <w:r>
        <w:rPr>
          <w:rFonts w:ascii="Times New Roman" w:eastAsia="Calibri" w:hAnsi="Times New Roman" w:cs="Times New Roman"/>
          <w:bCs/>
          <w:sz w:val="24"/>
          <w:szCs w:val="24"/>
        </w:rPr>
        <w:t>rain</w:t>
      </w:r>
      <w:proofErr w:type="spellEnd"/>
      <w:r>
        <w:rPr>
          <w:rFonts w:ascii="Times New Roman" w:eastAsia="Calibri" w:hAnsi="Times New Roman" w:cs="Times New Roman"/>
          <w:bCs/>
          <w:sz w:val="24"/>
          <w:szCs w:val="24"/>
        </w:rPr>
        <w:t xml:space="preserve"> season which is a challenging period for solid management</w:t>
      </w:r>
      <w:r w:rsidRPr="0025431B">
        <w:rPr>
          <w:rFonts w:ascii="Times New Roman" w:eastAsia="Calibri" w:hAnsi="Times New Roman" w:cs="Times New Roman"/>
          <w:bCs/>
          <w:sz w:val="24"/>
          <w:szCs w:val="24"/>
        </w:rPr>
        <w:t>; LCC and market management staff with at least two years of experience</w:t>
      </w:r>
      <w:r>
        <w:rPr>
          <w:rFonts w:ascii="Times New Roman" w:eastAsia="Calibri" w:hAnsi="Times New Roman" w:cs="Times New Roman"/>
          <w:bCs/>
          <w:sz w:val="24"/>
          <w:szCs w:val="24"/>
        </w:rPr>
        <w:t xml:space="preserve"> reason being 2 </w:t>
      </w:r>
      <w:proofErr w:type="spellStart"/>
      <w:r>
        <w:rPr>
          <w:rFonts w:ascii="Times New Roman" w:eastAsia="Calibri" w:hAnsi="Times New Roman" w:cs="Times New Roman"/>
          <w:bCs/>
          <w:sz w:val="24"/>
          <w:szCs w:val="24"/>
        </w:rPr>
        <w:t>years experience</w:t>
      </w:r>
      <w:proofErr w:type="spellEnd"/>
      <w:r>
        <w:rPr>
          <w:rFonts w:ascii="Times New Roman" w:eastAsia="Calibri" w:hAnsi="Times New Roman" w:cs="Times New Roman"/>
          <w:bCs/>
          <w:sz w:val="24"/>
          <w:szCs w:val="24"/>
        </w:rPr>
        <w:t xml:space="preserve"> is enough to under how solid waste is being managed in the market place having experience 2 rain season which is a challenging.</w:t>
      </w:r>
    </w:p>
    <w:p w14:paraId="4427758A" w14:textId="4A2D21FE" w:rsidR="008E008F" w:rsidRPr="0025431B" w:rsidRDefault="008E008F" w:rsidP="008E008F">
      <w:pPr>
        <w:numPr>
          <w:ilvl w:val="0"/>
          <w:numId w:val="43"/>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Exclusion:</w:t>
      </w:r>
      <w:r w:rsidRPr="0025431B">
        <w:rPr>
          <w:rFonts w:ascii="Times New Roman" w:eastAsia="Calibri" w:hAnsi="Times New Roman" w:cs="Times New Roman"/>
          <w:bCs/>
          <w:sz w:val="24"/>
          <w:szCs w:val="24"/>
        </w:rPr>
        <w:t xml:space="preserve"> Traders with less than one year of experience, respondents below 18 years</w:t>
      </w:r>
      <w:r>
        <w:rPr>
          <w:rFonts w:ascii="Times New Roman" w:eastAsia="Calibri" w:hAnsi="Times New Roman" w:cs="Times New Roman"/>
          <w:bCs/>
          <w:sz w:val="24"/>
          <w:szCs w:val="24"/>
        </w:rPr>
        <w:t xml:space="preserve"> are below the adult age according to the Zambian </w:t>
      </w:r>
      <w:r w:rsidR="00FD04D0">
        <w:rPr>
          <w:rFonts w:ascii="Times New Roman" w:eastAsia="Calibri" w:hAnsi="Times New Roman" w:cs="Times New Roman"/>
          <w:bCs/>
          <w:sz w:val="24"/>
          <w:szCs w:val="24"/>
        </w:rPr>
        <w:t>law</w:t>
      </w:r>
      <w:r w:rsidR="00FD04D0" w:rsidRPr="0025431B">
        <w:rPr>
          <w:rFonts w:ascii="Times New Roman" w:eastAsia="Calibri" w:hAnsi="Times New Roman" w:cs="Times New Roman"/>
          <w:bCs/>
          <w:sz w:val="24"/>
          <w:szCs w:val="24"/>
        </w:rPr>
        <w:t xml:space="preserve"> and</w:t>
      </w:r>
      <w:r w:rsidRPr="0025431B">
        <w:rPr>
          <w:rFonts w:ascii="Times New Roman" w:eastAsia="Calibri" w:hAnsi="Times New Roman" w:cs="Times New Roman"/>
          <w:bCs/>
          <w:sz w:val="24"/>
          <w:szCs w:val="24"/>
        </w:rPr>
        <w:t xml:space="preserve"> newly employed junior staff without experience in waste management</w:t>
      </w:r>
      <w:r>
        <w:rPr>
          <w:rFonts w:ascii="Times New Roman" w:eastAsia="Calibri" w:hAnsi="Times New Roman" w:cs="Times New Roman"/>
          <w:bCs/>
          <w:sz w:val="24"/>
          <w:szCs w:val="24"/>
        </w:rPr>
        <w:t xml:space="preserve"> during </w:t>
      </w:r>
      <w:r w:rsidR="00FD04D0">
        <w:rPr>
          <w:rFonts w:ascii="Times New Roman" w:eastAsia="Calibri" w:hAnsi="Times New Roman" w:cs="Times New Roman"/>
          <w:bCs/>
          <w:sz w:val="24"/>
          <w:szCs w:val="24"/>
        </w:rPr>
        <w:t>rainy</w:t>
      </w:r>
      <w:r>
        <w:rPr>
          <w:rFonts w:ascii="Times New Roman" w:eastAsia="Calibri" w:hAnsi="Times New Roman" w:cs="Times New Roman"/>
          <w:bCs/>
          <w:sz w:val="24"/>
          <w:szCs w:val="24"/>
        </w:rPr>
        <w:t xml:space="preserve"> season</w:t>
      </w:r>
      <w:r w:rsidRPr="0025431B">
        <w:rPr>
          <w:rFonts w:ascii="Times New Roman" w:eastAsia="Calibri" w:hAnsi="Times New Roman" w:cs="Times New Roman"/>
          <w:bCs/>
          <w:sz w:val="24"/>
          <w:szCs w:val="24"/>
        </w:rPr>
        <w:t>.</w:t>
      </w:r>
    </w:p>
    <w:p w14:paraId="38D4F5CA" w14:textId="77777777" w:rsidR="008E008F" w:rsidRPr="0025431B" w:rsidRDefault="008E008F" w:rsidP="008E008F">
      <w:pPr>
        <w:pStyle w:val="Heading2"/>
      </w:pPr>
      <w:bookmarkStart w:id="41" w:name="_Toc209708328"/>
      <w:r w:rsidRPr="0025431B">
        <w:lastRenderedPageBreak/>
        <w:t>3.6 Data Collection Tools</w:t>
      </w:r>
      <w:bookmarkEnd w:id="41"/>
    </w:p>
    <w:p w14:paraId="5CE62B3C"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Data was collected using a structured questionnaire with both open-ended and closed-ended questions. The questionnaire had four sections:</w:t>
      </w:r>
    </w:p>
    <w:p w14:paraId="0515895F" w14:textId="77777777" w:rsidR="008E008F" w:rsidRPr="0025431B" w:rsidRDefault="008E008F" w:rsidP="008E008F">
      <w:pPr>
        <w:numPr>
          <w:ilvl w:val="0"/>
          <w:numId w:val="44"/>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Section A:</w:t>
      </w:r>
      <w:r w:rsidRPr="0025431B">
        <w:rPr>
          <w:rFonts w:ascii="Times New Roman" w:eastAsia="Calibri" w:hAnsi="Times New Roman" w:cs="Times New Roman"/>
          <w:bCs/>
          <w:sz w:val="24"/>
          <w:szCs w:val="24"/>
        </w:rPr>
        <w:t xml:space="preserve"> Demographic information.</w:t>
      </w:r>
    </w:p>
    <w:p w14:paraId="2643BC8F" w14:textId="77777777" w:rsidR="008E008F" w:rsidRPr="0025431B" w:rsidRDefault="008E008F" w:rsidP="008E008F">
      <w:pPr>
        <w:numPr>
          <w:ilvl w:val="0"/>
          <w:numId w:val="44"/>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Section B:</w:t>
      </w:r>
      <w:r w:rsidRPr="0025431B">
        <w:rPr>
          <w:rFonts w:ascii="Times New Roman" w:eastAsia="Calibri" w:hAnsi="Times New Roman" w:cs="Times New Roman"/>
          <w:bCs/>
          <w:sz w:val="24"/>
          <w:szCs w:val="24"/>
        </w:rPr>
        <w:t xml:space="preserve"> Awareness of segregated bins.</w:t>
      </w:r>
    </w:p>
    <w:p w14:paraId="0FA57286" w14:textId="77777777" w:rsidR="008E008F" w:rsidRPr="0025431B" w:rsidRDefault="008E008F" w:rsidP="008E008F">
      <w:pPr>
        <w:numPr>
          <w:ilvl w:val="0"/>
          <w:numId w:val="44"/>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Section C:</w:t>
      </w:r>
      <w:r w:rsidRPr="0025431B">
        <w:rPr>
          <w:rFonts w:ascii="Times New Roman" w:eastAsia="Calibri" w:hAnsi="Times New Roman" w:cs="Times New Roman"/>
          <w:bCs/>
          <w:sz w:val="24"/>
          <w:szCs w:val="24"/>
        </w:rPr>
        <w:t xml:space="preserve"> Attitudes towards using segregated bins.</w:t>
      </w:r>
    </w:p>
    <w:p w14:paraId="59273779" w14:textId="77777777" w:rsidR="008E008F" w:rsidRPr="0025431B" w:rsidRDefault="008E008F" w:rsidP="008E008F">
      <w:pPr>
        <w:numPr>
          <w:ilvl w:val="0"/>
          <w:numId w:val="44"/>
        </w:num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
          <w:bCs/>
          <w:sz w:val="24"/>
          <w:szCs w:val="24"/>
        </w:rPr>
        <w:t>Section D:</w:t>
      </w:r>
      <w:r w:rsidRPr="0025431B">
        <w:rPr>
          <w:rFonts w:ascii="Times New Roman" w:eastAsia="Calibri" w:hAnsi="Times New Roman" w:cs="Times New Roman"/>
          <w:bCs/>
          <w:sz w:val="24"/>
          <w:szCs w:val="24"/>
        </w:rPr>
        <w:t xml:space="preserve"> Practices related to waste disposal and recycling.</w:t>
      </w:r>
    </w:p>
    <w:p w14:paraId="50881105"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This structure ensured alignment with the study objectives by directly measuring awareness, attitudes, practices, and institutional measures.</w:t>
      </w:r>
    </w:p>
    <w:p w14:paraId="0F01D485" w14:textId="77777777" w:rsidR="008E008F" w:rsidRPr="0025431B" w:rsidRDefault="008E008F" w:rsidP="008E008F">
      <w:pPr>
        <w:pStyle w:val="Heading2"/>
      </w:pPr>
      <w:bookmarkStart w:id="42" w:name="_Toc209708329"/>
      <w:r w:rsidRPr="0025431B">
        <w:t>3.7 Data Collection Techniques</w:t>
      </w:r>
      <w:bookmarkEnd w:id="42"/>
    </w:p>
    <w:p w14:paraId="5442B4C7"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The questionnaires were self-administered with assistance from trained research assistants to support respondents who required clarification. In-depth interviews were also conducted with key informants (LCC and market management staff) to gain qualitative insights.</w:t>
      </w:r>
    </w:p>
    <w:p w14:paraId="1E1E148E" w14:textId="77777777" w:rsidR="008E008F" w:rsidRPr="0025431B" w:rsidRDefault="008E008F" w:rsidP="008E008F">
      <w:pPr>
        <w:pStyle w:val="Heading2"/>
      </w:pPr>
      <w:bookmarkStart w:id="43" w:name="_Toc209708330"/>
      <w:r w:rsidRPr="0025431B">
        <w:t>3.8 Pretesting and Tool Validation</w:t>
      </w:r>
      <w:bookmarkEnd w:id="43"/>
    </w:p>
    <w:p w14:paraId="03075266"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The questionnaire was pretested with a small sample of traders outside Soweto Market to check for clarity, sensitivity of questions, and flow. Adjustments were made to improve reliability and validity before the main data collection.</w:t>
      </w:r>
    </w:p>
    <w:p w14:paraId="4AF0B91E" w14:textId="77777777" w:rsidR="008E008F" w:rsidRPr="0025431B" w:rsidRDefault="008E008F" w:rsidP="008E008F">
      <w:pPr>
        <w:pStyle w:val="Heading2"/>
      </w:pPr>
      <w:bookmarkStart w:id="44" w:name="_Toc209708331"/>
      <w:r w:rsidRPr="0025431B">
        <w:t>3.9 Data Entry, Processing, and Analysis</w:t>
      </w:r>
      <w:bookmarkEnd w:id="44"/>
    </w:p>
    <w:p w14:paraId="0FFA983C" w14:textId="77777777" w:rsidR="008E008F" w:rsidRPr="0025431B" w:rsidRDefault="008E008F" w:rsidP="008E008F">
      <w:pPr>
        <w:tabs>
          <w:tab w:val="left" w:pos="2340"/>
          <w:tab w:val="left" w:pos="7155"/>
        </w:tabs>
        <w:spacing w:line="360" w:lineRule="auto"/>
        <w:jc w:val="both"/>
        <w:rPr>
          <w:rFonts w:ascii="Times New Roman" w:eastAsia="Calibri" w:hAnsi="Times New Roman" w:cs="Times New Roman"/>
          <w:bCs/>
          <w:sz w:val="24"/>
          <w:szCs w:val="24"/>
        </w:rPr>
      </w:pPr>
      <w:r w:rsidRPr="0025431B">
        <w:rPr>
          <w:rFonts w:ascii="Times New Roman" w:eastAsia="Calibri" w:hAnsi="Times New Roman" w:cs="Times New Roman"/>
          <w:bCs/>
          <w:sz w:val="24"/>
          <w:szCs w:val="24"/>
        </w:rPr>
        <w:t>Completed questionnaires were checked daily for consistency, completeness, and accuracy. Quantitative data was entered into SPSS version 25, where descriptive statistics such as frequencies, percentages, and charts were generated. Qualitative data from open-ended questions and interviews was analysed using thematic analysis, where responses were grouped into key themes related to awareness, attitudes, practices, and institutional measures. This dual approach ensured that both numerical and narrative data informed the findings.</w:t>
      </w:r>
    </w:p>
    <w:p w14:paraId="02D95795" w14:textId="54940BF3" w:rsidR="008E008F" w:rsidRPr="00C039DD" w:rsidRDefault="008E008F" w:rsidP="00C039DD">
      <w:pPr>
        <w:pStyle w:val="Heading1"/>
        <w:rPr>
          <w:lang w:val="en-US"/>
        </w:rPr>
      </w:pPr>
      <w:bookmarkStart w:id="45" w:name="_Toc209708334"/>
      <w:r w:rsidRPr="002C4DBE">
        <w:rPr>
          <w:lang w:val="en-US"/>
        </w:rPr>
        <w:t>RESULTS</w:t>
      </w:r>
      <w:bookmarkEnd w:id="45"/>
    </w:p>
    <w:p w14:paraId="670198B7" w14:textId="77777777" w:rsidR="008E008F" w:rsidRPr="009621AE" w:rsidRDefault="008E008F" w:rsidP="008E008F">
      <w:pPr>
        <w:tabs>
          <w:tab w:val="left" w:pos="2340"/>
          <w:tab w:val="left" w:pos="7155"/>
        </w:tabs>
        <w:spacing w:line="360" w:lineRule="auto"/>
        <w:jc w:val="both"/>
        <w:rPr>
          <w:rFonts w:ascii="Times New Roman" w:eastAsia="Calibri" w:hAnsi="Times New Roman" w:cs="Times New Roman"/>
          <w:sz w:val="24"/>
          <w:szCs w:val="24"/>
        </w:rPr>
      </w:pPr>
      <w:r w:rsidRPr="009621AE">
        <w:rPr>
          <w:rFonts w:ascii="Times New Roman" w:eastAsia="Calibri" w:hAnsi="Times New Roman" w:cs="Times New Roman"/>
          <w:sz w:val="24"/>
          <w:szCs w:val="24"/>
        </w:rPr>
        <w:t xml:space="preserve">This chapter presents the results of the study on the utilization of segregated solid waste bins (plastics, glass, compost) at Soweto Market, Lusaka. Data were collected from 246 respondents, including traders, Lusaka City Council (LCC) officials, and Soweto Market </w:t>
      </w:r>
      <w:r w:rsidRPr="009621AE">
        <w:rPr>
          <w:rFonts w:ascii="Times New Roman" w:eastAsia="Calibri" w:hAnsi="Times New Roman" w:cs="Times New Roman"/>
          <w:sz w:val="24"/>
          <w:szCs w:val="24"/>
        </w:rPr>
        <w:lastRenderedPageBreak/>
        <w:t>management staff. The results are presented in line with the study objectives, beginning with demographic characteristics and followed by awareness levels, attitudes and practices, and institutional measures. Each section includes analysis and discussion that links the findings to existing literature.</w:t>
      </w:r>
    </w:p>
    <w:p w14:paraId="434C828D" w14:textId="77777777" w:rsidR="008E008F" w:rsidRPr="009621AE" w:rsidRDefault="008E008F" w:rsidP="008E008F">
      <w:pPr>
        <w:pStyle w:val="Heading2"/>
      </w:pPr>
      <w:bookmarkStart w:id="46" w:name="_Toc209708336"/>
      <w:r w:rsidRPr="002C4DBE">
        <w:t>4.1 Demographic Characteristics of Respondents</w:t>
      </w:r>
      <w:bookmarkEnd w:id="46"/>
    </w:p>
    <w:p w14:paraId="69393330" w14:textId="33298227" w:rsidR="008E008F" w:rsidRPr="009621AE" w:rsidRDefault="008E008F" w:rsidP="008E008F">
      <w:pPr>
        <w:spacing w:line="360" w:lineRule="auto"/>
        <w:jc w:val="both"/>
        <w:rPr>
          <w:rFonts w:ascii="Times New Roman" w:eastAsia="Calibri" w:hAnsi="Times New Roman" w:cs="Times New Roman"/>
          <w:sz w:val="24"/>
          <w:szCs w:val="24"/>
        </w:rPr>
      </w:pPr>
      <w:r w:rsidRPr="009621AE">
        <w:rPr>
          <w:rFonts w:ascii="Times New Roman" w:eastAsia="Calibri" w:hAnsi="Times New Roman" w:cs="Times New Roman"/>
          <w:sz w:val="24"/>
          <w:szCs w:val="24"/>
        </w:rPr>
        <w:t>Table 1 below shows the demographic characteristics of the respondents.</w:t>
      </w:r>
    </w:p>
    <w:p w14:paraId="526D9BB7" w14:textId="2C537099" w:rsidR="008E008F" w:rsidRPr="002C4DBE" w:rsidRDefault="00561424" w:rsidP="008E008F">
      <w:pPr>
        <w:spacing w:line="360" w:lineRule="auto"/>
        <w:jc w:val="both"/>
        <w:rPr>
          <w:rFonts w:ascii="Times New Roman" w:eastAsia="Calibri" w:hAnsi="Times New Roman" w:cs="Times New Roman"/>
          <w:b/>
          <w:bCs/>
          <w:sz w:val="24"/>
          <w:szCs w:val="24"/>
          <w:lang w:val="en-US"/>
        </w:rPr>
      </w:pPr>
      <w:r w:rsidRPr="009621AE">
        <w:rPr>
          <w:rFonts w:ascii="Times New Roman" w:eastAsia="Calibri" w:hAnsi="Times New Roman" w:cs="Times New Roman"/>
          <w:sz w:val="24"/>
          <w:szCs w:val="24"/>
        </w:rPr>
        <w:t xml:space="preserve">Table </w:t>
      </w:r>
      <w:proofErr w:type="gramStart"/>
      <w:r w:rsidRPr="009621AE">
        <w:rPr>
          <w:rFonts w:ascii="Times New Roman" w:eastAsia="Calibri" w:hAnsi="Times New Roman" w:cs="Times New Roman"/>
          <w:sz w:val="24"/>
          <w:szCs w:val="24"/>
        </w:rPr>
        <w:t xml:space="preserve">1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008E008F" w:rsidRPr="002C4DBE">
        <w:rPr>
          <w:rFonts w:ascii="Times New Roman" w:eastAsia="Calibri" w:hAnsi="Times New Roman" w:cs="Times New Roman"/>
          <w:b/>
          <w:bCs/>
          <w:sz w:val="24"/>
          <w:szCs w:val="24"/>
        </w:rPr>
        <w:t>Demographic Characteristics of Respondents</w:t>
      </w:r>
    </w:p>
    <w:tbl>
      <w:tblPr>
        <w:tblStyle w:val="TableGridLight1"/>
        <w:tblW w:w="9136" w:type="dxa"/>
        <w:tblLayout w:type="fixed"/>
        <w:tblLook w:val="04A0" w:firstRow="1" w:lastRow="0" w:firstColumn="1" w:lastColumn="0" w:noHBand="0" w:noVBand="1"/>
      </w:tblPr>
      <w:tblGrid>
        <w:gridCol w:w="4115"/>
        <w:gridCol w:w="5021"/>
      </w:tblGrid>
      <w:tr w:rsidR="008E008F" w:rsidRPr="002C4DBE" w14:paraId="10AD088A" w14:textId="77777777" w:rsidTr="00124400">
        <w:trPr>
          <w:trHeight w:val="527"/>
        </w:trPr>
        <w:tc>
          <w:tcPr>
            <w:tcW w:w="4115" w:type="dxa"/>
          </w:tcPr>
          <w:p w14:paraId="51FBAF2B" w14:textId="77777777" w:rsidR="008E008F" w:rsidRPr="002C4DBE" w:rsidRDefault="008E008F" w:rsidP="00124400">
            <w:pPr>
              <w:spacing w:line="360" w:lineRule="auto"/>
              <w:jc w:val="both"/>
              <w:rPr>
                <w:b/>
                <w:bCs/>
                <w:sz w:val="24"/>
                <w:szCs w:val="24"/>
              </w:rPr>
            </w:pPr>
            <w:r w:rsidRPr="002C4DBE">
              <w:rPr>
                <w:b/>
                <w:bCs/>
                <w:sz w:val="24"/>
                <w:szCs w:val="24"/>
              </w:rPr>
              <w:t>Demographic Variable</w:t>
            </w:r>
          </w:p>
        </w:tc>
        <w:tc>
          <w:tcPr>
            <w:tcW w:w="5021" w:type="dxa"/>
          </w:tcPr>
          <w:p w14:paraId="3F7BEFD8" w14:textId="77777777" w:rsidR="008E008F" w:rsidRPr="002C4DBE" w:rsidRDefault="008E008F" w:rsidP="00124400">
            <w:pPr>
              <w:spacing w:line="360" w:lineRule="auto"/>
              <w:jc w:val="both"/>
              <w:rPr>
                <w:b/>
                <w:bCs/>
                <w:sz w:val="24"/>
                <w:szCs w:val="24"/>
              </w:rPr>
            </w:pPr>
            <w:proofErr w:type="gramStart"/>
            <w:r w:rsidRPr="002C4DBE">
              <w:rPr>
                <w:b/>
                <w:bCs/>
                <w:sz w:val="24"/>
                <w:szCs w:val="24"/>
              </w:rPr>
              <w:t>Frequency</w:t>
            </w:r>
            <w:r>
              <w:rPr>
                <w:b/>
                <w:bCs/>
                <w:sz w:val="24"/>
                <w:szCs w:val="24"/>
              </w:rPr>
              <w:t xml:space="preserve">  </w:t>
            </w:r>
            <w:r w:rsidRPr="002C4DBE">
              <w:rPr>
                <w:b/>
                <w:bCs/>
                <w:sz w:val="24"/>
                <w:szCs w:val="24"/>
              </w:rPr>
              <w:t>Percentage</w:t>
            </w:r>
            <w:proofErr w:type="gramEnd"/>
            <w:r w:rsidRPr="002C4DBE">
              <w:rPr>
                <w:b/>
                <w:bCs/>
                <w:sz w:val="24"/>
                <w:szCs w:val="24"/>
              </w:rPr>
              <w:t xml:space="preserve"> (%)</w:t>
            </w:r>
          </w:p>
        </w:tc>
      </w:tr>
      <w:tr w:rsidR="008E008F" w:rsidRPr="002C4DBE" w14:paraId="39CF72F3" w14:textId="77777777" w:rsidTr="00124400">
        <w:trPr>
          <w:trHeight w:val="543"/>
        </w:trPr>
        <w:tc>
          <w:tcPr>
            <w:tcW w:w="9136" w:type="dxa"/>
            <w:gridSpan w:val="2"/>
          </w:tcPr>
          <w:p w14:paraId="592D4C28" w14:textId="77777777" w:rsidR="008E008F" w:rsidRPr="002C4DBE" w:rsidRDefault="008E008F" w:rsidP="00124400">
            <w:pPr>
              <w:spacing w:line="360" w:lineRule="auto"/>
              <w:jc w:val="both"/>
              <w:rPr>
                <w:sz w:val="24"/>
                <w:szCs w:val="24"/>
              </w:rPr>
            </w:pPr>
            <w:r>
              <w:rPr>
                <w:b/>
                <w:bCs/>
                <w:sz w:val="24"/>
                <w:szCs w:val="24"/>
              </w:rPr>
              <w:t xml:space="preserve">  </w:t>
            </w:r>
            <w:r w:rsidRPr="002C4DBE">
              <w:rPr>
                <w:b/>
                <w:bCs/>
                <w:sz w:val="24"/>
                <w:szCs w:val="24"/>
              </w:rPr>
              <w:t>Gender</w:t>
            </w:r>
            <w:r>
              <w:rPr>
                <w:b/>
                <w:bCs/>
                <w:sz w:val="24"/>
                <w:szCs w:val="24"/>
              </w:rPr>
              <w:tab/>
            </w:r>
          </w:p>
        </w:tc>
      </w:tr>
      <w:tr w:rsidR="008E008F" w:rsidRPr="002C4DBE" w14:paraId="29C7C59B" w14:textId="77777777" w:rsidTr="00124400">
        <w:trPr>
          <w:trHeight w:val="527"/>
        </w:trPr>
        <w:tc>
          <w:tcPr>
            <w:tcW w:w="4115" w:type="dxa"/>
          </w:tcPr>
          <w:p w14:paraId="667994A4" w14:textId="77777777" w:rsidR="008E008F" w:rsidRPr="002C4DBE" w:rsidRDefault="008E008F" w:rsidP="00124400">
            <w:pPr>
              <w:spacing w:line="360" w:lineRule="auto"/>
              <w:jc w:val="both"/>
              <w:rPr>
                <w:sz w:val="24"/>
                <w:szCs w:val="24"/>
              </w:rPr>
            </w:pPr>
            <w:r w:rsidRPr="002C4DBE">
              <w:rPr>
                <w:sz w:val="24"/>
                <w:szCs w:val="24"/>
              </w:rPr>
              <w:t>Male</w:t>
            </w:r>
          </w:p>
        </w:tc>
        <w:tc>
          <w:tcPr>
            <w:tcW w:w="5021" w:type="dxa"/>
          </w:tcPr>
          <w:p w14:paraId="6148328A" w14:textId="77777777" w:rsidR="008E008F" w:rsidRPr="002C4DBE" w:rsidRDefault="008E008F" w:rsidP="00124400">
            <w:pPr>
              <w:spacing w:line="360" w:lineRule="auto"/>
              <w:jc w:val="both"/>
              <w:rPr>
                <w:sz w:val="24"/>
                <w:szCs w:val="24"/>
              </w:rPr>
            </w:pPr>
            <w:proofErr w:type="gramStart"/>
            <w:r w:rsidRPr="002C4DBE">
              <w:rPr>
                <w:sz w:val="24"/>
                <w:szCs w:val="24"/>
              </w:rPr>
              <w:t>70</w:t>
            </w:r>
            <w:r>
              <w:rPr>
                <w:sz w:val="24"/>
                <w:szCs w:val="24"/>
              </w:rPr>
              <w:t xml:space="preserve">  (</w:t>
            </w:r>
            <w:proofErr w:type="gramEnd"/>
            <w:r w:rsidRPr="002C4DBE">
              <w:rPr>
                <w:sz w:val="24"/>
                <w:szCs w:val="24"/>
              </w:rPr>
              <w:t>28%</w:t>
            </w:r>
            <w:r>
              <w:rPr>
                <w:sz w:val="24"/>
                <w:szCs w:val="24"/>
              </w:rPr>
              <w:t>)</w:t>
            </w:r>
          </w:p>
        </w:tc>
      </w:tr>
      <w:tr w:rsidR="008E008F" w:rsidRPr="002C4DBE" w14:paraId="667352A9" w14:textId="77777777" w:rsidTr="00124400">
        <w:trPr>
          <w:trHeight w:val="527"/>
        </w:trPr>
        <w:tc>
          <w:tcPr>
            <w:tcW w:w="4115" w:type="dxa"/>
          </w:tcPr>
          <w:p w14:paraId="6FF48D3E" w14:textId="77777777" w:rsidR="008E008F" w:rsidRPr="002C4DBE" w:rsidRDefault="008E008F" w:rsidP="00124400">
            <w:pPr>
              <w:spacing w:line="360" w:lineRule="auto"/>
              <w:jc w:val="both"/>
              <w:rPr>
                <w:sz w:val="24"/>
                <w:szCs w:val="24"/>
              </w:rPr>
            </w:pPr>
            <w:r w:rsidRPr="002C4DBE">
              <w:rPr>
                <w:sz w:val="24"/>
                <w:szCs w:val="24"/>
              </w:rPr>
              <w:t>Female</w:t>
            </w:r>
          </w:p>
        </w:tc>
        <w:tc>
          <w:tcPr>
            <w:tcW w:w="5021" w:type="dxa"/>
          </w:tcPr>
          <w:p w14:paraId="13DB7DBC" w14:textId="77777777" w:rsidR="008E008F" w:rsidRPr="002C4DBE" w:rsidRDefault="008E008F" w:rsidP="00124400">
            <w:pPr>
              <w:spacing w:line="360" w:lineRule="auto"/>
              <w:jc w:val="both"/>
              <w:rPr>
                <w:sz w:val="24"/>
                <w:szCs w:val="24"/>
              </w:rPr>
            </w:pPr>
            <w:r w:rsidRPr="002C4DBE">
              <w:rPr>
                <w:sz w:val="24"/>
                <w:szCs w:val="24"/>
              </w:rPr>
              <w:t>176</w:t>
            </w:r>
            <w:r>
              <w:rPr>
                <w:sz w:val="24"/>
                <w:szCs w:val="24"/>
              </w:rPr>
              <w:t xml:space="preserve"> (</w:t>
            </w:r>
            <w:r w:rsidRPr="002C4DBE">
              <w:rPr>
                <w:sz w:val="24"/>
                <w:szCs w:val="24"/>
              </w:rPr>
              <w:t>72%</w:t>
            </w:r>
            <w:r>
              <w:rPr>
                <w:sz w:val="24"/>
                <w:szCs w:val="24"/>
              </w:rPr>
              <w:t>)</w:t>
            </w:r>
          </w:p>
        </w:tc>
      </w:tr>
      <w:tr w:rsidR="008E008F" w:rsidRPr="002C4DBE" w14:paraId="5DD3B24E" w14:textId="77777777" w:rsidTr="00124400">
        <w:trPr>
          <w:trHeight w:val="543"/>
        </w:trPr>
        <w:tc>
          <w:tcPr>
            <w:tcW w:w="4115" w:type="dxa"/>
          </w:tcPr>
          <w:p w14:paraId="71371487" w14:textId="77777777" w:rsidR="008E008F" w:rsidRPr="002C4DBE" w:rsidRDefault="008E008F" w:rsidP="00124400">
            <w:pPr>
              <w:spacing w:line="360" w:lineRule="auto"/>
              <w:jc w:val="both"/>
              <w:rPr>
                <w:sz w:val="24"/>
                <w:szCs w:val="24"/>
              </w:rPr>
            </w:pPr>
            <w:r w:rsidRPr="002C4DBE">
              <w:rPr>
                <w:b/>
                <w:bCs/>
                <w:sz w:val="24"/>
                <w:szCs w:val="24"/>
              </w:rPr>
              <w:t>Age Group</w:t>
            </w:r>
          </w:p>
        </w:tc>
        <w:tc>
          <w:tcPr>
            <w:tcW w:w="5021" w:type="dxa"/>
          </w:tcPr>
          <w:p w14:paraId="691B77E6" w14:textId="77777777" w:rsidR="008E008F" w:rsidRPr="002C4DBE" w:rsidRDefault="008E008F" w:rsidP="00124400">
            <w:pPr>
              <w:spacing w:line="360" w:lineRule="auto"/>
              <w:jc w:val="both"/>
              <w:rPr>
                <w:sz w:val="24"/>
                <w:szCs w:val="24"/>
              </w:rPr>
            </w:pPr>
          </w:p>
        </w:tc>
      </w:tr>
      <w:tr w:rsidR="008E008F" w:rsidRPr="002C4DBE" w14:paraId="6913682C" w14:textId="77777777" w:rsidTr="00124400">
        <w:trPr>
          <w:trHeight w:val="527"/>
        </w:trPr>
        <w:tc>
          <w:tcPr>
            <w:tcW w:w="4115" w:type="dxa"/>
          </w:tcPr>
          <w:p w14:paraId="1D6C4EED" w14:textId="77777777" w:rsidR="008E008F" w:rsidRPr="002C4DBE" w:rsidRDefault="008E008F" w:rsidP="00124400">
            <w:pPr>
              <w:spacing w:line="360" w:lineRule="auto"/>
              <w:jc w:val="both"/>
              <w:rPr>
                <w:sz w:val="24"/>
                <w:szCs w:val="24"/>
              </w:rPr>
            </w:pPr>
            <w:r w:rsidRPr="002C4DBE">
              <w:rPr>
                <w:sz w:val="24"/>
                <w:szCs w:val="24"/>
              </w:rPr>
              <w:t>18-2</w:t>
            </w:r>
            <w:r w:rsidRPr="002C4DBE">
              <w:rPr>
                <w:sz w:val="24"/>
                <w:szCs w:val="24"/>
                <w:lang w:val="en-US"/>
              </w:rPr>
              <w:t>4</w:t>
            </w:r>
            <w:r w:rsidRPr="002C4DBE">
              <w:rPr>
                <w:sz w:val="24"/>
                <w:szCs w:val="24"/>
              </w:rPr>
              <w:t xml:space="preserve"> years</w:t>
            </w:r>
          </w:p>
        </w:tc>
        <w:tc>
          <w:tcPr>
            <w:tcW w:w="5021" w:type="dxa"/>
          </w:tcPr>
          <w:p w14:paraId="5F1CA5D9" w14:textId="77777777" w:rsidR="008E008F" w:rsidRPr="002C4DBE" w:rsidRDefault="008E008F" w:rsidP="00124400">
            <w:pPr>
              <w:spacing w:line="360" w:lineRule="auto"/>
              <w:jc w:val="both"/>
              <w:rPr>
                <w:sz w:val="24"/>
                <w:szCs w:val="24"/>
              </w:rPr>
            </w:pPr>
            <w:r w:rsidRPr="002C4DBE">
              <w:rPr>
                <w:sz w:val="24"/>
                <w:szCs w:val="24"/>
              </w:rPr>
              <w:t>41</w:t>
            </w:r>
            <w:r>
              <w:rPr>
                <w:sz w:val="24"/>
                <w:szCs w:val="24"/>
              </w:rPr>
              <w:t xml:space="preserve"> (</w:t>
            </w:r>
            <w:r w:rsidRPr="002C4DBE">
              <w:rPr>
                <w:sz w:val="24"/>
                <w:szCs w:val="24"/>
              </w:rPr>
              <w:t>17%</w:t>
            </w:r>
            <w:r>
              <w:rPr>
                <w:sz w:val="24"/>
                <w:szCs w:val="24"/>
              </w:rPr>
              <w:t>)</w:t>
            </w:r>
          </w:p>
        </w:tc>
      </w:tr>
      <w:tr w:rsidR="008E008F" w:rsidRPr="002C4DBE" w14:paraId="6B0A9C43" w14:textId="77777777" w:rsidTr="00124400">
        <w:trPr>
          <w:trHeight w:val="527"/>
        </w:trPr>
        <w:tc>
          <w:tcPr>
            <w:tcW w:w="4115" w:type="dxa"/>
          </w:tcPr>
          <w:p w14:paraId="289040DE" w14:textId="77777777" w:rsidR="008E008F" w:rsidRPr="002C4DBE" w:rsidRDefault="008E008F" w:rsidP="00124400">
            <w:pPr>
              <w:spacing w:line="360" w:lineRule="auto"/>
              <w:jc w:val="both"/>
              <w:rPr>
                <w:sz w:val="24"/>
                <w:szCs w:val="24"/>
              </w:rPr>
            </w:pPr>
            <w:r w:rsidRPr="002C4DBE">
              <w:rPr>
                <w:sz w:val="24"/>
                <w:szCs w:val="24"/>
              </w:rPr>
              <w:t>2</w:t>
            </w:r>
            <w:r w:rsidRPr="002C4DBE">
              <w:rPr>
                <w:sz w:val="24"/>
                <w:szCs w:val="24"/>
                <w:lang w:val="en-US"/>
              </w:rPr>
              <w:t>5</w:t>
            </w:r>
            <w:r w:rsidRPr="002C4DBE">
              <w:rPr>
                <w:sz w:val="24"/>
                <w:szCs w:val="24"/>
              </w:rPr>
              <w:t>-</w:t>
            </w:r>
            <w:r w:rsidRPr="002C4DBE">
              <w:rPr>
                <w:sz w:val="24"/>
                <w:szCs w:val="24"/>
                <w:lang w:val="en-US"/>
              </w:rPr>
              <w:t>44</w:t>
            </w:r>
            <w:r w:rsidRPr="002C4DBE">
              <w:rPr>
                <w:sz w:val="24"/>
                <w:szCs w:val="24"/>
              </w:rPr>
              <w:t xml:space="preserve"> years</w:t>
            </w:r>
          </w:p>
        </w:tc>
        <w:tc>
          <w:tcPr>
            <w:tcW w:w="5021" w:type="dxa"/>
          </w:tcPr>
          <w:p w14:paraId="4115592B" w14:textId="77777777" w:rsidR="008E008F" w:rsidRPr="002C4DBE" w:rsidRDefault="008E008F" w:rsidP="00124400">
            <w:pPr>
              <w:spacing w:line="360" w:lineRule="auto"/>
              <w:jc w:val="both"/>
              <w:rPr>
                <w:sz w:val="24"/>
                <w:szCs w:val="24"/>
              </w:rPr>
            </w:pPr>
            <w:r w:rsidRPr="002C4DBE">
              <w:rPr>
                <w:sz w:val="24"/>
                <w:szCs w:val="24"/>
              </w:rPr>
              <w:t>101</w:t>
            </w:r>
            <w:r>
              <w:rPr>
                <w:sz w:val="24"/>
                <w:szCs w:val="24"/>
              </w:rPr>
              <w:t xml:space="preserve"> (</w:t>
            </w:r>
            <w:r w:rsidRPr="002C4DBE">
              <w:rPr>
                <w:sz w:val="24"/>
                <w:szCs w:val="24"/>
              </w:rPr>
              <w:t>41%</w:t>
            </w:r>
            <w:r>
              <w:rPr>
                <w:sz w:val="24"/>
                <w:szCs w:val="24"/>
              </w:rPr>
              <w:t>)</w:t>
            </w:r>
          </w:p>
        </w:tc>
      </w:tr>
      <w:tr w:rsidR="008E008F" w:rsidRPr="002C4DBE" w14:paraId="4B54C24A" w14:textId="77777777" w:rsidTr="00124400">
        <w:trPr>
          <w:trHeight w:val="543"/>
        </w:trPr>
        <w:tc>
          <w:tcPr>
            <w:tcW w:w="4115" w:type="dxa"/>
          </w:tcPr>
          <w:p w14:paraId="1119A7C9" w14:textId="77777777" w:rsidR="008E008F" w:rsidRPr="002C4DBE" w:rsidRDefault="008E008F" w:rsidP="00124400">
            <w:pPr>
              <w:spacing w:line="360" w:lineRule="auto"/>
              <w:jc w:val="both"/>
              <w:rPr>
                <w:sz w:val="24"/>
                <w:szCs w:val="24"/>
              </w:rPr>
            </w:pPr>
            <w:r w:rsidRPr="002C4DBE">
              <w:rPr>
                <w:sz w:val="24"/>
                <w:szCs w:val="24"/>
                <w:lang w:val="en-US"/>
              </w:rPr>
              <w:t>45</w:t>
            </w:r>
            <w:r w:rsidRPr="002C4DBE">
              <w:rPr>
                <w:sz w:val="24"/>
                <w:szCs w:val="24"/>
              </w:rPr>
              <w:t>-5</w:t>
            </w:r>
            <w:r w:rsidRPr="002C4DBE">
              <w:rPr>
                <w:sz w:val="24"/>
                <w:szCs w:val="24"/>
                <w:lang w:val="en-US"/>
              </w:rPr>
              <w:t>4</w:t>
            </w:r>
            <w:r w:rsidRPr="002C4DBE">
              <w:rPr>
                <w:sz w:val="24"/>
                <w:szCs w:val="24"/>
              </w:rPr>
              <w:t xml:space="preserve"> years</w:t>
            </w:r>
          </w:p>
        </w:tc>
        <w:tc>
          <w:tcPr>
            <w:tcW w:w="5021" w:type="dxa"/>
          </w:tcPr>
          <w:p w14:paraId="20467DCC" w14:textId="77777777" w:rsidR="008E008F" w:rsidRPr="002C4DBE" w:rsidRDefault="008E008F" w:rsidP="00124400">
            <w:pPr>
              <w:spacing w:line="360" w:lineRule="auto"/>
              <w:jc w:val="both"/>
              <w:rPr>
                <w:sz w:val="24"/>
                <w:szCs w:val="24"/>
              </w:rPr>
            </w:pPr>
            <w:r w:rsidRPr="002C4DBE">
              <w:rPr>
                <w:sz w:val="24"/>
                <w:szCs w:val="24"/>
              </w:rPr>
              <w:t>83</w:t>
            </w:r>
            <w:r>
              <w:rPr>
                <w:sz w:val="24"/>
                <w:szCs w:val="24"/>
              </w:rPr>
              <w:t xml:space="preserve"> (</w:t>
            </w:r>
            <w:r w:rsidRPr="002C4DBE">
              <w:rPr>
                <w:sz w:val="24"/>
                <w:szCs w:val="24"/>
              </w:rPr>
              <w:t>34%</w:t>
            </w:r>
            <w:r>
              <w:rPr>
                <w:sz w:val="24"/>
                <w:szCs w:val="24"/>
              </w:rPr>
              <w:t>)</w:t>
            </w:r>
          </w:p>
        </w:tc>
      </w:tr>
      <w:tr w:rsidR="008E008F" w:rsidRPr="002C4DBE" w14:paraId="484239DB" w14:textId="77777777" w:rsidTr="00124400">
        <w:trPr>
          <w:trHeight w:val="527"/>
        </w:trPr>
        <w:tc>
          <w:tcPr>
            <w:tcW w:w="4115" w:type="dxa"/>
          </w:tcPr>
          <w:p w14:paraId="0DAE8028" w14:textId="77777777" w:rsidR="008E008F" w:rsidRPr="002C4DBE" w:rsidRDefault="008E008F" w:rsidP="00124400">
            <w:pPr>
              <w:spacing w:line="360" w:lineRule="auto"/>
              <w:jc w:val="both"/>
              <w:rPr>
                <w:sz w:val="24"/>
                <w:szCs w:val="24"/>
              </w:rPr>
            </w:pPr>
            <w:r w:rsidRPr="002C4DBE">
              <w:rPr>
                <w:sz w:val="24"/>
                <w:szCs w:val="24"/>
                <w:lang w:val="en-US"/>
              </w:rPr>
              <w:t>Above 55</w:t>
            </w:r>
            <w:r w:rsidRPr="002C4DBE">
              <w:rPr>
                <w:sz w:val="24"/>
                <w:szCs w:val="24"/>
              </w:rPr>
              <w:t xml:space="preserve"> years</w:t>
            </w:r>
          </w:p>
        </w:tc>
        <w:tc>
          <w:tcPr>
            <w:tcW w:w="5021" w:type="dxa"/>
          </w:tcPr>
          <w:p w14:paraId="7A7727E3" w14:textId="77777777" w:rsidR="008E008F" w:rsidRPr="002C4DBE" w:rsidRDefault="008E008F" w:rsidP="00124400">
            <w:pPr>
              <w:spacing w:line="360" w:lineRule="auto"/>
              <w:jc w:val="both"/>
              <w:rPr>
                <w:sz w:val="24"/>
                <w:szCs w:val="24"/>
              </w:rPr>
            </w:pPr>
            <w:r w:rsidRPr="002C4DBE">
              <w:rPr>
                <w:sz w:val="24"/>
                <w:szCs w:val="24"/>
              </w:rPr>
              <w:t>21</w:t>
            </w:r>
            <w:r>
              <w:rPr>
                <w:sz w:val="24"/>
                <w:szCs w:val="24"/>
              </w:rPr>
              <w:t xml:space="preserve"> (</w:t>
            </w:r>
            <w:r w:rsidRPr="002C4DBE">
              <w:rPr>
                <w:sz w:val="24"/>
                <w:szCs w:val="24"/>
              </w:rPr>
              <w:t>9%</w:t>
            </w:r>
            <w:r>
              <w:rPr>
                <w:sz w:val="24"/>
                <w:szCs w:val="24"/>
              </w:rPr>
              <w:t>)</w:t>
            </w:r>
          </w:p>
        </w:tc>
      </w:tr>
      <w:tr w:rsidR="008E008F" w:rsidRPr="002C4DBE" w14:paraId="7177C767" w14:textId="77777777" w:rsidTr="00124400">
        <w:trPr>
          <w:trHeight w:val="527"/>
        </w:trPr>
        <w:tc>
          <w:tcPr>
            <w:tcW w:w="4115" w:type="dxa"/>
          </w:tcPr>
          <w:p w14:paraId="2FB27348" w14:textId="77777777" w:rsidR="008E008F" w:rsidRPr="002C4DBE" w:rsidRDefault="008E008F" w:rsidP="00124400">
            <w:pPr>
              <w:spacing w:line="360" w:lineRule="auto"/>
              <w:jc w:val="both"/>
              <w:rPr>
                <w:sz w:val="24"/>
                <w:szCs w:val="24"/>
              </w:rPr>
            </w:pPr>
            <w:r w:rsidRPr="002C4DBE">
              <w:rPr>
                <w:b/>
                <w:bCs/>
                <w:sz w:val="24"/>
                <w:szCs w:val="24"/>
              </w:rPr>
              <w:t>Level of Education</w:t>
            </w:r>
          </w:p>
        </w:tc>
        <w:tc>
          <w:tcPr>
            <w:tcW w:w="5021" w:type="dxa"/>
          </w:tcPr>
          <w:p w14:paraId="6BFD5A22" w14:textId="77777777" w:rsidR="008E008F" w:rsidRPr="002C4DBE" w:rsidRDefault="008E008F" w:rsidP="00124400">
            <w:pPr>
              <w:spacing w:line="360" w:lineRule="auto"/>
              <w:jc w:val="both"/>
              <w:rPr>
                <w:sz w:val="24"/>
                <w:szCs w:val="24"/>
              </w:rPr>
            </w:pPr>
          </w:p>
        </w:tc>
      </w:tr>
      <w:tr w:rsidR="008E008F" w:rsidRPr="002C4DBE" w14:paraId="2291419F" w14:textId="77777777" w:rsidTr="00124400">
        <w:trPr>
          <w:trHeight w:val="543"/>
        </w:trPr>
        <w:tc>
          <w:tcPr>
            <w:tcW w:w="4115" w:type="dxa"/>
          </w:tcPr>
          <w:p w14:paraId="1B29C0C4" w14:textId="77777777" w:rsidR="008E008F" w:rsidRPr="002C4DBE" w:rsidRDefault="008E008F" w:rsidP="00124400">
            <w:pPr>
              <w:spacing w:line="360" w:lineRule="auto"/>
              <w:jc w:val="both"/>
              <w:rPr>
                <w:sz w:val="24"/>
                <w:szCs w:val="24"/>
              </w:rPr>
            </w:pPr>
            <w:r w:rsidRPr="002C4DBE">
              <w:rPr>
                <w:sz w:val="24"/>
                <w:szCs w:val="24"/>
              </w:rPr>
              <w:t>No Formal Education</w:t>
            </w:r>
          </w:p>
        </w:tc>
        <w:tc>
          <w:tcPr>
            <w:tcW w:w="5021" w:type="dxa"/>
          </w:tcPr>
          <w:p w14:paraId="2BD4ECE8" w14:textId="77777777" w:rsidR="008E008F" w:rsidRPr="002C4DBE" w:rsidRDefault="008E008F" w:rsidP="00124400">
            <w:pPr>
              <w:spacing w:line="360" w:lineRule="auto"/>
              <w:jc w:val="both"/>
              <w:rPr>
                <w:sz w:val="24"/>
                <w:szCs w:val="24"/>
              </w:rPr>
            </w:pPr>
            <w:r w:rsidRPr="002C4DBE">
              <w:rPr>
                <w:sz w:val="24"/>
                <w:szCs w:val="24"/>
              </w:rPr>
              <w:t>69</w:t>
            </w:r>
            <w:r>
              <w:rPr>
                <w:sz w:val="24"/>
                <w:szCs w:val="24"/>
              </w:rPr>
              <w:t xml:space="preserve"> (</w:t>
            </w:r>
            <w:r w:rsidRPr="002C4DBE">
              <w:rPr>
                <w:sz w:val="24"/>
                <w:szCs w:val="24"/>
              </w:rPr>
              <w:t>0%</w:t>
            </w:r>
            <w:r>
              <w:rPr>
                <w:sz w:val="24"/>
                <w:szCs w:val="24"/>
              </w:rPr>
              <w:t>)</w:t>
            </w:r>
          </w:p>
        </w:tc>
      </w:tr>
      <w:tr w:rsidR="008E008F" w:rsidRPr="002C4DBE" w14:paraId="167EC3E7" w14:textId="77777777" w:rsidTr="00124400">
        <w:trPr>
          <w:trHeight w:val="527"/>
        </w:trPr>
        <w:tc>
          <w:tcPr>
            <w:tcW w:w="4115" w:type="dxa"/>
          </w:tcPr>
          <w:p w14:paraId="398F3339" w14:textId="77777777" w:rsidR="008E008F" w:rsidRPr="002C4DBE" w:rsidRDefault="008E008F" w:rsidP="00124400">
            <w:pPr>
              <w:spacing w:line="360" w:lineRule="auto"/>
              <w:jc w:val="both"/>
              <w:rPr>
                <w:sz w:val="24"/>
                <w:szCs w:val="24"/>
              </w:rPr>
            </w:pPr>
            <w:r w:rsidRPr="002C4DBE">
              <w:rPr>
                <w:sz w:val="24"/>
                <w:szCs w:val="24"/>
              </w:rPr>
              <w:t>Primary Education</w:t>
            </w:r>
          </w:p>
        </w:tc>
        <w:tc>
          <w:tcPr>
            <w:tcW w:w="5021" w:type="dxa"/>
          </w:tcPr>
          <w:p w14:paraId="45ACEFF8" w14:textId="77777777" w:rsidR="008E008F" w:rsidRPr="002C4DBE" w:rsidRDefault="008E008F" w:rsidP="00124400">
            <w:pPr>
              <w:spacing w:line="360" w:lineRule="auto"/>
              <w:jc w:val="both"/>
              <w:rPr>
                <w:sz w:val="24"/>
                <w:szCs w:val="24"/>
              </w:rPr>
            </w:pPr>
            <w:r w:rsidRPr="002C4DBE">
              <w:rPr>
                <w:sz w:val="24"/>
                <w:szCs w:val="24"/>
              </w:rPr>
              <w:t>87</w:t>
            </w:r>
            <w:r>
              <w:rPr>
                <w:sz w:val="24"/>
                <w:szCs w:val="24"/>
              </w:rPr>
              <w:t>(</w:t>
            </w:r>
            <w:r w:rsidRPr="002C4DBE">
              <w:rPr>
                <w:sz w:val="24"/>
                <w:szCs w:val="24"/>
              </w:rPr>
              <w:t>35%</w:t>
            </w:r>
            <w:r>
              <w:rPr>
                <w:sz w:val="24"/>
                <w:szCs w:val="24"/>
              </w:rPr>
              <w:t>)</w:t>
            </w:r>
          </w:p>
        </w:tc>
      </w:tr>
      <w:tr w:rsidR="008E008F" w:rsidRPr="002C4DBE" w14:paraId="73D792C3" w14:textId="77777777" w:rsidTr="00124400">
        <w:trPr>
          <w:trHeight w:val="527"/>
        </w:trPr>
        <w:tc>
          <w:tcPr>
            <w:tcW w:w="4115" w:type="dxa"/>
          </w:tcPr>
          <w:p w14:paraId="182E4159" w14:textId="77777777" w:rsidR="008E008F" w:rsidRPr="002C4DBE" w:rsidRDefault="008E008F" w:rsidP="00124400">
            <w:pPr>
              <w:spacing w:line="360" w:lineRule="auto"/>
              <w:jc w:val="both"/>
              <w:rPr>
                <w:sz w:val="24"/>
                <w:szCs w:val="24"/>
              </w:rPr>
            </w:pPr>
            <w:r w:rsidRPr="002C4DBE">
              <w:rPr>
                <w:sz w:val="24"/>
                <w:szCs w:val="24"/>
              </w:rPr>
              <w:t>Secondary Education</w:t>
            </w:r>
          </w:p>
        </w:tc>
        <w:tc>
          <w:tcPr>
            <w:tcW w:w="5021" w:type="dxa"/>
          </w:tcPr>
          <w:p w14:paraId="418DB14C" w14:textId="77777777" w:rsidR="008E008F" w:rsidRPr="002C4DBE" w:rsidRDefault="008E008F" w:rsidP="00124400">
            <w:pPr>
              <w:spacing w:line="360" w:lineRule="auto"/>
              <w:jc w:val="both"/>
              <w:rPr>
                <w:sz w:val="24"/>
                <w:szCs w:val="24"/>
              </w:rPr>
            </w:pPr>
            <w:r w:rsidRPr="002C4DBE">
              <w:rPr>
                <w:sz w:val="24"/>
                <w:szCs w:val="24"/>
              </w:rPr>
              <w:t>90</w:t>
            </w:r>
            <w:r>
              <w:rPr>
                <w:sz w:val="24"/>
                <w:szCs w:val="24"/>
              </w:rPr>
              <w:t xml:space="preserve"> (</w:t>
            </w:r>
            <w:r w:rsidRPr="002C4DBE">
              <w:rPr>
                <w:sz w:val="24"/>
                <w:szCs w:val="24"/>
              </w:rPr>
              <w:t>37%</w:t>
            </w:r>
            <w:r>
              <w:rPr>
                <w:sz w:val="24"/>
                <w:szCs w:val="24"/>
              </w:rPr>
              <w:t>)</w:t>
            </w:r>
          </w:p>
        </w:tc>
      </w:tr>
      <w:tr w:rsidR="008E008F" w:rsidRPr="002C4DBE" w14:paraId="6C6F6E39" w14:textId="77777777" w:rsidTr="00124400">
        <w:trPr>
          <w:trHeight w:val="543"/>
        </w:trPr>
        <w:tc>
          <w:tcPr>
            <w:tcW w:w="4115" w:type="dxa"/>
          </w:tcPr>
          <w:p w14:paraId="30264118" w14:textId="77777777" w:rsidR="008E008F" w:rsidRPr="002C4DBE" w:rsidRDefault="008E008F" w:rsidP="00124400">
            <w:pPr>
              <w:spacing w:line="360" w:lineRule="auto"/>
              <w:jc w:val="both"/>
              <w:rPr>
                <w:sz w:val="24"/>
                <w:szCs w:val="24"/>
              </w:rPr>
            </w:pPr>
            <w:r w:rsidRPr="002C4DBE">
              <w:rPr>
                <w:sz w:val="24"/>
                <w:szCs w:val="24"/>
              </w:rPr>
              <w:t>Tertiary Education</w:t>
            </w:r>
          </w:p>
        </w:tc>
        <w:tc>
          <w:tcPr>
            <w:tcW w:w="5021" w:type="dxa"/>
          </w:tcPr>
          <w:p w14:paraId="469C121B" w14:textId="77777777" w:rsidR="008E008F" w:rsidRPr="002C4DBE" w:rsidRDefault="008E008F" w:rsidP="00124400">
            <w:pPr>
              <w:spacing w:line="360" w:lineRule="auto"/>
              <w:jc w:val="both"/>
              <w:rPr>
                <w:sz w:val="24"/>
                <w:szCs w:val="24"/>
              </w:rPr>
            </w:pPr>
          </w:p>
        </w:tc>
      </w:tr>
      <w:tr w:rsidR="008E008F" w:rsidRPr="002C4DBE" w14:paraId="12BF05DD" w14:textId="77777777" w:rsidTr="00124400">
        <w:trPr>
          <w:trHeight w:val="527"/>
        </w:trPr>
        <w:tc>
          <w:tcPr>
            <w:tcW w:w="4115" w:type="dxa"/>
          </w:tcPr>
          <w:p w14:paraId="09E46770" w14:textId="77777777" w:rsidR="008E008F" w:rsidRPr="002C4DBE" w:rsidRDefault="008E008F" w:rsidP="00124400">
            <w:pPr>
              <w:spacing w:line="360" w:lineRule="auto"/>
              <w:jc w:val="both"/>
              <w:rPr>
                <w:sz w:val="24"/>
                <w:szCs w:val="24"/>
              </w:rPr>
            </w:pPr>
            <w:r w:rsidRPr="002C4DBE">
              <w:rPr>
                <w:b/>
                <w:bCs/>
                <w:sz w:val="24"/>
                <w:szCs w:val="24"/>
              </w:rPr>
              <w:t>Household Income</w:t>
            </w:r>
          </w:p>
        </w:tc>
        <w:tc>
          <w:tcPr>
            <w:tcW w:w="5021" w:type="dxa"/>
          </w:tcPr>
          <w:p w14:paraId="1A60E85D" w14:textId="77777777" w:rsidR="008E008F" w:rsidRPr="002C4DBE" w:rsidRDefault="008E008F" w:rsidP="00124400">
            <w:pPr>
              <w:spacing w:line="360" w:lineRule="auto"/>
              <w:jc w:val="both"/>
              <w:rPr>
                <w:sz w:val="24"/>
                <w:szCs w:val="24"/>
              </w:rPr>
            </w:pPr>
          </w:p>
        </w:tc>
      </w:tr>
      <w:tr w:rsidR="008E008F" w:rsidRPr="002C4DBE" w14:paraId="7AC063E3" w14:textId="77777777" w:rsidTr="00124400">
        <w:trPr>
          <w:trHeight w:val="527"/>
        </w:trPr>
        <w:tc>
          <w:tcPr>
            <w:tcW w:w="4115" w:type="dxa"/>
          </w:tcPr>
          <w:p w14:paraId="4550AD1A" w14:textId="77777777" w:rsidR="008E008F" w:rsidRPr="002C4DBE" w:rsidRDefault="008E008F" w:rsidP="00124400">
            <w:pPr>
              <w:spacing w:line="360" w:lineRule="auto"/>
              <w:jc w:val="both"/>
              <w:rPr>
                <w:sz w:val="24"/>
                <w:szCs w:val="24"/>
              </w:rPr>
            </w:pPr>
            <w:r w:rsidRPr="002C4DBE">
              <w:rPr>
                <w:sz w:val="24"/>
                <w:szCs w:val="24"/>
              </w:rPr>
              <w:t>K3000</w:t>
            </w:r>
          </w:p>
        </w:tc>
        <w:tc>
          <w:tcPr>
            <w:tcW w:w="5021" w:type="dxa"/>
          </w:tcPr>
          <w:p w14:paraId="430D92AA" w14:textId="77777777" w:rsidR="008E008F" w:rsidRPr="002C4DBE" w:rsidRDefault="008E008F" w:rsidP="00124400">
            <w:pPr>
              <w:spacing w:line="360" w:lineRule="auto"/>
              <w:jc w:val="both"/>
              <w:rPr>
                <w:sz w:val="24"/>
                <w:szCs w:val="24"/>
              </w:rPr>
            </w:pPr>
            <w:r w:rsidRPr="002C4DBE">
              <w:rPr>
                <w:sz w:val="24"/>
                <w:szCs w:val="24"/>
              </w:rPr>
              <w:t>85</w:t>
            </w:r>
            <w:r>
              <w:rPr>
                <w:sz w:val="24"/>
                <w:szCs w:val="24"/>
              </w:rPr>
              <w:t xml:space="preserve"> (</w:t>
            </w:r>
            <w:r w:rsidRPr="002C4DBE">
              <w:rPr>
                <w:sz w:val="24"/>
                <w:szCs w:val="24"/>
              </w:rPr>
              <w:t>35%</w:t>
            </w:r>
            <w:r>
              <w:rPr>
                <w:sz w:val="24"/>
                <w:szCs w:val="24"/>
              </w:rPr>
              <w:t>)</w:t>
            </w:r>
          </w:p>
        </w:tc>
      </w:tr>
      <w:tr w:rsidR="008E008F" w:rsidRPr="002C4DBE" w14:paraId="6B39A85C" w14:textId="77777777" w:rsidTr="00124400">
        <w:trPr>
          <w:trHeight w:val="527"/>
        </w:trPr>
        <w:tc>
          <w:tcPr>
            <w:tcW w:w="4115" w:type="dxa"/>
          </w:tcPr>
          <w:p w14:paraId="41C4FD64" w14:textId="77777777" w:rsidR="008E008F" w:rsidRPr="002C4DBE" w:rsidRDefault="008E008F" w:rsidP="00124400">
            <w:pPr>
              <w:spacing w:line="360" w:lineRule="auto"/>
              <w:jc w:val="both"/>
              <w:rPr>
                <w:sz w:val="24"/>
                <w:szCs w:val="24"/>
              </w:rPr>
            </w:pPr>
            <w:r w:rsidRPr="002C4DBE">
              <w:rPr>
                <w:sz w:val="24"/>
                <w:szCs w:val="24"/>
              </w:rPr>
              <w:t>K3000-K7000</w:t>
            </w:r>
          </w:p>
        </w:tc>
        <w:tc>
          <w:tcPr>
            <w:tcW w:w="5021" w:type="dxa"/>
          </w:tcPr>
          <w:p w14:paraId="3D39BDF8" w14:textId="77777777" w:rsidR="008E008F" w:rsidRPr="002C4DBE" w:rsidRDefault="008E008F" w:rsidP="00124400">
            <w:pPr>
              <w:spacing w:line="360" w:lineRule="auto"/>
              <w:jc w:val="both"/>
              <w:rPr>
                <w:sz w:val="24"/>
                <w:szCs w:val="24"/>
              </w:rPr>
            </w:pPr>
            <w:r w:rsidRPr="002C4DBE">
              <w:rPr>
                <w:sz w:val="24"/>
                <w:szCs w:val="24"/>
              </w:rPr>
              <w:t>115</w:t>
            </w:r>
            <w:r>
              <w:rPr>
                <w:sz w:val="24"/>
                <w:szCs w:val="24"/>
              </w:rPr>
              <w:t xml:space="preserve"> (</w:t>
            </w:r>
            <w:r w:rsidRPr="002C4DBE">
              <w:rPr>
                <w:sz w:val="24"/>
                <w:szCs w:val="24"/>
              </w:rPr>
              <w:t>47%</w:t>
            </w:r>
            <w:r>
              <w:rPr>
                <w:sz w:val="24"/>
                <w:szCs w:val="24"/>
              </w:rPr>
              <w:t>)</w:t>
            </w:r>
          </w:p>
        </w:tc>
      </w:tr>
      <w:tr w:rsidR="008E008F" w:rsidRPr="002C4DBE" w14:paraId="713917C4" w14:textId="77777777" w:rsidTr="00124400">
        <w:trPr>
          <w:trHeight w:val="527"/>
        </w:trPr>
        <w:tc>
          <w:tcPr>
            <w:tcW w:w="4115" w:type="dxa"/>
          </w:tcPr>
          <w:p w14:paraId="1DFCC663" w14:textId="77777777" w:rsidR="008E008F" w:rsidRPr="002C4DBE" w:rsidRDefault="008E008F" w:rsidP="00124400">
            <w:pPr>
              <w:spacing w:line="360" w:lineRule="auto"/>
              <w:jc w:val="both"/>
              <w:rPr>
                <w:sz w:val="24"/>
                <w:szCs w:val="24"/>
              </w:rPr>
            </w:pPr>
            <w:r w:rsidRPr="002C4DBE">
              <w:rPr>
                <w:sz w:val="24"/>
                <w:szCs w:val="24"/>
              </w:rPr>
              <w:t>AboveK7000</w:t>
            </w:r>
          </w:p>
        </w:tc>
        <w:tc>
          <w:tcPr>
            <w:tcW w:w="5021" w:type="dxa"/>
          </w:tcPr>
          <w:p w14:paraId="05538C46" w14:textId="77777777" w:rsidR="008E008F" w:rsidRPr="002C4DBE" w:rsidRDefault="008E008F" w:rsidP="00124400">
            <w:pPr>
              <w:spacing w:line="360" w:lineRule="auto"/>
              <w:jc w:val="both"/>
              <w:rPr>
                <w:sz w:val="24"/>
                <w:szCs w:val="24"/>
              </w:rPr>
            </w:pPr>
            <w:r w:rsidRPr="002C4DBE">
              <w:rPr>
                <w:sz w:val="24"/>
                <w:szCs w:val="24"/>
              </w:rPr>
              <w:t>85</w:t>
            </w:r>
            <w:r>
              <w:rPr>
                <w:sz w:val="24"/>
                <w:szCs w:val="24"/>
              </w:rPr>
              <w:t xml:space="preserve"> (</w:t>
            </w:r>
            <w:r w:rsidRPr="002C4DBE">
              <w:rPr>
                <w:sz w:val="24"/>
                <w:szCs w:val="24"/>
              </w:rPr>
              <w:t>35%</w:t>
            </w:r>
            <w:r>
              <w:rPr>
                <w:sz w:val="24"/>
                <w:szCs w:val="24"/>
              </w:rPr>
              <w:t>)</w:t>
            </w:r>
          </w:p>
        </w:tc>
      </w:tr>
    </w:tbl>
    <w:p w14:paraId="3651BF34" w14:textId="77777777" w:rsidR="008E008F" w:rsidRDefault="008E008F" w:rsidP="008E008F">
      <w:pPr>
        <w:rPr>
          <w:lang w:val="en-US"/>
        </w:rPr>
      </w:pPr>
      <w:bookmarkStart w:id="47" w:name="_Hlk206012311"/>
      <w:bookmarkStart w:id="48" w:name="_Hlk182366581"/>
    </w:p>
    <w:p w14:paraId="7FD40966" w14:textId="64942951" w:rsidR="008E008F" w:rsidRDefault="008E008F" w:rsidP="00B52F86">
      <w:pPr>
        <w:spacing w:line="360" w:lineRule="auto"/>
        <w:jc w:val="both"/>
        <w:rPr>
          <w:lang w:val="en-US"/>
        </w:rPr>
      </w:pPr>
      <w:r w:rsidRPr="00122816">
        <w:rPr>
          <w:rFonts w:ascii="Times New Roman" w:hAnsi="Times New Roman" w:cs="Times New Roman"/>
          <w:sz w:val="24"/>
          <w:szCs w:val="24"/>
        </w:rPr>
        <w:lastRenderedPageBreak/>
        <w:t>The majority of respondents were female (72%), which reflects the gendered nature of trading in urban markets. This aligns with Mukuka et al. (2025), who noted that women dominate informal markets as a livelihood strategy. Most traders were in the productive age group (25–54 years), meaning they are active contributors to waste generation. Educational attainment was generally low, with 72% having only primary or secondary education, which may affect awareness and attitudes towards proper waste segregation. Income levels showed that 82% of respondents earned K7,000 or below per month, suggesting affordability of waste collection services is a barrier.</w:t>
      </w:r>
    </w:p>
    <w:p w14:paraId="47953D3D" w14:textId="7CEDDC4C" w:rsidR="008E008F" w:rsidRPr="00122816" w:rsidRDefault="008E008F" w:rsidP="006602D2">
      <w:pPr>
        <w:pStyle w:val="Heading2"/>
        <w:rPr>
          <w:rFonts w:ascii="Times New Roman" w:hAnsi="Times New Roman" w:cs="Times New Roman"/>
          <w:sz w:val="24"/>
          <w:szCs w:val="24"/>
        </w:rPr>
      </w:pPr>
      <w:bookmarkStart w:id="49" w:name="_Toc209708337"/>
      <w:r w:rsidRPr="00122816">
        <w:t xml:space="preserve">4.2 </w:t>
      </w:r>
      <w:bookmarkEnd w:id="49"/>
      <w:r w:rsidRPr="00122816">
        <w:rPr>
          <w:rFonts w:ascii="Times New Roman" w:hAnsi="Times New Roman" w:cs="Times New Roman"/>
          <w:b/>
          <w:bCs/>
          <w:sz w:val="24"/>
          <w:szCs w:val="24"/>
        </w:rPr>
        <w:t>Objective 1:</w:t>
      </w:r>
      <w:r w:rsidRPr="00122816">
        <w:rPr>
          <w:rFonts w:ascii="Times New Roman" w:hAnsi="Times New Roman" w:cs="Times New Roman"/>
          <w:sz w:val="24"/>
          <w:szCs w:val="24"/>
        </w:rPr>
        <w:t xml:space="preserve"> </w:t>
      </w:r>
      <w:r w:rsidR="00E43886">
        <w:rPr>
          <w:rFonts w:ascii="Times New Roman" w:hAnsi="Times New Roman" w:cs="Times New Roman"/>
          <w:sz w:val="24"/>
          <w:szCs w:val="24"/>
        </w:rPr>
        <w:t xml:space="preserve"> </w:t>
      </w:r>
      <w:r w:rsidRPr="00122816">
        <w:rPr>
          <w:rFonts w:ascii="Times New Roman" w:hAnsi="Times New Roman" w:cs="Times New Roman"/>
          <w:i/>
          <w:iCs/>
          <w:sz w:val="24"/>
          <w:szCs w:val="24"/>
        </w:rPr>
        <w:t>To assess the awareness of marketeers on the presence of segregated solid waste management bins in the market and their importance for solid waste management at Soweto Market, Lusaka.</w:t>
      </w:r>
    </w:p>
    <w:p w14:paraId="435B2C52"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sz w:val="24"/>
          <w:szCs w:val="24"/>
        </w:rPr>
        <w:t>Respondents were asked about their awareness of segregated bins (plastics, glass, compost) and their understanding of their importance. The results are presented below.</w:t>
      </w:r>
    </w:p>
    <w:p w14:paraId="1BC0137E" w14:textId="77777777" w:rsidR="008E008F" w:rsidRDefault="008E008F" w:rsidP="008E008F">
      <w:pPr>
        <w:spacing w:line="360" w:lineRule="auto"/>
        <w:jc w:val="both"/>
        <w:rPr>
          <w:rFonts w:ascii="Times New Roman" w:hAnsi="Times New Roman" w:cs="Times New Roman"/>
          <w:b/>
          <w:bCs/>
          <w:sz w:val="24"/>
          <w:szCs w:val="24"/>
        </w:rPr>
      </w:pPr>
    </w:p>
    <w:p w14:paraId="32B88A1D" w14:textId="77777777" w:rsidR="008E008F" w:rsidRDefault="008E008F" w:rsidP="008E008F">
      <w:pPr>
        <w:spacing w:line="360" w:lineRule="auto"/>
        <w:jc w:val="both"/>
        <w:rPr>
          <w:rFonts w:ascii="Times New Roman" w:hAnsi="Times New Roman" w:cs="Times New Roman"/>
          <w:b/>
          <w:bCs/>
          <w:sz w:val="24"/>
          <w:szCs w:val="24"/>
          <w:lang w:val="en-US"/>
        </w:rPr>
      </w:pPr>
    </w:p>
    <w:p w14:paraId="4EF86622" w14:textId="77777777" w:rsidR="0087306C" w:rsidRDefault="0087306C" w:rsidP="008E008F">
      <w:pPr>
        <w:spacing w:line="360" w:lineRule="auto"/>
        <w:jc w:val="both"/>
        <w:rPr>
          <w:rFonts w:ascii="Times New Roman" w:hAnsi="Times New Roman" w:cs="Times New Roman"/>
          <w:b/>
          <w:bCs/>
          <w:sz w:val="24"/>
          <w:szCs w:val="24"/>
          <w:lang w:val="en-US"/>
        </w:rPr>
      </w:pPr>
    </w:p>
    <w:p w14:paraId="6C973CFF" w14:textId="62EFAF11" w:rsidR="008E008F" w:rsidRPr="00122816"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b/>
          <w:bCs/>
          <w:sz w:val="24"/>
          <w:szCs w:val="24"/>
        </w:rPr>
        <w:t>Table 2: Awareness of Segregated Bins (n = 246)</w:t>
      </w:r>
    </w:p>
    <w:tbl>
      <w:tblPr>
        <w:tblStyle w:val="TableGridLight1"/>
        <w:tblW w:w="0" w:type="auto"/>
        <w:tblLook w:val="04A0" w:firstRow="1" w:lastRow="0" w:firstColumn="1" w:lastColumn="0" w:noHBand="0" w:noVBand="1"/>
      </w:tblPr>
      <w:tblGrid>
        <w:gridCol w:w="2023"/>
        <w:gridCol w:w="2934"/>
      </w:tblGrid>
      <w:tr w:rsidR="008E008F" w:rsidRPr="00122816" w14:paraId="3530E1F5" w14:textId="77777777" w:rsidTr="00124400">
        <w:tc>
          <w:tcPr>
            <w:tcW w:w="0" w:type="auto"/>
            <w:hideMark/>
          </w:tcPr>
          <w:p w14:paraId="010BE0E7" w14:textId="77777777" w:rsidR="008E008F" w:rsidRPr="00122816" w:rsidRDefault="008E008F" w:rsidP="00124400">
            <w:pPr>
              <w:spacing w:after="160" w:line="360" w:lineRule="auto"/>
              <w:jc w:val="both"/>
              <w:rPr>
                <w:b/>
                <w:bCs/>
                <w:sz w:val="24"/>
                <w:szCs w:val="24"/>
              </w:rPr>
            </w:pPr>
            <w:r w:rsidRPr="00122816">
              <w:rPr>
                <w:b/>
                <w:bCs/>
                <w:sz w:val="24"/>
                <w:szCs w:val="24"/>
              </w:rPr>
              <w:t>Awareness Status</w:t>
            </w:r>
          </w:p>
        </w:tc>
        <w:tc>
          <w:tcPr>
            <w:tcW w:w="2934" w:type="dxa"/>
            <w:hideMark/>
          </w:tcPr>
          <w:p w14:paraId="3FBF9E83" w14:textId="77777777" w:rsidR="008E008F" w:rsidRPr="00122816" w:rsidRDefault="008E008F" w:rsidP="00124400">
            <w:pPr>
              <w:spacing w:after="160" w:line="360" w:lineRule="auto"/>
              <w:jc w:val="both"/>
              <w:rPr>
                <w:b/>
                <w:bCs/>
                <w:sz w:val="24"/>
                <w:szCs w:val="24"/>
              </w:rPr>
            </w:pPr>
            <w:r w:rsidRPr="00122816">
              <w:rPr>
                <w:b/>
                <w:bCs/>
                <w:sz w:val="24"/>
                <w:szCs w:val="24"/>
              </w:rPr>
              <w:t>Frequency</w:t>
            </w:r>
            <w:r>
              <w:rPr>
                <w:b/>
                <w:bCs/>
                <w:sz w:val="24"/>
                <w:szCs w:val="24"/>
              </w:rPr>
              <w:t xml:space="preserve"> </w:t>
            </w:r>
            <w:r w:rsidRPr="00122816">
              <w:rPr>
                <w:b/>
                <w:bCs/>
                <w:sz w:val="24"/>
                <w:szCs w:val="24"/>
              </w:rPr>
              <w:t>Percentage (%)</w:t>
            </w:r>
          </w:p>
        </w:tc>
      </w:tr>
      <w:tr w:rsidR="008E008F" w:rsidRPr="00122816" w14:paraId="05150D71" w14:textId="77777777" w:rsidTr="00124400">
        <w:tc>
          <w:tcPr>
            <w:tcW w:w="0" w:type="auto"/>
            <w:hideMark/>
          </w:tcPr>
          <w:p w14:paraId="2F593531" w14:textId="77777777" w:rsidR="008E008F" w:rsidRPr="00122816" w:rsidRDefault="008E008F" w:rsidP="00124400">
            <w:pPr>
              <w:spacing w:after="160" w:line="360" w:lineRule="auto"/>
              <w:jc w:val="both"/>
              <w:rPr>
                <w:sz w:val="24"/>
                <w:szCs w:val="24"/>
              </w:rPr>
            </w:pPr>
            <w:r w:rsidRPr="00122816">
              <w:rPr>
                <w:sz w:val="24"/>
                <w:szCs w:val="24"/>
              </w:rPr>
              <w:t>Aware</w:t>
            </w:r>
          </w:p>
        </w:tc>
        <w:tc>
          <w:tcPr>
            <w:tcW w:w="2934" w:type="dxa"/>
            <w:hideMark/>
          </w:tcPr>
          <w:p w14:paraId="0C5A73B1" w14:textId="77777777" w:rsidR="008E008F" w:rsidRPr="00122816" w:rsidRDefault="008E008F" w:rsidP="00124400">
            <w:pPr>
              <w:spacing w:after="160" w:line="360" w:lineRule="auto"/>
              <w:jc w:val="both"/>
              <w:rPr>
                <w:sz w:val="24"/>
                <w:szCs w:val="24"/>
              </w:rPr>
            </w:pPr>
            <w:r w:rsidRPr="00122816">
              <w:rPr>
                <w:sz w:val="24"/>
                <w:szCs w:val="24"/>
              </w:rPr>
              <w:t>236</w:t>
            </w:r>
            <w:r>
              <w:rPr>
                <w:sz w:val="24"/>
                <w:szCs w:val="24"/>
              </w:rPr>
              <w:t>(</w:t>
            </w:r>
            <w:r w:rsidRPr="00122816">
              <w:rPr>
                <w:sz w:val="24"/>
                <w:szCs w:val="24"/>
              </w:rPr>
              <w:t>96</w:t>
            </w:r>
            <w:r>
              <w:rPr>
                <w:sz w:val="24"/>
                <w:szCs w:val="24"/>
              </w:rPr>
              <w:t>%)</w:t>
            </w:r>
          </w:p>
        </w:tc>
      </w:tr>
      <w:tr w:rsidR="008E008F" w:rsidRPr="00122816" w14:paraId="7D97A9C0" w14:textId="77777777" w:rsidTr="00124400">
        <w:tc>
          <w:tcPr>
            <w:tcW w:w="0" w:type="auto"/>
            <w:hideMark/>
          </w:tcPr>
          <w:p w14:paraId="13B16E1D" w14:textId="77777777" w:rsidR="008E008F" w:rsidRPr="00122816" w:rsidRDefault="008E008F" w:rsidP="00124400">
            <w:pPr>
              <w:spacing w:after="160" w:line="360" w:lineRule="auto"/>
              <w:jc w:val="both"/>
              <w:rPr>
                <w:sz w:val="24"/>
                <w:szCs w:val="24"/>
              </w:rPr>
            </w:pPr>
            <w:r w:rsidRPr="00122816">
              <w:rPr>
                <w:sz w:val="24"/>
                <w:szCs w:val="24"/>
              </w:rPr>
              <w:t>Not aware</w:t>
            </w:r>
          </w:p>
        </w:tc>
        <w:tc>
          <w:tcPr>
            <w:tcW w:w="2934" w:type="dxa"/>
            <w:hideMark/>
          </w:tcPr>
          <w:p w14:paraId="18D9FBA5" w14:textId="77777777" w:rsidR="008E008F" w:rsidRPr="00122816" w:rsidRDefault="008E008F" w:rsidP="00124400">
            <w:pPr>
              <w:spacing w:after="160" w:line="360" w:lineRule="auto"/>
              <w:jc w:val="both"/>
              <w:rPr>
                <w:sz w:val="24"/>
                <w:szCs w:val="24"/>
              </w:rPr>
            </w:pPr>
            <w:r w:rsidRPr="00122816">
              <w:rPr>
                <w:sz w:val="24"/>
                <w:szCs w:val="24"/>
              </w:rPr>
              <w:t>10</w:t>
            </w:r>
            <w:r>
              <w:rPr>
                <w:sz w:val="24"/>
                <w:szCs w:val="24"/>
              </w:rPr>
              <w:t>(</w:t>
            </w:r>
            <w:r w:rsidRPr="00122816">
              <w:rPr>
                <w:sz w:val="24"/>
                <w:szCs w:val="24"/>
              </w:rPr>
              <w:t>4</w:t>
            </w:r>
            <w:r>
              <w:rPr>
                <w:sz w:val="24"/>
                <w:szCs w:val="24"/>
              </w:rPr>
              <w:t>%)</w:t>
            </w:r>
          </w:p>
        </w:tc>
      </w:tr>
    </w:tbl>
    <w:p w14:paraId="3E582F86" w14:textId="77777777" w:rsidR="008E008F" w:rsidRDefault="008E008F" w:rsidP="008E008F">
      <w:pPr>
        <w:spacing w:line="360" w:lineRule="auto"/>
        <w:jc w:val="both"/>
        <w:rPr>
          <w:rFonts w:ascii="Times New Roman" w:hAnsi="Times New Roman" w:cs="Times New Roman"/>
          <w:b/>
          <w:bCs/>
          <w:sz w:val="24"/>
          <w:szCs w:val="24"/>
        </w:rPr>
      </w:pPr>
    </w:p>
    <w:p w14:paraId="5823FC6C"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Source:</w:t>
      </w:r>
      <w:r w:rsidRPr="00122816">
        <w:rPr>
          <w:rFonts w:ascii="Times New Roman" w:hAnsi="Times New Roman" w:cs="Times New Roman"/>
          <w:sz w:val="24"/>
          <w:szCs w:val="24"/>
        </w:rPr>
        <w:t xml:space="preserve"> Field Data, 2025</w:t>
      </w:r>
    </w:p>
    <w:p w14:paraId="7797A5C8"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sz w:val="24"/>
          <w:szCs w:val="24"/>
        </w:rPr>
        <w:t>The majority (96%) of traders reported being aware of the presence of segregated bins at the market, while only 4% were not aware.</w:t>
      </w:r>
    </w:p>
    <w:p w14:paraId="0FBFCEBD" w14:textId="07402B02" w:rsidR="008E008F" w:rsidRPr="00122816"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b/>
          <w:bCs/>
          <w:sz w:val="24"/>
          <w:szCs w:val="24"/>
        </w:rPr>
        <w:t>Table</w:t>
      </w:r>
      <w:r w:rsidR="00561424">
        <w:rPr>
          <w:rFonts w:ascii="Times New Roman" w:hAnsi="Times New Roman" w:cs="Times New Roman"/>
          <w:b/>
          <w:bCs/>
          <w:sz w:val="24"/>
          <w:szCs w:val="24"/>
        </w:rPr>
        <w:t>3</w:t>
      </w:r>
      <w:r w:rsidRPr="00122816">
        <w:rPr>
          <w:rFonts w:ascii="Times New Roman" w:hAnsi="Times New Roman" w:cs="Times New Roman"/>
          <w:b/>
          <w:bCs/>
          <w:sz w:val="24"/>
          <w:szCs w:val="24"/>
        </w:rPr>
        <w:t>: Sources of Awareness on Segregated Bins (n = 2</w:t>
      </w:r>
      <w:r>
        <w:rPr>
          <w:rFonts w:ascii="Times New Roman" w:hAnsi="Times New Roman" w:cs="Times New Roman"/>
          <w:b/>
          <w:bCs/>
          <w:sz w:val="24"/>
          <w:szCs w:val="24"/>
        </w:rPr>
        <w:t>4</w:t>
      </w:r>
      <w:r w:rsidRPr="00122816">
        <w:rPr>
          <w:rFonts w:ascii="Times New Roman" w:hAnsi="Times New Roman" w:cs="Times New Roman"/>
          <w:b/>
          <w:bCs/>
          <w:sz w:val="24"/>
          <w:szCs w:val="24"/>
        </w:rPr>
        <w:t>6)</w:t>
      </w:r>
    </w:p>
    <w:tbl>
      <w:tblPr>
        <w:tblStyle w:val="TableGridLight1"/>
        <w:tblW w:w="9809" w:type="dxa"/>
        <w:tblLook w:val="04A0" w:firstRow="1" w:lastRow="0" w:firstColumn="1" w:lastColumn="0" w:noHBand="0" w:noVBand="1"/>
      </w:tblPr>
      <w:tblGrid>
        <w:gridCol w:w="5098"/>
        <w:gridCol w:w="4711"/>
      </w:tblGrid>
      <w:tr w:rsidR="008E008F" w:rsidRPr="00122816" w14:paraId="6851AD62" w14:textId="77777777" w:rsidTr="00124400">
        <w:trPr>
          <w:trHeight w:val="621"/>
        </w:trPr>
        <w:tc>
          <w:tcPr>
            <w:tcW w:w="5098" w:type="dxa"/>
            <w:hideMark/>
          </w:tcPr>
          <w:p w14:paraId="4C6ADD7C" w14:textId="77777777" w:rsidR="008E008F" w:rsidRPr="00122816" w:rsidRDefault="008E008F" w:rsidP="00124400">
            <w:pPr>
              <w:spacing w:after="160" w:line="360" w:lineRule="auto"/>
              <w:jc w:val="both"/>
              <w:rPr>
                <w:b/>
                <w:bCs/>
                <w:sz w:val="24"/>
                <w:szCs w:val="24"/>
              </w:rPr>
            </w:pPr>
            <w:r w:rsidRPr="00122816">
              <w:rPr>
                <w:b/>
                <w:bCs/>
                <w:sz w:val="24"/>
                <w:szCs w:val="24"/>
              </w:rPr>
              <w:t>Source of Awareness</w:t>
            </w:r>
          </w:p>
        </w:tc>
        <w:tc>
          <w:tcPr>
            <w:tcW w:w="4711" w:type="dxa"/>
            <w:hideMark/>
          </w:tcPr>
          <w:p w14:paraId="3ABFBA0F" w14:textId="77777777" w:rsidR="008E008F" w:rsidRPr="00122816" w:rsidRDefault="008E008F" w:rsidP="00124400">
            <w:pPr>
              <w:spacing w:after="160" w:line="360" w:lineRule="auto"/>
              <w:jc w:val="both"/>
              <w:rPr>
                <w:b/>
                <w:bCs/>
                <w:sz w:val="24"/>
                <w:szCs w:val="24"/>
              </w:rPr>
            </w:pPr>
            <w:r w:rsidRPr="00122816">
              <w:rPr>
                <w:b/>
                <w:bCs/>
                <w:sz w:val="24"/>
                <w:szCs w:val="24"/>
              </w:rPr>
              <w:t>Frequency</w:t>
            </w:r>
            <w:r>
              <w:rPr>
                <w:b/>
                <w:bCs/>
                <w:sz w:val="24"/>
                <w:szCs w:val="24"/>
              </w:rPr>
              <w:t xml:space="preserve">    </w:t>
            </w:r>
            <w:r w:rsidRPr="00122816">
              <w:rPr>
                <w:b/>
                <w:bCs/>
                <w:sz w:val="24"/>
                <w:szCs w:val="24"/>
              </w:rPr>
              <w:t>Percentage (%)</w:t>
            </w:r>
          </w:p>
        </w:tc>
      </w:tr>
      <w:tr w:rsidR="008E008F" w:rsidRPr="00122816" w14:paraId="2FEE29B9" w14:textId="77777777" w:rsidTr="00124400">
        <w:trPr>
          <w:trHeight w:val="608"/>
        </w:trPr>
        <w:tc>
          <w:tcPr>
            <w:tcW w:w="5098" w:type="dxa"/>
            <w:hideMark/>
          </w:tcPr>
          <w:p w14:paraId="207583F0" w14:textId="77777777" w:rsidR="008E008F" w:rsidRPr="00122816" w:rsidRDefault="008E008F" w:rsidP="00124400">
            <w:pPr>
              <w:spacing w:after="160" w:line="360" w:lineRule="auto"/>
              <w:jc w:val="both"/>
              <w:rPr>
                <w:sz w:val="24"/>
                <w:szCs w:val="24"/>
              </w:rPr>
            </w:pPr>
            <w:r w:rsidRPr="00122816">
              <w:rPr>
                <w:sz w:val="24"/>
                <w:szCs w:val="24"/>
              </w:rPr>
              <w:t>Observation within the market</w:t>
            </w:r>
          </w:p>
        </w:tc>
        <w:tc>
          <w:tcPr>
            <w:tcW w:w="4711" w:type="dxa"/>
            <w:hideMark/>
          </w:tcPr>
          <w:p w14:paraId="575340EA" w14:textId="77777777" w:rsidR="008E008F" w:rsidRPr="00122816" w:rsidRDefault="008E008F" w:rsidP="00124400">
            <w:pPr>
              <w:spacing w:after="160" w:line="360" w:lineRule="auto"/>
              <w:jc w:val="both"/>
              <w:rPr>
                <w:sz w:val="24"/>
                <w:szCs w:val="24"/>
              </w:rPr>
            </w:pPr>
            <w:r w:rsidRPr="00122816">
              <w:rPr>
                <w:sz w:val="24"/>
                <w:szCs w:val="24"/>
              </w:rPr>
              <w:t>120</w:t>
            </w:r>
            <w:r>
              <w:rPr>
                <w:sz w:val="24"/>
                <w:szCs w:val="24"/>
              </w:rPr>
              <w:t xml:space="preserve"> (</w:t>
            </w:r>
            <w:r w:rsidRPr="00122816">
              <w:rPr>
                <w:sz w:val="24"/>
                <w:szCs w:val="24"/>
              </w:rPr>
              <w:t>51</w:t>
            </w:r>
            <w:r>
              <w:rPr>
                <w:sz w:val="24"/>
                <w:szCs w:val="24"/>
              </w:rPr>
              <w:t>%)</w:t>
            </w:r>
          </w:p>
        </w:tc>
      </w:tr>
      <w:tr w:rsidR="008E008F" w:rsidRPr="00122816" w14:paraId="22AFE6CD" w14:textId="77777777" w:rsidTr="00124400">
        <w:trPr>
          <w:trHeight w:val="621"/>
        </w:trPr>
        <w:tc>
          <w:tcPr>
            <w:tcW w:w="5098" w:type="dxa"/>
            <w:hideMark/>
          </w:tcPr>
          <w:p w14:paraId="5EC37A71" w14:textId="77777777" w:rsidR="008E008F" w:rsidRPr="00122816" w:rsidRDefault="008E008F" w:rsidP="00124400">
            <w:pPr>
              <w:spacing w:after="160" w:line="360" w:lineRule="auto"/>
              <w:jc w:val="both"/>
              <w:rPr>
                <w:sz w:val="24"/>
                <w:szCs w:val="24"/>
              </w:rPr>
            </w:pPr>
            <w:r w:rsidRPr="00122816">
              <w:rPr>
                <w:sz w:val="24"/>
                <w:szCs w:val="24"/>
              </w:rPr>
              <w:lastRenderedPageBreak/>
              <w:t>Information from fellow traders</w:t>
            </w:r>
          </w:p>
        </w:tc>
        <w:tc>
          <w:tcPr>
            <w:tcW w:w="4711" w:type="dxa"/>
            <w:hideMark/>
          </w:tcPr>
          <w:p w14:paraId="0C3D31E5" w14:textId="77777777" w:rsidR="008E008F" w:rsidRPr="00122816" w:rsidRDefault="008E008F" w:rsidP="00124400">
            <w:pPr>
              <w:spacing w:after="160" w:line="360" w:lineRule="auto"/>
              <w:jc w:val="both"/>
              <w:rPr>
                <w:sz w:val="24"/>
                <w:szCs w:val="24"/>
              </w:rPr>
            </w:pPr>
            <w:r w:rsidRPr="00122816">
              <w:rPr>
                <w:sz w:val="24"/>
                <w:szCs w:val="24"/>
              </w:rPr>
              <w:t>58</w:t>
            </w:r>
            <w:r>
              <w:rPr>
                <w:sz w:val="24"/>
                <w:szCs w:val="24"/>
              </w:rPr>
              <w:t>(</w:t>
            </w:r>
            <w:r w:rsidRPr="00122816">
              <w:rPr>
                <w:sz w:val="24"/>
                <w:szCs w:val="24"/>
              </w:rPr>
              <w:t>25</w:t>
            </w:r>
            <w:r>
              <w:rPr>
                <w:sz w:val="24"/>
                <w:szCs w:val="24"/>
              </w:rPr>
              <w:t>%)</w:t>
            </w:r>
          </w:p>
        </w:tc>
      </w:tr>
      <w:tr w:rsidR="008E008F" w:rsidRPr="00122816" w14:paraId="556B451E" w14:textId="77777777" w:rsidTr="00124400">
        <w:trPr>
          <w:trHeight w:val="621"/>
        </w:trPr>
        <w:tc>
          <w:tcPr>
            <w:tcW w:w="5098" w:type="dxa"/>
            <w:hideMark/>
          </w:tcPr>
          <w:p w14:paraId="5135FA53" w14:textId="77777777" w:rsidR="008E008F" w:rsidRPr="00122816" w:rsidRDefault="008E008F" w:rsidP="00124400">
            <w:pPr>
              <w:spacing w:after="160" w:line="360" w:lineRule="auto"/>
              <w:jc w:val="both"/>
              <w:rPr>
                <w:sz w:val="24"/>
                <w:szCs w:val="24"/>
              </w:rPr>
            </w:pPr>
            <w:r w:rsidRPr="00122816">
              <w:rPr>
                <w:sz w:val="24"/>
                <w:szCs w:val="24"/>
              </w:rPr>
              <w:t>Announcements by market management</w:t>
            </w:r>
          </w:p>
        </w:tc>
        <w:tc>
          <w:tcPr>
            <w:tcW w:w="4711" w:type="dxa"/>
            <w:hideMark/>
          </w:tcPr>
          <w:p w14:paraId="1ED1104E" w14:textId="77777777" w:rsidR="008E008F" w:rsidRPr="00122816" w:rsidRDefault="008E008F" w:rsidP="00124400">
            <w:pPr>
              <w:spacing w:after="160" w:line="360" w:lineRule="auto"/>
              <w:jc w:val="both"/>
              <w:rPr>
                <w:sz w:val="24"/>
                <w:szCs w:val="24"/>
              </w:rPr>
            </w:pPr>
            <w:r w:rsidRPr="00122816">
              <w:rPr>
                <w:sz w:val="24"/>
                <w:szCs w:val="24"/>
              </w:rPr>
              <w:t>35</w:t>
            </w:r>
            <w:r>
              <w:rPr>
                <w:sz w:val="24"/>
                <w:szCs w:val="24"/>
              </w:rPr>
              <w:t xml:space="preserve"> (</w:t>
            </w:r>
            <w:r w:rsidRPr="00122816">
              <w:rPr>
                <w:sz w:val="24"/>
                <w:szCs w:val="24"/>
              </w:rPr>
              <w:t>15</w:t>
            </w:r>
            <w:r>
              <w:rPr>
                <w:sz w:val="24"/>
                <w:szCs w:val="24"/>
              </w:rPr>
              <w:t>%)</w:t>
            </w:r>
          </w:p>
        </w:tc>
      </w:tr>
      <w:tr w:rsidR="008E008F" w:rsidRPr="00122816" w14:paraId="300C1D81" w14:textId="77777777" w:rsidTr="00124400">
        <w:trPr>
          <w:trHeight w:val="608"/>
        </w:trPr>
        <w:tc>
          <w:tcPr>
            <w:tcW w:w="5098" w:type="dxa"/>
            <w:hideMark/>
          </w:tcPr>
          <w:p w14:paraId="0F47865D" w14:textId="77777777" w:rsidR="008E008F" w:rsidRPr="00122816" w:rsidRDefault="008E008F" w:rsidP="00124400">
            <w:pPr>
              <w:spacing w:after="160" w:line="360" w:lineRule="auto"/>
              <w:jc w:val="both"/>
              <w:rPr>
                <w:sz w:val="24"/>
                <w:szCs w:val="24"/>
              </w:rPr>
            </w:pPr>
            <w:r w:rsidRPr="00122816">
              <w:rPr>
                <w:sz w:val="24"/>
                <w:szCs w:val="24"/>
              </w:rPr>
              <w:t>Sensitization by LCC/ZEMA officials</w:t>
            </w:r>
          </w:p>
        </w:tc>
        <w:tc>
          <w:tcPr>
            <w:tcW w:w="4711" w:type="dxa"/>
            <w:hideMark/>
          </w:tcPr>
          <w:p w14:paraId="45FA57EE" w14:textId="77777777" w:rsidR="008E008F" w:rsidRPr="00122816" w:rsidRDefault="008E008F" w:rsidP="00124400">
            <w:pPr>
              <w:spacing w:after="160" w:line="360" w:lineRule="auto"/>
              <w:jc w:val="both"/>
              <w:rPr>
                <w:sz w:val="24"/>
                <w:szCs w:val="24"/>
              </w:rPr>
            </w:pPr>
            <w:r w:rsidRPr="00122816">
              <w:rPr>
                <w:sz w:val="24"/>
                <w:szCs w:val="24"/>
              </w:rPr>
              <w:t>23</w:t>
            </w:r>
            <w:r>
              <w:rPr>
                <w:sz w:val="24"/>
                <w:szCs w:val="24"/>
              </w:rPr>
              <w:t xml:space="preserve"> (</w:t>
            </w:r>
            <w:r w:rsidRPr="00122816">
              <w:rPr>
                <w:sz w:val="24"/>
                <w:szCs w:val="24"/>
              </w:rPr>
              <w:t>9</w:t>
            </w:r>
            <w:r>
              <w:rPr>
                <w:sz w:val="24"/>
                <w:szCs w:val="24"/>
              </w:rPr>
              <w:t>%)</w:t>
            </w:r>
          </w:p>
        </w:tc>
      </w:tr>
    </w:tbl>
    <w:p w14:paraId="5BD4A1BF" w14:textId="77777777" w:rsidR="008E008F" w:rsidRDefault="008E008F" w:rsidP="008E008F">
      <w:pPr>
        <w:spacing w:line="360" w:lineRule="auto"/>
        <w:jc w:val="both"/>
        <w:rPr>
          <w:rFonts w:ascii="Times New Roman" w:hAnsi="Times New Roman" w:cs="Times New Roman"/>
          <w:b/>
          <w:bCs/>
          <w:sz w:val="24"/>
          <w:szCs w:val="24"/>
        </w:rPr>
      </w:pPr>
    </w:p>
    <w:p w14:paraId="074E0BF5" w14:textId="77777777" w:rsidR="008E008F"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Source:</w:t>
      </w:r>
      <w:r w:rsidRPr="00122816">
        <w:rPr>
          <w:rFonts w:ascii="Times New Roman" w:hAnsi="Times New Roman" w:cs="Times New Roman"/>
          <w:sz w:val="24"/>
          <w:szCs w:val="24"/>
        </w:rPr>
        <w:t xml:space="preserve"> Field Data, 2025</w:t>
      </w:r>
    </w:p>
    <w:p w14:paraId="582D7B3D"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sz w:val="24"/>
          <w:szCs w:val="24"/>
        </w:rPr>
        <w:t>Over half (51%) of those aware learned about bins through direct observation in the market, while a smaller proportion (9%) attributed awareness to sensitization efforts by authorities.</w:t>
      </w:r>
    </w:p>
    <w:p w14:paraId="63DDA6B4" w14:textId="77777777" w:rsidR="008E008F" w:rsidRDefault="008E008F" w:rsidP="008E008F">
      <w:pPr>
        <w:spacing w:line="360" w:lineRule="auto"/>
        <w:jc w:val="both"/>
        <w:rPr>
          <w:rFonts w:ascii="Times New Roman" w:hAnsi="Times New Roman" w:cs="Times New Roman"/>
          <w:b/>
          <w:bCs/>
          <w:sz w:val="24"/>
          <w:szCs w:val="24"/>
        </w:rPr>
      </w:pPr>
    </w:p>
    <w:p w14:paraId="49513589" w14:textId="77777777" w:rsidR="008E008F" w:rsidRDefault="008E008F" w:rsidP="008E008F">
      <w:pPr>
        <w:spacing w:line="360" w:lineRule="auto"/>
        <w:jc w:val="both"/>
        <w:rPr>
          <w:rFonts w:ascii="Times New Roman" w:hAnsi="Times New Roman" w:cs="Times New Roman"/>
          <w:b/>
          <w:bCs/>
          <w:sz w:val="24"/>
          <w:szCs w:val="24"/>
        </w:rPr>
      </w:pPr>
    </w:p>
    <w:p w14:paraId="4B7FA30F" w14:textId="77777777" w:rsidR="008E008F" w:rsidRDefault="008E008F" w:rsidP="008E008F">
      <w:pPr>
        <w:spacing w:line="360" w:lineRule="auto"/>
        <w:jc w:val="both"/>
        <w:rPr>
          <w:rFonts w:ascii="Times New Roman" w:hAnsi="Times New Roman" w:cs="Times New Roman"/>
          <w:b/>
          <w:bCs/>
          <w:sz w:val="24"/>
          <w:szCs w:val="24"/>
        </w:rPr>
      </w:pPr>
    </w:p>
    <w:p w14:paraId="7A9F4B91" w14:textId="77777777" w:rsidR="008E008F" w:rsidRDefault="008E008F" w:rsidP="008E008F">
      <w:pPr>
        <w:spacing w:line="360" w:lineRule="auto"/>
        <w:jc w:val="both"/>
        <w:rPr>
          <w:rFonts w:ascii="Times New Roman" w:hAnsi="Times New Roman" w:cs="Times New Roman"/>
          <w:b/>
          <w:bCs/>
          <w:sz w:val="24"/>
          <w:szCs w:val="24"/>
        </w:rPr>
      </w:pPr>
    </w:p>
    <w:p w14:paraId="511DACCB" w14:textId="77777777" w:rsidR="00E43886" w:rsidRDefault="00E43886" w:rsidP="008E008F">
      <w:pPr>
        <w:spacing w:line="360" w:lineRule="auto"/>
        <w:jc w:val="both"/>
        <w:rPr>
          <w:rFonts w:ascii="Times New Roman" w:hAnsi="Times New Roman" w:cs="Times New Roman"/>
          <w:b/>
          <w:bCs/>
          <w:sz w:val="24"/>
          <w:szCs w:val="24"/>
        </w:rPr>
      </w:pPr>
    </w:p>
    <w:p w14:paraId="4C22E0B4" w14:textId="77777777" w:rsidR="008E008F" w:rsidRDefault="008E008F" w:rsidP="008E008F">
      <w:pPr>
        <w:spacing w:line="360" w:lineRule="auto"/>
        <w:jc w:val="both"/>
        <w:rPr>
          <w:rFonts w:ascii="Times New Roman" w:hAnsi="Times New Roman" w:cs="Times New Roman"/>
          <w:b/>
          <w:bCs/>
          <w:sz w:val="24"/>
          <w:szCs w:val="24"/>
        </w:rPr>
      </w:pPr>
    </w:p>
    <w:p w14:paraId="711329F0" w14:textId="2F22FEA5" w:rsidR="008E008F" w:rsidRPr="00122816"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b/>
          <w:bCs/>
          <w:sz w:val="24"/>
          <w:szCs w:val="24"/>
        </w:rPr>
        <w:t>Table 4.: Awareness of Bin Categories (n = 2</w:t>
      </w:r>
      <w:r>
        <w:rPr>
          <w:rFonts w:ascii="Times New Roman" w:hAnsi="Times New Roman" w:cs="Times New Roman"/>
          <w:b/>
          <w:bCs/>
          <w:sz w:val="24"/>
          <w:szCs w:val="24"/>
        </w:rPr>
        <w:t>4</w:t>
      </w:r>
      <w:r w:rsidRPr="00122816">
        <w:rPr>
          <w:rFonts w:ascii="Times New Roman" w:hAnsi="Times New Roman" w:cs="Times New Roman"/>
          <w:b/>
          <w:bCs/>
          <w:sz w:val="24"/>
          <w:szCs w:val="24"/>
        </w:rPr>
        <w:t>6)</w:t>
      </w:r>
    </w:p>
    <w:tbl>
      <w:tblPr>
        <w:tblStyle w:val="TableGridLight1"/>
        <w:tblW w:w="9962" w:type="dxa"/>
        <w:tblLook w:val="04A0" w:firstRow="1" w:lastRow="0" w:firstColumn="1" w:lastColumn="0" w:noHBand="0" w:noVBand="1"/>
      </w:tblPr>
      <w:tblGrid>
        <w:gridCol w:w="4805"/>
        <w:gridCol w:w="5157"/>
      </w:tblGrid>
      <w:tr w:rsidR="008E008F" w:rsidRPr="00122816" w14:paraId="70433A59" w14:textId="77777777" w:rsidTr="00124400">
        <w:trPr>
          <w:trHeight w:val="668"/>
        </w:trPr>
        <w:tc>
          <w:tcPr>
            <w:tcW w:w="0" w:type="auto"/>
            <w:hideMark/>
          </w:tcPr>
          <w:p w14:paraId="073CC025" w14:textId="77777777" w:rsidR="008E008F" w:rsidRPr="00122816" w:rsidRDefault="008E008F" w:rsidP="00124400">
            <w:pPr>
              <w:spacing w:after="160" w:line="360" w:lineRule="auto"/>
              <w:jc w:val="both"/>
              <w:rPr>
                <w:b/>
                <w:bCs/>
                <w:sz w:val="24"/>
                <w:szCs w:val="24"/>
              </w:rPr>
            </w:pPr>
            <w:r w:rsidRPr="00122816">
              <w:rPr>
                <w:b/>
                <w:bCs/>
                <w:sz w:val="24"/>
                <w:szCs w:val="24"/>
              </w:rPr>
              <w:t>Bin Category Recognized</w:t>
            </w:r>
          </w:p>
        </w:tc>
        <w:tc>
          <w:tcPr>
            <w:tcW w:w="0" w:type="auto"/>
            <w:hideMark/>
          </w:tcPr>
          <w:p w14:paraId="40A40AE8" w14:textId="77777777" w:rsidR="008E008F" w:rsidRPr="00122816" w:rsidRDefault="008E008F" w:rsidP="00124400">
            <w:pPr>
              <w:spacing w:after="160" w:line="360" w:lineRule="auto"/>
              <w:jc w:val="both"/>
              <w:rPr>
                <w:b/>
                <w:bCs/>
                <w:sz w:val="24"/>
                <w:szCs w:val="24"/>
              </w:rPr>
            </w:pPr>
            <w:proofErr w:type="gramStart"/>
            <w:r w:rsidRPr="00122816">
              <w:rPr>
                <w:b/>
                <w:bCs/>
                <w:sz w:val="24"/>
                <w:szCs w:val="24"/>
              </w:rPr>
              <w:t>Frequency</w:t>
            </w:r>
            <w:r>
              <w:rPr>
                <w:b/>
                <w:bCs/>
                <w:sz w:val="24"/>
                <w:szCs w:val="24"/>
              </w:rPr>
              <w:t xml:space="preserve">  </w:t>
            </w:r>
            <w:r w:rsidRPr="00122816">
              <w:rPr>
                <w:b/>
                <w:bCs/>
                <w:sz w:val="24"/>
                <w:szCs w:val="24"/>
              </w:rPr>
              <w:t>Percentage</w:t>
            </w:r>
            <w:proofErr w:type="gramEnd"/>
            <w:r w:rsidRPr="00122816">
              <w:rPr>
                <w:b/>
                <w:bCs/>
                <w:sz w:val="24"/>
                <w:szCs w:val="24"/>
              </w:rPr>
              <w:t xml:space="preserve"> (%)</w:t>
            </w:r>
          </w:p>
        </w:tc>
      </w:tr>
      <w:tr w:rsidR="008E008F" w:rsidRPr="00122816" w14:paraId="61317476" w14:textId="77777777" w:rsidTr="00124400">
        <w:trPr>
          <w:trHeight w:val="654"/>
        </w:trPr>
        <w:tc>
          <w:tcPr>
            <w:tcW w:w="0" w:type="auto"/>
            <w:hideMark/>
          </w:tcPr>
          <w:p w14:paraId="5E2260E4" w14:textId="77777777" w:rsidR="008E008F" w:rsidRPr="00122816" w:rsidRDefault="008E008F" w:rsidP="00124400">
            <w:pPr>
              <w:spacing w:after="160" w:line="360" w:lineRule="auto"/>
              <w:jc w:val="both"/>
              <w:rPr>
                <w:sz w:val="24"/>
                <w:szCs w:val="24"/>
              </w:rPr>
            </w:pPr>
            <w:r w:rsidRPr="00122816">
              <w:rPr>
                <w:sz w:val="24"/>
                <w:szCs w:val="24"/>
              </w:rPr>
              <w:t>Plastics</w:t>
            </w:r>
          </w:p>
        </w:tc>
        <w:tc>
          <w:tcPr>
            <w:tcW w:w="0" w:type="auto"/>
            <w:hideMark/>
          </w:tcPr>
          <w:p w14:paraId="67EBEEB5" w14:textId="77777777" w:rsidR="008E008F" w:rsidRPr="00122816" w:rsidRDefault="008E008F" w:rsidP="00124400">
            <w:pPr>
              <w:spacing w:after="160" w:line="360" w:lineRule="auto"/>
              <w:jc w:val="both"/>
              <w:rPr>
                <w:sz w:val="24"/>
                <w:szCs w:val="24"/>
              </w:rPr>
            </w:pPr>
            <w:r w:rsidRPr="00122816">
              <w:rPr>
                <w:sz w:val="24"/>
                <w:szCs w:val="24"/>
              </w:rPr>
              <w:t>210</w:t>
            </w:r>
            <w:r>
              <w:rPr>
                <w:sz w:val="24"/>
                <w:szCs w:val="24"/>
              </w:rPr>
              <w:t xml:space="preserve"> (</w:t>
            </w:r>
            <w:r w:rsidRPr="00122816">
              <w:rPr>
                <w:sz w:val="24"/>
                <w:szCs w:val="24"/>
              </w:rPr>
              <w:t>89</w:t>
            </w:r>
            <w:r>
              <w:rPr>
                <w:sz w:val="24"/>
                <w:szCs w:val="24"/>
              </w:rPr>
              <w:t>%)</w:t>
            </w:r>
          </w:p>
        </w:tc>
      </w:tr>
      <w:tr w:rsidR="008E008F" w:rsidRPr="00122816" w14:paraId="4BFB86C0" w14:textId="77777777" w:rsidTr="00124400">
        <w:trPr>
          <w:trHeight w:val="668"/>
        </w:trPr>
        <w:tc>
          <w:tcPr>
            <w:tcW w:w="0" w:type="auto"/>
            <w:hideMark/>
          </w:tcPr>
          <w:p w14:paraId="414DC37C" w14:textId="77777777" w:rsidR="008E008F" w:rsidRPr="00122816" w:rsidRDefault="008E008F" w:rsidP="00124400">
            <w:pPr>
              <w:spacing w:after="160" w:line="360" w:lineRule="auto"/>
              <w:jc w:val="both"/>
              <w:rPr>
                <w:sz w:val="24"/>
                <w:szCs w:val="24"/>
              </w:rPr>
            </w:pPr>
            <w:r w:rsidRPr="00122816">
              <w:rPr>
                <w:sz w:val="24"/>
                <w:szCs w:val="24"/>
              </w:rPr>
              <w:t>Glass</w:t>
            </w:r>
          </w:p>
        </w:tc>
        <w:tc>
          <w:tcPr>
            <w:tcW w:w="0" w:type="auto"/>
            <w:hideMark/>
          </w:tcPr>
          <w:p w14:paraId="5F51461C" w14:textId="77777777" w:rsidR="008E008F" w:rsidRPr="00122816" w:rsidRDefault="008E008F" w:rsidP="00124400">
            <w:pPr>
              <w:spacing w:after="160" w:line="360" w:lineRule="auto"/>
              <w:jc w:val="both"/>
              <w:rPr>
                <w:sz w:val="24"/>
                <w:szCs w:val="24"/>
              </w:rPr>
            </w:pPr>
            <w:r w:rsidRPr="00122816">
              <w:rPr>
                <w:sz w:val="24"/>
                <w:szCs w:val="24"/>
              </w:rPr>
              <w:t>175</w:t>
            </w:r>
            <w:r>
              <w:rPr>
                <w:sz w:val="24"/>
                <w:szCs w:val="24"/>
              </w:rPr>
              <w:t xml:space="preserve"> (</w:t>
            </w:r>
            <w:r w:rsidRPr="00122816">
              <w:rPr>
                <w:sz w:val="24"/>
                <w:szCs w:val="24"/>
              </w:rPr>
              <w:t>74</w:t>
            </w:r>
            <w:r>
              <w:rPr>
                <w:sz w:val="24"/>
                <w:szCs w:val="24"/>
              </w:rPr>
              <w:t>%)</w:t>
            </w:r>
          </w:p>
        </w:tc>
      </w:tr>
      <w:tr w:rsidR="008E008F" w:rsidRPr="00122816" w14:paraId="2E8F3821" w14:textId="77777777" w:rsidTr="00124400">
        <w:trPr>
          <w:trHeight w:val="654"/>
        </w:trPr>
        <w:tc>
          <w:tcPr>
            <w:tcW w:w="0" w:type="auto"/>
            <w:hideMark/>
          </w:tcPr>
          <w:p w14:paraId="0B6D40C8" w14:textId="77777777" w:rsidR="008E008F" w:rsidRPr="00122816" w:rsidRDefault="008E008F" w:rsidP="00124400">
            <w:pPr>
              <w:spacing w:after="160" w:line="360" w:lineRule="auto"/>
              <w:jc w:val="both"/>
              <w:rPr>
                <w:sz w:val="24"/>
                <w:szCs w:val="24"/>
              </w:rPr>
            </w:pPr>
            <w:r w:rsidRPr="00122816">
              <w:rPr>
                <w:sz w:val="24"/>
                <w:szCs w:val="24"/>
              </w:rPr>
              <w:t>Compost/Organic Waste</w:t>
            </w:r>
          </w:p>
        </w:tc>
        <w:tc>
          <w:tcPr>
            <w:tcW w:w="0" w:type="auto"/>
            <w:hideMark/>
          </w:tcPr>
          <w:p w14:paraId="795AE1A4" w14:textId="77777777" w:rsidR="008E008F" w:rsidRPr="00122816" w:rsidRDefault="008E008F" w:rsidP="00124400">
            <w:pPr>
              <w:spacing w:after="160" w:line="360" w:lineRule="auto"/>
              <w:jc w:val="both"/>
              <w:rPr>
                <w:sz w:val="24"/>
                <w:szCs w:val="24"/>
              </w:rPr>
            </w:pPr>
            <w:r w:rsidRPr="00122816">
              <w:rPr>
                <w:sz w:val="24"/>
                <w:szCs w:val="24"/>
              </w:rPr>
              <w:t>190</w:t>
            </w:r>
            <w:r>
              <w:rPr>
                <w:sz w:val="24"/>
                <w:szCs w:val="24"/>
              </w:rPr>
              <w:t xml:space="preserve"> (</w:t>
            </w:r>
            <w:r w:rsidRPr="00122816">
              <w:rPr>
                <w:sz w:val="24"/>
                <w:szCs w:val="24"/>
              </w:rPr>
              <w:t>81</w:t>
            </w:r>
            <w:r>
              <w:rPr>
                <w:sz w:val="24"/>
                <w:szCs w:val="24"/>
              </w:rPr>
              <w:t>%)</w:t>
            </w:r>
          </w:p>
        </w:tc>
      </w:tr>
    </w:tbl>
    <w:p w14:paraId="27BE4B9F"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Source:</w:t>
      </w:r>
      <w:r w:rsidRPr="00122816">
        <w:rPr>
          <w:rFonts w:ascii="Times New Roman" w:hAnsi="Times New Roman" w:cs="Times New Roman"/>
          <w:sz w:val="24"/>
          <w:szCs w:val="24"/>
        </w:rPr>
        <w:t xml:space="preserve"> Field Data, 2025</w:t>
      </w:r>
    </w:p>
    <w:p w14:paraId="4A67D094"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Observation:</w:t>
      </w:r>
      <w:r w:rsidRPr="00122816">
        <w:rPr>
          <w:rFonts w:ascii="Times New Roman" w:hAnsi="Times New Roman" w:cs="Times New Roman"/>
          <w:sz w:val="24"/>
          <w:szCs w:val="24"/>
        </w:rPr>
        <w:t xml:space="preserve"> Awareness of plastic bins was highest (89%), followed by compost bins (81%), and glass bins (74%).</w:t>
      </w:r>
    </w:p>
    <w:p w14:paraId="0BB991FD" w14:textId="49096979" w:rsidR="008E008F" w:rsidRPr="00122816"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b/>
          <w:bCs/>
          <w:sz w:val="24"/>
          <w:szCs w:val="24"/>
        </w:rPr>
        <w:t xml:space="preserve">Table </w:t>
      </w:r>
      <w:r w:rsidR="00561424">
        <w:rPr>
          <w:rFonts w:ascii="Times New Roman" w:hAnsi="Times New Roman" w:cs="Times New Roman"/>
          <w:b/>
          <w:bCs/>
          <w:sz w:val="24"/>
          <w:szCs w:val="24"/>
        </w:rPr>
        <w:t>5</w:t>
      </w:r>
      <w:r w:rsidRPr="00122816">
        <w:rPr>
          <w:rFonts w:ascii="Times New Roman" w:hAnsi="Times New Roman" w:cs="Times New Roman"/>
          <w:b/>
          <w:bCs/>
          <w:sz w:val="24"/>
          <w:szCs w:val="24"/>
        </w:rPr>
        <w:t>: Understanding the Importance of Segregated Bins (n = 2</w:t>
      </w:r>
      <w:r>
        <w:rPr>
          <w:rFonts w:ascii="Times New Roman" w:hAnsi="Times New Roman" w:cs="Times New Roman"/>
          <w:b/>
          <w:bCs/>
          <w:sz w:val="24"/>
          <w:szCs w:val="24"/>
        </w:rPr>
        <w:t>4</w:t>
      </w:r>
      <w:r w:rsidRPr="00122816">
        <w:rPr>
          <w:rFonts w:ascii="Times New Roman" w:hAnsi="Times New Roman" w:cs="Times New Roman"/>
          <w:b/>
          <w:bCs/>
          <w:sz w:val="24"/>
          <w:szCs w:val="24"/>
        </w:rPr>
        <w:t>6)</w:t>
      </w:r>
    </w:p>
    <w:tbl>
      <w:tblPr>
        <w:tblStyle w:val="TableGridLight1"/>
        <w:tblW w:w="9323" w:type="dxa"/>
        <w:tblLook w:val="04A0" w:firstRow="1" w:lastRow="0" w:firstColumn="1" w:lastColumn="0" w:noHBand="0" w:noVBand="1"/>
      </w:tblPr>
      <w:tblGrid>
        <w:gridCol w:w="5450"/>
        <w:gridCol w:w="3873"/>
      </w:tblGrid>
      <w:tr w:rsidR="008E008F" w:rsidRPr="00122816" w14:paraId="50A3CA6B" w14:textId="77777777" w:rsidTr="00124400">
        <w:trPr>
          <w:trHeight w:val="625"/>
        </w:trPr>
        <w:tc>
          <w:tcPr>
            <w:tcW w:w="0" w:type="auto"/>
            <w:hideMark/>
          </w:tcPr>
          <w:p w14:paraId="692250AD" w14:textId="77777777" w:rsidR="008E008F" w:rsidRPr="00122816" w:rsidRDefault="008E008F" w:rsidP="00124400">
            <w:pPr>
              <w:spacing w:after="160" w:line="360" w:lineRule="auto"/>
              <w:jc w:val="both"/>
              <w:rPr>
                <w:b/>
                <w:bCs/>
                <w:sz w:val="24"/>
                <w:szCs w:val="24"/>
              </w:rPr>
            </w:pPr>
            <w:r w:rsidRPr="00122816">
              <w:rPr>
                <w:b/>
                <w:bCs/>
                <w:sz w:val="24"/>
                <w:szCs w:val="24"/>
              </w:rPr>
              <w:t>Importance Identified</w:t>
            </w:r>
          </w:p>
        </w:tc>
        <w:tc>
          <w:tcPr>
            <w:tcW w:w="0" w:type="auto"/>
            <w:hideMark/>
          </w:tcPr>
          <w:p w14:paraId="647DFEC5" w14:textId="77777777" w:rsidR="008E008F" w:rsidRPr="00122816" w:rsidRDefault="008E008F" w:rsidP="00124400">
            <w:pPr>
              <w:spacing w:after="160" w:line="360" w:lineRule="auto"/>
              <w:jc w:val="both"/>
              <w:rPr>
                <w:b/>
                <w:bCs/>
                <w:sz w:val="24"/>
                <w:szCs w:val="24"/>
              </w:rPr>
            </w:pPr>
            <w:r w:rsidRPr="00122816">
              <w:rPr>
                <w:b/>
                <w:bCs/>
                <w:sz w:val="24"/>
                <w:szCs w:val="24"/>
              </w:rPr>
              <w:t>Frequency</w:t>
            </w:r>
            <w:r>
              <w:rPr>
                <w:b/>
                <w:bCs/>
                <w:sz w:val="24"/>
                <w:szCs w:val="24"/>
              </w:rPr>
              <w:t xml:space="preserve"> </w:t>
            </w:r>
            <w:r w:rsidRPr="00122816">
              <w:rPr>
                <w:b/>
                <w:bCs/>
                <w:sz w:val="24"/>
                <w:szCs w:val="24"/>
              </w:rPr>
              <w:t>Percentage (%)</w:t>
            </w:r>
          </w:p>
        </w:tc>
      </w:tr>
      <w:tr w:rsidR="008E008F" w:rsidRPr="00122816" w14:paraId="54937ACC" w14:textId="77777777" w:rsidTr="00124400">
        <w:trPr>
          <w:trHeight w:val="612"/>
        </w:trPr>
        <w:tc>
          <w:tcPr>
            <w:tcW w:w="0" w:type="auto"/>
            <w:hideMark/>
          </w:tcPr>
          <w:p w14:paraId="36995891" w14:textId="77777777" w:rsidR="008E008F" w:rsidRPr="00122816" w:rsidRDefault="008E008F" w:rsidP="00124400">
            <w:pPr>
              <w:spacing w:after="160" w:line="360" w:lineRule="auto"/>
              <w:jc w:val="both"/>
              <w:rPr>
                <w:sz w:val="24"/>
                <w:szCs w:val="24"/>
              </w:rPr>
            </w:pPr>
            <w:r w:rsidRPr="00122816">
              <w:rPr>
                <w:sz w:val="24"/>
                <w:szCs w:val="24"/>
              </w:rPr>
              <w:lastRenderedPageBreak/>
              <w:t>Helps keep market clean</w:t>
            </w:r>
          </w:p>
        </w:tc>
        <w:tc>
          <w:tcPr>
            <w:tcW w:w="0" w:type="auto"/>
            <w:hideMark/>
          </w:tcPr>
          <w:p w14:paraId="33E78985" w14:textId="77777777" w:rsidR="008E008F" w:rsidRPr="00122816" w:rsidRDefault="008E008F" w:rsidP="00124400">
            <w:pPr>
              <w:spacing w:after="160" w:line="360" w:lineRule="auto"/>
              <w:jc w:val="both"/>
              <w:rPr>
                <w:sz w:val="24"/>
                <w:szCs w:val="24"/>
              </w:rPr>
            </w:pPr>
            <w:r w:rsidRPr="00122816">
              <w:rPr>
                <w:sz w:val="24"/>
                <w:szCs w:val="24"/>
              </w:rPr>
              <w:t>110</w:t>
            </w:r>
            <w:r>
              <w:rPr>
                <w:sz w:val="24"/>
                <w:szCs w:val="24"/>
              </w:rPr>
              <w:t xml:space="preserve"> (</w:t>
            </w:r>
            <w:r w:rsidRPr="00122816">
              <w:rPr>
                <w:sz w:val="24"/>
                <w:szCs w:val="24"/>
              </w:rPr>
              <w:t>47</w:t>
            </w:r>
            <w:r>
              <w:rPr>
                <w:sz w:val="24"/>
                <w:szCs w:val="24"/>
              </w:rPr>
              <w:t>%)</w:t>
            </w:r>
          </w:p>
        </w:tc>
      </w:tr>
      <w:tr w:rsidR="008E008F" w:rsidRPr="00122816" w14:paraId="53457BB4" w14:textId="77777777" w:rsidTr="00124400">
        <w:trPr>
          <w:trHeight w:val="625"/>
        </w:trPr>
        <w:tc>
          <w:tcPr>
            <w:tcW w:w="0" w:type="auto"/>
            <w:hideMark/>
          </w:tcPr>
          <w:p w14:paraId="38DAC8E4" w14:textId="77777777" w:rsidR="008E008F" w:rsidRPr="00122816" w:rsidRDefault="008E008F" w:rsidP="00124400">
            <w:pPr>
              <w:spacing w:after="160" w:line="360" w:lineRule="auto"/>
              <w:jc w:val="both"/>
              <w:rPr>
                <w:sz w:val="24"/>
                <w:szCs w:val="24"/>
              </w:rPr>
            </w:pPr>
            <w:r w:rsidRPr="00122816">
              <w:rPr>
                <w:sz w:val="24"/>
                <w:szCs w:val="24"/>
              </w:rPr>
              <w:t>Reduces disease outbreaks</w:t>
            </w:r>
          </w:p>
        </w:tc>
        <w:tc>
          <w:tcPr>
            <w:tcW w:w="0" w:type="auto"/>
            <w:hideMark/>
          </w:tcPr>
          <w:p w14:paraId="3C599211" w14:textId="77777777" w:rsidR="008E008F" w:rsidRPr="00122816" w:rsidRDefault="008E008F" w:rsidP="00124400">
            <w:pPr>
              <w:spacing w:after="160" w:line="360" w:lineRule="auto"/>
              <w:jc w:val="both"/>
              <w:rPr>
                <w:sz w:val="24"/>
                <w:szCs w:val="24"/>
              </w:rPr>
            </w:pPr>
            <w:r w:rsidRPr="00122816">
              <w:rPr>
                <w:sz w:val="24"/>
                <w:szCs w:val="24"/>
              </w:rPr>
              <w:t>65</w:t>
            </w:r>
            <w:r>
              <w:rPr>
                <w:sz w:val="24"/>
                <w:szCs w:val="24"/>
              </w:rPr>
              <w:t xml:space="preserve"> (</w:t>
            </w:r>
            <w:r w:rsidRPr="00122816">
              <w:rPr>
                <w:sz w:val="24"/>
                <w:szCs w:val="24"/>
              </w:rPr>
              <w:t>28</w:t>
            </w:r>
            <w:r>
              <w:rPr>
                <w:sz w:val="24"/>
                <w:szCs w:val="24"/>
              </w:rPr>
              <w:t>%)</w:t>
            </w:r>
          </w:p>
        </w:tc>
      </w:tr>
      <w:tr w:rsidR="008E008F" w:rsidRPr="00122816" w14:paraId="3BD86B4F" w14:textId="77777777" w:rsidTr="00124400">
        <w:trPr>
          <w:trHeight w:val="625"/>
        </w:trPr>
        <w:tc>
          <w:tcPr>
            <w:tcW w:w="0" w:type="auto"/>
            <w:hideMark/>
          </w:tcPr>
          <w:p w14:paraId="2BA786F4" w14:textId="77777777" w:rsidR="008E008F" w:rsidRPr="00122816" w:rsidRDefault="008E008F" w:rsidP="00124400">
            <w:pPr>
              <w:spacing w:after="160" w:line="360" w:lineRule="auto"/>
              <w:jc w:val="both"/>
              <w:rPr>
                <w:sz w:val="24"/>
                <w:szCs w:val="24"/>
              </w:rPr>
            </w:pPr>
            <w:r w:rsidRPr="00122816">
              <w:rPr>
                <w:sz w:val="24"/>
                <w:szCs w:val="24"/>
              </w:rPr>
              <w:t>Makes recycling and re-use easier</w:t>
            </w:r>
          </w:p>
        </w:tc>
        <w:tc>
          <w:tcPr>
            <w:tcW w:w="0" w:type="auto"/>
            <w:hideMark/>
          </w:tcPr>
          <w:p w14:paraId="54F0FAF5" w14:textId="77777777" w:rsidR="008E008F" w:rsidRPr="00122816" w:rsidRDefault="008E008F" w:rsidP="00124400">
            <w:pPr>
              <w:spacing w:after="160" w:line="360" w:lineRule="auto"/>
              <w:jc w:val="both"/>
              <w:rPr>
                <w:sz w:val="24"/>
                <w:szCs w:val="24"/>
              </w:rPr>
            </w:pPr>
            <w:r w:rsidRPr="00122816">
              <w:rPr>
                <w:sz w:val="24"/>
                <w:szCs w:val="24"/>
              </w:rPr>
              <w:t>38</w:t>
            </w:r>
            <w:r>
              <w:rPr>
                <w:sz w:val="24"/>
                <w:szCs w:val="24"/>
              </w:rPr>
              <w:t xml:space="preserve"> (</w:t>
            </w:r>
            <w:r w:rsidRPr="00122816">
              <w:rPr>
                <w:sz w:val="24"/>
                <w:szCs w:val="24"/>
              </w:rPr>
              <w:t>16</w:t>
            </w:r>
            <w:r>
              <w:rPr>
                <w:sz w:val="24"/>
                <w:szCs w:val="24"/>
              </w:rPr>
              <w:t>%)</w:t>
            </w:r>
          </w:p>
        </w:tc>
      </w:tr>
      <w:tr w:rsidR="008E008F" w:rsidRPr="00122816" w14:paraId="1B5750E2" w14:textId="77777777" w:rsidTr="00124400">
        <w:trPr>
          <w:trHeight w:val="612"/>
        </w:trPr>
        <w:tc>
          <w:tcPr>
            <w:tcW w:w="0" w:type="auto"/>
            <w:hideMark/>
          </w:tcPr>
          <w:p w14:paraId="78999B86" w14:textId="77777777" w:rsidR="008E008F" w:rsidRPr="00122816" w:rsidRDefault="008E008F" w:rsidP="00124400">
            <w:pPr>
              <w:spacing w:after="160" w:line="360" w:lineRule="auto"/>
              <w:jc w:val="both"/>
              <w:rPr>
                <w:sz w:val="24"/>
                <w:szCs w:val="24"/>
              </w:rPr>
            </w:pPr>
            <w:r w:rsidRPr="00122816">
              <w:rPr>
                <w:sz w:val="24"/>
                <w:szCs w:val="24"/>
              </w:rPr>
              <w:t>Protects the environment (air/land/water)</w:t>
            </w:r>
          </w:p>
        </w:tc>
        <w:tc>
          <w:tcPr>
            <w:tcW w:w="0" w:type="auto"/>
            <w:hideMark/>
          </w:tcPr>
          <w:p w14:paraId="37F05E1D" w14:textId="77777777" w:rsidR="008E008F" w:rsidRPr="00122816" w:rsidRDefault="008E008F" w:rsidP="00124400">
            <w:pPr>
              <w:spacing w:after="160" w:line="360" w:lineRule="auto"/>
              <w:jc w:val="both"/>
              <w:rPr>
                <w:sz w:val="24"/>
                <w:szCs w:val="24"/>
              </w:rPr>
            </w:pPr>
            <w:r w:rsidRPr="00122816">
              <w:rPr>
                <w:sz w:val="24"/>
                <w:szCs w:val="24"/>
              </w:rPr>
              <w:t>23</w:t>
            </w:r>
            <w:r>
              <w:rPr>
                <w:sz w:val="24"/>
                <w:szCs w:val="24"/>
              </w:rPr>
              <w:t xml:space="preserve"> (</w:t>
            </w:r>
            <w:r w:rsidRPr="00122816">
              <w:rPr>
                <w:sz w:val="24"/>
                <w:szCs w:val="24"/>
              </w:rPr>
              <w:t>9</w:t>
            </w:r>
            <w:r>
              <w:rPr>
                <w:sz w:val="24"/>
                <w:szCs w:val="24"/>
              </w:rPr>
              <w:t>%)</w:t>
            </w:r>
          </w:p>
        </w:tc>
      </w:tr>
    </w:tbl>
    <w:p w14:paraId="05C67330" w14:textId="0FDED956"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Source:</w:t>
      </w:r>
      <w:r w:rsidRPr="00122816">
        <w:rPr>
          <w:rFonts w:ascii="Times New Roman" w:hAnsi="Times New Roman" w:cs="Times New Roman"/>
          <w:sz w:val="24"/>
          <w:szCs w:val="24"/>
        </w:rPr>
        <w:t xml:space="preserve"> Field Data, 2025</w:t>
      </w:r>
    </w:p>
    <w:p w14:paraId="2839EA61" w14:textId="6733D44D" w:rsidR="008E008F"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sz w:val="24"/>
          <w:szCs w:val="24"/>
        </w:rPr>
        <w:t>Nearly half (47%) linked bins to market cleanliness, while fewer associated them with recycling (16%) or environmental protection (9%).</w:t>
      </w:r>
    </w:p>
    <w:p w14:paraId="50E15857" w14:textId="1FB54AE8" w:rsidR="008E008F" w:rsidRPr="00122816" w:rsidRDefault="008E008F" w:rsidP="008E008F">
      <w:pPr>
        <w:spacing w:line="360" w:lineRule="auto"/>
        <w:jc w:val="both"/>
        <w:rPr>
          <w:rFonts w:ascii="Times New Roman" w:hAnsi="Times New Roman" w:cs="Times New Roman"/>
          <w:b/>
          <w:bCs/>
          <w:sz w:val="24"/>
          <w:szCs w:val="24"/>
        </w:rPr>
      </w:pPr>
      <w:r w:rsidRPr="00122816">
        <w:rPr>
          <w:rFonts w:ascii="Times New Roman" w:hAnsi="Times New Roman" w:cs="Times New Roman"/>
          <w:b/>
          <w:bCs/>
          <w:sz w:val="24"/>
          <w:szCs w:val="24"/>
        </w:rPr>
        <w:t xml:space="preserve">Table </w:t>
      </w:r>
      <w:r w:rsidR="00561424">
        <w:rPr>
          <w:rFonts w:ascii="Times New Roman" w:hAnsi="Times New Roman" w:cs="Times New Roman"/>
          <w:b/>
          <w:bCs/>
          <w:sz w:val="24"/>
          <w:szCs w:val="24"/>
        </w:rPr>
        <w:t>6</w:t>
      </w:r>
      <w:r w:rsidRPr="00122816">
        <w:rPr>
          <w:rFonts w:ascii="Times New Roman" w:hAnsi="Times New Roman" w:cs="Times New Roman"/>
          <w:b/>
          <w:bCs/>
          <w:sz w:val="24"/>
          <w:szCs w:val="24"/>
        </w:rPr>
        <w:t>: Frequency of Using Segregated Bins (n = 2</w:t>
      </w:r>
      <w:r>
        <w:rPr>
          <w:rFonts w:ascii="Times New Roman" w:hAnsi="Times New Roman" w:cs="Times New Roman"/>
          <w:b/>
          <w:bCs/>
          <w:sz w:val="24"/>
          <w:szCs w:val="24"/>
        </w:rPr>
        <w:t>4</w:t>
      </w:r>
      <w:r w:rsidRPr="00122816">
        <w:rPr>
          <w:rFonts w:ascii="Times New Roman" w:hAnsi="Times New Roman" w:cs="Times New Roman"/>
          <w:b/>
          <w:bCs/>
          <w:sz w:val="24"/>
          <w:szCs w:val="24"/>
        </w:rPr>
        <w:t>6)</w:t>
      </w:r>
    </w:p>
    <w:tbl>
      <w:tblPr>
        <w:tblStyle w:val="TableGridLight1"/>
        <w:tblW w:w="9483" w:type="dxa"/>
        <w:tblLook w:val="04A0" w:firstRow="1" w:lastRow="0" w:firstColumn="1" w:lastColumn="0" w:noHBand="0" w:noVBand="1"/>
      </w:tblPr>
      <w:tblGrid>
        <w:gridCol w:w="4106"/>
        <w:gridCol w:w="5377"/>
      </w:tblGrid>
      <w:tr w:rsidR="008E008F" w:rsidRPr="00122816" w14:paraId="105A9299" w14:textId="77777777" w:rsidTr="00124400">
        <w:trPr>
          <w:trHeight w:val="590"/>
        </w:trPr>
        <w:tc>
          <w:tcPr>
            <w:tcW w:w="4106" w:type="dxa"/>
            <w:hideMark/>
          </w:tcPr>
          <w:p w14:paraId="7006D7EC" w14:textId="77777777" w:rsidR="008E008F" w:rsidRPr="00122816" w:rsidRDefault="008E008F" w:rsidP="00124400">
            <w:pPr>
              <w:spacing w:after="160" w:line="360" w:lineRule="auto"/>
              <w:jc w:val="both"/>
              <w:rPr>
                <w:b/>
                <w:bCs/>
                <w:sz w:val="24"/>
                <w:szCs w:val="24"/>
              </w:rPr>
            </w:pPr>
            <w:r w:rsidRPr="00122816">
              <w:rPr>
                <w:b/>
                <w:bCs/>
                <w:sz w:val="24"/>
                <w:szCs w:val="24"/>
              </w:rPr>
              <w:t>Usage Frequency</w:t>
            </w:r>
          </w:p>
        </w:tc>
        <w:tc>
          <w:tcPr>
            <w:tcW w:w="5377" w:type="dxa"/>
            <w:hideMark/>
          </w:tcPr>
          <w:p w14:paraId="51965C2A" w14:textId="77777777" w:rsidR="008E008F" w:rsidRPr="00122816" w:rsidRDefault="008E008F" w:rsidP="00124400">
            <w:pPr>
              <w:spacing w:after="160" w:line="360" w:lineRule="auto"/>
              <w:jc w:val="both"/>
              <w:rPr>
                <w:b/>
                <w:bCs/>
                <w:sz w:val="24"/>
                <w:szCs w:val="24"/>
              </w:rPr>
            </w:pPr>
            <w:r w:rsidRPr="00122816">
              <w:rPr>
                <w:b/>
                <w:bCs/>
                <w:sz w:val="24"/>
                <w:szCs w:val="24"/>
              </w:rPr>
              <w:t>Frequency</w:t>
            </w:r>
            <w:r>
              <w:rPr>
                <w:b/>
                <w:bCs/>
                <w:sz w:val="24"/>
                <w:szCs w:val="24"/>
              </w:rPr>
              <w:t xml:space="preserve">    </w:t>
            </w:r>
            <w:r w:rsidRPr="00122816">
              <w:rPr>
                <w:b/>
                <w:bCs/>
                <w:sz w:val="24"/>
                <w:szCs w:val="24"/>
              </w:rPr>
              <w:t>Percentage (%)</w:t>
            </w:r>
          </w:p>
        </w:tc>
      </w:tr>
      <w:tr w:rsidR="008E008F" w:rsidRPr="00122816" w14:paraId="6EDEDD37" w14:textId="77777777" w:rsidTr="00124400">
        <w:trPr>
          <w:trHeight w:val="577"/>
        </w:trPr>
        <w:tc>
          <w:tcPr>
            <w:tcW w:w="4106" w:type="dxa"/>
            <w:hideMark/>
          </w:tcPr>
          <w:p w14:paraId="7DB6BB2A" w14:textId="77777777" w:rsidR="008E008F" w:rsidRPr="00122816" w:rsidRDefault="008E008F" w:rsidP="00124400">
            <w:pPr>
              <w:spacing w:after="160" w:line="360" w:lineRule="auto"/>
              <w:jc w:val="both"/>
              <w:rPr>
                <w:sz w:val="24"/>
                <w:szCs w:val="24"/>
              </w:rPr>
            </w:pPr>
            <w:r w:rsidRPr="00122816">
              <w:rPr>
                <w:sz w:val="24"/>
                <w:szCs w:val="24"/>
              </w:rPr>
              <w:t>Always</w:t>
            </w:r>
          </w:p>
        </w:tc>
        <w:tc>
          <w:tcPr>
            <w:tcW w:w="5377" w:type="dxa"/>
            <w:hideMark/>
          </w:tcPr>
          <w:p w14:paraId="66373450" w14:textId="77777777" w:rsidR="008E008F" w:rsidRPr="00122816" w:rsidRDefault="008E008F" w:rsidP="00124400">
            <w:pPr>
              <w:spacing w:after="160" w:line="360" w:lineRule="auto"/>
              <w:jc w:val="both"/>
              <w:rPr>
                <w:sz w:val="24"/>
                <w:szCs w:val="24"/>
              </w:rPr>
            </w:pPr>
            <w:r w:rsidRPr="00122816">
              <w:rPr>
                <w:sz w:val="24"/>
                <w:szCs w:val="24"/>
              </w:rPr>
              <w:t>52</w:t>
            </w:r>
            <w:r>
              <w:rPr>
                <w:sz w:val="24"/>
                <w:szCs w:val="24"/>
              </w:rPr>
              <w:t xml:space="preserve"> (</w:t>
            </w:r>
            <w:r w:rsidRPr="00122816">
              <w:rPr>
                <w:sz w:val="24"/>
                <w:szCs w:val="24"/>
              </w:rPr>
              <w:t>22</w:t>
            </w:r>
            <w:r>
              <w:rPr>
                <w:sz w:val="24"/>
                <w:szCs w:val="24"/>
              </w:rPr>
              <w:t>%)</w:t>
            </w:r>
          </w:p>
        </w:tc>
      </w:tr>
      <w:tr w:rsidR="008E008F" w:rsidRPr="00122816" w14:paraId="4977D70E" w14:textId="77777777" w:rsidTr="00124400">
        <w:trPr>
          <w:trHeight w:val="590"/>
        </w:trPr>
        <w:tc>
          <w:tcPr>
            <w:tcW w:w="4106" w:type="dxa"/>
            <w:hideMark/>
          </w:tcPr>
          <w:p w14:paraId="76D9865B" w14:textId="77777777" w:rsidR="008E008F" w:rsidRPr="00122816" w:rsidRDefault="008E008F" w:rsidP="00124400">
            <w:pPr>
              <w:spacing w:after="160" w:line="360" w:lineRule="auto"/>
              <w:jc w:val="both"/>
              <w:rPr>
                <w:sz w:val="24"/>
                <w:szCs w:val="24"/>
              </w:rPr>
            </w:pPr>
            <w:r w:rsidRPr="00122816">
              <w:rPr>
                <w:sz w:val="24"/>
                <w:szCs w:val="24"/>
              </w:rPr>
              <w:t>Sometimes</w:t>
            </w:r>
          </w:p>
        </w:tc>
        <w:tc>
          <w:tcPr>
            <w:tcW w:w="5377" w:type="dxa"/>
            <w:hideMark/>
          </w:tcPr>
          <w:p w14:paraId="1204492C" w14:textId="77777777" w:rsidR="008E008F" w:rsidRPr="00122816" w:rsidRDefault="008E008F" w:rsidP="00124400">
            <w:pPr>
              <w:spacing w:after="160" w:line="360" w:lineRule="auto"/>
              <w:jc w:val="both"/>
              <w:rPr>
                <w:sz w:val="24"/>
                <w:szCs w:val="24"/>
              </w:rPr>
            </w:pPr>
            <w:r w:rsidRPr="00122816">
              <w:rPr>
                <w:sz w:val="24"/>
                <w:szCs w:val="24"/>
              </w:rPr>
              <w:t>134</w:t>
            </w:r>
            <w:r>
              <w:rPr>
                <w:sz w:val="24"/>
                <w:szCs w:val="24"/>
              </w:rPr>
              <w:t xml:space="preserve"> (</w:t>
            </w:r>
            <w:r w:rsidRPr="00122816">
              <w:rPr>
                <w:sz w:val="24"/>
                <w:szCs w:val="24"/>
              </w:rPr>
              <w:t>57</w:t>
            </w:r>
            <w:r>
              <w:rPr>
                <w:sz w:val="24"/>
                <w:szCs w:val="24"/>
              </w:rPr>
              <w:t>%)</w:t>
            </w:r>
          </w:p>
        </w:tc>
      </w:tr>
      <w:tr w:rsidR="008E008F" w:rsidRPr="00122816" w14:paraId="5BDE0FBF" w14:textId="77777777" w:rsidTr="00124400">
        <w:trPr>
          <w:trHeight w:val="590"/>
        </w:trPr>
        <w:tc>
          <w:tcPr>
            <w:tcW w:w="4106" w:type="dxa"/>
            <w:hideMark/>
          </w:tcPr>
          <w:p w14:paraId="15820529" w14:textId="77777777" w:rsidR="008E008F" w:rsidRPr="00122816" w:rsidRDefault="008E008F" w:rsidP="00124400">
            <w:pPr>
              <w:spacing w:after="160" w:line="360" w:lineRule="auto"/>
              <w:jc w:val="both"/>
              <w:rPr>
                <w:sz w:val="24"/>
                <w:szCs w:val="24"/>
              </w:rPr>
            </w:pPr>
            <w:r w:rsidRPr="00122816">
              <w:rPr>
                <w:sz w:val="24"/>
                <w:szCs w:val="24"/>
              </w:rPr>
              <w:t>Rarely</w:t>
            </w:r>
          </w:p>
        </w:tc>
        <w:tc>
          <w:tcPr>
            <w:tcW w:w="5377" w:type="dxa"/>
            <w:hideMark/>
          </w:tcPr>
          <w:p w14:paraId="380CBDE7" w14:textId="77777777" w:rsidR="008E008F" w:rsidRPr="00122816" w:rsidRDefault="008E008F" w:rsidP="00124400">
            <w:pPr>
              <w:spacing w:after="160" w:line="360" w:lineRule="auto"/>
              <w:jc w:val="both"/>
              <w:rPr>
                <w:sz w:val="24"/>
                <w:szCs w:val="24"/>
              </w:rPr>
            </w:pPr>
            <w:r w:rsidRPr="00122816">
              <w:rPr>
                <w:sz w:val="24"/>
                <w:szCs w:val="24"/>
              </w:rPr>
              <w:t>35</w:t>
            </w:r>
            <w:r>
              <w:rPr>
                <w:sz w:val="24"/>
                <w:szCs w:val="24"/>
              </w:rPr>
              <w:t xml:space="preserve"> (</w:t>
            </w:r>
            <w:r w:rsidRPr="00122816">
              <w:rPr>
                <w:sz w:val="24"/>
                <w:szCs w:val="24"/>
              </w:rPr>
              <w:t>15</w:t>
            </w:r>
            <w:r>
              <w:rPr>
                <w:sz w:val="24"/>
                <w:szCs w:val="24"/>
              </w:rPr>
              <w:t>%)</w:t>
            </w:r>
          </w:p>
        </w:tc>
      </w:tr>
      <w:tr w:rsidR="008E008F" w:rsidRPr="00122816" w14:paraId="56565183" w14:textId="77777777" w:rsidTr="00124400">
        <w:trPr>
          <w:trHeight w:val="577"/>
        </w:trPr>
        <w:tc>
          <w:tcPr>
            <w:tcW w:w="4106" w:type="dxa"/>
            <w:hideMark/>
          </w:tcPr>
          <w:p w14:paraId="710F0181" w14:textId="77777777" w:rsidR="008E008F" w:rsidRPr="00122816" w:rsidRDefault="008E008F" w:rsidP="00124400">
            <w:pPr>
              <w:spacing w:after="160" w:line="360" w:lineRule="auto"/>
              <w:jc w:val="both"/>
              <w:rPr>
                <w:sz w:val="24"/>
                <w:szCs w:val="24"/>
              </w:rPr>
            </w:pPr>
            <w:r w:rsidRPr="00122816">
              <w:rPr>
                <w:sz w:val="24"/>
                <w:szCs w:val="24"/>
              </w:rPr>
              <w:t>Never</w:t>
            </w:r>
          </w:p>
        </w:tc>
        <w:tc>
          <w:tcPr>
            <w:tcW w:w="5377" w:type="dxa"/>
            <w:hideMark/>
          </w:tcPr>
          <w:p w14:paraId="67B99A03" w14:textId="77777777" w:rsidR="008E008F" w:rsidRPr="00122816" w:rsidRDefault="008E008F" w:rsidP="00124400">
            <w:pPr>
              <w:spacing w:after="160" w:line="360" w:lineRule="auto"/>
              <w:jc w:val="both"/>
              <w:rPr>
                <w:sz w:val="24"/>
                <w:szCs w:val="24"/>
              </w:rPr>
            </w:pPr>
            <w:r w:rsidRPr="00122816">
              <w:rPr>
                <w:sz w:val="24"/>
                <w:szCs w:val="24"/>
              </w:rPr>
              <w:t>15</w:t>
            </w:r>
            <w:r>
              <w:rPr>
                <w:sz w:val="24"/>
                <w:szCs w:val="24"/>
              </w:rPr>
              <w:t xml:space="preserve"> (</w:t>
            </w:r>
            <w:r w:rsidRPr="00122816">
              <w:rPr>
                <w:sz w:val="24"/>
                <w:szCs w:val="24"/>
              </w:rPr>
              <w:t>6</w:t>
            </w:r>
            <w:r>
              <w:rPr>
                <w:sz w:val="24"/>
                <w:szCs w:val="24"/>
              </w:rPr>
              <w:t>%)</w:t>
            </w:r>
          </w:p>
        </w:tc>
      </w:tr>
    </w:tbl>
    <w:p w14:paraId="39CA40A0" w14:textId="77777777" w:rsidR="008E008F" w:rsidRPr="00122816"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b/>
          <w:bCs/>
          <w:sz w:val="24"/>
          <w:szCs w:val="24"/>
        </w:rPr>
        <w:t>Source:</w:t>
      </w:r>
      <w:r w:rsidRPr="00122816">
        <w:rPr>
          <w:rFonts w:ascii="Times New Roman" w:hAnsi="Times New Roman" w:cs="Times New Roman"/>
          <w:sz w:val="24"/>
          <w:szCs w:val="24"/>
        </w:rPr>
        <w:t xml:space="preserve"> Field Data, 2025</w:t>
      </w:r>
    </w:p>
    <w:p w14:paraId="1F1E1889" w14:textId="77777777" w:rsidR="008E008F" w:rsidRPr="0053130E" w:rsidRDefault="008E008F" w:rsidP="008E008F">
      <w:pPr>
        <w:spacing w:line="360" w:lineRule="auto"/>
        <w:jc w:val="both"/>
        <w:rPr>
          <w:rFonts w:ascii="Times New Roman" w:hAnsi="Times New Roman" w:cs="Times New Roman"/>
          <w:sz w:val="24"/>
          <w:szCs w:val="24"/>
        </w:rPr>
      </w:pPr>
      <w:r w:rsidRPr="00122816">
        <w:rPr>
          <w:rFonts w:ascii="Times New Roman" w:hAnsi="Times New Roman" w:cs="Times New Roman"/>
          <w:sz w:val="24"/>
          <w:szCs w:val="24"/>
        </w:rPr>
        <w:t>Although 96% were aware, only 22% reported always using segregated bins, while 57% used them sometimes, and 21% rarely or never used them.</w:t>
      </w:r>
    </w:p>
    <w:p w14:paraId="0ACBEAB1" w14:textId="7DFC7EED" w:rsidR="008E008F" w:rsidRPr="0053130E" w:rsidRDefault="008E008F" w:rsidP="00C2599D">
      <w:pPr>
        <w:pStyle w:val="Heading2"/>
        <w:rPr>
          <w:rFonts w:ascii="Times New Roman" w:hAnsi="Times New Roman" w:cs="Times New Roman"/>
          <w:bCs/>
          <w:i/>
          <w:iCs/>
          <w:sz w:val="24"/>
          <w:szCs w:val="24"/>
        </w:rPr>
      </w:pPr>
      <w:bookmarkStart w:id="50" w:name="_Toc209708339"/>
      <w:bookmarkStart w:id="51" w:name="_Hlk207273458"/>
      <w:bookmarkEnd w:id="47"/>
      <w:bookmarkEnd w:id="48"/>
      <w:r w:rsidRPr="00DB7774">
        <w:t xml:space="preserve">4.3 </w:t>
      </w:r>
      <w:bookmarkEnd w:id="50"/>
      <w:r w:rsidR="00C2599D">
        <w:t>O</w:t>
      </w:r>
      <w:r w:rsidRPr="0053130E">
        <w:rPr>
          <w:rFonts w:ascii="Times New Roman" w:hAnsi="Times New Roman" w:cs="Times New Roman"/>
          <w:b/>
          <w:bCs/>
          <w:sz w:val="24"/>
          <w:szCs w:val="24"/>
        </w:rPr>
        <w:t>bjective 2:</w:t>
      </w:r>
      <w:r w:rsidRPr="0053130E">
        <w:rPr>
          <w:rFonts w:ascii="Times New Roman" w:hAnsi="Times New Roman" w:cs="Times New Roman"/>
          <w:b/>
          <w:sz w:val="24"/>
          <w:szCs w:val="24"/>
        </w:rPr>
        <w:t xml:space="preserve"> </w:t>
      </w:r>
      <w:r w:rsidRPr="0053130E">
        <w:rPr>
          <w:rFonts w:ascii="Times New Roman" w:hAnsi="Times New Roman" w:cs="Times New Roman"/>
          <w:bCs/>
          <w:i/>
          <w:iCs/>
          <w:sz w:val="24"/>
          <w:szCs w:val="24"/>
        </w:rPr>
        <w:t>To assess the attitudes and practices of marketeers towards segregated bins for solid waste management at Soweto Market, Lusaka.</w:t>
      </w:r>
    </w:p>
    <w:p w14:paraId="4BF74238" w14:textId="677F6349" w:rsidR="008E008F" w:rsidRPr="00DB7774" w:rsidRDefault="008E008F" w:rsidP="008E008F">
      <w:pPr>
        <w:spacing w:line="360" w:lineRule="auto"/>
        <w:jc w:val="both"/>
        <w:rPr>
          <w:rFonts w:ascii="Times New Roman" w:eastAsia="Calibri" w:hAnsi="Times New Roman" w:cs="Times New Roman"/>
          <w:b/>
          <w:bCs/>
          <w:sz w:val="24"/>
          <w:szCs w:val="24"/>
        </w:rPr>
      </w:pPr>
      <w:r w:rsidRPr="00DB7774">
        <w:rPr>
          <w:rFonts w:ascii="Times New Roman" w:eastAsia="Calibri" w:hAnsi="Times New Roman" w:cs="Times New Roman"/>
          <w:b/>
          <w:bCs/>
          <w:sz w:val="24"/>
          <w:szCs w:val="24"/>
        </w:rPr>
        <w:t xml:space="preserve">Table </w:t>
      </w:r>
      <w:r w:rsidR="00561424">
        <w:rPr>
          <w:rFonts w:ascii="Times New Roman" w:eastAsia="Calibri" w:hAnsi="Times New Roman" w:cs="Times New Roman"/>
          <w:b/>
          <w:bCs/>
          <w:sz w:val="24"/>
          <w:szCs w:val="24"/>
        </w:rPr>
        <w:t>7</w:t>
      </w:r>
      <w:r w:rsidRPr="00DB7774">
        <w:rPr>
          <w:rFonts w:ascii="Times New Roman" w:eastAsia="Calibri" w:hAnsi="Times New Roman" w:cs="Times New Roman"/>
          <w:b/>
          <w:bCs/>
          <w:sz w:val="24"/>
          <w:szCs w:val="24"/>
        </w:rPr>
        <w:t>: Traders’ Attitudes Towards Segregated Bins (n = 246)</w:t>
      </w:r>
    </w:p>
    <w:tbl>
      <w:tblPr>
        <w:tblStyle w:val="TableGridLight1"/>
        <w:tblW w:w="0" w:type="auto"/>
        <w:tblLook w:val="04A0" w:firstRow="1" w:lastRow="0" w:firstColumn="1" w:lastColumn="0" w:noHBand="0" w:noVBand="1"/>
      </w:tblPr>
      <w:tblGrid>
        <w:gridCol w:w="4851"/>
        <w:gridCol w:w="1258"/>
        <w:gridCol w:w="1387"/>
        <w:gridCol w:w="1520"/>
      </w:tblGrid>
      <w:tr w:rsidR="008E008F" w:rsidRPr="00DB7774" w14:paraId="3BC0EA31" w14:textId="77777777" w:rsidTr="00124400">
        <w:tc>
          <w:tcPr>
            <w:tcW w:w="0" w:type="auto"/>
            <w:hideMark/>
          </w:tcPr>
          <w:p w14:paraId="67B447D7"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Attitude Statement</w:t>
            </w:r>
          </w:p>
        </w:tc>
        <w:tc>
          <w:tcPr>
            <w:tcW w:w="0" w:type="auto"/>
            <w:hideMark/>
          </w:tcPr>
          <w:p w14:paraId="0A34F9B8"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Agree (n, %)</w:t>
            </w:r>
          </w:p>
        </w:tc>
        <w:tc>
          <w:tcPr>
            <w:tcW w:w="0" w:type="auto"/>
            <w:hideMark/>
          </w:tcPr>
          <w:p w14:paraId="2D5CCFED"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Neutral (n, %)</w:t>
            </w:r>
          </w:p>
        </w:tc>
        <w:tc>
          <w:tcPr>
            <w:tcW w:w="0" w:type="auto"/>
            <w:hideMark/>
          </w:tcPr>
          <w:p w14:paraId="5CA186E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Disagree (n, %)</w:t>
            </w:r>
          </w:p>
        </w:tc>
      </w:tr>
      <w:tr w:rsidR="008E008F" w:rsidRPr="00DB7774" w14:paraId="79BD6EC4" w14:textId="77777777" w:rsidTr="00124400">
        <w:tc>
          <w:tcPr>
            <w:tcW w:w="0" w:type="auto"/>
            <w:hideMark/>
          </w:tcPr>
          <w:p w14:paraId="72E51BF6"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Segregated bins are important for keeping the market clean</w:t>
            </w:r>
          </w:p>
        </w:tc>
        <w:tc>
          <w:tcPr>
            <w:tcW w:w="0" w:type="auto"/>
            <w:hideMark/>
          </w:tcPr>
          <w:p w14:paraId="5A6E951E"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180 (73%)</w:t>
            </w:r>
          </w:p>
        </w:tc>
        <w:tc>
          <w:tcPr>
            <w:tcW w:w="0" w:type="auto"/>
            <w:hideMark/>
          </w:tcPr>
          <w:p w14:paraId="5F5B7757"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36 (15%)</w:t>
            </w:r>
          </w:p>
        </w:tc>
        <w:tc>
          <w:tcPr>
            <w:tcW w:w="0" w:type="auto"/>
            <w:hideMark/>
          </w:tcPr>
          <w:p w14:paraId="52FE1D78"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30 (12%)</w:t>
            </w:r>
          </w:p>
        </w:tc>
      </w:tr>
      <w:tr w:rsidR="008E008F" w:rsidRPr="00DB7774" w14:paraId="16D34944" w14:textId="77777777" w:rsidTr="00124400">
        <w:tc>
          <w:tcPr>
            <w:tcW w:w="0" w:type="auto"/>
            <w:hideMark/>
          </w:tcPr>
          <w:p w14:paraId="734F3DCD"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Using bins prevents disease outbreaks in the market</w:t>
            </w:r>
          </w:p>
        </w:tc>
        <w:tc>
          <w:tcPr>
            <w:tcW w:w="0" w:type="auto"/>
            <w:hideMark/>
          </w:tcPr>
          <w:p w14:paraId="4202D131"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165 (67%)</w:t>
            </w:r>
          </w:p>
        </w:tc>
        <w:tc>
          <w:tcPr>
            <w:tcW w:w="0" w:type="auto"/>
            <w:hideMark/>
          </w:tcPr>
          <w:p w14:paraId="0120180D"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41 (17%)</w:t>
            </w:r>
          </w:p>
        </w:tc>
        <w:tc>
          <w:tcPr>
            <w:tcW w:w="0" w:type="auto"/>
            <w:hideMark/>
          </w:tcPr>
          <w:p w14:paraId="474756A1"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40 (16%)</w:t>
            </w:r>
          </w:p>
        </w:tc>
      </w:tr>
      <w:tr w:rsidR="008E008F" w:rsidRPr="00DB7774" w14:paraId="19C4933C" w14:textId="77777777" w:rsidTr="00124400">
        <w:tc>
          <w:tcPr>
            <w:tcW w:w="0" w:type="auto"/>
            <w:hideMark/>
          </w:tcPr>
          <w:p w14:paraId="42AE6E6D"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lastRenderedPageBreak/>
              <w:t>Paying waste collection fees is worth the benefit</w:t>
            </w:r>
          </w:p>
        </w:tc>
        <w:tc>
          <w:tcPr>
            <w:tcW w:w="0" w:type="auto"/>
            <w:hideMark/>
          </w:tcPr>
          <w:p w14:paraId="38CF125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95 (39%)</w:t>
            </w:r>
          </w:p>
        </w:tc>
        <w:tc>
          <w:tcPr>
            <w:tcW w:w="0" w:type="auto"/>
            <w:hideMark/>
          </w:tcPr>
          <w:p w14:paraId="7AFF0C56"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60 (24%)</w:t>
            </w:r>
          </w:p>
        </w:tc>
        <w:tc>
          <w:tcPr>
            <w:tcW w:w="0" w:type="auto"/>
            <w:hideMark/>
          </w:tcPr>
          <w:p w14:paraId="258927B2"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91 (37%)</w:t>
            </w:r>
          </w:p>
        </w:tc>
      </w:tr>
      <w:tr w:rsidR="008E008F" w:rsidRPr="00DB7774" w14:paraId="501B6F3A" w14:textId="77777777" w:rsidTr="00124400">
        <w:tc>
          <w:tcPr>
            <w:tcW w:w="0" w:type="auto"/>
            <w:hideMark/>
          </w:tcPr>
          <w:p w14:paraId="255127C9"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Traders should share responsibility with LCC for waste disposal</w:t>
            </w:r>
          </w:p>
        </w:tc>
        <w:tc>
          <w:tcPr>
            <w:tcW w:w="0" w:type="auto"/>
            <w:hideMark/>
          </w:tcPr>
          <w:p w14:paraId="35700C5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120 (49%)</w:t>
            </w:r>
          </w:p>
        </w:tc>
        <w:tc>
          <w:tcPr>
            <w:tcW w:w="0" w:type="auto"/>
            <w:hideMark/>
          </w:tcPr>
          <w:p w14:paraId="2695E93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55 (22%)</w:t>
            </w:r>
          </w:p>
        </w:tc>
        <w:tc>
          <w:tcPr>
            <w:tcW w:w="0" w:type="auto"/>
            <w:hideMark/>
          </w:tcPr>
          <w:p w14:paraId="60203EF0"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71 (29%)</w:t>
            </w:r>
          </w:p>
        </w:tc>
      </w:tr>
      <w:tr w:rsidR="008E008F" w:rsidRPr="00DB7774" w14:paraId="615D156A" w14:textId="77777777" w:rsidTr="00124400">
        <w:tc>
          <w:tcPr>
            <w:tcW w:w="0" w:type="auto"/>
            <w:hideMark/>
          </w:tcPr>
          <w:p w14:paraId="4786EF71"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Waste segregation is the responsibility of the government alone</w:t>
            </w:r>
          </w:p>
        </w:tc>
        <w:tc>
          <w:tcPr>
            <w:tcW w:w="0" w:type="auto"/>
            <w:hideMark/>
          </w:tcPr>
          <w:p w14:paraId="1E9CA70E"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85 (35%)</w:t>
            </w:r>
          </w:p>
        </w:tc>
        <w:tc>
          <w:tcPr>
            <w:tcW w:w="0" w:type="auto"/>
            <w:hideMark/>
          </w:tcPr>
          <w:p w14:paraId="7AC1983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30 (12%)</w:t>
            </w:r>
          </w:p>
        </w:tc>
        <w:tc>
          <w:tcPr>
            <w:tcW w:w="0" w:type="auto"/>
            <w:hideMark/>
          </w:tcPr>
          <w:p w14:paraId="6FF9E898"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131 (53%)</w:t>
            </w:r>
          </w:p>
        </w:tc>
      </w:tr>
    </w:tbl>
    <w:p w14:paraId="0FE05BCC" w14:textId="77777777" w:rsidR="008E008F" w:rsidRPr="00DB7774" w:rsidRDefault="008E008F" w:rsidP="008E008F">
      <w:pPr>
        <w:spacing w:line="360" w:lineRule="auto"/>
        <w:jc w:val="both"/>
        <w:rPr>
          <w:rFonts w:ascii="Times New Roman" w:eastAsia="Calibri" w:hAnsi="Times New Roman" w:cs="Times New Roman"/>
          <w:b/>
          <w:sz w:val="24"/>
          <w:szCs w:val="24"/>
        </w:rPr>
      </w:pPr>
      <w:r w:rsidRPr="00DB7774">
        <w:rPr>
          <w:rFonts w:ascii="Times New Roman" w:eastAsia="Calibri" w:hAnsi="Times New Roman" w:cs="Times New Roman"/>
          <w:b/>
          <w:bCs/>
          <w:sz w:val="24"/>
          <w:szCs w:val="24"/>
        </w:rPr>
        <w:t>Source:</w:t>
      </w:r>
      <w:r w:rsidRPr="00DB7774">
        <w:rPr>
          <w:rFonts w:ascii="Times New Roman" w:eastAsia="Calibri" w:hAnsi="Times New Roman" w:cs="Times New Roman"/>
          <w:b/>
          <w:sz w:val="24"/>
          <w:szCs w:val="24"/>
        </w:rPr>
        <w:t xml:space="preserve"> Field Data, 2025</w:t>
      </w:r>
    </w:p>
    <w:p w14:paraId="07381419" w14:textId="4AAC71AA" w:rsidR="008E008F" w:rsidRPr="00DB7774" w:rsidRDefault="008E008F" w:rsidP="008E008F">
      <w:pPr>
        <w:spacing w:line="360" w:lineRule="auto"/>
        <w:jc w:val="both"/>
        <w:rPr>
          <w:rFonts w:ascii="Times New Roman" w:eastAsia="Calibri" w:hAnsi="Times New Roman" w:cs="Times New Roman"/>
          <w:bCs/>
          <w:sz w:val="24"/>
          <w:szCs w:val="24"/>
        </w:rPr>
      </w:pPr>
      <w:r w:rsidRPr="00DB7774">
        <w:rPr>
          <w:rFonts w:ascii="Times New Roman" w:eastAsia="Calibri" w:hAnsi="Times New Roman" w:cs="Times New Roman"/>
          <w:bCs/>
          <w:sz w:val="24"/>
          <w:szCs w:val="24"/>
        </w:rPr>
        <w:t>Most traders agreed that segregated bins keep the market clean (73%) and help prevent disease (67%). However, fewer traders (39%) felt paying fees was worthwhile, and 35% believed waste segregation should be left to government.</w:t>
      </w:r>
    </w:p>
    <w:p w14:paraId="0D67C83F" w14:textId="0BCB94B9" w:rsidR="008E008F" w:rsidRPr="00DB7774" w:rsidRDefault="008E008F" w:rsidP="008E008F">
      <w:pPr>
        <w:spacing w:line="360" w:lineRule="auto"/>
        <w:jc w:val="both"/>
        <w:rPr>
          <w:rFonts w:ascii="Times New Roman" w:eastAsia="Calibri" w:hAnsi="Times New Roman" w:cs="Times New Roman"/>
          <w:b/>
          <w:bCs/>
          <w:sz w:val="24"/>
          <w:szCs w:val="24"/>
        </w:rPr>
      </w:pPr>
      <w:r w:rsidRPr="00DB7774">
        <w:rPr>
          <w:rFonts w:ascii="Times New Roman" w:eastAsia="Calibri" w:hAnsi="Times New Roman" w:cs="Times New Roman"/>
          <w:b/>
          <w:bCs/>
          <w:sz w:val="24"/>
          <w:szCs w:val="24"/>
        </w:rPr>
        <w:t xml:space="preserve">Table </w:t>
      </w:r>
      <w:r w:rsidR="00561424">
        <w:rPr>
          <w:rFonts w:ascii="Times New Roman" w:eastAsia="Calibri" w:hAnsi="Times New Roman" w:cs="Times New Roman"/>
          <w:b/>
          <w:bCs/>
          <w:sz w:val="24"/>
          <w:szCs w:val="24"/>
        </w:rPr>
        <w:t>8</w:t>
      </w:r>
      <w:r w:rsidRPr="00DB7774">
        <w:rPr>
          <w:rFonts w:ascii="Times New Roman" w:eastAsia="Calibri" w:hAnsi="Times New Roman" w:cs="Times New Roman"/>
          <w:b/>
          <w:bCs/>
          <w:sz w:val="24"/>
          <w:szCs w:val="24"/>
        </w:rPr>
        <w:t>: Traders’ Practices in Using Segregated Bins (n = 246)</w:t>
      </w:r>
    </w:p>
    <w:tbl>
      <w:tblPr>
        <w:tblStyle w:val="TableGridLight1"/>
        <w:tblW w:w="9918" w:type="dxa"/>
        <w:tblLook w:val="04A0" w:firstRow="1" w:lastRow="0" w:firstColumn="1" w:lastColumn="0" w:noHBand="0" w:noVBand="1"/>
      </w:tblPr>
      <w:tblGrid>
        <w:gridCol w:w="3701"/>
        <w:gridCol w:w="1388"/>
        <w:gridCol w:w="1721"/>
        <w:gridCol w:w="1549"/>
        <w:gridCol w:w="1559"/>
      </w:tblGrid>
      <w:tr w:rsidR="008E008F" w:rsidRPr="00DB7774" w14:paraId="458A6907" w14:textId="77777777" w:rsidTr="00124400">
        <w:tc>
          <w:tcPr>
            <w:tcW w:w="0" w:type="auto"/>
            <w:hideMark/>
          </w:tcPr>
          <w:p w14:paraId="6179CD7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Practice Frequency</w:t>
            </w:r>
          </w:p>
        </w:tc>
        <w:tc>
          <w:tcPr>
            <w:tcW w:w="0" w:type="auto"/>
            <w:hideMark/>
          </w:tcPr>
          <w:p w14:paraId="18CC9F8C"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Always (n, %)</w:t>
            </w:r>
          </w:p>
        </w:tc>
        <w:tc>
          <w:tcPr>
            <w:tcW w:w="1721" w:type="dxa"/>
            <w:hideMark/>
          </w:tcPr>
          <w:p w14:paraId="7D116DF6"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Sometimes (n, %)</w:t>
            </w:r>
          </w:p>
        </w:tc>
        <w:tc>
          <w:tcPr>
            <w:tcW w:w="1549" w:type="dxa"/>
            <w:hideMark/>
          </w:tcPr>
          <w:p w14:paraId="20B467BC"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Rarely (n, %)</w:t>
            </w:r>
          </w:p>
        </w:tc>
        <w:tc>
          <w:tcPr>
            <w:tcW w:w="1559" w:type="dxa"/>
            <w:hideMark/>
          </w:tcPr>
          <w:p w14:paraId="43FC6A6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Never (n, %)</w:t>
            </w:r>
          </w:p>
        </w:tc>
      </w:tr>
      <w:tr w:rsidR="008E008F" w:rsidRPr="00DB7774" w14:paraId="1D8C7733" w14:textId="77777777" w:rsidTr="00124400">
        <w:tc>
          <w:tcPr>
            <w:tcW w:w="0" w:type="auto"/>
            <w:hideMark/>
          </w:tcPr>
          <w:p w14:paraId="69EBFE31"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Separating plastics into correct bin</w:t>
            </w:r>
          </w:p>
        </w:tc>
        <w:tc>
          <w:tcPr>
            <w:tcW w:w="0" w:type="auto"/>
            <w:hideMark/>
          </w:tcPr>
          <w:p w14:paraId="1D83970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60 (24%)</w:t>
            </w:r>
          </w:p>
        </w:tc>
        <w:tc>
          <w:tcPr>
            <w:tcW w:w="1721" w:type="dxa"/>
            <w:hideMark/>
          </w:tcPr>
          <w:p w14:paraId="5C460A10"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115 (47%)</w:t>
            </w:r>
          </w:p>
        </w:tc>
        <w:tc>
          <w:tcPr>
            <w:tcW w:w="1549" w:type="dxa"/>
            <w:hideMark/>
          </w:tcPr>
          <w:p w14:paraId="05FCE0D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45 (18%)</w:t>
            </w:r>
          </w:p>
        </w:tc>
        <w:tc>
          <w:tcPr>
            <w:tcW w:w="1559" w:type="dxa"/>
            <w:hideMark/>
          </w:tcPr>
          <w:p w14:paraId="5149F6C3"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26 (11%)</w:t>
            </w:r>
          </w:p>
        </w:tc>
      </w:tr>
      <w:tr w:rsidR="008E008F" w:rsidRPr="00DB7774" w14:paraId="308AB6AD" w14:textId="77777777" w:rsidTr="00124400">
        <w:tc>
          <w:tcPr>
            <w:tcW w:w="0" w:type="auto"/>
            <w:hideMark/>
          </w:tcPr>
          <w:p w14:paraId="30C5A9A2"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Disposing organic waste into compost bin</w:t>
            </w:r>
          </w:p>
        </w:tc>
        <w:tc>
          <w:tcPr>
            <w:tcW w:w="0" w:type="auto"/>
            <w:hideMark/>
          </w:tcPr>
          <w:p w14:paraId="2A0977FB"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55 (22%)</w:t>
            </w:r>
          </w:p>
        </w:tc>
        <w:tc>
          <w:tcPr>
            <w:tcW w:w="1721" w:type="dxa"/>
            <w:hideMark/>
          </w:tcPr>
          <w:p w14:paraId="484CA0A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120 (49%)</w:t>
            </w:r>
          </w:p>
        </w:tc>
        <w:tc>
          <w:tcPr>
            <w:tcW w:w="1549" w:type="dxa"/>
            <w:hideMark/>
          </w:tcPr>
          <w:p w14:paraId="3EBB7FDB"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50 (20%)</w:t>
            </w:r>
          </w:p>
        </w:tc>
        <w:tc>
          <w:tcPr>
            <w:tcW w:w="1559" w:type="dxa"/>
            <w:hideMark/>
          </w:tcPr>
          <w:p w14:paraId="3A24CAF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21 (9%)</w:t>
            </w:r>
          </w:p>
        </w:tc>
      </w:tr>
      <w:tr w:rsidR="008E008F" w:rsidRPr="00DB7774" w14:paraId="06D58350" w14:textId="77777777" w:rsidTr="00124400">
        <w:tc>
          <w:tcPr>
            <w:tcW w:w="0" w:type="auto"/>
            <w:hideMark/>
          </w:tcPr>
          <w:p w14:paraId="548EE1FD"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Correct disposal of glass waste</w:t>
            </w:r>
          </w:p>
        </w:tc>
        <w:tc>
          <w:tcPr>
            <w:tcW w:w="0" w:type="auto"/>
            <w:hideMark/>
          </w:tcPr>
          <w:p w14:paraId="08808A4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40 (16%)</w:t>
            </w:r>
          </w:p>
        </w:tc>
        <w:tc>
          <w:tcPr>
            <w:tcW w:w="1721" w:type="dxa"/>
            <w:hideMark/>
          </w:tcPr>
          <w:p w14:paraId="464526FF"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105 (43%)</w:t>
            </w:r>
          </w:p>
        </w:tc>
        <w:tc>
          <w:tcPr>
            <w:tcW w:w="1549" w:type="dxa"/>
            <w:hideMark/>
          </w:tcPr>
          <w:p w14:paraId="65F5EBBC"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60 (24%)</w:t>
            </w:r>
          </w:p>
        </w:tc>
        <w:tc>
          <w:tcPr>
            <w:tcW w:w="1559" w:type="dxa"/>
            <w:hideMark/>
          </w:tcPr>
          <w:p w14:paraId="2661891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41 (17%)</w:t>
            </w:r>
          </w:p>
        </w:tc>
      </w:tr>
      <w:tr w:rsidR="008E008F" w:rsidRPr="00DB7774" w14:paraId="7807815D" w14:textId="77777777" w:rsidTr="00124400">
        <w:tc>
          <w:tcPr>
            <w:tcW w:w="0" w:type="auto"/>
            <w:hideMark/>
          </w:tcPr>
          <w:p w14:paraId="481B57DF"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Paying required waste collection fees</w:t>
            </w:r>
          </w:p>
        </w:tc>
        <w:tc>
          <w:tcPr>
            <w:tcW w:w="0" w:type="auto"/>
            <w:hideMark/>
          </w:tcPr>
          <w:p w14:paraId="5C06EE9C"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82 (33%)</w:t>
            </w:r>
          </w:p>
        </w:tc>
        <w:tc>
          <w:tcPr>
            <w:tcW w:w="1721" w:type="dxa"/>
            <w:hideMark/>
          </w:tcPr>
          <w:p w14:paraId="10FCC66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96 (39%)</w:t>
            </w:r>
          </w:p>
        </w:tc>
        <w:tc>
          <w:tcPr>
            <w:tcW w:w="1549" w:type="dxa"/>
            <w:hideMark/>
          </w:tcPr>
          <w:p w14:paraId="4C53BD80"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42 (17%)</w:t>
            </w:r>
          </w:p>
        </w:tc>
        <w:tc>
          <w:tcPr>
            <w:tcW w:w="1559" w:type="dxa"/>
            <w:hideMark/>
          </w:tcPr>
          <w:p w14:paraId="4399A2CE"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26 (11%)</w:t>
            </w:r>
          </w:p>
        </w:tc>
      </w:tr>
      <w:tr w:rsidR="008E008F" w:rsidRPr="00DB7774" w14:paraId="6F12329C" w14:textId="77777777" w:rsidTr="00124400">
        <w:tc>
          <w:tcPr>
            <w:tcW w:w="0" w:type="auto"/>
            <w:hideMark/>
          </w:tcPr>
          <w:p w14:paraId="52FAC66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Avoiding illegal dumping in undesignated areas</w:t>
            </w:r>
          </w:p>
        </w:tc>
        <w:tc>
          <w:tcPr>
            <w:tcW w:w="0" w:type="auto"/>
            <w:hideMark/>
          </w:tcPr>
          <w:p w14:paraId="7999E309"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70 (28%)</w:t>
            </w:r>
          </w:p>
        </w:tc>
        <w:tc>
          <w:tcPr>
            <w:tcW w:w="1721" w:type="dxa"/>
            <w:hideMark/>
          </w:tcPr>
          <w:p w14:paraId="1FA7C203"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100 (41%)</w:t>
            </w:r>
          </w:p>
        </w:tc>
        <w:tc>
          <w:tcPr>
            <w:tcW w:w="1549" w:type="dxa"/>
            <w:hideMark/>
          </w:tcPr>
          <w:p w14:paraId="01CABCBE"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45 (18%)</w:t>
            </w:r>
          </w:p>
        </w:tc>
        <w:tc>
          <w:tcPr>
            <w:tcW w:w="1559" w:type="dxa"/>
            <w:hideMark/>
          </w:tcPr>
          <w:p w14:paraId="59B77BB8"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31 (13%)</w:t>
            </w:r>
          </w:p>
        </w:tc>
      </w:tr>
    </w:tbl>
    <w:p w14:paraId="4FAA8731" w14:textId="13C274A5" w:rsidR="008E008F" w:rsidRPr="00DB7774" w:rsidRDefault="008E008F" w:rsidP="008E008F">
      <w:pPr>
        <w:spacing w:line="360" w:lineRule="auto"/>
        <w:jc w:val="both"/>
        <w:rPr>
          <w:rFonts w:ascii="Times New Roman" w:eastAsia="Calibri" w:hAnsi="Times New Roman" w:cs="Times New Roman"/>
          <w:b/>
          <w:sz w:val="24"/>
          <w:szCs w:val="24"/>
        </w:rPr>
      </w:pPr>
      <w:r w:rsidRPr="00DB7774">
        <w:rPr>
          <w:rFonts w:ascii="Times New Roman" w:eastAsia="Calibri" w:hAnsi="Times New Roman" w:cs="Times New Roman"/>
          <w:b/>
          <w:bCs/>
          <w:sz w:val="24"/>
          <w:szCs w:val="24"/>
        </w:rPr>
        <w:t>Source:</w:t>
      </w:r>
      <w:r w:rsidRPr="00DB7774">
        <w:rPr>
          <w:rFonts w:ascii="Times New Roman" w:eastAsia="Calibri" w:hAnsi="Times New Roman" w:cs="Times New Roman"/>
          <w:b/>
          <w:sz w:val="24"/>
          <w:szCs w:val="24"/>
        </w:rPr>
        <w:t xml:space="preserve"> Field Data, 2025</w:t>
      </w:r>
    </w:p>
    <w:p w14:paraId="5C11385E" w14:textId="77777777" w:rsidR="008E008F" w:rsidRPr="00DB7774" w:rsidRDefault="008E008F" w:rsidP="008E008F">
      <w:pPr>
        <w:spacing w:line="360" w:lineRule="auto"/>
        <w:jc w:val="both"/>
        <w:rPr>
          <w:rFonts w:ascii="Times New Roman" w:eastAsia="Calibri" w:hAnsi="Times New Roman" w:cs="Times New Roman"/>
          <w:bCs/>
          <w:sz w:val="24"/>
          <w:szCs w:val="24"/>
        </w:rPr>
      </w:pPr>
      <w:r w:rsidRPr="00DB7774">
        <w:rPr>
          <w:rFonts w:ascii="Times New Roman" w:eastAsia="Calibri" w:hAnsi="Times New Roman" w:cs="Times New Roman"/>
          <w:bCs/>
          <w:sz w:val="24"/>
          <w:szCs w:val="24"/>
        </w:rPr>
        <w:t xml:space="preserve">Most traders reported only “sometimes” practicing correct segregation (43–49%). Consistent (“always”) users were less than 25% for any category, while 11–17% admitted to </w:t>
      </w:r>
      <w:r w:rsidRPr="00DB7774">
        <w:rPr>
          <w:rFonts w:ascii="Times New Roman" w:eastAsia="Calibri" w:hAnsi="Times New Roman" w:cs="Times New Roman"/>
          <w:bCs/>
          <w:i/>
          <w:iCs/>
          <w:sz w:val="24"/>
          <w:szCs w:val="24"/>
        </w:rPr>
        <w:t>never</w:t>
      </w:r>
      <w:r w:rsidRPr="00DB7774">
        <w:rPr>
          <w:rFonts w:ascii="Times New Roman" w:eastAsia="Calibri" w:hAnsi="Times New Roman" w:cs="Times New Roman"/>
          <w:bCs/>
          <w:sz w:val="24"/>
          <w:szCs w:val="24"/>
        </w:rPr>
        <w:t xml:space="preserve"> segregating properly.</w:t>
      </w:r>
    </w:p>
    <w:p w14:paraId="1BAC58A0" w14:textId="57B5D0AC" w:rsidR="008E008F" w:rsidRPr="00DB7774" w:rsidRDefault="008E008F" w:rsidP="008E008F">
      <w:pPr>
        <w:spacing w:line="360" w:lineRule="auto"/>
        <w:jc w:val="both"/>
        <w:rPr>
          <w:rFonts w:ascii="Times New Roman" w:eastAsia="Calibri" w:hAnsi="Times New Roman" w:cs="Times New Roman"/>
          <w:b/>
          <w:bCs/>
          <w:sz w:val="24"/>
          <w:szCs w:val="24"/>
        </w:rPr>
      </w:pPr>
      <w:r w:rsidRPr="00DB7774">
        <w:rPr>
          <w:rFonts w:ascii="Times New Roman" w:eastAsia="Calibri" w:hAnsi="Times New Roman" w:cs="Times New Roman"/>
          <w:b/>
          <w:bCs/>
          <w:sz w:val="24"/>
          <w:szCs w:val="24"/>
        </w:rPr>
        <w:t xml:space="preserve">Table </w:t>
      </w:r>
      <w:r w:rsidR="00561424">
        <w:rPr>
          <w:rFonts w:ascii="Times New Roman" w:eastAsia="Calibri" w:hAnsi="Times New Roman" w:cs="Times New Roman"/>
          <w:b/>
          <w:bCs/>
          <w:sz w:val="24"/>
          <w:szCs w:val="24"/>
        </w:rPr>
        <w:t>9</w:t>
      </w:r>
      <w:r w:rsidRPr="00DB7774">
        <w:rPr>
          <w:rFonts w:ascii="Times New Roman" w:eastAsia="Calibri" w:hAnsi="Times New Roman" w:cs="Times New Roman"/>
          <w:b/>
          <w:bCs/>
          <w:sz w:val="24"/>
          <w:szCs w:val="24"/>
        </w:rPr>
        <w:t>: Common Malpractices Reported by Traders (n = 246)</w:t>
      </w:r>
    </w:p>
    <w:tbl>
      <w:tblPr>
        <w:tblStyle w:val="TableGridLight1"/>
        <w:tblW w:w="0" w:type="auto"/>
        <w:tblLook w:val="04A0" w:firstRow="1" w:lastRow="0" w:firstColumn="1" w:lastColumn="0" w:noHBand="0" w:noVBand="1"/>
      </w:tblPr>
      <w:tblGrid>
        <w:gridCol w:w="3749"/>
        <w:gridCol w:w="2763"/>
      </w:tblGrid>
      <w:tr w:rsidR="008E008F" w:rsidRPr="00DB7774" w14:paraId="067CD88F" w14:textId="77777777" w:rsidTr="00124400">
        <w:tc>
          <w:tcPr>
            <w:tcW w:w="0" w:type="auto"/>
            <w:hideMark/>
          </w:tcPr>
          <w:p w14:paraId="3DD0A9DF"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Malpractice Reported</w:t>
            </w:r>
          </w:p>
        </w:tc>
        <w:tc>
          <w:tcPr>
            <w:tcW w:w="2763" w:type="dxa"/>
            <w:hideMark/>
          </w:tcPr>
          <w:p w14:paraId="0911AF40"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Frequency</w:t>
            </w:r>
            <w:r>
              <w:rPr>
                <w:rFonts w:eastAsia="Calibri"/>
                <w:sz w:val="24"/>
                <w:szCs w:val="24"/>
              </w:rPr>
              <w:t xml:space="preserve"> </w:t>
            </w:r>
            <w:r w:rsidRPr="00DB7774">
              <w:rPr>
                <w:rFonts w:eastAsia="Calibri"/>
                <w:sz w:val="24"/>
                <w:szCs w:val="24"/>
              </w:rPr>
              <w:t>Percentage (%)</w:t>
            </w:r>
          </w:p>
        </w:tc>
      </w:tr>
      <w:tr w:rsidR="008E008F" w:rsidRPr="00DB7774" w14:paraId="1893423F" w14:textId="77777777" w:rsidTr="00124400">
        <w:tc>
          <w:tcPr>
            <w:tcW w:w="0" w:type="auto"/>
            <w:hideMark/>
          </w:tcPr>
          <w:p w14:paraId="7E8CA32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lastRenderedPageBreak/>
              <w:t>Illegal dumping of waste</w:t>
            </w:r>
          </w:p>
        </w:tc>
        <w:tc>
          <w:tcPr>
            <w:tcW w:w="2763" w:type="dxa"/>
            <w:hideMark/>
          </w:tcPr>
          <w:p w14:paraId="745C6B7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100</w:t>
            </w:r>
            <w:r>
              <w:rPr>
                <w:rFonts w:eastAsia="Calibri"/>
                <w:sz w:val="24"/>
                <w:szCs w:val="24"/>
              </w:rPr>
              <w:t xml:space="preserve"> (</w:t>
            </w:r>
            <w:r w:rsidRPr="00DB7774">
              <w:rPr>
                <w:rFonts w:eastAsia="Calibri"/>
                <w:sz w:val="24"/>
                <w:szCs w:val="24"/>
              </w:rPr>
              <w:t>41</w:t>
            </w:r>
            <w:r>
              <w:rPr>
                <w:rFonts w:eastAsia="Calibri"/>
                <w:sz w:val="24"/>
                <w:szCs w:val="24"/>
              </w:rPr>
              <w:t>%)</w:t>
            </w:r>
          </w:p>
        </w:tc>
      </w:tr>
      <w:tr w:rsidR="008E008F" w:rsidRPr="00DB7774" w14:paraId="6D7C6EA4" w14:textId="77777777" w:rsidTr="00124400">
        <w:tc>
          <w:tcPr>
            <w:tcW w:w="0" w:type="auto"/>
            <w:hideMark/>
          </w:tcPr>
          <w:p w14:paraId="64611D29"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Ignorance of bin locations</w:t>
            </w:r>
          </w:p>
        </w:tc>
        <w:tc>
          <w:tcPr>
            <w:tcW w:w="2763" w:type="dxa"/>
            <w:hideMark/>
          </w:tcPr>
          <w:p w14:paraId="7CA8A986"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70</w:t>
            </w:r>
            <w:r>
              <w:rPr>
                <w:rFonts w:eastAsia="Calibri"/>
                <w:sz w:val="24"/>
                <w:szCs w:val="24"/>
              </w:rPr>
              <w:t xml:space="preserve"> (</w:t>
            </w:r>
            <w:r w:rsidRPr="00DB7774">
              <w:rPr>
                <w:rFonts w:eastAsia="Calibri"/>
                <w:sz w:val="24"/>
                <w:szCs w:val="24"/>
              </w:rPr>
              <w:t>28</w:t>
            </w:r>
            <w:r>
              <w:rPr>
                <w:rFonts w:eastAsia="Calibri"/>
                <w:sz w:val="24"/>
                <w:szCs w:val="24"/>
              </w:rPr>
              <w:t>%)</w:t>
            </w:r>
          </w:p>
        </w:tc>
      </w:tr>
      <w:tr w:rsidR="008E008F" w:rsidRPr="00DB7774" w14:paraId="45AC785C" w14:textId="77777777" w:rsidTr="00124400">
        <w:tc>
          <w:tcPr>
            <w:tcW w:w="0" w:type="auto"/>
            <w:hideMark/>
          </w:tcPr>
          <w:p w14:paraId="59AD783F"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Throwing litter indiscriminately</w:t>
            </w:r>
          </w:p>
        </w:tc>
        <w:tc>
          <w:tcPr>
            <w:tcW w:w="2763" w:type="dxa"/>
            <w:hideMark/>
          </w:tcPr>
          <w:p w14:paraId="6EEAEDAA"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16</w:t>
            </w:r>
            <w:r>
              <w:rPr>
                <w:rFonts w:eastAsia="Calibri"/>
                <w:sz w:val="24"/>
                <w:szCs w:val="24"/>
              </w:rPr>
              <w:t xml:space="preserve"> (</w:t>
            </w:r>
            <w:r w:rsidRPr="00DB7774">
              <w:rPr>
                <w:rFonts w:eastAsia="Calibri"/>
                <w:sz w:val="24"/>
                <w:szCs w:val="24"/>
              </w:rPr>
              <w:t>7</w:t>
            </w:r>
            <w:r>
              <w:rPr>
                <w:rFonts w:eastAsia="Calibri"/>
                <w:sz w:val="24"/>
                <w:szCs w:val="24"/>
              </w:rPr>
              <w:t>%)</w:t>
            </w:r>
          </w:p>
        </w:tc>
      </w:tr>
      <w:tr w:rsidR="008E008F" w:rsidRPr="00DB7774" w14:paraId="1B4B126D" w14:textId="77777777" w:rsidTr="00124400">
        <w:tc>
          <w:tcPr>
            <w:tcW w:w="0" w:type="auto"/>
            <w:hideMark/>
          </w:tcPr>
          <w:p w14:paraId="049246F4"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Expecting government to manage all</w:t>
            </w:r>
          </w:p>
        </w:tc>
        <w:tc>
          <w:tcPr>
            <w:tcW w:w="2763" w:type="dxa"/>
            <w:hideMark/>
          </w:tcPr>
          <w:p w14:paraId="7AB8B6D5"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10</w:t>
            </w:r>
            <w:r>
              <w:rPr>
                <w:rFonts w:eastAsia="Calibri"/>
                <w:sz w:val="24"/>
                <w:szCs w:val="24"/>
              </w:rPr>
              <w:t xml:space="preserve"> (</w:t>
            </w:r>
            <w:r w:rsidRPr="00DB7774">
              <w:rPr>
                <w:rFonts w:eastAsia="Calibri"/>
                <w:sz w:val="24"/>
                <w:szCs w:val="24"/>
              </w:rPr>
              <w:t>4</w:t>
            </w:r>
            <w:r>
              <w:rPr>
                <w:rFonts w:eastAsia="Calibri"/>
                <w:sz w:val="24"/>
                <w:szCs w:val="24"/>
              </w:rPr>
              <w:t>)</w:t>
            </w:r>
          </w:p>
        </w:tc>
      </w:tr>
      <w:tr w:rsidR="008E008F" w:rsidRPr="00DB7774" w14:paraId="53633554" w14:textId="77777777" w:rsidTr="00124400">
        <w:tc>
          <w:tcPr>
            <w:tcW w:w="0" w:type="auto"/>
            <w:hideMark/>
          </w:tcPr>
          <w:p w14:paraId="2A0E9B9E"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Non-payment of collection fees</w:t>
            </w:r>
          </w:p>
        </w:tc>
        <w:tc>
          <w:tcPr>
            <w:tcW w:w="2763" w:type="dxa"/>
            <w:hideMark/>
          </w:tcPr>
          <w:p w14:paraId="0D74C2D6" w14:textId="77777777" w:rsidR="008E008F" w:rsidRPr="00DB7774" w:rsidRDefault="008E008F" w:rsidP="00124400">
            <w:pPr>
              <w:spacing w:after="160" w:line="360" w:lineRule="auto"/>
              <w:jc w:val="both"/>
              <w:rPr>
                <w:rFonts w:eastAsia="Calibri"/>
                <w:sz w:val="24"/>
                <w:szCs w:val="24"/>
              </w:rPr>
            </w:pPr>
            <w:r w:rsidRPr="00DB7774">
              <w:rPr>
                <w:rFonts w:eastAsia="Calibri"/>
                <w:sz w:val="24"/>
                <w:szCs w:val="24"/>
              </w:rPr>
              <w:t>50</w:t>
            </w:r>
            <w:r>
              <w:rPr>
                <w:rFonts w:eastAsia="Calibri"/>
                <w:sz w:val="24"/>
                <w:szCs w:val="24"/>
              </w:rPr>
              <w:t xml:space="preserve"> (</w:t>
            </w:r>
            <w:r w:rsidRPr="00DB7774">
              <w:rPr>
                <w:rFonts w:eastAsia="Calibri"/>
                <w:sz w:val="24"/>
                <w:szCs w:val="24"/>
              </w:rPr>
              <w:t>20</w:t>
            </w:r>
            <w:r>
              <w:rPr>
                <w:rFonts w:eastAsia="Calibri"/>
                <w:sz w:val="24"/>
                <w:szCs w:val="24"/>
              </w:rPr>
              <w:t>%)</w:t>
            </w:r>
          </w:p>
        </w:tc>
      </w:tr>
    </w:tbl>
    <w:p w14:paraId="487BF6AB" w14:textId="77777777" w:rsidR="00B57151" w:rsidRDefault="00B57151" w:rsidP="008E008F">
      <w:pPr>
        <w:spacing w:line="360" w:lineRule="auto"/>
        <w:jc w:val="both"/>
        <w:rPr>
          <w:rFonts w:ascii="Times New Roman" w:eastAsia="Calibri" w:hAnsi="Times New Roman" w:cs="Times New Roman"/>
          <w:b/>
          <w:bCs/>
          <w:sz w:val="24"/>
          <w:szCs w:val="24"/>
        </w:rPr>
      </w:pPr>
    </w:p>
    <w:p w14:paraId="7AE6EE46" w14:textId="5ABAB9EF" w:rsidR="008E008F" w:rsidRPr="00DB7774" w:rsidRDefault="008E008F" w:rsidP="008E008F">
      <w:pPr>
        <w:spacing w:line="360" w:lineRule="auto"/>
        <w:jc w:val="both"/>
        <w:rPr>
          <w:rFonts w:ascii="Times New Roman" w:eastAsia="Calibri" w:hAnsi="Times New Roman" w:cs="Times New Roman"/>
          <w:b/>
          <w:sz w:val="24"/>
          <w:szCs w:val="24"/>
        </w:rPr>
      </w:pPr>
      <w:r w:rsidRPr="00DB7774">
        <w:rPr>
          <w:rFonts w:ascii="Times New Roman" w:eastAsia="Calibri" w:hAnsi="Times New Roman" w:cs="Times New Roman"/>
          <w:b/>
          <w:bCs/>
          <w:sz w:val="24"/>
          <w:szCs w:val="24"/>
        </w:rPr>
        <w:t>Source:</w:t>
      </w:r>
      <w:r w:rsidRPr="00DB7774">
        <w:rPr>
          <w:rFonts w:ascii="Times New Roman" w:eastAsia="Calibri" w:hAnsi="Times New Roman" w:cs="Times New Roman"/>
          <w:b/>
          <w:sz w:val="24"/>
          <w:szCs w:val="24"/>
        </w:rPr>
        <w:t xml:space="preserve"> Field Data, 2025</w:t>
      </w:r>
    </w:p>
    <w:p w14:paraId="084FDCEF" w14:textId="77777777" w:rsidR="008E008F" w:rsidRPr="00DB7774" w:rsidRDefault="008E008F" w:rsidP="008E008F">
      <w:pPr>
        <w:spacing w:line="360" w:lineRule="auto"/>
        <w:jc w:val="both"/>
        <w:rPr>
          <w:rFonts w:ascii="Times New Roman" w:eastAsia="Calibri" w:hAnsi="Times New Roman" w:cs="Times New Roman"/>
          <w:sz w:val="24"/>
          <w:szCs w:val="24"/>
        </w:rPr>
      </w:pPr>
      <w:r w:rsidRPr="00DB7774">
        <w:rPr>
          <w:rFonts w:ascii="Times New Roman" w:eastAsia="Calibri" w:hAnsi="Times New Roman" w:cs="Times New Roman"/>
          <w:sz w:val="24"/>
          <w:szCs w:val="24"/>
        </w:rPr>
        <w:t>Illegal dumping (41%) and ignorance of bin locations (28%) were the most common malpractices, highlighting gaps between awareness and practice.</w:t>
      </w:r>
    </w:p>
    <w:p w14:paraId="6DFC7CC2" w14:textId="24A5BAD2" w:rsidR="008E008F" w:rsidRDefault="008E008F" w:rsidP="00C2599D">
      <w:pPr>
        <w:pStyle w:val="Heading2"/>
        <w:rPr>
          <w:rFonts w:ascii="Times New Roman" w:eastAsia="Calibri" w:hAnsi="Times New Roman" w:cs="Times New Roman"/>
          <w:b/>
          <w:bCs/>
          <w:sz w:val="24"/>
          <w:szCs w:val="24"/>
        </w:rPr>
      </w:pPr>
      <w:bookmarkStart w:id="52" w:name="_Toc209708340"/>
      <w:bookmarkEnd w:id="51"/>
      <w:r w:rsidRPr="00A64293">
        <w:t xml:space="preserve">4.4 </w:t>
      </w:r>
      <w:bookmarkEnd w:id="52"/>
      <w:r w:rsidRPr="00A300E6">
        <w:rPr>
          <w:rFonts w:ascii="Times New Roman" w:eastAsia="Calibri" w:hAnsi="Times New Roman" w:cs="Times New Roman"/>
          <w:b/>
          <w:bCs/>
          <w:sz w:val="24"/>
          <w:szCs w:val="24"/>
        </w:rPr>
        <w:t xml:space="preserve">Objective 3: </w:t>
      </w:r>
      <w:r w:rsidRPr="00A300E6">
        <w:rPr>
          <w:rFonts w:ascii="Times New Roman" w:eastAsia="Calibri" w:hAnsi="Times New Roman" w:cs="Times New Roman"/>
          <w:i/>
          <w:iCs/>
          <w:sz w:val="24"/>
          <w:szCs w:val="24"/>
        </w:rPr>
        <w:t>To investigate what measures have been put in place by Lusaka City Council (LCC) and Market Management on solid waste management towards segregated bins at Soweto Market.</w:t>
      </w:r>
    </w:p>
    <w:p w14:paraId="0A4B14F1" w14:textId="2AF6BB3F" w:rsidR="008E008F" w:rsidRPr="00A64293" w:rsidRDefault="008E008F" w:rsidP="008E008F">
      <w:pPr>
        <w:spacing w:line="360" w:lineRule="auto"/>
        <w:jc w:val="both"/>
        <w:rPr>
          <w:rFonts w:ascii="Times New Roman" w:eastAsia="Calibri" w:hAnsi="Times New Roman" w:cs="Times New Roman"/>
          <w:b/>
          <w:bCs/>
          <w:sz w:val="24"/>
          <w:szCs w:val="24"/>
        </w:rPr>
      </w:pPr>
      <w:r w:rsidRPr="00A64293">
        <w:rPr>
          <w:rFonts w:ascii="Times New Roman" w:eastAsia="Calibri" w:hAnsi="Times New Roman" w:cs="Times New Roman"/>
          <w:b/>
          <w:bCs/>
          <w:sz w:val="24"/>
          <w:szCs w:val="24"/>
        </w:rPr>
        <w:t>Table 1</w:t>
      </w:r>
      <w:r w:rsidR="00561424">
        <w:rPr>
          <w:rFonts w:ascii="Times New Roman" w:eastAsia="Calibri" w:hAnsi="Times New Roman" w:cs="Times New Roman"/>
          <w:b/>
          <w:bCs/>
          <w:sz w:val="24"/>
          <w:szCs w:val="24"/>
        </w:rPr>
        <w:t>0</w:t>
      </w:r>
      <w:r w:rsidRPr="00A64293">
        <w:rPr>
          <w:rFonts w:ascii="Times New Roman" w:eastAsia="Calibri" w:hAnsi="Times New Roman" w:cs="Times New Roman"/>
          <w:b/>
          <w:bCs/>
          <w:sz w:val="24"/>
          <w:szCs w:val="24"/>
        </w:rPr>
        <w:t>: Measures Reported by LCC and Market Management (n = 7 officials)</w:t>
      </w:r>
    </w:p>
    <w:tbl>
      <w:tblPr>
        <w:tblStyle w:val="TableGridLight1"/>
        <w:tblW w:w="0" w:type="auto"/>
        <w:tblLook w:val="04A0" w:firstRow="1" w:lastRow="0" w:firstColumn="1" w:lastColumn="0" w:noHBand="0" w:noVBand="1"/>
      </w:tblPr>
      <w:tblGrid>
        <w:gridCol w:w="5994"/>
        <w:gridCol w:w="2506"/>
      </w:tblGrid>
      <w:tr w:rsidR="008E008F" w:rsidRPr="00A64293" w14:paraId="6C8C7487" w14:textId="77777777" w:rsidTr="00124400">
        <w:tc>
          <w:tcPr>
            <w:tcW w:w="0" w:type="auto"/>
            <w:hideMark/>
          </w:tcPr>
          <w:p w14:paraId="7D6F1BC4" w14:textId="77777777" w:rsidR="008E008F" w:rsidRPr="00A64293" w:rsidRDefault="008E008F" w:rsidP="00124400">
            <w:pPr>
              <w:spacing w:after="160" w:line="360" w:lineRule="auto"/>
              <w:jc w:val="both"/>
              <w:rPr>
                <w:rFonts w:eastAsia="Calibri"/>
                <w:b/>
                <w:bCs/>
                <w:sz w:val="24"/>
                <w:szCs w:val="24"/>
              </w:rPr>
            </w:pPr>
            <w:r w:rsidRPr="00A64293">
              <w:rPr>
                <w:rFonts w:eastAsia="Calibri"/>
                <w:b/>
                <w:bCs/>
                <w:sz w:val="24"/>
                <w:szCs w:val="24"/>
              </w:rPr>
              <w:t>Measures in Place</w:t>
            </w:r>
          </w:p>
        </w:tc>
        <w:tc>
          <w:tcPr>
            <w:tcW w:w="2506" w:type="dxa"/>
            <w:hideMark/>
          </w:tcPr>
          <w:p w14:paraId="2A893394" w14:textId="77777777" w:rsidR="008E008F" w:rsidRPr="00A64293" w:rsidRDefault="008E008F" w:rsidP="00124400">
            <w:pPr>
              <w:spacing w:after="160" w:line="360" w:lineRule="auto"/>
              <w:jc w:val="both"/>
              <w:rPr>
                <w:rFonts w:eastAsia="Calibri"/>
                <w:b/>
                <w:bCs/>
                <w:sz w:val="24"/>
                <w:szCs w:val="24"/>
              </w:rPr>
            </w:pPr>
            <w:r w:rsidRPr="00A64293">
              <w:rPr>
                <w:rFonts w:eastAsia="Calibri"/>
                <w:b/>
                <w:bCs/>
                <w:sz w:val="24"/>
                <w:szCs w:val="24"/>
              </w:rPr>
              <w:t>Frequency</w:t>
            </w:r>
            <w:r>
              <w:rPr>
                <w:rFonts w:eastAsia="Calibri"/>
                <w:b/>
                <w:bCs/>
                <w:sz w:val="24"/>
                <w:szCs w:val="24"/>
              </w:rPr>
              <w:t xml:space="preserve"> </w:t>
            </w:r>
            <w:r w:rsidRPr="00A64293">
              <w:rPr>
                <w:rFonts w:eastAsia="Calibri"/>
                <w:b/>
                <w:bCs/>
                <w:sz w:val="24"/>
                <w:szCs w:val="24"/>
              </w:rPr>
              <w:t xml:space="preserve">Percentage </w:t>
            </w:r>
            <w:r>
              <w:rPr>
                <w:rFonts w:eastAsia="Calibri"/>
                <w:b/>
                <w:bCs/>
                <w:sz w:val="24"/>
                <w:szCs w:val="24"/>
              </w:rPr>
              <w:t xml:space="preserve">              </w:t>
            </w:r>
            <w:proofErr w:type="gramStart"/>
            <w:r>
              <w:rPr>
                <w:rFonts w:eastAsia="Calibri"/>
                <w:b/>
                <w:bCs/>
                <w:sz w:val="24"/>
                <w:szCs w:val="24"/>
              </w:rPr>
              <w:t xml:space="preserve">   </w:t>
            </w:r>
            <w:r w:rsidRPr="00A64293">
              <w:rPr>
                <w:rFonts w:eastAsia="Calibri"/>
                <w:b/>
                <w:bCs/>
                <w:sz w:val="24"/>
                <w:szCs w:val="24"/>
              </w:rPr>
              <w:t>(</w:t>
            </w:r>
            <w:proofErr w:type="gramEnd"/>
            <w:r w:rsidRPr="00A64293">
              <w:rPr>
                <w:rFonts w:eastAsia="Calibri"/>
                <w:b/>
                <w:bCs/>
                <w:sz w:val="24"/>
                <w:szCs w:val="24"/>
              </w:rPr>
              <w:t>%)</w:t>
            </w:r>
          </w:p>
        </w:tc>
      </w:tr>
      <w:tr w:rsidR="008E008F" w:rsidRPr="00A64293" w14:paraId="165ED5CF" w14:textId="77777777" w:rsidTr="00124400">
        <w:tc>
          <w:tcPr>
            <w:tcW w:w="0" w:type="auto"/>
            <w:hideMark/>
          </w:tcPr>
          <w:p w14:paraId="635F4EFC"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Provision of secondary waste collection services</w:t>
            </w:r>
          </w:p>
        </w:tc>
        <w:tc>
          <w:tcPr>
            <w:tcW w:w="2506" w:type="dxa"/>
            <w:hideMark/>
          </w:tcPr>
          <w:p w14:paraId="5A6601C5"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7</w:t>
            </w:r>
            <w:r>
              <w:rPr>
                <w:rFonts w:eastAsia="Calibri"/>
                <w:bCs/>
                <w:sz w:val="24"/>
                <w:szCs w:val="24"/>
              </w:rPr>
              <w:t xml:space="preserve"> (</w:t>
            </w:r>
            <w:r w:rsidRPr="00A64293">
              <w:rPr>
                <w:rFonts w:eastAsia="Calibri"/>
                <w:bCs/>
                <w:sz w:val="24"/>
                <w:szCs w:val="24"/>
              </w:rPr>
              <w:t>100</w:t>
            </w:r>
            <w:r>
              <w:rPr>
                <w:rFonts w:eastAsia="Calibri"/>
                <w:bCs/>
                <w:sz w:val="24"/>
                <w:szCs w:val="24"/>
              </w:rPr>
              <w:t>%)</w:t>
            </w:r>
          </w:p>
        </w:tc>
      </w:tr>
      <w:tr w:rsidR="008E008F" w:rsidRPr="00A64293" w14:paraId="50FE5E5E" w14:textId="77777777" w:rsidTr="00124400">
        <w:tc>
          <w:tcPr>
            <w:tcW w:w="0" w:type="auto"/>
            <w:hideMark/>
          </w:tcPr>
          <w:p w14:paraId="4F3D279C"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Enforcement of Waste By-Laws and Local Government Act</w:t>
            </w:r>
          </w:p>
        </w:tc>
        <w:tc>
          <w:tcPr>
            <w:tcW w:w="2506" w:type="dxa"/>
            <w:hideMark/>
          </w:tcPr>
          <w:p w14:paraId="78257B76"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6</w:t>
            </w:r>
            <w:r>
              <w:rPr>
                <w:rFonts w:eastAsia="Calibri"/>
                <w:bCs/>
                <w:sz w:val="24"/>
                <w:szCs w:val="24"/>
              </w:rPr>
              <w:t xml:space="preserve"> (</w:t>
            </w:r>
            <w:r w:rsidRPr="00A64293">
              <w:rPr>
                <w:rFonts w:eastAsia="Calibri"/>
                <w:bCs/>
                <w:sz w:val="24"/>
                <w:szCs w:val="24"/>
              </w:rPr>
              <w:t>86</w:t>
            </w:r>
            <w:r>
              <w:rPr>
                <w:rFonts w:eastAsia="Calibri"/>
                <w:bCs/>
                <w:sz w:val="24"/>
                <w:szCs w:val="24"/>
              </w:rPr>
              <w:t>%)</w:t>
            </w:r>
          </w:p>
        </w:tc>
      </w:tr>
      <w:tr w:rsidR="008E008F" w:rsidRPr="00A64293" w14:paraId="00F0CCA8" w14:textId="77777777" w:rsidTr="00124400">
        <w:tc>
          <w:tcPr>
            <w:tcW w:w="0" w:type="auto"/>
            <w:hideMark/>
          </w:tcPr>
          <w:p w14:paraId="497729C5"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Collaboration with ZEMA on environmental management</w:t>
            </w:r>
          </w:p>
        </w:tc>
        <w:tc>
          <w:tcPr>
            <w:tcW w:w="2506" w:type="dxa"/>
            <w:hideMark/>
          </w:tcPr>
          <w:p w14:paraId="7B8A3A70"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5</w:t>
            </w:r>
            <w:r>
              <w:rPr>
                <w:rFonts w:eastAsia="Calibri"/>
                <w:bCs/>
                <w:sz w:val="24"/>
                <w:szCs w:val="24"/>
              </w:rPr>
              <w:t xml:space="preserve"> (</w:t>
            </w:r>
            <w:r w:rsidRPr="00A64293">
              <w:rPr>
                <w:rFonts w:eastAsia="Calibri"/>
                <w:bCs/>
                <w:sz w:val="24"/>
                <w:szCs w:val="24"/>
              </w:rPr>
              <w:t>71</w:t>
            </w:r>
            <w:r>
              <w:rPr>
                <w:rFonts w:eastAsia="Calibri"/>
                <w:bCs/>
                <w:sz w:val="24"/>
                <w:szCs w:val="24"/>
              </w:rPr>
              <w:t>%)</w:t>
            </w:r>
          </w:p>
        </w:tc>
      </w:tr>
      <w:tr w:rsidR="008E008F" w:rsidRPr="00A64293" w14:paraId="1B7290EC" w14:textId="77777777" w:rsidTr="00124400">
        <w:tc>
          <w:tcPr>
            <w:tcW w:w="0" w:type="auto"/>
            <w:hideMark/>
          </w:tcPr>
          <w:p w14:paraId="30E80726"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Placement of waste containers in market</w:t>
            </w:r>
          </w:p>
        </w:tc>
        <w:tc>
          <w:tcPr>
            <w:tcW w:w="2506" w:type="dxa"/>
            <w:hideMark/>
          </w:tcPr>
          <w:p w14:paraId="50670689"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4</w:t>
            </w:r>
            <w:r>
              <w:rPr>
                <w:rFonts w:eastAsia="Calibri"/>
                <w:bCs/>
                <w:sz w:val="24"/>
                <w:szCs w:val="24"/>
              </w:rPr>
              <w:t xml:space="preserve"> (</w:t>
            </w:r>
            <w:r w:rsidRPr="00A64293">
              <w:rPr>
                <w:rFonts w:eastAsia="Calibri"/>
                <w:bCs/>
                <w:sz w:val="24"/>
                <w:szCs w:val="24"/>
              </w:rPr>
              <w:t>57</w:t>
            </w:r>
            <w:r>
              <w:rPr>
                <w:rFonts w:eastAsia="Calibri"/>
                <w:bCs/>
                <w:sz w:val="24"/>
                <w:szCs w:val="24"/>
              </w:rPr>
              <w:t>%)</w:t>
            </w:r>
          </w:p>
        </w:tc>
      </w:tr>
      <w:tr w:rsidR="008E008F" w:rsidRPr="00A64293" w14:paraId="3E0A9A24" w14:textId="77777777" w:rsidTr="00124400">
        <w:tc>
          <w:tcPr>
            <w:tcW w:w="0" w:type="auto"/>
            <w:hideMark/>
          </w:tcPr>
          <w:p w14:paraId="152E731F"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Public sensitization and awareness campaigns</w:t>
            </w:r>
          </w:p>
        </w:tc>
        <w:tc>
          <w:tcPr>
            <w:tcW w:w="2506" w:type="dxa"/>
            <w:hideMark/>
          </w:tcPr>
          <w:p w14:paraId="32032762"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3</w:t>
            </w:r>
            <w:r>
              <w:rPr>
                <w:rFonts w:eastAsia="Calibri"/>
                <w:bCs/>
                <w:sz w:val="24"/>
                <w:szCs w:val="24"/>
              </w:rPr>
              <w:t xml:space="preserve"> (</w:t>
            </w:r>
            <w:r w:rsidRPr="00A64293">
              <w:rPr>
                <w:rFonts w:eastAsia="Calibri"/>
                <w:bCs/>
                <w:sz w:val="24"/>
                <w:szCs w:val="24"/>
              </w:rPr>
              <w:t>43</w:t>
            </w:r>
            <w:r>
              <w:rPr>
                <w:rFonts w:eastAsia="Calibri"/>
                <w:bCs/>
                <w:sz w:val="24"/>
                <w:szCs w:val="24"/>
              </w:rPr>
              <w:t>%)</w:t>
            </w:r>
          </w:p>
        </w:tc>
      </w:tr>
      <w:tr w:rsidR="008E008F" w:rsidRPr="00A64293" w14:paraId="68DC12A2" w14:textId="77777777" w:rsidTr="00124400">
        <w:tc>
          <w:tcPr>
            <w:tcW w:w="0" w:type="auto"/>
            <w:hideMark/>
          </w:tcPr>
          <w:p w14:paraId="37C8321E"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Engagement of private contractors</w:t>
            </w:r>
          </w:p>
        </w:tc>
        <w:tc>
          <w:tcPr>
            <w:tcW w:w="2506" w:type="dxa"/>
            <w:hideMark/>
          </w:tcPr>
          <w:p w14:paraId="163776FA"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2</w:t>
            </w:r>
            <w:r>
              <w:rPr>
                <w:rFonts w:eastAsia="Calibri"/>
                <w:bCs/>
                <w:sz w:val="24"/>
                <w:szCs w:val="24"/>
              </w:rPr>
              <w:t xml:space="preserve"> (</w:t>
            </w:r>
            <w:r w:rsidRPr="00A64293">
              <w:rPr>
                <w:rFonts w:eastAsia="Calibri"/>
                <w:bCs/>
                <w:sz w:val="24"/>
                <w:szCs w:val="24"/>
              </w:rPr>
              <w:t>29</w:t>
            </w:r>
            <w:r>
              <w:rPr>
                <w:rFonts w:eastAsia="Calibri"/>
                <w:bCs/>
                <w:sz w:val="24"/>
                <w:szCs w:val="24"/>
              </w:rPr>
              <w:t>%)</w:t>
            </w:r>
          </w:p>
        </w:tc>
      </w:tr>
    </w:tbl>
    <w:p w14:paraId="5DC3CB6F" w14:textId="77777777" w:rsidR="008E008F" w:rsidRDefault="008E008F" w:rsidP="008E008F">
      <w:pPr>
        <w:spacing w:line="360" w:lineRule="auto"/>
        <w:jc w:val="both"/>
        <w:rPr>
          <w:rFonts w:ascii="Times New Roman" w:eastAsia="Calibri" w:hAnsi="Times New Roman" w:cs="Times New Roman"/>
          <w:b/>
          <w:bCs/>
          <w:sz w:val="24"/>
          <w:szCs w:val="24"/>
        </w:rPr>
      </w:pPr>
    </w:p>
    <w:p w14:paraId="3B604175"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
          <w:bCs/>
          <w:sz w:val="24"/>
          <w:szCs w:val="24"/>
        </w:rPr>
        <w:t>Source:</w:t>
      </w:r>
      <w:r w:rsidRPr="00A64293">
        <w:rPr>
          <w:rFonts w:ascii="Times New Roman" w:eastAsia="Calibri" w:hAnsi="Times New Roman" w:cs="Times New Roman"/>
          <w:bCs/>
          <w:sz w:val="24"/>
          <w:szCs w:val="24"/>
        </w:rPr>
        <w:t xml:space="preserve"> Field Data, 2025</w:t>
      </w:r>
    </w:p>
    <w:p w14:paraId="76BC0110"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Cs/>
          <w:sz w:val="24"/>
          <w:szCs w:val="24"/>
        </w:rPr>
        <w:t>All officials confirmed that secondary waste collection is provided, but fewer mentioned public sensitization (43%) or private contractor engagement (29%).</w:t>
      </w:r>
    </w:p>
    <w:p w14:paraId="2581C1AB" w14:textId="67A1A72C" w:rsidR="008E008F" w:rsidRPr="00A64293" w:rsidRDefault="008E008F" w:rsidP="008E008F">
      <w:pPr>
        <w:spacing w:line="360" w:lineRule="auto"/>
        <w:jc w:val="both"/>
        <w:rPr>
          <w:rFonts w:ascii="Times New Roman" w:eastAsia="Calibri" w:hAnsi="Times New Roman" w:cs="Times New Roman"/>
          <w:b/>
          <w:bCs/>
          <w:sz w:val="24"/>
          <w:szCs w:val="24"/>
        </w:rPr>
      </w:pPr>
      <w:r w:rsidRPr="00A64293">
        <w:rPr>
          <w:rFonts w:ascii="Times New Roman" w:eastAsia="Calibri" w:hAnsi="Times New Roman" w:cs="Times New Roman"/>
          <w:b/>
          <w:bCs/>
          <w:sz w:val="24"/>
          <w:szCs w:val="24"/>
        </w:rPr>
        <w:t xml:space="preserve">Table </w:t>
      </w:r>
      <w:r w:rsidR="00561424">
        <w:rPr>
          <w:rFonts w:ascii="Times New Roman" w:eastAsia="Calibri" w:hAnsi="Times New Roman" w:cs="Times New Roman"/>
          <w:b/>
          <w:bCs/>
          <w:sz w:val="24"/>
          <w:szCs w:val="24"/>
        </w:rPr>
        <w:t>11</w:t>
      </w:r>
      <w:r w:rsidRPr="00A64293">
        <w:rPr>
          <w:rFonts w:ascii="Times New Roman" w:eastAsia="Calibri" w:hAnsi="Times New Roman" w:cs="Times New Roman"/>
          <w:b/>
          <w:bCs/>
          <w:sz w:val="24"/>
          <w:szCs w:val="24"/>
        </w:rPr>
        <w:t>: Challenges Reported by LCC and Market Management (n = 7 officials)</w:t>
      </w:r>
    </w:p>
    <w:tbl>
      <w:tblPr>
        <w:tblStyle w:val="TableGridLight1"/>
        <w:tblW w:w="9414" w:type="dxa"/>
        <w:tblLook w:val="04A0" w:firstRow="1" w:lastRow="0" w:firstColumn="1" w:lastColumn="0" w:noHBand="0" w:noVBand="1"/>
      </w:tblPr>
      <w:tblGrid>
        <w:gridCol w:w="5688"/>
        <w:gridCol w:w="3726"/>
      </w:tblGrid>
      <w:tr w:rsidR="008E008F" w:rsidRPr="00A64293" w14:paraId="1145F0EC" w14:textId="77777777" w:rsidTr="00124400">
        <w:trPr>
          <w:trHeight w:val="639"/>
        </w:trPr>
        <w:tc>
          <w:tcPr>
            <w:tcW w:w="0" w:type="auto"/>
            <w:hideMark/>
          </w:tcPr>
          <w:p w14:paraId="7DEF8486" w14:textId="77777777" w:rsidR="008E008F" w:rsidRPr="00A64293" w:rsidRDefault="008E008F" w:rsidP="00124400">
            <w:pPr>
              <w:spacing w:after="160" w:line="360" w:lineRule="auto"/>
              <w:jc w:val="both"/>
              <w:rPr>
                <w:rFonts w:eastAsia="Calibri"/>
                <w:b/>
                <w:bCs/>
                <w:sz w:val="24"/>
                <w:szCs w:val="24"/>
              </w:rPr>
            </w:pPr>
            <w:r w:rsidRPr="00A64293">
              <w:rPr>
                <w:rFonts w:eastAsia="Calibri"/>
                <w:b/>
                <w:bCs/>
                <w:sz w:val="24"/>
                <w:szCs w:val="24"/>
              </w:rPr>
              <w:lastRenderedPageBreak/>
              <w:t>Challenges Identified</w:t>
            </w:r>
          </w:p>
        </w:tc>
        <w:tc>
          <w:tcPr>
            <w:tcW w:w="0" w:type="auto"/>
            <w:hideMark/>
          </w:tcPr>
          <w:p w14:paraId="68BC0CDA" w14:textId="09CB06E7" w:rsidR="008E008F" w:rsidRPr="00A64293" w:rsidRDefault="00174772" w:rsidP="00124400">
            <w:pPr>
              <w:spacing w:after="160" w:line="360" w:lineRule="auto"/>
              <w:jc w:val="both"/>
              <w:rPr>
                <w:rFonts w:eastAsia="Calibri"/>
                <w:b/>
                <w:bCs/>
                <w:sz w:val="24"/>
                <w:szCs w:val="24"/>
              </w:rPr>
            </w:pPr>
            <w:r w:rsidRPr="00A64293">
              <w:rPr>
                <w:rFonts w:eastAsia="Calibri"/>
                <w:b/>
                <w:bCs/>
                <w:sz w:val="24"/>
                <w:szCs w:val="24"/>
              </w:rPr>
              <w:t>Frequency</w:t>
            </w:r>
            <w:r>
              <w:rPr>
                <w:rFonts w:eastAsia="Calibri"/>
                <w:b/>
                <w:bCs/>
                <w:sz w:val="24"/>
                <w:szCs w:val="24"/>
              </w:rPr>
              <w:t xml:space="preserve"> Percentage</w:t>
            </w:r>
            <w:r w:rsidR="008E008F" w:rsidRPr="00A64293">
              <w:rPr>
                <w:rFonts w:eastAsia="Calibri"/>
                <w:b/>
                <w:bCs/>
                <w:sz w:val="24"/>
                <w:szCs w:val="24"/>
              </w:rPr>
              <w:t xml:space="preserve"> (%)</w:t>
            </w:r>
          </w:p>
        </w:tc>
      </w:tr>
      <w:tr w:rsidR="008E008F" w:rsidRPr="00A64293" w14:paraId="65F713C3" w14:textId="77777777" w:rsidTr="00124400">
        <w:trPr>
          <w:trHeight w:val="625"/>
        </w:trPr>
        <w:tc>
          <w:tcPr>
            <w:tcW w:w="0" w:type="auto"/>
            <w:hideMark/>
          </w:tcPr>
          <w:p w14:paraId="43384C86"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Inadequate funding from central government</w:t>
            </w:r>
          </w:p>
        </w:tc>
        <w:tc>
          <w:tcPr>
            <w:tcW w:w="0" w:type="auto"/>
            <w:hideMark/>
          </w:tcPr>
          <w:p w14:paraId="61DC92C2"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7</w:t>
            </w:r>
            <w:r>
              <w:rPr>
                <w:rFonts w:eastAsia="Calibri"/>
                <w:bCs/>
                <w:sz w:val="24"/>
                <w:szCs w:val="24"/>
              </w:rPr>
              <w:t>(</w:t>
            </w:r>
            <w:r w:rsidRPr="00A64293">
              <w:rPr>
                <w:rFonts w:eastAsia="Calibri"/>
                <w:bCs/>
                <w:sz w:val="24"/>
                <w:szCs w:val="24"/>
              </w:rPr>
              <w:t>100</w:t>
            </w:r>
            <w:r>
              <w:rPr>
                <w:rFonts w:eastAsia="Calibri"/>
                <w:bCs/>
                <w:sz w:val="24"/>
                <w:szCs w:val="24"/>
              </w:rPr>
              <w:t>%)</w:t>
            </w:r>
          </w:p>
        </w:tc>
      </w:tr>
      <w:tr w:rsidR="008E008F" w:rsidRPr="00A64293" w14:paraId="255972DF" w14:textId="77777777" w:rsidTr="00124400">
        <w:trPr>
          <w:trHeight w:val="639"/>
        </w:trPr>
        <w:tc>
          <w:tcPr>
            <w:tcW w:w="0" w:type="auto"/>
            <w:hideMark/>
          </w:tcPr>
          <w:p w14:paraId="52BE0046"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Low compliance by traders/marketeers</w:t>
            </w:r>
          </w:p>
        </w:tc>
        <w:tc>
          <w:tcPr>
            <w:tcW w:w="0" w:type="auto"/>
            <w:hideMark/>
          </w:tcPr>
          <w:p w14:paraId="5E1D4E80"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6</w:t>
            </w:r>
            <w:r>
              <w:rPr>
                <w:rFonts w:eastAsia="Calibri"/>
                <w:bCs/>
                <w:sz w:val="24"/>
                <w:szCs w:val="24"/>
              </w:rPr>
              <w:t xml:space="preserve"> (</w:t>
            </w:r>
            <w:r w:rsidRPr="00A64293">
              <w:rPr>
                <w:rFonts w:eastAsia="Calibri"/>
                <w:bCs/>
                <w:sz w:val="24"/>
                <w:szCs w:val="24"/>
              </w:rPr>
              <w:t>86</w:t>
            </w:r>
            <w:r>
              <w:rPr>
                <w:rFonts w:eastAsia="Calibri"/>
                <w:bCs/>
                <w:sz w:val="24"/>
                <w:szCs w:val="24"/>
              </w:rPr>
              <w:t>%)</w:t>
            </w:r>
          </w:p>
        </w:tc>
      </w:tr>
      <w:tr w:rsidR="008E008F" w:rsidRPr="00A64293" w14:paraId="4002E2EF" w14:textId="77777777" w:rsidTr="00124400">
        <w:trPr>
          <w:trHeight w:val="639"/>
        </w:trPr>
        <w:tc>
          <w:tcPr>
            <w:tcW w:w="0" w:type="auto"/>
            <w:hideMark/>
          </w:tcPr>
          <w:p w14:paraId="73989DD7"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Illegal dumping in undesignated areas</w:t>
            </w:r>
          </w:p>
        </w:tc>
        <w:tc>
          <w:tcPr>
            <w:tcW w:w="0" w:type="auto"/>
            <w:hideMark/>
          </w:tcPr>
          <w:p w14:paraId="40EC3039"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6</w:t>
            </w:r>
            <w:r>
              <w:rPr>
                <w:rFonts w:eastAsia="Calibri"/>
                <w:bCs/>
                <w:sz w:val="24"/>
                <w:szCs w:val="24"/>
              </w:rPr>
              <w:t xml:space="preserve"> (</w:t>
            </w:r>
            <w:r w:rsidRPr="00A64293">
              <w:rPr>
                <w:rFonts w:eastAsia="Calibri"/>
                <w:bCs/>
                <w:sz w:val="24"/>
                <w:szCs w:val="24"/>
              </w:rPr>
              <w:t>86</w:t>
            </w:r>
            <w:r>
              <w:rPr>
                <w:rFonts w:eastAsia="Calibri"/>
                <w:bCs/>
                <w:sz w:val="24"/>
                <w:szCs w:val="24"/>
              </w:rPr>
              <w:t>%)</w:t>
            </w:r>
          </w:p>
        </w:tc>
      </w:tr>
      <w:tr w:rsidR="008E008F" w:rsidRPr="00A64293" w14:paraId="04E8E945" w14:textId="77777777" w:rsidTr="00124400">
        <w:trPr>
          <w:trHeight w:val="625"/>
        </w:trPr>
        <w:tc>
          <w:tcPr>
            <w:tcW w:w="0" w:type="auto"/>
            <w:hideMark/>
          </w:tcPr>
          <w:p w14:paraId="49C8B7B3"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Shortage of bins/containers in market</w:t>
            </w:r>
          </w:p>
        </w:tc>
        <w:tc>
          <w:tcPr>
            <w:tcW w:w="0" w:type="auto"/>
            <w:hideMark/>
          </w:tcPr>
          <w:p w14:paraId="343C35CE"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5</w:t>
            </w:r>
            <w:r>
              <w:rPr>
                <w:rFonts w:eastAsia="Calibri"/>
                <w:bCs/>
                <w:sz w:val="24"/>
                <w:szCs w:val="24"/>
              </w:rPr>
              <w:t xml:space="preserve"> (</w:t>
            </w:r>
            <w:r w:rsidRPr="00A64293">
              <w:rPr>
                <w:rFonts w:eastAsia="Calibri"/>
                <w:bCs/>
                <w:sz w:val="24"/>
                <w:szCs w:val="24"/>
              </w:rPr>
              <w:t>71</w:t>
            </w:r>
            <w:r>
              <w:rPr>
                <w:rFonts w:eastAsia="Calibri"/>
                <w:bCs/>
                <w:sz w:val="24"/>
                <w:szCs w:val="24"/>
              </w:rPr>
              <w:t>%)</w:t>
            </w:r>
          </w:p>
        </w:tc>
      </w:tr>
      <w:tr w:rsidR="008E008F" w:rsidRPr="00A64293" w14:paraId="0517A7BA" w14:textId="77777777" w:rsidTr="00124400">
        <w:trPr>
          <w:trHeight w:val="639"/>
        </w:trPr>
        <w:tc>
          <w:tcPr>
            <w:tcW w:w="0" w:type="auto"/>
            <w:hideMark/>
          </w:tcPr>
          <w:p w14:paraId="7649AFD7"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Limited enforcement personnel</w:t>
            </w:r>
          </w:p>
        </w:tc>
        <w:tc>
          <w:tcPr>
            <w:tcW w:w="0" w:type="auto"/>
            <w:hideMark/>
          </w:tcPr>
          <w:p w14:paraId="03EBB8A8"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4</w:t>
            </w:r>
            <w:r>
              <w:rPr>
                <w:rFonts w:eastAsia="Calibri"/>
                <w:bCs/>
                <w:sz w:val="24"/>
                <w:szCs w:val="24"/>
              </w:rPr>
              <w:t xml:space="preserve"> (</w:t>
            </w:r>
            <w:r w:rsidRPr="00A64293">
              <w:rPr>
                <w:rFonts w:eastAsia="Calibri"/>
                <w:bCs/>
                <w:sz w:val="24"/>
                <w:szCs w:val="24"/>
              </w:rPr>
              <w:t>57</w:t>
            </w:r>
            <w:r>
              <w:rPr>
                <w:rFonts w:eastAsia="Calibri"/>
                <w:bCs/>
                <w:sz w:val="24"/>
                <w:szCs w:val="24"/>
              </w:rPr>
              <w:t>%)</w:t>
            </w:r>
          </w:p>
        </w:tc>
      </w:tr>
    </w:tbl>
    <w:p w14:paraId="778A41DD" w14:textId="77777777" w:rsidR="008E008F" w:rsidRDefault="008E008F" w:rsidP="008E008F">
      <w:pPr>
        <w:spacing w:line="360" w:lineRule="auto"/>
        <w:jc w:val="both"/>
        <w:rPr>
          <w:rFonts w:ascii="Times New Roman" w:eastAsia="Calibri" w:hAnsi="Times New Roman" w:cs="Times New Roman"/>
          <w:b/>
          <w:bCs/>
          <w:sz w:val="24"/>
          <w:szCs w:val="24"/>
        </w:rPr>
      </w:pPr>
    </w:p>
    <w:p w14:paraId="0E0DBD70"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
          <w:bCs/>
          <w:sz w:val="24"/>
          <w:szCs w:val="24"/>
        </w:rPr>
        <w:t>Source:</w:t>
      </w:r>
      <w:r w:rsidRPr="00A64293">
        <w:rPr>
          <w:rFonts w:ascii="Times New Roman" w:eastAsia="Calibri" w:hAnsi="Times New Roman" w:cs="Times New Roman"/>
          <w:bCs/>
          <w:sz w:val="24"/>
          <w:szCs w:val="24"/>
        </w:rPr>
        <w:t xml:space="preserve"> Field Data, 2025</w:t>
      </w:r>
    </w:p>
    <w:p w14:paraId="402938CB"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Cs/>
          <w:sz w:val="24"/>
          <w:szCs w:val="24"/>
        </w:rPr>
        <w:t>Every official pointed to funding shortages as the top challenge, while poor cooperation and illegal dumping (86%) were also major barriers.</w:t>
      </w:r>
    </w:p>
    <w:p w14:paraId="0874AC0D" w14:textId="47E9790B" w:rsidR="008E008F" w:rsidRPr="00A64293" w:rsidRDefault="008E008F" w:rsidP="008E008F">
      <w:pPr>
        <w:spacing w:line="360" w:lineRule="auto"/>
        <w:jc w:val="both"/>
        <w:rPr>
          <w:rFonts w:ascii="Times New Roman" w:eastAsia="Calibri" w:hAnsi="Times New Roman" w:cs="Times New Roman"/>
          <w:b/>
          <w:bCs/>
          <w:sz w:val="24"/>
          <w:szCs w:val="24"/>
        </w:rPr>
      </w:pPr>
      <w:r w:rsidRPr="00A64293">
        <w:rPr>
          <w:rFonts w:ascii="Times New Roman" w:eastAsia="Calibri" w:hAnsi="Times New Roman" w:cs="Times New Roman"/>
          <w:b/>
          <w:bCs/>
          <w:sz w:val="24"/>
          <w:szCs w:val="24"/>
        </w:rPr>
        <w:t xml:space="preserve">Table </w:t>
      </w:r>
      <w:r w:rsidR="00561424">
        <w:rPr>
          <w:rFonts w:ascii="Times New Roman" w:eastAsia="Calibri" w:hAnsi="Times New Roman" w:cs="Times New Roman"/>
          <w:b/>
          <w:bCs/>
          <w:sz w:val="24"/>
          <w:szCs w:val="24"/>
        </w:rPr>
        <w:t>12</w:t>
      </w:r>
      <w:r w:rsidRPr="00A64293">
        <w:rPr>
          <w:rFonts w:ascii="Times New Roman" w:eastAsia="Calibri" w:hAnsi="Times New Roman" w:cs="Times New Roman"/>
          <w:b/>
          <w:bCs/>
          <w:sz w:val="24"/>
          <w:szCs w:val="24"/>
        </w:rPr>
        <w:t>: Suggested Solutions by Traders (n = 246)</w:t>
      </w:r>
    </w:p>
    <w:tbl>
      <w:tblPr>
        <w:tblStyle w:val="TableGridLight1"/>
        <w:tblW w:w="9163" w:type="dxa"/>
        <w:tblLook w:val="04A0" w:firstRow="1" w:lastRow="0" w:firstColumn="1" w:lastColumn="0" w:noHBand="0" w:noVBand="1"/>
      </w:tblPr>
      <w:tblGrid>
        <w:gridCol w:w="5492"/>
        <w:gridCol w:w="3671"/>
      </w:tblGrid>
      <w:tr w:rsidR="008E008F" w:rsidRPr="00A64293" w14:paraId="02BBF6D1" w14:textId="77777777" w:rsidTr="00124400">
        <w:trPr>
          <w:trHeight w:val="579"/>
        </w:trPr>
        <w:tc>
          <w:tcPr>
            <w:tcW w:w="0" w:type="auto"/>
            <w:hideMark/>
          </w:tcPr>
          <w:p w14:paraId="7EF91C33" w14:textId="77777777" w:rsidR="008E008F" w:rsidRPr="00A64293" w:rsidRDefault="008E008F" w:rsidP="00124400">
            <w:pPr>
              <w:spacing w:after="160" w:line="360" w:lineRule="auto"/>
              <w:jc w:val="both"/>
              <w:rPr>
                <w:rFonts w:eastAsia="Calibri"/>
                <w:b/>
                <w:bCs/>
                <w:sz w:val="24"/>
                <w:szCs w:val="24"/>
              </w:rPr>
            </w:pPr>
            <w:r w:rsidRPr="00A64293">
              <w:rPr>
                <w:rFonts w:eastAsia="Calibri"/>
                <w:b/>
                <w:bCs/>
                <w:sz w:val="24"/>
                <w:szCs w:val="24"/>
              </w:rPr>
              <w:t>Suggested Solutions by Traders</w:t>
            </w:r>
          </w:p>
        </w:tc>
        <w:tc>
          <w:tcPr>
            <w:tcW w:w="0" w:type="auto"/>
            <w:hideMark/>
          </w:tcPr>
          <w:p w14:paraId="35BBDA8C" w14:textId="77777777" w:rsidR="008E008F" w:rsidRPr="00A64293" w:rsidRDefault="008E008F" w:rsidP="00124400">
            <w:pPr>
              <w:spacing w:after="160" w:line="360" w:lineRule="auto"/>
              <w:jc w:val="both"/>
              <w:rPr>
                <w:rFonts w:eastAsia="Calibri"/>
                <w:b/>
                <w:bCs/>
                <w:sz w:val="24"/>
                <w:szCs w:val="24"/>
              </w:rPr>
            </w:pPr>
            <w:proofErr w:type="gramStart"/>
            <w:r w:rsidRPr="00A64293">
              <w:rPr>
                <w:rFonts w:eastAsia="Calibri"/>
                <w:b/>
                <w:bCs/>
                <w:sz w:val="24"/>
                <w:szCs w:val="24"/>
              </w:rPr>
              <w:t>Frequency</w:t>
            </w:r>
            <w:r>
              <w:rPr>
                <w:rFonts w:eastAsia="Calibri"/>
                <w:b/>
                <w:bCs/>
                <w:sz w:val="24"/>
                <w:szCs w:val="24"/>
              </w:rPr>
              <w:t xml:space="preserve">  </w:t>
            </w:r>
            <w:r w:rsidRPr="00A64293">
              <w:rPr>
                <w:rFonts w:eastAsia="Calibri"/>
                <w:b/>
                <w:bCs/>
                <w:sz w:val="24"/>
                <w:szCs w:val="24"/>
              </w:rPr>
              <w:t>Percentage</w:t>
            </w:r>
            <w:proofErr w:type="gramEnd"/>
            <w:r w:rsidRPr="00A64293">
              <w:rPr>
                <w:rFonts w:eastAsia="Calibri"/>
                <w:b/>
                <w:bCs/>
                <w:sz w:val="24"/>
                <w:szCs w:val="24"/>
              </w:rPr>
              <w:t xml:space="preserve"> (%)</w:t>
            </w:r>
          </w:p>
        </w:tc>
      </w:tr>
      <w:tr w:rsidR="008E008F" w:rsidRPr="00A64293" w14:paraId="776BE11C" w14:textId="77777777" w:rsidTr="00124400">
        <w:trPr>
          <w:trHeight w:val="567"/>
        </w:trPr>
        <w:tc>
          <w:tcPr>
            <w:tcW w:w="0" w:type="auto"/>
            <w:hideMark/>
          </w:tcPr>
          <w:p w14:paraId="7FF86E1D"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Reduce/abolish collection fees</w:t>
            </w:r>
          </w:p>
        </w:tc>
        <w:tc>
          <w:tcPr>
            <w:tcW w:w="0" w:type="auto"/>
            <w:hideMark/>
          </w:tcPr>
          <w:p w14:paraId="78A54598"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62</w:t>
            </w:r>
            <w:r>
              <w:rPr>
                <w:rFonts w:eastAsia="Calibri"/>
                <w:bCs/>
                <w:sz w:val="24"/>
                <w:szCs w:val="24"/>
              </w:rPr>
              <w:t xml:space="preserve"> (</w:t>
            </w:r>
            <w:r w:rsidRPr="00A64293">
              <w:rPr>
                <w:rFonts w:eastAsia="Calibri"/>
                <w:bCs/>
                <w:sz w:val="24"/>
                <w:szCs w:val="24"/>
              </w:rPr>
              <w:t>25</w:t>
            </w:r>
            <w:r>
              <w:rPr>
                <w:rFonts w:eastAsia="Calibri"/>
                <w:bCs/>
                <w:sz w:val="24"/>
                <w:szCs w:val="24"/>
              </w:rPr>
              <w:t>%)</w:t>
            </w:r>
          </w:p>
        </w:tc>
      </w:tr>
      <w:tr w:rsidR="008E008F" w:rsidRPr="00A64293" w14:paraId="4A3E76FE" w14:textId="77777777" w:rsidTr="00124400">
        <w:trPr>
          <w:trHeight w:val="579"/>
        </w:trPr>
        <w:tc>
          <w:tcPr>
            <w:tcW w:w="0" w:type="auto"/>
            <w:hideMark/>
          </w:tcPr>
          <w:p w14:paraId="00A7E9FC"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Increase number of site containers</w:t>
            </w:r>
          </w:p>
        </w:tc>
        <w:tc>
          <w:tcPr>
            <w:tcW w:w="0" w:type="auto"/>
            <w:hideMark/>
          </w:tcPr>
          <w:p w14:paraId="44C810EF"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50</w:t>
            </w:r>
            <w:r>
              <w:rPr>
                <w:rFonts w:eastAsia="Calibri"/>
                <w:bCs/>
                <w:sz w:val="24"/>
                <w:szCs w:val="24"/>
              </w:rPr>
              <w:t xml:space="preserve"> (</w:t>
            </w:r>
            <w:r w:rsidRPr="00A64293">
              <w:rPr>
                <w:rFonts w:eastAsia="Calibri"/>
                <w:bCs/>
                <w:sz w:val="24"/>
                <w:szCs w:val="24"/>
              </w:rPr>
              <w:t>20</w:t>
            </w:r>
            <w:r>
              <w:rPr>
                <w:rFonts w:eastAsia="Calibri"/>
                <w:bCs/>
                <w:sz w:val="24"/>
                <w:szCs w:val="24"/>
              </w:rPr>
              <w:t>%)</w:t>
            </w:r>
          </w:p>
        </w:tc>
      </w:tr>
      <w:tr w:rsidR="008E008F" w:rsidRPr="00A64293" w14:paraId="71D26041" w14:textId="77777777" w:rsidTr="00124400">
        <w:trPr>
          <w:trHeight w:val="579"/>
        </w:trPr>
        <w:tc>
          <w:tcPr>
            <w:tcW w:w="0" w:type="auto"/>
            <w:hideMark/>
          </w:tcPr>
          <w:p w14:paraId="5967CF3B"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Conduct education/sensitization campaigns</w:t>
            </w:r>
          </w:p>
        </w:tc>
        <w:tc>
          <w:tcPr>
            <w:tcW w:w="0" w:type="auto"/>
            <w:hideMark/>
          </w:tcPr>
          <w:p w14:paraId="7E85E5EB"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44</w:t>
            </w:r>
            <w:r>
              <w:rPr>
                <w:rFonts w:eastAsia="Calibri"/>
                <w:bCs/>
                <w:sz w:val="24"/>
                <w:szCs w:val="24"/>
              </w:rPr>
              <w:t xml:space="preserve"> (</w:t>
            </w:r>
            <w:r w:rsidRPr="00A64293">
              <w:rPr>
                <w:rFonts w:eastAsia="Calibri"/>
                <w:bCs/>
                <w:sz w:val="24"/>
                <w:szCs w:val="24"/>
              </w:rPr>
              <w:t>18</w:t>
            </w:r>
            <w:r>
              <w:rPr>
                <w:rFonts w:eastAsia="Calibri"/>
                <w:bCs/>
                <w:sz w:val="24"/>
                <w:szCs w:val="24"/>
              </w:rPr>
              <w:t>%)</w:t>
            </w:r>
          </w:p>
        </w:tc>
      </w:tr>
      <w:tr w:rsidR="008E008F" w:rsidRPr="00A64293" w14:paraId="181137D6" w14:textId="77777777" w:rsidTr="00124400">
        <w:trPr>
          <w:trHeight w:val="567"/>
        </w:trPr>
        <w:tc>
          <w:tcPr>
            <w:tcW w:w="0" w:type="auto"/>
            <w:hideMark/>
          </w:tcPr>
          <w:p w14:paraId="2EC38F6E"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Employ more waste collectors</w:t>
            </w:r>
          </w:p>
        </w:tc>
        <w:tc>
          <w:tcPr>
            <w:tcW w:w="0" w:type="auto"/>
            <w:hideMark/>
          </w:tcPr>
          <w:p w14:paraId="1F624581"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20</w:t>
            </w:r>
            <w:r>
              <w:rPr>
                <w:rFonts w:eastAsia="Calibri"/>
                <w:bCs/>
                <w:sz w:val="24"/>
                <w:szCs w:val="24"/>
              </w:rPr>
              <w:t xml:space="preserve"> (</w:t>
            </w:r>
            <w:r w:rsidRPr="00A64293">
              <w:rPr>
                <w:rFonts w:eastAsia="Calibri"/>
                <w:bCs/>
                <w:sz w:val="24"/>
                <w:szCs w:val="24"/>
              </w:rPr>
              <w:t>8</w:t>
            </w:r>
            <w:r>
              <w:rPr>
                <w:rFonts w:eastAsia="Calibri"/>
                <w:bCs/>
                <w:sz w:val="24"/>
                <w:szCs w:val="24"/>
              </w:rPr>
              <w:t>%)</w:t>
            </w:r>
          </w:p>
        </w:tc>
      </w:tr>
      <w:tr w:rsidR="008E008F" w:rsidRPr="00A64293" w14:paraId="5F5734D3" w14:textId="77777777" w:rsidTr="00124400">
        <w:trPr>
          <w:trHeight w:val="579"/>
        </w:trPr>
        <w:tc>
          <w:tcPr>
            <w:tcW w:w="0" w:type="auto"/>
            <w:hideMark/>
          </w:tcPr>
          <w:p w14:paraId="6797DBA4"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Bench-to-bench collection</w:t>
            </w:r>
          </w:p>
        </w:tc>
        <w:tc>
          <w:tcPr>
            <w:tcW w:w="0" w:type="auto"/>
            <w:hideMark/>
          </w:tcPr>
          <w:p w14:paraId="47D206AF"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20</w:t>
            </w:r>
            <w:r>
              <w:rPr>
                <w:rFonts w:eastAsia="Calibri"/>
                <w:bCs/>
                <w:sz w:val="24"/>
                <w:szCs w:val="24"/>
              </w:rPr>
              <w:t xml:space="preserve"> (</w:t>
            </w:r>
            <w:r w:rsidRPr="00A64293">
              <w:rPr>
                <w:rFonts w:eastAsia="Calibri"/>
                <w:bCs/>
                <w:sz w:val="24"/>
                <w:szCs w:val="24"/>
              </w:rPr>
              <w:t>8</w:t>
            </w:r>
            <w:r>
              <w:rPr>
                <w:rFonts w:eastAsia="Calibri"/>
                <w:bCs/>
                <w:sz w:val="24"/>
                <w:szCs w:val="24"/>
              </w:rPr>
              <w:t>%)</w:t>
            </w:r>
          </w:p>
        </w:tc>
      </w:tr>
      <w:tr w:rsidR="008E008F" w:rsidRPr="00A64293" w14:paraId="1645B09C" w14:textId="77777777" w:rsidTr="00124400">
        <w:trPr>
          <w:trHeight w:val="579"/>
        </w:trPr>
        <w:tc>
          <w:tcPr>
            <w:tcW w:w="0" w:type="auto"/>
            <w:hideMark/>
          </w:tcPr>
          <w:p w14:paraId="2F9266E8"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Provide free bins/bin liners</w:t>
            </w:r>
          </w:p>
        </w:tc>
        <w:tc>
          <w:tcPr>
            <w:tcW w:w="0" w:type="auto"/>
            <w:hideMark/>
          </w:tcPr>
          <w:p w14:paraId="1E82AD79"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12</w:t>
            </w:r>
            <w:r>
              <w:rPr>
                <w:rFonts w:eastAsia="Calibri"/>
                <w:bCs/>
                <w:sz w:val="24"/>
                <w:szCs w:val="24"/>
              </w:rPr>
              <w:t>(</w:t>
            </w:r>
            <w:r w:rsidRPr="00A64293">
              <w:rPr>
                <w:rFonts w:eastAsia="Calibri"/>
                <w:bCs/>
                <w:sz w:val="24"/>
                <w:szCs w:val="24"/>
              </w:rPr>
              <w:t>5</w:t>
            </w:r>
            <w:r>
              <w:rPr>
                <w:rFonts w:eastAsia="Calibri"/>
                <w:bCs/>
                <w:sz w:val="24"/>
                <w:szCs w:val="24"/>
              </w:rPr>
              <w:t>%)</w:t>
            </w:r>
          </w:p>
        </w:tc>
      </w:tr>
      <w:tr w:rsidR="008E008F" w:rsidRPr="00A64293" w14:paraId="0EF271A7" w14:textId="77777777" w:rsidTr="00124400">
        <w:trPr>
          <w:trHeight w:val="567"/>
        </w:trPr>
        <w:tc>
          <w:tcPr>
            <w:tcW w:w="0" w:type="auto"/>
            <w:hideMark/>
          </w:tcPr>
          <w:p w14:paraId="0A950640"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Form market waste management committees</w:t>
            </w:r>
          </w:p>
        </w:tc>
        <w:tc>
          <w:tcPr>
            <w:tcW w:w="0" w:type="auto"/>
            <w:hideMark/>
          </w:tcPr>
          <w:p w14:paraId="121D73DC"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12</w:t>
            </w:r>
            <w:r>
              <w:rPr>
                <w:rFonts w:eastAsia="Calibri"/>
                <w:bCs/>
                <w:sz w:val="24"/>
                <w:szCs w:val="24"/>
              </w:rPr>
              <w:t>(</w:t>
            </w:r>
            <w:r w:rsidRPr="00A64293">
              <w:rPr>
                <w:rFonts w:eastAsia="Calibri"/>
                <w:bCs/>
                <w:sz w:val="24"/>
                <w:szCs w:val="24"/>
              </w:rPr>
              <w:t>5</w:t>
            </w:r>
            <w:r>
              <w:rPr>
                <w:rFonts w:eastAsia="Calibri"/>
                <w:bCs/>
                <w:sz w:val="24"/>
                <w:szCs w:val="24"/>
              </w:rPr>
              <w:t>%)</w:t>
            </w:r>
          </w:p>
        </w:tc>
      </w:tr>
      <w:tr w:rsidR="008E008F" w:rsidRPr="00A64293" w14:paraId="7B600590" w14:textId="77777777" w:rsidTr="00124400">
        <w:trPr>
          <w:trHeight w:val="579"/>
        </w:trPr>
        <w:tc>
          <w:tcPr>
            <w:tcW w:w="0" w:type="auto"/>
            <w:hideMark/>
          </w:tcPr>
          <w:p w14:paraId="05FEC606"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Subcontract additional private companies</w:t>
            </w:r>
          </w:p>
        </w:tc>
        <w:tc>
          <w:tcPr>
            <w:tcW w:w="0" w:type="auto"/>
            <w:hideMark/>
          </w:tcPr>
          <w:p w14:paraId="19FF8A0E"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12</w:t>
            </w:r>
            <w:r>
              <w:rPr>
                <w:rFonts w:eastAsia="Calibri"/>
                <w:bCs/>
                <w:sz w:val="24"/>
                <w:szCs w:val="24"/>
              </w:rPr>
              <w:t xml:space="preserve"> (</w:t>
            </w:r>
            <w:r w:rsidRPr="00A64293">
              <w:rPr>
                <w:rFonts w:eastAsia="Calibri"/>
                <w:bCs/>
                <w:sz w:val="24"/>
                <w:szCs w:val="24"/>
              </w:rPr>
              <w:t>5</w:t>
            </w:r>
            <w:r>
              <w:rPr>
                <w:rFonts w:eastAsia="Calibri"/>
                <w:bCs/>
                <w:sz w:val="24"/>
                <w:szCs w:val="24"/>
              </w:rPr>
              <w:t>%)</w:t>
            </w:r>
          </w:p>
        </w:tc>
      </w:tr>
      <w:tr w:rsidR="008E008F" w:rsidRPr="00A64293" w14:paraId="06A47289" w14:textId="77777777" w:rsidTr="00124400">
        <w:trPr>
          <w:trHeight w:val="579"/>
        </w:trPr>
        <w:tc>
          <w:tcPr>
            <w:tcW w:w="0" w:type="auto"/>
            <w:hideMark/>
          </w:tcPr>
          <w:p w14:paraId="2DC25448"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Place bins at more strategic points</w:t>
            </w:r>
          </w:p>
        </w:tc>
        <w:tc>
          <w:tcPr>
            <w:tcW w:w="0" w:type="auto"/>
            <w:hideMark/>
          </w:tcPr>
          <w:p w14:paraId="13282873"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17</w:t>
            </w:r>
            <w:r>
              <w:rPr>
                <w:rFonts w:eastAsia="Calibri"/>
                <w:bCs/>
                <w:sz w:val="24"/>
                <w:szCs w:val="24"/>
              </w:rPr>
              <w:t xml:space="preserve"> (</w:t>
            </w:r>
            <w:r w:rsidRPr="00A64293">
              <w:rPr>
                <w:rFonts w:eastAsia="Calibri"/>
                <w:bCs/>
                <w:sz w:val="24"/>
                <w:szCs w:val="24"/>
              </w:rPr>
              <w:t>7</w:t>
            </w:r>
            <w:r>
              <w:rPr>
                <w:rFonts w:eastAsia="Calibri"/>
                <w:bCs/>
                <w:sz w:val="24"/>
                <w:szCs w:val="24"/>
              </w:rPr>
              <w:t>%)</w:t>
            </w:r>
          </w:p>
        </w:tc>
      </w:tr>
      <w:tr w:rsidR="008E008F" w:rsidRPr="00A64293" w14:paraId="7B599B3E" w14:textId="77777777" w:rsidTr="00124400">
        <w:trPr>
          <w:trHeight w:val="567"/>
        </w:trPr>
        <w:tc>
          <w:tcPr>
            <w:tcW w:w="0" w:type="auto"/>
            <w:hideMark/>
          </w:tcPr>
          <w:p w14:paraId="6DCAB26E"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Strengthen enforcement through LCC police</w:t>
            </w:r>
          </w:p>
        </w:tc>
        <w:tc>
          <w:tcPr>
            <w:tcW w:w="0" w:type="auto"/>
            <w:hideMark/>
          </w:tcPr>
          <w:p w14:paraId="142C1CCD" w14:textId="77777777" w:rsidR="008E008F" w:rsidRPr="00A64293" w:rsidRDefault="008E008F" w:rsidP="00124400">
            <w:pPr>
              <w:spacing w:after="160" w:line="360" w:lineRule="auto"/>
              <w:jc w:val="both"/>
              <w:rPr>
                <w:rFonts w:eastAsia="Calibri"/>
                <w:bCs/>
                <w:sz w:val="24"/>
                <w:szCs w:val="24"/>
              </w:rPr>
            </w:pPr>
            <w:r w:rsidRPr="00A64293">
              <w:rPr>
                <w:rFonts w:eastAsia="Calibri"/>
                <w:bCs/>
                <w:sz w:val="24"/>
                <w:szCs w:val="24"/>
              </w:rPr>
              <w:t>20</w:t>
            </w:r>
            <w:r>
              <w:rPr>
                <w:rFonts w:eastAsia="Calibri"/>
                <w:bCs/>
                <w:sz w:val="24"/>
                <w:szCs w:val="24"/>
              </w:rPr>
              <w:t xml:space="preserve"> (</w:t>
            </w:r>
            <w:r w:rsidRPr="00A64293">
              <w:rPr>
                <w:rFonts w:eastAsia="Calibri"/>
                <w:bCs/>
                <w:sz w:val="24"/>
                <w:szCs w:val="24"/>
              </w:rPr>
              <w:t>8</w:t>
            </w:r>
            <w:r>
              <w:rPr>
                <w:rFonts w:eastAsia="Calibri"/>
                <w:bCs/>
                <w:sz w:val="24"/>
                <w:szCs w:val="24"/>
              </w:rPr>
              <w:t>%)</w:t>
            </w:r>
          </w:p>
        </w:tc>
      </w:tr>
    </w:tbl>
    <w:p w14:paraId="65C27501"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
          <w:bCs/>
          <w:sz w:val="24"/>
          <w:szCs w:val="24"/>
        </w:rPr>
        <w:t>Source:</w:t>
      </w:r>
      <w:r w:rsidRPr="00A64293">
        <w:rPr>
          <w:rFonts w:ascii="Times New Roman" w:eastAsia="Calibri" w:hAnsi="Times New Roman" w:cs="Times New Roman"/>
          <w:bCs/>
          <w:sz w:val="24"/>
          <w:szCs w:val="24"/>
        </w:rPr>
        <w:t xml:space="preserve"> Field Data, 2025</w:t>
      </w:r>
    </w:p>
    <w:p w14:paraId="700F9402" w14:textId="77777777" w:rsidR="008E008F" w:rsidRPr="00A64293" w:rsidRDefault="008E008F" w:rsidP="008E008F">
      <w:pPr>
        <w:spacing w:line="360" w:lineRule="auto"/>
        <w:jc w:val="both"/>
        <w:rPr>
          <w:rFonts w:ascii="Times New Roman" w:eastAsia="Calibri" w:hAnsi="Times New Roman" w:cs="Times New Roman"/>
          <w:bCs/>
          <w:sz w:val="24"/>
          <w:szCs w:val="24"/>
        </w:rPr>
      </w:pPr>
      <w:r w:rsidRPr="00A64293">
        <w:rPr>
          <w:rFonts w:ascii="Times New Roman" w:eastAsia="Calibri" w:hAnsi="Times New Roman" w:cs="Times New Roman"/>
          <w:bCs/>
          <w:sz w:val="24"/>
          <w:szCs w:val="24"/>
        </w:rPr>
        <w:lastRenderedPageBreak/>
        <w:t>The top three suggestions were reducing collection fees (25%), increasing site containers (20%), and education campaigns (18%).</w:t>
      </w:r>
    </w:p>
    <w:p w14:paraId="2C25E064" w14:textId="393BFB9A" w:rsidR="008E008F" w:rsidRDefault="008E008F" w:rsidP="008E008F">
      <w:pPr>
        <w:pStyle w:val="Heading1"/>
      </w:pPr>
      <w:bookmarkStart w:id="53" w:name="_Toc209708341"/>
      <w:r w:rsidRPr="002C4DBE">
        <w:t>DISCUSIONS</w:t>
      </w:r>
      <w:bookmarkStart w:id="54" w:name="_GoBack"/>
      <w:bookmarkEnd w:id="53"/>
      <w:bookmarkEnd w:id="54"/>
    </w:p>
    <w:p w14:paraId="441E1845" w14:textId="77777777" w:rsidR="008E008F" w:rsidRPr="006D325F" w:rsidRDefault="008E008F" w:rsidP="008E008F">
      <w:pPr>
        <w:pStyle w:val="Heading2"/>
      </w:pPr>
      <w:bookmarkStart w:id="55" w:name="_Toc209708342"/>
      <w:r w:rsidRPr="006D325F">
        <w:t>5.0 Discussion of Findings</w:t>
      </w:r>
      <w:bookmarkEnd w:id="55"/>
    </w:p>
    <w:p w14:paraId="5195F4E5" w14:textId="77777777" w:rsidR="008E008F" w:rsidRPr="006D325F" w:rsidRDefault="008E008F" w:rsidP="008E008F">
      <w:pPr>
        <w:spacing w:line="360" w:lineRule="auto"/>
        <w:jc w:val="both"/>
        <w:rPr>
          <w:rFonts w:ascii="Times New Roman" w:eastAsia="Calibri" w:hAnsi="Times New Roman" w:cs="Times New Roman"/>
          <w:bCs/>
          <w:sz w:val="24"/>
          <w:szCs w:val="24"/>
        </w:rPr>
      </w:pPr>
      <w:r w:rsidRPr="006D325F">
        <w:rPr>
          <w:rFonts w:ascii="Times New Roman" w:eastAsia="Calibri" w:hAnsi="Times New Roman" w:cs="Times New Roman"/>
          <w:bCs/>
          <w:sz w:val="24"/>
          <w:szCs w:val="24"/>
        </w:rPr>
        <w:t>This chapter discussed the study findings in relation to the research objectives and existing literature. The discussion linked the results from the field with the broader body of knowledge reviewed in Chapter Two and examined how the findings contributed to understanding solid waste management practices in Soweto Market, Lusaka. The chapter is organized according to the three research objectives: awareness of segregated bins, attitudes and practices of marketeers, and measures put in place by Lusaka City Council (LCC) and market management.</w:t>
      </w:r>
    </w:p>
    <w:p w14:paraId="00E0C944" w14:textId="77777777" w:rsidR="008E008F" w:rsidRPr="006D325F" w:rsidRDefault="008E008F" w:rsidP="008E008F">
      <w:pPr>
        <w:spacing w:line="360" w:lineRule="auto"/>
        <w:jc w:val="both"/>
        <w:rPr>
          <w:rFonts w:ascii="Times New Roman" w:eastAsia="Calibri" w:hAnsi="Times New Roman" w:cs="Times New Roman"/>
          <w:bCs/>
          <w:sz w:val="24"/>
          <w:szCs w:val="24"/>
        </w:rPr>
      </w:pPr>
      <w:r w:rsidRPr="006D325F">
        <w:rPr>
          <w:rFonts w:ascii="Times New Roman" w:eastAsia="Calibri" w:hAnsi="Times New Roman" w:cs="Times New Roman"/>
          <w:bCs/>
          <w:sz w:val="24"/>
          <w:szCs w:val="24"/>
        </w:rPr>
        <w:t xml:space="preserve">The first objective sought to assess the awareness of marketeers on the presence of segregated solid waste bins and their importance for waste management at Soweto Market. The study revealed that awareness levels were very high, with 96% of respondents indicating that they knew about the existence of bins </w:t>
      </w:r>
      <w:proofErr w:type="spellStart"/>
      <w:r w:rsidRPr="006D325F">
        <w:rPr>
          <w:rFonts w:ascii="Times New Roman" w:eastAsia="Calibri" w:hAnsi="Times New Roman" w:cs="Times New Roman"/>
          <w:bCs/>
          <w:sz w:val="24"/>
          <w:szCs w:val="24"/>
        </w:rPr>
        <w:t>labeled</w:t>
      </w:r>
      <w:proofErr w:type="spellEnd"/>
      <w:r w:rsidRPr="006D325F">
        <w:rPr>
          <w:rFonts w:ascii="Times New Roman" w:eastAsia="Calibri" w:hAnsi="Times New Roman" w:cs="Times New Roman"/>
          <w:bCs/>
          <w:sz w:val="24"/>
          <w:szCs w:val="24"/>
        </w:rPr>
        <w:t xml:space="preserve"> for plastics, glass, and compost. However, despite this high awareness, the findings also showed that awareness was mostly informal, gained through observation and peer influence rather than structured sensitization campaigns by authorities.</w:t>
      </w:r>
    </w:p>
    <w:p w14:paraId="4A95E189" w14:textId="77777777" w:rsidR="008E008F" w:rsidRPr="006D325F" w:rsidRDefault="008E008F" w:rsidP="008E008F">
      <w:pPr>
        <w:spacing w:line="360" w:lineRule="auto"/>
        <w:jc w:val="both"/>
        <w:rPr>
          <w:rFonts w:ascii="Times New Roman" w:eastAsia="Calibri" w:hAnsi="Times New Roman" w:cs="Times New Roman"/>
          <w:bCs/>
          <w:sz w:val="24"/>
          <w:szCs w:val="24"/>
        </w:rPr>
      </w:pPr>
      <w:r w:rsidRPr="006D325F">
        <w:rPr>
          <w:rFonts w:ascii="Times New Roman" w:eastAsia="Calibri" w:hAnsi="Times New Roman" w:cs="Times New Roman"/>
          <w:bCs/>
          <w:sz w:val="24"/>
          <w:szCs w:val="24"/>
        </w:rPr>
        <w:t xml:space="preserve">These results were consistent with </w:t>
      </w:r>
      <w:proofErr w:type="spellStart"/>
      <w:r w:rsidRPr="006D325F">
        <w:rPr>
          <w:rFonts w:ascii="Times New Roman" w:eastAsia="Calibri" w:hAnsi="Times New Roman" w:cs="Times New Roman"/>
          <w:bCs/>
          <w:sz w:val="24"/>
          <w:szCs w:val="24"/>
        </w:rPr>
        <w:t>Ziraba</w:t>
      </w:r>
      <w:proofErr w:type="spellEnd"/>
      <w:r w:rsidRPr="006D325F">
        <w:rPr>
          <w:rFonts w:ascii="Times New Roman" w:eastAsia="Calibri" w:hAnsi="Times New Roman" w:cs="Times New Roman"/>
          <w:bCs/>
          <w:sz w:val="24"/>
          <w:szCs w:val="24"/>
        </w:rPr>
        <w:t xml:space="preserve"> et al. (2016), who reported that in many African cities, public awareness of waste facilities was high but rarely supported by systematic education or enforcement. Instead, people often relied on social networks and personal observation, leading to shallow or partial understanding of waste segregation. Similarly, </w:t>
      </w:r>
      <w:proofErr w:type="spellStart"/>
      <w:r w:rsidRPr="006D325F">
        <w:rPr>
          <w:rFonts w:ascii="Times New Roman" w:eastAsia="Calibri" w:hAnsi="Times New Roman" w:cs="Times New Roman"/>
          <w:bCs/>
          <w:sz w:val="24"/>
          <w:szCs w:val="24"/>
        </w:rPr>
        <w:t>Gorobets</w:t>
      </w:r>
      <w:proofErr w:type="spellEnd"/>
      <w:r w:rsidRPr="006D325F">
        <w:rPr>
          <w:rFonts w:ascii="Times New Roman" w:eastAsia="Calibri" w:hAnsi="Times New Roman" w:cs="Times New Roman"/>
          <w:bCs/>
          <w:sz w:val="24"/>
          <w:szCs w:val="24"/>
        </w:rPr>
        <w:t xml:space="preserve"> (2019) argued that effective awareness-raising in Eastern Europe had required not just visibility of bins but also public campaigns, penalties, and incentives. In Soweto, however, such structured interventions appeared to be missing.</w:t>
      </w:r>
    </w:p>
    <w:p w14:paraId="72FA2893" w14:textId="77777777" w:rsidR="008E008F" w:rsidRPr="006D325F" w:rsidRDefault="008E008F" w:rsidP="008E008F">
      <w:pPr>
        <w:spacing w:line="360" w:lineRule="auto"/>
        <w:jc w:val="both"/>
        <w:rPr>
          <w:rFonts w:ascii="Times New Roman" w:eastAsia="Calibri" w:hAnsi="Times New Roman" w:cs="Times New Roman"/>
          <w:bCs/>
          <w:sz w:val="24"/>
          <w:szCs w:val="24"/>
        </w:rPr>
      </w:pPr>
      <w:r w:rsidRPr="006D325F">
        <w:rPr>
          <w:rFonts w:ascii="Times New Roman" w:eastAsia="Calibri" w:hAnsi="Times New Roman" w:cs="Times New Roman"/>
          <w:bCs/>
          <w:sz w:val="24"/>
          <w:szCs w:val="24"/>
        </w:rPr>
        <w:t xml:space="preserve">The study also found that traders understood the importance of segregated bins mainly in terms of cleanliness and disease prevention, especially cholera, which has historically affected Lusaka during rainy seasons. Few traders mentioned recycling or environmental sustainability, despite these being central goals of integrated solid waste management. This narrow understanding reflected the short-term concerns of traders who prioritized business hygiene over broader environmental goals. Similar patterns were reported in Ghana by </w:t>
      </w:r>
      <w:proofErr w:type="spellStart"/>
      <w:r w:rsidRPr="006D325F">
        <w:rPr>
          <w:rFonts w:ascii="Times New Roman" w:eastAsia="Calibri" w:hAnsi="Times New Roman" w:cs="Times New Roman"/>
          <w:bCs/>
          <w:sz w:val="24"/>
          <w:szCs w:val="24"/>
        </w:rPr>
        <w:t>Kubanza</w:t>
      </w:r>
      <w:proofErr w:type="spellEnd"/>
      <w:r w:rsidRPr="006D325F">
        <w:rPr>
          <w:rFonts w:ascii="Times New Roman" w:eastAsia="Calibri" w:hAnsi="Times New Roman" w:cs="Times New Roman"/>
          <w:bCs/>
          <w:sz w:val="24"/>
          <w:szCs w:val="24"/>
        </w:rPr>
        <w:t xml:space="preserve"> and </w:t>
      </w:r>
      <w:proofErr w:type="spellStart"/>
      <w:r w:rsidRPr="006D325F">
        <w:rPr>
          <w:rFonts w:ascii="Times New Roman" w:eastAsia="Calibri" w:hAnsi="Times New Roman" w:cs="Times New Roman"/>
          <w:bCs/>
          <w:sz w:val="24"/>
          <w:szCs w:val="24"/>
        </w:rPr>
        <w:t>Simatele</w:t>
      </w:r>
      <w:proofErr w:type="spellEnd"/>
      <w:r w:rsidRPr="006D325F">
        <w:rPr>
          <w:rFonts w:ascii="Times New Roman" w:eastAsia="Calibri" w:hAnsi="Times New Roman" w:cs="Times New Roman"/>
          <w:bCs/>
          <w:sz w:val="24"/>
          <w:szCs w:val="24"/>
        </w:rPr>
        <w:t xml:space="preserve"> (2020), who noted that households often saw waste management as a matter of sanitation rather than a shared responsibility for recycling and sustainability.</w:t>
      </w:r>
    </w:p>
    <w:p w14:paraId="01F3729D" w14:textId="77777777" w:rsidR="008E008F" w:rsidRPr="006D325F" w:rsidRDefault="008E008F" w:rsidP="008E008F">
      <w:pPr>
        <w:spacing w:line="360" w:lineRule="auto"/>
        <w:jc w:val="both"/>
        <w:rPr>
          <w:rFonts w:ascii="Times New Roman" w:eastAsia="Calibri" w:hAnsi="Times New Roman" w:cs="Times New Roman"/>
          <w:bCs/>
          <w:sz w:val="24"/>
          <w:szCs w:val="24"/>
        </w:rPr>
      </w:pPr>
      <w:r w:rsidRPr="006D325F">
        <w:rPr>
          <w:rFonts w:ascii="Times New Roman" w:eastAsia="Calibri" w:hAnsi="Times New Roman" w:cs="Times New Roman"/>
          <w:bCs/>
          <w:sz w:val="24"/>
          <w:szCs w:val="24"/>
        </w:rPr>
        <w:lastRenderedPageBreak/>
        <w:t xml:space="preserve">The findings further demonstrated a gap between awareness and actual usage. Although nearly all traders knew about the bins, only 22% reported that they “always” used them correctly. Many admitted that they sometimes ignored segregation rules due to convenience or time pressure when attending to customers. This awareness–practice gap aligned with Ajzen’s Theory of Planned Behaviour, which highlights that attitudes and knowledge alone are not enough to influence </w:t>
      </w:r>
      <w:proofErr w:type="spellStart"/>
      <w:r w:rsidRPr="006D325F">
        <w:rPr>
          <w:rFonts w:ascii="Times New Roman" w:eastAsia="Calibri" w:hAnsi="Times New Roman" w:cs="Times New Roman"/>
          <w:bCs/>
          <w:sz w:val="24"/>
          <w:szCs w:val="24"/>
        </w:rPr>
        <w:t>behavior</w:t>
      </w:r>
      <w:proofErr w:type="spellEnd"/>
      <w:r w:rsidRPr="006D325F">
        <w:rPr>
          <w:rFonts w:ascii="Times New Roman" w:eastAsia="Calibri" w:hAnsi="Times New Roman" w:cs="Times New Roman"/>
          <w:bCs/>
          <w:sz w:val="24"/>
          <w:szCs w:val="24"/>
        </w:rPr>
        <w:t>; perceived control and social norms also matter (Ajzen &amp; Fishbein, 2005). Traders’ positive attitudes were undermined by weak enforcement and lack of convenience, reducing their ability to act on what they knew.</w:t>
      </w:r>
    </w:p>
    <w:p w14:paraId="16954F87"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 xml:space="preserve">The study also highlighted that even when traders had positive attitudes towards cleanliness, their practices were heavily shaped by convenience. Many admitted that when the market was crowded or when they were busy with customers, they disposed of waste carelessly. Ajzen’s Theory of Planned Behaviour helps explain this by noting that positive attitudes alone are not enough to ensure action; perceived </w:t>
      </w:r>
      <w:proofErr w:type="spellStart"/>
      <w:r w:rsidRPr="00C832F8">
        <w:rPr>
          <w:rFonts w:ascii="Times New Roman" w:eastAsia="Calibri" w:hAnsi="Times New Roman" w:cs="Times New Roman"/>
          <w:bCs/>
          <w:sz w:val="24"/>
          <w:szCs w:val="24"/>
        </w:rPr>
        <w:t>behavioral</w:t>
      </w:r>
      <w:proofErr w:type="spellEnd"/>
      <w:r w:rsidRPr="00C832F8">
        <w:rPr>
          <w:rFonts w:ascii="Times New Roman" w:eastAsia="Calibri" w:hAnsi="Times New Roman" w:cs="Times New Roman"/>
          <w:bCs/>
          <w:sz w:val="24"/>
          <w:szCs w:val="24"/>
        </w:rPr>
        <w:t xml:space="preserve"> control and subjective norms also play a major role (Ajzen &amp; Fishbein, 2005). In Soweto Market, traders were often constrained by time, space, and inadequate infrastructure, which reduced their ability to consistently act on their intentions. This explained why awareness and attitudes did not always lead to proper waste segregation.</w:t>
      </w:r>
    </w:p>
    <w:p w14:paraId="7918B333" w14:textId="5983A85A" w:rsidR="008E008F" w:rsidRPr="00D31588" w:rsidRDefault="008E008F" w:rsidP="008E008F">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w:t>
      </w:r>
      <w:r w:rsidRPr="00C832F8">
        <w:rPr>
          <w:rFonts w:ascii="Times New Roman" w:eastAsia="Calibri" w:hAnsi="Times New Roman" w:cs="Times New Roman"/>
          <w:bCs/>
          <w:sz w:val="24"/>
          <w:szCs w:val="24"/>
        </w:rPr>
        <w:t xml:space="preserve">he findings revealed that social norms played a role in shaping practices. Several traders said they disposed of waste in the same manner as their peers. If </w:t>
      </w:r>
      <w:r w:rsidR="00A746DA" w:rsidRPr="00C832F8">
        <w:rPr>
          <w:rFonts w:ascii="Times New Roman" w:eastAsia="Calibri" w:hAnsi="Times New Roman" w:cs="Times New Roman"/>
          <w:bCs/>
          <w:sz w:val="24"/>
          <w:szCs w:val="24"/>
        </w:rPr>
        <w:t>neighbouring</w:t>
      </w:r>
      <w:r w:rsidRPr="00C832F8">
        <w:rPr>
          <w:rFonts w:ascii="Times New Roman" w:eastAsia="Calibri" w:hAnsi="Times New Roman" w:cs="Times New Roman"/>
          <w:bCs/>
          <w:sz w:val="24"/>
          <w:szCs w:val="24"/>
        </w:rPr>
        <w:t xml:space="preserve"> stalls ignored the bins, they often did the same. This collective </w:t>
      </w:r>
      <w:proofErr w:type="spellStart"/>
      <w:r w:rsidRPr="00C832F8">
        <w:rPr>
          <w:rFonts w:ascii="Times New Roman" w:eastAsia="Calibri" w:hAnsi="Times New Roman" w:cs="Times New Roman"/>
          <w:bCs/>
          <w:sz w:val="24"/>
          <w:szCs w:val="24"/>
        </w:rPr>
        <w:t>behavior</w:t>
      </w:r>
      <w:proofErr w:type="spellEnd"/>
      <w:r w:rsidRPr="00C832F8">
        <w:rPr>
          <w:rFonts w:ascii="Times New Roman" w:eastAsia="Calibri" w:hAnsi="Times New Roman" w:cs="Times New Roman"/>
          <w:bCs/>
          <w:sz w:val="24"/>
          <w:szCs w:val="24"/>
        </w:rPr>
        <w:t xml:space="preserve"> was consistent with Knutsson et al. (2021), who argued that perceptions and social pressures significantly influence waste </w:t>
      </w:r>
      <w:proofErr w:type="spellStart"/>
      <w:r w:rsidRPr="00C832F8">
        <w:rPr>
          <w:rFonts w:ascii="Times New Roman" w:eastAsia="Calibri" w:hAnsi="Times New Roman" w:cs="Times New Roman"/>
          <w:bCs/>
          <w:sz w:val="24"/>
          <w:szCs w:val="24"/>
        </w:rPr>
        <w:t>behavior</w:t>
      </w:r>
      <w:proofErr w:type="spellEnd"/>
      <w:r w:rsidRPr="00C832F8">
        <w:rPr>
          <w:rFonts w:ascii="Times New Roman" w:eastAsia="Calibri" w:hAnsi="Times New Roman" w:cs="Times New Roman"/>
          <w:bCs/>
          <w:sz w:val="24"/>
          <w:szCs w:val="24"/>
        </w:rPr>
        <w:t xml:space="preserve">. In Soweto, the lack of visible enforcement and weak community-based norms meant that even traders who were aware and willing to comply sometimes chose not to, simply because the dominant </w:t>
      </w:r>
      <w:proofErr w:type="spellStart"/>
      <w:r w:rsidRPr="00C832F8">
        <w:rPr>
          <w:rFonts w:ascii="Times New Roman" w:eastAsia="Calibri" w:hAnsi="Times New Roman" w:cs="Times New Roman"/>
          <w:bCs/>
          <w:sz w:val="24"/>
          <w:szCs w:val="24"/>
        </w:rPr>
        <w:t>behavior</w:t>
      </w:r>
      <w:proofErr w:type="spellEnd"/>
      <w:r w:rsidRPr="00C832F8">
        <w:rPr>
          <w:rFonts w:ascii="Times New Roman" w:eastAsia="Calibri" w:hAnsi="Times New Roman" w:cs="Times New Roman"/>
          <w:bCs/>
          <w:sz w:val="24"/>
          <w:szCs w:val="24"/>
        </w:rPr>
        <w:t xml:space="preserve"> around them was non-compliance.</w:t>
      </w:r>
    </w:p>
    <w:p w14:paraId="439F9E78"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 xml:space="preserve">The third objective investigated the measures that had been put in place by the Lusaka City Council (LCC) and Soweto Market management to support the use of segregated bins. The findings showed that legal and institutional frameworks existed, with LCC operating under the Local Government Act and municipal by-laws, while also collaborating with the Zambia Environmental Management Agency (ZEMA). These frameworks theoretically provided a solid foundation for effective waste management in the market. However, in practice, their implementation was constrained by financial, infrastructural, and social challenges. This mirrored </w:t>
      </w:r>
      <w:proofErr w:type="spellStart"/>
      <w:r w:rsidRPr="00C832F8">
        <w:rPr>
          <w:rFonts w:ascii="Times New Roman" w:eastAsia="Calibri" w:hAnsi="Times New Roman" w:cs="Times New Roman"/>
          <w:bCs/>
          <w:sz w:val="24"/>
          <w:szCs w:val="24"/>
        </w:rPr>
        <w:t>Olukoju’s</w:t>
      </w:r>
      <w:proofErr w:type="spellEnd"/>
      <w:r w:rsidRPr="00C832F8">
        <w:rPr>
          <w:rFonts w:ascii="Times New Roman" w:eastAsia="Calibri" w:hAnsi="Times New Roman" w:cs="Times New Roman"/>
          <w:bCs/>
          <w:sz w:val="24"/>
          <w:szCs w:val="24"/>
        </w:rPr>
        <w:t xml:space="preserve"> (2018) observation that in many African cities, the presence of legal </w:t>
      </w:r>
      <w:r w:rsidRPr="00C832F8">
        <w:rPr>
          <w:rFonts w:ascii="Times New Roman" w:eastAsia="Calibri" w:hAnsi="Times New Roman" w:cs="Times New Roman"/>
          <w:bCs/>
          <w:sz w:val="24"/>
          <w:szCs w:val="24"/>
        </w:rPr>
        <w:lastRenderedPageBreak/>
        <w:t>frameworks does not necessarily translate into effective service delivery because of gaps in funding, governance, and enforcement.</w:t>
      </w:r>
    </w:p>
    <w:p w14:paraId="5D8F2DA5"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Funding emerged as the most significant barrier to effective implementation of waste management measures. Council officials reported that operations were heavily dependent on grants from central government, which were often inadequate to meet the needs of large and busy markets like Soweto. This finding was consistent with World Bank (2020), which highlighted that in low-income countries, the cost of solid waste management is expected to double in the next two decades, placing immense financial pressure on municipal authorities. In Soweto Market, insufficient funding resulted in fewer trucks, delayed garbage collection, and limited provision of bins. As one official explained during interviews, even when policies existed, they were “difficult to enforce because of lack of resources.” This confirmed that financial sustainability remains the backbone of solid waste management, and without adequate investment, even the strongest legal provisions would be ineffective.</w:t>
      </w:r>
    </w:p>
    <w:p w14:paraId="6CF2B16C" w14:textId="57F7C421" w:rsidR="008E008F" w:rsidRPr="00C832F8" w:rsidRDefault="008E008F" w:rsidP="00E74A02">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 xml:space="preserve">The findings also revealed that infrastructural gaps limited the effectiveness of existing measures. Both council officials and traders acknowledged that bins and collection trucks were inadequate for the volume of waste generated daily at Soweto Market. This situation resulted in overflow, spillage, and further illegal dumping. </w:t>
      </w:r>
      <w:proofErr w:type="spellStart"/>
      <w:r w:rsidRPr="00C832F8">
        <w:rPr>
          <w:rFonts w:ascii="Times New Roman" w:eastAsia="Calibri" w:hAnsi="Times New Roman" w:cs="Times New Roman"/>
          <w:bCs/>
          <w:sz w:val="24"/>
          <w:szCs w:val="24"/>
        </w:rPr>
        <w:t>Ziraba</w:t>
      </w:r>
      <w:proofErr w:type="spellEnd"/>
      <w:r w:rsidRPr="00C832F8">
        <w:rPr>
          <w:rFonts w:ascii="Times New Roman" w:eastAsia="Calibri" w:hAnsi="Times New Roman" w:cs="Times New Roman"/>
          <w:bCs/>
          <w:sz w:val="24"/>
          <w:szCs w:val="24"/>
        </w:rPr>
        <w:t xml:space="preserve"> et al. (2016) emphasized that inadequate infrastructure is a common weakness in waste management systems in Sub-Saharan Africa, leading to health hazards such as cholera outbreaks and environmental degradation. At Soweto, despite the presence of policies and collaboration with ZEMA, the lack of sufficient infrastructure created a visible disconnect between what was planned and what was achieved. </w:t>
      </w:r>
    </w:p>
    <w:p w14:paraId="4782DA2F" w14:textId="4AA9ECAF" w:rsidR="008E008F" w:rsidRDefault="008E008F" w:rsidP="008E008F">
      <w:pPr>
        <w:spacing w:line="360" w:lineRule="auto"/>
        <w:jc w:val="both"/>
        <w:rPr>
          <w:rFonts w:ascii="Times New Roman" w:eastAsia="Calibri" w:hAnsi="Times New Roman" w:cs="Times New Roman"/>
          <w:b/>
          <w:sz w:val="24"/>
          <w:szCs w:val="24"/>
        </w:rPr>
      </w:pPr>
      <w:r>
        <w:rPr>
          <w:rFonts w:ascii="Times New Roman" w:eastAsia="Calibri" w:hAnsi="Times New Roman" w:cs="Times New Roman"/>
          <w:bCs/>
          <w:sz w:val="24"/>
          <w:szCs w:val="24"/>
        </w:rPr>
        <w:t>T</w:t>
      </w:r>
      <w:r w:rsidRPr="00C832F8">
        <w:rPr>
          <w:rFonts w:ascii="Times New Roman" w:eastAsia="Calibri" w:hAnsi="Times New Roman" w:cs="Times New Roman"/>
          <w:bCs/>
          <w:sz w:val="24"/>
          <w:szCs w:val="24"/>
        </w:rPr>
        <w:t xml:space="preserve">he discussion of Objective 3 revealed that while LCC and market management had established legal frameworks and some institutional measures to support waste segregation, these were undermined by chronic funding shortages, infrastructural limitations, and low trader cooperation. The findings aligned with both global and regional literature that emphasized governance, financing, and community ownership as critical to effective waste management (World Bank, 2020; </w:t>
      </w:r>
      <w:proofErr w:type="spellStart"/>
      <w:r w:rsidRPr="00C832F8">
        <w:rPr>
          <w:rFonts w:ascii="Times New Roman" w:eastAsia="Calibri" w:hAnsi="Times New Roman" w:cs="Times New Roman"/>
          <w:bCs/>
          <w:sz w:val="24"/>
          <w:szCs w:val="24"/>
        </w:rPr>
        <w:t>Ziraba</w:t>
      </w:r>
      <w:proofErr w:type="spellEnd"/>
      <w:r w:rsidRPr="00C832F8">
        <w:rPr>
          <w:rFonts w:ascii="Times New Roman" w:eastAsia="Calibri" w:hAnsi="Times New Roman" w:cs="Times New Roman"/>
          <w:bCs/>
          <w:sz w:val="24"/>
          <w:szCs w:val="24"/>
        </w:rPr>
        <w:t xml:space="preserve"> et al., 2016; </w:t>
      </w:r>
      <w:proofErr w:type="spellStart"/>
      <w:r w:rsidRPr="00C832F8">
        <w:rPr>
          <w:rFonts w:ascii="Times New Roman" w:eastAsia="Calibri" w:hAnsi="Times New Roman" w:cs="Times New Roman"/>
          <w:bCs/>
          <w:sz w:val="24"/>
          <w:szCs w:val="24"/>
        </w:rPr>
        <w:t>Olukoju</w:t>
      </w:r>
      <w:proofErr w:type="spellEnd"/>
      <w:r w:rsidRPr="00C832F8">
        <w:rPr>
          <w:rFonts w:ascii="Times New Roman" w:eastAsia="Calibri" w:hAnsi="Times New Roman" w:cs="Times New Roman"/>
          <w:bCs/>
          <w:sz w:val="24"/>
          <w:szCs w:val="24"/>
        </w:rPr>
        <w:t>, 2018). Theories such as Public Goods Theory and Systems Theory helped explain why well-designed frameworks failed in practice: the collective nature of waste management encouraged dependency, while systemic weaknesses in infrastructure disrupted the entire process. The results pointed to the need for integrated approaches that combine adequate funding, stakeholder participation, and education in order to achieve long-term sustainability in waste management at Soweto Market.</w:t>
      </w:r>
    </w:p>
    <w:p w14:paraId="4B304958" w14:textId="091FAAA2" w:rsidR="008E008F" w:rsidRPr="00C832F8" w:rsidRDefault="008E008F" w:rsidP="008E008F">
      <w:pPr>
        <w:pStyle w:val="Heading1"/>
      </w:pPr>
      <w:bookmarkStart w:id="56" w:name="_Toc209708344"/>
      <w:r>
        <w:lastRenderedPageBreak/>
        <w:t>CONCLUSION A</w:t>
      </w:r>
      <w:r w:rsidR="000F170A">
        <w:t>ND</w:t>
      </w:r>
      <w:r>
        <w:t xml:space="preserve"> RECOMMENDATIONS</w:t>
      </w:r>
      <w:bookmarkEnd w:id="56"/>
    </w:p>
    <w:p w14:paraId="167A95EE" w14:textId="77777777" w:rsidR="008E008F" w:rsidRPr="00C832F8" w:rsidRDefault="008E008F" w:rsidP="008E008F">
      <w:pPr>
        <w:pStyle w:val="Heading2"/>
      </w:pPr>
      <w:bookmarkStart w:id="57" w:name="_Toc209708345"/>
      <w:r w:rsidRPr="00C832F8">
        <w:t>6.</w:t>
      </w:r>
      <w:r>
        <w:t>0</w:t>
      </w:r>
      <w:r w:rsidRPr="00C832F8">
        <w:t xml:space="preserve"> Conclusion</w:t>
      </w:r>
      <w:bookmarkEnd w:id="57"/>
    </w:p>
    <w:p w14:paraId="77D69796"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The first objective assessed the awareness of marketeers on the presence of segregated bins and their importance. The study concluded that awareness levels were generally high, with 96% of respondents acknowledging knowledge of bins designated for plastics, glass, and compost. However, this awareness was largely informal and shallow, often gained through observation rather than structured sensitization by LCC or ZEMA. Traders understood the bins mainly in relation to cleanliness and disease prevention, particularly cholera, but had limited appreciation for recycling or environmental sustainability. Furthermore, the study highlighted a gap between awareness and practice, as many traders admitted that they did not consistently use the bins due to convenience, workload, or lack of enforcement.</w:t>
      </w:r>
    </w:p>
    <w:p w14:paraId="7E82444F" w14:textId="77777777" w:rsidR="008E008F"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The second objective examined attitudes and practices of marketeers towards segregated bins. The study concluded that traders generally held positive attitudes towards cleanliness and acknowledged the usefulness of bins. However, attitudes towards responsibility and payment for waste services were mixed. Many traders expected LCC to carry the full responsibility because they already paid market levies, reflecting a dependency mindset. Practices were inconsistent, with a significant number of traders engaging in illegal dumping or careless disposal, particularly when bins were full or located far from their stalls. Socioeconomic status was also found to influence practices, as low-income traders were less willing or able to pay for collection services. These findings revealed that while attitudes were positive in principle, practices were constrained by poverty, weak enforcement, and limited ownership of waste management responsibilities.</w:t>
      </w:r>
    </w:p>
    <w:p w14:paraId="66837D6A" w14:textId="0B8A6180"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 xml:space="preserve">The third objective </w:t>
      </w:r>
      <w:r w:rsidR="00C22E54">
        <w:rPr>
          <w:rFonts w:ascii="Times New Roman" w:eastAsia="Calibri" w:hAnsi="Times New Roman" w:cs="Times New Roman"/>
          <w:bCs/>
          <w:sz w:val="24"/>
          <w:szCs w:val="24"/>
        </w:rPr>
        <w:t>Describe</w:t>
      </w:r>
      <w:r w:rsidRPr="00C832F8">
        <w:rPr>
          <w:rFonts w:ascii="Times New Roman" w:eastAsia="Calibri" w:hAnsi="Times New Roman" w:cs="Times New Roman"/>
          <w:bCs/>
          <w:sz w:val="24"/>
          <w:szCs w:val="24"/>
        </w:rPr>
        <w:t xml:space="preserve"> measures put in place by LCC and market management. The study concluded that while legal frameworks such as the Local Government Act and environmental by-laws were in place, their effectiveness was undermined by chronic funding shortages, inadequate infrastructure, and low compliance from traders. Council officials admitted that insufficient resources limited the frequency of garbage collection and the provision of bins. Traders acknowledged the presence of regulations but argued that services were not adequate, leading to poor cooperation. However, traders suggested practical solutions such as reducing collection fees, providing more bins, engaging private contractors, and increasing sensitization campaigns. These findings suggested that institutional frameworks alone were insufficient; </w:t>
      </w:r>
      <w:r w:rsidRPr="00C832F8">
        <w:rPr>
          <w:rFonts w:ascii="Times New Roman" w:eastAsia="Calibri" w:hAnsi="Times New Roman" w:cs="Times New Roman"/>
          <w:bCs/>
          <w:sz w:val="24"/>
          <w:szCs w:val="24"/>
        </w:rPr>
        <w:lastRenderedPageBreak/>
        <w:t>implementation required stronger collaboration between authorities and traders, adequate funding, and infrastructural support.</w:t>
      </w:r>
    </w:p>
    <w:p w14:paraId="5D6F28F1" w14:textId="77777777" w:rsidR="008E008F" w:rsidRPr="00C832F8" w:rsidRDefault="008E008F" w:rsidP="008E008F">
      <w:pPr>
        <w:pStyle w:val="Heading2"/>
      </w:pPr>
      <w:bookmarkStart w:id="58" w:name="_Toc209708346"/>
      <w:r w:rsidRPr="00C832F8">
        <w:t>6.</w:t>
      </w:r>
      <w:r>
        <w:t>1</w:t>
      </w:r>
      <w:r w:rsidRPr="00C832F8">
        <w:t xml:space="preserve"> Recommendations</w:t>
      </w:r>
      <w:bookmarkEnd w:id="58"/>
    </w:p>
    <w:p w14:paraId="0C8292CD"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Based on the study’s findings, the following recommendations are made:</w:t>
      </w:r>
    </w:p>
    <w:p w14:paraId="08466F82" w14:textId="77777777" w:rsidR="008E008F" w:rsidRPr="00C832F8" w:rsidRDefault="008E008F" w:rsidP="008E008F">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Strengthen Sensitization and Education Campaigns</w:t>
      </w:r>
      <w:r w:rsidRPr="00C832F8">
        <w:rPr>
          <w:rFonts w:ascii="Times New Roman" w:eastAsia="Calibri" w:hAnsi="Times New Roman" w:cs="Times New Roman"/>
          <w:bCs/>
          <w:sz w:val="24"/>
          <w:szCs w:val="24"/>
        </w:rPr>
        <w:t>: LCC and ZEMA should implement regular awareness campaigns targeting traders at Soweto Market. These should not only focus on cleanliness but also on the importance of recycling and environmental sustainability.</w:t>
      </w:r>
    </w:p>
    <w:p w14:paraId="11308813" w14:textId="77777777" w:rsidR="008E008F" w:rsidRPr="00C832F8" w:rsidRDefault="008E008F" w:rsidP="008E008F">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Enhance Community Participation</w:t>
      </w:r>
      <w:r w:rsidRPr="00C832F8">
        <w:rPr>
          <w:rFonts w:ascii="Times New Roman" w:eastAsia="Calibri" w:hAnsi="Times New Roman" w:cs="Times New Roman"/>
          <w:bCs/>
          <w:sz w:val="24"/>
          <w:szCs w:val="24"/>
        </w:rPr>
        <w:t>: Waste management should be reframed as a shared responsibility. Establishing community waste management committees within Soweto Market can increase ownership and improve compliance.</w:t>
      </w:r>
    </w:p>
    <w:p w14:paraId="0DE0FD13" w14:textId="77777777" w:rsidR="008E008F" w:rsidRPr="00C832F8" w:rsidRDefault="008E008F" w:rsidP="008E008F">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Improve Infrastructure and Accessibility of Bins</w:t>
      </w:r>
      <w:r w:rsidRPr="00C832F8">
        <w:rPr>
          <w:rFonts w:ascii="Times New Roman" w:eastAsia="Calibri" w:hAnsi="Times New Roman" w:cs="Times New Roman"/>
          <w:bCs/>
          <w:sz w:val="24"/>
          <w:szCs w:val="24"/>
        </w:rPr>
        <w:t xml:space="preserve">: More bins should be provided in strategic areas of the market to reduce illegal dumping and spillage. The bins should be clearly </w:t>
      </w:r>
      <w:proofErr w:type="spellStart"/>
      <w:r w:rsidRPr="00C832F8">
        <w:rPr>
          <w:rFonts w:ascii="Times New Roman" w:eastAsia="Calibri" w:hAnsi="Times New Roman" w:cs="Times New Roman"/>
          <w:bCs/>
          <w:sz w:val="24"/>
          <w:szCs w:val="24"/>
        </w:rPr>
        <w:t>labeled</w:t>
      </w:r>
      <w:proofErr w:type="spellEnd"/>
      <w:r w:rsidRPr="00C832F8">
        <w:rPr>
          <w:rFonts w:ascii="Times New Roman" w:eastAsia="Calibri" w:hAnsi="Times New Roman" w:cs="Times New Roman"/>
          <w:bCs/>
          <w:sz w:val="24"/>
          <w:szCs w:val="24"/>
        </w:rPr>
        <w:t xml:space="preserve"> and conveniently placed near trading stalls.</w:t>
      </w:r>
    </w:p>
    <w:p w14:paraId="0B596FE9" w14:textId="77777777" w:rsidR="008E008F" w:rsidRPr="00C832F8" w:rsidRDefault="008E008F" w:rsidP="008E008F">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Ensure Financial Sustainability</w:t>
      </w:r>
      <w:r w:rsidRPr="00C832F8">
        <w:rPr>
          <w:rFonts w:ascii="Times New Roman" w:eastAsia="Calibri" w:hAnsi="Times New Roman" w:cs="Times New Roman"/>
          <w:bCs/>
          <w:sz w:val="24"/>
          <w:szCs w:val="24"/>
        </w:rPr>
        <w:t>: LCC should review its collection fees to balance affordability with service quality. Subsidies or flexible payment systems could be introduced for low-income traders to encourage compliance.</w:t>
      </w:r>
    </w:p>
    <w:p w14:paraId="0127055B" w14:textId="77777777" w:rsidR="008E008F" w:rsidRPr="00C832F8" w:rsidRDefault="008E008F" w:rsidP="008E008F">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Strengthen Enforcement and Monitoring</w:t>
      </w:r>
      <w:r w:rsidRPr="00C832F8">
        <w:rPr>
          <w:rFonts w:ascii="Times New Roman" w:eastAsia="Calibri" w:hAnsi="Times New Roman" w:cs="Times New Roman"/>
          <w:bCs/>
          <w:sz w:val="24"/>
          <w:szCs w:val="24"/>
        </w:rPr>
        <w:t>: While education should be the first strategy, enforcement mechanisms must also be strengthened. LCC should increase monitoring and penalties for persistent illegal dumping, while ensuring fair enforcement.</w:t>
      </w:r>
    </w:p>
    <w:p w14:paraId="7359CB6A" w14:textId="145CC11D" w:rsidR="008E008F" w:rsidRPr="00E06DBC" w:rsidRDefault="008E008F" w:rsidP="00E06DBC">
      <w:pPr>
        <w:numPr>
          <w:ilvl w:val="0"/>
          <w:numId w:val="45"/>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
          <w:bCs/>
          <w:sz w:val="24"/>
          <w:szCs w:val="24"/>
        </w:rPr>
        <w:t>Leverage Private Sector Partnerships</w:t>
      </w:r>
      <w:r w:rsidRPr="00C832F8">
        <w:rPr>
          <w:rFonts w:ascii="Times New Roman" w:eastAsia="Calibri" w:hAnsi="Times New Roman" w:cs="Times New Roman"/>
          <w:bCs/>
          <w:sz w:val="24"/>
          <w:szCs w:val="24"/>
        </w:rPr>
        <w:t>: LCC should consider subcontracting waste management services to private companies to increase efficiency, particularly in large and busy markets like Soweto.</w:t>
      </w:r>
    </w:p>
    <w:p w14:paraId="56DD93D9" w14:textId="77777777" w:rsidR="008E008F" w:rsidRPr="00C832F8" w:rsidRDefault="008E008F" w:rsidP="008E008F">
      <w:pPr>
        <w:pStyle w:val="Heading2"/>
      </w:pPr>
      <w:bookmarkStart w:id="59" w:name="_Toc209708348"/>
      <w:r w:rsidRPr="00C832F8">
        <w:t>6.</w:t>
      </w:r>
      <w:r>
        <w:t>3</w:t>
      </w:r>
      <w:r w:rsidRPr="00C832F8">
        <w:t xml:space="preserve"> Areas for Further Studies</w:t>
      </w:r>
      <w:bookmarkEnd w:id="59"/>
    </w:p>
    <w:p w14:paraId="0D7DCCDE" w14:textId="77777777" w:rsidR="008E008F" w:rsidRPr="00C832F8" w:rsidRDefault="008E008F" w:rsidP="008E008F">
      <w:p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Future research should consider the following areas:</w:t>
      </w:r>
    </w:p>
    <w:p w14:paraId="2E291CBE" w14:textId="77777777" w:rsidR="008E008F" w:rsidRPr="00C832F8" w:rsidRDefault="008E008F" w:rsidP="008E008F">
      <w:pPr>
        <w:numPr>
          <w:ilvl w:val="0"/>
          <w:numId w:val="46"/>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 xml:space="preserve">A comparative study of waste management practices across multiple markets in Lusaka or other urban </w:t>
      </w:r>
      <w:proofErr w:type="spellStart"/>
      <w:r w:rsidRPr="00C832F8">
        <w:rPr>
          <w:rFonts w:ascii="Times New Roman" w:eastAsia="Calibri" w:hAnsi="Times New Roman" w:cs="Times New Roman"/>
          <w:bCs/>
          <w:sz w:val="24"/>
          <w:szCs w:val="24"/>
        </w:rPr>
        <w:t>centers</w:t>
      </w:r>
      <w:proofErr w:type="spellEnd"/>
      <w:r w:rsidRPr="00C832F8">
        <w:rPr>
          <w:rFonts w:ascii="Times New Roman" w:eastAsia="Calibri" w:hAnsi="Times New Roman" w:cs="Times New Roman"/>
          <w:bCs/>
          <w:sz w:val="24"/>
          <w:szCs w:val="24"/>
        </w:rPr>
        <w:t xml:space="preserve"> in Zambia.</w:t>
      </w:r>
    </w:p>
    <w:p w14:paraId="7A40726C" w14:textId="77777777" w:rsidR="008E008F" w:rsidRPr="00C832F8" w:rsidRDefault="008E008F" w:rsidP="008E008F">
      <w:pPr>
        <w:numPr>
          <w:ilvl w:val="0"/>
          <w:numId w:val="46"/>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lastRenderedPageBreak/>
        <w:t>A quantitative assessment of waste volumes, categories, and the efficiency of segregated bin usage.</w:t>
      </w:r>
    </w:p>
    <w:p w14:paraId="15728B6E" w14:textId="77777777" w:rsidR="008E008F" w:rsidRPr="00C832F8" w:rsidRDefault="008E008F" w:rsidP="008E008F">
      <w:pPr>
        <w:numPr>
          <w:ilvl w:val="0"/>
          <w:numId w:val="46"/>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A longitudinal study to evaluate changes in awareness, attitudes, and practices after implementation of sensitization programs.</w:t>
      </w:r>
    </w:p>
    <w:p w14:paraId="665BA78B" w14:textId="77777777" w:rsidR="008E008F" w:rsidRPr="00C832F8" w:rsidRDefault="008E008F" w:rsidP="008E008F">
      <w:pPr>
        <w:numPr>
          <w:ilvl w:val="0"/>
          <w:numId w:val="46"/>
        </w:numPr>
        <w:spacing w:line="360" w:lineRule="auto"/>
        <w:jc w:val="both"/>
        <w:rPr>
          <w:rFonts w:ascii="Times New Roman" w:eastAsia="Calibri" w:hAnsi="Times New Roman" w:cs="Times New Roman"/>
          <w:bCs/>
          <w:sz w:val="24"/>
          <w:szCs w:val="24"/>
        </w:rPr>
      </w:pPr>
      <w:r w:rsidRPr="00C832F8">
        <w:rPr>
          <w:rFonts w:ascii="Times New Roman" w:eastAsia="Calibri" w:hAnsi="Times New Roman" w:cs="Times New Roman"/>
          <w:bCs/>
          <w:sz w:val="24"/>
          <w:szCs w:val="24"/>
        </w:rPr>
        <w:t>An exploration of the role of informal waste pickers in supporting recycling and how they can be integrated into formal waste management systems.</w:t>
      </w:r>
    </w:p>
    <w:p w14:paraId="36924D82" w14:textId="628A4B32" w:rsidR="0046717A" w:rsidRDefault="008E008F" w:rsidP="0046717A">
      <w:pPr>
        <w:numPr>
          <w:ilvl w:val="0"/>
          <w:numId w:val="46"/>
        </w:numPr>
        <w:spacing w:line="360" w:lineRule="auto"/>
        <w:jc w:val="both"/>
        <w:rPr>
          <w:rFonts w:ascii="Times New Roman" w:eastAsia="Calibri" w:hAnsi="Times New Roman" w:cs="Times New Roman"/>
          <w:bCs/>
          <w:sz w:val="24"/>
          <w:szCs w:val="24"/>
        </w:rPr>
      </w:pPr>
      <w:r w:rsidRPr="00A14874">
        <w:rPr>
          <w:rFonts w:ascii="Times New Roman" w:eastAsia="Calibri" w:hAnsi="Times New Roman" w:cs="Times New Roman"/>
          <w:bCs/>
          <w:sz w:val="24"/>
          <w:szCs w:val="24"/>
        </w:rPr>
        <w:t>Policy-focused studies assessing how national-level waste management regulations can be aligned with local realities in markets such as Soweto.</w:t>
      </w:r>
    </w:p>
    <w:p w14:paraId="6E73ACCE" w14:textId="0DFD0180" w:rsidR="008331B4" w:rsidRDefault="008331B4" w:rsidP="008331B4">
      <w:pPr>
        <w:spacing w:line="360" w:lineRule="auto"/>
        <w:jc w:val="both"/>
        <w:rPr>
          <w:rFonts w:ascii="Times New Roman" w:eastAsia="Calibri" w:hAnsi="Times New Roman" w:cs="Times New Roman"/>
          <w:bCs/>
          <w:sz w:val="24"/>
          <w:szCs w:val="24"/>
        </w:rPr>
      </w:pPr>
    </w:p>
    <w:p w14:paraId="2E9F5358" w14:textId="03CD23F8" w:rsidR="008331B4" w:rsidRPr="008331B4" w:rsidRDefault="008331B4" w:rsidP="008331B4">
      <w:pPr>
        <w:spacing w:line="360" w:lineRule="auto"/>
        <w:jc w:val="both"/>
        <w:rPr>
          <w:rFonts w:ascii="Times New Roman" w:eastAsia="Calibri" w:hAnsi="Times New Roman" w:cs="Times New Roman"/>
          <w:b/>
          <w:bCs/>
          <w:sz w:val="24"/>
          <w:szCs w:val="24"/>
        </w:rPr>
      </w:pPr>
      <w:r w:rsidRPr="008331B4">
        <w:rPr>
          <w:rFonts w:ascii="Times New Roman" w:eastAsia="Calibri" w:hAnsi="Times New Roman" w:cs="Times New Roman"/>
          <w:b/>
          <w:bCs/>
          <w:sz w:val="24"/>
          <w:szCs w:val="24"/>
        </w:rPr>
        <w:t>Ethical Considerations</w:t>
      </w:r>
      <w:r w:rsidRPr="008331B4">
        <w:rPr>
          <w:rFonts w:ascii="Times New Roman" w:eastAsia="Calibri" w:hAnsi="Times New Roman" w:cs="Times New Roman"/>
          <w:b/>
          <w:bCs/>
          <w:sz w:val="24"/>
          <w:szCs w:val="24"/>
        </w:rPr>
        <w:t xml:space="preserve"> and consent</w:t>
      </w:r>
    </w:p>
    <w:p w14:paraId="3E2F37C8" w14:textId="314D11CA" w:rsidR="008331B4" w:rsidRDefault="008331B4" w:rsidP="008331B4">
      <w:pPr>
        <w:spacing w:line="360" w:lineRule="auto"/>
        <w:jc w:val="both"/>
        <w:rPr>
          <w:rFonts w:ascii="Times New Roman" w:eastAsia="Calibri" w:hAnsi="Times New Roman" w:cs="Times New Roman"/>
          <w:bCs/>
          <w:sz w:val="24"/>
          <w:szCs w:val="24"/>
        </w:rPr>
      </w:pPr>
      <w:r w:rsidRPr="008331B4">
        <w:rPr>
          <w:rFonts w:ascii="Times New Roman" w:eastAsia="Calibri" w:hAnsi="Times New Roman" w:cs="Times New Roman"/>
          <w:bCs/>
          <w:sz w:val="24"/>
          <w:szCs w:val="24"/>
        </w:rPr>
        <w:t xml:space="preserve">The study received ethical clearance from the </w:t>
      </w:r>
      <w:proofErr w:type="spellStart"/>
      <w:r w:rsidRPr="008331B4">
        <w:rPr>
          <w:rFonts w:ascii="Times New Roman" w:eastAsia="Calibri" w:hAnsi="Times New Roman" w:cs="Times New Roman"/>
          <w:bCs/>
          <w:sz w:val="24"/>
          <w:szCs w:val="24"/>
        </w:rPr>
        <w:t>Chreso</w:t>
      </w:r>
      <w:proofErr w:type="spellEnd"/>
      <w:r w:rsidRPr="008331B4">
        <w:rPr>
          <w:rFonts w:ascii="Times New Roman" w:eastAsia="Calibri" w:hAnsi="Times New Roman" w:cs="Times New Roman"/>
          <w:bCs/>
          <w:sz w:val="24"/>
          <w:szCs w:val="24"/>
        </w:rPr>
        <w:t xml:space="preserve"> University Research Ethics Committee (CUREC). Informed consent was obtained from all participants through written or verbal agreement after they were given information sheets. Participants were assured of confidentiality, anonymity, and voluntary participation, with the freedom to withdraw at any time. Data was reported honestly, and no manipulation or misrepresentation was done.</w:t>
      </w:r>
    </w:p>
    <w:p w14:paraId="6A591FB2" w14:textId="77777777" w:rsidR="008331B4" w:rsidRPr="008331B4" w:rsidRDefault="008331B4" w:rsidP="001C0088">
      <w:pPr>
        <w:pStyle w:val="ListParagraph"/>
        <w:rPr>
          <w:b/>
        </w:rPr>
      </w:pPr>
    </w:p>
    <w:p w14:paraId="355E8E3A" w14:textId="364E066C" w:rsidR="00907C6A" w:rsidRPr="008331B4" w:rsidRDefault="00907C6A" w:rsidP="00907C6A">
      <w:pPr>
        <w:pStyle w:val="ListParagraph"/>
        <w:numPr>
          <w:ilvl w:val="0"/>
          <w:numId w:val="46"/>
        </w:numPr>
        <w:rPr>
          <w:b/>
        </w:rPr>
      </w:pPr>
      <w:r w:rsidRPr="008331B4">
        <w:rPr>
          <w:b/>
        </w:rPr>
        <w:t>Disclaimer (Artificial intelligence)</w:t>
      </w:r>
    </w:p>
    <w:p w14:paraId="07831214" w14:textId="77777777" w:rsidR="00907C6A" w:rsidRDefault="00907C6A" w:rsidP="00907C6A">
      <w:pPr>
        <w:pStyle w:val="ListParagraph"/>
        <w:numPr>
          <w:ilvl w:val="0"/>
          <w:numId w:val="46"/>
        </w:numPr>
      </w:pPr>
      <w:r>
        <w:t xml:space="preserve">Option 1: </w:t>
      </w:r>
    </w:p>
    <w:p w14:paraId="4A5935EC" w14:textId="77777777" w:rsidR="00907C6A" w:rsidRDefault="00907C6A" w:rsidP="00907C6A">
      <w:pPr>
        <w:pStyle w:val="ListParagraph"/>
        <w:numPr>
          <w:ilvl w:val="0"/>
          <w:numId w:val="46"/>
        </w:num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768276" w14:textId="77777777" w:rsidR="00907C6A" w:rsidRDefault="00907C6A" w:rsidP="00907C6A">
      <w:pPr>
        <w:pStyle w:val="ListParagraph"/>
        <w:numPr>
          <w:ilvl w:val="0"/>
          <w:numId w:val="46"/>
        </w:numPr>
      </w:pPr>
      <w:r>
        <w:t xml:space="preserve">Option 2: </w:t>
      </w:r>
    </w:p>
    <w:p w14:paraId="6C77E000" w14:textId="77777777" w:rsidR="00907C6A" w:rsidRDefault="00907C6A" w:rsidP="00907C6A">
      <w:pPr>
        <w:pStyle w:val="ListParagraph"/>
        <w:numPr>
          <w:ilvl w:val="0"/>
          <w:numId w:val="46"/>
        </w:numPr>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D958DC" w14:textId="77777777" w:rsidR="00907C6A" w:rsidRDefault="00907C6A" w:rsidP="00907C6A">
      <w:pPr>
        <w:pStyle w:val="ListParagraph"/>
        <w:numPr>
          <w:ilvl w:val="0"/>
          <w:numId w:val="46"/>
        </w:numPr>
      </w:pPr>
      <w:r>
        <w:t>Details of the AI usage are given below:</w:t>
      </w:r>
    </w:p>
    <w:p w14:paraId="2632C950" w14:textId="77777777" w:rsidR="00907C6A" w:rsidRDefault="00907C6A" w:rsidP="00907C6A">
      <w:pPr>
        <w:pStyle w:val="ListParagraph"/>
        <w:numPr>
          <w:ilvl w:val="0"/>
          <w:numId w:val="46"/>
        </w:numPr>
      </w:pPr>
      <w:r>
        <w:t>1.</w:t>
      </w:r>
    </w:p>
    <w:p w14:paraId="0561D04B" w14:textId="77777777" w:rsidR="00907C6A" w:rsidRDefault="00907C6A" w:rsidP="00907C6A">
      <w:pPr>
        <w:pStyle w:val="ListParagraph"/>
        <w:numPr>
          <w:ilvl w:val="0"/>
          <w:numId w:val="46"/>
        </w:numPr>
      </w:pPr>
      <w:r>
        <w:t>2.</w:t>
      </w:r>
    </w:p>
    <w:p w14:paraId="148072A3" w14:textId="77777777" w:rsidR="00907C6A" w:rsidRPr="00D047BB" w:rsidRDefault="00907C6A" w:rsidP="00907C6A">
      <w:pPr>
        <w:pStyle w:val="ListParagraph"/>
        <w:numPr>
          <w:ilvl w:val="0"/>
          <w:numId w:val="46"/>
        </w:numPr>
      </w:pPr>
      <w:r>
        <w:t>3.</w:t>
      </w:r>
    </w:p>
    <w:p w14:paraId="1EBAA332" w14:textId="77777777" w:rsidR="00907C6A" w:rsidRPr="0063354D" w:rsidRDefault="00907C6A" w:rsidP="00907C6A">
      <w:pPr>
        <w:pStyle w:val="ListParagraph"/>
        <w:numPr>
          <w:ilvl w:val="0"/>
          <w:numId w:val="46"/>
        </w:numPr>
      </w:pPr>
    </w:p>
    <w:p w14:paraId="79136FAE" w14:textId="77777777" w:rsidR="00907C6A" w:rsidRPr="00F7241A" w:rsidRDefault="00907C6A" w:rsidP="00907C6A">
      <w:pPr>
        <w:pStyle w:val="ListParagraph"/>
        <w:numPr>
          <w:ilvl w:val="0"/>
          <w:numId w:val="46"/>
        </w:numPr>
      </w:pPr>
    </w:p>
    <w:p w14:paraId="69C0486E" w14:textId="77777777" w:rsidR="00907C6A" w:rsidRPr="00907C6A" w:rsidRDefault="00907C6A" w:rsidP="00907C6A">
      <w:pPr>
        <w:spacing w:line="360" w:lineRule="auto"/>
        <w:rPr>
          <w:rFonts w:ascii="Times New Roman" w:hAnsi="Times New Roman" w:cs="Times New Roman"/>
          <w:i/>
          <w:iCs/>
          <w:sz w:val="24"/>
          <w:szCs w:val="24"/>
          <w:lang w:val="en-US"/>
        </w:rPr>
      </w:pPr>
    </w:p>
    <w:p w14:paraId="531A79FD" w14:textId="77777777" w:rsidR="00907C6A" w:rsidRPr="0046717A" w:rsidRDefault="00907C6A" w:rsidP="00907C6A">
      <w:pPr>
        <w:spacing w:line="360" w:lineRule="auto"/>
        <w:jc w:val="both"/>
        <w:rPr>
          <w:rFonts w:ascii="Times New Roman" w:eastAsia="Calibri" w:hAnsi="Times New Roman" w:cs="Times New Roman"/>
          <w:bCs/>
          <w:sz w:val="24"/>
          <w:szCs w:val="24"/>
        </w:rPr>
      </w:pPr>
    </w:p>
    <w:p w14:paraId="6FB6A74C" w14:textId="77777777" w:rsidR="008E008F" w:rsidRPr="00EB0E7F" w:rsidRDefault="008E008F" w:rsidP="008E008F">
      <w:pPr>
        <w:pStyle w:val="Heading1"/>
        <w:rPr>
          <w:rFonts w:cs="Times New Roman"/>
          <w:szCs w:val="24"/>
        </w:rPr>
      </w:pPr>
      <w:bookmarkStart w:id="60" w:name="_Toc209708349"/>
      <w:r w:rsidRPr="002C4DBE">
        <w:lastRenderedPageBreak/>
        <w:t>REFFERENCE</w:t>
      </w:r>
      <w:bookmarkEnd w:id="60"/>
    </w:p>
    <w:p w14:paraId="4D3D02F9"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Ajzen, I. and Fishbein, M., 2005. </w:t>
      </w:r>
      <w:r w:rsidRPr="00EB0E7F">
        <w:rPr>
          <w:rFonts w:ascii="Times New Roman" w:hAnsi="Times New Roman" w:cs="Times New Roman"/>
          <w:i/>
          <w:iCs/>
          <w:sz w:val="24"/>
          <w:szCs w:val="24"/>
        </w:rPr>
        <w:t>The influence of attitudes on behaviour</w:t>
      </w:r>
      <w:r w:rsidRPr="00EB0E7F">
        <w:rPr>
          <w:rFonts w:ascii="Times New Roman" w:hAnsi="Times New Roman" w:cs="Times New Roman"/>
          <w:sz w:val="24"/>
          <w:szCs w:val="24"/>
        </w:rPr>
        <w:t xml:space="preserve">. In: D. Albarracin, B.T. Johnson and M.P. Zanna, eds. </w:t>
      </w:r>
      <w:r w:rsidRPr="00EB0E7F">
        <w:rPr>
          <w:rFonts w:ascii="Times New Roman" w:hAnsi="Times New Roman" w:cs="Times New Roman"/>
          <w:i/>
          <w:iCs/>
          <w:sz w:val="24"/>
          <w:szCs w:val="24"/>
        </w:rPr>
        <w:t>The Handbook of Attitudes</w:t>
      </w:r>
      <w:r w:rsidRPr="00EB0E7F">
        <w:rPr>
          <w:rFonts w:ascii="Times New Roman" w:hAnsi="Times New Roman" w:cs="Times New Roman"/>
          <w:sz w:val="24"/>
          <w:szCs w:val="24"/>
        </w:rPr>
        <w:t>. Mahwah, NJ: Lawrence Erlbaum Associates, pp.173–221.</w:t>
      </w:r>
    </w:p>
    <w:p w14:paraId="38A7E7BE"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Akmal, S. and Jamil, N., 2021. Environmental and health impacts of improper solid waste disposal practices: A review. </w:t>
      </w:r>
      <w:r w:rsidRPr="00EB0E7F">
        <w:rPr>
          <w:rFonts w:ascii="Times New Roman" w:hAnsi="Times New Roman" w:cs="Times New Roman"/>
          <w:i/>
          <w:iCs/>
          <w:sz w:val="24"/>
          <w:szCs w:val="24"/>
        </w:rPr>
        <w:t>Journal of Environmental Management</w:t>
      </w:r>
      <w:r w:rsidRPr="00EB0E7F">
        <w:rPr>
          <w:rFonts w:ascii="Times New Roman" w:hAnsi="Times New Roman" w:cs="Times New Roman"/>
          <w:sz w:val="24"/>
          <w:szCs w:val="24"/>
        </w:rPr>
        <w:t>, 285, p.112–125.</w:t>
      </w:r>
    </w:p>
    <w:p w14:paraId="1C724356"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Babaei, A.A., Alavi, N., Goudarzi, G., </w:t>
      </w:r>
      <w:proofErr w:type="spellStart"/>
      <w:r w:rsidRPr="00EB0E7F">
        <w:rPr>
          <w:rFonts w:ascii="Times New Roman" w:hAnsi="Times New Roman" w:cs="Times New Roman"/>
          <w:sz w:val="24"/>
          <w:szCs w:val="24"/>
        </w:rPr>
        <w:t>Teymouri</w:t>
      </w:r>
      <w:proofErr w:type="spellEnd"/>
      <w:r w:rsidRPr="00EB0E7F">
        <w:rPr>
          <w:rFonts w:ascii="Times New Roman" w:hAnsi="Times New Roman" w:cs="Times New Roman"/>
          <w:sz w:val="24"/>
          <w:szCs w:val="24"/>
        </w:rPr>
        <w:t xml:space="preserve">, P., Ahmadi, K. and Rafiee, M., 2015. Household recycling knowledge, attitudes and practices towards solid waste management. </w:t>
      </w:r>
      <w:r w:rsidRPr="00EB0E7F">
        <w:rPr>
          <w:rFonts w:ascii="Times New Roman" w:hAnsi="Times New Roman" w:cs="Times New Roman"/>
          <w:i/>
          <w:iCs/>
          <w:sz w:val="24"/>
          <w:szCs w:val="24"/>
        </w:rPr>
        <w:t>Resources, Conservation and Recycling</w:t>
      </w:r>
      <w:r w:rsidRPr="00EB0E7F">
        <w:rPr>
          <w:rFonts w:ascii="Times New Roman" w:hAnsi="Times New Roman" w:cs="Times New Roman"/>
          <w:sz w:val="24"/>
          <w:szCs w:val="24"/>
        </w:rPr>
        <w:t>, 102, pp.94–100.</w:t>
      </w:r>
    </w:p>
    <w:p w14:paraId="668DEF84"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Carmi, N., 2019. The clean city as a social responsibility: Exploring the links between environmental behaviour and public health. </w:t>
      </w:r>
      <w:r w:rsidRPr="00EB0E7F">
        <w:rPr>
          <w:rFonts w:ascii="Times New Roman" w:hAnsi="Times New Roman" w:cs="Times New Roman"/>
          <w:i/>
          <w:iCs/>
          <w:sz w:val="24"/>
          <w:szCs w:val="24"/>
        </w:rPr>
        <w:t>Sustainability</w:t>
      </w:r>
      <w:r w:rsidRPr="00EB0E7F">
        <w:rPr>
          <w:rFonts w:ascii="Times New Roman" w:hAnsi="Times New Roman" w:cs="Times New Roman"/>
          <w:sz w:val="24"/>
          <w:szCs w:val="24"/>
        </w:rPr>
        <w:t>, 11(7), p.1927.</w:t>
      </w:r>
    </w:p>
    <w:p w14:paraId="6E2A7A69"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Central Statistical Office (CSO), 2015. </w:t>
      </w:r>
      <w:r w:rsidRPr="00EB0E7F">
        <w:rPr>
          <w:rFonts w:ascii="Times New Roman" w:hAnsi="Times New Roman" w:cs="Times New Roman"/>
          <w:i/>
          <w:iCs/>
          <w:sz w:val="24"/>
          <w:szCs w:val="24"/>
        </w:rPr>
        <w:t>Living Conditions Monitoring Survey Report 2014</w:t>
      </w:r>
      <w:r w:rsidRPr="00EB0E7F">
        <w:rPr>
          <w:rFonts w:ascii="Times New Roman" w:hAnsi="Times New Roman" w:cs="Times New Roman"/>
          <w:sz w:val="24"/>
          <w:szCs w:val="24"/>
        </w:rPr>
        <w:t>. Lusaka: CSO.</w:t>
      </w:r>
    </w:p>
    <w:p w14:paraId="6EA6F7B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Chulu, J., 2017. Challenges in solid waste management in Lusaka. </w:t>
      </w:r>
      <w:r w:rsidRPr="00EB0E7F">
        <w:rPr>
          <w:rFonts w:ascii="Times New Roman" w:hAnsi="Times New Roman" w:cs="Times New Roman"/>
          <w:i/>
          <w:iCs/>
          <w:sz w:val="24"/>
          <w:szCs w:val="24"/>
        </w:rPr>
        <w:t>Zambian Journal of Environmental Studies</w:t>
      </w:r>
      <w:r w:rsidRPr="00EB0E7F">
        <w:rPr>
          <w:rFonts w:ascii="Times New Roman" w:hAnsi="Times New Roman" w:cs="Times New Roman"/>
          <w:sz w:val="24"/>
          <w:szCs w:val="24"/>
        </w:rPr>
        <w:t>, 9(2), pp.44–56.</w:t>
      </w:r>
    </w:p>
    <w:p w14:paraId="167A2523"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Collaborative Working Group (CWG), 2012. </w:t>
      </w:r>
      <w:r w:rsidRPr="00EB0E7F">
        <w:rPr>
          <w:rFonts w:ascii="Times New Roman" w:hAnsi="Times New Roman" w:cs="Times New Roman"/>
          <w:i/>
          <w:iCs/>
          <w:sz w:val="24"/>
          <w:szCs w:val="24"/>
        </w:rPr>
        <w:t>Integrated Sustainable Waste Management (ISWM) Model</w:t>
      </w:r>
      <w:r w:rsidRPr="00EB0E7F">
        <w:rPr>
          <w:rFonts w:ascii="Times New Roman" w:hAnsi="Times New Roman" w:cs="Times New Roman"/>
          <w:sz w:val="24"/>
          <w:szCs w:val="24"/>
        </w:rPr>
        <w:t>. Geneva: CWG.</w:t>
      </w:r>
    </w:p>
    <w:p w14:paraId="66EF7AB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De Morais Vieira, J. and Matheus, D., 2018. Municipal solid waste management in developing countries: Understanding social aspects. </w:t>
      </w:r>
      <w:r w:rsidRPr="00EB0E7F">
        <w:rPr>
          <w:rFonts w:ascii="Times New Roman" w:hAnsi="Times New Roman" w:cs="Times New Roman"/>
          <w:i/>
          <w:iCs/>
          <w:sz w:val="24"/>
          <w:szCs w:val="24"/>
        </w:rPr>
        <w:t>Waste Management</w:t>
      </w:r>
      <w:r w:rsidRPr="00EB0E7F">
        <w:rPr>
          <w:rFonts w:ascii="Times New Roman" w:hAnsi="Times New Roman" w:cs="Times New Roman"/>
          <w:sz w:val="24"/>
          <w:szCs w:val="24"/>
        </w:rPr>
        <w:t>, 77, pp.72–85.</w:t>
      </w:r>
    </w:p>
    <w:p w14:paraId="0C43B7DE"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DCS, 2011. </w:t>
      </w:r>
      <w:r w:rsidRPr="00EB0E7F">
        <w:rPr>
          <w:rFonts w:ascii="Times New Roman" w:hAnsi="Times New Roman" w:cs="Times New Roman"/>
          <w:i/>
          <w:iCs/>
          <w:sz w:val="24"/>
          <w:szCs w:val="24"/>
        </w:rPr>
        <w:t>Community-based solid waste management initiatives in Lusaka</w:t>
      </w:r>
      <w:r w:rsidRPr="00EB0E7F">
        <w:rPr>
          <w:rFonts w:ascii="Times New Roman" w:hAnsi="Times New Roman" w:cs="Times New Roman"/>
          <w:sz w:val="24"/>
          <w:szCs w:val="24"/>
        </w:rPr>
        <w:t>. Lusaka: Development Coordinating Secretariat.</w:t>
      </w:r>
    </w:p>
    <w:p w14:paraId="1CF17D04"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Ebekozien</w:t>
      </w:r>
      <w:proofErr w:type="spellEnd"/>
      <w:r w:rsidRPr="00EB0E7F">
        <w:rPr>
          <w:rFonts w:ascii="Times New Roman" w:hAnsi="Times New Roman" w:cs="Times New Roman"/>
          <w:sz w:val="24"/>
          <w:szCs w:val="24"/>
        </w:rPr>
        <w:t xml:space="preserve">, A., </w:t>
      </w:r>
      <w:proofErr w:type="spellStart"/>
      <w:r w:rsidRPr="00EB0E7F">
        <w:rPr>
          <w:rFonts w:ascii="Times New Roman" w:hAnsi="Times New Roman" w:cs="Times New Roman"/>
          <w:sz w:val="24"/>
          <w:szCs w:val="24"/>
        </w:rPr>
        <w:t>Simatele</w:t>
      </w:r>
      <w:proofErr w:type="spellEnd"/>
      <w:r w:rsidRPr="00EB0E7F">
        <w:rPr>
          <w:rFonts w:ascii="Times New Roman" w:hAnsi="Times New Roman" w:cs="Times New Roman"/>
          <w:sz w:val="24"/>
          <w:szCs w:val="24"/>
        </w:rPr>
        <w:t xml:space="preserve">, D. and Chulu, J., 2024. Urban growth and solid waste challenges in Lusaka. </w:t>
      </w:r>
      <w:r w:rsidRPr="00EB0E7F">
        <w:rPr>
          <w:rFonts w:ascii="Times New Roman" w:hAnsi="Times New Roman" w:cs="Times New Roman"/>
          <w:i/>
          <w:iCs/>
          <w:sz w:val="24"/>
          <w:szCs w:val="24"/>
        </w:rPr>
        <w:t>African Journal of Sustainable Development</w:t>
      </w:r>
      <w:r w:rsidRPr="00EB0E7F">
        <w:rPr>
          <w:rFonts w:ascii="Times New Roman" w:hAnsi="Times New Roman" w:cs="Times New Roman"/>
          <w:sz w:val="24"/>
          <w:szCs w:val="24"/>
        </w:rPr>
        <w:t>, 12(1), pp.55–69.</w:t>
      </w:r>
    </w:p>
    <w:p w14:paraId="7755D339"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Gorobets</w:t>
      </w:r>
      <w:proofErr w:type="spellEnd"/>
      <w:r w:rsidRPr="00EB0E7F">
        <w:rPr>
          <w:rFonts w:ascii="Times New Roman" w:hAnsi="Times New Roman" w:cs="Times New Roman"/>
          <w:sz w:val="24"/>
          <w:szCs w:val="24"/>
        </w:rPr>
        <w:t xml:space="preserve">, A., 2019. Recycling reforms in Eastern Europe: Governance, penalties and incentives. </w:t>
      </w:r>
      <w:r w:rsidRPr="00EB0E7F">
        <w:rPr>
          <w:rFonts w:ascii="Times New Roman" w:hAnsi="Times New Roman" w:cs="Times New Roman"/>
          <w:i/>
          <w:iCs/>
          <w:sz w:val="24"/>
          <w:szCs w:val="24"/>
        </w:rPr>
        <w:t>Journal of Environmental Policy</w:t>
      </w:r>
      <w:r w:rsidRPr="00EB0E7F">
        <w:rPr>
          <w:rFonts w:ascii="Times New Roman" w:hAnsi="Times New Roman" w:cs="Times New Roman"/>
          <w:sz w:val="24"/>
          <w:szCs w:val="24"/>
        </w:rPr>
        <w:t>, 21(4), pp.299–315.</w:t>
      </w:r>
    </w:p>
    <w:p w14:paraId="32952A91"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Hoornweg</w:t>
      </w:r>
      <w:proofErr w:type="spellEnd"/>
      <w:r w:rsidRPr="00EB0E7F">
        <w:rPr>
          <w:rFonts w:ascii="Times New Roman" w:hAnsi="Times New Roman" w:cs="Times New Roman"/>
          <w:sz w:val="24"/>
          <w:szCs w:val="24"/>
        </w:rPr>
        <w:t xml:space="preserve">, D. and </w:t>
      </w:r>
      <w:proofErr w:type="spellStart"/>
      <w:r w:rsidRPr="00EB0E7F">
        <w:rPr>
          <w:rFonts w:ascii="Times New Roman" w:hAnsi="Times New Roman" w:cs="Times New Roman"/>
          <w:sz w:val="24"/>
          <w:szCs w:val="24"/>
        </w:rPr>
        <w:t>Bhada</w:t>
      </w:r>
      <w:proofErr w:type="spellEnd"/>
      <w:r w:rsidRPr="00EB0E7F">
        <w:rPr>
          <w:rFonts w:ascii="Times New Roman" w:hAnsi="Times New Roman" w:cs="Times New Roman"/>
          <w:sz w:val="24"/>
          <w:szCs w:val="24"/>
        </w:rPr>
        <w:t xml:space="preserve">-Tata, P., 2012. </w:t>
      </w:r>
      <w:r w:rsidRPr="00EB0E7F">
        <w:rPr>
          <w:rFonts w:ascii="Times New Roman" w:hAnsi="Times New Roman" w:cs="Times New Roman"/>
          <w:i/>
          <w:iCs/>
          <w:sz w:val="24"/>
          <w:szCs w:val="24"/>
        </w:rPr>
        <w:t>What a Waste: A Global Review of Solid Waste Management</w:t>
      </w:r>
      <w:r w:rsidRPr="00EB0E7F">
        <w:rPr>
          <w:rFonts w:ascii="Times New Roman" w:hAnsi="Times New Roman" w:cs="Times New Roman"/>
          <w:sz w:val="24"/>
          <w:szCs w:val="24"/>
        </w:rPr>
        <w:t>. Washington DC: World Bank.</w:t>
      </w:r>
    </w:p>
    <w:p w14:paraId="1F8ED611"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lastRenderedPageBreak/>
        <w:t xml:space="preserve">Julou, T., Mora, T. and Thomas, J., 2013. Public goods and collective action in environmental management. </w:t>
      </w:r>
      <w:r w:rsidRPr="00EB0E7F">
        <w:rPr>
          <w:rFonts w:ascii="Times New Roman" w:hAnsi="Times New Roman" w:cs="Times New Roman"/>
          <w:i/>
          <w:iCs/>
          <w:sz w:val="24"/>
          <w:szCs w:val="24"/>
        </w:rPr>
        <w:t>Ecological Economics</w:t>
      </w:r>
      <w:r w:rsidRPr="00EB0E7F">
        <w:rPr>
          <w:rFonts w:ascii="Times New Roman" w:hAnsi="Times New Roman" w:cs="Times New Roman"/>
          <w:sz w:val="24"/>
          <w:szCs w:val="24"/>
        </w:rPr>
        <w:t>, 90, pp.141–151.</w:t>
      </w:r>
    </w:p>
    <w:p w14:paraId="45B7186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Kambole, M., 2002. Managing urban waste in Zambia: Policy failures and environmental health risks. </w:t>
      </w:r>
      <w:r w:rsidRPr="00EB0E7F">
        <w:rPr>
          <w:rFonts w:ascii="Times New Roman" w:hAnsi="Times New Roman" w:cs="Times New Roman"/>
          <w:i/>
          <w:iCs/>
          <w:sz w:val="24"/>
          <w:szCs w:val="24"/>
        </w:rPr>
        <w:t>Zambia Social Science Journal</w:t>
      </w:r>
      <w:r w:rsidRPr="00EB0E7F">
        <w:rPr>
          <w:rFonts w:ascii="Times New Roman" w:hAnsi="Times New Roman" w:cs="Times New Roman"/>
          <w:sz w:val="24"/>
          <w:szCs w:val="24"/>
        </w:rPr>
        <w:t>, 3(1), pp.77–89.</w:t>
      </w:r>
    </w:p>
    <w:p w14:paraId="1C2FF32C"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Khan, S., 2020. COVID-19 pandemic and household waste: Risks and regulatory responses. </w:t>
      </w:r>
      <w:r w:rsidRPr="00EB0E7F">
        <w:rPr>
          <w:rFonts w:ascii="Times New Roman" w:hAnsi="Times New Roman" w:cs="Times New Roman"/>
          <w:i/>
          <w:iCs/>
          <w:sz w:val="24"/>
          <w:szCs w:val="24"/>
        </w:rPr>
        <w:t>Waste Management &amp; Research</w:t>
      </w:r>
      <w:r w:rsidRPr="00EB0E7F">
        <w:rPr>
          <w:rFonts w:ascii="Times New Roman" w:hAnsi="Times New Roman" w:cs="Times New Roman"/>
          <w:sz w:val="24"/>
          <w:szCs w:val="24"/>
        </w:rPr>
        <w:t>, 38(7), pp.673–680.</w:t>
      </w:r>
    </w:p>
    <w:p w14:paraId="7690AAF5"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Kirkman, R. and </w:t>
      </w:r>
      <w:proofErr w:type="spellStart"/>
      <w:r w:rsidRPr="00EB0E7F">
        <w:rPr>
          <w:rFonts w:ascii="Times New Roman" w:hAnsi="Times New Roman" w:cs="Times New Roman"/>
          <w:sz w:val="24"/>
          <w:szCs w:val="24"/>
        </w:rPr>
        <w:t>Voulvoulis</w:t>
      </w:r>
      <w:proofErr w:type="spellEnd"/>
      <w:r w:rsidRPr="00EB0E7F">
        <w:rPr>
          <w:rFonts w:ascii="Times New Roman" w:hAnsi="Times New Roman" w:cs="Times New Roman"/>
          <w:sz w:val="24"/>
          <w:szCs w:val="24"/>
        </w:rPr>
        <w:t xml:space="preserve">, N., 2017. The role of behaviour </w:t>
      </w:r>
      <w:proofErr w:type="gramStart"/>
      <w:r w:rsidRPr="00EB0E7F">
        <w:rPr>
          <w:rFonts w:ascii="Times New Roman" w:hAnsi="Times New Roman" w:cs="Times New Roman"/>
          <w:sz w:val="24"/>
          <w:szCs w:val="24"/>
        </w:rPr>
        <w:t>change</w:t>
      </w:r>
      <w:proofErr w:type="gramEnd"/>
      <w:r w:rsidRPr="00EB0E7F">
        <w:rPr>
          <w:rFonts w:ascii="Times New Roman" w:hAnsi="Times New Roman" w:cs="Times New Roman"/>
          <w:sz w:val="24"/>
          <w:szCs w:val="24"/>
        </w:rPr>
        <w:t xml:space="preserve"> in reducing solid waste. </w:t>
      </w:r>
      <w:r w:rsidRPr="00EB0E7F">
        <w:rPr>
          <w:rFonts w:ascii="Times New Roman" w:hAnsi="Times New Roman" w:cs="Times New Roman"/>
          <w:i/>
          <w:iCs/>
          <w:sz w:val="24"/>
          <w:szCs w:val="24"/>
        </w:rPr>
        <w:t>Waste Management</w:t>
      </w:r>
      <w:r w:rsidRPr="00EB0E7F">
        <w:rPr>
          <w:rFonts w:ascii="Times New Roman" w:hAnsi="Times New Roman" w:cs="Times New Roman"/>
          <w:sz w:val="24"/>
          <w:szCs w:val="24"/>
        </w:rPr>
        <w:t>, 61, pp.19–26.</w:t>
      </w:r>
    </w:p>
    <w:p w14:paraId="26FB8040"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Knuttson, P., Nyberg, E. and Karlsson, M., 2021. Food waste behaviour: Values, attitudes and limits in developed countries. </w:t>
      </w:r>
      <w:r w:rsidRPr="00EB0E7F">
        <w:rPr>
          <w:rFonts w:ascii="Times New Roman" w:hAnsi="Times New Roman" w:cs="Times New Roman"/>
          <w:i/>
          <w:iCs/>
          <w:sz w:val="24"/>
          <w:szCs w:val="24"/>
        </w:rPr>
        <w:t>Journal of Cleaner Production</w:t>
      </w:r>
      <w:r w:rsidRPr="00EB0E7F">
        <w:rPr>
          <w:rFonts w:ascii="Times New Roman" w:hAnsi="Times New Roman" w:cs="Times New Roman"/>
          <w:sz w:val="24"/>
          <w:szCs w:val="24"/>
        </w:rPr>
        <w:t>, 286, p.124–135.</w:t>
      </w:r>
    </w:p>
    <w:p w14:paraId="1973EBD9"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Kubanza</w:t>
      </w:r>
      <w:proofErr w:type="spellEnd"/>
      <w:r w:rsidRPr="00EB0E7F">
        <w:rPr>
          <w:rFonts w:ascii="Times New Roman" w:hAnsi="Times New Roman" w:cs="Times New Roman"/>
          <w:sz w:val="24"/>
          <w:szCs w:val="24"/>
        </w:rPr>
        <w:t xml:space="preserve">, N.S. and </w:t>
      </w:r>
      <w:proofErr w:type="spellStart"/>
      <w:r w:rsidRPr="00EB0E7F">
        <w:rPr>
          <w:rFonts w:ascii="Times New Roman" w:hAnsi="Times New Roman" w:cs="Times New Roman"/>
          <w:sz w:val="24"/>
          <w:szCs w:val="24"/>
        </w:rPr>
        <w:t>Simatele</w:t>
      </w:r>
      <w:proofErr w:type="spellEnd"/>
      <w:r w:rsidRPr="00EB0E7F">
        <w:rPr>
          <w:rFonts w:ascii="Times New Roman" w:hAnsi="Times New Roman" w:cs="Times New Roman"/>
          <w:sz w:val="24"/>
          <w:szCs w:val="24"/>
        </w:rPr>
        <w:t xml:space="preserve">, D., 2020. Social dimensions of waste management in Johannesburg. </w:t>
      </w:r>
      <w:r w:rsidRPr="00EB0E7F">
        <w:rPr>
          <w:rFonts w:ascii="Times New Roman" w:hAnsi="Times New Roman" w:cs="Times New Roman"/>
          <w:i/>
          <w:iCs/>
          <w:sz w:val="24"/>
          <w:szCs w:val="24"/>
        </w:rPr>
        <w:t>Habitat International</w:t>
      </w:r>
      <w:r w:rsidRPr="00EB0E7F">
        <w:rPr>
          <w:rFonts w:ascii="Times New Roman" w:hAnsi="Times New Roman" w:cs="Times New Roman"/>
          <w:sz w:val="24"/>
          <w:szCs w:val="24"/>
        </w:rPr>
        <w:t>, 95, p.102–117.</w:t>
      </w:r>
    </w:p>
    <w:p w14:paraId="0F2B9A15"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Kwenda, J., Banda, F. and Mvula, P., 2021. Solid waste management in Africa: Challenges and policy responses. </w:t>
      </w:r>
      <w:r w:rsidRPr="00EB0E7F">
        <w:rPr>
          <w:rFonts w:ascii="Times New Roman" w:hAnsi="Times New Roman" w:cs="Times New Roman"/>
          <w:i/>
          <w:iCs/>
          <w:sz w:val="24"/>
          <w:szCs w:val="24"/>
        </w:rPr>
        <w:t>African Review of Environment and Sustainability</w:t>
      </w:r>
      <w:r w:rsidRPr="00EB0E7F">
        <w:rPr>
          <w:rFonts w:ascii="Times New Roman" w:hAnsi="Times New Roman" w:cs="Times New Roman"/>
          <w:sz w:val="24"/>
          <w:szCs w:val="24"/>
        </w:rPr>
        <w:t>, 4(1), pp.33–47.</w:t>
      </w:r>
    </w:p>
    <w:p w14:paraId="16C2DE9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Kwenda, J., Banda, F. and Mvula, P., 2022. The economics of municipal solid waste management in low-income countries. </w:t>
      </w:r>
      <w:r w:rsidRPr="00EB0E7F">
        <w:rPr>
          <w:rFonts w:ascii="Times New Roman" w:hAnsi="Times New Roman" w:cs="Times New Roman"/>
          <w:i/>
          <w:iCs/>
          <w:sz w:val="24"/>
          <w:szCs w:val="24"/>
        </w:rPr>
        <w:t>Waste Policy Review</w:t>
      </w:r>
      <w:r w:rsidRPr="00EB0E7F">
        <w:rPr>
          <w:rFonts w:ascii="Times New Roman" w:hAnsi="Times New Roman" w:cs="Times New Roman"/>
          <w:sz w:val="24"/>
          <w:szCs w:val="24"/>
        </w:rPr>
        <w:t>, 15(2), pp.56–70.</w:t>
      </w:r>
    </w:p>
    <w:p w14:paraId="4CE1FADB"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Malinauskaite</w:t>
      </w:r>
      <w:proofErr w:type="spellEnd"/>
      <w:r w:rsidRPr="00EB0E7F">
        <w:rPr>
          <w:rFonts w:ascii="Times New Roman" w:hAnsi="Times New Roman" w:cs="Times New Roman"/>
          <w:sz w:val="24"/>
          <w:szCs w:val="24"/>
        </w:rPr>
        <w:t xml:space="preserve">, J., </w:t>
      </w:r>
      <w:proofErr w:type="spellStart"/>
      <w:r w:rsidRPr="00EB0E7F">
        <w:rPr>
          <w:rFonts w:ascii="Times New Roman" w:hAnsi="Times New Roman" w:cs="Times New Roman"/>
          <w:sz w:val="24"/>
          <w:szCs w:val="24"/>
        </w:rPr>
        <w:t>Jouhara</w:t>
      </w:r>
      <w:proofErr w:type="spellEnd"/>
      <w:r w:rsidRPr="00EB0E7F">
        <w:rPr>
          <w:rFonts w:ascii="Times New Roman" w:hAnsi="Times New Roman" w:cs="Times New Roman"/>
          <w:sz w:val="24"/>
          <w:szCs w:val="24"/>
        </w:rPr>
        <w:t xml:space="preserve">, H., </w:t>
      </w:r>
      <w:proofErr w:type="spellStart"/>
      <w:r w:rsidRPr="00EB0E7F">
        <w:rPr>
          <w:rFonts w:ascii="Times New Roman" w:hAnsi="Times New Roman" w:cs="Times New Roman"/>
          <w:sz w:val="24"/>
          <w:szCs w:val="24"/>
        </w:rPr>
        <w:t>Czajczyńska</w:t>
      </w:r>
      <w:proofErr w:type="spellEnd"/>
      <w:r w:rsidRPr="00EB0E7F">
        <w:rPr>
          <w:rFonts w:ascii="Times New Roman" w:hAnsi="Times New Roman" w:cs="Times New Roman"/>
          <w:sz w:val="24"/>
          <w:szCs w:val="24"/>
        </w:rPr>
        <w:t xml:space="preserve">, D., Stanchev, P., Katsou, E., Rostkowski, P., Thorne, R., Colón, J., </w:t>
      </w:r>
      <w:proofErr w:type="spellStart"/>
      <w:r w:rsidRPr="00EB0E7F">
        <w:rPr>
          <w:rFonts w:ascii="Times New Roman" w:hAnsi="Times New Roman" w:cs="Times New Roman"/>
          <w:sz w:val="24"/>
          <w:szCs w:val="24"/>
        </w:rPr>
        <w:t>Ponsá</w:t>
      </w:r>
      <w:proofErr w:type="spellEnd"/>
      <w:r w:rsidRPr="00EB0E7F">
        <w:rPr>
          <w:rFonts w:ascii="Times New Roman" w:hAnsi="Times New Roman" w:cs="Times New Roman"/>
          <w:sz w:val="24"/>
          <w:szCs w:val="24"/>
        </w:rPr>
        <w:t xml:space="preserve">, S. and Al-Mansour, F., 2017. Municipal solid waste management and waste-to-energy in the context of a circular economy. </w:t>
      </w:r>
      <w:r w:rsidRPr="00EB0E7F">
        <w:rPr>
          <w:rFonts w:ascii="Times New Roman" w:hAnsi="Times New Roman" w:cs="Times New Roman"/>
          <w:i/>
          <w:iCs/>
          <w:sz w:val="24"/>
          <w:szCs w:val="24"/>
        </w:rPr>
        <w:t>Energy</w:t>
      </w:r>
      <w:r w:rsidRPr="00EB0E7F">
        <w:rPr>
          <w:rFonts w:ascii="Times New Roman" w:hAnsi="Times New Roman" w:cs="Times New Roman"/>
          <w:sz w:val="24"/>
          <w:szCs w:val="24"/>
        </w:rPr>
        <w:t>, 141, pp.2013–2044.</w:t>
      </w:r>
    </w:p>
    <w:p w14:paraId="14617FA6"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Mukuka, B., Banda, J. and Phiri, M., 2025. Women traders and informal markets in Zambia: Implications for public health. </w:t>
      </w:r>
      <w:r w:rsidRPr="00EB0E7F">
        <w:rPr>
          <w:rFonts w:ascii="Times New Roman" w:hAnsi="Times New Roman" w:cs="Times New Roman"/>
          <w:i/>
          <w:iCs/>
          <w:sz w:val="24"/>
          <w:szCs w:val="24"/>
        </w:rPr>
        <w:t>Zambia Journal of Public Health</w:t>
      </w:r>
      <w:r w:rsidRPr="00EB0E7F">
        <w:rPr>
          <w:rFonts w:ascii="Times New Roman" w:hAnsi="Times New Roman" w:cs="Times New Roman"/>
          <w:sz w:val="24"/>
          <w:szCs w:val="24"/>
        </w:rPr>
        <w:t>, 7(2), pp.21–34.</w:t>
      </w:r>
    </w:p>
    <w:p w14:paraId="7B6ABFD8"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Nawa, D., 2017. Waste management in Lusaka: Realities and opportunities. </w:t>
      </w:r>
      <w:r w:rsidRPr="00EB0E7F">
        <w:rPr>
          <w:rFonts w:ascii="Times New Roman" w:hAnsi="Times New Roman" w:cs="Times New Roman"/>
          <w:i/>
          <w:iCs/>
          <w:sz w:val="24"/>
          <w:szCs w:val="24"/>
        </w:rPr>
        <w:t>Times of Zambia</w:t>
      </w:r>
      <w:r w:rsidRPr="00EB0E7F">
        <w:rPr>
          <w:rFonts w:ascii="Times New Roman" w:hAnsi="Times New Roman" w:cs="Times New Roman"/>
          <w:sz w:val="24"/>
          <w:szCs w:val="24"/>
        </w:rPr>
        <w:t>, 14 June.</w:t>
      </w:r>
    </w:p>
    <w:p w14:paraId="494EB8AE"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Njeru, J., 2006. The urban political ecology of plastic bag waste problem in Nairobi, Kenya. </w:t>
      </w:r>
      <w:proofErr w:type="spellStart"/>
      <w:r w:rsidRPr="00EB0E7F">
        <w:rPr>
          <w:rFonts w:ascii="Times New Roman" w:hAnsi="Times New Roman" w:cs="Times New Roman"/>
          <w:i/>
          <w:iCs/>
          <w:sz w:val="24"/>
          <w:szCs w:val="24"/>
        </w:rPr>
        <w:t>Geoforum</w:t>
      </w:r>
      <w:proofErr w:type="spellEnd"/>
      <w:r w:rsidRPr="00EB0E7F">
        <w:rPr>
          <w:rFonts w:ascii="Times New Roman" w:hAnsi="Times New Roman" w:cs="Times New Roman"/>
          <w:sz w:val="24"/>
          <w:szCs w:val="24"/>
        </w:rPr>
        <w:t>, 37(6), pp.1046–1058.</w:t>
      </w:r>
    </w:p>
    <w:p w14:paraId="6C0FC4BF"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Olukoju</w:t>
      </w:r>
      <w:proofErr w:type="spellEnd"/>
      <w:r w:rsidRPr="00EB0E7F">
        <w:rPr>
          <w:rFonts w:ascii="Times New Roman" w:hAnsi="Times New Roman" w:cs="Times New Roman"/>
          <w:sz w:val="24"/>
          <w:szCs w:val="24"/>
        </w:rPr>
        <w:t xml:space="preserve">, A., 2018. Solid waste management and good governance in African cities. </w:t>
      </w:r>
      <w:r w:rsidRPr="00EB0E7F">
        <w:rPr>
          <w:rFonts w:ascii="Times New Roman" w:hAnsi="Times New Roman" w:cs="Times New Roman"/>
          <w:i/>
          <w:iCs/>
          <w:sz w:val="24"/>
          <w:szCs w:val="24"/>
        </w:rPr>
        <w:t>Urban Studies Review</w:t>
      </w:r>
      <w:r w:rsidRPr="00EB0E7F">
        <w:rPr>
          <w:rFonts w:ascii="Times New Roman" w:hAnsi="Times New Roman" w:cs="Times New Roman"/>
          <w:sz w:val="24"/>
          <w:szCs w:val="24"/>
        </w:rPr>
        <w:t>, 54(3), pp.65–80.</w:t>
      </w:r>
    </w:p>
    <w:p w14:paraId="33FBD5EA"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lastRenderedPageBreak/>
        <w:t xml:space="preserve">Omer, A., 2021. Public health implications of poor solid waste management in Africa. </w:t>
      </w:r>
      <w:r w:rsidRPr="00EB0E7F">
        <w:rPr>
          <w:rFonts w:ascii="Times New Roman" w:hAnsi="Times New Roman" w:cs="Times New Roman"/>
          <w:i/>
          <w:iCs/>
          <w:sz w:val="24"/>
          <w:szCs w:val="24"/>
        </w:rPr>
        <w:t>International Journal of Environmental Health</w:t>
      </w:r>
      <w:r w:rsidRPr="00EB0E7F">
        <w:rPr>
          <w:rFonts w:ascii="Times New Roman" w:hAnsi="Times New Roman" w:cs="Times New Roman"/>
          <w:sz w:val="24"/>
          <w:szCs w:val="24"/>
        </w:rPr>
        <w:t>, 33(4), pp.275–289.</w:t>
      </w:r>
    </w:p>
    <w:p w14:paraId="5F4A35AB"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Paghasian</w:t>
      </w:r>
      <w:proofErr w:type="spellEnd"/>
      <w:r w:rsidRPr="00EB0E7F">
        <w:rPr>
          <w:rFonts w:ascii="Times New Roman" w:hAnsi="Times New Roman" w:cs="Times New Roman"/>
          <w:sz w:val="24"/>
          <w:szCs w:val="24"/>
        </w:rPr>
        <w:t xml:space="preserve">, M., 2017. Environmental costs of poor waste disposal: A Philippine perspective. </w:t>
      </w:r>
      <w:r w:rsidRPr="00EB0E7F">
        <w:rPr>
          <w:rFonts w:ascii="Times New Roman" w:hAnsi="Times New Roman" w:cs="Times New Roman"/>
          <w:i/>
          <w:iCs/>
          <w:sz w:val="24"/>
          <w:szCs w:val="24"/>
        </w:rPr>
        <w:t>Asian Journal of Environment and Ecology</w:t>
      </w:r>
      <w:r w:rsidRPr="00EB0E7F">
        <w:rPr>
          <w:rFonts w:ascii="Times New Roman" w:hAnsi="Times New Roman" w:cs="Times New Roman"/>
          <w:sz w:val="24"/>
          <w:szCs w:val="24"/>
        </w:rPr>
        <w:t>, 3(2), pp.1–10.</w:t>
      </w:r>
    </w:p>
    <w:p w14:paraId="3CF9BBC9"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Sarkodie, S.A. and Owusu, P.A., 2021. Impact of COVID-19 pandemic on waste management. </w:t>
      </w:r>
      <w:r w:rsidRPr="00EB0E7F">
        <w:rPr>
          <w:rFonts w:ascii="Times New Roman" w:hAnsi="Times New Roman" w:cs="Times New Roman"/>
          <w:i/>
          <w:iCs/>
          <w:sz w:val="24"/>
          <w:szCs w:val="24"/>
        </w:rPr>
        <w:t>Science of the Total Environment</w:t>
      </w:r>
      <w:r w:rsidRPr="00EB0E7F">
        <w:rPr>
          <w:rFonts w:ascii="Times New Roman" w:hAnsi="Times New Roman" w:cs="Times New Roman"/>
          <w:sz w:val="24"/>
          <w:szCs w:val="24"/>
        </w:rPr>
        <w:t>, 755, p.142–144.</w:t>
      </w:r>
    </w:p>
    <w:p w14:paraId="53A5DF9E"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Singh, K., 2014. </w:t>
      </w:r>
      <w:r w:rsidRPr="00EB0E7F">
        <w:rPr>
          <w:rFonts w:ascii="Times New Roman" w:hAnsi="Times New Roman" w:cs="Times New Roman"/>
          <w:i/>
          <w:iCs/>
          <w:sz w:val="24"/>
          <w:szCs w:val="24"/>
        </w:rPr>
        <w:t>Quantitative Social Research Methods</w:t>
      </w:r>
      <w:r w:rsidRPr="00EB0E7F">
        <w:rPr>
          <w:rFonts w:ascii="Times New Roman" w:hAnsi="Times New Roman" w:cs="Times New Roman"/>
          <w:sz w:val="24"/>
          <w:szCs w:val="24"/>
        </w:rPr>
        <w:t>. New Delhi: SAGE.</w:t>
      </w:r>
    </w:p>
    <w:p w14:paraId="1D8082D2"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Sultana, N., Ali, R. and Habib, M., 2021. Consequences of uncontrolled solid waste disposal on urban ecosystems. </w:t>
      </w:r>
      <w:r w:rsidRPr="00EB0E7F">
        <w:rPr>
          <w:rFonts w:ascii="Times New Roman" w:hAnsi="Times New Roman" w:cs="Times New Roman"/>
          <w:i/>
          <w:iCs/>
          <w:sz w:val="24"/>
          <w:szCs w:val="24"/>
        </w:rPr>
        <w:t>Urban Environment Journal</w:t>
      </w:r>
      <w:r w:rsidRPr="00EB0E7F">
        <w:rPr>
          <w:rFonts w:ascii="Times New Roman" w:hAnsi="Times New Roman" w:cs="Times New Roman"/>
          <w:sz w:val="24"/>
          <w:szCs w:val="24"/>
        </w:rPr>
        <w:t>, 12(2), pp.44–59.</w:t>
      </w:r>
    </w:p>
    <w:p w14:paraId="662784A2"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Teym</w:t>
      </w:r>
      <w:proofErr w:type="spellEnd"/>
      <w:r w:rsidRPr="00EB0E7F">
        <w:rPr>
          <w:rFonts w:ascii="Times New Roman" w:hAnsi="Times New Roman" w:cs="Times New Roman"/>
          <w:sz w:val="24"/>
          <w:szCs w:val="24"/>
        </w:rPr>
        <w:t xml:space="preserve">, M., 2021. Solid waste management challenges in developing countries. </w:t>
      </w:r>
      <w:r w:rsidRPr="00EB0E7F">
        <w:rPr>
          <w:rFonts w:ascii="Times New Roman" w:hAnsi="Times New Roman" w:cs="Times New Roman"/>
          <w:i/>
          <w:iCs/>
          <w:sz w:val="24"/>
          <w:szCs w:val="24"/>
        </w:rPr>
        <w:t>Waste Management Journal</w:t>
      </w:r>
      <w:r w:rsidRPr="00EB0E7F">
        <w:rPr>
          <w:rFonts w:ascii="Times New Roman" w:hAnsi="Times New Roman" w:cs="Times New Roman"/>
          <w:sz w:val="24"/>
          <w:szCs w:val="24"/>
        </w:rPr>
        <w:t>, 119, pp.93–102.</w:t>
      </w:r>
    </w:p>
    <w:p w14:paraId="15182C98"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United Nations Habitat, 2010. </w:t>
      </w:r>
      <w:r w:rsidRPr="00EB0E7F">
        <w:rPr>
          <w:rFonts w:ascii="Times New Roman" w:hAnsi="Times New Roman" w:cs="Times New Roman"/>
          <w:i/>
          <w:iCs/>
          <w:sz w:val="24"/>
          <w:szCs w:val="24"/>
        </w:rPr>
        <w:t>Community-based Waste Management Practices in Lusaka</w:t>
      </w:r>
      <w:r w:rsidRPr="00EB0E7F">
        <w:rPr>
          <w:rFonts w:ascii="Times New Roman" w:hAnsi="Times New Roman" w:cs="Times New Roman"/>
          <w:sz w:val="24"/>
          <w:szCs w:val="24"/>
        </w:rPr>
        <w:t>. Nairobi: UN-Habitat.</w:t>
      </w:r>
    </w:p>
    <w:p w14:paraId="5B7392B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United Nations IRIN, 2008. </w:t>
      </w:r>
      <w:r w:rsidRPr="00EB0E7F">
        <w:rPr>
          <w:rFonts w:ascii="Times New Roman" w:hAnsi="Times New Roman" w:cs="Times New Roman"/>
          <w:i/>
          <w:iCs/>
          <w:sz w:val="24"/>
          <w:szCs w:val="24"/>
        </w:rPr>
        <w:t>Waste crisis in Lusaka</w:t>
      </w:r>
      <w:r w:rsidRPr="00EB0E7F">
        <w:rPr>
          <w:rFonts w:ascii="Times New Roman" w:hAnsi="Times New Roman" w:cs="Times New Roman"/>
          <w:sz w:val="24"/>
          <w:szCs w:val="24"/>
        </w:rPr>
        <w:t>. UN Integrated Regional Information Network, 3 July.</w:t>
      </w:r>
    </w:p>
    <w:p w14:paraId="7BD06BF7"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von Bertalanffy, L., 1968. </w:t>
      </w:r>
      <w:r w:rsidRPr="00EB0E7F">
        <w:rPr>
          <w:rFonts w:ascii="Times New Roman" w:hAnsi="Times New Roman" w:cs="Times New Roman"/>
          <w:i/>
          <w:iCs/>
          <w:sz w:val="24"/>
          <w:szCs w:val="24"/>
        </w:rPr>
        <w:t>General System Theory: Foundations, Development, Applications</w:t>
      </w:r>
      <w:r w:rsidRPr="00EB0E7F">
        <w:rPr>
          <w:rFonts w:ascii="Times New Roman" w:hAnsi="Times New Roman" w:cs="Times New Roman"/>
          <w:sz w:val="24"/>
          <w:szCs w:val="24"/>
        </w:rPr>
        <w:t>. New York: George Braziller.</w:t>
      </w:r>
    </w:p>
    <w:p w14:paraId="05CADBBE"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Wassihun</w:t>
      </w:r>
      <w:proofErr w:type="spellEnd"/>
      <w:r w:rsidRPr="00EB0E7F">
        <w:rPr>
          <w:rFonts w:ascii="Times New Roman" w:hAnsi="Times New Roman" w:cs="Times New Roman"/>
          <w:sz w:val="24"/>
          <w:szCs w:val="24"/>
        </w:rPr>
        <w:t xml:space="preserve">, A.N. and </w:t>
      </w:r>
      <w:proofErr w:type="spellStart"/>
      <w:r w:rsidRPr="00EB0E7F">
        <w:rPr>
          <w:rFonts w:ascii="Times New Roman" w:hAnsi="Times New Roman" w:cs="Times New Roman"/>
          <w:sz w:val="24"/>
          <w:szCs w:val="24"/>
        </w:rPr>
        <w:t>Gichamo</w:t>
      </w:r>
      <w:proofErr w:type="spellEnd"/>
      <w:r w:rsidRPr="00EB0E7F">
        <w:rPr>
          <w:rFonts w:ascii="Times New Roman" w:hAnsi="Times New Roman" w:cs="Times New Roman"/>
          <w:sz w:val="24"/>
          <w:szCs w:val="24"/>
        </w:rPr>
        <w:t xml:space="preserve">, T.Z., 2019. Environmental citizenship and waste management behaviour in Ethiopia. </w:t>
      </w:r>
      <w:r w:rsidRPr="00EB0E7F">
        <w:rPr>
          <w:rFonts w:ascii="Times New Roman" w:hAnsi="Times New Roman" w:cs="Times New Roman"/>
          <w:i/>
          <w:iCs/>
          <w:sz w:val="24"/>
          <w:szCs w:val="24"/>
        </w:rPr>
        <w:t>Journal of Environmental Planning and Management</w:t>
      </w:r>
      <w:r w:rsidRPr="00EB0E7F">
        <w:rPr>
          <w:rFonts w:ascii="Times New Roman" w:hAnsi="Times New Roman" w:cs="Times New Roman"/>
          <w:sz w:val="24"/>
          <w:szCs w:val="24"/>
        </w:rPr>
        <w:t>, 62(12), pp.2105–2123.</w:t>
      </w:r>
    </w:p>
    <w:p w14:paraId="525CC8FC"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World Bank, 2020. </w:t>
      </w:r>
      <w:r w:rsidRPr="00EB0E7F">
        <w:rPr>
          <w:rFonts w:ascii="Times New Roman" w:hAnsi="Times New Roman" w:cs="Times New Roman"/>
          <w:i/>
          <w:iCs/>
          <w:sz w:val="24"/>
          <w:szCs w:val="24"/>
        </w:rPr>
        <w:t>Global Waste Management Outlook 2020</w:t>
      </w:r>
      <w:r w:rsidRPr="00EB0E7F">
        <w:rPr>
          <w:rFonts w:ascii="Times New Roman" w:hAnsi="Times New Roman" w:cs="Times New Roman"/>
          <w:sz w:val="24"/>
          <w:szCs w:val="24"/>
        </w:rPr>
        <w:t>. Washington DC: World Bank.</w:t>
      </w:r>
    </w:p>
    <w:p w14:paraId="4C9757E5"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t>Wulandhary</w:t>
      </w:r>
      <w:proofErr w:type="spellEnd"/>
      <w:r w:rsidRPr="00EB0E7F">
        <w:rPr>
          <w:rFonts w:ascii="Times New Roman" w:hAnsi="Times New Roman" w:cs="Times New Roman"/>
          <w:sz w:val="24"/>
          <w:szCs w:val="24"/>
        </w:rPr>
        <w:t xml:space="preserve">, J., Rahman, M. and Noor, A., 2019. Environmental impacts of open dumping and burning of waste in developing countries. </w:t>
      </w:r>
      <w:r w:rsidRPr="00EB0E7F">
        <w:rPr>
          <w:rFonts w:ascii="Times New Roman" w:hAnsi="Times New Roman" w:cs="Times New Roman"/>
          <w:i/>
          <w:iCs/>
          <w:sz w:val="24"/>
          <w:szCs w:val="24"/>
        </w:rPr>
        <w:t>International Journal of Environmental Research</w:t>
      </w:r>
      <w:r w:rsidRPr="00EB0E7F">
        <w:rPr>
          <w:rFonts w:ascii="Times New Roman" w:hAnsi="Times New Roman" w:cs="Times New Roman"/>
          <w:sz w:val="24"/>
          <w:szCs w:val="24"/>
        </w:rPr>
        <w:t>, 13(1), pp.22–31.</w:t>
      </w:r>
    </w:p>
    <w:p w14:paraId="6513B8B1" w14:textId="77777777" w:rsidR="008E008F" w:rsidRPr="00EB0E7F" w:rsidRDefault="008E008F" w:rsidP="008E008F">
      <w:pPr>
        <w:spacing w:line="360" w:lineRule="auto"/>
        <w:rPr>
          <w:rFonts w:ascii="Times New Roman" w:hAnsi="Times New Roman" w:cs="Times New Roman"/>
          <w:sz w:val="24"/>
          <w:szCs w:val="24"/>
        </w:rPr>
      </w:pPr>
      <w:r w:rsidRPr="00EB0E7F">
        <w:rPr>
          <w:rFonts w:ascii="Times New Roman" w:hAnsi="Times New Roman" w:cs="Times New Roman"/>
          <w:sz w:val="24"/>
          <w:szCs w:val="24"/>
        </w:rPr>
        <w:t xml:space="preserve">Zambrano-Monserrate, M.A., Ruano, M.A. and Sanchez-Alcalde, L., 2021. The relationship between municipal solid waste and economic growth: Global evidence. </w:t>
      </w:r>
      <w:r w:rsidRPr="00EB0E7F">
        <w:rPr>
          <w:rFonts w:ascii="Times New Roman" w:hAnsi="Times New Roman" w:cs="Times New Roman"/>
          <w:i/>
          <w:iCs/>
          <w:sz w:val="24"/>
          <w:szCs w:val="24"/>
        </w:rPr>
        <w:t>Waste Management</w:t>
      </w:r>
      <w:r w:rsidRPr="00EB0E7F">
        <w:rPr>
          <w:rFonts w:ascii="Times New Roman" w:hAnsi="Times New Roman" w:cs="Times New Roman"/>
          <w:sz w:val="24"/>
          <w:szCs w:val="24"/>
        </w:rPr>
        <w:t>, 114, pp.12–23.</w:t>
      </w:r>
    </w:p>
    <w:p w14:paraId="40A14999" w14:textId="77777777" w:rsidR="008E008F" w:rsidRPr="00EB0E7F" w:rsidRDefault="008E008F" w:rsidP="008E008F">
      <w:pPr>
        <w:spacing w:line="360" w:lineRule="auto"/>
        <w:rPr>
          <w:rFonts w:ascii="Times New Roman" w:hAnsi="Times New Roman" w:cs="Times New Roman"/>
          <w:sz w:val="24"/>
          <w:szCs w:val="24"/>
        </w:rPr>
      </w:pPr>
      <w:proofErr w:type="spellStart"/>
      <w:r w:rsidRPr="00EB0E7F">
        <w:rPr>
          <w:rFonts w:ascii="Times New Roman" w:hAnsi="Times New Roman" w:cs="Times New Roman"/>
          <w:sz w:val="24"/>
          <w:szCs w:val="24"/>
        </w:rPr>
        <w:lastRenderedPageBreak/>
        <w:t>Ziraba</w:t>
      </w:r>
      <w:proofErr w:type="spellEnd"/>
      <w:r w:rsidRPr="00EB0E7F">
        <w:rPr>
          <w:rFonts w:ascii="Times New Roman" w:hAnsi="Times New Roman" w:cs="Times New Roman"/>
          <w:sz w:val="24"/>
          <w:szCs w:val="24"/>
        </w:rPr>
        <w:t xml:space="preserve">, A.K., </w:t>
      </w:r>
      <w:proofErr w:type="spellStart"/>
      <w:r w:rsidRPr="00EB0E7F">
        <w:rPr>
          <w:rFonts w:ascii="Times New Roman" w:hAnsi="Times New Roman" w:cs="Times New Roman"/>
          <w:sz w:val="24"/>
          <w:szCs w:val="24"/>
        </w:rPr>
        <w:t>Haregu</w:t>
      </w:r>
      <w:proofErr w:type="spellEnd"/>
      <w:r w:rsidRPr="00EB0E7F">
        <w:rPr>
          <w:rFonts w:ascii="Times New Roman" w:hAnsi="Times New Roman" w:cs="Times New Roman"/>
          <w:sz w:val="24"/>
          <w:szCs w:val="24"/>
        </w:rPr>
        <w:t xml:space="preserve">, T.N. and </w:t>
      </w:r>
      <w:proofErr w:type="spellStart"/>
      <w:r w:rsidRPr="00EB0E7F">
        <w:rPr>
          <w:rFonts w:ascii="Times New Roman" w:hAnsi="Times New Roman" w:cs="Times New Roman"/>
          <w:sz w:val="24"/>
          <w:szCs w:val="24"/>
        </w:rPr>
        <w:t>Mberu</w:t>
      </w:r>
      <w:proofErr w:type="spellEnd"/>
      <w:r w:rsidRPr="00EB0E7F">
        <w:rPr>
          <w:rFonts w:ascii="Times New Roman" w:hAnsi="Times New Roman" w:cs="Times New Roman"/>
          <w:sz w:val="24"/>
          <w:szCs w:val="24"/>
        </w:rPr>
        <w:t xml:space="preserve">, B., 2016. A review and framework for understanding the potential impact of poor solid waste management on health in developing countries. </w:t>
      </w:r>
      <w:r w:rsidRPr="00EB0E7F">
        <w:rPr>
          <w:rFonts w:ascii="Times New Roman" w:hAnsi="Times New Roman" w:cs="Times New Roman"/>
          <w:i/>
          <w:iCs/>
          <w:sz w:val="24"/>
          <w:szCs w:val="24"/>
        </w:rPr>
        <w:t>Archives of Public Health</w:t>
      </w:r>
      <w:r w:rsidRPr="00EB0E7F">
        <w:rPr>
          <w:rFonts w:ascii="Times New Roman" w:hAnsi="Times New Roman" w:cs="Times New Roman"/>
          <w:sz w:val="24"/>
          <w:szCs w:val="24"/>
        </w:rPr>
        <w:t>, 74(55), pp.1–11.</w:t>
      </w:r>
    </w:p>
    <w:p w14:paraId="31F9DCCD" w14:textId="77777777" w:rsidR="008E008F" w:rsidRDefault="008E008F"/>
    <w:sectPr w:rsidR="008E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8E1A"/>
      </v:shape>
    </w:pict>
  </w:numPicBullet>
  <w:abstractNum w:abstractNumId="0" w15:restartNumberingAfterBreak="0">
    <w:nsid w:val="012E6685"/>
    <w:multiLevelType w:val="hybridMultilevel"/>
    <w:tmpl w:val="A46C53C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3BC042A"/>
    <w:multiLevelType w:val="hybridMultilevel"/>
    <w:tmpl w:val="C7F824CA"/>
    <w:lvl w:ilvl="0" w:tplc="0409001B">
      <w:start w:val="1"/>
      <w:numFmt w:val="low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3CC4F93"/>
    <w:multiLevelType w:val="hybridMultilevel"/>
    <w:tmpl w:val="15722E5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07527CC9"/>
    <w:multiLevelType w:val="hybridMultilevel"/>
    <w:tmpl w:val="DC9287D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0C15344E"/>
    <w:multiLevelType w:val="hybridMultilevel"/>
    <w:tmpl w:val="FC32B8C6"/>
    <w:lvl w:ilvl="0" w:tplc="28CC5D22">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E4D3F8A"/>
    <w:multiLevelType w:val="hybridMultilevel"/>
    <w:tmpl w:val="8E34E5B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116D3B30"/>
    <w:multiLevelType w:val="multilevel"/>
    <w:tmpl w:val="AC58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D1E33"/>
    <w:multiLevelType w:val="hybridMultilevel"/>
    <w:tmpl w:val="82C07E5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D2A1132"/>
    <w:multiLevelType w:val="hybridMultilevel"/>
    <w:tmpl w:val="A3687300"/>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1E956AC9"/>
    <w:multiLevelType w:val="hybridMultilevel"/>
    <w:tmpl w:val="014E5114"/>
    <w:lvl w:ilvl="0" w:tplc="B6E01C68">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95AC5"/>
    <w:multiLevelType w:val="hybridMultilevel"/>
    <w:tmpl w:val="EED29F2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216C65BC"/>
    <w:multiLevelType w:val="multilevel"/>
    <w:tmpl w:val="69929CD0"/>
    <w:lvl w:ilvl="0">
      <w:start w:val="4"/>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2" w15:restartNumberingAfterBreak="0">
    <w:nsid w:val="259D4444"/>
    <w:multiLevelType w:val="hybridMultilevel"/>
    <w:tmpl w:val="6290C2A8"/>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28CA7FFE"/>
    <w:multiLevelType w:val="hybridMultilevel"/>
    <w:tmpl w:val="7C86AC64"/>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29055263"/>
    <w:multiLevelType w:val="hybridMultilevel"/>
    <w:tmpl w:val="B79EA596"/>
    <w:lvl w:ilvl="0" w:tplc="8696B9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F099B"/>
    <w:multiLevelType w:val="multilevel"/>
    <w:tmpl w:val="815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7400A"/>
    <w:multiLevelType w:val="hybridMultilevel"/>
    <w:tmpl w:val="005ACA00"/>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2B8543BE"/>
    <w:multiLevelType w:val="multilevel"/>
    <w:tmpl w:val="17E2B118"/>
    <w:lvl w:ilvl="0">
      <w:start w:val="1"/>
      <w:numFmt w:val="decimal"/>
      <w:lvlText w:val="%1"/>
      <w:lvlJc w:val="left"/>
      <w:pPr>
        <w:ind w:left="672" w:hanging="672"/>
      </w:pPr>
      <w:rPr>
        <w:rFonts w:hint="default"/>
      </w:rPr>
    </w:lvl>
    <w:lvl w:ilvl="1">
      <w:start w:val="5"/>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9057C4"/>
    <w:multiLevelType w:val="hybridMultilevel"/>
    <w:tmpl w:val="83F0FAEE"/>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32BA57A0"/>
    <w:multiLevelType w:val="hybridMultilevel"/>
    <w:tmpl w:val="C25E072E"/>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20" w15:restartNumberingAfterBreak="0">
    <w:nsid w:val="33416F21"/>
    <w:multiLevelType w:val="hybridMultilevel"/>
    <w:tmpl w:val="359ACBCE"/>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9F6E9C"/>
    <w:multiLevelType w:val="hybridMultilevel"/>
    <w:tmpl w:val="4E0231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AC3288"/>
    <w:multiLevelType w:val="hybridMultilevel"/>
    <w:tmpl w:val="9304ACD8"/>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39941459"/>
    <w:multiLevelType w:val="hybridMultilevel"/>
    <w:tmpl w:val="C4D4A71A"/>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3C6F33F0"/>
    <w:multiLevelType w:val="hybridMultilevel"/>
    <w:tmpl w:val="6A5E3A76"/>
    <w:lvl w:ilvl="0" w:tplc="4C090007">
      <w:start w:val="1"/>
      <w:numFmt w:val="bullet"/>
      <w:lvlText w:val=""/>
      <w:lvlPicBulletId w:val="0"/>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3E411000"/>
    <w:multiLevelType w:val="hybridMultilevel"/>
    <w:tmpl w:val="0D586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EF21014"/>
    <w:multiLevelType w:val="hybridMultilevel"/>
    <w:tmpl w:val="E57A28B0"/>
    <w:lvl w:ilvl="0" w:tplc="D40674C4">
      <w:start w:val="1"/>
      <w:numFmt w:val="decimal"/>
      <w:lvlText w:val="%1."/>
      <w:lvlJc w:val="left"/>
      <w:pPr>
        <w:ind w:left="780" w:hanging="360"/>
      </w:pPr>
      <w:rPr>
        <w:rFonts w:hint="default"/>
      </w:rPr>
    </w:lvl>
    <w:lvl w:ilvl="1" w:tplc="4C090019" w:tentative="1">
      <w:start w:val="1"/>
      <w:numFmt w:val="lowerLetter"/>
      <w:lvlText w:val="%2."/>
      <w:lvlJc w:val="left"/>
      <w:pPr>
        <w:ind w:left="1500" w:hanging="360"/>
      </w:pPr>
    </w:lvl>
    <w:lvl w:ilvl="2" w:tplc="4C09001B" w:tentative="1">
      <w:start w:val="1"/>
      <w:numFmt w:val="lowerRoman"/>
      <w:lvlText w:val="%3."/>
      <w:lvlJc w:val="right"/>
      <w:pPr>
        <w:ind w:left="2220" w:hanging="180"/>
      </w:pPr>
    </w:lvl>
    <w:lvl w:ilvl="3" w:tplc="4C09000F" w:tentative="1">
      <w:start w:val="1"/>
      <w:numFmt w:val="decimal"/>
      <w:lvlText w:val="%4."/>
      <w:lvlJc w:val="left"/>
      <w:pPr>
        <w:ind w:left="2940" w:hanging="360"/>
      </w:pPr>
    </w:lvl>
    <w:lvl w:ilvl="4" w:tplc="4C090019" w:tentative="1">
      <w:start w:val="1"/>
      <w:numFmt w:val="lowerLetter"/>
      <w:lvlText w:val="%5."/>
      <w:lvlJc w:val="left"/>
      <w:pPr>
        <w:ind w:left="3660" w:hanging="360"/>
      </w:pPr>
    </w:lvl>
    <w:lvl w:ilvl="5" w:tplc="4C09001B" w:tentative="1">
      <w:start w:val="1"/>
      <w:numFmt w:val="lowerRoman"/>
      <w:lvlText w:val="%6."/>
      <w:lvlJc w:val="right"/>
      <w:pPr>
        <w:ind w:left="4380" w:hanging="180"/>
      </w:pPr>
    </w:lvl>
    <w:lvl w:ilvl="6" w:tplc="4C09000F" w:tentative="1">
      <w:start w:val="1"/>
      <w:numFmt w:val="decimal"/>
      <w:lvlText w:val="%7."/>
      <w:lvlJc w:val="left"/>
      <w:pPr>
        <w:ind w:left="5100" w:hanging="360"/>
      </w:pPr>
    </w:lvl>
    <w:lvl w:ilvl="7" w:tplc="4C090019" w:tentative="1">
      <w:start w:val="1"/>
      <w:numFmt w:val="lowerLetter"/>
      <w:lvlText w:val="%8."/>
      <w:lvlJc w:val="left"/>
      <w:pPr>
        <w:ind w:left="5820" w:hanging="360"/>
      </w:pPr>
    </w:lvl>
    <w:lvl w:ilvl="8" w:tplc="4C09001B" w:tentative="1">
      <w:start w:val="1"/>
      <w:numFmt w:val="lowerRoman"/>
      <w:lvlText w:val="%9."/>
      <w:lvlJc w:val="right"/>
      <w:pPr>
        <w:ind w:left="6540" w:hanging="180"/>
      </w:pPr>
    </w:lvl>
  </w:abstractNum>
  <w:abstractNum w:abstractNumId="27" w15:restartNumberingAfterBreak="0">
    <w:nsid w:val="40B35BEB"/>
    <w:multiLevelType w:val="hybridMultilevel"/>
    <w:tmpl w:val="3EEE81E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8" w15:restartNumberingAfterBreak="0">
    <w:nsid w:val="493378A5"/>
    <w:multiLevelType w:val="multilevel"/>
    <w:tmpl w:val="3F34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2C1E65"/>
    <w:multiLevelType w:val="hybridMultilevel"/>
    <w:tmpl w:val="9E86F40E"/>
    <w:lvl w:ilvl="0" w:tplc="4C090001">
      <w:start w:val="1"/>
      <w:numFmt w:val="bullet"/>
      <w:lvlText w:val=""/>
      <w:lvlJc w:val="left"/>
      <w:pPr>
        <w:ind w:left="1080" w:hanging="360"/>
      </w:pPr>
      <w:rPr>
        <w:rFonts w:ascii="Symbol" w:hAnsi="Symbol"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0" w15:restartNumberingAfterBreak="0">
    <w:nsid w:val="4C0350F4"/>
    <w:multiLevelType w:val="hybridMultilevel"/>
    <w:tmpl w:val="E050D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5E742E6"/>
    <w:multiLevelType w:val="hybridMultilevel"/>
    <w:tmpl w:val="431E2D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7662308"/>
    <w:multiLevelType w:val="multilevel"/>
    <w:tmpl w:val="3EB0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612DF"/>
    <w:multiLevelType w:val="hybridMultilevel"/>
    <w:tmpl w:val="5C78C40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5A9259E4"/>
    <w:multiLevelType w:val="hybridMultilevel"/>
    <w:tmpl w:val="8BD4BA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5" w15:restartNumberingAfterBreak="0">
    <w:nsid w:val="5E594C4F"/>
    <w:multiLevelType w:val="multilevel"/>
    <w:tmpl w:val="953247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0637911"/>
    <w:multiLevelType w:val="hybridMultilevel"/>
    <w:tmpl w:val="1E7CF7C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63160722"/>
    <w:multiLevelType w:val="hybridMultilevel"/>
    <w:tmpl w:val="B6E869C8"/>
    <w:lvl w:ilvl="0" w:tplc="87E495BA">
      <w:start w:val="1"/>
      <w:numFmt w:val="bullet"/>
      <w:lvlText w:val=""/>
      <w:lvlJc w:val="left"/>
      <w:pPr>
        <w:ind w:left="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EA64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D81D5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36CB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A66A3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AE63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022D2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D808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029E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75F003A"/>
    <w:multiLevelType w:val="multilevel"/>
    <w:tmpl w:val="ACD26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9D31F74"/>
    <w:multiLevelType w:val="hybridMultilevel"/>
    <w:tmpl w:val="359ACBCE"/>
    <w:lvl w:ilvl="0" w:tplc="2DE86B74">
      <w:start w:val="1"/>
      <w:numFmt w:val="decimal"/>
      <w:lvlText w:val="%1."/>
      <w:lvlJc w:val="left"/>
      <w:pPr>
        <w:ind w:left="720" w:hanging="360"/>
      </w:pPr>
      <w:rPr>
        <w:rFonts w:ascii="Times New Roman" w:eastAsia="Calibri" w:hAnsi="Times New Roman" w:cs="Times New Roman"/>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0" w15:restartNumberingAfterBreak="0">
    <w:nsid w:val="6F350438"/>
    <w:multiLevelType w:val="hybridMultilevel"/>
    <w:tmpl w:val="07602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FA0B5A"/>
    <w:multiLevelType w:val="multilevel"/>
    <w:tmpl w:val="5676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A4A0F"/>
    <w:multiLevelType w:val="multilevel"/>
    <w:tmpl w:val="E1FC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E5D2E"/>
    <w:multiLevelType w:val="multilevel"/>
    <w:tmpl w:val="048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00944"/>
    <w:multiLevelType w:val="multilevel"/>
    <w:tmpl w:val="3E4678C4"/>
    <w:lvl w:ilvl="0">
      <w:start w:val="5"/>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5" w15:restartNumberingAfterBreak="0">
    <w:nsid w:val="79866021"/>
    <w:multiLevelType w:val="multilevel"/>
    <w:tmpl w:val="4D8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819FE"/>
    <w:multiLevelType w:val="hybridMultilevel"/>
    <w:tmpl w:val="359ACBCE"/>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163D72"/>
    <w:multiLevelType w:val="multilevel"/>
    <w:tmpl w:val="04B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9"/>
  </w:num>
  <w:num w:numId="3">
    <w:abstractNumId w:val="38"/>
  </w:num>
  <w:num w:numId="4">
    <w:abstractNumId w:val="36"/>
  </w:num>
  <w:num w:numId="5">
    <w:abstractNumId w:val="17"/>
  </w:num>
  <w:num w:numId="6">
    <w:abstractNumId w:val="4"/>
  </w:num>
  <w:num w:numId="7">
    <w:abstractNumId w:val="20"/>
  </w:num>
  <w:num w:numId="8">
    <w:abstractNumId w:val="37"/>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11"/>
  </w:num>
  <w:num w:numId="14">
    <w:abstractNumId w:val="26"/>
  </w:num>
  <w:num w:numId="15">
    <w:abstractNumId w:val="35"/>
  </w:num>
  <w:num w:numId="16">
    <w:abstractNumId w:val="9"/>
  </w:num>
  <w:num w:numId="17">
    <w:abstractNumId w:val="18"/>
  </w:num>
  <w:num w:numId="18">
    <w:abstractNumId w:val="24"/>
  </w:num>
  <w:num w:numId="19">
    <w:abstractNumId w:val="13"/>
  </w:num>
  <w:num w:numId="20">
    <w:abstractNumId w:val="22"/>
  </w:num>
  <w:num w:numId="21">
    <w:abstractNumId w:val="8"/>
  </w:num>
  <w:num w:numId="22">
    <w:abstractNumId w:val="16"/>
  </w:num>
  <w:num w:numId="23">
    <w:abstractNumId w:val="10"/>
  </w:num>
  <w:num w:numId="24">
    <w:abstractNumId w:val="7"/>
  </w:num>
  <w:num w:numId="25">
    <w:abstractNumId w:val="12"/>
  </w:num>
  <w:num w:numId="26">
    <w:abstractNumId w:val="3"/>
  </w:num>
  <w:num w:numId="27">
    <w:abstractNumId w:val="29"/>
  </w:num>
  <w:num w:numId="28">
    <w:abstractNumId w:val="34"/>
  </w:num>
  <w:num w:numId="29">
    <w:abstractNumId w:val="0"/>
  </w:num>
  <w:num w:numId="30">
    <w:abstractNumId w:val="2"/>
  </w:num>
  <w:num w:numId="31">
    <w:abstractNumId w:val="27"/>
  </w:num>
  <w:num w:numId="32">
    <w:abstractNumId w:val="5"/>
  </w:num>
  <w:num w:numId="33">
    <w:abstractNumId w:val="33"/>
  </w:num>
  <w:num w:numId="34">
    <w:abstractNumId w:val="47"/>
  </w:num>
  <w:num w:numId="35">
    <w:abstractNumId w:val="6"/>
  </w:num>
  <w:num w:numId="36">
    <w:abstractNumId w:val="41"/>
  </w:num>
  <w:num w:numId="37">
    <w:abstractNumId w:val="45"/>
  </w:num>
  <w:num w:numId="38">
    <w:abstractNumId w:val="46"/>
  </w:num>
  <w:num w:numId="39">
    <w:abstractNumId w:val="14"/>
  </w:num>
  <w:num w:numId="40">
    <w:abstractNumId w:val="44"/>
  </w:num>
  <w:num w:numId="41">
    <w:abstractNumId w:val="1"/>
  </w:num>
  <w:num w:numId="42">
    <w:abstractNumId w:val="42"/>
  </w:num>
  <w:num w:numId="43">
    <w:abstractNumId w:val="15"/>
  </w:num>
  <w:num w:numId="44">
    <w:abstractNumId w:val="32"/>
  </w:num>
  <w:num w:numId="45">
    <w:abstractNumId w:val="28"/>
  </w:num>
  <w:num w:numId="46">
    <w:abstractNumId w:val="43"/>
  </w:num>
  <w:num w:numId="47">
    <w:abstractNumId w:val="3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8F"/>
    <w:rsid w:val="000034A1"/>
    <w:rsid w:val="00021A01"/>
    <w:rsid w:val="000F170A"/>
    <w:rsid w:val="000F5C82"/>
    <w:rsid w:val="000F7376"/>
    <w:rsid w:val="00123E4B"/>
    <w:rsid w:val="00174772"/>
    <w:rsid w:val="001C0088"/>
    <w:rsid w:val="001C463D"/>
    <w:rsid w:val="002642D4"/>
    <w:rsid w:val="002D7B9C"/>
    <w:rsid w:val="00325440"/>
    <w:rsid w:val="00343339"/>
    <w:rsid w:val="00385850"/>
    <w:rsid w:val="003F11CC"/>
    <w:rsid w:val="00441D44"/>
    <w:rsid w:val="0046717A"/>
    <w:rsid w:val="00557F28"/>
    <w:rsid w:val="00561424"/>
    <w:rsid w:val="0057365D"/>
    <w:rsid w:val="005A5F19"/>
    <w:rsid w:val="005E61CF"/>
    <w:rsid w:val="006602D2"/>
    <w:rsid w:val="00661A09"/>
    <w:rsid w:val="00661C1D"/>
    <w:rsid w:val="00681654"/>
    <w:rsid w:val="006D60E0"/>
    <w:rsid w:val="008331B4"/>
    <w:rsid w:val="0087306C"/>
    <w:rsid w:val="008E008F"/>
    <w:rsid w:val="00907C6A"/>
    <w:rsid w:val="00965D94"/>
    <w:rsid w:val="00A14874"/>
    <w:rsid w:val="00A57C19"/>
    <w:rsid w:val="00A746DA"/>
    <w:rsid w:val="00A75789"/>
    <w:rsid w:val="00AA3A12"/>
    <w:rsid w:val="00B06E2E"/>
    <w:rsid w:val="00B313E7"/>
    <w:rsid w:val="00B52F86"/>
    <w:rsid w:val="00B57151"/>
    <w:rsid w:val="00BE4B88"/>
    <w:rsid w:val="00C039DD"/>
    <w:rsid w:val="00C119D8"/>
    <w:rsid w:val="00C22E54"/>
    <w:rsid w:val="00C2599D"/>
    <w:rsid w:val="00C43186"/>
    <w:rsid w:val="00C64A32"/>
    <w:rsid w:val="00CF4BB6"/>
    <w:rsid w:val="00D726DC"/>
    <w:rsid w:val="00E06DBC"/>
    <w:rsid w:val="00E43886"/>
    <w:rsid w:val="00E74A02"/>
    <w:rsid w:val="00F47FA5"/>
    <w:rsid w:val="00F711F5"/>
    <w:rsid w:val="00F77BC3"/>
    <w:rsid w:val="00F84BF0"/>
    <w:rsid w:val="00FD04D0"/>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9ED5"/>
  <w15:chartTrackingRefBased/>
  <w15:docId w15:val="{CA0F38A5-EC0D-4818-ABE7-14BADFC9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0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8E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08F"/>
    <w:rPr>
      <w:rFonts w:eastAsiaTheme="majorEastAsia" w:cstheme="majorBidi"/>
      <w:color w:val="272727" w:themeColor="text1" w:themeTint="D8"/>
    </w:rPr>
  </w:style>
  <w:style w:type="paragraph" w:styleId="Title">
    <w:name w:val="Title"/>
    <w:basedOn w:val="Normal"/>
    <w:next w:val="Normal"/>
    <w:link w:val="TitleChar"/>
    <w:uiPriority w:val="10"/>
    <w:qFormat/>
    <w:rsid w:val="008E0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08F"/>
    <w:pPr>
      <w:spacing w:before="160"/>
      <w:jc w:val="center"/>
    </w:pPr>
    <w:rPr>
      <w:i/>
      <w:iCs/>
      <w:color w:val="404040" w:themeColor="text1" w:themeTint="BF"/>
    </w:rPr>
  </w:style>
  <w:style w:type="character" w:customStyle="1" w:styleId="QuoteChar">
    <w:name w:val="Quote Char"/>
    <w:basedOn w:val="DefaultParagraphFont"/>
    <w:link w:val="Quote"/>
    <w:uiPriority w:val="29"/>
    <w:rsid w:val="008E008F"/>
    <w:rPr>
      <w:i/>
      <w:iCs/>
      <w:color w:val="404040" w:themeColor="text1" w:themeTint="BF"/>
    </w:rPr>
  </w:style>
  <w:style w:type="paragraph" w:styleId="ListParagraph">
    <w:name w:val="List Paragraph"/>
    <w:basedOn w:val="Normal"/>
    <w:uiPriority w:val="34"/>
    <w:qFormat/>
    <w:rsid w:val="008E008F"/>
    <w:pPr>
      <w:ind w:left="720"/>
      <w:contextualSpacing/>
    </w:pPr>
  </w:style>
  <w:style w:type="character" w:styleId="IntenseEmphasis">
    <w:name w:val="Intense Emphasis"/>
    <w:basedOn w:val="DefaultParagraphFont"/>
    <w:uiPriority w:val="21"/>
    <w:qFormat/>
    <w:rsid w:val="008E008F"/>
    <w:rPr>
      <w:i/>
      <w:iCs/>
      <w:color w:val="0F4761" w:themeColor="accent1" w:themeShade="BF"/>
    </w:rPr>
  </w:style>
  <w:style w:type="paragraph" w:styleId="IntenseQuote">
    <w:name w:val="Intense Quote"/>
    <w:basedOn w:val="Normal"/>
    <w:next w:val="Normal"/>
    <w:link w:val="IntenseQuoteChar"/>
    <w:uiPriority w:val="30"/>
    <w:qFormat/>
    <w:rsid w:val="008E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08F"/>
    <w:rPr>
      <w:i/>
      <w:iCs/>
      <w:color w:val="0F4761" w:themeColor="accent1" w:themeShade="BF"/>
    </w:rPr>
  </w:style>
  <w:style w:type="character" w:styleId="IntenseReference">
    <w:name w:val="Intense Reference"/>
    <w:basedOn w:val="DefaultParagraphFont"/>
    <w:uiPriority w:val="32"/>
    <w:qFormat/>
    <w:rsid w:val="008E008F"/>
    <w:rPr>
      <w:b/>
      <w:bCs/>
      <w:smallCaps/>
      <w:color w:val="0F4761" w:themeColor="accent1" w:themeShade="BF"/>
      <w:spacing w:val="5"/>
    </w:rPr>
  </w:style>
  <w:style w:type="paragraph" w:styleId="Footer">
    <w:name w:val="footer"/>
    <w:basedOn w:val="Normal"/>
    <w:link w:val="FooterChar"/>
    <w:uiPriority w:val="99"/>
    <w:unhideWhenUsed/>
    <w:rsid w:val="008E0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8F"/>
    <w:rPr>
      <w:kern w:val="0"/>
      <w:sz w:val="22"/>
      <w:szCs w:val="22"/>
      <w14:ligatures w14:val="none"/>
    </w:rPr>
  </w:style>
  <w:style w:type="table" w:styleId="TableGrid">
    <w:name w:val="Table Grid"/>
    <w:basedOn w:val="TableNormal"/>
    <w:uiPriority w:val="59"/>
    <w:rsid w:val="008E008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8F"/>
    <w:rPr>
      <w:sz w:val="16"/>
      <w:szCs w:val="16"/>
    </w:rPr>
  </w:style>
  <w:style w:type="paragraph" w:styleId="CommentText">
    <w:name w:val="annotation text"/>
    <w:basedOn w:val="Normal"/>
    <w:link w:val="CommentTextChar"/>
    <w:uiPriority w:val="99"/>
    <w:unhideWhenUsed/>
    <w:rsid w:val="008E008F"/>
    <w:pPr>
      <w:spacing w:line="240" w:lineRule="auto"/>
    </w:pPr>
    <w:rPr>
      <w:sz w:val="20"/>
      <w:szCs w:val="20"/>
    </w:rPr>
  </w:style>
  <w:style w:type="character" w:customStyle="1" w:styleId="CommentTextChar">
    <w:name w:val="Comment Text Char"/>
    <w:basedOn w:val="DefaultParagraphFont"/>
    <w:link w:val="CommentText"/>
    <w:uiPriority w:val="99"/>
    <w:rsid w:val="008E008F"/>
    <w:rPr>
      <w:kern w:val="0"/>
      <w:sz w:val="20"/>
      <w:szCs w:val="20"/>
      <w14:ligatures w14:val="none"/>
    </w:rPr>
  </w:style>
  <w:style w:type="paragraph" w:styleId="NoSpacing">
    <w:name w:val="No Spacing"/>
    <w:uiPriority w:val="1"/>
    <w:qFormat/>
    <w:rsid w:val="008E008F"/>
    <w:pPr>
      <w:spacing w:after="0" w:line="240" w:lineRule="auto"/>
    </w:pPr>
    <w:rPr>
      <w:kern w:val="0"/>
      <w:sz w:val="22"/>
      <w:szCs w:val="22"/>
      <w14:ligatures w14:val="none"/>
    </w:rPr>
  </w:style>
  <w:style w:type="paragraph" w:styleId="TOCHeading">
    <w:name w:val="TOC Heading"/>
    <w:basedOn w:val="Heading1"/>
    <w:next w:val="Normal"/>
    <w:uiPriority w:val="39"/>
    <w:unhideWhenUsed/>
    <w:qFormat/>
    <w:rsid w:val="008E008F"/>
    <w:pPr>
      <w:spacing w:before="240" w:after="0" w:line="480" w:lineRule="auto"/>
      <w:jc w:val="center"/>
      <w:outlineLvl w:val="9"/>
    </w:pPr>
    <w:rPr>
      <w:rFonts w:ascii="Times New Roman" w:eastAsia="Calibri" w:hAnsi="Times New Roman"/>
      <w:b/>
      <w:color w:val="000000" w:themeColor="text1"/>
      <w:sz w:val="32"/>
      <w:szCs w:val="32"/>
      <w:lang w:val="en-US"/>
    </w:rPr>
  </w:style>
  <w:style w:type="paragraph" w:styleId="TOC1">
    <w:name w:val="toc 1"/>
    <w:basedOn w:val="Normal"/>
    <w:next w:val="Normal"/>
    <w:autoRedefine/>
    <w:uiPriority w:val="39"/>
    <w:unhideWhenUsed/>
    <w:rsid w:val="008E008F"/>
    <w:pPr>
      <w:spacing w:after="100"/>
    </w:pPr>
  </w:style>
  <w:style w:type="paragraph" w:styleId="TOC2">
    <w:name w:val="toc 2"/>
    <w:basedOn w:val="Normal"/>
    <w:next w:val="Normal"/>
    <w:autoRedefine/>
    <w:uiPriority w:val="39"/>
    <w:unhideWhenUsed/>
    <w:rsid w:val="008E008F"/>
    <w:pPr>
      <w:spacing w:after="100"/>
      <w:ind w:left="220"/>
    </w:pPr>
  </w:style>
  <w:style w:type="character" w:styleId="Hyperlink">
    <w:name w:val="Hyperlink"/>
    <w:basedOn w:val="DefaultParagraphFont"/>
    <w:uiPriority w:val="99"/>
    <w:unhideWhenUsed/>
    <w:rsid w:val="008E008F"/>
    <w:rPr>
      <w:color w:val="467886" w:themeColor="hyperlink"/>
      <w:u w:val="single"/>
    </w:rPr>
  </w:style>
  <w:style w:type="paragraph" w:styleId="Header">
    <w:name w:val="header"/>
    <w:basedOn w:val="Normal"/>
    <w:link w:val="HeaderChar"/>
    <w:uiPriority w:val="99"/>
    <w:unhideWhenUsed/>
    <w:rsid w:val="008E0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08F"/>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8E008F"/>
    <w:rPr>
      <w:b/>
      <w:bCs/>
    </w:rPr>
  </w:style>
  <w:style w:type="character" w:customStyle="1" w:styleId="CommentSubjectChar">
    <w:name w:val="Comment Subject Char"/>
    <w:basedOn w:val="CommentTextChar"/>
    <w:link w:val="CommentSubject"/>
    <w:uiPriority w:val="99"/>
    <w:semiHidden/>
    <w:rsid w:val="008E008F"/>
    <w:rPr>
      <w:b/>
      <w:bCs/>
      <w:kern w:val="0"/>
      <w:sz w:val="20"/>
      <w:szCs w:val="20"/>
      <w14:ligatures w14:val="none"/>
    </w:rPr>
  </w:style>
  <w:style w:type="table" w:customStyle="1" w:styleId="TableGridLight1">
    <w:name w:val="Table Grid Light1"/>
    <w:basedOn w:val="TableNormal"/>
    <w:uiPriority w:val="40"/>
    <w:qFormat/>
    <w:rsid w:val="008E008F"/>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E008F"/>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E008F"/>
    <w:rPr>
      <w:color w:val="605E5C"/>
      <w:shd w:val="clear" w:color="auto" w:fill="E1DFDD"/>
    </w:rPr>
  </w:style>
  <w:style w:type="character" w:customStyle="1" w:styleId="apple-converted-space">
    <w:name w:val="apple-converted-space"/>
    <w:basedOn w:val="DefaultParagraphFont"/>
    <w:rsid w:val="008E008F"/>
  </w:style>
  <w:style w:type="paragraph" w:styleId="NormalWeb">
    <w:name w:val="Normal (Web)"/>
    <w:basedOn w:val="Normal"/>
    <w:uiPriority w:val="99"/>
    <w:semiHidden/>
    <w:unhideWhenUsed/>
    <w:rsid w:val="008E00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8934</Words>
  <Characters>50928</Characters>
  <Application>Microsoft Office Word</Application>
  <DocSecurity>0</DocSecurity>
  <Lines>424</Lines>
  <Paragraphs>119</Paragraphs>
  <ScaleCrop>false</ScaleCrop>
  <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Chulu</dc:creator>
  <cp:keywords/>
  <dc:description/>
  <cp:lastModifiedBy>SDI 1158</cp:lastModifiedBy>
  <cp:revision>15</cp:revision>
  <dcterms:created xsi:type="dcterms:W3CDTF">2025-09-25T20:47:00Z</dcterms:created>
  <dcterms:modified xsi:type="dcterms:W3CDTF">2025-10-11T12:00:00Z</dcterms:modified>
</cp:coreProperties>
</file>